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8BE0DA" w14:textId="77777777" w:rsidR="003628E9" w:rsidRPr="003628E9" w:rsidRDefault="003628E9" w:rsidP="003628E9">
      <w:pPr>
        <w:pStyle w:val="Title"/>
        <w:jc w:val="both"/>
        <w:rPr>
          <w:rFonts w:ascii="Arial" w:hAnsi="Arial" w:cs="Arial"/>
          <w:bCs/>
          <w:i/>
          <w:iCs/>
          <w:u w:val="single"/>
        </w:rPr>
      </w:pPr>
      <w:r w:rsidRPr="003628E9">
        <w:rPr>
          <w:rFonts w:ascii="Arial" w:hAnsi="Arial" w:cs="Arial"/>
          <w:bCs/>
          <w:i/>
          <w:iCs/>
          <w:u w:val="single"/>
        </w:rPr>
        <w:t xml:space="preserve">Case study </w:t>
      </w:r>
    </w:p>
    <w:p w14:paraId="3D46ABBD" w14:textId="77777777" w:rsidR="00754C9A" w:rsidRDefault="00754C9A" w:rsidP="00441B6F">
      <w:pPr>
        <w:pStyle w:val="Title"/>
        <w:spacing w:after="0"/>
        <w:jc w:val="both"/>
        <w:rPr>
          <w:rFonts w:ascii="Arial" w:hAnsi="Arial" w:cs="Arial"/>
        </w:rPr>
      </w:pPr>
    </w:p>
    <w:p w14:paraId="706FC0AA" w14:textId="394E7868" w:rsidR="00A258C3" w:rsidRPr="00790ADA" w:rsidRDefault="00C118D0" w:rsidP="00C118D0">
      <w:pPr>
        <w:pStyle w:val="Author"/>
        <w:spacing w:line="240" w:lineRule="auto"/>
        <w:rPr>
          <w:rFonts w:ascii="Arial" w:hAnsi="Arial" w:cs="Arial"/>
          <w:sz w:val="36"/>
        </w:rPr>
      </w:pPr>
      <w:r w:rsidRPr="004C7C17">
        <w:rPr>
          <w:rFonts w:ascii="Times New Roman" w:hAnsi="Times New Roman"/>
          <w:bCs/>
        </w:rPr>
        <w:t xml:space="preserve">CASE SERIES OF BREAST TISSUE MARKING IN LOCAL SETTING USING SURGICAL CLIPS </w:t>
      </w:r>
      <w:r>
        <w:rPr>
          <w:rFonts w:ascii="Times New Roman" w:hAnsi="Times New Roman"/>
          <w:bCs/>
        </w:rPr>
        <w:t xml:space="preserve">AS AN ALTERNATIVE </w:t>
      </w:r>
      <w:r w:rsidRPr="004C7C17">
        <w:rPr>
          <w:rFonts w:ascii="Times New Roman" w:hAnsi="Times New Roman"/>
          <w:bCs/>
        </w:rPr>
        <w:t>FOR BREAST CANCER PATIENT</w:t>
      </w:r>
      <w:r>
        <w:rPr>
          <w:rFonts w:ascii="Times New Roman" w:hAnsi="Times New Roman"/>
          <w:bCs/>
        </w:rPr>
        <w:t>S</w:t>
      </w:r>
    </w:p>
    <w:p w14:paraId="34E9EBD3" w14:textId="77BD550D" w:rsidR="00790ADA" w:rsidRDefault="00790ADA" w:rsidP="00441B6F">
      <w:pPr>
        <w:pStyle w:val="Affiliation"/>
        <w:spacing w:after="0" w:line="240" w:lineRule="auto"/>
        <w:jc w:val="both"/>
        <w:rPr>
          <w:rFonts w:ascii="Arial" w:hAnsi="Arial" w:cs="Arial"/>
        </w:rPr>
      </w:pPr>
    </w:p>
    <w:p w14:paraId="3574BC66" w14:textId="77777777" w:rsidR="005C0DEC" w:rsidRDefault="005C0DEC" w:rsidP="00441B6F">
      <w:pPr>
        <w:pStyle w:val="Affiliation"/>
        <w:spacing w:after="0" w:line="240" w:lineRule="auto"/>
        <w:jc w:val="both"/>
        <w:rPr>
          <w:rFonts w:ascii="Arial" w:hAnsi="Arial" w:cs="Arial"/>
        </w:rPr>
      </w:pPr>
    </w:p>
    <w:p w14:paraId="0D08C24A" w14:textId="77777777" w:rsidR="002C57D2" w:rsidRPr="00FB3A86" w:rsidRDefault="002C57D2" w:rsidP="00441B6F">
      <w:pPr>
        <w:pStyle w:val="Affiliation"/>
        <w:spacing w:after="0" w:line="240" w:lineRule="auto"/>
        <w:jc w:val="both"/>
        <w:rPr>
          <w:rFonts w:ascii="Arial" w:hAnsi="Arial" w:cs="Arial"/>
        </w:rPr>
      </w:pPr>
    </w:p>
    <w:p w14:paraId="2412530C" w14:textId="77777777" w:rsidR="00B01FCD" w:rsidRPr="00FB3A86" w:rsidRDefault="00E57364" w:rsidP="00441B6F">
      <w:pPr>
        <w:pStyle w:val="Copyright"/>
        <w:spacing w:after="0" w:line="240" w:lineRule="auto"/>
        <w:jc w:val="both"/>
        <w:rPr>
          <w:rFonts w:ascii="Arial" w:hAnsi="Arial" w:cs="Arial"/>
        </w:rPr>
        <w:sectPr w:rsidR="00B01FCD" w:rsidRPr="00FB3A86" w:rsidSect="005C0DE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1697D41">
          <v:shapetype id="_x0000_t32" coordsize="21600,21600" o:spt="32" o:oned="t" path="m,l21600,21600e" filled="f">
            <v:path arrowok="t" fillok="f" o:connecttype="none"/>
            <o:lock v:ext="edit" shapetype="t"/>
          </v:shapetype>
          <v:shape id="_x0000_s1026"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6E08B5BE" w14:textId="53C8704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F3137A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362DBD4" w14:textId="77777777" w:rsidTr="001E44FE">
        <w:tc>
          <w:tcPr>
            <w:tcW w:w="9576" w:type="dxa"/>
            <w:shd w:val="clear" w:color="auto" w:fill="F2F2F2"/>
          </w:tcPr>
          <w:p w14:paraId="5EB79590" w14:textId="6123240E"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A5455A">
              <w:t>We are conducting a local clinical study to evaluate the efficacy of a modified tissue marker for breast tissue localization in patients with breast cancer.</w:t>
            </w:r>
          </w:p>
          <w:p w14:paraId="43F1A2EF" w14:textId="4798739E"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A5455A" w:rsidRPr="00A5455A">
              <w:rPr>
                <w:rFonts w:ascii="Arial" w:eastAsia="Calibri" w:hAnsi="Arial" w:cs="Arial"/>
                <w:szCs w:val="22"/>
              </w:rPr>
              <w:t>Prospective observational study</w:t>
            </w:r>
            <w:r w:rsidRPr="00BA1B01">
              <w:rPr>
                <w:rFonts w:ascii="Arial" w:eastAsia="Calibri" w:hAnsi="Arial" w:cs="Arial"/>
                <w:szCs w:val="22"/>
              </w:rPr>
              <w:t>.</w:t>
            </w:r>
          </w:p>
          <w:p w14:paraId="28047AB3" w14:textId="095F3E6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Department of </w:t>
            </w:r>
            <w:r w:rsidR="0073719D">
              <w:rPr>
                <w:rFonts w:ascii="Arial" w:eastAsia="Calibri" w:hAnsi="Arial" w:cs="Arial"/>
                <w:szCs w:val="22"/>
              </w:rPr>
              <w:t>Radiology, Hospital Queen Elizabeth II</w:t>
            </w:r>
            <w:r w:rsidRPr="00BA1B01">
              <w:rPr>
                <w:rFonts w:ascii="Arial" w:eastAsia="Calibri" w:hAnsi="Arial" w:cs="Arial"/>
                <w:szCs w:val="22"/>
              </w:rPr>
              <w:t>,</w:t>
            </w:r>
            <w:r w:rsidR="0073719D">
              <w:rPr>
                <w:rFonts w:ascii="Arial" w:eastAsia="Calibri" w:hAnsi="Arial" w:cs="Arial"/>
                <w:szCs w:val="22"/>
              </w:rPr>
              <w:t xml:space="preserve"> Sabah Malaysia,</w:t>
            </w:r>
            <w:r w:rsidRPr="00BA1B01">
              <w:rPr>
                <w:rFonts w:ascii="Arial" w:eastAsia="Calibri" w:hAnsi="Arial" w:cs="Arial"/>
                <w:szCs w:val="22"/>
              </w:rPr>
              <w:t xml:space="preserve"> between </w:t>
            </w:r>
            <w:r w:rsidR="0073719D">
              <w:rPr>
                <w:rFonts w:ascii="Arial" w:eastAsia="Calibri" w:hAnsi="Arial" w:cs="Arial"/>
                <w:szCs w:val="22"/>
              </w:rPr>
              <w:t>2022</w:t>
            </w:r>
            <w:r w:rsidRPr="00BA1B01">
              <w:rPr>
                <w:rFonts w:ascii="Arial" w:eastAsia="Calibri" w:hAnsi="Arial" w:cs="Arial"/>
                <w:szCs w:val="22"/>
              </w:rPr>
              <w:t xml:space="preserve"> and </w:t>
            </w:r>
            <w:r w:rsidR="0073719D">
              <w:rPr>
                <w:rFonts w:ascii="Arial" w:eastAsia="Calibri" w:hAnsi="Arial" w:cs="Arial"/>
                <w:szCs w:val="22"/>
              </w:rPr>
              <w:t>2023</w:t>
            </w:r>
            <w:r w:rsidRPr="00BA1B01">
              <w:rPr>
                <w:rFonts w:ascii="Arial" w:eastAsia="Calibri" w:hAnsi="Arial" w:cs="Arial"/>
                <w:szCs w:val="22"/>
              </w:rPr>
              <w:t>.</w:t>
            </w:r>
          </w:p>
          <w:p w14:paraId="4EE3F0A1" w14:textId="7C0B82B8"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73719D" w:rsidRPr="0073719D">
              <w:rPr>
                <w:rFonts w:ascii="Arial" w:eastAsia="Calibri" w:hAnsi="Arial" w:cs="Arial"/>
                <w:szCs w:val="22"/>
              </w:rPr>
              <w:t>A group of 11 breast cancer patients was selected for this clinical study. Some were newly diagnosed, while others were still undergoing neoadjuvant chemotherapy. The indications and risks associated with the modified tissue markers were explained prior to obtaining written consent. These markers were created using surgical clips and spinal needles</w:t>
            </w:r>
            <w:r w:rsidR="00A5455A">
              <w:rPr>
                <w:rFonts w:ascii="Arial" w:eastAsia="Calibri" w:hAnsi="Arial" w:cs="Arial"/>
                <w:szCs w:val="22"/>
              </w:rPr>
              <w:t xml:space="preserve">. </w:t>
            </w:r>
            <w:r w:rsidR="0073719D" w:rsidRPr="0073719D">
              <w:rPr>
                <w:rFonts w:ascii="Arial" w:eastAsia="Calibri" w:hAnsi="Arial" w:cs="Arial"/>
                <w:szCs w:val="22"/>
              </w:rPr>
              <w:t>Post-procedure mammograms were obtained after each intervention for documentation.</w:t>
            </w:r>
          </w:p>
          <w:p w14:paraId="199334E5" w14:textId="41760725"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A5455A">
              <w:rPr>
                <w:rFonts w:ascii="Arial" w:eastAsia="Calibri" w:hAnsi="Arial" w:cs="Arial"/>
                <w:szCs w:val="22"/>
              </w:rPr>
              <w:t>A</w:t>
            </w:r>
            <w:r w:rsidR="00A5455A" w:rsidRPr="00A5455A">
              <w:rPr>
                <w:rFonts w:ascii="Arial" w:eastAsia="Calibri" w:hAnsi="Arial" w:cs="Arial"/>
                <w:szCs w:val="22"/>
              </w:rPr>
              <w:t xml:space="preserve">ll modified tissue markers were well visualized both </w:t>
            </w:r>
            <w:proofErr w:type="spellStart"/>
            <w:r w:rsidR="00A5455A" w:rsidRPr="00A5455A">
              <w:rPr>
                <w:rFonts w:ascii="Arial" w:eastAsia="Calibri" w:hAnsi="Arial" w:cs="Arial"/>
                <w:szCs w:val="22"/>
              </w:rPr>
              <w:t>sonographically</w:t>
            </w:r>
            <w:proofErr w:type="spellEnd"/>
            <w:r w:rsidR="00A5455A" w:rsidRPr="00A5455A">
              <w:rPr>
                <w:rFonts w:ascii="Arial" w:eastAsia="Calibri" w:hAnsi="Arial" w:cs="Arial"/>
                <w:szCs w:val="22"/>
              </w:rPr>
              <w:t xml:space="preserve"> and mammographically, except in one patient who had </w:t>
            </w:r>
            <w:r w:rsidR="00A5455A">
              <w:rPr>
                <w:rFonts w:ascii="Arial" w:eastAsia="Calibri" w:hAnsi="Arial" w:cs="Arial"/>
                <w:szCs w:val="22"/>
              </w:rPr>
              <w:t xml:space="preserve">almost complete resolution after </w:t>
            </w:r>
            <w:r w:rsidR="00A5455A" w:rsidRPr="00A5455A">
              <w:rPr>
                <w:rFonts w:ascii="Arial" w:eastAsia="Calibri" w:hAnsi="Arial" w:cs="Arial"/>
                <w:szCs w:val="22"/>
              </w:rPr>
              <w:t>completed neoadjuvant chemotherapy</w:t>
            </w:r>
            <w:r w:rsidRPr="00BA1B01">
              <w:rPr>
                <w:rFonts w:ascii="Arial" w:eastAsia="Calibri" w:hAnsi="Arial" w:cs="Arial"/>
                <w:szCs w:val="22"/>
              </w:rPr>
              <w:t>.</w:t>
            </w:r>
          </w:p>
          <w:p w14:paraId="06151F6A" w14:textId="7E982708"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A40B4A">
              <w:t>This modified tissue marker presents a promising alternative for breast tissue marking, especially in resource-limited settings.</w:t>
            </w:r>
          </w:p>
        </w:tc>
      </w:tr>
    </w:tbl>
    <w:p w14:paraId="3298484E" w14:textId="77777777" w:rsidR="00636EB2" w:rsidRDefault="00636EB2" w:rsidP="00441B6F">
      <w:pPr>
        <w:pStyle w:val="Body"/>
        <w:spacing w:after="0"/>
        <w:rPr>
          <w:rFonts w:ascii="Arial" w:hAnsi="Arial" w:cs="Arial"/>
          <w:i/>
        </w:rPr>
      </w:pPr>
    </w:p>
    <w:p w14:paraId="3E9BD30C" w14:textId="7E7BD096" w:rsidR="0024282C" w:rsidRPr="00286A8B" w:rsidRDefault="00A24E7E" w:rsidP="00441B6F">
      <w:pPr>
        <w:pStyle w:val="Body"/>
        <w:spacing w:after="0"/>
        <w:rPr>
          <w:rFonts w:ascii="Arial" w:hAnsi="Arial" w:cs="Arial"/>
          <w:i/>
        </w:rPr>
      </w:pPr>
      <w:r>
        <w:rPr>
          <w:rFonts w:ascii="Arial" w:hAnsi="Arial" w:cs="Arial"/>
          <w:i/>
        </w:rPr>
        <w:t xml:space="preserve">Keywords: </w:t>
      </w:r>
      <w:r w:rsidR="00286A8B">
        <w:rPr>
          <w:rFonts w:ascii="Arial" w:hAnsi="Arial" w:cs="Arial"/>
          <w:i/>
        </w:rPr>
        <w:t>Breast cancer, neoadjuvant chemotherapy, tissue marker, surgical clips, developing countries.</w:t>
      </w:r>
    </w:p>
    <w:p w14:paraId="7AFC476D" w14:textId="77777777" w:rsidR="00505F06" w:rsidRPr="00A24E7E" w:rsidRDefault="00505F06" w:rsidP="00441B6F">
      <w:pPr>
        <w:pStyle w:val="Body"/>
        <w:spacing w:after="0"/>
        <w:rPr>
          <w:rFonts w:ascii="Arial" w:hAnsi="Arial" w:cs="Arial"/>
          <w:i/>
        </w:rPr>
      </w:pPr>
    </w:p>
    <w:p w14:paraId="17CAF76A" w14:textId="6EFA43AC" w:rsidR="00790ADA" w:rsidRDefault="00B01FCD" w:rsidP="00441B6F">
      <w:pPr>
        <w:pStyle w:val="AbstHead"/>
        <w:spacing w:after="0"/>
        <w:jc w:val="both"/>
        <w:rPr>
          <w:rFonts w:ascii="Arial" w:hAnsi="Arial" w:cs="Arial"/>
        </w:rPr>
      </w:pPr>
      <w:r w:rsidRPr="00FB3A86">
        <w:rPr>
          <w:rFonts w:ascii="Arial" w:hAnsi="Arial" w:cs="Arial"/>
        </w:rPr>
        <w:t>INTRODUCTION</w:t>
      </w:r>
    </w:p>
    <w:p w14:paraId="4D0CEEBF" w14:textId="77777777" w:rsidR="00513001" w:rsidRPr="00FB3A86" w:rsidRDefault="00513001" w:rsidP="00441B6F">
      <w:pPr>
        <w:pStyle w:val="AbstHead"/>
        <w:spacing w:after="0"/>
        <w:jc w:val="both"/>
        <w:rPr>
          <w:rFonts w:ascii="Arial" w:hAnsi="Arial" w:cs="Arial"/>
        </w:rPr>
      </w:pPr>
    </w:p>
    <w:p w14:paraId="554D570D" w14:textId="05E0D280" w:rsidR="00286A8B" w:rsidRPr="00286A8B" w:rsidRDefault="00286A8B" w:rsidP="00D81BDB">
      <w:pPr>
        <w:pStyle w:val="Body"/>
        <w:rPr>
          <w:rFonts w:ascii="Arial" w:hAnsi="Arial" w:cs="Arial"/>
        </w:rPr>
      </w:pPr>
      <w:r w:rsidRPr="00286A8B">
        <w:rPr>
          <w:rFonts w:ascii="Arial" w:hAnsi="Arial" w:cs="Arial"/>
        </w:rPr>
        <w:t>Various types of commercial breast markers have been developed since the U.S. Food and Drug Administration first approved biopsy markers for use in soft tissues in 1995. These markers are made from different materials, including metals such as titanium; some are coated, while others are degradable. Numerous studies have been conducted, and these markers have generally been proven to be safe. [1, 3, 4]</w:t>
      </w:r>
    </w:p>
    <w:p w14:paraId="6C1B5F8F" w14:textId="25548BC0" w:rsidR="00286A8B" w:rsidRPr="00286A8B" w:rsidRDefault="00286A8B" w:rsidP="00D81BDB">
      <w:pPr>
        <w:pStyle w:val="Body"/>
        <w:rPr>
          <w:rFonts w:ascii="Arial" w:hAnsi="Arial" w:cs="Arial"/>
        </w:rPr>
      </w:pPr>
      <w:r w:rsidRPr="00286A8B">
        <w:rPr>
          <w:rFonts w:ascii="Arial" w:hAnsi="Arial" w:cs="Arial"/>
        </w:rPr>
        <w:t>One of the main reasons breast markers were first introduced was due to the evolution of percutaneous tissue sampling techniques, transitioning from fine needle aspiration to core needle biopsy. These markers are placed at biopsy sites to help radiologists more easily relocate them during subsequent imaging, as some suspicious lesions may be small enough to be completely removed or may collapse during image-guided biopsy.</w:t>
      </w:r>
    </w:p>
    <w:p w14:paraId="0AC87413" w14:textId="36513381" w:rsidR="00286A8B" w:rsidRPr="00286A8B" w:rsidRDefault="00286A8B" w:rsidP="00D81BDB">
      <w:pPr>
        <w:pStyle w:val="Body"/>
        <w:rPr>
          <w:rFonts w:ascii="Arial" w:hAnsi="Arial" w:cs="Arial"/>
        </w:rPr>
      </w:pPr>
      <w:r w:rsidRPr="00286A8B">
        <w:rPr>
          <w:rFonts w:ascii="Arial" w:hAnsi="Arial" w:cs="Arial"/>
        </w:rPr>
        <w:t>In addition, breast markers are used to guide further interventions—particularly preoperative localization—when pathology results indicate malignancy, atypia, or remain inconclusive despite benign biopsy findings. Furthermore, they help prevent unnecessary re-biopsy of benign lesions, support lesion identification, enable multimodality correlation, and facilitate long-term follow-up.</w:t>
      </w:r>
    </w:p>
    <w:p w14:paraId="3E769796" w14:textId="0578EEC9" w:rsidR="00286A8B" w:rsidRPr="00286A8B" w:rsidRDefault="00286A8B" w:rsidP="00D81BDB">
      <w:pPr>
        <w:pStyle w:val="Body"/>
        <w:rPr>
          <w:rFonts w:ascii="Arial" w:hAnsi="Arial" w:cs="Arial"/>
        </w:rPr>
      </w:pPr>
      <w:r w:rsidRPr="00286A8B">
        <w:rPr>
          <w:rFonts w:ascii="Arial" w:hAnsi="Arial" w:cs="Arial"/>
        </w:rPr>
        <w:t xml:space="preserve">Breast cancer treatment is rapidly evolving, with neoadjuvant chemotherapy increasingly becoming part of the accepted standard of care for patients with both operable and inoperable </w:t>
      </w:r>
      <w:proofErr w:type="spellStart"/>
      <w:r w:rsidRPr="00286A8B">
        <w:rPr>
          <w:rFonts w:ascii="Arial" w:hAnsi="Arial" w:cs="Arial"/>
        </w:rPr>
        <w:t>tumours</w:t>
      </w:r>
      <w:proofErr w:type="spellEnd"/>
      <w:r w:rsidRPr="00286A8B">
        <w:rPr>
          <w:rFonts w:ascii="Arial" w:hAnsi="Arial" w:cs="Arial"/>
        </w:rPr>
        <w:t xml:space="preserve">. These newer chemotherapeutic agents have demonstrated high clinical response rates, with some patients achieving complete clinical, radiological, and pathological </w:t>
      </w:r>
      <w:r w:rsidRPr="00286A8B">
        <w:rPr>
          <w:rFonts w:ascii="Arial" w:hAnsi="Arial" w:cs="Arial"/>
        </w:rPr>
        <w:lastRenderedPageBreak/>
        <w:t xml:space="preserve">responses. [6] Therefore, </w:t>
      </w:r>
      <w:proofErr w:type="spellStart"/>
      <w:r w:rsidRPr="00286A8B">
        <w:rPr>
          <w:rFonts w:ascii="Arial" w:hAnsi="Arial" w:cs="Arial"/>
        </w:rPr>
        <w:t>tumour</w:t>
      </w:r>
      <w:proofErr w:type="spellEnd"/>
      <w:r w:rsidRPr="00286A8B">
        <w:rPr>
          <w:rFonts w:ascii="Arial" w:hAnsi="Arial" w:cs="Arial"/>
        </w:rPr>
        <w:t xml:space="preserve"> marking with a tissue marker prior to neoadjuvant chemotherapy (NAC) is crucial, as it enables successful preoperative localization and facilitates easier monitoring of treatment response. </w:t>
      </w:r>
      <w:r w:rsidRPr="00286A8B">
        <w:rPr>
          <w:rFonts w:ascii="Arial" w:hAnsi="Arial" w:cs="Arial"/>
        </w:rPr>
        <w:tab/>
      </w:r>
    </w:p>
    <w:p w14:paraId="76A7F7A4" w14:textId="6B1F014C" w:rsidR="00286A8B" w:rsidRDefault="00286A8B" w:rsidP="00D81BDB">
      <w:pPr>
        <w:pStyle w:val="Body"/>
        <w:spacing w:after="0"/>
        <w:rPr>
          <w:rFonts w:ascii="Arial" w:hAnsi="Arial" w:cs="Arial"/>
        </w:rPr>
      </w:pPr>
      <w:r w:rsidRPr="00286A8B">
        <w:rPr>
          <w:rFonts w:ascii="Arial" w:hAnsi="Arial" w:cs="Arial"/>
        </w:rPr>
        <w:t>However, tissue markers are not widely accepted in our local setting due to their high cost. Therefore, we are modifying surgical clips as an alternative method for breast tissue localization. We studied the use of surgical clips for tumor localization in breast cancer patients scheduled for surgery following neoadjuvant chemotherapy (NAC). The purpose of our study is to investigate the feasibility, visibility and safety of using surgical clips as breast markers for tumor localization.</w:t>
      </w:r>
    </w:p>
    <w:p w14:paraId="5185173E" w14:textId="77777777" w:rsidR="00D81BDB" w:rsidRPr="00FB3A86" w:rsidRDefault="00D81BDB" w:rsidP="00D81BDB">
      <w:pPr>
        <w:pStyle w:val="Body"/>
        <w:spacing w:after="0"/>
        <w:rPr>
          <w:rFonts w:ascii="Arial" w:hAnsi="Arial" w:cs="Arial"/>
        </w:rPr>
      </w:pPr>
    </w:p>
    <w:p w14:paraId="562B7397" w14:textId="4542B1D7" w:rsidR="00790ADA" w:rsidRDefault="005F1CEE" w:rsidP="00D81BDB">
      <w:pPr>
        <w:pStyle w:val="AbstHead"/>
        <w:spacing w:after="0"/>
        <w:jc w:val="both"/>
        <w:rPr>
          <w:rFonts w:ascii="Arial" w:hAnsi="Arial" w:cs="Arial"/>
        </w:rPr>
      </w:pPr>
      <w:r>
        <w:rPr>
          <w:rFonts w:ascii="Arial" w:hAnsi="Arial" w:cs="Arial"/>
        </w:rPr>
        <w:t xml:space="preserve">case presentation </w:t>
      </w:r>
    </w:p>
    <w:p w14:paraId="06AFE5E8" w14:textId="77777777" w:rsidR="00513001" w:rsidRPr="00FB3A86" w:rsidRDefault="00513001" w:rsidP="00D81BDB">
      <w:pPr>
        <w:pStyle w:val="AbstHead"/>
        <w:spacing w:after="0"/>
        <w:jc w:val="both"/>
        <w:rPr>
          <w:rFonts w:ascii="Arial" w:hAnsi="Arial" w:cs="Arial"/>
        </w:rPr>
      </w:pPr>
    </w:p>
    <w:p w14:paraId="23EC8B61" w14:textId="77777777" w:rsidR="00286A8B" w:rsidRDefault="00286A8B" w:rsidP="00D81BDB">
      <w:pPr>
        <w:pStyle w:val="NoSpacing"/>
        <w:jc w:val="both"/>
        <w:rPr>
          <w:rFonts w:ascii="Arial" w:hAnsi="Arial" w:cs="Arial"/>
          <w:sz w:val="20"/>
          <w:szCs w:val="20"/>
        </w:rPr>
      </w:pPr>
      <w:r w:rsidRPr="00D81BDB">
        <w:rPr>
          <w:rFonts w:ascii="Arial" w:hAnsi="Arial" w:cs="Arial"/>
          <w:sz w:val="20"/>
          <w:szCs w:val="20"/>
        </w:rPr>
        <w:t>A group of 11 breast cancer patients was selected for this clinical study. Some were newly diagnosed, while others were still undergoing neoadjuvant chemotherapy. The indications and risks associated with the modified tissue markers were explained prior to obtaining written consent. These markers were created using surgical clips and spinal needles (</w:t>
      </w:r>
      <w:r w:rsidRPr="00D81BDB">
        <w:rPr>
          <w:rFonts w:ascii="Arial" w:hAnsi="Arial" w:cs="Arial"/>
          <w:i/>
          <w:iCs/>
          <w:sz w:val="20"/>
          <w:szCs w:val="20"/>
        </w:rPr>
        <w:t>further described in Figure 6</w:t>
      </w:r>
      <w:r w:rsidRPr="00D81BDB">
        <w:rPr>
          <w:rFonts w:ascii="Arial" w:hAnsi="Arial" w:cs="Arial"/>
          <w:sz w:val="20"/>
          <w:szCs w:val="20"/>
        </w:rPr>
        <w:t>). Post-procedure mammograms were obtained after each intervention for documentation.</w:t>
      </w:r>
    </w:p>
    <w:p w14:paraId="12CF2E37" w14:textId="77777777" w:rsidR="005F1CEE" w:rsidRPr="00D81BDB" w:rsidRDefault="005F1CEE" w:rsidP="00D81BDB">
      <w:pPr>
        <w:pStyle w:val="NoSpacing"/>
        <w:jc w:val="both"/>
        <w:rPr>
          <w:rFonts w:ascii="Arial" w:hAnsi="Arial" w:cs="Arial"/>
          <w:sz w:val="20"/>
          <w:szCs w:val="20"/>
        </w:rPr>
      </w:pPr>
    </w:p>
    <w:p w14:paraId="12935A10" w14:textId="0E55DF58" w:rsidR="00790ADA" w:rsidRDefault="00000F8F" w:rsidP="00441B6F">
      <w:pPr>
        <w:pStyle w:val="Head1"/>
        <w:spacing w:after="0"/>
        <w:jc w:val="both"/>
        <w:rPr>
          <w:rFonts w:ascii="Arial" w:hAnsi="Arial" w:cs="Arial"/>
        </w:rPr>
      </w:pPr>
      <w:r>
        <w:rPr>
          <w:rFonts w:ascii="Arial" w:hAnsi="Arial" w:cs="Arial"/>
        </w:rPr>
        <w:t>discussion</w:t>
      </w:r>
    </w:p>
    <w:p w14:paraId="6A5155BC" w14:textId="77777777" w:rsidR="00513001" w:rsidRPr="00FB3A86" w:rsidRDefault="00513001" w:rsidP="00441B6F">
      <w:pPr>
        <w:pStyle w:val="Head1"/>
        <w:spacing w:after="0"/>
        <w:jc w:val="both"/>
        <w:rPr>
          <w:rFonts w:ascii="Arial" w:hAnsi="Arial" w:cs="Arial"/>
        </w:rPr>
      </w:pPr>
    </w:p>
    <w:p w14:paraId="5F6F71ED" w14:textId="77777777" w:rsidR="00D81BDB" w:rsidRPr="00D81BDB" w:rsidRDefault="00D81BDB" w:rsidP="00D81BDB">
      <w:pPr>
        <w:pStyle w:val="NoSpacing"/>
        <w:jc w:val="both"/>
        <w:rPr>
          <w:rFonts w:ascii="Arial" w:hAnsi="Arial" w:cs="Arial"/>
          <w:i/>
          <w:iCs/>
          <w:sz w:val="20"/>
          <w:szCs w:val="20"/>
        </w:rPr>
      </w:pPr>
      <w:r w:rsidRPr="00D81BDB">
        <w:rPr>
          <w:rFonts w:ascii="Arial" w:hAnsi="Arial" w:cs="Arial"/>
          <w:i/>
          <w:iCs/>
          <w:sz w:val="20"/>
          <w:szCs w:val="20"/>
        </w:rPr>
        <w:t>Case 1- 6</w:t>
      </w:r>
    </w:p>
    <w:p w14:paraId="51726F35" w14:textId="77777777" w:rsidR="00D81BDB" w:rsidRPr="00D81BDB" w:rsidRDefault="00D81BDB" w:rsidP="00D81BDB">
      <w:pPr>
        <w:pStyle w:val="NoSpacing"/>
        <w:jc w:val="both"/>
        <w:rPr>
          <w:rFonts w:ascii="Arial" w:hAnsi="Arial" w:cs="Arial"/>
          <w:sz w:val="20"/>
          <w:szCs w:val="20"/>
        </w:rPr>
      </w:pPr>
      <w:r w:rsidRPr="00D81BDB">
        <w:rPr>
          <w:rFonts w:ascii="Arial" w:hAnsi="Arial" w:cs="Arial"/>
          <w:sz w:val="20"/>
          <w:szCs w:val="20"/>
        </w:rPr>
        <w:t>All patients were newly diagnosed with breast carcinoma and scheduled to receive neoadjuvant chemotherapy. A single modified tissue marker was inserted into the index mass in cases 1 and 2. Two tissue markers were placed in case 3, while three markers were used in cases 4 through 6.</w:t>
      </w:r>
    </w:p>
    <w:p w14:paraId="485B4714" w14:textId="4235CD35" w:rsidR="00D81BDB" w:rsidRPr="00D81BDB" w:rsidRDefault="00D81BDB" w:rsidP="00D81BDB">
      <w:pPr>
        <w:pStyle w:val="NoSpacing"/>
        <w:jc w:val="both"/>
        <w:rPr>
          <w:rFonts w:ascii="Arial" w:hAnsi="Arial" w:cs="Arial"/>
          <w:sz w:val="20"/>
          <w:szCs w:val="20"/>
        </w:rPr>
      </w:pPr>
      <w:r w:rsidRPr="00D81BDB">
        <w:rPr>
          <w:rFonts w:ascii="Arial" w:hAnsi="Arial" w:cs="Arial"/>
          <w:noProof/>
          <w:sz w:val="20"/>
          <w:szCs w:val="20"/>
        </w:rPr>
        <w:drawing>
          <wp:inline distT="0" distB="0" distL="0" distR="0" wp14:anchorId="75335AE0" wp14:editId="291A2EB9">
            <wp:extent cx="5212080" cy="2968864"/>
            <wp:effectExtent l="0" t="0" r="0" b="0"/>
            <wp:docPr id="1584455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55370" name="Picture 1584455370"/>
                    <pic:cNvPicPr/>
                  </pic:nvPicPr>
                  <pic:blipFill rotWithShape="1">
                    <a:blip r:embed="rId14"/>
                    <a:srcRect b="13639"/>
                    <a:stretch/>
                  </pic:blipFill>
                  <pic:spPr bwMode="auto">
                    <a:xfrm>
                      <a:off x="0" y="0"/>
                      <a:ext cx="5212080" cy="2968864"/>
                    </a:xfrm>
                    <a:prstGeom prst="rect">
                      <a:avLst/>
                    </a:prstGeom>
                    <a:ln>
                      <a:noFill/>
                    </a:ln>
                    <a:extLst>
                      <a:ext uri="{53640926-AAD7-44D8-BBD7-CCE9431645EC}">
                        <a14:shadowObscured xmlns:a14="http://schemas.microsoft.com/office/drawing/2010/main"/>
                      </a:ext>
                    </a:extLst>
                  </pic:spPr>
                </pic:pic>
              </a:graphicData>
            </a:graphic>
          </wp:inline>
        </w:drawing>
      </w:r>
    </w:p>
    <w:p w14:paraId="41CC4BB8" w14:textId="77777777" w:rsidR="00D81BDB" w:rsidRPr="00D81BDB" w:rsidRDefault="00D81BDB" w:rsidP="00D81BDB">
      <w:pPr>
        <w:pStyle w:val="NoSpacing"/>
        <w:jc w:val="both"/>
        <w:rPr>
          <w:rFonts w:ascii="Arial" w:hAnsi="Arial" w:cs="Arial"/>
          <w:sz w:val="20"/>
          <w:szCs w:val="20"/>
        </w:rPr>
      </w:pPr>
    </w:p>
    <w:p w14:paraId="55819820" w14:textId="77777777" w:rsidR="00D81BDB" w:rsidRPr="00D81BDB" w:rsidRDefault="00D81BDB" w:rsidP="00D81BDB">
      <w:pPr>
        <w:pStyle w:val="NoSpacing"/>
        <w:jc w:val="both"/>
        <w:rPr>
          <w:rFonts w:ascii="Arial" w:hAnsi="Arial" w:cs="Arial"/>
          <w:i/>
          <w:iCs/>
          <w:sz w:val="20"/>
          <w:szCs w:val="20"/>
        </w:rPr>
      </w:pPr>
      <w:r w:rsidRPr="00D81BDB">
        <w:rPr>
          <w:rFonts w:ascii="Arial" w:hAnsi="Arial" w:cs="Arial"/>
          <w:i/>
          <w:iCs/>
          <w:sz w:val="20"/>
          <w:szCs w:val="20"/>
        </w:rPr>
        <w:t>Case 7 – 10</w:t>
      </w:r>
    </w:p>
    <w:p w14:paraId="28458919" w14:textId="66C4CDE2" w:rsidR="00D81BDB" w:rsidRDefault="00D81BDB" w:rsidP="00D81BDB">
      <w:pPr>
        <w:pStyle w:val="NoSpacing"/>
        <w:jc w:val="both"/>
        <w:rPr>
          <w:rFonts w:ascii="Arial" w:hAnsi="Arial" w:cs="Arial"/>
          <w:sz w:val="20"/>
          <w:szCs w:val="20"/>
        </w:rPr>
      </w:pPr>
      <w:r w:rsidRPr="00D81BDB">
        <w:rPr>
          <w:rFonts w:ascii="Arial" w:hAnsi="Arial" w:cs="Arial"/>
          <w:sz w:val="20"/>
          <w:szCs w:val="20"/>
        </w:rPr>
        <w:t>These patients shared similar clinical scenarios, with neoadjuvant chemotherapy initiated and ongoing at the time surgeons requested tissue marker insertion. The primary indication for marker placement was a significant clinical response of the tumor following the commencement of neoadjuvant chemotherapy.</w:t>
      </w:r>
    </w:p>
    <w:p w14:paraId="569A42CA" w14:textId="77777777" w:rsidR="00D81BDB" w:rsidRPr="00D81BDB" w:rsidRDefault="00D81BDB" w:rsidP="00D81BDB">
      <w:pPr>
        <w:pStyle w:val="NoSpacing"/>
        <w:jc w:val="both"/>
        <w:rPr>
          <w:rFonts w:ascii="Arial" w:hAnsi="Arial" w:cs="Arial"/>
          <w:sz w:val="20"/>
          <w:szCs w:val="20"/>
        </w:rPr>
      </w:pPr>
    </w:p>
    <w:p w14:paraId="0EA94E44" w14:textId="31B002FB" w:rsidR="00D81BDB" w:rsidRPr="00D81BDB" w:rsidRDefault="00D81BDB" w:rsidP="00D81BDB">
      <w:pPr>
        <w:pStyle w:val="NoSpacing"/>
        <w:jc w:val="both"/>
        <w:rPr>
          <w:rFonts w:ascii="Arial" w:hAnsi="Arial" w:cs="Arial"/>
          <w:noProof/>
          <w:sz w:val="20"/>
          <w:szCs w:val="20"/>
        </w:rPr>
      </w:pPr>
      <w:r w:rsidRPr="00D81BDB">
        <w:rPr>
          <w:rFonts w:ascii="Arial" w:hAnsi="Arial" w:cs="Arial"/>
          <w:noProof/>
          <w:sz w:val="20"/>
          <w:szCs w:val="20"/>
        </w:rPr>
        <w:lastRenderedPageBreak/>
        <w:drawing>
          <wp:inline distT="0" distB="0" distL="0" distR="0" wp14:anchorId="486F1E5E" wp14:editId="4F0A8C35">
            <wp:extent cx="5212080" cy="3151866"/>
            <wp:effectExtent l="0" t="0" r="0" b="0"/>
            <wp:docPr id="2037124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24290" name="Picture 2037124290"/>
                    <pic:cNvPicPr/>
                  </pic:nvPicPr>
                  <pic:blipFill rotWithShape="1">
                    <a:blip r:embed="rId15"/>
                    <a:srcRect b="9208"/>
                    <a:stretch/>
                  </pic:blipFill>
                  <pic:spPr bwMode="auto">
                    <a:xfrm>
                      <a:off x="0" y="0"/>
                      <a:ext cx="5212080" cy="3151866"/>
                    </a:xfrm>
                    <a:prstGeom prst="rect">
                      <a:avLst/>
                    </a:prstGeom>
                    <a:ln>
                      <a:noFill/>
                    </a:ln>
                    <a:extLst>
                      <a:ext uri="{53640926-AAD7-44D8-BBD7-CCE9431645EC}">
                        <a14:shadowObscured xmlns:a14="http://schemas.microsoft.com/office/drawing/2010/main"/>
                      </a:ext>
                    </a:extLst>
                  </pic:spPr>
                </pic:pic>
              </a:graphicData>
            </a:graphic>
          </wp:inline>
        </w:drawing>
      </w:r>
    </w:p>
    <w:p w14:paraId="102C3370" w14:textId="77777777" w:rsidR="00D81BDB" w:rsidRPr="00D81BDB" w:rsidRDefault="00D81BDB" w:rsidP="00D81BDB">
      <w:pPr>
        <w:pStyle w:val="NoSpacing"/>
        <w:jc w:val="both"/>
        <w:rPr>
          <w:rFonts w:ascii="Arial" w:hAnsi="Arial" w:cs="Arial"/>
          <w:noProof/>
          <w:sz w:val="20"/>
          <w:szCs w:val="20"/>
        </w:rPr>
      </w:pPr>
    </w:p>
    <w:p w14:paraId="73184C64" w14:textId="77777777" w:rsidR="00D81BDB" w:rsidRPr="00D81BDB" w:rsidRDefault="00D81BDB" w:rsidP="00D81BDB">
      <w:pPr>
        <w:pStyle w:val="NoSpacing"/>
        <w:jc w:val="both"/>
        <w:rPr>
          <w:rFonts w:ascii="Arial" w:hAnsi="Arial" w:cs="Arial"/>
          <w:i/>
          <w:iCs/>
          <w:sz w:val="20"/>
          <w:szCs w:val="20"/>
        </w:rPr>
      </w:pPr>
      <w:r w:rsidRPr="00D81BDB">
        <w:rPr>
          <w:rFonts w:ascii="Arial" w:hAnsi="Arial" w:cs="Arial"/>
          <w:i/>
          <w:iCs/>
          <w:sz w:val="20"/>
          <w:szCs w:val="20"/>
        </w:rPr>
        <w:t>Case 11</w:t>
      </w:r>
    </w:p>
    <w:p w14:paraId="0637996F" w14:textId="77777777" w:rsidR="00D81BDB" w:rsidRPr="00D81BDB" w:rsidRDefault="00D81BDB" w:rsidP="00D81BDB">
      <w:pPr>
        <w:pStyle w:val="NoSpacing"/>
        <w:jc w:val="both"/>
        <w:rPr>
          <w:rFonts w:ascii="Arial" w:hAnsi="Arial" w:cs="Arial"/>
          <w:sz w:val="20"/>
          <w:szCs w:val="20"/>
        </w:rPr>
      </w:pPr>
      <w:r w:rsidRPr="00D81BDB">
        <w:rPr>
          <w:rFonts w:ascii="Arial" w:hAnsi="Arial" w:cs="Arial"/>
          <w:sz w:val="20"/>
          <w:szCs w:val="20"/>
        </w:rPr>
        <w:t>This case presented a challenge as the patient initially consented to mastectomy but declined surgery after completing neoadjuvant chemotherapy, reporting that the malignant mass was no longer palpable. Repeat ultrasound imaging (</w:t>
      </w:r>
      <w:r w:rsidRPr="00D81BDB">
        <w:rPr>
          <w:rFonts w:ascii="Arial" w:hAnsi="Arial" w:cs="Arial"/>
          <w:i/>
          <w:iCs/>
          <w:sz w:val="20"/>
          <w:szCs w:val="20"/>
        </w:rPr>
        <w:t>Figure 4</w:t>
      </w:r>
      <w:r w:rsidRPr="00D81BDB">
        <w:rPr>
          <w:rFonts w:ascii="Arial" w:hAnsi="Arial" w:cs="Arial"/>
          <w:sz w:val="20"/>
          <w:szCs w:val="20"/>
        </w:rPr>
        <w:t xml:space="preserve">) demonstrated a significant reduction in the index lesion located at the 9–10 o’clock position, with two small, similar-appearing satellite masses identified in the same quadrant, raising concern for residual disease. Consequently, two modified tissue markers were placed in the satellite lesions, followed by </w:t>
      </w:r>
      <w:proofErr w:type="spellStart"/>
      <w:r w:rsidRPr="00D81BDB">
        <w:rPr>
          <w:rFonts w:ascii="Arial" w:hAnsi="Arial" w:cs="Arial"/>
          <w:sz w:val="20"/>
          <w:szCs w:val="20"/>
        </w:rPr>
        <w:t>hookwire</w:t>
      </w:r>
      <w:proofErr w:type="spellEnd"/>
      <w:r w:rsidRPr="00D81BDB">
        <w:rPr>
          <w:rFonts w:ascii="Arial" w:hAnsi="Arial" w:cs="Arial"/>
          <w:sz w:val="20"/>
          <w:szCs w:val="20"/>
        </w:rPr>
        <w:t xml:space="preserve"> localization of the index mass prior to wide local excision (</w:t>
      </w:r>
      <w:r w:rsidRPr="00D81BDB">
        <w:rPr>
          <w:rFonts w:ascii="Arial" w:hAnsi="Arial" w:cs="Arial"/>
          <w:i/>
          <w:iCs/>
          <w:sz w:val="20"/>
          <w:szCs w:val="20"/>
        </w:rPr>
        <w:t>Figure 5</w:t>
      </w:r>
      <w:r w:rsidRPr="00D81BDB">
        <w:rPr>
          <w:rFonts w:ascii="Arial" w:hAnsi="Arial" w:cs="Arial"/>
          <w:sz w:val="20"/>
          <w:szCs w:val="20"/>
        </w:rPr>
        <w:t>). The placement of these markers was intended to ensure complete excision of both the satellite lesions along with the index tumor.</w:t>
      </w:r>
    </w:p>
    <w:p w14:paraId="1E05E99A" w14:textId="77777777" w:rsidR="00D81BDB" w:rsidRPr="00D81BDB" w:rsidRDefault="00D81BDB" w:rsidP="00D81BDB">
      <w:pPr>
        <w:pStyle w:val="NoSpacing"/>
        <w:jc w:val="both"/>
        <w:rPr>
          <w:rFonts w:ascii="Arial" w:hAnsi="Arial" w:cs="Arial"/>
          <w:sz w:val="20"/>
          <w:szCs w:val="20"/>
        </w:rPr>
      </w:pPr>
    </w:p>
    <w:p w14:paraId="63DF8E36" w14:textId="77777777" w:rsidR="00D81BDB" w:rsidRPr="00D81BDB" w:rsidRDefault="00D81BDB" w:rsidP="00D81BDB">
      <w:pPr>
        <w:pStyle w:val="NoSpacing"/>
        <w:jc w:val="both"/>
        <w:rPr>
          <w:rFonts w:ascii="Arial" w:hAnsi="Arial" w:cs="Arial"/>
          <w:sz w:val="20"/>
          <w:szCs w:val="20"/>
        </w:rPr>
      </w:pPr>
      <w:r w:rsidRPr="00D81BDB">
        <w:rPr>
          <w:rFonts w:ascii="Arial" w:hAnsi="Arial" w:cs="Arial"/>
          <w:noProof/>
          <w:sz w:val="20"/>
          <w:szCs w:val="20"/>
        </w:rPr>
        <w:drawing>
          <wp:inline distT="0" distB="0" distL="0" distR="0" wp14:anchorId="2A217968" wp14:editId="613B5209">
            <wp:extent cx="5943600" cy="3577590"/>
            <wp:effectExtent l="0" t="0" r="0" b="3810"/>
            <wp:docPr id="801154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5461" name="Picture 80115461"/>
                    <pic:cNvPicPr/>
                  </pic:nvPicPr>
                  <pic:blipFill rotWithShape="1">
                    <a:blip r:embed="rId16"/>
                    <a:srcRect b="19733"/>
                    <a:stretch/>
                  </pic:blipFill>
                  <pic:spPr bwMode="auto">
                    <a:xfrm>
                      <a:off x="0" y="0"/>
                      <a:ext cx="5943600" cy="3577590"/>
                    </a:xfrm>
                    <a:prstGeom prst="rect">
                      <a:avLst/>
                    </a:prstGeom>
                    <a:ln>
                      <a:noFill/>
                    </a:ln>
                    <a:extLst>
                      <a:ext uri="{53640926-AAD7-44D8-BBD7-CCE9431645EC}">
                        <a14:shadowObscured xmlns:a14="http://schemas.microsoft.com/office/drawing/2010/main"/>
                      </a:ext>
                    </a:extLst>
                  </pic:spPr>
                </pic:pic>
              </a:graphicData>
            </a:graphic>
          </wp:inline>
        </w:drawing>
      </w:r>
    </w:p>
    <w:p w14:paraId="7CE628E8" w14:textId="67527663" w:rsidR="00D81BDB" w:rsidRPr="00D81BDB" w:rsidRDefault="00D81BDB" w:rsidP="00D81BDB">
      <w:pPr>
        <w:pStyle w:val="NoSpacing"/>
        <w:jc w:val="both"/>
        <w:rPr>
          <w:rFonts w:ascii="Arial" w:hAnsi="Arial" w:cs="Arial"/>
          <w:sz w:val="20"/>
          <w:szCs w:val="20"/>
        </w:rPr>
      </w:pPr>
      <w:r w:rsidRPr="00D81BDB">
        <w:rPr>
          <w:rFonts w:ascii="Arial" w:hAnsi="Arial" w:cs="Arial"/>
          <w:noProof/>
          <w:sz w:val="20"/>
          <w:szCs w:val="20"/>
        </w:rPr>
        <w:lastRenderedPageBreak/>
        <w:drawing>
          <wp:inline distT="0" distB="0" distL="0" distR="0" wp14:anchorId="3BC71982" wp14:editId="602A5BD4">
            <wp:extent cx="5943600" cy="4457700"/>
            <wp:effectExtent l="0" t="0" r="0" b="0"/>
            <wp:docPr id="1792073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73974" name="Picture 1792073974"/>
                    <pic:cNvPicPr/>
                  </pic:nvPicPr>
                  <pic:blipFill>
                    <a:blip r:embed="rId17"/>
                    <a:stretch>
                      <a:fillRect/>
                    </a:stretch>
                  </pic:blipFill>
                  <pic:spPr>
                    <a:xfrm>
                      <a:off x="0" y="0"/>
                      <a:ext cx="5943600" cy="4457700"/>
                    </a:xfrm>
                    <a:prstGeom prst="rect">
                      <a:avLst/>
                    </a:prstGeom>
                  </pic:spPr>
                </pic:pic>
              </a:graphicData>
            </a:graphic>
          </wp:inline>
        </w:drawing>
      </w:r>
    </w:p>
    <w:p w14:paraId="6111A20F" w14:textId="77777777" w:rsidR="000610CB" w:rsidRDefault="00D81BDB" w:rsidP="000610CB">
      <w:pPr>
        <w:pStyle w:val="NoSpacing"/>
        <w:jc w:val="both"/>
        <w:rPr>
          <w:rFonts w:ascii="Arial" w:hAnsi="Arial" w:cs="Arial"/>
          <w:sz w:val="20"/>
          <w:szCs w:val="20"/>
        </w:rPr>
      </w:pPr>
      <w:r w:rsidRPr="00D81BDB">
        <w:rPr>
          <w:rFonts w:ascii="Arial" w:hAnsi="Arial" w:cs="Arial"/>
          <w:noProof/>
          <w:sz w:val="20"/>
          <w:szCs w:val="20"/>
        </w:rPr>
        <w:lastRenderedPageBreak/>
        <w:drawing>
          <wp:inline distT="0" distB="0" distL="0" distR="0" wp14:anchorId="5411B86B" wp14:editId="46DCC9FF">
            <wp:extent cx="5943600" cy="4457700"/>
            <wp:effectExtent l="0" t="0" r="0" b="0"/>
            <wp:docPr id="676675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675312" name="Picture 676675312"/>
                    <pic:cNvPicPr/>
                  </pic:nvPicPr>
                  <pic:blipFill>
                    <a:blip r:embed="rId18"/>
                    <a:stretch>
                      <a:fillRect/>
                    </a:stretch>
                  </pic:blipFill>
                  <pic:spPr>
                    <a:xfrm>
                      <a:off x="0" y="0"/>
                      <a:ext cx="5943600" cy="4457700"/>
                    </a:xfrm>
                    <a:prstGeom prst="rect">
                      <a:avLst/>
                    </a:prstGeom>
                  </pic:spPr>
                </pic:pic>
              </a:graphicData>
            </a:graphic>
          </wp:inline>
        </w:drawing>
      </w:r>
    </w:p>
    <w:p w14:paraId="531F04B8" w14:textId="145D79AD" w:rsidR="00D81BDB" w:rsidRPr="00D81BDB" w:rsidRDefault="00D81BDB" w:rsidP="000610CB">
      <w:pPr>
        <w:pStyle w:val="NoSpacing"/>
        <w:jc w:val="both"/>
        <w:rPr>
          <w:rFonts w:ascii="Arial" w:hAnsi="Arial" w:cs="Arial"/>
          <w:sz w:val="20"/>
          <w:szCs w:val="20"/>
        </w:rPr>
      </w:pPr>
      <w:r w:rsidRPr="00D81BDB">
        <w:rPr>
          <w:rFonts w:ascii="Arial" w:hAnsi="Arial" w:cs="Arial"/>
          <w:sz w:val="20"/>
          <w:szCs w:val="20"/>
        </w:rPr>
        <w:t>Over the past decade, breast cancer treatment strategies have advanced significantly, particularly for HER2-positive and triple-negative subtypes. Neoadjuvant chemotherapy (NAC) has become the standard of care for these groups, resulting in changes to surgical management and improved survival rates. Many of these cancers demonstrate promising and dramatic responses to NAC. [6]. In response to these advancements, healthcare professionals—including radiologists, surgeons, and oncologists—are increasingly emphasizing the importance of accurately identifying residual tumor tissue following NAC. This has elevated the role of tissue markers in clinical practice. However, commercially available tissue markers are often costly, ranging from RM 450 to RM 600 each. Furthermore, the number of markers required per patient can vary from one to three, imposing a significant financial burden, particularly in developing countries. Our hospital is located in Sabah, one of the Malaysian states with the highest proportion of low-income families. To address this challenge, we propose the use of standard surgical clips as modified tissue markers. We present a case series highlighting the potential of low-cost titanium surgical clips as a feasible alternative for tumor localization in resource-limited settings.</w:t>
      </w:r>
    </w:p>
    <w:p w14:paraId="6804D9A3" w14:textId="77777777" w:rsidR="00D81BDB" w:rsidRPr="00D81BDB" w:rsidRDefault="00D81BDB" w:rsidP="00D81BDB">
      <w:pPr>
        <w:pStyle w:val="NoSpacing"/>
        <w:jc w:val="both"/>
        <w:rPr>
          <w:rFonts w:ascii="Arial" w:hAnsi="Arial" w:cs="Arial"/>
          <w:sz w:val="20"/>
          <w:szCs w:val="20"/>
        </w:rPr>
      </w:pPr>
    </w:p>
    <w:p w14:paraId="1D1E3768" w14:textId="77777777" w:rsidR="00D81BDB" w:rsidRPr="00D81BDB" w:rsidRDefault="00D81BDB" w:rsidP="00D81BDB">
      <w:pPr>
        <w:pStyle w:val="NoSpacing"/>
        <w:jc w:val="both"/>
        <w:rPr>
          <w:rFonts w:ascii="Arial" w:hAnsi="Arial" w:cs="Arial"/>
          <w:sz w:val="20"/>
          <w:szCs w:val="20"/>
        </w:rPr>
      </w:pPr>
      <w:r w:rsidRPr="00D81BDB">
        <w:rPr>
          <w:rFonts w:ascii="Arial" w:hAnsi="Arial" w:cs="Arial"/>
          <w:sz w:val="20"/>
          <w:szCs w:val="20"/>
        </w:rPr>
        <w:t xml:space="preserve">In our cases, patients diagnosed with invasive breast carcinoma who were planned for or undergoing neoadjuvant chemotherapy were referred to our department for insertion of modified tissue markers under ultrasound guidance. The modified tissue marker was created by attaching a surgical clip to the tip of an 18G (1.2 x 90 mm) BD spinal needle, which was then secured with bone wax </w:t>
      </w:r>
      <w:r w:rsidRPr="00D81BDB">
        <w:rPr>
          <w:rFonts w:ascii="Arial" w:hAnsi="Arial" w:cs="Arial"/>
          <w:i/>
          <w:iCs/>
          <w:sz w:val="20"/>
          <w:szCs w:val="20"/>
        </w:rPr>
        <w:t>Figure 6</w:t>
      </w:r>
      <w:r w:rsidRPr="00D81BDB">
        <w:rPr>
          <w:rFonts w:ascii="Arial" w:hAnsi="Arial" w:cs="Arial"/>
          <w:sz w:val="20"/>
          <w:szCs w:val="20"/>
        </w:rPr>
        <w:t>. This procedure was performed using strict aseptic technique. Under ultrasound guidance, local anesthesia, and aseptic conditions, the spinal needle was advanced along the anesthetized tract until its tip reached the center of the mass. Once proper positioning was confirmed, the stylet of the spinal needle was used to deploy the modified tissue marker into the center of the mass. In cases where multiple masses required localization, additional modified tissue markers were inserted using the same technique. Ultrasound images were acquired during and immediately after the procedure for documentation purposes. A mammogram was then performed promptly following marker insertion to confirm accurate placement and for future reference.</w:t>
      </w:r>
    </w:p>
    <w:p w14:paraId="2B40478E" w14:textId="77777777" w:rsidR="00D81BDB" w:rsidRPr="00D81BDB" w:rsidRDefault="00D81BDB" w:rsidP="00D81BDB">
      <w:pPr>
        <w:pStyle w:val="NoSpacing"/>
        <w:jc w:val="both"/>
        <w:rPr>
          <w:rFonts w:ascii="Arial" w:hAnsi="Arial" w:cs="Arial"/>
          <w:sz w:val="20"/>
          <w:szCs w:val="20"/>
        </w:rPr>
      </w:pPr>
    </w:p>
    <w:p w14:paraId="5C05E3F5" w14:textId="77777777" w:rsidR="00D81BDB" w:rsidRPr="00D81BDB" w:rsidRDefault="00D81BDB" w:rsidP="00D81BDB">
      <w:pPr>
        <w:pStyle w:val="NoSpacing"/>
        <w:jc w:val="both"/>
        <w:rPr>
          <w:rFonts w:ascii="Arial" w:hAnsi="Arial" w:cs="Arial"/>
          <w:sz w:val="20"/>
          <w:szCs w:val="20"/>
        </w:rPr>
      </w:pPr>
      <w:r w:rsidRPr="00D81BDB">
        <w:rPr>
          <w:rFonts w:ascii="Arial" w:hAnsi="Arial" w:cs="Arial"/>
          <w:sz w:val="20"/>
          <w:szCs w:val="20"/>
        </w:rPr>
        <w:t xml:space="preserve">Based on our case findings, all modified tissue markers were well visualized both </w:t>
      </w:r>
      <w:proofErr w:type="spellStart"/>
      <w:r w:rsidRPr="00D81BDB">
        <w:rPr>
          <w:rFonts w:ascii="Arial" w:hAnsi="Arial" w:cs="Arial"/>
          <w:sz w:val="20"/>
          <w:szCs w:val="20"/>
        </w:rPr>
        <w:t>sonographically</w:t>
      </w:r>
      <w:proofErr w:type="spellEnd"/>
      <w:r w:rsidRPr="00D81BDB">
        <w:rPr>
          <w:rFonts w:ascii="Arial" w:hAnsi="Arial" w:cs="Arial"/>
          <w:sz w:val="20"/>
          <w:szCs w:val="20"/>
        </w:rPr>
        <w:t xml:space="preserve"> and mammographically, except in one patient who had completed neoadjuvant chemotherapy and declined mastectomy. This patient presented with multifocal disease, where the index mass had significantly decreased in size and adjacent satellites were barely discernible on ultrasound. Following marker placement in these satellites, visualization of the modified tissue markers under ultrasound was limited due to similar background echogenicity. However, these markers remained clearly visible on mammography. Therefore, we conclude that for optimal ultrasound visualization, these markers should ideally be placed </w:t>
      </w:r>
      <w:r w:rsidRPr="00D81BDB">
        <w:rPr>
          <w:rFonts w:ascii="Arial" w:hAnsi="Arial" w:cs="Arial"/>
          <w:sz w:val="20"/>
          <w:szCs w:val="20"/>
        </w:rPr>
        <w:lastRenderedPageBreak/>
        <w:t>in masses with distinct echogenicity (either hypoechoic or anechoic). Nevertheless, the visibility of these markers on mammograms is comparable to that of commercially available markers.</w:t>
      </w:r>
    </w:p>
    <w:p w14:paraId="690711E2" w14:textId="77777777" w:rsidR="00D81BDB" w:rsidRPr="00D81BDB" w:rsidRDefault="00D81BDB" w:rsidP="00D81BDB">
      <w:pPr>
        <w:pStyle w:val="NoSpacing"/>
        <w:jc w:val="both"/>
        <w:rPr>
          <w:rFonts w:ascii="Arial" w:hAnsi="Arial" w:cs="Arial"/>
          <w:sz w:val="20"/>
          <w:szCs w:val="20"/>
        </w:rPr>
      </w:pPr>
    </w:p>
    <w:p w14:paraId="4F45E9CF" w14:textId="77777777" w:rsidR="00D81BDB" w:rsidRDefault="00D81BDB" w:rsidP="00D81BDB">
      <w:pPr>
        <w:pStyle w:val="NoSpacing"/>
        <w:jc w:val="both"/>
        <w:rPr>
          <w:rFonts w:ascii="Arial" w:hAnsi="Arial" w:cs="Arial"/>
          <w:sz w:val="20"/>
          <w:szCs w:val="20"/>
        </w:rPr>
      </w:pPr>
      <w:r w:rsidRPr="00D81BDB">
        <w:rPr>
          <w:rFonts w:ascii="Arial" w:hAnsi="Arial" w:cs="Arial"/>
          <w:sz w:val="20"/>
          <w:szCs w:val="20"/>
        </w:rPr>
        <w:t>Our study has one limitation: the modified tissue markers are suitable only for patients diagnosed with malignant tumors as they need to be removed along with the residual tumor during surgical excision. To date, no complications have been observed during or following the procedures in our patient cohort.</w:t>
      </w:r>
    </w:p>
    <w:p w14:paraId="6DB0BE58" w14:textId="77777777" w:rsidR="00D81BDB" w:rsidRPr="00D81BDB" w:rsidRDefault="00D81BDB" w:rsidP="00D81BDB">
      <w:pPr>
        <w:pStyle w:val="NoSpacing"/>
        <w:jc w:val="both"/>
        <w:rPr>
          <w:rFonts w:ascii="Arial" w:hAnsi="Arial" w:cs="Arial"/>
          <w:sz w:val="20"/>
          <w:szCs w:val="20"/>
        </w:rPr>
      </w:pPr>
    </w:p>
    <w:p w14:paraId="664DA889" w14:textId="66DC206B" w:rsidR="00D81BDB" w:rsidRDefault="00D81BDB" w:rsidP="00D81BDB">
      <w:pPr>
        <w:pStyle w:val="NoSpacing"/>
        <w:rPr>
          <w:rFonts w:ascii="Times New Roman" w:hAnsi="Times New Roman" w:cs="Times New Roman"/>
        </w:rPr>
      </w:pPr>
      <w:r>
        <w:rPr>
          <w:rFonts w:ascii="Times New Roman" w:hAnsi="Times New Roman" w:cs="Times New Roman"/>
          <w:noProof/>
        </w:rPr>
        <w:drawing>
          <wp:inline distT="0" distB="0" distL="0" distR="0" wp14:anchorId="43F6E109" wp14:editId="7123FDD1">
            <wp:extent cx="5943600" cy="3343275"/>
            <wp:effectExtent l="0" t="0" r="0" b="0"/>
            <wp:docPr id="2118157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57066" name="Picture 2118157066"/>
                    <pic:cNvPicPr/>
                  </pic:nvPicPr>
                  <pic:blipFill>
                    <a:blip r:embed="rId19"/>
                    <a:stretch>
                      <a:fillRect/>
                    </a:stretch>
                  </pic:blipFill>
                  <pic:spPr>
                    <a:xfrm>
                      <a:off x="0" y="0"/>
                      <a:ext cx="5943600" cy="3343275"/>
                    </a:xfrm>
                    <a:prstGeom prst="rect">
                      <a:avLst/>
                    </a:prstGeom>
                  </pic:spPr>
                </pic:pic>
              </a:graphicData>
            </a:graphic>
          </wp:inline>
        </w:drawing>
      </w:r>
    </w:p>
    <w:p w14:paraId="1B5DA1C7" w14:textId="77777777" w:rsidR="00E053D0" w:rsidRDefault="00E053D0" w:rsidP="00441B6F">
      <w:pPr>
        <w:pStyle w:val="Body"/>
        <w:spacing w:after="0"/>
        <w:rPr>
          <w:rFonts w:ascii="Arial" w:hAnsi="Arial" w:cs="Arial"/>
        </w:rPr>
      </w:pPr>
    </w:p>
    <w:p w14:paraId="6E39401C" w14:textId="77777777" w:rsidR="00790ADA" w:rsidRPr="00FB3A86" w:rsidRDefault="00790ADA" w:rsidP="00441B6F">
      <w:pPr>
        <w:pStyle w:val="Body"/>
        <w:spacing w:after="0"/>
        <w:rPr>
          <w:rFonts w:ascii="Arial" w:hAnsi="Arial" w:cs="Arial"/>
        </w:rPr>
      </w:pPr>
    </w:p>
    <w:p w14:paraId="255D5DB2" w14:textId="4D6D1CBA" w:rsidR="00B01FCD" w:rsidRDefault="00B01FCD" w:rsidP="00441B6F">
      <w:pPr>
        <w:pStyle w:val="ConcHead"/>
        <w:spacing w:after="0"/>
        <w:jc w:val="both"/>
        <w:rPr>
          <w:rFonts w:ascii="Arial" w:hAnsi="Arial" w:cs="Arial"/>
        </w:rPr>
      </w:pPr>
      <w:r w:rsidRPr="00FB3A86">
        <w:rPr>
          <w:rFonts w:ascii="Arial" w:hAnsi="Arial" w:cs="Arial"/>
        </w:rPr>
        <w:t>Conclusion</w:t>
      </w:r>
    </w:p>
    <w:p w14:paraId="09E04252" w14:textId="77777777" w:rsidR="00790ADA" w:rsidRPr="00FB3A86" w:rsidRDefault="00790ADA" w:rsidP="00441B6F">
      <w:pPr>
        <w:pStyle w:val="ConcHead"/>
        <w:spacing w:after="0"/>
        <w:jc w:val="both"/>
        <w:rPr>
          <w:rFonts w:ascii="Arial" w:hAnsi="Arial" w:cs="Arial"/>
        </w:rPr>
      </w:pPr>
    </w:p>
    <w:p w14:paraId="00C39039" w14:textId="56091CAC" w:rsidR="00D81BDB" w:rsidRPr="00D81BDB" w:rsidRDefault="00D81BDB" w:rsidP="00D81BDB">
      <w:pPr>
        <w:pStyle w:val="Body"/>
        <w:rPr>
          <w:rFonts w:ascii="Arial" w:hAnsi="Arial" w:cs="Arial"/>
        </w:rPr>
      </w:pPr>
      <w:r w:rsidRPr="00D81BDB">
        <w:rPr>
          <w:rFonts w:ascii="Arial" w:hAnsi="Arial" w:cs="Arial"/>
        </w:rPr>
        <w:t xml:space="preserve">The use of commercial tissue markers in patients from developing countries—where the cost is often borne by the patients—can impose a significant financial burden on the community. Therefore, rather than relying on expensive commercially available markers, we propose the use of standard titanium surgical clips, also known as </w:t>
      </w:r>
      <w:proofErr w:type="spellStart"/>
      <w:r w:rsidRPr="00D81BDB">
        <w:rPr>
          <w:rFonts w:ascii="Arial" w:hAnsi="Arial" w:cs="Arial"/>
        </w:rPr>
        <w:t>ligaclips</w:t>
      </w:r>
      <w:proofErr w:type="spellEnd"/>
      <w:r w:rsidRPr="00D81BDB">
        <w:rPr>
          <w:rFonts w:ascii="Arial" w:hAnsi="Arial" w:cs="Arial"/>
        </w:rPr>
        <w:t>, as an alternative radiopaque breast marker.</w:t>
      </w:r>
    </w:p>
    <w:p w14:paraId="69807B73" w14:textId="77777777" w:rsidR="00D81BDB" w:rsidRPr="00D81BDB" w:rsidRDefault="00D81BDB" w:rsidP="00D81BDB">
      <w:pPr>
        <w:pStyle w:val="Body"/>
        <w:rPr>
          <w:rFonts w:ascii="Arial" w:hAnsi="Arial" w:cs="Arial"/>
        </w:rPr>
      </w:pPr>
      <w:r w:rsidRPr="00D81BDB">
        <w:rPr>
          <w:rFonts w:ascii="Arial" w:hAnsi="Arial" w:cs="Arial"/>
        </w:rPr>
        <w:t xml:space="preserve">Our overall results demonstrate favorable outcomes and suggest a promising role for these clips as breast markers. No immediate or late complications were observed in any of our patients, and all markers were removed during surgery. Consistent with previous studies, these tissue markers are generally safe. Prior to the availability of various commercial breast tissue markers for patients undergoing NAC, surgical clips were already utilized by surgeons as breast markers [6, 7, 8, 9]. </w:t>
      </w:r>
    </w:p>
    <w:p w14:paraId="377B6967" w14:textId="010CD315" w:rsidR="00790ADA" w:rsidRDefault="00D81BDB" w:rsidP="00D81BDB">
      <w:pPr>
        <w:pStyle w:val="Body"/>
        <w:spacing w:after="0"/>
        <w:rPr>
          <w:rFonts w:ascii="Arial" w:hAnsi="Arial" w:cs="Arial"/>
        </w:rPr>
      </w:pPr>
      <w:r w:rsidRPr="00D81BDB">
        <w:rPr>
          <w:rFonts w:ascii="Arial" w:hAnsi="Arial" w:cs="Arial"/>
        </w:rPr>
        <w:t>Moving forward, further studies are needed to evaluate the visibility and effectiveness of these tissue markers following neoadjuvant chemotherapy.</w:t>
      </w:r>
    </w:p>
    <w:p w14:paraId="764432BA" w14:textId="77777777" w:rsidR="00D81BDB" w:rsidRPr="00FB3A86" w:rsidRDefault="00D81BDB" w:rsidP="00D81BDB">
      <w:pPr>
        <w:pStyle w:val="Body"/>
        <w:spacing w:after="0"/>
        <w:rPr>
          <w:rFonts w:ascii="Arial" w:hAnsi="Arial" w:cs="Arial"/>
        </w:rPr>
      </w:pPr>
    </w:p>
    <w:p w14:paraId="1A50888D" w14:textId="77777777" w:rsidR="002B685A" w:rsidRDefault="002B685A" w:rsidP="00441B6F">
      <w:pPr>
        <w:pStyle w:val="ReferHead"/>
        <w:spacing w:after="0"/>
        <w:jc w:val="both"/>
        <w:rPr>
          <w:rFonts w:ascii="Arial" w:hAnsi="Arial" w:cs="Arial"/>
          <w:b w:val="0"/>
          <w:caps w:val="0"/>
          <w:sz w:val="20"/>
        </w:rPr>
      </w:pPr>
    </w:p>
    <w:p w14:paraId="14976DA8" w14:textId="2CDD4E74" w:rsidR="002B685A" w:rsidRP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52C46048" w14:textId="77777777" w:rsidR="00513001" w:rsidRDefault="00513001" w:rsidP="00441B6F">
      <w:pPr>
        <w:pStyle w:val="ReferHead"/>
        <w:spacing w:after="0"/>
        <w:jc w:val="both"/>
        <w:rPr>
          <w:rFonts w:ascii="Arial" w:hAnsi="Arial" w:cs="Arial"/>
          <w:b w:val="0"/>
          <w:caps w:val="0"/>
          <w:sz w:val="20"/>
        </w:rPr>
      </w:pPr>
    </w:p>
    <w:p w14:paraId="7AABB4E9" w14:textId="62723767" w:rsidR="001A29D8" w:rsidRPr="00513001" w:rsidRDefault="00513001" w:rsidP="00441B6F">
      <w:pPr>
        <w:pStyle w:val="ReferHead"/>
        <w:spacing w:after="0"/>
        <w:jc w:val="both"/>
        <w:rPr>
          <w:rFonts w:ascii="Arial" w:hAnsi="Arial" w:cs="Arial"/>
          <w:b w:val="0"/>
          <w:caps w:val="0"/>
          <w:sz w:val="20"/>
        </w:rPr>
      </w:pPr>
      <w:r>
        <w:rPr>
          <w:rFonts w:ascii="Arial" w:hAnsi="Arial" w:cs="Arial"/>
          <w:b w:val="0"/>
          <w:caps w:val="0"/>
          <w:sz w:val="20"/>
        </w:rPr>
        <w:t>W</w:t>
      </w:r>
      <w:r w:rsidR="001A29D8" w:rsidRPr="00513001">
        <w:rPr>
          <w:rFonts w:ascii="Arial" w:hAnsi="Arial" w:cs="Arial"/>
          <w:b w:val="0"/>
          <w:caps w:val="0"/>
          <w:sz w:val="20"/>
        </w:rPr>
        <w:t xml:space="preserve">ritten informed consent was obtained from the patient for publication of this case report and accompanying images. </w:t>
      </w:r>
    </w:p>
    <w:p w14:paraId="797E6725" w14:textId="77777777" w:rsidR="005C784C" w:rsidRDefault="005C784C" w:rsidP="00441B6F">
      <w:pPr>
        <w:pStyle w:val="ReferHead"/>
        <w:spacing w:after="0"/>
        <w:jc w:val="both"/>
        <w:rPr>
          <w:rFonts w:ascii="Arial" w:hAnsi="Arial" w:cs="Arial"/>
          <w:b w:val="0"/>
          <w:caps w:val="0"/>
          <w:sz w:val="20"/>
        </w:rPr>
      </w:pPr>
    </w:p>
    <w:p w14:paraId="4F5EC408" w14:textId="49C33CCB" w:rsidR="00513001" w:rsidRDefault="005C784C" w:rsidP="00441B6F">
      <w:pPr>
        <w:pStyle w:val="ReferHead"/>
        <w:spacing w:after="0"/>
        <w:jc w:val="both"/>
        <w:rPr>
          <w:rFonts w:ascii="Arial" w:hAnsi="Arial" w:cs="Arial"/>
          <w:bCs/>
        </w:rPr>
      </w:pPr>
      <w:r>
        <w:rPr>
          <w:rFonts w:ascii="Arial" w:hAnsi="Arial" w:cs="Arial"/>
          <w:bCs/>
        </w:rPr>
        <w:t xml:space="preserve">Ethical approval </w:t>
      </w:r>
    </w:p>
    <w:p w14:paraId="3ED6E03F" w14:textId="77777777" w:rsidR="005C784C" w:rsidRPr="002B685A" w:rsidRDefault="005C784C" w:rsidP="00441B6F">
      <w:pPr>
        <w:pStyle w:val="ReferHead"/>
        <w:spacing w:after="0"/>
        <w:jc w:val="both"/>
        <w:rPr>
          <w:rFonts w:ascii="Arial" w:hAnsi="Arial" w:cs="Arial"/>
          <w:bCs/>
        </w:rPr>
      </w:pPr>
    </w:p>
    <w:p w14:paraId="5465A28F" w14:textId="01DCC470" w:rsidR="005C784C" w:rsidRDefault="00513001" w:rsidP="00441B6F">
      <w:pPr>
        <w:pStyle w:val="ReferHead"/>
        <w:spacing w:after="0"/>
        <w:jc w:val="both"/>
        <w:rPr>
          <w:rFonts w:ascii="Arial" w:hAnsi="Arial" w:cs="Arial"/>
          <w:b w:val="0"/>
          <w:caps w:val="0"/>
          <w:sz w:val="20"/>
        </w:rPr>
      </w:pPr>
      <w:r>
        <w:rPr>
          <w:rFonts w:ascii="Arial" w:hAnsi="Arial" w:cs="Arial"/>
          <w:b w:val="0"/>
          <w:caps w:val="0"/>
          <w:sz w:val="20"/>
        </w:rPr>
        <w:t>Not applicable.</w:t>
      </w:r>
    </w:p>
    <w:p w14:paraId="578E68BE" w14:textId="77777777" w:rsidR="00860000" w:rsidRDefault="00860000" w:rsidP="00441B6F">
      <w:pPr>
        <w:pStyle w:val="ReferHead"/>
        <w:spacing w:after="0"/>
        <w:jc w:val="both"/>
        <w:rPr>
          <w:rFonts w:ascii="Arial" w:hAnsi="Arial" w:cs="Arial"/>
        </w:rPr>
      </w:pPr>
    </w:p>
    <w:p w14:paraId="0D552E3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7DA0098" w14:textId="77777777" w:rsidR="00790ADA" w:rsidRPr="00FB3A86" w:rsidRDefault="00790ADA" w:rsidP="00441B6F">
      <w:pPr>
        <w:pStyle w:val="ReferHead"/>
        <w:spacing w:after="0"/>
        <w:jc w:val="both"/>
        <w:rPr>
          <w:rFonts w:ascii="Arial" w:hAnsi="Arial" w:cs="Arial"/>
        </w:rPr>
      </w:pPr>
    </w:p>
    <w:p w14:paraId="14229A44" w14:textId="77777777" w:rsidR="00513001" w:rsidRPr="00513001" w:rsidRDefault="00513001" w:rsidP="00513001">
      <w:pPr>
        <w:pStyle w:val="NoSpacing"/>
        <w:rPr>
          <w:rFonts w:ascii="Arial" w:hAnsi="Arial" w:cs="Arial"/>
          <w:sz w:val="20"/>
          <w:szCs w:val="20"/>
        </w:rPr>
      </w:pPr>
      <w:r w:rsidRPr="00823385">
        <w:rPr>
          <w:rFonts w:ascii="Times New Roman" w:hAnsi="Times New Roman" w:cs="Times New Roman"/>
        </w:rPr>
        <w:t>1.</w:t>
      </w:r>
      <w:r>
        <w:rPr>
          <w:rFonts w:ascii="Times New Roman" w:hAnsi="Times New Roman" w:cs="Times New Roman"/>
        </w:rPr>
        <w:t xml:space="preserve"> </w:t>
      </w:r>
      <w:r w:rsidRPr="00513001">
        <w:rPr>
          <w:rFonts w:ascii="Arial" w:hAnsi="Arial" w:cs="Arial"/>
          <w:sz w:val="20"/>
          <w:szCs w:val="20"/>
        </w:rPr>
        <w:t xml:space="preserve">Portnow, Leah &amp; Thornton, Cynthia &amp; Milch, Hannah &amp; Mango, Victoria &amp; Morris, Elizabeth &amp; </w:t>
      </w:r>
      <w:proofErr w:type="spellStart"/>
      <w:r w:rsidRPr="00513001">
        <w:rPr>
          <w:rFonts w:ascii="Arial" w:hAnsi="Arial" w:cs="Arial"/>
          <w:sz w:val="20"/>
          <w:szCs w:val="20"/>
        </w:rPr>
        <w:t>Saphier</w:t>
      </w:r>
      <w:proofErr w:type="spellEnd"/>
      <w:r w:rsidRPr="00513001">
        <w:rPr>
          <w:rFonts w:ascii="Arial" w:hAnsi="Arial" w:cs="Arial"/>
          <w:sz w:val="20"/>
          <w:szCs w:val="20"/>
        </w:rPr>
        <w:t xml:space="preserve">, Nicole. (2019). Biopsy Marker Standardization: What's in a </w:t>
      </w:r>
      <w:proofErr w:type="gramStart"/>
      <w:r w:rsidRPr="00513001">
        <w:rPr>
          <w:rFonts w:ascii="Arial" w:hAnsi="Arial" w:cs="Arial"/>
          <w:sz w:val="20"/>
          <w:szCs w:val="20"/>
        </w:rPr>
        <w:t>Name?.</w:t>
      </w:r>
      <w:proofErr w:type="gramEnd"/>
      <w:r w:rsidRPr="00513001">
        <w:rPr>
          <w:rFonts w:ascii="Arial" w:hAnsi="Arial" w:cs="Arial"/>
          <w:sz w:val="20"/>
          <w:szCs w:val="20"/>
        </w:rPr>
        <w:t xml:space="preserve"> American Journal of Roentgenology. 212. 1-6. 10.2214/AJR.18.20577.</w:t>
      </w:r>
    </w:p>
    <w:p w14:paraId="0E84E086" w14:textId="77777777" w:rsidR="00513001" w:rsidRPr="00513001" w:rsidRDefault="00513001" w:rsidP="00513001">
      <w:pPr>
        <w:pStyle w:val="NoSpacing"/>
        <w:rPr>
          <w:rFonts w:ascii="Arial" w:hAnsi="Arial" w:cs="Arial"/>
          <w:sz w:val="20"/>
          <w:szCs w:val="20"/>
        </w:rPr>
      </w:pPr>
    </w:p>
    <w:p w14:paraId="1AA6228A" w14:textId="77777777" w:rsidR="00513001" w:rsidRPr="00513001" w:rsidRDefault="00513001" w:rsidP="00513001">
      <w:pPr>
        <w:pStyle w:val="NoSpacing"/>
        <w:rPr>
          <w:rFonts w:ascii="Arial" w:hAnsi="Arial" w:cs="Arial"/>
          <w:sz w:val="20"/>
          <w:szCs w:val="20"/>
        </w:rPr>
      </w:pPr>
      <w:r w:rsidRPr="00513001">
        <w:rPr>
          <w:rFonts w:ascii="Arial" w:hAnsi="Arial" w:cs="Arial"/>
          <w:sz w:val="20"/>
          <w:szCs w:val="20"/>
        </w:rPr>
        <w:t xml:space="preserve">2. Moran Haim Zada, </w:t>
      </w:r>
      <w:proofErr w:type="spellStart"/>
      <w:r w:rsidRPr="00513001">
        <w:rPr>
          <w:rFonts w:ascii="Arial" w:hAnsi="Arial" w:cs="Arial"/>
          <w:sz w:val="20"/>
          <w:szCs w:val="20"/>
        </w:rPr>
        <w:t>Zehava</w:t>
      </w:r>
      <w:proofErr w:type="spellEnd"/>
      <w:r w:rsidRPr="00513001">
        <w:rPr>
          <w:rFonts w:ascii="Arial" w:hAnsi="Arial" w:cs="Arial"/>
          <w:sz w:val="20"/>
          <w:szCs w:val="20"/>
        </w:rPr>
        <w:t xml:space="preserve"> </w:t>
      </w:r>
      <w:proofErr w:type="spellStart"/>
      <w:r w:rsidRPr="00513001">
        <w:rPr>
          <w:rFonts w:ascii="Arial" w:hAnsi="Arial" w:cs="Arial"/>
          <w:sz w:val="20"/>
          <w:szCs w:val="20"/>
        </w:rPr>
        <w:t>Gallimidi</w:t>
      </w:r>
      <w:proofErr w:type="spellEnd"/>
      <w:r w:rsidRPr="00513001">
        <w:rPr>
          <w:rFonts w:ascii="Arial" w:hAnsi="Arial" w:cs="Arial"/>
          <w:sz w:val="20"/>
          <w:szCs w:val="20"/>
        </w:rPr>
        <w:t>, Michal Schlesinger−Laufer, Abraham Nyska, and Abraham J. Domb ACS Applied Bio Materials 2020 3 (11), 7439-7453 DOI: 10.1021/acsabm.0c00655</w:t>
      </w:r>
    </w:p>
    <w:p w14:paraId="7287C1E6" w14:textId="77777777" w:rsidR="00513001" w:rsidRPr="00513001" w:rsidRDefault="00513001" w:rsidP="00513001">
      <w:pPr>
        <w:pStyle w:val="NoSpacing"/>
        <w:rPr>
          <w:rFonts w:ascii="Arial" w:hAnsi="Arial" w:cs="Arial"/>
          <w:sz w:val="20"/>
          <w:szCs w:val="20"/>
        </w:rPr>
      </w:pPr>
    </w:p>
    <w:p w14:paraId="5D26967B" w14:textId="77777777" w:rsidR="00513001" w:rsidRPr="00513001" w:rsidRDefault="00513001" w:rsidP="00513001">
      <w:pPr>
        <w:pStyle w:val="NoSpacing"/>
        <w:rPr>
          <w:rFonts w:ascii="Arial" w:hAnsi="Arial" w:cs="Arial"/>
          <w:sz w:val="20"/>
          <w:szCs w:val="20"/>
        </w:rPr>
      </w:pPr>
      <w:r w:rsidRPr="00513001">
        <w:rPr>
          <w:rFonts w:ascii="Arial" w:hAnsi="Arial" w:cs="Arial"/>
          <w:sz w:val="20"/>
          <w:szCs w:val="20"/>
        </w:rPr>
        <w:t xml:space="preserve">3. Smith, Sharon &amp; Taylor, Clayton &amp; </w:t>
      </w:r>
      <w:proofErr w:type="spellStart"/>
      <w:r w:rsidRPr="00513001">
        <w:rPr>
          <w:rFonts w:ascii="Arial" w:hAnsi="Arial" w:cs="Arial"/>
          <w:sz w:val="20"/>
          <w:szCs w:val="20"/>
        </w:rPr>
        <w:t>Kanevsky</w:t>
      </w:r>
      <w:proofErr w:type="spellEnd"/>
      <w:r w:rsidRPr="00513001">
        <w:rPr>
          <w:rFonts w:ascii="Arial" w:hAnsi="Arial" w:cs="Arial"/>
          <w:sz w:val="20"/>
          <w:szCs w:val="20"/>
        </w:rPr>
        <w:t xml:space="preserve">, Estella &amp; </w:t>
      </w:r>
      <w:proofErr w:type="spellStart"/>
      <w:r w:rsidRPr="00513001">
        <w:rPr>
          <w:rFonts w:ascii="Arial" w:hAnsi="Arial" w:cs="Arial"/>
          <w:sz w:val="20"/>
          <w:szCs w:val="20"/>
        </w:rPr>
        <w:t>Povoski</w:t>
      </w:r>
      <w:proofErr w:type="spellEnd"/>
      <w:r w:rsidRPr="00513001">
        <w:rPr>
          <w:rFonts w:ascii="Arial" w:hAnsi="Arial" w:cs="Arial"/>
          <w:sz w:val="20"/>
          <w:szCs w:val="20"/>
        </w:rPr>
        <w:t>, Stephen &amp; Hawley, Jeffrey. (2020). Long-term safety and efficacy of breast biopsy markers in clinical practice. Expert Review of Medical Devices. 18. 1-7. 10.1080/17434440.2020.1852928.</w:t>
      </w:r>
    </w:p>
    <w:p w14:paraId="2C67C52D" w14:textId="77777777" w:rsidR="00513001" w:rsidRPr="00513001" w:rsidRDefault="00513001" w:rsidP="00513001">
      <w:pPr>
        <w:pStyle w:val="NoSpacing"/>
        <w:rPr>
          <w:rFonts w:ascii="Arial" w:hAnsi="Arial" w:cs="Arial"/>
          <w:sz w:val="20"/>
          <w:szCs w:val="20"/>
        </w:rPr>
      </w:pPr>
    </w:p>
    <w:p w14:paraId="240416AE" w14:textId="77777777" w:rsidR="00513001" w:rsidRPr="00513001" w:rsidRDefault="00513001" w:rsidP="00513001">
      <w:pPr>
        <w:pStyle w:val="NoSpacing"/>
        <w:rPr>
          <w:rFonts w:ascii="Arial" w:hAnsi="Arial" w:cs="Arial"/>
          <w:sz w:val="20"/>
          <w:szCs w:val="20"/>
        </w:rPr>
      </w:pPr>
      <w:r w:rsidRPr="00513001">
        <w:rPr>
          <w:rFonts w:ascii="Arial" w:hAnsi="Arial" w:cs="Arial"/>
          <w:sz w:val="20"/>
          <w:szCs w:val="20"/>
        </w:rPr>
        <w:t>4. Dash N, Chafin SH, Johnson RR, et al. Usefulness of tissue marker clips in patients undergoing neoadjuvant chemotherapy for breast cancer. AJR Am J Roentgenol. 1999 Oct;173(4):911–917.</w:t>
      </w:r>
    </w:p>
    <w:p w14:paraId="4BE6E80D" w14:textId="77777777" w:rsidR="00513001" w:rsidRPr="00513001" w:rsidRDefault="00513001" w:rsidP="00513001">
      <w:pPr>
        <w:pStyle w:val="NoSpacing"/>
        <w:rPr>
          <w:rFonts w:ascii="Arial" w:hAnsi="Arial" w:cs="Arial"/>
          <w:sz w:val="20"/>
          <w:szCs w:val="20"/>
        </w:rPr>
      </w:pPr>
    </w:p>
    <w:p w14:paraId="74612891" w14:textId="77777777" w:rsidR="00513001" w:rsidRPr="00513001" w:rsidRDefault="00513001" w:rsidP="00513001">
      <w:pPr>
        <w:pStyle w:val="NoSpacing"/>
        <w:rPr>
          <w:rFonts w:ascii="Arial" w:hAnsi="Arial" w:cs="Arial"/>
          <w:sz w:val="20"/>
          <w:szCs w:val="20"/>
        </w:rPr>
      </w:pPr>
      <w:r w:rsidRPr="00513001">
        <w:rPr>
          <w:rFonts w:ascii="Arial" w:hAnsi="Arial" w:cs="Arial"/>
          <w:sz w:val="20"/>
          <w:szCs w:val="20"/>
        </w:rPr>
        <w:t>5. Schulz-</w:t>
      </w:r>
      <w:proofErr w:type="spellStart"/>
      <w:r w:rsidRPr="00513001">
        <w:rPr>
          <w:rFonts w:ascii="Arial" w:hAnsi="Arial" w:cs="Arial"/>
          <w:sz w:val="20"/>
          <w:szCs w:val="20"/>
        </w:rPr>
        <w:t>Wendtland</w:t>
      </w:r>
      <w:proofErr w:type="spellEnd"/>
      <w:r w:rsidRPr="00513001">
        <w:rPr>
          <w:rFonts w:ascii="Arial" w:hAnsi="Arial" w:cs="Arial"/>
          <w:sz w:val="20"/>
          <w:szCs w:val="20"/>
        </w:rPr>
        <w:t xml:space="preserve"> R, </w:t>
      </w:r>
      <w:proofErr w:type="spellStart"/>
      <w:r w:rsidRPr="00513001">
        <w:rPr>
          <w:rFonts w:ascii="Arial" w:hAnsi="Arial" w:cs="Arial"/>
          <w:sz w:val="20"/>
          <w:szCs w:val="20"/>
        </w:rPr>
        <w:t>Dankerl</w:t>
      </w:r>
      <w:proofErr w:type="spellEnd"/>
      <w:r w:rsidRPr="00513001">
        <w:rPr>
          <w:rFonts w:ascii="Arial" w:hAnsi="Arial" w:cs="Arial"/>
          <w:sz w:val="20"/>
          <w:szCs w:val="20"/>
        </w:rPr>
        <w:t xml:space="preserve"> P, Bani MR, Fasching PA, Heusinger K, Lux MP, Jud SM, Rauh C, Bayer CM, Schrauder MG, Beckmann MW, Uder M, Brehm B, </w:t>
      </w:r>
      <w:proofErr w:type="spellStart"/>
      <w:r w:rsidRPr="00513001">
        <w:rPr>
          <w:rFonts w:ascii="Arial" w:hAnsi="Arial" w:cs="Arial"/>
          <w:sz w:val="20"/>
          <w:szCs w:val="20"/>
        </w:rPr>
        <w:t>Loehberg</w:t>
      </w:r>
      <w:proofErr w:type="spellEnd"/>
      <w:r w:rsidRPr="00513001">
        <w:rPr>
          <w:rFonts w:ascii="Arial" w:hAnsi="Arial" w:cs="Arial"/>
          <w:sz w:val="20"/>
          <w:szCs w:val="20"/>
        </w:rPr>
        <w:t xml:space="preserve"> CR. Evaluation of a Marker Clip System in </w:t>
      </w:r>
      <w:proofErr w:type="spellStart"/>
      <w:r w:rsidRPr="00513001">
        <w:rPr>
          <w:rFonts w:ascii="Arial" w:hAnsi="Arial" w:cs="Arial"/>
          <w:sz w:val="20"/>
          <w:szCs w:val="20"/>
        </w:rPr>
        <w:t>Sonographically</w:t>
      </w:r>
      <w:proofErr w:type="spellEnd"/>
      <w:r w:rsidRPr="00513001">
        <w:rPr>
          <w:rFonts w:ascii="Arial" w:hAnsi="Arial" w:cs="Arial"/>
          <w:sz w:val="20"/>
          <w:szCs w:val="20"/>
        </w:rPr>
        <w:t xml:space="preserve"> Guided Core Needle Biopsy for Breast Cancer Localization Before and After Neoadjuvant Chemotherapy. </w:t>
      </w:r>
      <w:proofErr w:type="spellStart"/>
      <w:r w:rsidRPr="00513001">
        <w:rPr>
          <w:rFonts w:ascii="Arial" w:hAnsi="Arial" w:cs="Arial"/>
          <w:sz w:val="20"/>
          <w:szCs w:val="20"/>
        </w:rPr>
        <w:t>Geburtshilfe</w:t>
      </w:r>
      <w:proofErr w:type="spellEnd"/>
      <w:r w:rsidRPr="00513001">
        <w:rPr>
          <w:rFonts w:ascii="Arial" w:hAnsi="Arial" w:cs="Arial"/>
          <w:sz w:val="20"/>
          <w:szCs w:val="20"/>
        </w:rPr>
        <w:t xml:space="preserve"> </w:t>
      </w:r>
      <w:proofErr w:type="spellStart"/>
      <w:r w:rsidRPr="00513001">
        <w:rPr>
          <w:rFonts w:ascii="Arial" w:hAnsi="Arial" w:cs="Arial"/>
          <w:sz w:val="20"/>
          <w:szCs w:val="20"/>
        </w:rPr>
        <w:t>Frauenheilkd</w:t>
      </w:r>
      <w:proofErr w:type="spellEnd"/>
      <w:r w:rsidRPr="00513001">
        <w:rPr>
          <w:rFonts w:ascii="Arial" w:hAnsi="Arial" w:cs="Arial"/>
          <w:sz w:val="20"/>
          <w:szCs w:val="20"/>
        </w:rPr>
        <w:t xml:space="preserve">. 2017 Feb;77(2):169-175. </w:t>
      </w:r>
      <w:proofErr w:type="spellStart"/>
      <w:r w:rsidRPr="00513001">
        <w:rPr>
          <w:rFonts w:ascii="Arial" w:hAnsi="Arial" w:cs="Arial"/>
          <w:sz w:val="20"/>
          <w:szCs w:val="20"/>
        </w:rPr>
        <w:t>doi</w:t>
      </w:r>
      <w:proofErr w:type="spellEnd"/>
      <w:r w:rsidRPr="00513001">
        <w:rPr>
          <w:rFonts w:ascii="Arial" w:hAnsi="Arial" w:cs="Arial"/>
          <w:sz w:val="20"/>
          <w:szCs w:val="20"/>
        </w:rPr>
        <w:t>: 10.1055/s-0042-124191. PMID: 28331239; PMCID: PMC5357217.</w:t>
      </w:r>
    </w:p>
    <w:p w14:paraId="4E5E2774" w14:textId="77777777" w:rsidR="00513001" w:rsidRPr="00513001" w:rsidRDefault="00513001" w:rsidP="00513001">
      <w:pPr>
        <w:pStyle w:val="NoSpacing"/>
        <w:rPr>
          <w:rFonts w:ascii="Arial" w:hAnsi="Arial" w:cs="Arial"/>
          <w:sz w:val="20"/>
          <w:szCs w:val="20"/>
        </w:rPr>
      </w:pPr>
    </w:p>
    <w:p w14:paraId="0D1C72D2" w14:textId="77777777" w:rsidR="00513001" w:rsidRPr="00513001" w:rsidRDefault="00513001" w:rsidP="00513001">
      <w:pPr>
        <w:pStyle w:val="NoSpacing"/>
        <w:rPr>
          <w:rFonts w:ascii="Arial" w:hAnsi="Arial" w:cs="Arial"/>
          <w:sz w:val="20"/>
          <w:szCs w:val="20"/>
        </w:rPr>
      </w:pPr>
      <w:r w:rsidRPr="00513001">
        <w:rPr>
          <w:rFonts w:ascii="Arial" w:hAnsi="Arial" w:cs="Arial"/>
          <w:sz w:val="20"/>
          <w:szCs w:val="20"/>
        </w:rPr>
        <w:t xml:space="preserve">6. Abdelfatah, N.O.S., Abdallah, R.H., Ibrahim, S.F. et al. Assessment of low-cost surgical metallic clip placement for tumor localization in BIRDAS VI breast cancer patients undergoing neoadjuvant chemotherapy. Egypt J </w:t>
      </w:r>
      <w:proofErr w:type="spellStart"/>
      <w:r w:rsidRPr="00513001">
        <w:rPr>
          <w:rFonts w:ascii="Arial" w:hAnsi="Arial" w:cs="Arial"/>
          <w:sz w:val="20"/>
          <w:szCs w:val="20"/>
        </w:rPr>
        <w:t>Radiol</w:t>
      </w:r>
      <w:proofErr w:type="spellEnd"/>
      <w:r w:rsidRPr="00513001">
        <w:rPr>
          <w:rFonts w:ascii="Arial" w:hAnsi="Arial" w:cs="Arial"/>
          <w:sz w:val="20"/>
          <w:szCs w:val="20"/>
        </w:rPr>
        <w:t xml:space="preserve"> </w:t>
      </w:r>
      <w:proofErr w:type="spellStart"/>
      <w:r w:rsidRPr="00513001">
        <w:rPr>
          <w:rFonts w:ascii="Arial" w:hAnsi="Arial" w:cs="Arial"/>
          <w:sz w:val="20"/>
          <w:szCs w:val="20"/>
        </w:rPr>
        <w:t>Nucl</w:t>
      </w:r>
      <w:proofErr w:type="spellEnd"/>
      <w:r w:rsidRPr="00513001">
        <w:rPr>
          <w:rFonts w:ascii="Arial" w:hAnsi="Arial" w:cs="Arial"/>
          <w:sz w:val="20"/>
          <w:szCs w:val="20"/>
        </w:rPr>
        <w:t xml:space="preserve"> Med 53, 71 (2022). </w:t>
      </w:r>
      <w:hyperlink r:id="rId20" w:history="1">
        <w:r w:rsidRPr="00513001">
          <w:rPr>
            <w:rStyle w:val="Hyperlink"/>
            <w:rFonts w:ascii="Arial" w:hAnsi="Arial" w:cs="Arial"/>
            <w:sz w:val="20"/>
            <w:szCs w:val="20"/>
          </w:rPr>
          <w:t>https://doi.org/10.1186/s43055-022-00740-0</w:t>
        </w:r>
      </w:hyperlink>
      <w:r w:rsidRPr="00513001">
        <w:rPr>
          <w:rFonts w:ascii="Arial" w:hAnsi="Arial" w:cs="Arial"/>
          <w:sz w:val="20"/>
          <w:szCs w:val="20"/>
        </w:rPr>
        <w:t>.</w:t>
      </w:r>
    </w:p>
    <w:p w14:paraId="176DA86D" w14:textId="77777777" w:rsidR="00513001" w:rsidRPr="00513001" w:rsidRDefault="00513001" w:rsidP="00513001">
      <w:pPr>
        <w:pStyle w:val="NoSpacing"/>
        <w:rPr>
          <w:rFonts w:ascii="Arial" w:hAnsi="Arial" w:cs="Arial"/>
          <w:sz w:val="20"/>
          <w:szCs w:val="20"/>
        </w:rPr>
      </w:pPr>
    </w:p>
    <w:p w14:paraId="64E311AC" w14:textId="77777777" w:rsidR="00513001" w:rsidRPr="00513001" w:rsidRDefault="00513001" w:rsidP="00513001">
      <w:pPr>
        <w:pStyle w:val="NoSpacing"/>
        <w:rPr>
          <w:rFonts w:ascii="Arial" w:hAnsi="Arial" w:cs="Arial"/>
          <w:sz w:val="20"/>
          <w:szCs w:val="20"/>
        </w:rPr>
      </w:pPr>
      <w:r w:rsidRPr="00513001">
        <w:rPr>
          <w:rFonts w:ascii="Arial" w:hAnsi="Arial" w:cs="Arial"/>
          <w:sz w:val="20"/>
          <w:szCs w:val="20"/>
        </w:rPr>
        <w:t xml:space="preserve">7. Masroor I, Zeeshan S, Afzal S, Sufian SN, Ali M, Khan S, Ahmad K. Outcome and Cost Effectiveness of </w:t>
      </w:r>
      <w:proofErr w:type="spellStart"/>
      <w:r w:rsidRPr="00513001">
        <w:rPr>
          <w:rFonts w:ascii="Arial" w:hAnsi="Arial" w:cs="Arial"/>
          <w:sz w:val="20"/>
          <w:szCs w:val="20"/>
        </w:rPr>
        <w:t>Ultrasonographically</w:t>
      </w:r>
      <w:proofErr w:type="spellEnd"/>
      <w:r w:rsidRPr="00513001">
        <w:rPr>
          <w:rFonts w:ascii="Arial" w:hAnsi="Arial" w:cs="Arial"/>
          <w:sz w:val="20"/>
          <w:szCs w:val="20"/>
        </w:rPr>
        <w:t xml:space="preserve"> Guided Surgical Clip Placement for Tumor Localization in Patients undergoing Neo-adjuvant Chemotherapy for Breast Cancer. Asian Pac J Cancer Prev. 2015;16(18):8339-43. </w:t>
      </w:r>
      <w:proofErr w:type="spellStart"/>
      <w:r w:rsidRPr="00513001">
        <w:rPr>
          <w:rFonts w:ascii="Arial" w:hAnsi="Arial" w:cs="Arial"/>
          <w:sz w:val="20"/>
          <w:szCs w:val="20"/>
        </w:rPr>
        <w:t>doi</w:t>
      </w:r>
      <w:proofErr w:type="spellEnd"/>
      <w:r w:rsidRPr="00513001">
        <w:rPr>
          <w:rFonts w:ascii="Arial" w:hAnsi="Arial" w:cs="Arial"/>
          <w:sz w:val="20"/>
          <w:szCs w:val="20"/>
        </w:rPr>
        <w:t>: 10.7314/apjcp.2015.16.18.8339. PMID: 26745082.</w:t>
      </w:r>
    </w:p>
    <w:p w14:paraId="7629D689" w14:textId="77777777" w:rsidR="00513001" w:rsidRPr="00513001" w:rsidRDefault="00513001" w:rsidP="00513001">
      <w:pPr>
        <w:pStyle w:val="NoSpacing"/>
        <w:rPr>
          <w:rFonts w:ascii="Arial" w:hAnsi="Arial" w:cs="Arial"/>
          <w:sz w:val="20"/>
          <w:szCs w:val="20"/>
        </w:rPr>
      </w:pPr>
    </w:p>
    <w:p w14:paraId="3E184AEB" w14:textId="77777777" w:rsidR="00513001" w:rsidRPr="00513001" w:rsidRDefault="00513001" w:rsidP="00513001">
      <w:pPr>
        <w:pStyle w:val="NoSpacing"/>
        <w:rPr>
          <w:rFonts w:ascii="Arial" w:hAnsi="Arial" w:cs="Arial"/>
          <w:sz w:val="20"/>
          <w:szCs w:val="20"/>
        </w:rPr>
      </w:pPr>
      <w:r w:rsidRPr="00513001">
        <w:rPr>
          <w:rFonts w:ascii="Arial" w:hAnsi="Arial" w:cs="Arial"/>
          <w:sz w:val="20"/>
          <w:szCs w:val="20"/>
        </w:rPr>
        <w:t xml:space="preserve">8. </w:t>
      </w:r>
      <w:proofErr w:type="spellStart"/>
      <w:r w:rsidRPr="00513001">
        <w:rPr>
          <w:rFonts w:ascii="Arial" w:hAnsi="Arial" w:cs="Arial"/>
          <w:sz w:val="20"/>
          <w:szCs w:val="20"/>
        </w:rPr>
        <w:t>Alamdaran</w:t>
      </w:r>
      <w:proofErr w:type="spellEnd"/>
      <w:r w:rsidRPr="00513001">
        <w:rPr>
          <w:rFonts w:ascii="Arial" w:hAnsi="Arial" w:cs="Arial"/>
          <w:sz w:val="20"/>
          <w:szCs w:val="20"/>
        </w:rPr>
        <w:t xml:space="preserve">, </w:t>
      </w:r>
      <w:proofErr w:type="spellStart"/>
      <w:r w:rsidRPr="00513001">
        <w:rPr>
          <w:rFonts w:ascii="Arial" w:hAnsi="Arial" w:cs="Arial"/>
          <w:sz w:val="20"/>
          <w:szCs w:val="20"/>
        </w:rPr>
        <w:t>Seyed</w:t>
      </w:r>
      <w:proofErr w:type="spellEnd"/>
      <w:r w:rsidRPr="00513001">
        <w:rPr>
          <w:rFonts w:ascii="Arial" w:hAnsi="Arial" w:cs="Arial"/>
          <w:sz w:val="20"/>
          <w:szCs w:val="20"/>
        </w:rPr>
        <w:t xml:space="preserve"> Ali, </w:t>
      </w:r>
      <w:proofErr w:type="spellStart"/>
      <w:r w:rsidRPr="00513001">
        <w:rPr>
          <w:rFonts w:ascii="Arial" w:hAnsi="Arial" w:cs="Arial"/>
          <w:sz w:val="20"/>
          <w:szCs w:val="20"/>
        </w:rPr>
        <w:t>Masomeh</w:t>
      </w:r>
      <w:proofErr w:type="spellEnd"/>
      <w:r w:rsidRPr="00513001">
        <w:rPr>
          <w:rFonts w:ascii="Arial" w:hAnsi="Arial" w:cs="Arial"/>
          <w:sz w:val="20"/>
          <w:szCs w:val="20"/>
        </w:rPr>
        <w:t xml:space="preserve"> Gharib, Fatemeh </w:t>
      </w:r>
      <w:proofErr w:type="spellStart"/>
      <w:r w:rsidRPr="00513001">
        <w:rPr>
          <w:rFonts w:ascii="Arial" w:hAnsi="Arial" w:cs="Arial"/>
          <w:sz w:val="20"/>
          <w:szCs w:val="20"/>
        </w:rPr>
        <w:t>Homaee</w:t>
      </w:r>
      <w:proofErr w:type="spellEnd"/>
      <w:r w:rsidRPr="00513001">
        <w:rPr>
          <w:rFonts w:ascii="Arial" w:hAnsi="Arial" w:cs="Arial"/>
          <w:sz w:val="20"/>
          <w:szCs w:val="20"/>
        </w:rPr>
        <w:t xml:space="preserve"> </w:t>
      </w:r>
      <w:proofErr w:type="spellStart"/>
      <w:r w:rsidRPr="00513001">
        <w:rPr>
          <w:rFonts w:ascii="Arial" w:hAnsi="Arial" w:cs="Arial"/>
          <w:sz w:val="20"/>
          <w:szCs w:val="20"/>
        </w:rPr>
        <w:t>Shandiz</w:t>
      </w:r>
      <w:proofErr w:type="spellEnd"/>
      <w:r w:rsidRPr="00513001">
        <w:rPr>
          <w:rFonts w:ascii="Arial" w:hAnsi="Arial" w:cs="Arial"/>
          <w:sz w:val="20"/>
          <w:szCs w:val="20"/>
        </w:rPr>
        <w:t xml:space="preserve">, </w:t>
      </w:r>
      <w:proofErr w:type="spellStart"/>
      <w:r w:rsidRPr="00513001">
        <w:rPr>
          <w:rFonts w:ascii="Arial" w:hAnsi="Arial" w:cs="Arial"/>
          <w:sz w:val="20"/>
          <w:szCs w:val="20"/>
        </w:rPr>
        <w:t>Oldoz</w:t>
      </w:r>
      <w:proofErr w:type="spellEnd"/>
      <w:r w:rsidRPr="00513001">
        <w:rPr>
          <w:rFonts w:ascii="Arial" w:hAnsi="Arial" w:cs="Arial"/>
          <w:sz w:val="20"/>
          <w:szCs w:val="20"/>
        </w:rPr>
        <w:t xml:space="preserve"> </w:t>
      </w:r>
      <w:proofErr w:type="spellStart"/>
      <w:r w:rsidRPr="00513001">
        <w:rPr>
          <w:rFonts w:ascii="Arial" w:hAnsi="Arial" w:cs="Arial"/>
          <w:sz w:val="20"/>
          <w:szCs w:val="20"/>
        </w:rPr>
        <w:t>Bizhani</w:t>
      </w:r>
      <w:proofErr w:type="spellEnd"/>
      <w:r w:rsidRPr="00513001">
        <w:rPr>
          <w:rFonts w:ascii="Arial" w:hAnsi="Arial" w:cs="Arial"/>
          <w:sz w:val="20"/>
          <w:szCs w:val="20"/>
        </w:rPr>
        <w:t>, Mohammad Naser Forghani Torghaban, Donia Farokh Tehrani and Mohammed Keshtgar. “Accuracy Assessment of Surgical Clip Marker/Wire Localization in Advanced Breast Cancer.” (2018).</w:t>
      </w:r>
    </w:p>
    <w:p w14:paraId="44FEEAAB" w14:textId="77777777" w:rsidR="00513001" w:rsidRPr="00513001" w:rsidRDefault="00513001" w:rsidP="00513001">
      <w:pPr>
        <w:pStyle w:val="NoSpacing"/>
        <w:rPr>
          <w:rFonts w:ascii="Arial" w:hAnsi="Arial" w:cs="Arial"/>
          <w:sz w:val="20"/>
          <w:szCs w:val="20"/>
        </w:rPr>
      </w:pPr>
    </w:p>
    <w:p w14:paraId="027D7F09" w14:textId="77777777" w:rsidR="00513001" w:rsidRPr="00513001" w:rsidRDefault="00513001" w:rsidP="00513001">
      <w:pPr>
        <w:pStyle w:val="NoSpacing"/>
        <w:rPr>
          <w:rFonts w:ascii="Arial" w:hAnsi="Arial" w:cs="Arial"/>
          <w:sz w:val="20"/>
          <w:szCs w:val="20"/>
        </w:rPr>
      </w:pPr>
      <w:r w:rsidRPr="00513001">
        <w:rPr>
          <w:rFonts w:ascii="Arial" w:hAnsi="Arial" w:cs="Arial"/>
          <w:sz w:val="20"/>
          <w:szCs w:val="20"/>
        </w:rPr>
        <w:t xml:space="preserve">9. Youn I, Choi SH, Kook SH, Choi YJ, Park CH, Park YL, Kim DH. Ultrasonography-guided surgical clip placement for tumor localization in patients undergoing neoadjuvant chemotherapy for breast cancer. J Breast Cancer. 2015 Mar;18(1):44-9. </w:t>
      </w:r>
      <w:proofErr w:type="spellStart"/>
      <w:r w:rsidRPr="00513001">
        <w:rPr>
          <w:rFonts w:ascii="Arial" w:hAnsi="Arial" w:cs="Arial"/>
          <w:sz w:val="20"/>
          <w:szCs w:val="20"/>
        </w:rPr>
        <w:t>doi</w:t>
      </w:r>
      <w:proofErr w:type="spellEnd"/>
      <w:r w:rsidRPr="00513001">
        <w:rPr>
          <w:rFonts w:ascii="Arial" w:hAnsi="Arial" w:cs="Arial"/>
          <w:sz w:val="20"/>
          <w:szCs w:val="20"/>
        </w:rPr>
        <w:t xml:space="preserve">: 10.4048/jbc.2015.18.1.44. </w:t>
      </w:r>
      <w:proofErr w:type="spellStart"/>
      <w:r w:rsidRPr="00513001">
        <w:rPr>
          <w:rFonts w:ascii="Arial" w:hAnsi="Arial" w:cs="Arial"/>
          <w:sz w:val="20"/>
          <w:szCs w:val="20"/>
        </w:rPr>
        <w:t>Epub</w:t>
      </w:r>
      <w:proofErr w:type="spellEnd"/>
      <w:r w:rsidRPr="00513001">
        <w:rPr>
          <w:rFonts w:ascii="Arial" w:hAnsi="Arial" w:cs="Arial"/>
          <w:sz w:val="20"/>
          <w:szCs w:val="20"/>
        </w:rPr>
        <w:t xml:space="preserve"> 2015 Mar 27. PMID: 25834610; PMCID: PMC4381122.</w:t>
      </w:r>
    </w:p>
    <w:p w14:paraId="237F38BD" w14:textId="77777777" w:rsidR="00513001" w:rsidRPr="00513001" w:rsidRDefault="00513001" w:rsidP="00513001">
      <w:pPr>
        <w:pStyle w:val="NoSpacing"/>
        <w:rPr>
          <w:rFonts w:ascii="Arial" w:hAnsi="Arial" w:cs="Arial"/>
          <w:sz w:val="20"/>
          <w:szCs w:val="20"/>
        </w:rPr>
      </w:pPr>
    </w:p>
    <w:p w14:paraId="62B0748A" w14:textId="77777777" w:rsidR="00513001" w:rsidRPr="00513001" w:rsidRDefault="00513001" w:rsidP="00513001">
      <w:pPr>
        <w:pStyle w:val="NoSpacing"/>
        <w:rPr>
          <w:rFonts w:ascii="Arial" w:hAnsi="Arial" w:cs="Arial"/>
          <w:sz w:val="20"/>
          <w:szCs w:val="20"/>
        </w:rPr>
      </w:pPr>
      <w:r w:rsidRPr="00513001">
        <w:rPr>
          <w:rFonts w:ascii="Arial" w:hAnsi="Arial" w:cs="Arial"/>
          <w:sz w:val="20"/>
          <w:szCs w:val="20"/>
        </w:rPr>
        <w:t>10. Household Income, Poverty and Household Expenditure. Official portal of Ministry of Economy (n.d.). https://www.ekonomi.gov.my/en/socio-economic-statistics/household-income-poverty-and-household-expenditure</w:t>
      </w:r>
    </w:p>
    <w:p w14:paraId="7805610F" w14:textId="77777777" w:rsidR="00B01FCD" w:rsidRPr="00FB3A86" w:rsidRDefault="00B01FCD" w:rsidP="00441B6F">
      <w:pPr>
        <w:pStyle w:val="Appendix"/>
        <w:spacing w:after="0"/>
        <w:jc w:val="both"/>
        <w:rPr>
          <w:rFonts w:ascii="Arial" w:hAnsi="Arial" w:cs="Arial"/>
          <w:b w:val="0"/>
        </w:rPr>
      </w:pPr>
    </w:p>
    <w:sectPr w:rsidR="00B01FCD" w:rsidRPr="00FB3A86" w:rsidSect="005C0DEC">
      <w:headerReference w:type="even" r:id="rId21"/>
      <w:headerReference w:type="default" r:id="rId22"/>
      <w:footerReference w:type="default" r:id="rId23"/>
      <w:headerReference w:type="first" r:id="rId2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A9C1F2" w14:textId="77777777" w:rsidR="00E57364" w:rsidRDefault="00E57364" w:rsidP="00C37E61">
      <w:r>
        <w:separator/>
      </w:r>
    </w:p>
  </w:endnote>
  <w:endnote w:type="continuationSeparator" w:id="0">
    <w:p w14:paraId="176297CE" w14:textId="77777777" w:rsidR="00E57364" w:rsidRDefault="00E5736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75305" w14:textId="77777777" w:rsidR="005C0DEC" w:rsidRDefault="005C0D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B614F" w14:textId="77777777" w:rsidR="005C0DEC" w:rsidRDefault="005C0D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41924" w14:textId="326A2F7A" w:rsidR="00754C9A" w:rsidRPr="005C0DEC" w:rsidRDefault="00754C9A" w:rsidP="005C0DEC">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D10F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62F24" w14:textId="77777777" w:rsidR="00E57364" w:rsidRDefault="00E57364" w:rsidP="00C37E61">
      <w:r>
        <w:separator/>
      </w:r>
    </w:p>
  </w:footnote>
  <w:footnote w:type="continuationSeparator" w:id="0">
    <w:p w14:paraId="63B11175" w14:textId="77777777" w:rsidR="00E57364" w:rsidRDefault="00E5736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0A25D" w14:textId="0876C034" w:rsidR="005C0DEC" w:rsidRDefault="005C0DEC">
    <w:pPr>
      <w:pStyle w:val="Header"/>
    </w:pPr>
    <w:r>
      <w:rPr>
        <w:noProof/>
      </w:rPr>
      <w:pict w14:anchorId="0C1479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160485"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CD538" w14:textId="7D29E214" w:rsidR="005C0DEC" w:rsidRDefault="005C0DEC">
    <w:pPr>
      <w:pStyle w:val="Header"/>
    </w:pPr>
    <w:r>
      <w:rPr>
        <w:noProof/>
      </w:rPr>
      <w:pict w14:anchorId="218EC5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160486"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DC612" w14:textId="51D687F7" w:rsidR="00296529" w:rsidRPr="00296529" w:rsidRDefault="005C0DEC" w:rsidP="00296529">
    <w:pPr>
      <w:ind w:left="2160"/>
      <w:jc w:val="center"/>
      <w:rPr>
        <w:rFonts w:ascii="Times New Roman" w:eastAsia="Calibri" w:hAnsi="Times New Roman"/>
        <w:i/>
        <w:sz w:val="18"/>
        <w:szCs w:val="22"/>
      </w:rPr>
    </w:pPr>
    <w:r>
      <w:rPr>
        <w:noProof/>
      </w:rPr>
      <w:pict w14:anchorId="5418AD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160484"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0A4513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ACD93E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BB02A1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04A682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18B614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B21012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28114" w14:textId="48291054" w:rsidR="005C0DEC" w:rsidRDefault="005C0DEC">
    <w:pPr>
      <w:pStyle w:val="Header"/>
    </w:pPr>
    <w:r>
      <w:rPr>
        <w:noProof/>
      </w:rPr>
      <w:pict w14:anchorId="1A9459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160488"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41416" w14:textId="25BBC77D" w:rsidR="005C0DEC" w:rsidRDefault="005C0DEC">
    <w:pPr>
      <w:pStyle w:val="Header"/>
    </w:pPr>
    <w:r>
      <w:rPr>
        <w:noProof/>
      </w:rPr>
      <w:pict w14:anchorId="4BD782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160489"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1A747" w14:textId="40CC7CA7" w:rsidR="005C0DEC" w:rsidRDefault="005C0DEC">
    <w:pPr>
      <w:pStyle w:val="Header"/>
    </w:pPr>
    <w:r>
      <w:rPr>
        <w:noProof/>
      </w:rPr>
      <w:pict w14:anchorId="61FCF8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160487"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610CB"/>
    <w:rsid w:val="000A47FA"/>
    <w:rsid w:val="000A65D3"/>
    <w:rsid w:val="000B1E33"/>
    <w:rsid w:val="000D689F"/>
    <w:rsid w:val="000E7B7B"/>
    <w:rsid w:val="000E7D62"/>
    <w:rsid w:val="00103357"/>
    <w:rsid w:val="00123C9F"/>
    <w:rsid w:val="00126190"/>
    <w:rsid w:val="00130F17"/>
    <w:rsid w:val="001320BF"/>
    <w:rsid w:val="001576EA"/>
    <w:rsid w:val="00163BC4"/>
    <w:rsid w:val="00191062"/>
    <w:rsid w:val="00192B72"/>
    <w:rsid w:val="001A29D8"/>
    <w:rsid w:val="001A5CAA"/>
    <w:rsid w:val="001B0427"/>
    <w:rsid w:val="001D3A51"/>
    <w:rsid w:val="001E10D2"/>
    <w:rsid w:val="001E25B4"/>
    <w:rsid w:val="001E44FE"/>
    <w:rsid w:val="00200595"/>
    <w:rsid w:val="00204835"/>
    <w:rsid w:val="00210C03"/>
    <w:rsid w:val="00231920"/>
    <w:rsid w:val="0023195C"/>
    <w:rsid w:val="0024282C"/>
    <w:rsid w:val="002460DC"/>
    <w:rsid w:val="00250985"/>
    <w:rsid w:val="002556F6"/>
    <w:rsid w:val="00283105"/>
    <w:rsid w:val="00284C4C"/>
    <w:rsid w:val="00286A8B"/>
    <w:rsid w:val="00287E68"/>
    <w:rsid w:val="00296529"/>
    <w:rsid w:val="002B27FB"/>
    <w:rsid w:val="002B685A"/>
    <w:rsid w:val="002C57D2"/>
    <w:rsid w:val="002E0D56"/>
    <w:rsid w:val="00315186"/>
    <w:rsid w:val="0033343E"/>
    <w:rsid w:val="003512C2"/>
    <w:rsid w:val="003628E9"/>
    <w:rsid w:val="00370AD0"/>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13001"/>
    <w:rsid w:val="0053056E"/>
    <w:rsid w:val="00554FDA"/>
    <w:rsid w:val="005C0DEC"/>
    <w:rsid w:val="005C784C"/>
    <w:rsid w:val="005D17F6"/>
    <w:rsid w:val="005E5539"/>
    <w:rsid w:val="005F1CEE"/>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3719D"/>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0B4A"/>
    <w:rsid w:val="00A51431"/>
    <w:rsid w:val="00A539AD"/>
    <w:rsid w:val="00A5455A"/>
    <w:rsid w:val="00A94063"/>
    <w:rsid w:val="00AA6219"/>
    <w:rsid w:val="00AA74E0"/>
    <w:rsid w:val="00AB703F"/>
    <w:rsid w:val="00AC6BB8"/>
    <w:rsid w:val="00AE008F"/>
    <w:rsid w:val="00B01FCD"/>
    <w:rsid w:val="00B1181D"/>
    <w:rsid w:val="00B1776C"/>
    <w:rsid w:val="00B52583"/>
    <w:rsid w:val="00B52896"/>
    <w:rsid w:val="00B95236"/>
    <w:rsid w:val="00B96BD9"/>
    <w:rsid w:val="00BA1B01"/>
    <w:rsid w:val="00BA2641"/>
    <w:rsid w:val="00BB37AA"/>
    <w:rsid w:val="00BC53A0"/>
    <w:rsid w:val="00BE62AD"/>
    <w:rsid w:val="00BF121F"/>
    <w:rsid w:val="00BF1F80"/>
    <w:rsid w:val="00C118D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1BDB"/>
    <w:rsid w:val="00D8295D"/>
    <w:rsid w:val="00DC2A65"/>
    <w:rsid w:val="00DE15F0"/>
    <w:rsid w:val="00DE5663"/>
    <w:rsid w:val="00DE78AA"/>
    <w:rsid w:val="00E053D0"/>
    <w:rsid w:val="00E13E11"/>
    <w:rsid w:val="00E15994"/>
    <w:rsid w:val="00E3114E"/>
    <w:rsid w:val="00E31A70"/>
    <w:rsid w:val="00E35B02"/>
    <w:rsid w:val="00E57364"/>
    <w:rsid w:val="00E66496"/>
    <w:rsid w:val="00E66B35"/>
    <w:rsid w:val="00E66E10"/>
    <w:rsid w:val="00E769F6"/>
    <w:rsid w:val="00E8407C"/>
    <w:rsid w:val="00E84F3C"/>
    <w:rsid w:val="00EA012C"/>
    <w:rsid w:val="00EC6A55"/>
    <w:rsid w:val="00ED0288"/>
    <w:rsid w:val="00EE52CB"/>
    <w:rsid w:val="00EF581D"/>
    <w:rsid w:val="00EF5D93"/>
    <w:rsid w:val="00EF7FD8"/>
    <w:rsid w:val="00F04B89"/>
    <w:rsid w:val="00F06F59"/>
    <w:rsid w:val="00F17988"/>
    <w:rsid w:val="00F469F0"/>
    <w:rsid w:val="00F53273"/>
    <w:rsid w:val="00F755E4"/>
    <w:rsid w:val="00F77D02"/>
    <w:rsid w:val="00FB1D0C"/>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2719653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Spacing">
    <w:name w:val="No Spacing"/>
    <w:uiPriority w:val="1"/>
    <w:qFormat/>
    <w:rsid w:val="00286A8B"/>
    <w:rPr>
      <w:rFonts w:asciiTheme="minorHAnsi" w:eastAsiaTheme="minorHAnsi" w:hAnsiTheme="minorHAnsi"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s://doi.org/10.1186/s43055-022-0074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67227-00AB-45C9-8311-F0BAE55E8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101</TotalTime>
  <Pages>7</Pages>
  <Words>1976</Words>
  <Characters>11267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13217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12</cp:revision>
  <cp:lastPrinted>1999-07-06T11:00:00Z</cp:lastPrinted>
  <dcterms:created xsi:type="dcterms:W3CDTF">2014-10-25T14:34:00Z</dcterms:created>
  <dcterms:modified xsi:type="dcterms:W3CDTF">2025-09-19T13:24:00Z</dcterms:modified>
</cp:coreProperties>
</file>