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724BC" w14:textId="77777777" w:rsidR="00C468E7" w:rsidRPr="00C468E7" w:rsidRDefault="00C468E7" w:rsidP="00C468E7">
      <w:pPr>
        <w:pStyle w:val="LO-normal"/>
        <w:ind w:left="-360" w:right="-360"/>
        <w:rPr>
          <w:rFonts w:ascii="Times New Roman" w:hAnsi="Times New Roman" w:cs="Times New Roman"/>
          <w:b/>
          <w:bCs/>
          <w:i/>
          <w:iCs/>
          <w:sz w:val="28"/>
          <w:szCs w:val="28"/>
          <w:u w:val="single"/>
        </w:rPr>
      </w:pPr>
      <w:r w:rsidRPr="00C468E7">
        <w:rPr>
          <w:rFonts w:ascii="Times New Roman" w:hAnsi="Times New Roman" w:cs="Times New Roman"/>
          <w:b/>
          <w:bCs/>
          <w:i/>
          <w:iCs/>
          <w:sz w:val="28"/>
          <w:szCs w:val="28"/>
          <w:u w:val="single"/>
        </w:rPr>
        <w:t xml:space="preserve">Case report </w:t>
      </w:r>
    </w:p>
    <w:p w14:paraId="531F4BBD" w14:textId="77777777" w:rsidR="00BD62A5" w:rsidRDefault="00BD62A5" w:rsidP="00BD62A5">
      <w:pPr>
        <w:pStyle w:val="LO-normal"/>
        <w:ind w:left="-360" w:right="-360"/>
        <w:rPr>
          <w:rFonts w:ascii="Times New Roman" w:hAnsi="Times New Roman" w:cs="Times New Roman"/>
          <w:b/>
          <w:bCs/>
          <w:sz w:val="28"/>
          <w:szCs w:val="28"/>
        </w:rPr>
      </w:pPr>
    </w:p>
    <w:p w14:paraId="6A022FB9" w14:textId="79D09CE1" w:rsidR="00BD62A5" w:rsidRPr="00BD62A5" w:rsidRDefault="00BD62A5" w:rsidP="00BD62A5">
      <w:pPr>
        <w:pStyle w:val="LO-normal"/>
        <w:ind w:left="-360" w:right="-360"/>
        <w:rPr>
          <w:rFonts w:ascii="Times New Roman" w:eastAsia="Times New Roman" w:hAnsi="Times New Roman" w:cs="Times New Roman"/>
          <w:sz w:val="72"/>
          <w:szCs w:val="72"/>
        </w:rPr>
      </w:pPr>
      <w:r w:rsidRPr="00BD62A5">
        <w:rPr>
          <w:rFonts w:ascii="Times New Roman" w:hAnsi="Times New Roman" w:cs="Times New Roman"/>
          <w:b/>
          <w:bCs/>
          <w:sz w:val="28"/>
          <w:szCs w:val="28"/>
        </w:rPr>
        <w:t>Rare Primary Osseous Kaposiform Hemangioendothelioma Treated with Maternal Fibular Allograft: Case Report and Review</w:t>
      </w:r>
    </w:p>
    <w:p w14:paraId="091C9A16" w14:textId="77777777" w:rsidR="00BD62A5" w:rsidRDefault="00BD62A5">
      <w:pPr>
        <w:pStyle w:val="LO-normal"/>
        <w:ind w:left="-360" w:right="-360"/>
        <w:rPr>
          <w:rFonts w:ascii="Times New Roman" w:eastAsia="Times New Roman" w:hAnsi="Times New Roman" w:cs="Times New Roman"/>
          <w:sz w:val="24"/>
          <w:szCs w:val="24"/>
        </w:rPr>
      </w:pPr>
    </w:p>
    <w:p w14:paraId="50087DF1" w14:textId="1CF6B0E0" w:rsidR="00BD62A5" w:rsidRDefault="00BD62A5" w:rsidP="00BD62A5">
      <w:pPr>
        <w:pStyle w:val="LO-normal"/>
        <w:ind w:left="-360" w:right="-360"/>
      </w:pPr>
    </w:p>
    <w:p w14:paraId="3EEC4ABB" w14:textId="09FBBB1C" w:rsidR="00191E1E" w:rsidRDefault="00191E1E" w:rsidP="00BD62A5">
      <w:pPr>
        <w:pStyle w:val="LO-normal"/>
        <w:ind w:left="-360" w:right="-360"/>
      </w:pPr>
    </w:p>
    <w:p w14:paraId="1945C61D" w14:textId="24CE0F11" w:rsidR="00191E1E" w:rsidRDefault="00191E1E" w:rsidP="00BD62A5">
      <w:pPr>
        <w:pStyle w:val="LO-normal"/>
        <w:ind w:left="-360" w:right="-360"/>
      </w:pPr>
    </w:p>
    <w:p w14:paraId="1024D26D" w14:textId="6FA94B81" w:rsidR="00191E1E" w:rsidRDefault="00191E1E" w:rsidP="00BD62A5">
      <w:pPr>
        <w:pStyle w:val="LO-normal"/>
        <w:ind w:left="-360" w:right="-360"/>
      </w:pPr>
    </w:p>
    <w:p w14:paraId="4CC27EA3" w14:textId="5C8106E9" w:rsidR="00191E1E" w:rsidRDefault="00191E1E" w:rsidP="00BD62A5">
      <w:pPr>
        <w:pStyle w:val="LO-normal"/>
        <w:ind w:left="-360" w:right="-360"/>
      </w:pPr>
    </w:p>
    <w:p w14:paraId="5CF2EE5C" w14:textId="77777777" w:rsidR="00191E1E" w:rsidRDefault="00191E1E" w:rsidP="00BD62A5">
      <w:pPr>
        <w:pStyle w:val="LO-normal"/>
        <w:ind w:left="-360" w:right="-360"/>
      </w:pPr>
    </w:p>
    <w:p w14:paraId="1FD5DEBE" w14:textId="77777777" w:rsidR="00BD62A5" w:rsidRDefault="00BD62A5" w:rsidP="00BD62A5">
      <w:pPr>
        <w:pStyle w:val="LO-normal"/>
        <w:ind w:left="-360" w:right="-360"/>
      </w:pPr>
    </w:p>
    <w:p w14:paraId="0FDD788C" w14:textId="4D3EBA2F" w:rsidR="00BD62A5" w:rsidRPr="00BD62A5" w:rsidRDefault="00BD62A5" w:rsidP="00BD62A5">
      <w:pPr>
        <w:pStyle w:val="LO-normal"/>
        <w:ind w:left="-360" w:right="-360"/>
        <w:rPr>
          <w:rFonts w:ascii="Times New Roman" w:hAnsi="Times New Roman" w:cs="Times New Roman"/>
          <w:b/>
          <w:bCs/>
          <w:sz w:val="24"/>
          <w:szCs w:val="24"/>
        </w:rPr>
      </w:pPr>
      <w:r w:rsidRPr="00BD62A5">
        <w:rPr>
          <w:rFonts w:ascii="Times New Roman" w:hAnsi="Times New Roman" w:cs="Times New Roman"/>
          <w:b/>
          <w:bCs/>
          <w:sz w:val="24"/>
          <w:szCs w:val="24"/>
        </w:rPr>
        <w:t>Abstract</w:t>
      </w:r>
    </w:p>
    <w:p w14:paraId="1D3A357B" w14:textId="77777777" w:rsidR="00BD62A5" w:rsidRPr="00BD62A5" w:rsidRDefault="00BD62A5" w:rsidP="00BD62A5">
      <w:pPr>
        <w:pStyle w:val="LO-normal"/>
        <w:ind w:left="-360" w:right="-360"/>
        <w:rPr>
          <w:rFonts w:ascii="Times New Roman" w:hAnsi="Times New Roman" w:cs="Times New Roman"/>
          <w:sz w:val="24"/>
          <w:szCs w:val="24"/>
        </w:rPr>
      </w:pPr>
    </w:p>
    <w:p w14:paraId="72E7FCC0" w14:textId="6ACEDE7C" w:rsidR="00BD62A5" w:rsidRPr="00BD62A5" w:rsidRDefault="00BD62A5" w:rsidP="00BD62A5">
      <w:pPr>
        <w:pStyle w:val="LO-normal"/>
        <w:ind w:left="-360" w:right="-360"/>
        <w:rPr>
          <w:rFonts w:ascii="Times New Roman" w:eastAsia="Times New Roman" w:hAnsi="Times New Roman" w:cs="Times New Roman"/>
          <w:sz w:val="28"/>
          <w:szCs w:val="28"/>
        </w:rPr>
      </w:pPr>
      <w:r w:rsidRPr="00BD62A5">
        <w:rPr>
          <w:rFonts w:ascii="Times New Roman" w:hAnsi="Times New Roman" w:cs="Times New Roman"/>
          <w:sz w:val="24"/>
          <w:szCs w:val="24"/>
        </w:rPr>
        <w:t>Kaposiform hemangioendothelioma (KHE) is a rare vascular tumor of intermediate malignancy, with primary osseous involvement being exceptionally uncommon. We report the first case from India of femoral diaphyseal KHE in a 3-year-old boy who presented with recurrent fractures and thigh swelling. Diagnosis was confirmed by histopathology and immunohistochemistry. The patient underwent wide excision of the femoral diaphysis with maternal fibular allograft reconstruction. At 11 months, graft displacement and non-union required revision surgery with a second maternal fibular strut, after which stable function was achieved. This case demonstrates the feasibility of maternal fibular allograft in pediatric bone KHE and emphasizes the need for close follow-up due to graft-related complications.</w:t>
      </w:r>
    </w:p>
    <w:p w14:paraId="215CA844" w14:textId="77777777" w:rsidR="00BD62A5" w:rsidRPr="00BD62A5" w:rsidRDefault="00BD62A5">
      <w:pPr>
        <w:pStyle w:val="LO-normal"/>
        <w:ind w:left="-360" w:right="-360"/>
        <w:jc w:val="both"/>
        <w:rPr>
          <w:rFonts w:ascii="Times New Roman" w:eastAsia="Times New Roman" w:hAnsi="Times New Roman" w:cs="Times New Roman"/>
          <w:bCs/>
          <w:color w:val="2E2B2B"/>
          <w:sz w:val="24"/>
          <w:szCs w:val="24"/>
          <w:highlight w:val="white"/>
        </w:rPr>
      </w:pPr>
    </w:p>
    <w:p w14:paraId="34FCD3B6" w14:textId="6B9DD762" w:rsidR="002A131C" w:rsidRDefault="00861C01">
      <w:pPr>
        <w:pStyle w:val="LO-normal"/>
        <w:ind w:left="-360" w:right="-360"/>
        <w:jc w:val="both"/>
        <w:rPr>
          <w:rFonts w:ascii="Times New Roman" w:eastAsia="Times New Roman" w:hAnsi="Times New Roman" w:cs="Times New Roman"/>
          <w:b/>
          <w:color w:val="2E2B2B"/>
          <w:sz w:val="24"/>
          <w:szCs w:val="24"/>
          <w:highlight w:val="white"/>
        </w:rPr>
      </w:pPr>
      <w:r>
        <w:rPr>
          <w:rFonts w:ascii="Times New Roman" w:eastAsia="Times New Roman" w:hAnsi="Times New Roman" w:cs="Times New Roman"/>
          <w:b/>
          <w:color w:val="2E2B2B"/>
          <w:sz w:val="24"/>
          <w:szCs w:val="24"/>
          <w:highlight w:val="white"/>
        </w:rPr>
        <w:t>Introduction</w:t>
      </w:r>
    </w:p>
    <w:p w14:paraId="6252B413"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19D31745" w14:textId="77777777"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Kaposiform hemangioendothelioma (KHE) is a neoplasm originating mainly from blood vessels and has a l</w:t>
      </w:r>
      <w:r>
        <w:rPr>
          <w:rFonts w:ascii="Times New Roman" w:eastAsia="Times New Roman" w:hAnsi="Times New Roman" w:cs="Times New Roman"/>
          <w:color w:val="2E2B2B"/>
          <w:sz w:val="24"/>
          <w:szCs w:val="24"/>
          <w:highlight w:val="white"/>
        </w:rPr>
        <w:t>ow propensity for malignancy. This neoplasm mainly arises in soft tissue and retroperitoneum. Histological findings include a nodular arrangement of oval-to-spindle cells containing pale cytoplasm. Vascular spaces are in the form of slit-like channels in w</w:t>
      </w:r>
      <w:r>
        <w:rPr>
          <w:rFonts w:ascii="Times New Roman" w:eastAsia="Times New Roman" w:hAnsi="Times New Roman" w:cs="Times New Roman"/>
          <w:color w:val="2E2B2B"/>
          <w:sz w:val="24"/>
          <w:szCs w:val="24"/>
          <w:highlight w:val="white"/>
        </w:rPr>
        <w:t>hich red blood cells are trapped [3]. Treatment options include surgical excision with wide margins and adjuvant chemotherapy in various combinations. Very few case reports have been published on KHE of long bone worldwide. Here we present the very first p</w:t>
      </w:r>
      <w:r>
        <w:rPr>
          <w:rFonts w:ascii="Times New Roman" w:eastAsia="Times New Roman" w:hAnsi="Times New Roman" w:cs="Times New Roman"/>
          <w:color w:val="2E2B2B"/>
          <w:sz w:val="24"/>
          <w:szCs w:val="24"/>
          <w:highlight w:val="white"/>
        </w:rPr>
        <w:t>ublished case report on KHE of diaphysis of femur from India.</w:t>
      </w:r>
    </w:p>
    <w:p w14:paraId="523067CA"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260A934A" w14:textId="77777777" w:rsidR="002A131C" w:rsidRDefault="00861C01">
      <w:pPr>
        <w:pStyle w:val="LO-normal"/>
        <w:ind w:left="-360" w:right="-360"/>
        <w:jc w:val="both"/>
        <w:rPr>
          <w:rFonts w:ascii="Times New Roman" w:eastAsia="Times New Roman" w:hAnsi="Times New Roman" w:cs="Times New Roman"/>
          <w:b/>
          <w:color w:val="2E2B2B"/>
          <w:sz w:val="24"/>
          <w:szCs w:val="24"/>
          <w:highlight w:val="white"/>
        </w:rPr>
      </w:pPr>
      <w:r>
        <w:rPr>
          <w:rFonts w:ascii="Times New Roman" w:eastAsia="Times New Roman" w:hAnsi="Times New Roman" w:cs="Times New Roman"/>
          <w:b/>
          <w:color w:val="2E2B2B"/>
          <w:sz w:val="24"/>
          <w:szCs w:val="24"/>
          <w:highlight w:val="white"/>
        </w:rPr>
        <w:t>Case Report</w:t>
      </w:r>
    </w:p>
    <w:p w14:paraId="7EC14EBA"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58F63566" w14:textId="77777777"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 xml:space="preserve">A 3-year-old boy presented to us with a history of recurrent fracture of right femur with trivial trauma managed by cast in outside facilities and recent onset of gradually </w:t>
      </w:r>
      <w:r>
        <w:rPr>
          <w:rFonts w:ascii="Times New Roman" w:eastAsia="Times New Roman" w:hAnsi="Times New Roman" w:cs="Times New Roman"/>
          <w:color w:val="2E2B2B"/>
          <w:sz w:val="24"/>
          <w:szCs w:val="24"/>
          <w:highlight w:val="white"/>
        </w:rPr>
        <w:t>progressive swelling of right thigh. He was evaluated with X-Ray and MRI of right thigh.</w:t>
      </w:r>
    </w:p>
    <w:p w14:paraId="786B5F3F"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4A31E1E2" w14:textId="77777777"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 xml:space="preserve">MRI: Suggestive of T2 hyperintense soft tissue mass in mid diaphysis of right femur with multiple hypointense foci within. There’s associated periosteal elevation in </w:t>
      </w:r>
      <w:r>
        <w:rPr>
          <w:rFonts w:ascii="Times New Roman" w:eastAsia="Times New Roman" w:hAnsi="Times New Roman" w:cs="Times New Roman"/>
          <w:color w:val="2E2B2B"/>
          <w:sz w:val="24"/>
          <w:szCs w:val="24"/>
          <w:highlight w:val="white"/>
        </w:rPr>
        <w:t>the proximal part of the lesion. Plane with SFA and SFV maintained.</w:t>
      </w:r>
    </w:p>
    <w:p w14:paraId="76B36773"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3CAB31B9" w14:textId="77777777" w:rsidR="00BD62A5" w:rsidRDefault="00BD62A5">
      <w:pPr>
        <w:pStyle w:val="LO-normal"/>
        <w:ind w:left="-360" w:right="-360"/>
        <w:jc w:val="both"/>
        <w:rPr>
          <w:rFonts w:ascii="Times New Roman" w:eastAsia="Times New Roman" w:hAnsi="Times New Roman" w:cs="Times New Roman"/>
          <w:color w:val="2E2B2B"/>
          <w:sz w:val="24"/>
          <w:szCs w:val="24"/>
          <w:highlight w:val="white"/>
        </w:rPr>
      </w:pPr>
    </w:p>
    <w:p w14:paraId="12208A73" w14:textId="77777777" w:rsidR="00BD62A5" w:rsidRDefault="00BD62A5">
      <w:pPr>
        <w:pStyle w:val="LO-normal"/>
        <w:ind w:left="-360" w:right="-360"/>
        <w:jc w:val="both"/>
        <w:rPr>
          <w:rFonts w:ascii="Times New Roman" w:eastAsia="Times New Roman" w:hAnsi="Times New Roman" w:cs="Times New Roman"/>
          <w:color w:val="2E2B2B"/>
          <w:sz w:val="24"/>
          <w:szCs w:val="24"/>
          <w:highlight w:val="white"/>
        </w:rPr>
      </w:pPr>
    </w:p>
    <w:p w14:paraId="1F99685F" w14:textId="77777777" w:rsidR="00BD62A5" w:rsidRDefault="00BD62A5">
      <w:pPr>
        <w:pStyle w:val="LO-normal"/>
        <w:ind w:left="-360" w:right="-360"/>
        <w:jc w:val="both"/>
        <w:rPr>
          <w:rFonts w:ascii="Times New Roman" w:eastAsia="Times New Roman" w:hAnsi="Times New Roman" w:cs="Times New Roman"/>
          <w:color w:val="2E2B2B"/>
          <w:sz w:val="24"/>
          <w:szCs w:val="24"/>
          <w:highlight w:val="white"/>
        </w:rPr>
      </w:pPr>
    </w:p>
    <w:p w14:paraId="1F3F9919" w14:textId="77777777" w:rsidR="00BD62A5" w:rsidRDefault="00BD62A5">
      <w:pPr>
        <w:pStyle w:val="LO-normal"/>
        <w:ind w:left="-360" w:right="-360"/>
        <w:jc w:val="both"/>
        <w:rPr>
          <w:rFonts w:ascii="Times New Roman" w:eastAsia="Times New Roman" w:hAnsi="Times New Roman" w:cs="Times New Roman"/>
          <w:color w:val="2E2B2B"/>
          <w:sz w:val="24"/>
          <w:szCs w:val="24"/>
          <w:highlight w:val="white"/>
        </w:rPr>
      </w:pPr>
    </w:p>
    <w:p w14:paraId="07C5E9C7" w14:textId="77777777" w:rsidR="00BD62A5" w:rsidRDefault="00BD62A5">
      <w:pPr>
        <w:pStyle w:val="LO-normal"/>
        <w:ind w:left="-360" w:right="-360"/>
        <w:jc w:val="both"/>
        <w:rPr>
          <w:rFonts w:ascii="Times New Roman" w:eastAsia="Times New Roman" w:hAnsi="Times New Roman" w:cs="Times New Roman"/>
          <w:color w:val="2E2B2B"/>
          <w:sz w:val="24"/>
          <w:szCs w:val="24"/>
          <w:highlight w:val="white"/>
        </w:rPr>
      </w:pPr>
    </w:p>
    <w:p w14:paraId="715DD6C6" w14:textId="77777777"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noProof/>
        </w:rPr>
        <w:drawing>
          <wp:inline distT="0" distB="0" distL="0" distR="0" wp14:anchorId="17388BF3" wp14:editId="6F5DAAC4">
            <wp:extent cx="1948180" cy="2738755"/>
            <wp:effectExtent l="0" t="0" r="0" b="0"/>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7"/>
                    <a:srcRect l="18612" t="28269" r="28401" b="15565"/>
                    <a:stretch>
                      <a:fillRect/>
                    </a:stretch>
                  </pic:blipFill>
                  <pic:spPr bwMode="auto">
                    <a:xfrm>
                      <a:off x="0" y="0"/>
                      <a:ext cx="1948180" cy="2738755"/>
                    </a:xfrm>
                    <a:prstGeom prst="rect">
                      <a:avLst/>
                    </a:prstGeom>
                  </pic:spPr>
                </pic:pic>
              </a:graphicData>
            </a:graphic>
          </wp:inline>
        </w:drawing>
      </w:r>
    </w:p>
    <w:p w14:paraId="426C5008" w14:textId="4EA61F61" w:rsidR="002A131C" w:rsidRPr="00BD62A5" w:rsidRDefault="00861C01" w:rsidP="00BD62A5">
      <w:pPr>
        <w:pStyle w:val="LO-normal"/>
        <w:ind w:left="-360" w:right="-360"/>
        <w:jc w:val="both"/>
        <w:rPr>
          <w:rFonts w:ascii="Times New Roman" w:eastAsia="Times New Roman" w:hAnsi="Times New Roman" w:cs="Times New Roman"/>
          <w:i/>
          <w:color w:val="2E2B2B"/>
          <w:sz w:val="24"/>
          <w:szCs w:val="24"/>
          <w:highlight w:val="white"/>
        </w:rPr>
      </w:pPr>
      <w:r>
        <w:rPr>
          <w:rFonts w:ascii="Times New Roman" w:eastAsia="Times New Roman" w:hAnsi="Times New Roman" w:cs="Times New Roman"/>
          <w:i/>
          <w:color w:val="2E2B2B"/>
          <w:sz w:val="24"/>
          <w:szCs w:val="24"/>
          <w:highlight w:val="white"/>
        </w:rPr>
        <w:t xml:space="preserve">Fig 1. Pre-op </w:t>
      </w:r>
      <w:proofErr w:type="spellStart"/>
      <w:r>
        <w:rPr>
          <w:rFonts w:ascii="Times New Roman" w:eastAsia="Times New Roman" w:hAnsi="Times New Roman" w:cs="Times New Roman"/>
          <w:i/>
          <w:color w:val="2E2B2B"/>
          <w:sz w:val="24"/>
          <w:szCs w:val="24"/>
          <w:highlight w:val="white"/>
        </w:rPr>
        <w:t>XRay</w:t>
      </w:r>
      <w:proofErr w:type="spellEnd"/>
    </w:p>
    <w:p w14:paraId="504728F5"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54FB27FA" w14:textId="70B68A73"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 xml:space="preserve">HPE with IHC: Showed low to intermediate grade spindle cell tumor, CD31-, CD34+, SATB2-, ERG+, The tumor cells were negative for HHV8 and LNA-1. Fli1 was unavailable in our institute. Overall features suggestive of </w:t>
      </w:r>
      <w:proofErr w:type="spellStart"/>
      <w:r>
        <w:rPr>
          <w:rFonts w:ascii="Times New Roman" w:eastAsia="Times New Roman" w:hAnsi="Times New Roman" w:cs="Times New Roman"/>
          <w:color w:val="2E2B2B"/>
          <w:sz w:val="24"/>
          <w:szCs w:val="24"/>
          <w:highlight w:val="white"/>
        </w:rPr>
        <w:t>kaposiform</w:t>
      </w:r>
      <w:proofErr w:type="spellEnd"/>
      <w:r>
        <w:rPr>
          <w:rFonts w:ascii="Times New Roman" w:eastAsia="Times New Roman" w:hAnsi="Times New Roman" w:cs="Times New Roman"/>
          <w:color w:val="2E2B2B"/>
          <w:sz w:val="24"/>
          <w:szCs w:val="24"/>
          <w:highlight w:val="white"/>
        </w:rPr>
        <w:t xml:space="preserve"> hemangioendothelioma.</w:t>
      </w:r>
    </w:p>
    <w:p w14:paraId="42398E04" w14:textId="77777777" w:rsidR="002A131C" w:rsidRDefault="002A131C" w:rsidP="00BD62A5">
      <w:pPr>
        <w:pStyle w:val="LO-normal"/>
        <w:ind w:right="-360"/>
        <w:jc w:val="both"/>
        <w:rPr>
          <w:rFonts w:ascii="Times New Roman" w:eastAsia="Times New Roman" w:hAnsi="Times New Roman" w:cs="Times New Roman"/>
          <w:color w:val="2E2B2B"/>
          <w:sz w:val="24"/>
          <w:szCs w:val="24"/>
          <w:highlight w:val="white"/>
        </w:rPr>
      </w:pPr>
    </w:p>
    <w:p w14:paraId="350A1462" w14:textId="77777777"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Surgery</w:t>
      </w:r>
      <w:r>
        <w:rPr>
          <w:rFonts w:ascii="Times New Roman" w:eastAsia="Times New Roman" w:hAnsi="Times New Roman" w:cs="Times New Roman"/>
          <w:color w:val="2E2B2B"/>
          <w:sz w:val="24"/>
          <w:szCs w:val="24"/>
          <w:highlight w:val="white"/>
        </w:rPr>
        <w:t>: Femoral diaphysis was removed preserving 3 cm proximal and 2 cm distal femur and maternal non-vascularized fibular allograft was used for bony reconstruction with two plates and screw fixation. Post-op period was uneventful.</w:t>
      </w:r>
    </w:p>
    <w:p w14:paraId="5EBCC0C7" w14:textId="77777777"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noProof/>
        </w:rPr>
        <w:drawing>
          <wp:inline distT="0" distB="0" distL="0" distR="0" wp14:anchorId="776D089A" wp14:editId="0E662B54">
            <wp:extent cx="2508885" cy="3352165"/>
            <wp:effectExtent l="0" t="0" r="0" b="0"/>
            <wp:docPr id="3"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pic:cNvPicPr>
                      <a:picLocks noChangeAspect="1" noChangeArrowheads="1"/>
                    </pic:cNvPicPr>
                  </pic:nvPicPr>
                  <pic:blipFill>
                    <a:blip r:embed="rId8"/>
                    <a:srcRect l="19941" t="22294" r="20930" b="18186"/>
                    <a:stretch>
                      <a:fillRect/>
                    </a:stretch>
                  </pic:blipFill>
                  <pic:spPr bwMode="auto">
                    <a:xfrm>
                      <a:off x="0" y="0"/>
                      <a:ext cx="2508885" cy="3352165"/>
                    </a:xfrm>
                    <a:prstGeom prst="rect">
                      <a:avLst/>
                    </a:prstGeom>
                  </pic:spPr>
                </pic:pic>
              </a:graphicData>
            </a:graphic>
          </wp:inline>
        </w:drawing>
      </w:r>
      <w:r>
        <w:rPr>
          <w:noProof/>
        </w:rPr>
        <w:drawing>
          <wp:inline distT="0" distB="0" distL="0" distR="0" wp14:anchorId="0BBAA5CD" wp14:editId="19846331">
            <wp:extent cx="2862580" cy="3343910"/>
            <wp:effectExtent l="0" t="0" r="0" b="0"/>
            <wp:docPr id="4"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g"/>
                    <pic:cNvPicPr>
                      <a:picLocks noChangeAspect="1" noChangeArrowheads="1"/>
                    </pic:cNvPicPr>
                  </pic:nvPicPr>
                  <pic:blipFill>
                    <a:blip r:embed="rId9"/>
                    <a:srcRect l="20763" t="48452" r="29906" b="8345"/>
                    <a:stretch>
                      <a:fillRect/>
                    </a:stretch>
                  </pic:blipFill>
                  <pic:spPr bwMode="auto">
                    <a:xfrm>
                      <a:off x="0" y="0"/>
                      <a:ext cx="2862580" cy="3343910"/>
                    </a:xfrm>
                    <a:prstGeom prst="rect">
                      <a:avLst/>
                    </a:prstGeom>
                  </pic:spPr>
                </pic:pic>
              </a:graphicData>
            </a:graphic>
          </wp:inline>
        </w:drawing>
      </w:r>
    </w:p>
    <w:p w14:paraId="0A3C6F95" w14:textId="77777777" w:rsidR="002A131C" w:rsidRDefault="00861C01">
      <w:pPr>
        <w:pStyle w:val="LO-normal"/>
        <w:ind w:left="-360" w:right="-360"/>
        <w:jc w:val="both"/>
        <w:rPr>
          <w:rFonts w:ascii="Times New Roman" w:eastAsia="Times New Roman" w:hAnsi="Times New Roman" w:cs="Times New Roman"/>
          <w:i/>
          <w:color w:val="2E2B2B"/>
          <w:sz w:val="24"/>
          <w:szCs w:val="24"/>
          <w:highlight w:val="white"/>
        </w:rPr>
      </w:pPr>
      <w:r>
        <w:rPr>
          <w:rFonts w:ascii="Times New Roman" w:eastAsia="Times New Roman" w:hAnsi="Times New Roman" w:cs="Times New Roman"/>
          <w:i/>
          <w:color w:val="2E2B2B"/>
          <w:sz w:val="24"/>
          <w:szCs w:val="24"/>
          <w:highlight w:val="white"/>
        </w:rPr>
        <w:t>Fig 2. Post op Fibula Allo</w:t>
      </w:r>
      <w:r>
        <w:rPr>
          <w:rFonts w:ascii="Times New Roman" w:eastAsia="Times New Roman" w:hAnsi="Times New Roman" w:cs="Times New Roman"/>
          <w:i/>
          <w:color w:val="2E2B2B"/>
          <w:sz w:val="24"/>
          <w:szCs w:val="24"/>
          <w:highlight w:val="white"/>
        </w:rPr>
        <w:t>graft</w:t>
      </w:r>
      <w:r>
        <w:rPr>
          <w:rFonts w:ascii="Times New Roman" w:eastAsia="Times New Roman" w:hAnsi="Times New Roman" w:cs="Times New Roman"/>
          <w:i/>
          <w:color w:val="2E2B2B"/>
          <w:sz w:val="24"/>
          <w:szCs w:val="24"/>
          <w:highlight w:val="white"/>
        </w:rPr>
        <w:tab/>
      </w:r>
      <w:r>
        <w:rPr>
          <w:rFonts w:ascii="Times New Roman" w:eastAsia="Times New Roman" w:hAnsi="Times New Roman" w:cs="Times New Roman"/>
          <w:i/>
          <w:color w:val="2E2B2B"/>
          <w:sz w:val="24"/>
          <w:szCs w:val="24"/>
          <w:highlight w:val="white"/>
        </w:rPr>
        <w:tab/>
        <w:t xml:space="preserve"> Fig 3. Maternal right fibula harvested</w:t>
      </w:r>
    </w:p>
    <w:p w14:paraId="4B916013"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0859C57B" w14:textId="77777777" w:rsidR="00BD62A5" w:rsidRDefault="00861C01">
      <w:pPr>
        <w:pStyle w:val="LO-normal"/>
        <w:ind w:left="-360" w:right="-360"/>
        <w:jc w:val="both"/>
        <w:rPr>
          <w:rFonts w:ascii="Times New Roman" w:eastAsia="Times New Roman" w:hAnsi="Times New Roman" w:cs="Times New Roman"/>
          <w:color w:val="2E2B2B"/>
          <w:sz w:val="24"/>
          <w:szCs w:val="24"/>
        </w:rPr>
      </w:pPr>
      <w:r>
        <w:rPr>
          <w:rFonts w:ascii="Times New Roman" w:eastAsia="Times New Roman" w:hAnsi="Times New Roman" w:cs="Times New Roman"/>
          <w:color w:val="2E2B2B"/>
          <w:sz w:val="24"/>
          <w:szCs w:val="24"/>
          <w:highlight w:val="white"/>
        </w:rPr>
        <w:t>Follow-up: Patient was on regular follow-up and at the 11th month the follow-up X-Ray showed distal end of the bony graft was displaced with frank non-union and limb shortening. Re-operation was planned and t</w:t>
      </w:r>
      <w:r>
        <w:rPr>
          <w:rFonts w:ascii="Times New Roman" w:eastAsia="Times New Roman" w:hAnsi="Times New Roman" w:cs="Times New Roman"/>
          <w:color w:val="2E2B2B"/>
          <w:sz w:val="24"/>
          <w:szCs w:val="24"/>
          <w:highlight w:val="white"/>
        </w:rPr>
        <w:t>he mother agreed on donating the opposite fibula for allograft fibula strut.</w:t>
      </w:r>
    </w:p>
    <w:p w14:paraId="231F948B" w14:textId="0098FE20"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noProof/>
        </w:rPr>
        <w:lastRenderedPageBreak/>
        <w:drawing>
          <wp:inline distT="0" distB="0" distL="0" distR="0" wp14:anchorId="062D5F5C" wp14:editId="15B01076">
            <wp:extent cx="1442720" cy="2565400"/>
            <wp:effectExtent l="0" t="0" r="0" b="0"/>
            <wp:docPr id="5" name="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jpg"/>
                    <pic:cNvPicPr>
                      <a:picLocks noChangeAspect="1" noChangeArrowheads="1"/>
                    </pic:cNvPicPr>
                  </pic:nvPicPr>
                  <pic:blipFill>
                    <a:blip r:embed="rId10"/>
                    <a:srcRect l="44852" t="44831" r="22923" b="12332"/>
                    <a:stretch>
                      <a:fillRect/>
                    </a:stretch>
                  </pic:blipFill>
                  <pic:spPr bwMode="auto">
                    <a:xfrm>
                      <a:off x="0" y="0"/>
                      <a:ext cx="1442720" cy="2565400"/>
                    </a:xfrm>
                    <a:prstGeom prst="rect">
                      <a:avLst/>
                    </a:prstGeom>
                  </pic:spPr>
                </pic:pic>
              </a:graphicData>
            </a:graphic>
          </wp:inline>
        </w:drawing>
      </w:r>
    </w:p>
    <w:p w14:paraId="0D925198" w14:textId="77777777" w:rsidR="002A131C" w:rsidRDefault="00861C01">
      <w:pPr>
        <w:pStyle w:val="LO-normal"/>
        <w:ind w:left="-360" w:right="-360"/>
        <w:jc w:val="both"/>
        <w:rPr>
          <w:rFonts w:ascii="Times New Roman" w:eastAsia="Times New Roman" w:hAnsi="Times New Roman" w:cs="Times New Roman"/>
          <w:i/>
          <w:color w:val="2E2B2B"/>
          <w:sz w:val="24"/>
          <w:szCs w:val="24"/>
          <w:highlight w:val="white"/>
        </w:rPr>
      </w:pPr>
      <w:r>
        <w:rPr>
          <w:rFonts w:ascii="Times New Roman" w:eastAsia="Times New Roman" w:hAnsi="Times New Roman" w:cs="Times New Roman"/>
          <w:i/>
          <w:color w:val="2E2B2B"/>
          <w:sz w:val="24"/>
          <w:szCs w:val="24"/>
          <w:highlight w:val="white"/>
        </w:rPr>
        <w:t>Fig 4. 9th month follow up X-Ray</w:t>
      </w:r>
    </w:p>
    <w:p w14:paraId="4150F76E" w14:textId="77777777"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noProof/>
        </w:rPr>
        <w:drawing>
          <wp:inline distT="0" distB="0" distL="0" distR="0" wp14:anchorId="1E742FA6" wp14:editId="6A54B04B">
            <wp:extent cx="3933825" cy="4191000"/>
            <wp:effectExtent l="0" t="0" r="0" b="0"/>
            <wp:docPr id="6" name="imag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jpg"/>
                    <pic:cNvPicPr>
                      <a:picLocks noChangeAspect="1" noChangeArrowheads="1"/>
                    </pic:cNvPicPr>
                  </pic:nvPicPr>
                  <pic:blipFill>
                    <a:blip r:embed="rId11"/>
                    <a:srcRect l="10546" t="32359" r="20851" b="7578"/>
                    <a:stretch>
                      <a:fillRect/>
                    </a:stretch>
                  </pic:blipFill>
                  <pic:spPr bwMode="auto">
                    <a:xfrm>
                      <a:off x="0" y="0"/>
                      <a:ext cx="3933825" cy="4191000"/>
                    </a:xfrm>
                    <a:prstGeom prst="rect">
                      <a:avLst/>
                    </a:prstGeom>
                  </pic:spPr>
                </pic:pic>
              </a:graphicData>
            </a:graphic>
          </wp:inline>
        </w:drawing>
      </w:r>
    </w:p>
    <w:p w14:paraId="5A310E2D" w14:textId="77777777" w:rsidR="002A131C" w:rsidRDefault="00861C01">
      <w:pPr>
        <w:pStyle w:val="LO-normal"/>
        <w:ind w:left="-360" w:right="-360"/>
        <w:jc w:val="both"/>
        <w:rPr>
          <w:rFonts w:ascii="Times New Roman" w:eastAsia="Times New Roman" w:hAnsi="Times New Roman" w:cs="Times New Roman"/>
          <w:i/>
          <w:color w:val="2E2B2B"/>
          <w:sz w:val="24"/>
          <w:szCs w:val="24"/>
          <w:highlight w:val="white"/>
        </w:rPr>
      </w:pPr>
      <w:r>
        <w:rPr>
          <w:rFonts w:ascii="Times New Roman" w:eastAsia="Times New Roman" w:hAnsi="Times New Roman" w:cs="Times New Roman"/>
          <w:i/>
          <w:color w:val="2E2B2B"/>
          <w:sz w:val="24"/>
          <w:szCs w:val="24"/>
          <w:highlight w:val="white"/>
        </w:rPr>
        <w:t>Fig 5. 11th month follow-up X-Ray showing displaced fracture at distal end</w:t>
      </w:r>
    </w:p>
    <w:p w14:paraId="26F9BEAC"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56149CA8" w14:textId="25EA60FB"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 xml:space="preserve">Repeat Surgery: Previous plate removal, open reduction of </w:t>
      </w:r>
      <w:r>
        <w:rPr>
          <w:rFonts w:ascii="Times New Roman" w:eastAsia="Times New Roman" w:hAnsi="Times New Roman" w:cs="Times New Roman"/>
          <w:color w:val="2E2B2B"/>
          <w:sz w:val="24"/>
          <w:szCs w:val="24"/>
          <w:highlight w:val="white"/>
        </w:rPr>
        <w:t>displaced bony ends with plate fixation and fibular strut allograft was done using maternal femur. Steel</w:t>
      </w:r>
      <w:r w:rsidR="006D144F">
        <w:rPr>
          <w:rFonts w:ascii="Times New Roman" w:eastAsia="Times New Roman" w:hAnsi="Times New Roman" w:cs="Times New Roman"/>
          <w:color w:val="2E2B2B"/>
          <w:sz w:val="24"/>
          <w:szCs w:val="24"/>
          <w:highlight w:val="white"/>
        </w:rPr>
        <w:t>-</w:t>
      </w:r>
      <w:r>
        <w:rPr>
          <w:rFonts w:ascii="Times New Roman" w:eastAsia="Times New Roman" w:hAnsi="Times New Roman" w:cs="Times New Roman"/>
          <w:color w:val="2E2B2B"/>
          <w:sz w:val="24"/>
          <w:szCs w:val="24"/>
          <w:highlight w:val="white"/>
        </w:rPr>
        <w:t>wire was used to stabilize the new fibular strut.</w:t>
      </w:r>
    </w:p>
    <w:p w14:paraId="6FCAC081" w14:textId="77777777"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noProof/>
        </w:rPr>
        <w:lastRenderedPageBreak/>
        <w:drawing>
          <wp:inline distT="0" distB="0" distL="0" distR="0" wp14:anchorId="4DFC27E7" wp14:editId="5D93B005">
            <wp:extent cx="2576830" cy="3381375"/>
            <wp:effectExtent l="0" t="0" r="0" b="0"/>
            <wp:docPr id="7" name="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jpg"/>
                    <pic:cNvPicPr>
                      <a:picLocks noChangeAspect="1" noChangeArrowheads="1"/>
                    </pic:cNvPicPr>
                  </pic:nvPicPr>
                  <pic:blipFill>
                    <a:blip r:embed="rId12"/>
                    <a:srcRect l="7215" t="7618" r="8204" b="9095"/>
                    <a:stretch>
                      <a:fillRect/>
                    </a:stretch>
                  </pic:blipFill>
                  <pic:spPr bwMode="auto">
                    <a:xfrm>
                      <a:off x="0" y="0"/>
                      <a:ext cx="2576830" cy="3381375"/>
                    </a:xfrm>
                    <a:prstGeom prst="rect">
                      <a:avLst/>
                    </a:prstGeom>
                  </pic:spPr>
                </pic:pic>
              </a:graphicData>
            </a:graphic>
          </wp:inline>
        </w:drawing>
      </w:r>
      <w:r>
        <w:rPr>
          <w:noProof/>
        </w:rPr>
        <w:drawing>
          <wp:inline distT="0" distB="0" distL="0" distR="0" wp14:anchorId="05D48743" wp14:editId="4555C7D7">
            <wp:extent cx="2909570" cy="3388360"/>
            <wp:effectExtent l="0" t="0" r="0" b="0"/>
            <wp:docPr id="8"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g"/>
                    <pic:cNvPicPr>
                      <a:picLocks noChangeAspect="1" noChangeArrowheads="1"/>
                    </pic:cNvPicPr>
                  </pic:nvPicPr>
                  <pic:blipFill>
                    <a:blip r:embed="rId13"/>
                    <a:srcRect l="13273" t="40797" r="29099" b="8899"/>
                    <a:stretch>
                      <a:fillRect/>
                    </a:stretch>
                  </pic:blipFill>
                  <pic:spPr bwMode="auto">
                    <a:xfrm>
                      <a:off x="0" y="0"/>
                      <a:ext cx="2909570" cy="3388360"/>
                    </a:xfrm>
                    <a:prstGeom prst="rect">
                      <a:avLst/>
                    </a:prstGeom>
                  </pic:spPr>
                </pic:pic>
              </a:graphicData>
            </a:graphic>
          </wp:inline>
        </w:drawing>
      </w:r>
    </w:p>
    <w:p w14:paraId="50480F25" w14:textId="77777777" w:rsidR="002A131C" w:rsidRDefault="00861C01">
      <w:pPr>
        <w:pStyle w:val="LO-normal"/>
        <w:ind w:left="-360" w:right="-360"/>
        <w:jc w:val="both"/>
        <w:rPr>
          <w:rFonts w:ascii="Times New Roman" w:eastAsia="Times New Roman" w:hAnsi="Times New Roman" w:cs="Times New Roman"/>
          <w:i/>
          <w:color w:val="2E2B2B"/>
          <w:sz w:val="24"/>
          <w:szCs w:val="24"/>
          <w:highlight w:val="white"/>
        </w:rPr>
      </w:pPr>
      <w:r>
        <w:rPr>
          <w:rFonts w:ascii="Times New Roman" w:eastAsia="Times New Roman" w:hAnsi="Times New Roman" w:cs="Times New Roman"/>
          <w:i/>
          <w:color w:val="2E2B2B"/>
          <w:sz w:val="24"/>
          <w:szCs w:val="24"/>
          <w:highlight w:val="white"/>
        </w:rPr>
        <w:t>Fig 6. Intra-op image</w:t>
      </w:r>
      <w:r>
        <w:rPr>
          <w:rFonts w:ascii="Times New Roman" w:eastAsia="Times New Roman" w:hAnsi="Times New Roman" w:cs="Times New Roman"/>
          <w:i/>
          <w:color w:val="2E2B2B"/>
          <w:sz w:val="24"/>
          <w:szCs w:val="24"/>
          <w:highlight w:val="white"/>
        </w:rPr>
        <w:tab/>
      </w:r>
      <w:r>
        <w:rPr>
          <w:rFonts w:ascii="Times New Roman" w:eastAsia="Times New Roman" w:hAnsi="Times New Roman" w:cs="Times New Roman"/>
          <w:i/>
          <w:color w:val="2E2B2B"/>
          <w:sz w:val="24"/>
          <w:szCs w:val="24"/>
          <w:highlight w:val="white"/>
        </w:rPr>
        <w:tab/>
      </w:r>
      <w:r>
        <w:rPr>
          <w:rFonts w:ascii="Times New Roman" w:eastAsia="Times New Roman" w:hAnsi="Times New Roman" w:cs="Times New Roman"/>
          <w:i/>
          <w:color w:val="2E2B2B"/>
          <w:sz w:val="24"/>
          <w:szCs w:val="24"/>
          <w:highlight w:val="white"/>
        </w:rPr>
        <w:tab/>
        <w:t xml:space="preserve">   Fig 7. Post-op X-Ray</w:t>
      </w:r>
    </w:p>
    <w:p w14:paraId="7779E910"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1AEEF6DD"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4B32FCED" w14:textId="77777777" w:rsidR="00776DDD" w:rsidRDefault="00861C01" w:rsidP="006D144F">
      <w:pPr>
        <w:pStyle w:val="LO-normal"/>
        <w:ind w:left="-360" w:right="-360"/>
        <w:jc w:val="both"/>
        <w:rPr>
          <w:rFonts w:ascii="Times New Roman" w:eastAsia="Times New Roman" w:hAnsi="Times New Roman" w:cs="Times New Roman"/>
          <w:i/>
          <w:color w:val="2E2B2B"/>
          <w:sz w:val="24"/>
          <w:szCs w:val="24"/>
          <w:highlight w:val="white"/>
        </w:rPr>
      </w:pPr>
      <w:r>
        <w:rPr>
          <w:noProof/>
        </w:rPr>
        <w:drawing>
          <wp:inline distT="0" distB="0" distL="0" distR="0" wp14:anchorId="06E06D48" wp14:editId="6ACD2564">
            <wp:extent cx="2799715" cy="3967480"/>
            <wp:effectExtent l="0" t="0" r="0" b="0"/>
            <wp:docPr id="9" name="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jpg"/>
                    <pic:cNvPicPr>
                      <a:picLocks noChangeAspect="1" noChangeArrowheads="1"/>
                    </pic:cNvPicPr>
                  </pic:nvPicPr>
                  <pic:blipFill>
                    <a:blip r:embed="rId14"/>
                    <a:stretch>
                      <a:fillRect/>
                    </a:stretch>
                  </pic:blipFill>
                  <pic:spPr bwMode="auto">
                    <a:xfrm>
                      <a:off x="0" y="0"/>
                      <a:ext cx="2799715" cy="3967480"/>
                    </a:xfrm>
                    <a:prstGeom prst="rect">
                      <a:avLst/>
                    </a:prstGeom>
                  </pic:spPr>
                </pic:pic>
              </a:graphicData>
            </a:graphic>
          </wp:inline>
        </w:drawing>
      </w:r>
      <w:r w:rsidR="006D144F">
        <w:rPr>
          <w:rFonts w:ascii="Times New Roman" w:eastAsia="Times New Roman" w:hAnsi="Times New Roman" w:cs="Times New Roman"/>
          <w:i/>
          <w:color w:val="2E2B2B"/>
          <w:sz w:val="24"/>
          <w:szCs w:val="24"/>
          <w:highlight w:val="white"/>
        </w:rPr>
        <w:t xml:space="preserve">  </w:t>
      </w:r>
    </w:p>
    <w:p w14:paraId="5C812CEA" w14:textId="03115693" w:rsidR="002A131C" w:rsidRDefault="00861C01" w:rsidP="006D144F">
      <w:pPr>
        <w:pStyle w:val="LO-normal"/>
        <w:ind w:left="-360" w:right="-360"/>
        <w:jc w:val="both"/>
        <w:rPr>
          <w:rFonts w:ascii="Times New Roman" w:eastAsia="Times New Roman" w:hAnsi="Times New Roman" w:cs="Times New Roman"/>
          <w:i/>
          <w:color w:val="2E2B2B"/>
          <w:sz w:val="24"/>
          <w:szCs w:val="24"/>
          <w:highlight w:val="white"/>
        </w:rPr>
      </w:pPr>
      <w:r>
        <w:rPr>
          <w:rFonts w:ascii="Times New Roman" w:eastAsia="Times New Roman" w:hAnsi="Times New Roman" w:cs="Times New Roman"/>
          <w:i/>
          <w:color w:val="2E2B2B"/>
          <w:sz w:val="24"/>
          <w:szCs w:val="24"/>
          <w:highlight w:val="white"/>
        </w:rPr>
        <w:t xml:space="preserve">Fig 8. Left fibula of the mother has been harvested </w:t>
      </w:r>
    </w:p>
    <w:p w14:paraId="62A4E26D"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16689AB5" w14:textId="64041005" w:rsidR="002A131C" w:rsidRPr="006D144F" w:rsidRDefault="00861C01" w:rsidP="006D144F">
      <w:pPr>
        <w:pStyle w:val="LO-normal"/>
        <w:ind w:left="-360" w:right="-36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Review of Literature</w:t>
      </w:r>
    </w:p>
    <w:p w14:paraId="55B678B5" w14:textId="77777777" w:rsidR="006D144F" w:rsidRDefault="006D144F" w:rsidP="006D144F">
      <w:pPr>
        <w:pStyle w:val="LO-normal"/>
        <w:ind w:left="-360" w:right="-360"/>
        <w:jc w:val="both"/>
        <w:rPr>
          <w:rFonts w:ascii="Times New Roman" w:eastAsia="Times New Roman" w:hAnsi="Times New Roman" w:cs="Times New Roman"/>
          <w:sz w:val="24"/>
          <w:szCs w:val="24"/>
          <w:highlight w:val="white"/>
        </w:rPr>
      </w:pPr>
    </w:p>
    <w:p w14:paraId="1A647217" w14:textId="1F09CAD1" w:rsidR="002A131C" w:rsidRDefault="00861C01" w:rsidP="006D144F">
      <w:pPr>
        <w:pStyle w:val="LO-normal"/>
        <w:ind w:left="-360" w:right="-360"/>
        <w:jc w:val="both"/>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sz w:val="24"/>
          <w:szCs w:val="24"/>
          <w:highlight w:val="white"/>
        </w:rPr>
        <w:t>Kaposiform hemangioendothelioma (KHE), name coined by Zukerberg et al. in 1993, is a rare and locally aggressive endothelial neoplasm that often involves the entire dermis and exte</w:t>
      </w:r>
      <w:r>
        <w:rPr>
          <w:rFonts w:ascii="Times New Roman" w:eastAsia="Times New Roman" w:hAnsi="Times New Roman" w:cs="Times New Roman"/>
          <w:sz w:val="24"/>
          <w:szCs w:val="24"/>
          <w:highlight w:val="white"/>
        </w:rPr>
        <w:t xml:space="preserve">nds into the subcutaneous tissue that </w:t>
      </w:r>
      <w:r>
        <w:rPr>
          <w:rFonts w:ascii="Times New Roman" w:eastAsia="Times New Roman" w:hAnsi="Times New Roman" w:cs="Times New Roman"/>
          <w:color w:val="2E2B2B"/>
          <w:sz w:val="24"/>
          <w:szCs w:val="24"/>
          <w:highlight w:val="white"/>
        </w:rPr>
        <w:t xml:space="preserve">mainly occurs in children and early adolescents. The tumor is characterized by lobular infiltrates of capillaries and spindled endothelial cells. KHE commonly affects the skin, </w:t>
      </w:r>
      <w:r>
        <w:rPr>
          <w:rFonts w:ascii="Times New Roman" w:eastAsia="Times New Roman" w:hAnsi="Times New Roman" w:cs="Times New Roman"/>
          <w:color w:val="2E2B2B"/>
          <w:sz w:val="24"/>
          <w:szCs w:val="24"/>
          <w:highlight w:val="white"/>
        </w:rPr>
        <w:lastRenderedPageBreak/>
        <w:t>deep soft tissues of extremities, head an</w:t>
      </w:r>
      <w:r>
        <w:rPr>
          <w:rFonts w:ascii="Times New Roman" w:eastAsia="Times New Roman" w:hAnsi="Times New Roman" w:cs="Times New Roman"/>
          <w:color w:val="2E2B2B"/>
          <w:sz w:val="24"/>
          <w:szCs w:val="24"/>
          <w:highlight w:val="white"/>
        </w:rPr>
        <w:t xml:space="preserve">d neck, trunk, and retroperitoneum; less commonly, the mediastinum, spleen, bone and testis. It </w:t>
      </w:r>
      <w:proofErr w:type="gramStart"/>
      <w:r>
        <w:rPr>
          <w:rFonts w:ascii="Times New Roman" w:eastAsia="Times New Roman" w:hAnsi="Times New Roman" w:cs="Times New Roman"/>
          <w:color w:val="2E2B2B"/>
          <w:sz w:val="24"/>
          <w:szCs w:val="24"/>
          <w:highlight w:val="white"/>
        </w:rPr>
        <w:t>is  an</w:t>
      </w:r>
      <w:proofErr w:type="gramEnd"/>
      <w:r>
        <w:rPr>
          <w:rFonts w:ascii="Times New Roman" w:eastAsia="Times New Roman" w:hAnsi="Times New Roman" w:cs="Times New Roman"/>
          <w:color w:val="2E2B2B"/>
          <w:sz w:val="24"/>
          <w:szCs w:val="24"/>
          <w:highlight w:val="white"/>
        </w:rPr>
        <w:t xml:space="preserve"> entity distinct from infantile hemangioma (IH) because of its locally invasive growth, aggressive course and ‘focal Kaposi-like appearance’. KHE can occu</w:t>
      </w:r>
      <w:r>
        <w:rPr>
          <w:rFonts w:ascii="Times New Roman" w:eastAsia="Times New Roman" w:hAnsi="Times New Roman" w:cs="Times New Roman"/>
          <w:color w:val="2E2B2B"/>
          <w:sz w:val="24"/>
          <w:szCs w:val="24"/>
          <w:highlight w:val="white"/>
        </w:rPr>
        <w:t>r with or without Kasabach-Merritt phenomenon</w:t>
      </w:r>
      <w:r w:rsidR="006D144F">
        <w:rPr>
          <w:rFonts w:ascii="Times New Roman" w:eastAsia="Times New Roman" w:hAnsi="Times New Roman" w:cs="Times New Roman"/>
          <w:color w:val="2E2B2B"/>
          <w:sz w:val="24"/>
          <w:szCs w:val="24"/>
          <w:highlight w:val="white"/>
        </w:rPr>
        <w:t xml:space="preserve"> </w:t>
      </w:r>
      <w:r>
        <w:rPr>
          <w:rFonts w:ascii="Times New Roman" w:eastAsia="Times New Roman" w:hAnsi="Times New Roman" w:cs="Times New Roman"/>
          <w:color w:val="2E2B2B"/>
          <w:sz w:val="24"/>
          <w:szCs w:val="24"/>
          <w:highlight w:val="white"/>
        </w:rPr>
        <w:t>(KMP), which is marked by severe thrombocytopenia and a variable degree of anemia. Most of the KHEs present with KMP, namely coagulopathic KHE, and cause significant mortality by fatal bleeding; whereas at leas</w:t>
      </w:r>
      <w:r>
        <w:rPr>
          <w:rFonts w:ascii="Times New Roman" w:eastAsia="Times New Roman" w:hAnsi="Times New Roman" w:cs="Times New Roman"/>
          <w:color w:val="2E2B2B"/>
          <w:sz w:val="24"/>
          <w:szCs w:val="24"/>
          <w:highlight w:val="white"/>
        </w:rPr>
        <w:t xml:space="preserve">t 90% of KMP are secondary to KHE. KHE has an incidence of 0.7/100.000/year. </w:t>
      </w:r>
    </w:p>
    <w:p w14:paraId="66A690B1" w14:textId="77777777" w:rsidR="006D144F" w:rsidRDefault="006D144F" w:rsidP="006D144F">
      <w:pPr>
        <w:pStyle w:val="LO-normal"/>
        <w:ind w:left="-360" w:right="-360"/>
        <w:jc w:val="both"/>
        <w:rPr>
          <w:rFonts w:ascii="Times New Roman" w:eastAsia="Times New Roman" w:hAnsi="Times New Roman" w:cs="Times New Roman"/>
          <w:color w:val="2E2B2B"/>
          <w:sz w:val="24"/>
          <w:szCs w:val="24"/>
          <w:highlight w:val="white"/>
        </w:rPr>
      </w:pPr>
    </w:p>
    <w:p w14:paraId="1A799C6C" w14:textId="77777777"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Macroscopically KHE is characterized by the presence of abundant vascular structures that infiltrate the surrounding soft tissues, and it is structured as a tender mass that cau</w:t>
      </w:r>
      <w:r>
        <w:rPr>
          <w:rFonts w:ascii="Times New Roman" w:eastAsia="Times New Roman" w:hAnsi="Times New Roman" w:cs="Times New Roman"/>
          <w:color w:val="2E2B2B"/>
          <w:sz w:val="24"/>
          <w:szCs w:val="24"/>
          <w:highlight w:val="white"/>
        </w:rPr>
        <w:t>ses pain when platelets congest within the vessels, and coagulation cascade is activated. Tumor nodules have irregular borders and they are composed of fascicles of spindle endothelial cells which are positive for vascular markers like Fli1, CD31 and CD34,</w:t>
      </w:r>
      <w:r>
        <w:rPr>
          <w:rFonts w:ascii="Times New Roman" w:eastAsia="Times New Roman" w:hAnsi="Times New Roman" w:cs="Times New Roman"/>
          <w:color w:val="2E2B2B"/>
          <w:sz w:val="24"/>
          <w:szCs w:val="24"/>
          <w:highlight w:val="white"/>
        </w:rPr>
        <w:t xml:space="preserve"> and negative for HHV8, LNA-1 or Glut1, with a low Ki67 proliferative index, rare mitosis, no nuclear atypia, no necrosis. KHE doesn’t metastasize. The neoplastic cells form poorly canalized or slit-like blood vessels alternating with solid spindle areas. </w:t>
      </w:r>
      <w:r>
        <w:rPr>
          <w:rFonts w:ascii="Times New Roman" w:eastAsia="Times New Roman" w:hAnsi="Times New Roman" w:cs="Times New Roman"/>
          <w:color w:val="2E2B2B"/>
          <w:sz w:val="24"/>
          <w:szCs w:val="24"/>
          <w:highlight w:val="white"/>
        </w:rPr>
        <w:t>D2-40 and PROX1 stains the neoplastic spindle cells and lymphatic channels near the vascular lobules.</w:t>
      </w:r>
    </w:p>
    <w:p w14:paraId="46729A53"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359739BF" w14:textId="77777777" w:rsidR="002A131C" w:rsidRDefault="00861C01">
      <w:pPr>
        <w:pStyle w:val="LO-normal"/>
        <w:ind w:left="-360" w:right="-360"/>
        <w:jc w:val="both"/>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Zhou and coworkers provided evidence of a somatic translocation between chromosomes 13 and 16 at the bands of 13q14 and 16p13.3 in 10% of metaphase cells</w:t>
      </w:r>
      <w:r>
        <w:rPr>
          <w:rFonts w:ascii="Times New Roman" w:eastAsia="Times New Roman" w:hAnsi="Times New Roman" w:cs="Times New Roman"/>
          <w:color w:val="2E2B2B"/>
          <w:sz w:val="24"/>
          <w:szCs w:val="24"/>
          <w:highlight w:val="white"/>
        </w:rPr>
        <w:t xml:space="preserve"> in KHE lesions with the presence of normal cells in the karyotype. Somatic activating GNA14 c.614A &gt; T (</w:t>
      </w:r>
      <w:proofErr w:type="gramStart"/>
      <w:r>
        <w:rPr>
          <w:rFonts w:ascii="Times New Roman" w:eastAsia="Times New Roman" w:hAnsi="Times New Roman" w:cs="Times New Roman"/>
          <w:color w:val="2E2B2B"/>
          <w:sz w:val="24"/>
          <w:szCs w:val="24"/>
          <w:highlight w:val="white"/>
        </w:rPr>
        <w:t>p.Gln</w:t>
      </w:r>
      <w:proofErr w:type="gramEnd"/>
      <w:r>
        <w:rPr>
          <w:rFonts w:ascii="Times New Roman" w:eastAsia="Times New Roman" w:hAnsi="Times New Roman" w:cs="Times New Roman"/>
          <w:color w:val="2E2B2B"/>
          <w:sz w:val="24"/>
          <w:szCs w:val="24"/>
          <w:highlight w:val="white"/>
        </w:rPr>
        <w:t>205Leu) mutation was found in 30% of KHE specimens, although these studies were weakened by small sample size. Somatic mutations in GNAQ and its p</w:t>
      </w:r>
      <w:r>
        <w:rPr>
          <w:rFonts w:ascii="Times New Roman" w:eastAsia="Times New Roman" w:hAnsi="Times New Roman" w:cs="Times New Roman"/>
          <w:color w:val="2E2B2B"/>
          <w:sz w:val="24"/>
          <w:szCs w:val="24"/>
          <w:highlight w:val="white"/>
        </w:rPr>
        <w:t>aralogues (e.g., GNA11 and GNA14) have also been identified in many other vascular tumors, vascular malformations and solid tumors. GNAQ mutations whether are causative or whether they develop secondarily in KHE is yet to be discovered [5].</w:t>
      </w:r>
    </w:p>
    <w:p w14:paraId="058F14D4"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5D1EC495"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tbl>
      <w:tblPr>
        <w:tblW w:w="9000" w:type="dxa"/>
        <w:jc w:val="center"/>
        <w:tblLayout w:type="fixed"/>
        <w:tblCellMar>
          <w:top w:w="100" w:type="dxa"/>
          <w:left w:w="100" w:type="dxa"/>
          <w:bottom w:w="100" w:type="dxa"/>
          <w:right w:w="100" w:type="dxa"/>
        </w:tblCellMar>
        <w:tblLook w:val="0600" w:firstRow="0" w:lastRow="0" w:firstColumn="0" w:lastColumn="0" w:noHBand="1" w:noVBand="1"/>
      </w:tblPr>
      <w:tblGrid>
        <w:gridCol w:w="795"/>
        <w:gridCol w:w="616"/>
        <w:gridCol w:w="570"/>
        <w:gridCol w:w="1140"/>
        <w:gridCol w:w="750"/>
        <w:gridCol w:w="1050"/>
        <w:gridCol w:w="2039"/>
        <w:gridCol w:w="2040"/>
      </w:tblGrid>
      <w:tr w:rsidR="002A131C" w14:paraId="59619F94" w14:textId="77777777">
        <w:trPr>
          <w:jc w:val="center"/>
        </w:trPr>
        <w:tc>
          <w:tcPr>
            <w:tcW w:w="794" w:type="dxa"/>
            <w:tcBorders>
              <w:top w:val="single" w:sz="4" w:space="0" w:color="000000"/>
              <w:left w:val="single" w:sz="4" w:space="0" w:color="000000"/>
              <w:bottom w:val="single" w:sz="4" w:space="0" w:color="000000"/>
              <w:right w:val="single" w:sz="4" w:space="0" w:color="000000"/>
            </w:tcBorders>
          </w:tcPr>
          <w:p w14:paraId="0068717B"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Serial No</w:t>
            </w:r>
          </w:p>
        </w:tc>
        <w:tc>
          <w:tcPr>
            <w:tcW w:w="616" w:type="dxa"/>
            <w:tcBorders>
              <w:top w:val="single" w:sz="4" w:space="0" w:color="000000"/>
              <w:left w:val="single" w:sz="4" w:space="0" w:color="000000"/>
              <w:bottom w:val="single" w:sz="4" w:space="0" w:color="000000"/>
              <w:right w:val="single" w:sz="4" w:space="0" w:color="000000"/>
            </w:tcBorders>
          </w:tcPr>
          <w:p w14:paraId="41D63DFF"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Age</w:t>
            </w:r>
          </w:p>
        </w:tc>
        <w:tc>
          <w:tcPr>
            <w:tcW w:w="570" w:type="dxa"/>
            <w:tcBorders>
              <w:top w:val="single" w:sz="4" w:space="0" w:color="000000"/>
              <w:left w:val="single" w:sz="4" w:space="0" w:color="000000"/>
              <w:bottom w:val="single" w:sz="4" w:space="0" w:color="000000"/>
              <w:right w:val="single" w:sz="4" w:space="0" w:color="000000"/>
            </w:tcBorders>
          </w:tcPr>
          <w:p w14:paraId="53152FF6"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Sex</w:t>
            </w:r>
          </w:p>
        </w:tc>
        <w:tc>
          <w:tcPr>
            <w:tcW w:w="1140" w:type="dxa"/>
            <w:tcBorders>
              <w:top w:val="single" w:sz="4" w:space="0" w:color="000000"/>
              <w:left w:val="single" w:sz="4" w:space="0" w:color="000000"/>
              <w:bottom w:val="single" w:sz="4" w:space="0" w:color="000000"/>
              <w:right w:val="single" w:sz="4" w:space="0" w:color="000000"/>
            </w:tcBorders>
          </w:tcPr>
          <w:p w14:paraId="6EDDCDCD"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Site</w:t>
            </w:r>
          </w:p>
        </w:tc>
        <w:tc>
          <w:tcPr>
            <w:tcW w:w="750" w:type="dxa"/>
            <w:tcBorders>
              <w:top w:val="single" w:sz="4" w:space="0" w:color="000000"/>
              <w:left w:val="single" w:sz="4" w:space="0" w:color="000000"/>
              <w:bottom w:val="single" w:sz="4" w:space="0" w:color="000000"/>
              <w:right w:val="single" w:sz="4" w:space="0" w:color="000000"/>
            </w:tcBorders>
          </w:tcPr>
          <w:p w14:paraId="4E2D1EB8"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KMP</w:t>
            </w:r>
          </w:p>
        </w:tc>
        <w:tc>
          <w:tcPr>
            <w:tcW w:w="1050" w:type="dxa"/>
            <w:tcBorders>
              <w:top w:val="single" w:sz="4" w:space="0" w:color="000000"/>
              <w:left w:val="single" w:sz="4" w:space="0" w:color="000000"/>
              <w:bottom w:val="single" w:sz="4" w:space="0" w:color="000000"/>
              <w:right w:val="single" w:sz="4" w:space="0" w:color="000000"/>
            </w:tcBorders>
          </w:tcPr>
          <w:p w14:paraId="34004C3D"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Biopsy</w:t>
            </w:r>
          </w:p>
        </w:tc>
        <w:tc>
          <w:tcPr>
            <w:tcW w:w="2039" w:type="dxa"/>
            <w:tcBorders>
              <w:top w:val="single" w:sz="4" w:space="0" w:color="000000"/>
              <w:left w:val="single" w:sz="4" w:space="0" w:color="000000"/>
              <w:bottom w:val="single" w:sz="4" w:space="0" w:color="000000"/>
              <w:right w:val="single" w:sz="4" w:space="0" w:color="000000"/>
            </w:tcBorders>
          </w:tcPr>
          <w:p w14:paraId="0A79A05F"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Management</w:t>
            </w:r>
          </w:p>
        </w:tc>
        <w:tc>
          <w:tcPr>
            <w:tcW w:w="2040" w:type="dxa"/>
            <w:tcBorders>
              <w:top w:val="single" w:sz="4" w:space="0" w:color="000000"/>
              <w:left w:val="single" w:sz="4" w:space="0" w:color="000000"/>
              <w:bottom w:val="single" w:sz="4" w:space="0" w:color="000000"/>
              <w:right w:val="single" w:sz="4" w:space="0" w:color="000000"/>
            </w:tcBorders>
          </w:tcPr>
          <w:p w14:paraId="770A18AD"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Literature</w:t>
            </w:r>
          </w:p>
        </w:tc>
      </w:tr>
      <w:tr w:rsidR="002A131C" w14:paraId="2ACC306B" w14:textId="77777777">
        <w:trPr>
          <w:jc w:val="center"/>
        </w:trPr>
        <w:tc>
          <w:tcPr>
            <w:tcW w:w="794" w:type="dxa"/>
            <w:tcBorders>
              <w:top w:val="single" w:sz="4" w:space="0" w:color="000000"/>
              <w:left w:val="single" w:sz="4" w:space="0" w:color="000000"/>
              <w:bottom w:val="single" w:sz="4" w:space="0" w:color="000000"/>
              <w:right w:val="single" w:sz="4" w:space="0" w:color="000000"/>
            </w:tcBorders>
          </w:tcPr>
          <w:p w14:paraId="1133DED7"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1</w:t>
            </w:r>
          </w:p>
        </w:tc>
        <w:tc>
          <w:tcPr>
            <w:tcW w:w="616" w:type="dxa"/>
            <w:tcBorders>
              <w:top w:val="single" w:sz="4" w:space="0" w:color="000000"/>
              <w:left w:val="single" w:sz="4" w:space="0" w:color="000000"/>
              <w:bottom w:val="single" w:sz="4" w:space="0" w:color="000000"/>
              <w:right w:val="single" w:sz="4" w:space="0" w:color="000000"/>
            </w:tcBorders>
          </w:tcPr>
          <w:p w14:paraId="0DF88B11"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8y</w:t>
            </w:r>
          </w:p>
        </w:tc>
        <w:tc>
          <w:tcPr>
            <w:tcW w:w="570" w:type="dxa"/>
            <w:tcBorders>
              <w:top w:val="single" w:sz="4" w:space="0" w:color="000000"/>
              <w:left w:val="single" w:sz="4" w:space="0" w:color="000000"/>
              <w:bottom w:val="single" w:sz="4" w:space="0" w:color="000000"/>
              <w:right w:val="single" w:sz="4" w:space="0" w:color="000000"/>
            </w:tcBorders>
          </w:tcPr>
          <w:p w14:paraId="12FBBE0E"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M</w:t>
            </w:r>
          </w:p>
        </w:tc>
        <w:tc>
          <w:tcPr>
            <w:tcW w:w="1140" w:type="dxa"/>
            <w:tcBorders>
              <w:top w:val="single" w:sz="4" w:space="0" w:color="000000"/>
              <w:left w:val="single" w:sz="4" w:space="0" w:color="000000"/>
              <w:bottom w:val="single" w:sz="4" w:space="0" w:color="000000"/>
              <w:right w:val="single" w:sz="4" w:space="0" w:color="000000"/>
            </w:tcBorders>
          </w:tcPr>
          <w:p w14:paraId="5EB6DF5F"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Prox tibia &amp; fibula</w:t>
            </w:r>
          </w:p>
        </w:tc>
        <w:tc>
          <w:tcPr>
            <w:tcW w:w="750" w:type="dxa"/>
            <w:tcBorders>
              <w:top w:val="single" w:sz="4" w:space="0" w:color="000000"/>
              <w:left w:val="single" w:sz="4" w:space="0" w:color="000000"/>
              <w:bottom w:val="single" w:sz="4" w:space="0" w:color="000000"/>
              <w:right w:val="single" w:sz="4" w:space="0" w:color="000000"/>
            </w:tcBorders>
          </w:tcPr>
          <w:p w14:paraId="28A439DF"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No</w:t>
            </w:r>
          </w:p>
        </w:tc>
        <w:tc>
          <w:tcPr>
            <w:tcW w:w="1050" w:type="dxa"/>
            <w:tcBorders>
              <w:top w:val="single" w:sz="4" w:space="0" w:color="000000"/>
              <w:left w:val="single" w:sz="4" w:space="0" w:color="000000"/>
              <w:bottom w:val="single" w:sz="4" w:space="0" w:color="000000"/>
              <w:right w:val="single" w:sz="4" w:space="0" w:color="000000"/>
            </w:tcBorders>
          </w:tcPr>
          <w:p w14:paraId="3F4CEB3D"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KHE</w:t>
            </w:r>
          </w:p>
          <w:p w14:paraId="04E96B17"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CD34 +</w:t>
            </w:r>
          </w:p>
          <w:p w14:paraId="09BE025D"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 xml:space="preserve">CD31 + </w:t>
            </w:r>
          </w:p>
          <w:p w14:paraId="596D5551"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HHF35 +</w:t>
            </w:r>
          </w:p>
        </w:tc>
        <w:tc>
          <w:tcPr>
            <w:tcW w:w="2039" w:type="dxa"/>
            <w:tcBorders>
              <w:top w:val="single" w:sz="4" w:space="0" w:color="000000"/>
              <w:left w:val="single" w:sz="4" w:space="0" w:color="000000"/>
              <w:bottom w:val="single" w:sz="4" w:space="0" w:color="000000"/>
              <w:right w:val="single" w:sz="4" w:space="0" w:color="000000"/>
            </w:tcBorders>
          </w:tcPr>
          <w:p w14:paraId="526EF2B8"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WLE with bone allograft and plating</w:t>
            </w:r>
          </w:p>
        </w:tc>
        <w:tc>
          <w:tcPr>
            <w:tcW w:w="2040" w:type="dxa"/>
            <w:tcBorders>
              <w:top w:val="single" w:sz="4" w:space="0" w:color="000000"/>
              <w:left w:val="single" w:sz="4" w:space="0" w:color="000000"/>
              <w:bottom w:val="single" w:sz="4" w:space="0" w:color="000000"/>
              <w:right w:val="single" w:sz="4" w:space="0" w:color="000000"/>
            </w:tcBorders>
          </w:tcPr>
          <w:p w14:paraId="05626513"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DOI: 10.1007/s11805-007-0289-z</w:t>
            </w:r>
          </w:p>
        </w:tc>
      </w:tr>
      <w:tr w:rsidR="002A131C" w14:paraId="2035DC3A" w14:textId="77777777">
        <w:trPr>
          <w:jc w:val="center"/>
        </w:trPr>
        <w:tc>
          <w:tcPr>
            <w:tcW w:w="794" w:type="dxa"/>
            <w:tcBorders>
              <w:top w:val="single" w:sz="4" w:space="0" w:color="000000"/>
              <w:left w:val="single" w:sz="4" w:space="0" w:color="000000"/>
              <w:bottom w:val="single" w:sz="4" w:space="0" w:color="000000"/>
              <w:right w:val="single" w:sz="4" w:space="0" w:color="000000"/>
            </w:tcBorders>
          </w:tcPr>
          <w:p w14:paraId="766A3A48"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2</w:t>
            </w:r>
          </w:p>
        </w:tc>
        <w:tc>
          <w:tcPr>
            <w:tcW w:w="616" w:type="dxa"/>
            <w:tcBorders>
              <w:top w:val="single" w:sz="4" w:space="0" w:color="000000"/>
              <w:left w:val="single" w:sz="4" w:space="0" w:color="000000"/>
              <w:bottom w:val="single" w:sz="4" w:space="0" w:color="000000"/>
              <w:right w:val="single" w:sz="4" w:space="0" w:color="000000"/>
            </w:tcBorders>
          </w:tcPr>
          <w:p w14:paraId="644ACBF3"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2y</w:t>
            </w:r>
          </w:p>
        </w:tc>
        <w:tc>
          <w:tcPr>
            <w:tcW w:w="570" w:type="dxa"/>
            <w:tcBorders>
              <w:top w:val="single" w:sz="4" w:space="0" w:color="000000"/>
              <w:left w:val="single" w:sz="4" w:space="0" w:color="000000"/>
              <w:bottom w:val="single" w:sz="4" w:space="0" w:color="000000"/>
              <w:right w:val="single" w:sz="4" w:space="0" w:color="000000"/>
            </w:tcBorders>
          </w:tcPr>
          <w:p w14:paraId="247F036B"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M</w:t>
            </w:r>
          </w:p>
        </w:tc>
        <w:tc>
          <w:tcPr>
            <w:tcW w:w="1140" w:type="dxa"/>
            <w:tcBorders>
              <w:top w:val="single" w:sz="4" w:space="0" w:color="000000"/>
              <w:left w:val="single" w:sz="4" w:space="0" w:color="000000"/>
              <w:bottom w:val="single" w:sz="4" w:space="0" w:color="000000"/>
              <w:right w:val="single" w:sz="4" w:space="0" w:color="000000"/>
            </w:tcBorders>
          </w:tcPr>
          <w:p w14:paraId="37B2E70E"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Prox humerus</w:t>
            </w:r>
          </w:p>
        </w:tc>
        <w:tc>
          <w:tcPr>
            <w:tcW w:w="750" w:type="dxa"/>
            <w:tcBorders>
              <w:top w:val="single" w:sz="4" w:space="0" w:color="000000"/>
              <w:left w:val="single" w:sz="4" w:space="0" w:color="000000"/>
              <w:bottom w:val="single" w:sz="4" w:space="0" w:color="000000"/>
              <w:right w:val="single" w:sz="4" w:space="0" w:color="000000"/>
            </w:tcBorders>
          </w:tcPr>
          <w:p w14:paraId="6556CCFD"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No</w:t>
            </w:r>
          </w:p>
        </w:tc>
        <w:tc>
          <w:tcPr>
            <w:tcW w:w="1050" w:type="dxa"/>
            <w:tcBorders>
              <w:top w:val="single" w:sz="4" w:space="0" w:color="000000"/>
              <w:left w:val="single" w:sz="4" w:space="0" w:color="000000"/>
              <w:bottom w:val="single" w:sz="4" w:space="0" w:color="000000"/>
              <w:right w:val="single" w:sz="4" w:space="0" w:color="000000"/>
            </w:tcBorders>
          </w:tcPr>
          <w:p w14:paraId="4E02FBFF"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KHE</w:t>
            </w:r>
          </w:p>
          <w:p w14:paraId="638A49AA"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CD34+</w:t>
            </w:r>
          </w:p>
          <w:p w14:paraId="4B38EB67"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D2-40 +</w:t>
            </w:r>
          </w:p>
          <w:p w14:paraId="61ABB6CB"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ERG +</w:t>
            </w:r>
          </w:p>
        </w:tc>
        <w:tc>
          <w:tcPr>
            <w:tcW w:w="2039" w:type="dxa"/>
            <w:tcBorders>
              <w:top w:val="single" w:sz="4" w:space="0" w:color="000000"/>
              <w:left w:val="single" w:sz="4" w:space="0" w:color="000000"/>
              <w:bottom w:val="single" w:sz="4" w:space="0" w:color="000000"/>
              <w:right w:val="single" w:sz="4" w:space="0" w:color="000000"/>
            </w:tcBorders>
          </w:tcPr>
          <w:p w14:paraId="13906490"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Vincristine chemotherapy</w:t>
            </w:r>
          </w:p>
        </w:tc>
        <w:tc>
          <w:tcPr>
            <w:tcW w:w="2040" w:type="dxa"/>
            <w:tcBorders>
              <w:top w:val="single" w:sz="4" w:space="0" w:color="000000"/>
              <w:left w:val="single" w:sz="4" w:space="0" w:color="000000"/>
              <w:bottom w:val="single" w:sz="4" w:space="0" w:color="000000"/>
              <w:right w:val="single" w:sz="4" w:space="0" w:color="000000"/>
            </w:tcBorders>
          </w:tcPr>
          <w:p w14:paraId="256EA17C"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 xml:space="preserve">DOI: </w:t>
            </w:r>
            <w:r>
              <w:rPr>
                <w:rFonts w:ascii="Times New Roman" w:eastAsia="Times New Roman" w:hAnsi="Times New Roman" w:cs="Times New Roman"/>
                <w:color w:val="2E2B2B"/>
                <w:sz w:val="24"/>
                <w:szCs w:val="24"/>
                <w:highlight w:val="white"/>
              </w:rPr>
              <w:t>10.7759/cureus.21262</w:t>
            </w:r>
          </w:p>
        </w:tc>
      </w:tr>
      <w:tr w:rsidR="002A131C" w14:paraId="415CAB5C" w14:textId="77777777">
        <w:trPr>
          <w:jc w:val="center"/>
        </w:trPr>
        <w:tc>
          <w:tcPr>
            <w:tcW w:w="794" w:type="dxa"/>
            <w:tcBorders>
              <w:top w:val="single" w:sz="4" w:space="0" w:color="000000"/>
              <w:left w:val="single" w:sz="4" w:space="0" w:color="000000"/>
              <w:bottom w:val="single" w:sz="4" w:space="0" w:color="000000"/>
              <w:right w:val="single" w:sz="4" w:space="0" w:color="000000"/>
            </w:tcBorders>
          </w:tcPr>
          <w:p w14:paraId="4D4E702A"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3</w:t>
            </w:r>
          </w:p>
        </w:tc>
        <w:tc>
          <w:tcPr>
            <w:tcW w:w="616" w:type="dxa"/>
            <w:tcBorders>
              <w:top w:val="single" w:sz="4" w:space="0" w:color="000000"/>
              <w:left w:val="single" w:sz="4" w:space="0" w:color="000000"/>
              <w:bottom w:val="single" w:sz="4" w:space="0" w:color="000000"/>
              <w:right w:val="single" w:sz="4" w:space="0" w:color="000000"/>
            </w:tcBorders>
          </w:tcPr>
          <w:p w14:paraId="5531E5F4"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9y</w:t>
            </w:r>
          </w:p>
        </w:tc>
        <w:tc>
          <w:tcPr>
            <w:tcW w:w="570" w:type="dxa"/>
            <w:tcBorders>
              <w:top w:val="single" w:sz="4" w:space="0" w:color="000000"/>
              <w:left w:val="single" w:sz="4" w:space="0" w:color="000000"/>
              <w:bottom w:val="single" w:sz="4" w:space="0" w:color="000000"/>
              <w:right w:val="single" w:sz="4" w:space="0" w:color="000000"/>
            </w:tcBorders>
          </w:tcPr>
          <w:p w14:paraId="764FB4A7"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F</w:t>
            </w:r>
          </w:p>
        </w:tc>
        <w:tc>
          <w:tcPr>
            <w:tcW w:w="1140" w:type="dxa"/>
            <w:tcBorders>
              <w:top w:val="single" w:sz="4" w:space="0" w:color="000000"/>
              <w:left w:val="single" w:sz="4" w:space="0" w:color="000000"/>
              <w:bottom w:val="single" w:sz="4" w:space="0" w:color="000000"/>
              <w:right w:val="single" w:sz="4" w:space="0" w:color="000000"/>
            </w:tcBorders>
          </w:tcPr>
          <w:p w14:paraId="6AD263E6"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Distal femur</w:t>
            </w:r>
          </w:p>
        </w:tc>
        <w:tc>
          <w:tcPr>
            <w:tcW w:w="750" w:type="dxa"/>
            <w:tcBorders>
              <w:top w:val="single" w:sz="4" w:space="0" w:color="000000"/>
              <w:left w:val="single" w:sz="4" w:space="0" w:color="000000"/>
              <w:bottom w:val="single" w:sz="4" w:space="0" w:color="000000"/>
              <w:right w:val="single" w:sz="4" w:space="0" w:color="000000"/>
            </w:tcBorders>
          </w:tcPr>
          <w:p w14:paraId="244F6AB6"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No</w:t>
            </w:r>
          </w:p>
        </w:tc>
        <w:tc>
          <w:tcPr>
            <w:tcW w:w="1050" w:type="dxa"/>
            <w:tcBorders>
              <w:top w:val="single" w:sz="4" w:space="0" w:color="000000"/>
              <w:left w:val="single" w:sz="4" w:space="0" w:color="000000"/>
              <w:bottom w:val="single" w:sz="4" w:space="0" w:color="000000"/>
              <w:right w:val="single" w:sz="4" w:space="0" w:color="000000"/>
            </w:tcBorders>
          </w:tcPr>
          <w:p w14:paraId="15BDA136"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KHE</w:t>
            </w:r>
          </w:p>
        </w:tc>
        <w:tc>
          <w:tcPr>
            <w:tcW w:w="2039" w:type="dxa"/>
            <w:tcBorders>
              <w:top w:val="single" w:sz="4" w:space="0" w:color="000000"/>
              <w:left w:val="single" w:sz="4" w:space="0" w:color="000000"/>
              <w:bottom w:val="single" w:sz="4" w:space="0" w:color="000000"/>
              <w:right w:val="single" w:sz="4" w:space="0" w:color="000000"/>
            </w:tcBorders>
          </w:tcPr>
          <w:p w14:paraId="26DE46F9"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WLE</w:t>
            </w:r>
          </w:p>
        </w:tc>
        <w:tc>
          <w:tcPr>
            <w:tcW w:w="2040" w:type="dxa"/>
            <w:tcBorders>
              <w:top w:val="single" w:sz="4" w:space="0" w:color="000000"/>
              <w:left w:val="single" w:sz="4" w:space="0" w:color="000000"/>
              <w:bottom w:val="single" w:sz="4" w:space="0" w:color="000000"/>
              <w:right w:val="single" w:sz="4" w:space="0" w:color="000000"/>
            </w:tcBorders>
          </w:tcPr>
          <w:p w14:paraId="38557455"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DOI:10.1111/j.1440-1827.</w:t>
            </w:r>
            <w:proofErr w:type="gramStart"/>
            <w:r>
              <w:rPr>
                <w:rFonts w:ascii="Times New Roman" w:eastAsia="Times New Roman" w:hAnsi="Times New Roman" w:cs="Times New Roman"/>
                <w:color w:val="2E2B2B"/>
                <w:sz w:val="24"/>
                <w:szCs w:val="24"/>
                <w:highlight w:val="white"/>
              </w:rPr>
              <w:t>2011.02681.x</w:t>
            </w:r>
            <w:proofErr w:type="gramEnd"/>
          </w:p>
        </w:tc>
      </w:tr>
      <w:tr w:rsidR="002A131C" w14:paraId="521453EA" w14:textId="77777777">
        <w:trPr>
          <w:jc w:val="center"/>
        </w:trPr>
        <w:tc>
          <w:tcPr>
            <w:tcW w:w="794" w:type="dxa"/>
            <w:tcBorders>
              <w:top w:val="single" w:sz="4" w:space="0" w:color="000000"/>
              <w:left w:val="single" w:sz="4" w:space="0" w:color="000000"/>
              <w:bottom w:val="single" w:sz="4" w:space="0" w:color="000000"/>
              <w:right w:val="single" w:sz="4" w:space="0" w:color="000000"/>
            </w:tcBorders>
          </w:tcPr>
          <w:p w14:paraId="1B26B108"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4</w:t>
            </w:r>
          </w:p>
        </w:tc>
        <w:tc>
          <w:tcPr>
            <w:tcW w:w="616" w:type="dxa"/>
            <w:tcBorders>
              <w:top w:val="single" w:sz="4" w:space="0" w:color="000000"/>
              <w:left w:val="single" w:sz="4" w:space="0" w:color="000000"/>
              <w:bottom w:val="single" w:sz="4" w:space="0" w:color="000000"/>
              <w:right w:val="single" w:sz="4" w:space="0" w:color="000000"/>
            </w:tcBorders>
          </w:tcPr>
          <w:p w14:paraId="366233C2"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5y</w:t>
            </w:r>
          </w:p>
        </w:tc>
        <w:tc>
          <w:tcPr>
            <w:tcW w:w="570" w:type="dxa"/>
            <w:tcBorders>
              <w:top w:val="single" w:sz="4" w:space="0" w:color="000000"/>
              <w:left w:val="single" w:sz="4" w:space="0" w:color="000000"/>
              <w:bottom w:val="single" w:sz="4" w:space="0" w:color="000000"/>
              <w:right w:val="single" w:sz="4" w:space="0" w:color="000000"/>
            </w:tcBorders>
          </w:tcPr>
          <w:p w14:paraId="706867A0"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M</w:t>
            </w:r>
          </w:p>
        </w:tc>
        <w:tc>
          <w:tcPr>
            <w:tcW w:w="1140" w:type="dxa"/>
            <w:tcBorders>
              <w:top w:val="single" w:sz="4" w:space="0" w:color="000000"/>
              <w:left w:val="single" w:sz="4" w:space="0" w:color="000000"/>
              <w:bottom w:val="single" w:sz="4" w:space="0" w:color="000000"/>
              <w:right w:val="single" w:sz="4" w:space="0" w:color="000000"/>
            </w:tcBorders>
          </w:tcPr>
          <w:p w14:paraId="705C5045"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Prox humerus</w:t>
            </w:r>
          </w:p>
        </w:tc>
        <w:tc>
          <w:tcPr>
            <w:tcW w:w="750" w:type="dxa"/>
            <w:tcBorders>
              <w:top w:val="single" w:sz="4" w:space="0" w:color="000000"/>
              <w:left w:val="single" w:sz="4" w:space="0" w:color="000000"/>
              <w:bottom w:val="single" w:sz="4" w:space="0" w:color="000000"/>
              <w:right w:val="single" w:sz="4" w:space="0" w:color="000000"/>
            </w:tcBorders>
          </w:tcPr>
          <w:p w14:paraId="20805D88"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No</w:t>
            </w:r>
          </w:p>
        </w:tc>
        <w:tc>
          <w:tcPr>
            <w:tcW w:w="1050" w:type="dxa"/>
            <w:tcBorders>
              <w:top w:val="single" w:sz="4" w:space="0" w:color="000000"/>
              <w:left w:val="single" w:sz="4" w:space="0" w:color="000000"/>
              <w:bottom w:val="single" w:sz="4" w:space="0" w:color="000000"/>
              <w:right w:val="single" w:sz="4" w:space="0" w:color="000000"/>
            </w:tcBorders>
          </w:tcPr>
          <w:p w14:paraId="7790E49F"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KHE</w:t>
            </w:r>
          </w:p>
          <w:p w14:paraId="0C9FAD23"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CD31 +</w:t>
            </w:r>
          </w:p>
          <w:p w14:paraId="64C1D77A"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CD34 +</w:t>
            </w:r>
          </w:p>
          <w:p w14:paraId="7B745343"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Fli1 +</w:t>
            </w:r>
          </w:p>
          <w:p w14:paraId="38AB196B"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D2-40 +</w:t>
            </w:r>
          </w:p>
        </w:tc>
        <w:tc>
          <w:tcPr>
            <w:tcW w:w="2039" w:type="dxa"/>
            <w:tcBorders>
              <w:top w:val="single" w:sz="4" w:space="0" w:color="000000"/>
              <w:left w:val="single" w:sz="4" w:space="0" w:color="000000"/>
              <w:bottom w:val="single" w:sz="4" w:space="0" w:color="000000"/>
              <w:right w:val="single" w:sz="4" w:space="0" w:color="000000"/>
            </w:tcBorders>
          </w:tcPr>
          <w:p w14:paraId="16FADCE3"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WLE</w:t>
            </w:r>
          </w:p>
        </w:tc>
        <w:tc>
          <w:tcPr>
            <w:tcW w:w="2040" w:type="dxa"/>
            <w:tcBorders>
              <w:top w:val="single" w:sz="4" w:space="0" w:color="000000"/>
              <w:left w:val="single" w:sz="4" w:space="0" w:color="000000"/>
              <w:bottom w:val="single" w:sz="4" w:space="0" w:color="000000"/>
              <w:right w:val="single" w:sz="4" w:space="0" w:color="000000"/>
            </w:tcBorders>
          </w:tcPr>
          <w:p w14:paraId="30F8C117"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DOI:10.1111/j.1440-1827.</w:t>
            </w:r>
            <w:proofErr w:type="gramStart"/>
            <w:r>
              <w:rPr>
                <w:rFonts w:ascii="Times New Roman" w:eastAsia="Times New Roman" w:hAnsi="Times New Roman" w:cs="Times New Roman"/>
                <w:color w:val="2E2B2B"/>
                <w:sz w:val="24"/>
                <w:szCs w:val="24"/>
                <w:highlight w:val="white"/>
              </w:rPr>
              <w:t>2011.02681.x</w:t>
            </w:r>
            <w:proofErr w:type="gramEnd"/>
          </w:p>
        </w:tc>
      </w:tr>
      <w:tr w:rsidR="002A131C" w14:paraId="7820A41E" w14:textId="77777777">
        <w:trPr>
          <w:jc w:val="center"/>
        </w:trPr>
        <w:tc>
          <w:tcPr>
            <w:tcW w:w="794" w:type="dxa"/>
            <w:tcBorders>
              <w:top w:val="single" w:sz="4" w:space="0" w:color="000000"/>
              <w:left w:val="single" w:sz="4" w:space="0" w:color="000000"/>
              <w:bottom w:val="single" w:sz="4" w:space="0" w:color="000000"/>
              <w:right w:val="single" w:sz="4" w:space="0" w:color="000000"/>
            </w:tcBorders>
          </w:tcPr>
          <w:p w14:paraId="70E41990"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5</w:t>
            </w:r>
          </w:p>
        </w:tc>
        <w:tc>
          <w:tcPr>
            <w:tcW w:w="616" w:type="dxa"/>
            <w:tcBorders>
              <w:top w:val="single" w:sz="4" w:space="0" w:color="000000"/>
              <w:left w:val="single" w:sz="4" w:space="0" w:color="000000"/>
              <w:bottom w:val="single" w:sz="4" w:space="0" w:color="000000"/>
              <w:right w:val="single" w:sz="4" w:space="0" w:color="000000"/>
            </w:tcBorders>
          </w:tcPr>
          <w:p w14:paraId="79B5962E"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15y</w:t>
            </w:r>
          </w:p>
        </w:tc>
        <w:tc>
          <w:tcPr>
            <w:tcW w:w="570" w:type="dxa"/>
            <w:tcBorders>
              <w:top w:val="single" w:sz="4" w:space="0" w:color="000000"/>
              <w:left w:val="single" w:sz="4" w:space="0" w:color="000000"/>
              <w:bottom w:val="single" w:sz="4" w:space="0" w:color="000000"/>
              <w:right w:val="single" w:sz="4" w:space="0" w:color="000000"/>
            </w:tcBorders>
          </w:tcPr>
          <w:p w14:paraId="464F6011"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F</w:t>
            </w:r>
          </w:p>
        </w:tc>
        <w:tc>
          <w:tcPr>
            <w:tcW w:w="1140" w:type="dxa"/>
            <w:tcBorders>
              <w:top w:val="single" w:sz="4" w:space="0" w:color="000000"/>
              <w:left w:val="single" w:sz="4" w:space="0" w:color="000000"/>
              <w:bottom w:val="single" w:sz="4" w:space="0" w:color="000000"/>
              <w:right w:val="single" w:sz="4" w:space="0" w:color="000000"/>
            </w:tcBorders>
          </w:tcPr>
          <w:p w14:paraId="6E2541AB"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 xml:space="preserve">Left </w:t>
            </w:r>
            <w:r>
              <w:rPr>
                <w:rFonts w:ascii="Times New Roman" w:eastAsia="Times New Roman" w:hAnsi="Times New Roman" w:cs="Times New Roman"/>
                <w:color w:val="2E2B2B"/>
                <w:sz w:val="24"/>
                <w:szCs w:val="24"/>
                <w:highlight w:val="white"/>
              </w:rPr>
              <w:lastRenderedPageBreak/>
              <w:t>Meta-</w:t>
            </w:r>
          </w:p>
          <w:p w14:paraId="265520A1"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tarsals</w:t>
            </w:r>
          </w:p>
        </w:tc>
        <w:tc>
          <w:tcPr>
            <w:tcW w:w="750" w:type="dxa"/>
            <w:tcBorders>
              <w:top w:val="single" w:sz="4" w:space="0" w:color="000000"/>
              <w:left w:val="single" w:sz="4" w:space="0" w:color="000000"/>
              <w:bottom w:val="single" w:sz="4" w:space="0" w:color="000000"/>
              <w:right w:val="single" w:sz="4" w:space="0" w:color="000000"/>
            </w:tcBorders>
          </w:tcPr>
          <w:p w14:paraId="2AD17C5C"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lastRenderedPageBreak/>
              <w:t>No</w:t>
            </w:r>
          </w:p>
        </w:tc>
        <w:tc>
          <w:tcPr>
            <w:tcW w:w="1050" w:type="dxa"/>
            <w:tcBorders>
              <w:top w:val="single" w:sz="4" w:space="0" w:color="000000"/>
              <w:left w:val="single" w:sz="4" w:space="0" w:color="000000"/>
              <w:bottom w:val="single" w:sz="4" w:space="0" w:color="000000"/>
              <w:right w:val="single" w:sz="4" w:space="0" w:color="000000"/>
            </w:tcBorders>
          </w:tcPr>
          <w:p w14:paraId="419C8DEB"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KHE</w:t>
            </w:r>
          </w:p>
          <w:p w14:paraId="2DFD4890"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lastRenderedPageBreak/>
              <w:t>CD31 +</w:t>
            </w:r>
          </w:p>
          <w:p w14:paraId="68D58E22"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CD34 +</w:t>
            </w:r>
          </w:p>
          <w:p w14:paraId="63BA95AD"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D2-40 +</w:t>
            </w:r>
          </w:p>
        </w:tc>
        <w:tc>
          <w:tcPr>
            <w:tcW w:w="2039" w:type="dxa"/>
            <w:tcBorders>
              <w:top w:val="single" w:sz="4" w:space="0" w:color="000000"/>
              <w:left w:val="single" w:sz="4" w:space="0" w:color="000000"/>
              <w:bottom w:val="single" w:sz="4" w:space="0" w:color="000000"/>
              <w:right w:val="single" w:sz="4" w:space="0" w:color="000000"/>
            </w:tcBorders>
          </w:tcPr>
          <w:p w14:paraId="080CFA33"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lastRenderedPageBreak/>
              <w:t xml:space="preserve">Embolization f/b </w:t>
            </w:r>
            <w:r>
              <w:rPr>
                <w:rFonts w:ascii="Times New Roman" w:eastAsia="Times New Roman" w:hAnsi="Times New Roman" w:cs="Times New Roman"/>
                <w:color w:val="2E2B2B"/>
                <w:sz w:val="24"/>
                <w:szCs w:val="24"/>
                <w:highlight w:val="white"/>
              </w:rPr>
              <w:lastRenderedPageBreak/>
              <w:t>Syme amputation</w:t>
            </w:r>
          </w:p>
        </w:tc>
        <w:tc>
          <w:tcPr>
            <w:tcW w:w="2040" w:type="dxa"/>
            <w:tcBorders>
              <w:top w:val="single" w:sz="4" w:space="0" w:color="000000"/>
              <w:left w:val="single" w:sz="4" w:space="0" w:color="000000"/>
              <w:bottom w:val="single" w:sz="4" w:space="0" w:color="000000"/>
              <w:right w:val="single" w:sz="4" w:space="0" w:color="000000"/>
            </w:tcBorders>
          </w:tcPr>
          <w:p w14:paraId="74E71CAA" w14:textId="77777777" w:rsidR="002A131C" w:rsidRDefault="00861C01">
            <w:pPr>
              <w:pStyle w:val="LO-normal"/>
              <w:widowControl w:val="0"/>
              <w:ind w:right="-360"/>
              <w:jc w:val="both"/>
              <w:rPr>
                <w:rFonts w:ascii="Times New Roman" w:eastAsia="Times New Roman" w:hAnsi="Times New Roman" w:cs="Times New Roman"/>
                <w:color w:val="5B616B"/>
                <w:sz w:val="24"/>
                <w:szCs w:val="24"/>
                <w:highlight w:val="white"/>
              </w:rPr>
            </w:pPr>
            <w:r>
              <w:rPr>
                <w:rFonts w:ascii="Times New Roman" w:eastAsia="Times New Roman" w:hAnsi="Times New Roman" w:cs="Times New Roman"/>
                <w:color w:val="5B616B"/>
                <w:sz w:val="24"/>
                <w:szCs w:val="24"/>
                <w:highlight w:val="white"/>
              </w:rPr>
              <w:lastRenderedPageBreak/>
              <w:t>DOI: 0.1002/pbc.</w:t>
            </w:r>
          </w:p>
          <w:p w14:paraId="6143910E" w14:textId="77777777" w:rsidR="002A131C" w:rsidRDefault="00861C01">
            <w:pPr>
              <w:pStyle w:val="LO-normal"/>
              <w:widowControl w:val="0"/>
              <w:ind w:right="-360"/>
              <w:jc w:val="both"/>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5B616B"/>
                <w:sz w:val="24"/>
                <w:szCs w:val="24"/>
                <w:highlight w:val="white"/>
              </w:rPr>
              <w:lastRenderedPageBreak/>
              <w:t>29392</w:t>
            </w:r>
          </w:p>
        </w:tc>
      </w:tr>
      <w:tr w:rsidR="002A131C" w14:paraId="53DD311A" w14:textId="77777777">
        <w:trPr>
          <w:jc w:val="center"/>
        </w:trPr>
        <w:tc>
          <w:tcPr>
            <w:tcW w:w="794" w:type="dxa"/>
            <w:tcBorders>
              <w:top w:val="single" w:sz="4" w:space="0" w:color="000000"/>
              <w:left w:val="single" w:sz="4" w:space="0" w:color="000000"/>
              <w:bottom w:val="single" w:sz="4" w:space="0" w:color="000000"/>
              <w:right w:val="single" w:sz="4" w:space="0" w:color="000000"/>
            </w:tcBorders>
          </w:tcPr>
          <w:p w14:paraId="17451188"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lastRenderedPageBreak/>
              <w:t>6</w:t>
            </w:r>
          </w:p>
        </w:tc>
        <w:tc>
          <w:tcPr>
            <w:tcW w:w="616" w:type="dxa"/>
            <w:tcBorders>
              <w:top w:val="single" w:sz="4" w:space="0" w:color="000000"/>
              <w:left w:val="single" w:sz="4" w:space="0" w:color="000000"/>
              <w:bottom w:val="single" w:sz="4" w:space="0" w:color="000000"/>
              <w:right w:val="single" w:sz="4" w:space="0" w:color="000000"/>
            </w:tcBorders>
          </w:tcPr>
          <w:p w14:paraId="4FBE40D5"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5y</w:t>
            </w:r>
          </w:p>
        </w:tc>
        <w:tc>
          <w:tcPr>
            <w:tcW w:w="570" w:type="dxa"/>
            <w:tcBorders>
              <w:top w:val="single" w:sz="4" w:space="0" w:color="000000"/>
              <w:left w:val="single" w:sz="4" w:space="0" w:color="000000"/>
              <w:bottom w:val="single" w:sz="4" w:space="0" w:color="000000"/>
              <w:right w:val="single" w:sz="4" w:space="0" w:color="000000"/>
            </w:tcBorders>
          </w:tcPr>
          <w:p w14:paraId="50CA0E95"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M</w:t>
            </w:r>
          </w:p>
        </w:tc>
        <w:tc>
          <w:tcPr>
            <w:tcW w:w="1140" w:type="dxa"/>
            <w:tcBorders>
              <w:top w:val="single" w:sz="4" w:space="0" w:color="000000"/>
              <w:left w:val="single" w:sz="4" w:space="0" w:color="000000"/>
              <w:bottom w:val="single" w:sz="4" w:space="0" w:color="000000"/>
              <w:right w:val="single" w:sz="4" w:space="0" w:color="000000"/>
            </w:tcBorders>
          </w:tcPr>
          <w:p w14:paraId="729E56D9"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Left distal femur</w:t>
            </w:r>
          </w:p>
        </w:tc>
        <w:tc>
          <w:tcPr>
            <w:tcW w:w="750" w:type="dxa"/>
            <w:tcBorders>
              <w:top w:val="single" w:sz="4" w:space="0" w:color="000000"/>
              <w:left w:val="single" w:sz="4" w:space="0" w:color="000000"/>
              <w:bottom w:val="single" w:sz="4" w:space="0" w:color="000000"/>
              <w:right w:val="single" w:sz="4" w:space="0" w:color="000000"/>
            </w:tcBorders>
          </w:tcPr>
          <w:p w14:paraId="3F76B22D"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No</w:t>
            </w:r>
          </w:p>
        </w:tc>
        <w:tc>
          <w:tcPr>
            <w:tcW w:w="1050" w:type="dxa"/>
            <w:tcBorders>
              <w:top w:val="single" w:sz="4" w:space="0" w:color="000000"/>
              <w:left w:val="single" w:sz="4" w:space="0" w:color="000000"/>
              <w:bottom w:val="single" w:sz="4" w:space="0" w:color="000000"/>
              <w:right w:val="single" w:sz="4" w:space="0" w:color="000000"/>
            </w:tcBorders>
          </w:tcPr>
          <w:p w14:paraId="479E3F0A"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KHE</w:t>
            </w:r>
          </w:p>
          <w:p w14:paraId="1CE5428B"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CD31 +</w:t>
            </w:r>
          </w:p>
          <w:p w14:paraId="22369528"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CD34 +</w:t>
            </w:r>
          </w:p>
          <w:p w14:paraId="2304DE06"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D2-40 +</w:t>
            </w:r>
          </w:p>
        </w:tc>
        <w:tc>
          <w:tcPr>
            <w:tcW w:w="2039" w:type="dxa"/>
            <w:tcBorders>
              <w:top w:val="single" w:sz="4" w:space="0" w:color="000000"/>
              <w:left w:val="single" w:sz="4" w:space="0" w:color="000000"/>
              <w:bottom w:val="single" w:sz="4" w:space="0" w:color="000000"/>
              <w:right w:val="single" w:sz="4" w:space="0" w:color="000000"/>
            </w:tcBorders>
          </w:tcPr>
          <w:p w14:paraId="0CC65264"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1) WLE with bone graft</w:t>
            </w:r>
          </w:p>
          <w:p w14:paraId="2F53815F"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 xml:space="preserve">2) Sirolimus after recurrence at </w:t>
            </w:r>
            <w:proofErr w:type="gramStart"/>
            <w:r>
              <w:rPr>
                <w:rFonts w:ascii="Times New Roman" w:eastAsia="Times New Roman" w:hAnsi="Times New Roman" w:cs="Times New Roman"/>
                <w:color w:val="2E2B2B"/>
                <w:sz w:val="24"/>
                <w:szCs w:val="24"/>
                <w:highlight w:val="white"/>
              </w:rPr>
              <w:t>9 month</w:t>
            </w:r>
            <w:proofErr w:type="gramEnd"/>
            <w:r>
              <w:rPr>
                <w:rFonts w:ascii="Times New Roman" w:eastAsia="Times New Roman" w:hAnsi="Times New Roman" w:cs="Times New Roman"/>
                <w:color w:val="2E2B2B"/>
                <w:sz w:val="24"/>
                <w:szCs w:val="24"/>
                <w:highlight w:val="white"/>
              </w:rPr>
              <w:t xml:space="preserve"> follow-up</w:t>
            </w:r>
          </w:p>
        </w:tc>
        <w:tc>
          <w:tcPr>
            <w:tcW w:w="2040" w:type="dxa"/>
            <w:tcBorders>
              <w:top w:val="single" w:sz="4" w:space="0" w:color="000000"/>
              <w:left w:val="single" w:sz="4" w:space="0" w:color="000000"/>
              <w:bottom w:val="single" w:sz="4" w:space="0" w:color="000000"/>
              <w:right w:val="single" w:sz="4" w:space="0" w:color="000000"/>
            </w:tcBorders>
          </w:tcPr>
          <w:p w14:paraId="3196F872" w14:textId="77777777" w:rsidR="002A131C" w:rsidRDefault="00861C01">
            <w:pPr>
              <w:pStyle w:val="LO-normal"/>
              <w:widowControl w:val="0"/>
              <w:ind w:right="-360"/>
              <w:jc w:val="both"/>
              <w:rPr>
                <w:rFonts w:ascii="Times New Roman" w:eastAsia="Times New Roman" w:hAnsi="Times New Roman" w:cs="Times New Roman"/>
                <w:color w:val="5B616B"/>
                <w:sz w:val="24"/>
                <w:szCs w:val="24"/>
                <w:highlight w:val="white"/>
              </w:rPr>
            </w:pPr>
            <w:r>
              <w:rPr>
                <w:rFonts w:ascii="Times New Roman" w:eastAsia="Times New Roman" w:hAnsi="Times New Roman" w:cs="Times New Roman"/>
                <w:color w:val="5B616B"/>
                <w:sz w:val="24"/>
                <w:szCs w:val="24"/>
                <w:highlight w:val="white"/>
              </w:rPr>
              <w:t>DOI: 0.1002/pbc.</w:t>
            </w:r>
          </w:p>
          <w:p w14:paraId="07C60C94" w14:textId="77777777" w:rsidR="002A131C" w:rsidRDefault="00861C01">
            <w:pPr>
              <w:pStyle w:val="LO-normal"/>
              <w:widowControl w:val="0"/>
              <w:ind w:right="-360"/>
              <w:jc w:val="both"/>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5B616B"/>
                <w:sz w:val="24"/>
                <w:szCs w:val="24"/>
                <w:highlight w:val="white"/>
              </w:rPr>
              <w:t>29392</w:t>
            </w:r>
          </w:p>
        </w:tc>
      </w:tr>
      <w:tr w:rsidR="002A131C" w14:paraId="3A4A826C" w14:textId="77777777">
        <w:trPr>
          <w:jc w:val="center"/>
        </w:trPr>
        <w:tc>
          <w:tcPr>
            <w:tcW w:w="794" w:type="dxa"/>
            <w:tcBorders>
              <w:top w:val="single" w:sz="4" w:space="0" w:color="000000"/>
              <w:left w:val="single" w:sz="4" w:space="0" w:color="000000"/>
              <w:bottom w:val="single" w:sz="4" w:space="0" w:color="000000"/>
              <w:right w:val="single" w:sz="4" w:space="0" w:color="000000"/>
            </w:tcBorders>
          </w:tcPr>
          <w:p w14:paraId="67B19A25"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7</w:t>
            </w:r>
          </w:p>
        </w:tc>
        <w:tc>
          <w:tcPr>
            <w:tcW w:w="616" w:type="dxa"/>
            <w:tcBorders>
              <w:top w:val="single" w:sz="4" w:space="0" w:color="000000"/>
              <w:left w:val="single" w:sz="4" w:space="0" w:color="000000"/>
              <w:bottom w:val="single" w:sz="4" w:space="0" w:color="000000"/>
              <w:right w:val="single" w:sz="4" w:space="0" w:color="000000"/>
            </w:tcBorders>
          </w:tcPr>
          <w:p w14:paraId="23736645"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3y</w:t>
            </w:r>
          </w:p>
        </w:tc>
        <w:tc>
          <w:tcPr>
            <w:tcW w:w="570" w:type="dxa"/>
            <w:tcBorders>
              <w:top w:val="single" w:sz="4" w:space="0" w:color="000000"/>
              <w:left w:val="single" w:sz="4" w:space="0" w:color="000000"/>
              <w:bottom w:val="single" w:sz="4" w:space="0" w:color="000000"/>
              <w:right w:val="single" w:sz="4" w:space="0" w:color="000000"/>
            </w:tcBorders>
          </w:tcPr>
          <w:p w14:paraId="1D271CF7"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M</w:t>
            </w:r>
          </w:p>
        </w:tc>
        <w:tc>
          <w:tcPr>
            <w:tcW w:w="1140" w:type="dxa"/>
            <w:tcBorders>
              <w:top w:val="single" w:sz="4" w:space="0" w:color="000000"/>
              <w:left w:val="single" w:sz="4" w:space="0" w:color="000000"/>
              <w:bottom w:val="single" w:sz="4" w:space="0" w:color="000000"/>
              <w:right w:val="single" w:sz="4" w:space="0" w:color="000000"/>
            </w:tcBorders>
          </w:tcPr>
          <w:p w14:paraId="008EF68B"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Right femur diaphysis</w:t>
            </w:r>
          </w:p>
        </w:tc>
        <w:tc>
          <w:tcPr>
            <w:tcW w:w="750" w:type="dxa"/>
            <w:tcBorders>
              <w:top w:val="single" w:sz="4" w:space="0" w:color="000000"/>
              <w:left w:val="single" w:sz="4" w:space="0" w:color="000000"/>
              <w:bottom w:val="single" w:sz="4" w:space="0" w:color="000000"/>
              <w:right w:val="single" w:sz="4" w:space="0" w:color="000000"/>
            </w:tcBorders>
          </w:tcPr>
          <w:p w14:paraId="0794D890"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No</w:t>
            </w:r>
          </w:p>
        </w:tc>
        <w:tc>
          <w:tcPr>
            <w:tcW w:w="1050" w:type="dxa"/>
            <w:tcBorders>
              <w:top w:val="single" w:sz="4" w:space="0" w:color="000000"/>
              <w:left w:val="single" w:sz="4" w:space="0" w:color="000000"/>
              <w:bottom w:val="single" w:sz="4" w:space="0" w:color="000000"/>
              <w:right w:val="single" w:sz="4" w:space="0" w:color="000000"/>
            </w:tcBorders>
          </w:tcPr>
          <w:p w14:paraId="7444CA47"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KHE</w:t>
            </w:r>
          </w:p>
          <w:p w14:paraId="0E10F374"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CD34+</w:t>
            </w:r>
          </w:p>
          <w:p w14:paraId="3B58695B"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ERG+</w:t>
            </w:r>
          </w:p>
        </w:tc>
        <w:tc>
          <w:tcPr>
            <w:tcW w:w="2039" w:type="dxa"/>
            <w:tcBorders>
              <w:top w:val="single" w:sz="4" w:space="0" w:color="000000"/>
              <w:left w:val="single" w:sz="4" w:space="0" w:color="000000"/>
              <w:bottom w:val="single" w:sz="4" w:space="0" w:color="000000"/>
              <w:right w:val="single" w:sz="4" w:space="0" w:color="000000"/>
            </w:tcBorders>
          </w:tcPr>
          <w:p w14:paraId="49CE9516"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1) WLE with fibula allograft and plating</w:t>
            </w:r>
          </w:p>
          <w:p w14:paraId="153A3C58" w14:textId="77777777" w:rsidR="002A131C" w:rsidRDefault="00861C01">
            <w:pPr>
              <w:pStyle w:val="LO-normal"/>
              <w:widowControl w:val="0"/>
              <w:spacing w:line="240" w:lineRule="auto"/>
              <w:rPr>
                <w:rFonts w:ascii="Times New Roman" w:eastAsia="Times New Roman" w:hAnsi="Times New Roman" w:cs="Times New Roman"/>
                <w:color w:val="2E2B2B"/>
                <w:sz w:val="24"/>
                <w:szCs w:val="24"/>
                <w:highlight w:val="white"/>
              </w:rPr>
            </w:pPr>
            <w:r>
              <w:rPr>
                <w:rFonts w:ascii="Times New Roman" w:eastAsia="Times New Roman" w:hAnsi="Times New Roman" w:cs="Times New Roman"/>
                <w:color w:val="2E2B2B"/>
                <w:sz w:val="24"/>
                <w:szCs w:val="24"/>
                <w:highlight w:val="white"/>
              </w:rPr>
              <w:t xml:space="preserve">2) Open reduction and plating with allograft fibula strut for fracture at </w:t>
            </w:r>
            <w:proofErr w:type="gramStart"/>
            <w:r>
              <w:rPr>
                <w:rFonts w:ascii="Times New Roman" w:eastAsia="Times New Roman" w:hAnsi="Times New Roman" w:cs="Times New Roman"/>
                <w:color w:val="2E2B2B"/>
                <w:sz w:val="24"/>
                <w:szCs w:val="24"/>
                <w:highlight w:val="white"/>
              </w:rPr>
              <w:t>11 month</w:t>
            </w:r>
            <w:proofErr w:type="gramEnd"/>
            <w:r>
              <w:rPr>
                <w:rFonts w:ascii="Times New Roman" w:eastAsia="Times New Roman" w:hAnsi="Times New Roman" w:cs="Times New Roman"/>
                <w:color w:val="2E2B2B"/>
                <w:sz w:val="24"/>
                <w:szCs w:val="24"/>
                <w:highlight w:val="white"/>
              </w:rPr>
              <w:t xml:space="preserve"> follow-up</w:t>
            </w:r>
          </w:p>
        </w:tc>
        <w:tc>
          <w:tcPr>
            <w:tcW w:w="2040" w:type="dxa"/>
            <w:tcBorders>
              <w:top w:val="single" w:sz="4" w:space="0" w:color="000000"/>
              <w:left w:val="single" w:sz="4" w:space="0" w:color="000000"/>
              <w:bottom w:val="single" w:sz="4" w:space="0" w:color="000000"/>
              <w:right w:val="single" w:sz="4" w:space="0" w:color="000000"/>
            </w:tcBorders>
          </w:tcPr>
          <w:p w14:paraId="7629BD27" w14:textId="77777777" w:rsidR="002A131C" w:rsidRDefault="00861C01">
            <w:pPr>
              <w:pStyle w:val="LO-normal"/>
              <w:widowControl w:val="0"/>
              <w:ind w:right="-360"/>
              <w:jc w:val="both"/>
              <w:rPr>
                <w:rFonts w:ascii="Times New Roman" w:eastAsia="Times New Roman" w:hAnsi="Times New Roman" w:cs="Times New Roman"/>
                <w:color w:val="5B616B"/>
                <w:sz w:val="24"/>
                <w:szCs w:val="24"/>
                <w:highlight w:val="white"/>
              </w:rPr>
            </w:pPr>
            <w:r>
              <w:rPr>
                <w:rFonts w:ascii="Times New Roman" w:eastAsia="Times New Roman" w:hAnsi="Times New Roman" w:cs="Times New Roman"/>
                <w:color w:val="5B616B"/>
                <w:sz w:val="24"/>
                <w:szCs w:val="24"/>
                <w:highlight w:val="white"/>
              </w:rPr>
              <w:t>Our case study</w:t>
            </w:r>
          </w:p>
        </w:tc>
      </w:tr>
    </w:tbl>
    <w:p w14:paraId="577A2972" w14:textId="77777777" w:rsidR="002A131C" w:rsidRDefault="002A131C">
      <w:pPr>
        <w:pStyle w:val="LO-normal"/>
        <w:ind w:left="-360" w:right="-360" w:firstLine="360"/>
        <w:jc w:val="both"/>
        <w:rPr>
          <w:rFonts w:ascii="Times New Roman" w:eastAsia="Times New Roman" w:hAnsi="Times New Roman" w:cs="Times New Roman"/>
          <w:i/>
          <w:color w:val="2E2B2B"/>
          <w:sz w:val="24"/>
          <w:szCs w:val="24"/>
          <w:highlight w:val="white"/>
        </w:rPr>
      </w:pPr>
    </w:p>
    <w:p w14:paraId="0494EDCF" w14:textId="77777777" w:rsidR="002A131C" w:rsidRDefault="00861C01">
      <w:pPr>
        <w:pStyle w:val="LO-normal"/>
        <w:ind w:left="-360" w:right="-360" w:firstLine="360"/>
        <w:jc w:val="both"/>
        <w:rPr>
          <w:rFonts w:ascii="Times New Roman" w:eastAsia="Times New Roman" w:hAnsi="Times New Roman" w:cs="Times New Roman"/>
          <w:i/>
          <w:color w:val="2E2B2B"/>
          <w:sz w:val="24"/>
          <w:szCs w:val="24"/>
          <w:highlight w:val="white"/>
        </w:rPr>
      </w:pPr>
      <w:r>
        <w:rPr>
          <w:rFonts w:ascii="Times New Roman" w:eastAsia="Times New Roman" w:hAnsi="Times New Roman" w:cs="Times New Roman"/>
          <w:i/>
          <w:color w:val="2E2B2B"/>
          <w:sz w:val="24"/>
          <w:szCs w:val="24"/>
          <w:highlight w:val="white"/>
        </w:rPr>
        <w:t>Table 1. Comparison among reported cases of long bone KHE</w:t>
      </w:r>
    </w:p>
    <w:p w14:paraId="6073C72F"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54AD3DA0" w14:textId="77777777" w:rsidR="002A131C" w:rsidRDefault="002A131C">
      <w:pPr>
        <w:pStyle w:val="LO-normal"/>
        <w:ind w:left="-360" w:right="-360"/>
        <w:jc w:val="both"/>
        <w:rPr>
          <w:rFonts w:ascii="Times New Roman" w:eastAsia="Times New Roman" w:hAnsi="Times New Roman" w:cs="Times New Roman"/>
          <w:b/>
          <w:color w:val="2E2B2B"/>
          <w:sz w:val="24"/>
          <w:szCs w:val="24"/>
          <w:highlight w:val="white"/>
        </w:rPr>
      </w:pPr>
    </w:p>
    <w:p w14:paraId="7C823837" w14:textId="77777777" w:rsidR="006D144F" w:rsidRDefault="006D144F" w:rsidP="006D144F">
      <w:pPr>
        <w:pStyle w:val="LO-normal"/>
        <w:ind w:left="-360" w:right="-360"/>
        <w:jc w:val="both"/>
        <w:rPr>
          <w:rFonts w:ascii="Times New Roman" w:eastAsia="Times New Roman" w:hAnsi="Times New Roman" w:cs="Times New Roman"/>
          <w:b/>
          <w:color w:val="2E2B2B"/>
          <w:sz w:val="24"/>
          <w:szCs w:val="24"/>
          <w:highlight w:val="white"/>
        </w:rPr>
      </w:pPr>
    </w:p>
    <w:p w14:paraId="5D816911" w14:textId="3943E3AD" w:rsidR="006D144F" w:rsidRPr="006D144F" w:rsidRDefault="006D144F" w:rsidP="006D144F">
      <w:pPr>
        <w:pStyle w:val="LO-normal"/>
        <w:ind w:left="-360" w:right="-360"/>
        <w:jc w:val="both"/>
        <w:rPr>
          <w:rFonts w:ascii="Times New Roman" w:eastAsia="Times New Roman" w:hAnsi="Times New Roman" w:cs="Times New Roman"/>
          <w:b/>
          <w:color w:val="2E2B2B"/>
          <w:sz w:val="24"/>
          <w:szCs w:val="24"/>
          <w:highlight w:val="white"/>
        </w:rPr>
      </w:pPr>
      <w:r w:rsidRPr="006D144F">
        <w:rPr>
          <w:rFonts w:ascii="Times New Roman" w:eastAsia="Times New Roman" w:hAnsi="Times New Roman" w:cs="Times New Roman"/>
          <w:b/>
          <w:color w:val="2E2B2B"/>
          <w:sz w:val="24"/>
          <w:szCs w:val="24"/>
          <w:highlight w:val="white"/>
        </w:rPr>
        <w:t>Discussion</w:t>
      </w:r>
    </w:p>
    <w:p w14:paraId="48A88F83" w14:textId="77777777" w:rsidR="006D144F" w:rsidRPr="006D144F" w:rsidRDefault="006D144F" w:rsidP="006D144F">
      <w:pPr>
        <w:pStyle w:val="LO-normal"/>
        <w:ind w:left="-360" w:right="-360"/>
        <w:jc w:val="both"/>
        <w:rPr>
          <w:rFonts w:ascii="Times New Roman" w:eastAsia="Times New Roman" w:hAnsi="Times New Roman" w:cs="Times New Roman"/>
          <w:bCs/>
          <w:color w:val="2E2B2B"/>
          <w:sz w:val="24"/>
          <w:szCs w:val="24"/>
          <w:highlight w:val="white"/>
        </w:rPr>
      </w:pPr>
      <w:r w:rsidRPr="006D144F">
        <w:rPr>
          <w:rFonts w:ascii="Times New Roman" w:eastAsia="Times New Roman" w:hAnsi="Times New Roman" w:cs="Times New Roman"/>
          <w:bCs/>
          <w:color w:val="2E2B2B"/>
          <w:sz w:val="24"/>
          <w:szCs w:val="24"/>
          <w:highlight w:val="white"/>
        </w:rPr>
        <w:t>Most documented KHE cases originate outside bone, with osseous involvement mainly secondary. Due to limited published data, a standardized treatment protocol for primary bone KHE does not exist. This case documents a primary KHE of a long bone without cutaneous involvement or KMP association. For young patients without KMP, complete surgical excision is the preferred treatment. However, because of the tumor’s infiltrative pattern, surgery is not always feasible. For unresectable or residual tumors, therapies such as corticosteroids, vincristine, interferon-alpha, aspirin, ticlopidine, cyclophosphamide, and mTOR inhibitors have been used. Sirolimus is now considered first-line therapy, with vincristine and corticosteroids reserved for cases with KMP [4], [5]. Since KHE may regress over time, conservative management is an option if symptoms are controlled and limb salvage is not possible [4]. Further studies are necessary to validate these approaches and establish standardized treatment protocols.</w:t>
      </w:r>
    </w:p>
    <w:p w14:paraId="0F398744"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27B3639D" w14:textId="77777777" w:rsidR="006D144F" w:rsidRDefault="006D144F" w:rsidP="006D144F">
      <w:pPr>
        <w:pStyle w:val="LO-normal"/>
        <w:ind w:left="-360" w:right="-360"/>
        <w:jc w:val="both"/>
        <w:rPr>
          <w:rFonts w:ascii="Times New Roman" w:eastAsia="Times New Roman" w:hAnsi="Times New Roman" w:cs="Times New Roman"/>
          <w:b/>
          <w:color w:val="2E2B2B"/>
          <w:sz w:val="24"/>
          <w:szCs w:val="24"/>
          <w:highlight w:val="white"/>
        </w:rPr>
      </w:pPr>
    </w:p>
    <w:p w14:paraId="20FF26BB" w14:textId="77777777" w:rsidR="006D144F" w:rsidRPr="006D144F" w:rsidRDefault="006D144F" w:rsidP="006D144F">
      <w:pPr>
        <w:pStyle w:val="LO-normal"/>
        <w:ind w:left="-360" w:right="-360"/>
        <w:jc w:val="both"/>
        <w:rPr>
          <w:rFonts w:ascii="Times New Roman" w:eastAsia="Times New Roman" w:hAnsi="Times New Roman" w:cs="Times New Roman"/>
          <w:b/>
          <w:color w:val="2E2B2B"/>
          <w:sz w:val="24"/>
          <w:szCs w:val="24"/>
          <w:highlight w:val="white"/>
        </w:rPr>
      </w:pPr>
      <w:r w:rsidRPr="006D144F">
        <w:rPr>
          <w:rFonts w:ascii="Times New Roman" w:eastAsia="Times New Roman" w:hAnsi="Times New Roman" w:cs="Times New Roman"/>
          <w:b/>
          <w:color w:val="2E2B2B"/>
          <w:sz w:val="24"/>
          <w:szCs w:val="24"/>
          <w:highlight w:val="white"/>
        </w:rPr>
        <w:t>Disclosures</w:t>
      </w:r>
    </w:p>
    <w:p w14:paraId="777D9C03" w14:textId="77777777" w:rsidR="006D144F" w:rsidRPr="006D144F" w:rsidRDefault="006D144F" w:rsidP="006D144F">
      <w:pPr>
        <w:pStyle w:val="LO-normal"/>
        <w:numPr>
          <w:ilvl w:val="0"/>
          <w:numId w:val="4"/>
        </w:numPr>
        <w:ind w:right="-360"/>
        <w:jc w:val="both"/>
        <w:rPr>
          <w:rFonts w:ascii="Times New Roman" w:eastAsia="Times New Roman" w:hAnsi="Times New Roman" w:cs="Times New Roman"/>
          <w:bCs/>
          <w:color w:val="2E2B2B"/>
          <w:sz w:val="24"/>
          <w:szCs w:val="24"/>
          <w:highlight w:val="white"/>
        </w:rPr>
      </w:pPr>
      <w:r w:rsidRPr="006D144F">
        <w:rPr>
          <w:rFonts w:ascii="Times New Roman" w:eastAsia="Times New Roman" w:hAnsi="Times New Roman" w:cs="Times New Roman"/>
          <w:bCs/>
          <w:color w:val="2E2B2B"/>
          <w:sz w:val="24"/>
          <w:szCs w:val="24"/>
          <w:highlight w:val="white"/>
        </w:rPr>
        <w:t>Consent: Obtained or waived from the participant in this case report.</w:t>
      </w:r>
    </w:p>
    <w:p w14:paraId="28D71541" w14:textId="77777777" w:rsidR="006D144F" w:rsidRPr="006D144F" w:rsidRDefault="006D144F" w:rsidP="006D144F">
      <w:pPr>
        <w:pStyle w:val="LO-normal"/>
        <w:numPr>
          <w:ilvl w:val="0"/>
          <w:numId w:val="4"/>
        </w:numPr>
        <w:ind w:right="-360"/>
        <w:jc w:val="both"/>
        <w:rPr>
          <w:rFonts w:ascii="Times New Roman" w:eastAsia="Times New Roman" w:hAnsi="Times New Roman" w:cs="Times New Roman"/>
          <w:bCs/>
          <w:color w:val="2E2B2B"/>
          <w:sz w:val="24"/>
          <w:szCs w:val="24"/>
          <w:highlight w:val="white"/>
        </w:rPr>
      </w:pPr>
      <w:r w:rsidRPr="006D144F">
        <w:rPr>
          <w:rFonts w:ascii="Times New Roman" w:eastAsia="Times New Roman" w:hAnsi="Times New Roman" w:cs="Times New Roman"/>
          <w:bCs/>
          <w:color w:val="2E2B2B"/>
          <w:sz w:val="24"/>
          <w:szCs w:val="24"/>
          <w:highlight w:val="white"/>
        </w:rPr>
        <w:t>Financial Support: None declared by any author for this work.</w:t>
      </w:r>
    </w:p>
    <w:p w14:paraId="5E572352" w14:textId="77777777" w:rsidR="006D144F" w:rsidRPr="006D144F" w:rsidRDefault="006D144F" w:rsidP="006D144F">
      <w:pPr>
        <w:pStyle w:val="LO-normal"/>
        <w:numPr>
          <w:ilvl w:val="0"/>
          <w:numId w:val="4"/>
        </w:numPr>
        <w:ind w:right="-360"/>
        <w:jc w:val="both"/>
        <w:rPr>
          <w:rFonts w:ascii="Times New Roman" w:eastAsia="Times New Roman" w:hAnsi="Times New Roman" w:cs="Times New Roman"/>
          <w:bCs/>
          <w:color w:val="2E2B2B"/>
          <w:sz w:val="24"/>
          <w:szCs w:val="24"/>
          <w:highlight w:val="white"/>
        </w:rPr>
      </w:pPr>
      <w:r w:rsidRPr="006D144F">
        <w:rPr>
          <w:rFonts w:ascii="Times New Roman" w:eastAsia="Times New Roman" w:hAnsi="Times New Roman" w:cs="Times New Roman"/>
          <w:bCs/>
          <w:color w:val="2E2B2B"/>
          <w:sz w:val="24"/>
          <w:szCs w:val="24"/>
          <w:highlight w:val="white"/>
        </w:rPr>
        <w:t>Financial Relationships: None declared by any author at present or within the past three years with relevant organizations.</w:t>
      </w:r>
    </w:p>
    <w:p w14:paraId="4FF2F048" w14:textId="77777777" w:rsidR="006D144F" w:rsidRPr="006D144F" w:rsidRDefault="006D144F" w:rsidP="006D144F">
      <w:pPr>
        <w:pStyle w:val="LO-normal"/>
        <w:numPr>
          <w:ilvl w:val="0"/>
          <w:numId w:val="4"/>
        </w:numPr>
        <w:ind w:right="-360"/>
        <w:jc w:val="both"/>
        <w:rPr>
          <w:rFonts w:ascii="Times New Roman" w:eastAsia="Times New Roman" w:hAnsi="Times New Roman" w:cs="Times New Roman"/>
          <w:bCs/>
          <w:color w:val="2E2B2B"/>
          <w:sz w:val="24"/>
          <w:szCs w:val="24"/>
          <w:highlight w:val="white"/>
        </w:rPr>
      </w:pPr>
      <w:r w:rsidRPr="006D144F">
        <w:rPr>
          <w:rFonts w:ascii="Times New Roman" w:eastAsia="Times New Roman" w:hAnsi="Times New Roman" w:cs="Times New Roman"/>
          <w:bCs/>
          <w:color w:val="2E2B2B"/>
          <w:sz w:val="24"/>
          <w:szCs w:val="24"/>
          <w:highlight w:val="white"/>
        </w:rPr>
        <w:t>Other Relationships: None declared that could influence the submitted work.</w:t>
      </w:r>
    </w:p>
    <w:p w14:paraId="11488DE9" w14:textId="77777777" w:rsidR="002A131C" w:rsidRDefault="002A131C">
      <w:pPr>
        <w:pStyle w:val="LO-normal"/>
        <w:ind w:left="-360" w:right="-360"/>
        <w:jc w:val="both"/>
        <w:rPr>
          <w:rFonts w:ascii="Times New Roman" w:eastAsia="Times New Roman" w:hAnsi="Times New Roman" w:cs="Times New Roman"/>
          <w:color w:val="2E2B2B"/>
          <w:sz w:val="24"/>
          <w:szCs w:val="24"/>
          <w:highlight w:val="white"/>
        </w:rPr>
      </w:pPr>
    </w:p>
    <w:p w14:paraId="629A9D3E" w14:textId="77777777" w:rsidR="00BD62A5" w:rsidRDefault="00BD62A5" w:rsidP="006D144F">
      <w:pPr>
        <w:pStyle w:val="LO-normal"/>
        <w:ind w:left="-360" w:right="-360"/>
        <w:jc w:val="both"/>
        <w:rPr>
          <w:rFonts w:ascii="Times New Roman" w:eastAsia="Times New Roman" w:hAnsi="Times New Roman" w:cs="Times New Roman"/>
          <w:b/>
          <w:color w:val="2E2B2B"/>
          <w:sz w:val="24"/>
          <w:szCs w:val="24"/>
          <w:highlight w:val="white"/>
        </w:rPr>
      </w:pPr>
    </w:p>
    <w:p w14:paraId="7089D1EB" w14:textId="77777777" w:rsidR="00BD62A5" w:rsidRDefault="00BD62A5" w:rsidP="006D144F">
      <w:pPr>
        <w:pStyle w:val="LO-normal"/>
        <w:ind w:left="-360" w:right="-360"/>
        <w:jc w:val="both"/>
        <w:rPr>
          <w:rFonts w:ascii="Times New Roman" w:eastAsia="Times New Roman" w:hAnsi="Times New Roman" w:cs="Times New Roman"/>
          <w:b/>
          <w:color w:val="2E2B2B"/>
          <w:sz w:val="24"/>
          <w:szCs w:val="24"/>
          <w:highlight w:val="white"/>
        </w:rPr>
      </w:pPr>
    </w:p>
    <w:p w14:paraId="2DBD73E0" w14:textId="6EAF37D4" w:rsidR="00BD62A5" w:rsidRDefault="00BD62A5" w:rsidP="006D144F">
      <w:pPr>
        <w:pStyle w:val="LO-normal"/>
        <w:ind w:left="-360" w:right="-360"/>
        <w:jc w:val="both"/>
        <w:rPr>
          <w:rFonts w:ascii="Times New Roman" w:eastAsia="Times New Roman" w:hAnsi="Times New Roman" w:cs="Times New Roman"/>
          <w:b/>
          <w:color w:val="2E2B2B"/>
          <w:sz w:val="24"/>
          <w:szCs w:val="24"/>
          <w:highlight w:val="white"/>
        </w:rPr>
      </w:pPr>
    </w:p>
    <w:p w14:paraId="52FDBC3F" w14:textId="6B2B9D04" w:rsidR="00191E1E" w:rsidRDefault="00191E1E" w:rsidP="006D144F">
      <w:pPr>
        <w:pStyle w:val="LO-normal"/>
        <w:ind w:left="-360" w:right="-360"/>
        <w:jc w:val="both"/>
        <w:rPr>
          <w:rFonts w:ascii="Times New Roman" w:eastAsia="Times New Roman" w:hAnsi="Times New Roman" w:cs="Times New Roman"/>
          <w:b/>
          <w:color w:val="2E2B2B"/>
          <w:sz w:val="24"/>
          <w:szCs w:val="24"/>
          <w:highlight w:val="white"/>
        </w:rPr>
      </w:pPr>
    </w:p>
    <w:p w14:paraId="0333A462" w14:textId="77777777" w:rsidR="00191E1E" w:rsidRDefault="00191E1E" w:rsidP="006D144F">
      <w:pPr>
        <w:pStyle w:val="LO-normal"/>
        <w:ind w:left="-360" w:right="-360"/>
        <w:jc w:val="both"/>
        <w:rPr>
          <w:rFonts w:ascii="Times New Roman" w:eastAsia="Times New Roman" w:hAnsi="Times New Roman" w:cs="Times New Roman"/>
          <w:b/>
          <w:color w:val="2E2B2B"/>
          <w:sz w:val="24"/>
          <w:szCs w:val="24"/>
          <w:highlight w:val="white"/>
        </w:rPr>
      </w:pPr>
      <w:bookmarkStart w:id="0" w:name="_GoBack"/>
      <w:bookmarkEnd w:id="0"/>
    </w:p>
    <w:p w14:paraId="64A1D23F" w14:textId="724720AD" w:rsidR="002A131C" w:rsidRDefault="00861C01" w:rsidP="006D144F">
      <w:pPr>
        <w:pStyle w:val="LO-normal"/>
        <w:ind w:left="-360" w:right="-360"/>
        <w:jc w:val="both"/>
        <w:rPr>
          <w:rFonts w:ascii="Times New Roman" w:eastAsia="Times New Roman" w:hAnsi="Times New Roman" w:cs="Times New Roman"/>
          <w:b/>
          <w:color w:val="2E2B2B"/>
          <w:sz w:val="24"/>
          <w:szCs w:val="24"/>
          <w:highlight w:val="white"/>
        </w:rPr>
      </w:pPr>
      <w:r>
        <w:rPr>
          <w:rFonts w:ascii="Times New Roman" w:eastAsia="Times New Roman" w:hAnsi="Times New Roman" w:cs="Times New Roman"/>
          <w:b/>
          <w:color w:val="2E2B2B"/>
          <w:sz w:val="24"/>
          <w:szCs w:val="24"/>
          <w:highlight w:val="white"/>
        </w:rPr>
        <w:lastRenderedPageBreak/>
        <w:t>References</w:t>
      </w:r>
    </w:p>
    <w:p w14:paraId="16482CC3" w14:textId="77777777" w:rsidR="006D144F" w:rsidRDefault="006D144F" w:rsidP="006D144F">
      <w:pPr>
        <w:pStyle w:val="p1"/>
        <w:numPr>
          <w:ilvl w:val="0"/>
          <w:numId w:val="5"/>
        </w:numPr>
      </w:pPr>
      <w:r>
        <w:t xml:space="preserve">Zhou G, Zheng JW, Mai HM, Wang YA, Yang XJ, Fan XD, et al. Kaposiform hemangioendothelioma: clinical analysis of 13 cases from a single hospital. </w:t>
      </w:r>
      <w:r>
        <w:rPr>
          <w:i/>
          <w:iCs/>
        </w:rPr>
        <w:t>Chin J Clin Oncol</w:t>
      </w:r>
      <w:r>
        <w:t>. 2007;4(4):288-92. doi:10.1007/s11805-007-0289-z.</w:t>
      </w:r>
    </w:p>
    <w:p w14:paraId="69E9FE6B" w14:textId="77777777" w:rsidR="006D144F" w:rsidRDefault="006D144F" w:rsidP="006D144F">
      <w:pPr>
        <w:pStyle w:val="p1"/>
        <w:numPr>
          <w:ilvl w:val="0"/>
          <w:numId w:val="5"/>
        </w:numPr>
      </w:pPr>
      <w:r>
        <w:t xml:space="preserve">Ali Z, Qasim SM, Faisal F, Faizan M, Shahid A, Hamid M, et al. Primary </w:t>
      </w:r>
      <w:proofErr w:type="spellStart"/>
      <w:r>
        <w:t>kaposiform</w:t>
      </w:r>
      <w:proofErr w:type="spellEnd"/>
      <w:r>
        <w:t xml:space="preserve"> </w:t>
      </w:r>
      <w:proofErr w:type="spellStart"/>
      <w:r>
        <w:t>hemangioendothelioma</w:t>
      </w:r>
      <w:proofErr w:type="spellEnd"/>
      <w:r>
        <w:t xml:space="preserve"> of the humerus: a case report. </w:t>
      </w:r>
      <w:r>
        <w:rPr>
          <w:i/>
          <w:iCs/>
        </w:rPr>
        <w:t>Cureus</w:t>
      </w:r>
      <w:r>
        <w:t>. 2022 Jan 15;14(1):e21262. doi:10.7759/cureus.21262.</w:t>
      </w:r>
    </w:p>
    <w:p w14:paraId="50D236F2" w14:textId="77777777" w:rsidR="006D144F" w:rsidRDefault="006D144F" w:rsidP="006D144F">
      <w:pPr>
        <w:pStyle w:val="p1"/>
        <w:numPr>
          <w:ilvl w:val="0"/>
          <w:numId w:val="5"/>
        </w:numPr>
      </w:pPr>
      <w:r>
        <w:t xml:space="preserve">Matsumoto Y, Nakatani Y, Seki K, Yao T, Hara K, Miyake K, et al. Kaposiform hemangioendothelioma: a case report with immunohistochemical and ultrastructural studies. </w:t>
      </w:r>
      <w:proofErr w:type="spellStart"/>
      <w:r>
        <w:rPr>
          <w:i/>
          <w:iCs/>
        </w:rPr>
        <w:t>Pathol</w:t>
      </w:r>
      <w:proofErr w:type="spellEnd"/>
      <w:r>
        <w:rPr>
          <w:i/>
          <w:iCs/>
        </w:rPr>
        <w:t xml:space="preserve"> Int</w:t>
      </w:r>
      <w:r>
        <w:t>. 2011;61(7):382-6. doi:10.1111/j.1440-1827.2011.02681.x.</w:t>
      </w:r>
    </w:p>
    <w:p w14:paraId="2B92C738" w14:textId="77777777" w:rsidR="006D144F" w:rsidRDefault="006D144F" w:rsidP="006D144F">
      <w:pPr>
        <w:pStyle w:val="p1"/>
        <w:numPr>
          <w:ilvl w:val="0"/>
          <w:numId w:val="5"/>
        </w:numPr>
      </w:pPr>
      <w:proofErr w:type="spellStart"/>
      <w:r>
        <w:t>Chinello</w:t>
      </w:r>
      <w:proofErr w:type="spellEnd"/>
      <w:r>
        <w:t xml:space="preserve"> M, Di Carlo D, Olivieri F, Balter R, De Bortoli M, Vitale V, et al. Successful management of </w:t>
      </w:r>
      <w:proofErr w:type="spellStart"/>
      <w:r>
        <w:t>kaposiform</w:t>
      </w:r>
      <w:proofErr w:type="spellEnd"/>
      <w:r>
        <w:t xml:space="preserve"> </w:t>
      </w:r>
      <w:proofErr w:type="spellStart"/>
      <w:r>
        <w:t>hemangioendothelioma</w:t>
      </w:r>
      <w:proofErr w:type="spellEnd"/>
      <w:r>
        <w:t xml:space="preserve"> with long-term sirolimus treatment: a case report and review of the literature. </w:t>
      </w:r>
      <w:proofErr w:type="spellStart"/>
      <w:r>
        <w:rPr>
          <w:i/>
          <w:iCs/>
        </w:rPr>
        <w:t>Mediterr</w:t>
      </w:r>
      <w:proofErr w:type="spellEnd"/>
      <w:r>
        <w:rPr>
          <w:i/>
          <w:iCs/>
        </w:rPr>
        <w:t xml:space="preserve"> J </w:t>
      </w:r>
      <w:proofErr w:type="spellStart"/>
      <w:r>
        <w:rPr>
          <w:i/>
          <w:iCs/>
        </w:rPr>
        <w:t>Hematol</w:t>
      </w:r>
      <w:proofErr w:type="spellEnd"/>
      <w:r>
        <w:rPr>
          <w:i/>
          <w:iCs/>
        </w:rPr>
        <w:t xml:space="preserve"> Infect Dis</w:t>
      </w:r>
      <w:r>
        <w:t>. 2018;10(1):e2018043. doi:10.4084/MJHID.2018.043.</w:t>
      </w:r>
    </w:p>
    <w:p w14:paraId="38F17900" w14:textId="77777777" w:rsidR="006D144F" w:rsidRDefault="006D144F" w:rsidP="006D144F">
      <w:pPr>
        <w:pStyle w:val="p1"/>
        <w:numPr>
          <w:ilvl w:val="0"/>
          <w:numId w:val="5"/>
        </w:numPr>
      </w:pPr>
      <w:r>
        <w:t xml:space="preserve">Ji Y, Chen S, Peng S, Xia C, Li L, Yang K, et al. Kaposiform hemangioendothelioma: current knowledge and future perspectives. </w:t>
      </w:r>
      <w:proofErr w:type="spellStart"/>
      <w:r>
        <w:rPr>
          <w:i/>
          <w:iCs/>
        </w:rPr>
        <w:t>Orphanet</w:t>
      </w:r>
      <w:proofErr w:type="spellEnd"/>
      <w:r>
        <w:rPr>
          <w:i/>
          <w:iCs/>
        </w:rPr>
        <w:t xml:space="preserve"> J Rare Dis</w:t>
      </w:r>
      <w:r>
        <w:t>. 2020;15:39. doi:10.1186/s13023-020-1320-1.</w:t>
      </w:r>
    </w:p>
    <w:p w14:paraId="22BBBDAF" w14:textId="77777777" w:rsidR="006D144F" w:rsidRDefault="006D144F" w:rsidP="006D144F">
      <w:pPr>
        <w:pStyle w:val="p1"/>
        <w:numPr>
          <w:ilvl w:val="0"/>
          <w:numId w:val="5"/>
        </w:numPr>
      </w:pPr>
      <w:r>
        <w:t xml:space="preserve">Cheah JSC, Ooi GC, Loong CK, Lee ACW, Li CH, Leung CW, et al. Kaposiform hemangioendothelioma: clinical features and treatment outcomes from a single center. </w:t>
      </w:r>
      <w:proofErr w:type="spellStart"/>
      <w:r>
        <w:rPr>
          <w:i/>
          <w:iCs/>
        </w:rPr>
        <w:t>Pediatr</w:t>
      </w:r>
      <w:proofErr w:type="spellEnd"/>
      <w:r>
        <w:rPr>
          <w:i/>
          <w:iCs/>
        </w:rPr>
        <w:t xml:space="preserve"> Blood Cancer</w:t>
      </w:r>
      <w:r>
        <w:t>. 2022;69(1):e29392. doi:10.1002/pbc.29392.</w:t>
      </w:r>
    </w:p>
    <w:p w14:paraId="068E9602" w14:textId="3616730B" w:rsidR="006D144F" w:rsidRDefault="006D144F" w:rsidP="006D144F">
      <w:pPr>
        <w:pStyle w:val="LO-normal"/>
        <w:ind w:left="-360" w:right="-360"/>
        <w:jc w:val="both"/>
        <w:rPr>
          <w:rFonts w:ascii="Times New Roman" w:eastAsia="Times New Roman" w:hAnsi="Times New Roman" w:cs="Times New Roman"/>
          <w:color w:val="5B616B"/>
          <w:sz w:val="24"/>
          <w:szCs w:val="24"/>
          <w:highlight w:val="white"/>
        </w:rPr>
      </w:pPr>
    </w:p>
    <w:sectPr w:rsidR="006D144F">
      <w:headerReference w:type="even" r:id="rId15"/>
      <w:headerReference w:type="default" r:id="rId16"/>
      <w:footerReference w:type="even" r:id="rId17"/>
      <w:footerReference w:type="default" r:id="rId18"/>
      <w:headerReference w:type="first" r:id="rId19"/>
      <w:footerReference w:type="first" r:id="rId20"/>
      <w:pgSz w:w="11906" w:h="16838"/>
      <w:pgMar w:top="720" w:right="1440" w:bottom="720" w:left="1440" w:header="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98993" w14:textId="77777777" w:rsidR="00861C01" w:rsidRDefault="00861C01" w:rsidP="00191E1E">
      <w:pPr>
        <w:spacing w:line="240" w:lineRule="auto"/>
      </w:pPr>
      <w:r>
        <w:separator/>
      </w:r>
    </w:p>
  </w:endnote>
  <w:endnote w:type="continuationSeparator" w:id="0">
    <w:p w14:paraId="317B0CBF" w14:textId="77777777" w:rsidR="00861C01" w:rsidRDefault="00861C01" w:rsidP="00191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C32A" w14:textId="77777777" w:rsidR="00191E1E" w:rsidRDefault="00191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3E18E" w14:textId="77777777" w:rsidR="00191E1E" w:rsidRDefault="00191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BA9ED" w14:textId="77777777" w:rsidR="00191E1E" w:rsidRDefault="00191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CE7E1" w14:textId="77777777" w:rsidR="00861C01" w:rsidRDefault="00861C01" w:rsidP="00191E1E">
      <w:pPr>
        <w:spacing w:line="240" w:lineRule="auto"/>
      </w:pPr>
      <w:r>
        <w:separator/>
      </w:r>
    </w:p>
  </w:footnote>
  <w:footnote w:type="continuationSeparator" w:id="0">
    <w:p w14:paraId="50620941" w14:textId="77777777" w:rsidR="00861C01" w:rsidRDefault="00861C01" w:rsidP="00191E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B3241" w14:textId="22EECD25" w:rsidR="00191E1E" w:rsidRDefault="00191E1E">
    <w:pPr>
      <w:pStyle w:val="Header"/>
    </w:pPr>
    <w:r>
      <w:rPr>
        <w:noProof/>
      </w:rPr>
      <w:pict w14:anchorId="366A3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1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48DDC" w14:textId="5FB03461" w:rsidR="00191E1E" w:rsidRDefault="00191E1E">
    <w:pPr>
      <w:pStyle w:val="Header"/>
    </w:pPr>
    <w:r>
      <w:rPr>
        <w:noProof/>
      </w:rPr>
      <w:pict w14:anchorId="53CC4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1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B0438" w14:textId="2AC27DBC" w:rsidR="00191E1E" w:rsidRDefault="00191E1E">
    <w:pPr>
      <w:pStyle w:val="Header"/>
    </w:pPr>
    <w:r>
      <w:rPr>
        <w:noProof/>
      </w:rPr>
      <w:pict w14:anchorId="703E8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1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82902"/>
    <w:multiLevelType w:val="multilevel"/>
    <w:tmpl w:val="1A48C398"/>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15:restartNumberingAfterBreak="0">
    <w:nsid w:val="1C407A86"/>
    <w:multiLevelType w:val="multilevel"/>
    <w:tmpl w:val="95BE1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0F6E26"/>
    <w:multiLevelType w:val="multilevel"/>
    <w:tmpl w:val="F86003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0C4DB9"/>
    <w:multiLevelType w:val="multilevel"/>
    <w:tmpl w:val="F4D079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EBF4263"/>
    <w:multiLevelType w:val="hybridMultilevel"/>
    <w:tmpl w:val="0C88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2267EA"/>
    <w:multiLevelType w:val="hybridMultilevel"/>
    <w:tmpl w:val="7DB4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1C"/>
    <w:rsid w:val="00035873"/>
    <w:rsid w:val="00191E1E"/>
    <w:rsid w:val="002A131C"/>
    <w:rsid w:val="003E1814"/>
    <w:rsid w:val="003E2773"/>
    <w:rsid w:val="006D144F"/>
    <w:rsid w:val="00776DDD"/>
    <w:rsid w:val="00861C01"/>
    <w:rsid w:val="00B9678B"/>
    <w:rsid w:val="00BD62A5"/>
    <w:rsid w:val="00C468E7"/>
    <w:rsid w:val="00E42D41"/>
    <w:rsid w:val="00EB7AC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2B1C8A"/>
  <w15:docId w15:val="{D9B39FD7-4F67-9E40-826E-718A9197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pPr>
  </w:style>
  <w:style w:type="paragraph" w:styleId="Heading1">
    <w:name w:val="heading 1"/>
    <w:basedOn w:val="LO-normal"/>
    <w:next w:val="LO-normal"/>
    <w:uiPriority w:val="9"/>
    <w:qFormat/>
    <w:pPr>
      <w:keepNext/>
      <w:keepLines/>
      <w:spacing w:before="400" w:after="120" w:line="240" w:lineRule="auto"/>
      <w:outlineLvl w:val="0"/>
    </w:pPr>
    <w:rPr>
      <w:sz w:val="40"/>
      <w:szCs w:val="40"/>
    </w:rPr>
  </w:style>
  <w:style w:type="paragraph" w:styleId="Heading2">
    <w:name w:val="heading 2"/>
    <w:basedOn w:val="LO-normal"/>
    <w:next w:val="LO-normal"/>
    <w:uiPriority w:val="9"/>
    <w:unhideWhenUsed/>
    <w:qFormat/>
    <w:pPr>
      <w:keepNext/>
      <w:keepLines/>
      <w:spacing w:before="360" w:after="120" w:line="240" w:lineRule="auto"/>
      <w:outlineLvl w:val="1"/>
    </w:pPr>
    <w:rPr>
      <w:sz w:val="32"/>
      <w:szCs w:val="32"/>
    </w:rPr>
  </w:style>
  <w:style w:type="paragraph" w:styleId="Heading3">
    <w:name w:val="heading 3"/>
    <w:basedOn w:val="LO-normal"/>
    <w:next w:val="LO-normal"/>
    <w:uiPriority w:val="9"/>
    <w:semiHidden/>
    <w:unhideWhenUsed/>
    <w:qFormat/>
    <w:pPr>
      <w:keepNext/>
      <w:keepLines/>
      <w:spacing w:before="320" w:after="80" w:line="240" w:lineRule="auto"/>
      <w:outlineLvl w:val="2"/>
    </w:pPr>
    <w:rPr>
      <w:color w:val="434343"/>
      <w:sz w:val="28"/>
      <w:szCs w:val="28"/>
    </w:rPr>
  </w:style>
  <w:style w:type="paragraph" w:styleId="Heading4">
    <w:name w:val="heading 4"/>
    <w:basedOn w:val="LO-normal"/>
    <w:next w:val="LO-normal"/>
    <w:uiPriority w:val="9"/>
    <w:semiHidden/>
    <w:unhideWhenUsed/>
    <w:qFormat/>
    <w:pPr>
      <w:keepNext/>
      <w:keepLines/>
      <w:spacing w:before="280" w:after="80" w:line="240" w:lineRule="auto"/>
      <w:outlineLvl w:val="3"/>
    </w:pPr>
    <w:rPr>
      <w:color w:val="666666"/>
      <w:sz w:val="24"/>
      <w:szCs w:val="24"/>
    </w:rPr>
  </w:style>
  <w:style w:type="paragraph" w:styleId="Heading5">
    <w:name w:val="heading 5"/>
    <w:basedOn w:val="LO-normal"/>
    <w:next w:val="LO-normal"/>
    <w:uiPriority w:val="9"/>
    <w:semiHidden/>
    <w:unhideWhenUsed/>
    <w:qFormat/>
    <w:pPr>
      <w:keepNext/>
      <w:keepLines/>
      <w:spacing w:before="240" w:after="80" w:line="240" w:lineRule="auto"/>
      <w:outlineLvl w:val="4"/>
    </w:pPr>
    <w:rPr>
      <w:color w:val="666666"/>
    </w:rPr>
  </w:style>
  <w:style w:type="paragraph" w:styleId="Heading6">
    <w:name w:val="heading 6"/>
    <w:basedOn w:val="LO-normal"/>
    <w:next w:val="LO-normal"/>
    <w:uiPriority w:val="9"/>
    <w:semiHidden/>
    <w:unhideWhenUsed/>
    <w:qFormat/>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Times New Roman" w:eastAsia="Microsoft YaHei" w:hAnsi="Times New Roman" w:cs="Lucida Sans"/>
      <w:sz w:val="28"/>
      <w:szCs w:val="28"/>
    </w:rPr>
  </w:style>
  <w:style w:type="paragraph" w:styleId="BodyText">
    <w:name w:val="Body Text"/>
    <w:basedOn w:val="Normal"/>
    <w:pPr>
      <w:spacing w:after="140"/>
    </w:pPr>
  </w:style>
  <w:style w:type="paragraph" w:styleId="List">
    <w:name w:val="List"/>
    <w:basedOn w:val="BodyText"/>
    <w:rPr>
      <w:rFonts w:ascii="Times New Roman" w:hAnsi="Times New Roman" w:cs="Tahoma"/>
    </w:rPr>
  </w:style>
  <w:style w:type="paragraph" w:styleId="Caption">
    <w:name w:val="caption"/>
    <w:basedOn w:val="Normal"/>
    <w:qFormat/>
    <w:pPr>
      <w:suppressLineNumbers/>
      <w:spacing w:before="120" w:after="120"/>
    </w:pPr>
    <w:rPr>
      <w:rFonts w:ascii="Times New Roman" w:hAnsi="Times New Roman" w:cs="Tahoma"/>
      <w:i/>
      <w:iCs/>
      <w:sz w:val="24"/>
      <w:szCs w:val="24"/>
    </w:rPr>
  </w:style>
  <w:style w:type="paragraph" w:customStyle="1" w:styleId="Index">
    <w:name w:val="Index"/>
    <w:basedOn w:val="Normal"/>
    <w:qFormat/>
    <w:pPr>
      <w:suppressLineNumbers/>
    </w:pPr>
    <w:rPr>
      <w:rFonts w:ascii="Times New Roman" w:hAnsi="Times New Roman" w:cs="Tahoma"/>
    </w:rPr>
  </w:style>
  <w:style w:type="paragraph" w:customStyle="1" w:styleId="LO-normal">
    <w:name w:val="LO-normal"/>
    <w:qFormat/>
    <w:pPr>
      <w:spacing w:line="276" w:lineRule="auto"/>
    </w:pPr>
  </w:style>
  <w:style w:type="paragraph" w:styleId="Title">
    <w:name w:val="Title"/>
    <w:basedOn w:val="LO-normal"/>
    <w:next w:val="LO-normal"/>
    <w:uiPriority w:val="10"/>
    <w:qFormat/>
    <w:pPr>
      <w:keepNext/>
      <w:keepLines/>
      <w:spacing w:after="60" w:line="240" w:lineRule="auto"/>
    </w:pPr>
    <w:rPr>
      <w:sz w:val="52"/>
      <w:szCs w:val="52"/>
    </w:rPr>
  </w:style>
  <w:style w:type="paragraph" w:styleId="Subtitle">
    <w:name w:val="Subtitle"/>
    <w:basedOn w:val="LO-normal"/>
    <w:next w:val="LO-normal"/>
    <w:uiPriority w:val="11"/>
    <w:qFormat/>
    <w:pPr>
      <w:keepNext/>
      <w:keepLines/>
      <w:spacing w:after="320" w:line="240" w:lineRule="auto"/>
    </w:pPr>
    <w:rPr>
      <w:color w:val="666666"/>
      <w:sz w:val="30"/>
      <w:szCs w:val="30"/>
    </w:rPr>
  </w:style>
  <w:style w:type="paragraph" w:styleId="ListParagraph">
    <w:name w:val="List Paragraph"/>
    <w:basedOn w:val="Normal"/>
    <w:uiPriority w:val="34"/>
    <w:qFormat/>
    <w:rsid w:val="006D144F"/>
    <w:pPr>
      <w:ind w:left="720"/>
      <w:contextualSpacing/>
    </w:pPr>
    <w:rPr>
      <w:rFonts w:cs="Mangal"/>
      <w:szCs w:val="20"/>
    </w:rPr>
  </w:style>
  <w:style w:type="table" w:styleId="TableGrid">
    <w:name w:val="Table Grid"/>
    <w:basedOn w:val="TableNormal"/>
    <w:uiPriority w:val="39"/>
    <w:rsid w:val="006D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144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1">
    <w:name w:val="p1"/>
    <w:basedOn w:val="Normal"/>
    <w:rsid w:val="006D144F"/>
    <w:pPr>
      <w:suppressAutoHyphens w:val="0"/>
      <w:spacing w:before="100" w:beforeAutospacing="1" w:after="100" w:afterAutospacing="1" w:line="240" w:lineRule="auto"/>
    </w:pPr>
    <w:rPr>
      <w:rFonts w:ascii="Times New Roman" w:eastAsia="Times New Roman" w:hAnsi="Times New Roman" w:cs="Times New Roman"/>
      <w:sz w:val="24"/>
      <w:szCs w:val="24"/>
      <w:lang w:val="en-IN" w:eastAsia="en-GB" w:bidi="ar-SA"/>
    </w:rPr>
  </w:style>
  <w:style w:type="character" w:styleId="Hyperlink">
    <w:name w:val="Hyperlink"/>
    <w:basedOn w:val="DefaultParagraphFont"/>
    <w:uiPriority w:val="99"/>
    <w:unhideWhenUsed/>
    <w:rsid w:val="00E42D41"/>
    <w:rPr>
      <w:color w:val="0000FF" w:themeColor="hyperlink"/>
      <w:u w:val="single"/>
    </w:rPr>
  </w:style>
  <w:style w:type="character" w:styleId="UnresolvedMention">
    <w:name w:val="Unresolved Mention"/>
    <w:basedOn w:val="DefaultParagraphFont"/>
    <w:uiPriority w:val="99"/>
    <w:semiHidden/>
    <w:unhideWhenUsed/>
    <w:rsid w:val="00E42D41"/>
    <w:rPr>
      <w:color w:val="605E5C"/>
      <w:shd w:val="clear" w:color="auto" w:fill="E1DFDD"/>
    </w:rPr>
  </w:style>
  <w:style w:type="paragraph" w:styleId="Header">
    <w:name w:val="header"/>
    <w:basedOn w:val="Normal"/>
    <w:link w:val="HeaderChar"/>
    <w:uiPriority w:val="99"/>
    <w:unhideWhenUsed/>
    <w:rsid w:val="00191E1E"/>
    <w:pPr>
      <w:tabs>
        <w:tab w:val="center" w:pos="4680"/>
        <w:tab w:val="right" w:pos="9360"/>
      </w:tabs>
      <w:spacing w:line="240" w:lineRule="auto"/>
    </w:pPr>
    <w:rPr>
      <w:rFonts w:cs="Mangal"/>
      <w:szCs w:val="20"/>
    </w:rPr>
  </w:style>
  <w:style w:type="character" w:customStyle="1" w:styleId="HeaderChar">
    <w:name w:val="Header Char"/>
    <w:basedOn w:val="DefaultParagraphFont"/>
    <w:link w:val="Header"/>
    <w:uiPriority w:val="99"/>
    <w:rsid w:val="00191E1E"/>
    <w:rPr>
      <w:rFonts w:cs="Mangal"/>
      <w:szCs w:val="20"/>
    </w:rPr>
  </w:style>
  <w:style w:type="paragraph" w:styleId="Footer">
    <w:name w:val="footer"/>
    <w:basedOn w:val="Normal"/>
    <w:link w:val="FooterChar"/>
    <w:uiPriority w:val="99"/>
    <w:unhideWhenUsed/>
    <w:rsid w:val="00191E1E"/>
    <w:pPr>
      <w:tabs>
        <w:tab w:val="center" w:pos="4680"/>
        <w:tab w:val="right" w:pos="9360"/>
      </w:tabs>
      <w:spacing w:line="240" w:lineRule="auto"/>
    </w:pPr>
    <w:rPr>
      <w:rFonts w:cs="Mangal"/>
      <w:szCs w:val="20"/>
    </w:rPr>
  </w:style>
  <w:style w:type="character" w:customStyle="1" w:styleId="FooterChar">
    <w:name w:val="Footer Char"/>
    <w:basedOn w:val="DefaultParagraphFont"/>
    <w:link w:val="Footer"/>
    <w:uiPriority w:val="99"/>
    <w:rsid w:val="00191E1E"/>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1441</Words>
  <Characters>8214</Characters>
  <Application>Microsoft Office Word</Application>
  <DocSecurity>0</DocSecurity>
  <Lines>68</Lines>
  <Paragraphs>19</Paragraphs>
  <ScaleCrop>false</ScaleCrop>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SDI 1180</cp:lastModifiedBy>
  <cp:revision>12</cp:revision>
  <dcterms:created xsi:type="dcterms:W3CDTF">2025-09-12T17:07:00Z</dcterms:created>
  <dcterms:modified xsi:type="dcterms:W3CDTF">2025-09-13T10:46:00Z</dcterms:modified>
  <dc:language>en-IN</dc:language>
</cp:coreProperties>
</file>