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BFB7" w14:textId="77777777" w:rsidR="00B01F53" w:rsidRDefault="00B01F53">
      <w:pPr>
        <w:pStyle w:val="Title"/>
        <w:spacing w:after="0"/>
        <w:jc w:val="both"/>
        <w:rPr>
          <w:rFonts w:ascii="Arial" w:hAnsi="Arial" w:cs="Arial"/>
        </w:rPr>
      </w:pPr>
    </w:p>
    <w:p w14:paraId="74CF6A7F" w14:textId="77777777" w:rsidR="004F3116" w:rsidRPr="004F3116" w:rsidRDefault="004F3116" w:rsidP="004F3116">
      <w:pPr>
        <w:pStyle w:val="Author"/>
        <w:rPr>
          <w:rFonts w:ascii="Arial" w:hAnsi="Arial" w:cs="Arial"/>
          <w:bCs/>
          <w:i/>
          <w:iCs/>
          <w:kern w:val="28"/>
          <w:sz w:val="18"/>
          <w:szCs w:val="18"/>
          <w:u w:val="single"/>
        </w:rPr>
      </w:pPr>
      <w:r w:rsidRPr="004F3116">
        <w:rPr>
          <w:rFonts w:ascii="Arial" w:hAnsi="Arial" w:cs="Arial"/>
          <w:bCs/>
          <w:i/>
          <w:iCs/>
          <w:kern w:val="28"/>
          <w:sz w:val="18"/>
          <w:szCs w:val="18"/>
          <w:u w:val="single"/>
        </w:rPr>
        <w:t xml:space="preserve">Case report </w:t>
      </w:r>
    </w:p>
    <w:p w14:paraId="56E4BB00" w14:textId="47502DF6" w:rsidR="00B01F53" w:rsidRDefault="00702863">
      <w:pPr>
        <w:pStyle w:val="Author"/>
        <w:spacing w:line="240" w:lineRule="auto"/>
        <w:rPr>
          <w:rFonts w:ascii="Arial" w:hAnsi="Arial" w:cs="Arial"/>
          <w:bCs/>
          <w:iCs/>
          <w:kern w:val="28"/>
          <w:sz w:val="36"/>
        </w:rPr>
      </w:pPr>
      <w:r>
        <w:rPr>
          <w:rFonts w:ascii="Arial" w:hAnsi="Arial" w:cs="Arial"/>
          <w:bCs/>
          <w:iCs/>
          <w:kern w:val="28"/>
          <w:sz w:val="36"/>
        </w:rPr>
        <w:t>Amoxicillin–Clavulanate Induced Anaphylaxis in a Female Patient: A Case Report</w:t>
      </w:r>
    </w:p>
    <w:p w14:paraId="1FE6E1F1" w14:textId="77777777" w:rsidR="00B01F53" w:rsidRDefault="00B01F53">
      <w:pPr>
        <w:pStyle w:val="Author"/>
        <w:spacing w:line="240" w:lineRule="auto"/>
        <w:jc w:val="both"/>
        <w:rPr>
          <w:rFonts w:ascii="Arial" w:hAnsi="Arial" w:cs="Arial"/>
          <w:sz w:val="36"/>
        </w:rPr>
      </w:pPr>
    </w:p>
    <w:p w14:paraId="43DC4948" w14:textId="77777777" w:rsidR="00B01F53" w:rsidRDefault="00B01F53">
      <w:pPr>
        <w:pStyle w:val="Affiliation"/>
        <w:spacing w:after="0" w:line="240" w:lineRule="auto"/>
        <w:jc w:val="both"/>
        <w:rPr>
          <w:rFonts w:ascii="Arial" w:hAnsi="Arial" w:cs="Arial"/>
        </w:rPr>
      </w:pPr>
    </w:p>
    <w:p w14:paraId="74F431E9" w14:textId="77777777" w:rsidR="00B01F53" w:rsidRDefault="00702863">
      <w:pPr>
        <w:pStyle w:val="Copyright"/>
        <w:spacing w:after="0" w:line="240" w:lineRule="auto"/>
        <w:jc w:val="both"/>
        <w:rPr>
          <w:rFonts w:ascii="Arial" w:hAnsi="Arial" w:cs="Arial"/>
        </w:rPr>
        <w:sectPr w:rsidR="00B01F53">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152" w:gutter="0"/>
          <w:cols w:space="720"/>
          <w:docGrid w:linePitch="272"/>
        </w:sectPr>
      </w:pPr>
      <w:r>
        <w:rPr>
          <w:rFonts w:ascii="Arial" w:hAnsi="Arial" w:cs="Arial"/>
          <w:noProof/>
        </w:rPr>
        <mc:AlternateContent>
          <mc:Choice Requires="wps">
            <w:drawing>
              <wp:inline distT="0" distB="0" distL="114298" distR="114298" wp14:anchorId="408D657A" wp14:editId="0B7AC5FA">
                <wp:extent cx="5303520" cy="952"/>
                <wp:effectExtent l="0" t="0" r="0" b="0"/>
                <wp:docPr id="1" name="直线连接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952"/>
                        </a:xfrm>
                        <a:prstGeom prst="straightConnector1">
                          <a:avLst/>
                        </a:prstGeom>
                        <a:noFill/>
                        <a:ln w="19050" cap="flat" cmpd="sng">
                          <a:solidFill>
                            <a:srgbClr val="000000"/>
                          </a:solidFill>
                          <a:prstDash val="solid"/>
                          <a:round/>
                        </a:ln>
                      </wps:spPr>
                      <wps:bodyPr/>
                    </wps:wsp>
                  </a:graphicData>
                </a:graphic>
              </wp:inline>
            </w:drawing>
          </mc:Choice>
          <mc:Fallback>
            <w:pict>
              <v:shapetype w14:anchorId="39D20639" id="_x0000_t32" coordsize="21600,21600" o:spt="32" o:oned="t" path="m,l21600,21600e" filled="f">
                <v:path arrowok="t" fillok="f" o:connecttype="none"/>
                <o:lock v:ext="edit" shapetype="t"/>
              </v:shapetype>
              <v:shape id="直线连接线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u02gEAAHgDAAAOAAAAZHJzL2Uyb0RvYy54bWysU82O0zAQviPxDpbvNGlXRWzUdA+tlssK&#10;Ki08wNRxEgv/yeNt0pfgBZC48QacuOzbsDwGY6dbWLghcrA8nplv5vtmsroajWYHGVA5W/P5rORM&#10;WuEaZbuav393/eIVZxjBNqCdlTU/SuRX6+fPVoOv5ML1TjcyMAKxWA2+5n2MvioKFL00gDPnpSVn&#10;64KBSGboiibAQOhGF4uyfFkMLjQ+OCER6XU7Ofk647etFPFt26KMTNeceov5DPncp7NYr6DqAvhe&#10;iVMb8A9dGFCWip6hthCB3QX1F5RRIjh0bZwJZwrXtkrIzIHYzMs/2Nz24GXmQuKgP8uE/w9WvDns&#10;AlMNzY4zC4ZG9PDp68O3+x/3n79//EIXNk8iDR4rit3YXUg0xWhv/Y0TH5B8xRNnMtBPYWMbTAon&#10;nmzMoh/PossxMkGPy4vyYrmg2QjyXS4XqVoB1WOqDxhfS2dYutQcYwDV9XHjrKXhujDPssPhBuOU&#10;+JiQ6lp3rbSmd6i0ZQORvCyXqRTQqrUaIl2NJ/Jou4yDTqsm5aQUDN1+owM7QFqe/J2aexKWCm4B&#10;+ykuu6a1Cu7ONlNT2p5kmpRJGu1dc9yF5E4WjTfTPq1i2p/f7Rz164dZ/wQAAP//AwBQSwMEFAAG&#10;AAgAAAAhAEnI0rfWAAAAAgEAAA8AAABkcnMvZG93bnJldi54bWxMj8FKxEAQRO+C/zC04EXciSsu&#10;IWayiODJg3HXD+hk2iSY6QmZyWb8e3u96KWgqaLqdblPblQnmsPg2cDdJgNF3Ho7cGfg4/hym4MK&#10;Edni6JkMfFOAfXV5UWJh/crvdDrETkkJhwIN9DFOhdah7clh2PiJWLxPPzuMcs6dtjOuUu5Gvc2y&#10;nXY4sCz0ONFzT+3XYXEG0tuOY6rz1Ky8vIb8pk7oamOur9LTI6hIKf6F4Ywv6FAJU+MXtkGNBuSR&#10;+Kvi5fcPW1DNOaSrUv9Hr34AAAD//wMAUEsBAi0AFAAGAAgAAAAhALaDOJL+AAAA4QEAABMAAAAA&#10;AAAAAAAAAAAAAAAAAFtDb250ZW50X1R5cGVzXS54bWxQSwECLQAUAAYACAAAACEAOP0h/9YAAACU&#10;AQAACwAAAAAAAAAAAAAAAAAvAQAAX3JlbHMvLnJlbHNQSwECLQAUAAYACAAAACEAmZiLtNoBAAB4&#10;AwAADgAAAAAAAAAAAAAAAAAuAgAAZHJzL2Uyb0RvYy54bWxQSwECLQAUAAYACAAAACEAScjSt9YA&#10;AAACAQAADwAAAAAAAAAAAAAAAAA0BAAAZHJzL2Rvd25yZXYueG1sUEsFBgAAAAAEAAQA8wAAADcF&#10;AAAAAA==&#10;" strokeweight="1.5pt">
                <o:lock v:ext="edit" shapetype="f"/>
                <w10:anchorlock/>
              </v:shape>
            </w:pict>
          </mc:Fallback>
        </mc:AlternateContent>
      </w:r>
      <w:r>
        <w:rPr>
          <w:rFonts w:ascii="Arial" w:hAnsi="Arial" w:cs="Arial"/>
        </w:rPr>
        <w:t>.</w:t>
      </w:r>
    </w:p>
    <w:p w14:paraId="572BA0EB" w14:textId="77777777" w:rsidR="00B01F53" w:rsidRDefault="00B01F53">
      <w:pPr>
        <w:pStyle w:val="AbstHead"/>
        <w:spacing w:after="0"/>
        <w:jc w:val="both"/>
        <w:rPr>
          <w:rFonts w:ascii="Arial" w:hAnsi="Arial" w:cs="Arial"/>
        </w:rPr>
      </w:pPr>
    </w:p>
    <w:p w14:paraId="3FC93927" w14:textId="77777777" w:rsidR="00B01F53" w:rsidRDefault="00702863">
      <w:pPr>
        <w:pStyle w:val="AbstHead"/>
        <w:spacing w:after="0"/>
        <w:jc w:val="both"/>
        <w:rPr>
          <w:rFonts w:ascii="Arial" w:hAnsi="Arial" w:cs="Arial"/>
        </w:rPr>
      </w:pPr>
      <w:r>
        <w:rPr>
          <w:rFonts w:ascii="Arial" w:hAnsi="Arial" w:cs="Arial"/>
        </w:rPr>
        <w:t xml:space="preserve">ABSTRACT </w:t>
      </w:r>
    </w:p>
    <w:p w14:paraId="25A26895" w14:textId="77777777" w:rsidR="00B01F53" w:rsidRDefault="00B01F53">
      <w:pPr>
        <w:pStyle w:val="Body"/>
        <w:spacing w:after="0"/>
        <w:rPr>
          <w:rFonts w:ascii="Arial" w:hAnsi="Arial" w:cs="Arial"/>
          <w:iCs/>
        </w:rPr>
      </w:pPr>
    </w:p>
    <w:p w14:paraId="6292E6AE" w14:textId="77777777" w:rsidR="00B01F53" w:rsidRDefault="00702863">
      <w:pPr>
        <w:pStyle w:val="Body"/>
        <w:rPr>
          <w:rFonts w:ascii="Arial" w:hAnsi="Arial" w:cs="Arial"/>
          <w:bCs/>
          <w:iCs/>
        </w:rPr>
      </w:pPr>
      <w:r>
        <w:rPr>
          <w:rFonts w:ascii="Arial" w:hAnsi="Arial" w:cs="Arial"/>
          <w:b/>
          <w:iCs/>
        </w:rPr>
        <w:t>Background:</w:t>
      </w:r>
      <w:r>
        <w:rPr>
          <w:rFonts w:ascii="Arial" w:hAnsi="Arial" w:cs="Arial"/>
          <w:bCs/>
          <w:iCs/>
        </w:rPr>
        <w:t xml:space="preserve"> Amoxicillin–clavulanate is a widely prescribed broad-spectrum antibiotic. Although generally well-tolerated, it can rarely cause life-threatening anaphylaxis. Early recognition and prompt management are critical to prevent morbidity and mortality.</w:t>
      </w:r>
    </w:p>
    <w:p w14:paraId="38A89726" w14:textId="77777777" w:rsidR="00B01F53" w:rsidRDefault="00702863">
      <w:pPr>
        <w:pStyle w:val="Body"/>
        <w:rPr>
          <w:rFonts w:ascii="Arial" w:hAnsi="Arial" w:cs="Arial"/>
          <w:bCs/>
          <w:iCs/>
        </w:rPr>
      </w:pPr>
      <w:r>
        <w:rPr>
          <w:rFonts w:ascii="Arial" w:hAnsi="Arial" w:cs="Arial"/>
          <w:b/>
          <w:iCs/>
        </w:rPr>
        <w:t>Case Pr</w:t>
      </w:r>
      <w:r>
        <w:rPr>
          <w:rFonts w:ascii="Arial" w:hAnsi="Arial" w:cs="Arial"/>
          <w:b/>
          <w:iCs/>
        </w:rPr>
        <w:t>esentation</w:t>
      </w:r>
      <w:r>
        <w:rPr>
          <w:rFonts w:ascii="Arial" w:hAnsi="Arial" w:cs="Arial"/>
          <w:bCs/>
          <w:iCs/>
        </w:rPr>
        <w:t xml:space="preserve">: A 60-year-old female presented with a left breast lump and was admitted for evaluation. She had no prior history of allergies or adverse drug </w:t>
      </w:r>
      <w:proofErr w:type="spellStart"/>
      <w:proofErr w:type="gramStart"/>
      <w:r>
        <w:rPr>
          <w:rFonts w:ascii="Arial" w:hAnsi="Arial" w:cs="Arial"/>
          <w:bCs/>
          <w:iCs/>
        </w:rPr>
        <w:t>reactions.During</w:t>
      </w:r>
      <w:proofErr w:type="spellEnd"/>
      <w:proofErr w:type="gramEnd"/>
      <w:r>
        <w:rPr>
          <w:rFonts w:ascii="Arial" w:hAnsi="Arial" w:cs="Arial"/>
          <w:bCs/>
          <w:iCs/>
        </w:rPr>
        <w:t xml:space="preserve"> hospitalization, she received prophylactic amoxicillin–clavulanate. Within minutes, s</w:t>
      </w:r>
      <w:r>
        <w:rPr>
          <w:rFonts w:ascii="Arial" w:hAnsi="Arial" w:cs="Arial"/>
          <w:bCs/>
          <w:iCs/>
        </w:rPr>
        <w:t>he developed generalized pruritus, dyspnea, hypotension (BP: 80/50 mmHg), and tachycardia (HR: 120 bpm), consistent with anaphylactic shock. Immediate management included oxygen therapy, intravenous fluids, adrenaline, hydrocortisone, antihistamines, and b</w:t>
      </w:r>
      <w:r>
        <w:rPr>
          <w:rFonts w:ascii="Arial" w:hAnsi="Arial" w:cs="Arial"/>
          <w:bCs/>
          <w:iCs/>
        </w:rPr>
        <w:t>ronchodilators, resulting in rapid stabilization. The Naranjo Adverse Drug Reaction Probability Scale indicated a probable causality for amoxicillin–clavulanate.</w:t>
      </w:r>
    </w:p>
    <w:p w14:paraId="36BB62E6" w14:textId="77777777" w:rsidR="00B01F53" w:rsidRDefault="00702863">
      <w:pPr>
        <w:pStyle w:val="Body"/>
        <w:rPr>
          <w:rFonts w:ascii="Arial" w:hAnsi="Arial" w:cs="Arial"/>
          <w:b/>
          <w:iCs/>
        </w:rPr>
      </w:pPr>
      <w:r>
        <w:rPr>
          <w:rFonts w:ascii="Arial" w:hAnsi="Arial" w:cs="Arial"/>
          <w:b/>
          <w:iCs/>
        </w:rPr>
        <w:t>Discussion:</w:t>
      </w:r>
      <w:r>
        <w:rPr>
          <w:rFonts w:ascii="Arial" w:hAnsi="Arial" w:cs="Arial"/>
          <w:bCs/>
          <w:iCs/>
        </w:rPr>
        <w:t xml:space="preserve"> Anaphylaxis due to β-lactam antibiotics is primarily </w:t>
      </w:r>
      <w:proofErr w:type="spellStart"/>
      <w:r>
        <w:rPr>
          <w:rFonts w:ascii="Arial" w:hAnsi="Arial" w:cs="Arial"/>
          <w:bCs/>
          <w:iCs/>
        </w:rPr>
        <w:t>IgE</w:t>
      </w:r>
      <w:proofErr w:type="spellEnd"/>
      <w:r>
        <w:rPr>
          <w:rFonts w:ascii="Arial" w:hAnsi="Arial" w:cs="Arial"/>
          <w:bCs/>
          <w:iCs/>
        </w:rPr>
        <w:t>-mediated, with both amoxi</w:t>
      </w:r>
      <w:r>
        <w:rPr>
          <w:rFonts w:ascii="Arial" w:hAnsi="Arial" w:cs="Arial"/>
          <w:bCs/>
          <w:iCs/>
        </w:rPr>
        <w:t>cillin and clavulanic acid acting as potential allergens. Structured causality assessment, prompt adherence to international guidelines, and patient counseling on avoidance and emergency preparedness are crucial. Awareness of clavulanic acid as an independ</w:t>
      </w:r>
      <w:r>
        <w:rPr>
          <w:rFonts w:ascii="Arial" w:hAnsi="Arial" w:cs="Arial"/>
          <w:bCs/>
          <w:iCs/>
        </w:rPr>
        <w:t xml:space="preserve">ent allergen is </w:t>
      </w:r>
      <w:r>
        <w:rPr>
          <w:rFonts w:ascii="Arial" w:hAnsi="Arial" w:cs="Arial"/>
          <w:b/>
          <w:iCs/>
        </w:rPr>
        <w:t>important for clinicians to prevent recurrence and guide future therapy.</w:t>
      </w:r>
    </w:p>
    <w:p w14:paraId="4DCDE014" w14:textId="77777777" w:rsidR="00B01F53" w:rsidRDefault="00702863">
      <w:pPr>
        <w:pStyle w:val="Body"/>
        <w:rPr>
          <w:rFonts w:ascii="Arial" w:hAnsi="Arial" w:cs="Arial"/>
          <w:bCs/>
          <w:iCs/>
        </w:rPr>
      </w:pPr>
      <w:r>
        <w:rPr>
          <w:rFonts w:ascii="Arial" w:hAnsi="Arial" w:cs="Arial"/>
          <w:b/>
          <w:iCs/>
        </w:rPr>
        <w:t>Conclusion</w:t>
      </w:r>
      <w:r>
        <w:rPr>
          <w:rFonts w:ascii="Arial" w:hAnsi="Arial" w:cs="Arial"/>
          <w:bCs/>
          <w:iCs/>
        </w:rPr>
        <w:t>: This case highlights the importance of early recognition, guideline-based management, and systematic documentation of amoxicillin–clavulanate–induced anaph</w:t>
      </w:r>
      <w:r>
        <w:rPr>
          <w:rFonts w:ascii="Arial" w:hAnsi="Arial" w:cs="Arial"/>
          <w:bCs/>
          <w:iCs/>
        </w:rPr>
        <w:t>ylaxis. Clinicians should maintain vigilance even in patients without prior allergy history.</w:t>
      </w:r>
    </w:p>
    <w:p w14:paraId="6E1A46E4" w14:textId="77777777" w:rsidR="00B01F53" w:rsidRDefault="00702863">
      <w:pPr>
        <w:pStyle w:val="Body"/>
        <w:spacing w:after="0"/>
        <w:rPr>
          <w:rFonts w:ascii="Arial" w:hAnsi="Arial" w:cs="Arial"/>
          <w:bCs/>
          <w:iCs/>
        </w:rPr>
      </w:pPr>
      <w:r>
        <w:rPr>
          <w:rFonts w:ascii="Arial" w:hAnsi="Arial" w:cs="Arial"/>
          <w:b/>
          <w:iCs/>
          <w:sz w:val="22"/>
          <w:szCs w:val="22"/>
        </w:rPr>
        <w:t>Keywords</w:t>
      </w:r>
      <w:r>
        <w:rPr>
          <w:rFonts w:ascii="Arial" w:hAnsi="Arial" w:cs="Arial"/>
          <w:bCs/>
          <w:iCs/>
        </w:rPr>
        <w:t>: Amoxicillin–clavulanate, Anaphylaxis, β-lactam allergy, Naranjo scale, Drug-induced hypersensitivity</w:t>
      </w:r>
    </w:p>
    <w:p w14:paraId="011E7AB0" w14:textId="77777777" w:rsidR="00B01F53" w:rsidRDefault="00B01F53">
      <w:pPr>
        <w:pStyle w:val="Body"/>
        <w:spacing w:after="0"/>
        <w:rPr>
          <w:rFonts w:ascii="Arial" w:hAnsi="Arial" w:cs="Arial"/>
          <w:b/>
          <w:i/>
          <w:sz w:val="18"/>
        </w:rPr>
      </w:pPr>
    </w:p>
    <w:p w14:paraId="09556E1C" w14:textId="77777777" w:rsidR="00B01F53" w:rsidRDefault="00B01F53">
      <w:pPr>
        <w:pStyle w:val="Body"/>
        <w:spacing w:after="0"/>
        <w:rPr>
          <w:rFonts w:ascii="Arial" w:hAnsi="Arial" w:cs="Arial"/>
          <w:b/>
          <w:i/>
          <w:sz w:val="18"/>
        </w:rPr>
      </w:pPr>
    </w:p>
    <w:p w14:paraId="2D6DD62E" w14:textId="77777777" w:rsidR="00B01F53" w:rsidRDefault="00B01F53">
      <w:pPr>
        <w:pStyle w:val="Body"/>
        <w:spacing w:after="0"/>
        <w:rPr>
          <w:rFonts w:ascii="Arial" w:hAnsi="Arial" w:cs="Arial"/>
          <w:b/>
          <w:i/>
          <w:sz w:val="18"/>
        </w:rPr>
      </w:pPr>
    </w:p>
    <w:p w14:paraId="69BE75EB" w14:textId="77777777" w:rsidR="00B01F53" w:rsidRDefault="00B01F53">
      <w:pPr>
        <w:pStyle w:val="Body"/>
        <w:spacing w:after="0"/>
        <w:rPr>
          <w:rFonts w:ascii="Arial" w:hAnsi="Arial" w:cs="Arial"/>
          <w:b/>
          <w:i/>
          <w:sz w:val="18"/>
        </w:rPr>
      </w:pPr>
    </w:p>
    <w:p w14:paraId="4ABE9A57" w14:textId="77777777" w:rsidR="00B01F53" w:rsidRDefault="00B01F53">
      <w:pPr>
        <w:pStyle w:val="Body"/>
        <w:spacing w:after="0"/>
        <w:rPr>
          <w:rFonts w:ascii="Arial" w:hAnsi="Arial" w:cs="Arial"/>
          <w:b/>
          <w:i/>
          <w:sz w:val="18"/>
        </w:rPr>
      </w:pPr>
    </w:p>
    <w:p w14:paraId="0D33D539" w14:textId="77777777" w:rsidR="00B01F53" w:rsidRDefault="00B01F53">
      <w:pPr>
        <w:pStyle w:val="Body"/>
        <w:spacing w:after="0"/>
        <w:rPr>
          <w:rFonts w:ascii="Arial" w:hAnsi="Arial" w:cs="Arial"/>
          <w:b/>
          <w:i/>
          <w:sz w:val="18"/>
        </w:rPr>
      </w:pPr>
    </w:p>
    <w:p w14:paraId="1887A87A" w14:textId="77777777" w:rsidR="00B01F53" w:rsidRDefault="00B01F53">
      <w:pPr>
        <w:pStyle w:val="Body"/>
        <w:spacing w:after="0"/>
        <w:rPr>
          <w:rFonts w:ascii="Arial" w:hAnsi="Arial" w:cs="Arial"/>
          <w:b/>
          <w:i/>
          <w:sz w:val="18"/>
        </w:rPr>
      </w:pPr>
    </w:p>
    <w:p w14:paraId="27570FB6" w14:textId="77777777" w:rsidR="00B01F53" w:rsidRDefault="00B01F53">
      <w:pPr>
        <w:pStyle w:val="Body"/>
        <w:spacing w:after="0"/>
        <w:rPr>
          <w:rFonts w:ascii="Arial" w:hAnsi="Arial" w:cs="Arial"/>
          <w:b/>
          <w:i/>
          <w:sz w:val="18"/>
        </w:rPr>
      </w:pPr>
    </w:p>
    <w:p w14:paraId="52028638" w14:textId="77777777" w:rsidR="00B01F53" w:rsidRDefault="00B01F53">
      <w:pPr>
        <w:pStyle w:val="Body"/>
        <w:spacing w:after="0"/>
        <w:rPr>
          <w:rFonts w:ascii="Arial" w:hAnsi="Arial" w:cs="Arial"/>
          <w:b/>
          <w:i/>
          <w:sz w:val="18"/>
        </w:rPr>
      </w:pPr>
    </w:p>
    <w:p w14:paraId="45E3E8A9" w14:textId="77777777" w:rsidR="00B01F53" w:rsidRDefault="00B01F53">
      <w:pPr>
        <w:pStyle w:val="Body"/>
        <w:spacing w:after="0"/>
        <w:rPr>
          <w:rFonts w:ascii="Arial" w:hAnsi="Arial" w:cs="Arial"/>
          <w:b/>
          <w:i/>
          <w:sz w:val="18"/>
        </w:rPr>
      </w:pPr>
    </w:p>
    <w:p w14:paraId="53617ED3" w14:textId="77777777" w:rsidR="00B01F53" w:rsidRDefault="00B01F53">
      <w:pPr>
        <w:pStyle w:val="Body"/>
        <w:spacing w:after="0"/>
        <w:rPr>
          <w:rFonts w:ascii="Arial" w:hAnsi="Arial" w:cs="Arial"/>
          <w:b/>
          <w:i/>
          <w:sz w:val="18"/>
        </w:rPr>
      </w:pPr>
    </w:p>
    <w:p w14:paraId="5E4B3FEA" w14:textId="77777777" w:rsidR="00B01F53" w:rsidRDefault="00B01F53">
      <w:pPr>
        <w:pStyle w:val="Body"/>
        <w:spacing w:after="0"/>
        <w:rPr>
          <w:rFonts w:ascii="Arial" w:hAnsi="Arial" w:cs="Arial"/>
          <w:i/>
          <w:sz w:val="18"/>
        </w:rPr>
      </w:pPr>
    </w:p>
    <w:p w14:paraId="07DFD6FE" w14:textId="77777777" w:rsidR="00B01F53" w:rsidRDefault="00B01F53">
      <w:pPr>
        <w:pStyle w:val="Body"/>
        <w:spacing w:after="0"/>
        <w:rPr>
          <w:rFonts w:ascii="Arial" w:hAnsi="Arial" w:cs="Arial"/>
          <w:i/>
        </w:rPr>
      </w:pPr>
    </w:p>
    <w:p w14:paraId="31477FBA" w14:textId="77777777" w:rsidR="00B01F53" w:rsidRDefault="00702863">
      <w:pPr>
        <w:pStyle w:val="AbstHead"/>
        <w:spacing w:after="0"/>
        <w:jc w:val="both"/>
        <w:rPr>
          <w:rFonts w:ascii="Arial" w:hAnsi="Arial" w:cs="Arial"/>
        </w:rPr>
      </w:pPr>
      <w:r>
        <w:rPr>
          <w:rFonts w:ascii="Arial" w:hAnsi="Arial" w:cs="Arial"/>
        </w:rPr>
        <w:t xml:space="preserve">1. INTRODUCTION </w:t>
      </w:r>
    </w:p>
    <w:p w14:paraId="1EFBD7EA" w14:textId="77777777" w:rsidR="00B01F53" w:rsidRDefault="00702863">
      <w:pPr>
        <w:pStyle w:val="Body"/>
        <w:spacing w:after="0"/>
      </w:pPr>
      <w:r>
        <w:rPr>
          <w:rFonts w:ascii="Arial" w:hAnsi="Arial" w:cs="Arial"/>
        </w:rPr>
        <w:t xml:space="preserve">Anaphylaxis is a </w:t>
      </w:r>
      <w:r>
        <w:rPr>
          <w:rFonts w:ascii="Arial" w:hAnsi="Arial" w:cs="Arial"/>
        </w:rPr>
        <w:t>severe, rapid-onset allergic reaction that can be life-threatening if not promptly recognized and treated. It is characterized by symptoms such as urticaria, angioedema, respiratory distress, and cardiovascular collapse. Drug-induced anaphylaxis is a signi</w:t>
      </w:r>
      <w:r>
        <w:rPr>
          <w:rFonts w:ascii="Arial" w:hAnsi="Arial" w:cs="Arial"/>
        </w:rPr>
        <w:t>ficant concern in clinical practice, with β-lactam antibiotics, including amoxicillin-clavulanate, being among the most common culprits.</w:t>
      </w:r>
      <w:r>
        <w:t xml:space="preserve"> (1) </w:t>
      </w:r>
    </w:p>
    <w:p w14:paraId="3E970194" w14:textId="77777777" w:rsidR="00B01F53" w:rsidRDefault="00702863">
      <w:pPr>
        <w:pStyle w:val="Body"/>
        <w:spacing w:after="0"/>
        <w:rPr>
          <w:rFonts w:ascii="Arial" w:hAnsi="Arial" w:cs="Arial"/>
        </w:rPr>
      </w:pPr>
      <w:r>
        <w:t>Amoxicillin-clavulanate is a widely prescribed antibiotic combination, known for its broad-spectrum activity again</w:t>
      </w:r>
      <w:r>
        <w:t xml:space="preserve">st various bacterial pathogens. Despite its efficacy, it has been implicated in a substantial proportion of immediate allergic reactions </w:t>
      </w:r>
      <w:r>
        <w:lastRenderedPageBreak/>
        <w:t xml:space="preserve">to β-lactams. </w:t>
      </w:r>
      <w:r>
        <w:rPr>
          <w:rFonts w:ascii="Arial" w:hAnsi="Arial" w:cs="Arial"/>
        </w:rPr>
        <w:t>Beta-lactam antibiotics are the second leading cause of drug-induced anaphylaxis, responsible for about 1</w:t>
      </w:r>
      <w:r>
        <w:rPr>
          <w:rFonts w:ascii="Arial" w:hAnsi="Arial" w:cs="Arial"/>
        </w:rPr>
        <w:t xml:space="preserve">4.3% of reported cases, with amoxicillin being the most frequent agent. More recently, clavulanic acid—commonly co-administered with amoxicillin—has also been recognized as a potential </w:t>
      </w:r>
      <w:proofErr w:type="gramStart"/>
      <w:r>
        <w:rPr>
          <w:rFonts w:ascii="Arial" w:hAnsi="Arial" w:cs="Arial"/>
        </w:rPr>
        <w:t>trigger.(</w:t>
      </w:r>
      <w:proofErr w:type="gramEnd"/>
      <w:r>
        <w:rPr>
          <w:rFonts w:ascii="Arial" w:hAnsi="Arial" w:cs="Arial"/>
        </w:rPr>
        <w:t xml:space="preserve">2) </w:t>
      </w:r>
    </w:p>
    <w:p w14:paraId="42244EE0" w14:textId="77777777" w:rsidR="00B01F53" w:rsidRDefault="00702863">
      <w:pPr>
        <w:pStyle w:val="Body"/>
        <w:spacing w:after="0"/>
        <w:rPr>
          <w:rFonts w:ascii="Arial" w:hAnsi="Arial" w:cs="Arial"/>
        </w:rPr>
      </w:pPr>
      <w:r>
        <w:rPr>
          <w:rFonts w:ascii="Arial" w:hAnsi="Arial" w:cs="Arial"/>
        </w:rPr>
        <w:t>The pathophysiology of amoxicillin-clavulanate-induced ana</w:t>
      </w:r>
      <w:r>
        <w:rPr>
          <w:rFonts w:ascii="Arial" w:hAnsi="Arial" w:cs="Arial"/>
        </w:rPr>
        <w:t xml:space="preserve">phylaxis involves an </w:t>
      </w:r>
      <w:proofErr w:type="spellStart"/>
      <w:r>
        <w:rPr>
          <w:rFonts w:ascii="Arial" w:hAnsi="Arial" w:cs="Arial"/>
        </w:rPr>
        <w:t>IgE</w:t>
      </w:r>
      <w:proofErr w:type="spellEnd"/>
      <w:r>
        <w:rPr>
          <w:rFonts w:ascii="Arial" w:hAnsi="Arial" w:cs="Arial"/>
        </w:rPr>
        <w:t>-mediated hypersensitivity reaction, leading to the release of mediators from mast cells and basophils. This cascade results in the clinical manifestations of anaphylaxis, which can occur within minutes of drug administration. Notab</w:t>
      </w:r>
      <w:r>
        <w:rPr>
          <w:rFonts w:ascii="Arial" w:hAnsi="Arial" w:cs="Arial"/>
        </w:rPr>
        <w:t xml:space="preserve">ly, patients may experience severe reactions even if they have previously tolerated the medication without </w:t>
      </w:r>
      <w:proofErr w:type="gramStart"/>
      <w:r>
        <w:rPr>
          <w:rFonts w:ascii="Arial" w:hAnsi="Arial" w:cs="Arial"/>
        </w:rPr>
        <w:t>issues.(</w:t>
      </w:r>
      <w:proofErr w:type="gramEnd"/>
      <w:r>
        <w:rPr>
          <w:rFonts w:ascii="Arial" w:hAnsi="Arial" w:cs="Arial"/>
        </w:rPr>
        <w:t xml:space="preserve">3) </w:t>
      </w:r>
    </w:p>
    <w:p w14:paraId="05F2C57D" w14:textId="77777777" w:rsidR="00B01F53" w:rsidRDefault="00B01F53">
      <w:pPr>
        <w:pStyle w:val="Body"/>
        <w:spacing w:after="0"/>
        <w:rPr>
          <w:rFonts w:ascii="Arial" w:hAnsi="Arial" w:cs="Arial"/>
        </w:rPr>
      </w:pPr>
    </w:p>
    <w:p w14:paraId="4D8F0548" w14:textId="77777777" w:rsidR="00B01F53" w:rsidRDefault="00702863">
      <w:pPr>
        <w:pStyle w:val="Body"/>
        <w:spacing w:after="0"/>
        <w:rPr>
          <w:rFonts w:ascii="Arial" w:hAnsi="Arial" w:cs="Arial"/>
        </w:rPr>
      </w:pPr>
      <w:r>
        <w:rPr>
          <w:rFonts w:ascii="Arial" w:hAnsi="Arial" w:cs="Arial"/>
        </w:rPr>
        <w:t>This case report aims to highlight the occurrence of anaphylactic shock following the administration of amoxicillin-clavulanate in a 60-</w:t>
      </w:r>
      <w:r>
        <w:rPr>
          <w:rFonts w:ascii="Arial" w:hAnsi="Arial" w:cs="Arial"/>
        </w:rPr>
        <w:t>year-old female patient, emphasizing the importance of early recognition and management of drug-induced anaphylaxis.</w:t>
      </w:r>
    </w:p>
    <w:p w14:paraId="02CA6FD4" w14:textId="77777777" w:rsidR="00B01F53" w:rsidRDefault="00B01F53">
      <w:pPr>
        <w:pStyle w:val="Body"/>
        <w:spacing w:after="0"/>
        <w:rPr>
          <w:rFonts w:ascii="Arial" w:hAnsi="Arial" w:cs="Arial"/>
        </w:rPr>
      </w:pPr>
    </w:p>
    <w:p w14:paraId="2B30D53C" w14:textId="77777777" w:rsidR="00B01F53" w:rsidRDefault="00702863">
      <w:pPr>
        <w:pStyle w:val="Body"/>
        <w:spacing w:after="0"/>
        <w:rPr>
          <w:rFonts w:ascii="Arial" w:hAnsi="Arial" w:cs="Arial"/>
        </w:rPr>
      </w:pPr>
      <w:r>
        <w:rPr>
          <w:rFonts w:ascii="Arial" w:hAnsi="Arial" w:cs="Arial"/>
          <w:b/>
          <w:bCs/>
        </w:rPr>
        <w:t xml:space="preserve">2. </w:t>
      </w:r>
      <w:r>
        <w:rPr>
          <w:rFonts w:ascii="Arial" w:hAnsi="Arial" w:cs="Arial"/>
          <w:b/>
          <w:bCs/>
          <w:sz w:val="22"/>
          <w:szCs w:val="22"/>
        </w:rPr>
        <w:t>CASE PRESENTATION</w:t>
      </w:r>
    </w:p>
    <w:p w14:paraId="0B7121A4" w14:textId="77777777" w:rsidR="00B01F53" w:rsidRDefault="00702863">
      <w:r>
        <w:t>A 60-year-old female presented to the hospital with a palpable lump in the left breast, without any history of system</w:t>
      </w:r>
      <w:r>
        <w:t>ic illness, known allergies, or prior adverse drug reactions. On admission, she was hemodynamically stable, afebrile, and had normal oxygen saturation. Baseline investigations, including complete blood count and vital parameters, were within normal limits.</w:t>
      </w:r>
    </w:p>
    <w:p w14:paraId="0E243599" w14:textId="77777777" w:rsidR="00B01F53" w:rsidRDefault="00B01F53"/>
    <w:p w14:paraId="1E28D7B8" w14:textId="77777777" w:rsidR="00B01F53" w:rsidRDefault="00702863">
      <w:r>
        <w:t>During hospitalization, she received supportive therapy with paracetamol, ranitidine, and vitamin C. Subsequently, she was prescribed amoxicillin–clavulanate for prophylactic antibiotic coverage. Within minutes of administration, the patient developed su</w:t>
      </w:r>
      <w:r>
        <w:t>dden onset of generalized pruritus, dyspnea, hypotension (BP: 80/50 mmHg), and tachycardia (HR: 120 bpm), consistent with anaphylactic shock. The laboratory investigations are indicated in Table 1 and they are all normal</w:t>
      </w:r>
    </w:p>
    <w:p w14:paraId="1FE87CF8" w14:textId="77777777" w:rsidR="00B01F53" w:rsidRDefault="00B01F53"/>
    <w:p w14:paraId="350F08BE" w14:textId="77777777" w:rsidR="00B01F53" w:rsidRDefault="00702863">
      <w:pPr>
        <w:pStyle w:val="Caption"/>
        <w:keepNext/>
        <w:jc w:val="center"/>
        <w:rPr>
          <w:sz w:val="22"/>
          <w:szCs w:val="22"/>
        </w:rPr>
      </w:pPr>
      <w:r>
        <w:rPr>
          <w:sz w:val="22"/>
          <w:szCs w:val="22"/>
        </w:rPr>
        <w:t xml:space="preserve">Table </w:t>
      </w:r>
      <w:r>
        <w:rPr>
          <w:sz w:val="22"/>
          <w:szCs w:val="22"/>
        </w:rPr>
        <w:fldChar w:fldCharType="begin"/>
      </w:r>
      <w:r>
        <w:rPr>
          <w:sz w:val="22"/>
          <w:szCs w:val="22"/>
        </w:rPr>
        <w:instrText xml:space="preserve"> SEQ Table \* ARABIC </w:instrText>
      </w:r>
      <w:r>
        <w:rPr>
          <w:sz w:val="22"/>
          <w:szCs w:val="22"/>
        </w:rPr>
        <w:fldChar w:fldCharType="separate"/>
      </w:r>
      <w:r>
        <w:rPr>
          <w:sz w:val="22"/>
          <w:szCs w:val="22"/>
        </w:rPr>
        <w:t>1</w:t>
      </w:r>
      <w:r>
        <w:rPr>
          <w:sz w:val="22"/>
          <w:szCs w:val="22"/>
        </w:rPr>
        <w:fldChar w:fldCharType="end"/>
      </w:r>
      <w:r>
        <w:rPr>
          <w:sz w:val="22"/>
          <w:szCs w:val="22"/>
        </w:rPr>
        <w:t xml:space="preserve"> Laboratory Investigations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255"/>
        <w:gridCol w:w="664"/>
        <w:gridCol w:w="1750"/>
        <w:gridCol w:w="944"/>
      </w:tblGrid>
      <w:tr w:rsidR="00B01F53" w14:paraId="691A223F" w14:textId="77777777">
        <w:trPr>
          <w:jc w:val="center"/>
        </w:trPr>
        <w:tc>
          <w:tcPr>
            <w:tcW w:w="0" w:type="auto"/>
          </w:tcPr>
          <w:p w14:paraId="1CCF21EA" w14:textId="77777777" w:rsidR="00B01F53" w:rsidRDefault="00702863">
            <w:pPr>
              <w:jc w:val="center"/>
              <w:rPr>
                <w:rFonts w:ascii="Times New Roman" w:hAnsi="Times New Roman"/>
                <w:b/>
                <w:bCs/>
                <w:sz w:val="24"/>
                <w:szCs w:val="24"/>
              </w:rPr>
            </w:pPr>
            <w:r>
              <w:rPr>
                <w:rFonts w:ascii="Times New Roman" w:hAnsi="Times New Roman"/>
                <w:b/>
                <w:bCs/>
                <w:sz w:val="24"/>
                <w:szCs w:val="24"/>
              </w:rPr>
              <w:t>Investigation</w:t>
            </w:r>
          </w:p>
        </w:tc>
        <w:tc>
          <w:tcPr>
            <w:tcW w:w="0" w:type="auto"/>
          </w:tcPr>
          <w:p w14:paraId="5154CD06" w14:textId="77777777" w:rsidR="00B01F53" w:rsidRDefault="00702863">
            <w:pPr>
              <w:jc w:val="center"/>
              <w:rPr>
                <w:rFonts w:ascii="Times New Roman" w:hAnsi="Times New Roman"/>
                <w:b/>
                <w:bCs/>
                <w:sz w:val="24"/>
                <w:szCs w:val="24"/>
              </w:rPr>
            </w:pPr>
            <w:r>
              <w:rPr>
                <w:rFonts w:ascii="Times New Roman" w:hAnsi="Times New Roman"/>
                <w:b/>
                <w:bCs/>
                <w:sz w:val="24"/>
                <w:szCs w:val="24"/>
              </w:rPr>
              <w:t>Result</w:t>
            </w:r>
          </w:p>
        </w:tc>
        <w:tc>
          <w:tcPr>
            <w:tcW w:w="0" w:type="auto"/>
          </w:tcPr>
          <w:p w14:paraId="3D4A2FCE" w14:textId="77777777" w:rsidR="00B01F53" w:rsidRDefault="00702863">
            <w:pPr>
              <w:jc w:val="center"/>
              <w:rPr>
                <w:rFonts w:ascii="Times New Roman" w:hAnsi="Times New Roman"/>
                <w:b/>
                <w:bCs/>
                <w:sz w:val="24"/>
                <w:szCs w:val="24"/>
              </w:rPr>
            </w:pPr>
            <w:r>
              <w:rPr>
                <w:rFonts w:ascii="Times New Roman" w:hAnsi="Times New Roman"/>
                <w:b/>
                <w:bCs/>
                <w:sz w:val="24"/>
                <w:szCs w:val="24"/>
              </w:rPr>
              <w:t>Reference Range</w:t>
            </w:r>
          </w:p>
        </w:tc>
        <w:tc>
          <w:tcPr>
            <w:tcW w:w="0" w:type="auto"/>
          </w:tcPr>
          <w:p w14:paraId="6218B665" w14:textId="77777777" w:rsidR="00B01F53" w:rsidRDefault="00702863">
            <w:pPr>
              <w:jc w:val="center"/>
              <w:rPr>
                <w:rFonts w:ascii="Times New Roman" w:hAnsi="Times New Roman"/>
                <w:b/>
                <w:bCs/>
                <w:sz w:val="24"/>
                <w:szCs w:val="24"/>
              </w:rPr>
            </w:pPr>
            <w:r>
              <w:rPr>
                <w:rFonts w:ascii="Times New Roman" w:hAnsi="Times New Roman"/>
                <w:b/>
                <w:bCs/>
                <w:sz w:val="24"/>
                <w:szCs w:val="24"/>
              </w:rPr>
              <w:t>Remarks</w:t>
            </w:r>
          </w:p>
        </w:tc>
      </w:tr>
      <w:tr w:rsidR="00B01F53" w14:paraId="079A3026" w14:textId="77777777">
        <w:trPr>
          <w:jc w:val="center"/>
        </w:trPr>
        <w:tc>
          <w:tcPr>
            <w:tcW w:w="0" w:type="auto"/>
          </w:tcPr>
          <w:p w14:paraId="2AA0B7C2" w14:textId="77777777" w:rsidR="00B01F53" w:rsidRDefault="00702863">
            <w:pPr>
              <w:rPr>
                <w:rFonts w:ascii="Times New Roman" w:hAnsi="Times New Roman"/>
                <w:sz w:val="24"/>
                <w:szCs w:val="24"/>
              </w:rPr>
            </w:pPr>
            <w:r>
              <w:rPr>
                <w:rFonts w:ascii="Times New Roman" w:hAnsi="Times New Roman"/>
                <w:sz w:val="24"/>
                <w:szCs w:val="24"/>
              </w:rPr>
              <w:t>Hemoglobin (g/dL)</w:t>
            </w:r>
          </w:p>
        </w:tc>
        <w:tc>
          <w:tcPr>
            <w:tcW w:w="0" w:type="auto"/>
          </w:tcPr>
          <w:p w14:paraId="72B66464" w14:textId="77777777" w:rsidR="00B01F53" w:rsidRDefault="00702863">
            <w:pPr>
              <w:rPr>
                <w:rFonts w:ascii="Times New Roman" w:hAnsi="Times New Roman"/>
                <w:sz w:val="24"/>
                <w:szCs w:val="24"/>
              </w:rPr>
            </w:pPr>
            <w:r>
              <w:rPr>
                <w:rFonts w:ascii="Times New Roman" w:hAnsi="Times New Roman"/>
                <w:sz w:val="24"/>
                <w:szCs w:val="24"/>
              </w:rPr>
              <w:t>13.5</w:t>
            </w:r>
          </w:p>
        </w:tc>
        <w:tc>
          <w:tcPr>
            <w:tcW w:w="0" w:type="auto"/>
          </w:tcPr>
          <w:p w14:paraId="5A364524" w14:textId="77777777" w:rsidR="00B01F53" w:rsidRDefault="00702863">
            <w:pPr>
              <w:rPr>
                <w:rFonts w:ascii="Times New Roman" w:hAnsi="Times New Roman"/>
                <w:sz w:val="24"/>
                <w:szCs w:val="24"/>
              </w:rPr>
            </w:pPr>
            <w:r>
              <w:rPr>
                <w:rFonts w:ascii="Times New Roman" w:hAnsi="Times New Roman"/>
                <w:sz w:val="24"/>
                <w:szCs w:val="24"/>
              </w:rPr>
              <w:t>12–16</w:t>
            </w:r>
          </w:p>
        </w:tc>
        <w:tc>
          <w:tcPr>
            <w:tcW w:w="0" w:type="auto"/>
          </w:tcPr>
          <w:p w14:paraId="6F0756CF"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6468326" w14:textId="77777777">
        <w:trPr>
          <w:jc w:val="center"/>
        </w:trPr>
        <w:tc>
          <w:tcPr>
            <w:tcW w:w="0" w:type="auto"/>
          </w:tcPr>
          <w:p w14:paraId="4135D97A" w14:textId="77777777" w:rsidR="00B01F53" w:rsidRDefault="00702863">
            <w:pPr>
              <w:rPr>
                <w:rFonts w:ascii="Times New Roman" w:hAnsi="Times New Roman"/>
                <w:sz w:val="24"/>
                <w:szCs w:val="24"/>
              </w:rPr>
            </w:pPr>
            <w:r>
              <w:rPr>
                <w:rFonts w:ascii="Times New Roman" w:hAnsi="Times New Roman"/>
                <w:sz w:val="24"/>
                <w:szCs w:val="24"/>
              </w:rPr>
              <w:t>Total Leukocyte Count (×10³/µL)</w:t>
            </w:r>
          </w:p>
        </w:tc>
        <w:tc>
          <w:tcPr>
            <w:tcW w:w="0" w:type="auto"/>
          </w:tcPr>
          <w:p w14:paraId="49E4F596" w14:textId="77777777" w:rsidR="00B01F53" w:rsidRDefault="00702863">
            <w:pPr>
              <w:rPr>
                <w:rFonts w:ascii="Times New Roman" w:hAnsi="Times New Roman"/>
                <w:sz w:val="24"/>
                <w:szCs w:val="24"/>
              </w:rPr>
            </w:pPr>
            <w:r>
              <w:rPr>
                <w:rFonts w:ascii="Times New Roman" w:hAnsi="Times New Roman"/>
                <w:sz w:val="24"/>
                <w:szCs w:val="24"/>
              </w:rPr>
              <w:t>7.8</w:t>
            </w:r>
          </w:p>
        </w:tc>
        <w:tc>
          <w:tcPr>
            <w:tcW w:w="0" w:type="auto"/>
          </w:tcPr>
          <w:p w14:paraId="6FAE5448" w14:textId="77777777" w:rsidR="00B01F53" w:rsidRDefault="00702863">
            <w:pPr>
              <w:rPr>
                <w:rFonts w:ascii="Times New Roman" w:hAnsi="Times New Roman"/>
                <w:sz w:val="24"/>
                <w:szCs w:val="24"/>
              </w:rPr>
            </w:pPr>
            <w:r>
              <w:rPr>
                <w:rFonts w:ascii="Times New Roman" w:hAnsi="Times New Roman"/>
                <w:sz w:val="24"/>
                <w:szCs w:val="24"/>
              </w:rPr>
              <w:t>4–11</w:t>
            </w:r>
          </w:p>
        </w:tc>
        <w:tc>
          <w:tcPr>
            <w:tcW w:w="0" w:type="auto"/>
          </w:tcPr>
          <w:p w14:paraId="0DE4315D"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7C36F374" w14:textId="77777777">
        <w:trPr>
          <w:jc w:val="center"/>
        </w:trPr>
        <w:tc>
          <w:tcPr>
            <w:tcW w:w="0" w:type="auto"/>
          </w:tcPr>
          <w:p w14:paraId="5A21EB6C" w14:textId="77777777" w:rsidR="00B01F53" w:rsidRDefault="00702863">
            <w:pPr>
              <w:rPr>
                <w:rFonts w:ascii="Times New Roman" w:hAnsi="Times New Roman"/>
                <w:sz w:val="24"/>
                <w:szCs w:val="24"/>
              </w:rPr>
            </w:pPr>
            <w:r>
              <w:rPr>
                <w:rFonts w:ascii="Times New Roman" w:hAnsi="Times New Roman"/>
                <w:sz w:val="24"/>
                <w:szCs w:val="24"/>
              </w:rPr>
              <w:t>Differential Count (%)</w:t>
            </w:r>
          </w:p>
        </w:tc>
        <w:tc>
          <w:tcPr>
            <w:tcW w:w="0" w:type="auto"/>
          </w:tcPr>
          <w:p w14:paraId="625164ED" w14:textId="77777777" w:rsidR="00B01F53" w:rsidRDefault="00B01F53">
            <w:pPr>
              <w:rPr>
                <w:rFonts w:ascii="Times New Roman" w:hAnsi="Times New Roman"/>
                <w:sz w:val="24"/>
                <w:szCs w:val="24"/>
              </w:rPr>
            </w:pPr>
          </w:p>
        </w:tc>
        <w:tc>
          <w:tcPr>
            <w:tcW w:w="0" w:type="auto"/>
          </w:tcPr>
          <w:p w14:paraId="6799B801" w14:textId="77777777" w:rsidR="00B01F53" w:rsidRDefault="00B01F53">
            <w:pPr>
              <w:rPr>
                <w:rFonts w:ascii="Times New Roman" w:hAnsi="Times New Roman"/>
              </w:rPr>
            </w:pPr>
          </w:p>
        </w:tc>
        <w:tc>
          <w:tcPr>
            <w:tcW w:w="0" w:type="auto"/>
          </w:tcPr>
          <w:p w14:paraId="0F34EB63" w14:textId="77777777" w:rsidR="00B01F53" w:rsidRDefault="00B01F53">
            <w:pPr>
              <w:rPr>
                <w:rFonts w:ascii="Times New Roman" w:hAnsi="Times New Roman"/>
              </w:rPr>
            </w:pPr>
          </w:p>
        </w:tc>
      </w:tr>
      <w:tr w:rsidR="00B01F53" w14:paraId="72B6DD24" w14:textId="77777777">
        <w:trPr>
          <w:jc w:val="center"/>
        </w:trPr>
        <w:tc>
          <w:tcPr>
            <w:tcW w:w="0" w:type="auto"/>
          </w:tcPr>
          <w:p w14:paraId="632695B6" w14:textId="77777777" w:rsidR="00B01F53" w:rsidRDefault="00702863">
            <w:pPr>
              <w:rPr>
                <w:rFonts w:ascii="Times New Roman" w:hAnsi="Times New Roman"/>
                <w:sz w:val="24"/>
                <w:szCs w:val="24"/>
              </w:rPr>
            </w:pPr>
            <w:r>
              <w:rPr>
                <w:rFonts w:ascii="Times New Roman" w:hAnsi="Times New Roman"/>
                <w:sz w:val="24"/>
                <w:szCs w:val="24"/>
              </w:rPr>
              <w:t>- Neutrophils</w:t>
            </w:r>
          </w:p>
        </w:tc>
        <w:tc>
          <w:tcPr>
            <w:tcW w:w="0" w:type="auto"/>
          </w:tcPr>
          <w:p w14:paraId="5A4A4899" w14:textId="77777777" w:rsidR="00B01F53" w:rsidRDefault="00702863">
            <w:pPr>
              <w:rPr>
                <w:rFonts w:ascii="Times New Roman" w:hAnsi="Times New Roman"/>
                <w:sz w:val="24"/>
                <w:szCs w:val="24"/>
              </w:rPr>
            </w:pPr>
            <w:r>
              <w:rPr>
                <w:rFonts w:ascii="Times New Roman" w:hAnsi="Times New Roman"/>
                <w:sz w:val="24"/>
                <w:szCs w:val="24"/>
              </w:rPr>
              <w:t>60</w:t>
            </w:r>
          </w:p>
        </w:tc>
        <w:tc>
          <w:tcPr>
            <w:tcW w:w="0" w:type="auto"/>
          </w:tcPr>
          <w:p w14:paraId="6ECFFB7B" w14:textId="77777777" w:rsidR="00B01F53" w:rsidRDefault="00702863">
            <w:pPr>
              <w:rPr>
                <w:rFonts w:ascii="Times New Roman" w:hAnsi="Times New Roman"/>
                <w:sz w:val="24"/>
                <w:szCs w:val="24"/>
              </w:rPr>
            </w:pPr>
            <w:r>
              <w:rPr>
                <w:rFonts w:ascii="Times New Roman" w:hAnsi="Times New Roman"/>
                <w:sz w:val="24"/>
                <w:szCs w:val="24"/>
              </w:rPr>
              <w:t>40–70</w:t>
            </w:r>
          </w:p>
        </w:tc>
        <w:tc>
          <w:tcPr>
            <w:tcW w:w="0" w:type="auto"/>
          </w:tcPr>
          <w:p w14:paraId="3BEF9F16"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10023317" w14:textId="77777777">
        <w:trPr>
          <w:jc w:val="center"/>
        </w:trPr>
        <w:tc>
          <w:tcPr>
            <w:tcW w:w="0" w:type="auto"/>
          </w:tcPr>
          <w:p w14:paraId="6C4E9939" w14:textId="77777777" w:rsidR="00B01F53" w:rsidRDefault="00702863">
            <w:pPr>
              <w:rPr>
                <w:rFonts w:ascii="Times New Roman" w:hAnsi="Times New Roman"/>
                <w:sz w:val="24"/>
                <w:szCs w:val="24"/>
              </w:rPr>
            </w:pPr>
            <w:r>
              <w:rPr>
                <w:rFonts w:ascii="Times New Roman" w:hAnsi="Times New Roman"/>
                <w:sz w:val="24"/>
                <w:szCs w:val="24"/>
              </w:rPr>
              <w:t>- Lymphocytes</w:t>
            </w:r>
          </w:p>
        </w:tc>
        <w:tc>
          <w:tcPr>
            <w:tcW w:w="0" w:type="auto"/>
          </w:tcPr>
          <w:p w14:paraId="1E591652" w14:textId="77777777" w:rsidR="00B01F53" w:rsidRDefault="00702863">
            <w:pPr>
              <w:rPr>
                <w:rFonts w:ascii="Times New Roman" w:hAnsi="Times New Roman"/>
                <w:sz w:val="24"/>
                <w:szCs w:val="24"/>
              </w:rPr>
            </w:pPr>
            <w:r>
              <w:rPr>
                <w:rFonts w:ascii="Times New Roman" w:hAnsi="Times New Roman"/>
                <w:sz w:val="24"/>
                <w:szCs w:val="24"/>
              </w:rPr>
              <w:t>30</w:t>
            </w:r>
          </w:p>
        </w:tc>
        <w:tc>
          <w:tcPr>
            <w:tcW w:w="0" w:type="auto"/>
          </w:tcPr>
          <w:p w14:paraId="5ABA0FF2" w14:textId="77777777" w:rsidR="00B01F53" w:rsidRDefault="00702863">
            <w:pPr>
              <w:rPr>
                <w:rFonts w:ascii="Times New Roman" w:hAnsi="Times New Roman"/>
                <w:sz w:val="24"/>
                <w:szCs w:val="24"/>
              </w:rPr>
            </w:pPr>
            <w:r>
              <w:rPr>
                <w:rFonts w:ascii="Times New Roman" w:hAnsi="Times New Roman"/>
                <w:sz w:val="24"/>
                <w:szCs w:val="24"/>
              </w:rPr>
              <w:t>20–45</w:t>
            </w:r>
          </w:p>
        </w:tc>
        <w:tc>
          <w:tcPr>
            <w:tcW w:w="0" w:type="auto"/>
          </w:tcPr>
          <w:p w14:paraId="2F028DAF"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22A234C3" w14:textId="77777777">
        <w:trPr>
          <w:jc w:val="center"/>
        </w:trPr>
        <w:tc>
          <w:tcPr>
            <w:tcW w:w="0" w:type="auto"/>
          </w:tcPr>
          <w:p w14:paraId="3F6EBBE4" w14:textId="77777777" w:rsidR="00B01F53" w:rsidRDefault="00702863">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Monocytes</w:t>
            </w:r>
          </w:p>
        </w:tc>
        <w:tc>
          <w:tcPr>
            <w:tcW w:w="0" w:type="auto"/>
          </w:tcPr>
          <w:p w14:paraId="162AFF0F" w14:textId="77777777" w:rsidR="00B01F53" w:rsidRDefault="00702863">
            <w:pPr>
              <w:rPr>
                <w:rFonts w:ascii="Times New Roman" w:hAnsi="Times New Roman"/>
                <w:sz w:val="24"/>
                <w:szCs w:val="24"/>
              </w:rPr>
            </w:pPr>
            <w:r>
              <w:rPr>
                <w:rFonts w:ascii="Times New Roman" w:hAnsi="Times New Roman"/>
                <w:sz w:val="24"/>
                <w:szCs w:val="24"/>
              </w:rPr>
              <w:t>6</w:t>
            </w:r>
          </w:p>
        </w:tc>
        <w:tc>
          <w:tcPr>
            <w:tcW w:w="0" w:type="auto"/>
          </w:tcPr>
          <w:p w14:paraId="0A87A524" w14:textId="77777777" w:rsidR="00B01F53" w:rsidRDefault="00702863">
            <w:pPr>
              <w:rPr>
                <w:rFonts w:ascii="Times New Roman" w:hAnsi="Times New Roman"/>
                <w:sz w:val="24"/>
                <w:szCs w:val="24"/>
              </w:rPr>
            </w:pPr>
            <w:r>
              <w:rPr>
                <w:rFonts w:ascii="Times New Roman" w:hAnsi="Times New Roman"/>
                <w:sz w:val="24"/>
                <w:szCs w:val="24"/>
              </w:rPr>
              <w:t>2–8</w:t>
            </w:r>
          </w:p>
        </w:tc>
        <w:tc>
          <w:tcPr>
            <w:tcW w:w="0" w:type="auto"/>
          </w:tcPr>
          <w:p w14:paraId="10D6FC85"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7F449C1B" w14:textId="77777777">
        <w:trPr>
          <w:jc w:val="center"/>
        </w:trPr>
        <w:tc>
          <w:tcPr>
            <w:tcW w:w="0" w:type="auto"/>
          </w:tcPr>
          <w:p w14:paraId="43CEEA64" w14:textId="77777777" w:rsidR="00B01F53" w:rsidRDefault="00702863">
            <w:pPr>
              <w:rPr>
                <w:rFonts w:ascii="Times New Roman" w:hAnsi="Times New Roman"/>
                <w:sz w:val="24"/>
                <w:szCs w:val="24"/>
              </w:rPr>
            </w:pPr>
            <w:r>
              <w:rPr>
                <w:rFonts w:ascii="Times New Roman" w:hAnsi="Times New Roman"/>
                <w:sz w:val="24"/>
                <w:szCs w:val="24"/>
              </w:rPr>
              <w:t>- Eosinophils</w:t>
            </w:r>
          </w:p>
        </w:tc>
        <w:tc>
          <w:tcPr>
            <w:tcW w:w="0" w:type="auto"/>
          </w:tcPr>
          <w:p w14:paraId="7402D817" w14:textId="77777777" w:rsidR="00B01F53" w:rsidRDefault="00702863">
            <w:pPr>
              <w:rPr>
                <w:rFonts w:ascii="Times New Roman" w:hAnsi="Times New Roman"/>
                <w:sz w:val="24"/>
                <w:szCs w:val="24"/>
              </w:rPr>
            </w:pPr>
            <w:r>
              <w:rPr>
                <w:rFonts w:ascii="Times New Roman" w:hAnsi="Times New Roman"/>
                <w:sz w:val="24"/>
                <w:szCs w:val="24"/>
              </w:rPr>
              <w:t>4</w:t>
            </w:r>
          </w:p>
        </w:tc>
        <w:tc>
          <w:tcPr>
            <w:tcW w:w="0" w:type="auto"/>
          </w:tcPr>
          <w:p w14:paraId="2C28DB6C" w14:textId="77777777" w:rsidR="00B01F53" w:rsidRDefault="00702863">
            <w:pPr>
              <w:rPr>
                <w:rFonts w:ascii="Times New Roman" w:hAnsi="Times New Roman"/>
                <w:sz w:val="24"/>
                <w:szCs w:val="24"/>
              </w:rPr>
            </w:pPr>
            <w:r>
              <w:rPr>
                <w:rFonts w:ascii="Times New Roman" w:hAnsi="Times New Roman"/>
                <w:sz w:val="24"/>
                <w:szCs w:val="24"/>
              </w:rPr>
              <w:t>1–6</w:t>
            </w:r>
          </w:p>
        </w:tc>
        <w:tc>
          <w:tcPr>
            <w:tcW w:w="0" w:type="auto"/>
          </w:tcPr>
          <w:p w14:paraId="36769BD2"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C35E9D9" w14:textId="77777777">
        <w:trPr>
          <w:jc w:val="center"/>
        </w:trPr>
        <w:tc>
          <w:tcPr>
            <w:tcW w:w="0" w:type="auto"/>
          </w:tcPr>
          <w:p w14:paraId="0625A954" w14:textId="77777777" w:rsidR="00B01F53" w:rsidRDefault="00702863">
            <w:pPr>
              <w:rPr>
                <w:rFonts w:ascii="Times New Roman" w:hAnsi="Times New Roman"/>
                <w:sz w:val="24"/>
                <w:szCs w:val="24"/>
              </w:rPr>
            </w:pPr>
            <w:r>
              <w:rPr>
                <w:rFonts w:ascii="Times New Roman" w:hAnsi="Times New Roman"/>
                <w:sz w:val="24"/>
                <w:szCs w:val="24"/>
              </w:rPr>
              <w:t>Platelet Count (×10³/µL)</w:t>
            </w:r>
          </w:p>
        </w:tc>
        <w:tc>
          <w:tcPr>
            <w:tcW w:w="0" w:type="auto"/>
          </w:tcPr>
          <w:p w14:paraId="6DDDB62F" w14:textId="77777777" w:rsidR="00B01F53" w:rsidRDefault="00702863">
            <w:pPr>
              <w:rPr>
                <w:rFonts w:ascii="Times New Roman" w:hAnsi="Times New Roman"/>
                <w:sz w:val="24"/>
                <w:szCs w:val="24"/>
              </w:rPr>
            </w:pPr>
            <w:r>
              <w:rPr>
                <w:rFonts w:ascii="Times New Roman" w:hAnsi="Times New Roman"/>
                <w:sz w:val="24"/>
                <w:szCs w:val="24"/>
              </w:rPr>
              <w:t>250</w:t>
            </w:r>
          </w:p>
        </w:tc>
        <w:tc>
          <w:tcPr>
            <w:tcW w:w="0" w:type="auto"/>
          </w:tcPr>
          <w:p w14:paraId="6DA30B87" w14:textId="77777777" w:rsidR="00B01F53" w:rsidRDefault="00702863">
            <w:pPr>
              <w:rPr>
                <w:rFonts w:ascii="Times New Roman" w:hAnsi="Times New Roman"/>
                <w:sz w:val="24"/>
                <w:szCs w:val="24"/>
              </w:rPr>
            </w:pPr>
            <w:r>
              <w:rPr>
                <w:rFonts w:ascii="Times New Roman" w:hAnsi="Times New Roman"/>
                <w:sz w:val="24"/>
                <w:szCs w:val="24"/>
              </w:rPr>
              <w:t>150–400</w:t>
            </w:r>
          </w:p>
        </w:tc>
        <w:tc>
          <w:tcPr>
            <w:tcW w:w="0" w:type="auto"/>
          </w:tcPr>
          <w:p w14:paraId="22FE2DF6"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BD011FA" w14:textId="77777777">
        <w:trPr>
          <w:jc w:val="center"/>
        </w:trPr>
        <w:tc>
          <w:tcPr>
            <w:tcW w:w="0" w:type="auto"/>
          </w:tcPr>
          <w:p w14:paraId="0B58D525" w14:textId="77777777" w:rsidR="00B01F53" w:rsidRDefault="00702863">
            <w:pPr>
              <w:rPr>
                <w:rFonts w:ascii="Times New Roman" w:hAnsi="Times New Roman"/>
                <w:sz w:val="24"/>
                <w:szCs w:val="24"/>
              </w:rPr>
            </w:pPr>
            <w:r>
              <w:rPr>
                <w:rFonts w:ascii="Times New Roman" w:hAnsi="Times New Roman"/>
                <w:sz w:val="24"/>
                <w:szCs w:val="24"/>
              </w:rPr>
              <w:t>Random Blood Sugar (mg/dL)</w:t>
            </w:r>
          </w:p>
        </w:tc>
        <w:tc>
          <w:tcPr>
            <w:tcW w:w="0" w:type="auto"/>
          </w:tcPr>
          <w:p w14:paraId="69F59F77" w14:textId="77777777" w:rsidR="00B01F53" w:rsidRDefault="00702863">
            <w:pPr>
              <w:rPr>
                <w:rFonts w:ascii="Times New Roman" w:hAnsi="Times New Roman"/>
                <w:sz w:val="24"/>
                <w:szCs w:val="24"/>
              </w:rPr>
            </w:pPr>
            <w:r>
              <w:rPr>
                <w:rFonts w:ascii="Times New Roman" w:hAnsi="Times New Roman"/>
                <w:sz w:val="24"/>
                <w:szCs w:val="24"/>
              </w:rPr>
              <w:t>98</w:t>
            </w:r>
          </w:p>
        </w:tc>
        <w:tc>
          <w:tcPr>
            <w:tcW w:w="0" w:type="auto"/>
          </w:tcPr>
          <w:p w14:paraId="0EF38CD2" w14:textId="77777777" w:rsidR="00B01F53" w:rsidRDefault="00702863">
            <w:pPr>
              <w:rPr>
                <w:rFonts w:ascii="Times New Roman" w:hAnsi="Times New Roman"/>
                <w:sz w:val="24"/>
                <w:szCs w:val="24"/>
              </w:rPr>
            </w:pPr>
            <w:r>
              <w:rPr>
                <w:rFonts w:ascii="Times New Roman" w:hAnsi="Times New Roman"/>
                <w:sz w:val="24"/>
                <w:szCs w:val="24"/>
              </w:rPr>
              <w:t>70–140</w:t>
            </w:r>
          </w:p>
        </w:tc>
        <w:tc>
          <w:tcPr>
            <w:tcW w:w="0" w:type="auto"/>
          </w:tcPr>
          <w:p w14:paraId="306E200B"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4BF847EE" w14:textId="77777777">
        <w:trPr>
          <w:jc w:val="center"/>
        </w:trPr>
        <w:tc>
          <w:tcPr>
            <w:tcW w:w="0" w:type="auto"/>
          </w:tcPr>
          <w:p w14:paraId="484E5E57" w14:textId="77777777" w:rsidR="00B01F53" w:rsidRDefault="00702863">
            <w:pPr>
              <w:rPr>
                <w:rFonts w:ascii="Times New Roman" w:hAnsi="Times New Roman"/>
                <w:sz w:val="24"/>
                <w:szCs w:val="24"/>
              </w:rPr>
            </w:pPr>
            <w:r>
              <w:rPr>
                <w:rFonts w:ascii="Times New Roman" w:hAnsi="Times New Roman"/>
                <w:sz w:val="24"/>
                <w:szCs w:val="24"/>
              </w:rPr>
              <w:t>Renal Function Test</w:t>
            </w:r>
          </w:p>
        </w:tc>
        <w:tc>
          <w:tcPr>
            <w:tcW w:w="0" w:type="auto"/>
          </w:tcPr>
          <w:p w14:paraId="01860421" w14:textId="77777777" w:rsidR="00B01F53" w:rsidRDefault="00B01F53">
            <w:pPr>
              <w:rPr>
                <w:rFonts w:ascii="Times New Roman" w:hAnsi="Times New Roman"/>
                <w:sz w:val="24"/>
                <w:szCs w:val="24"/>
              </w:rPr>
            </w:pPr>
          </w:p>
        </w:tc>
        <w:tc>
          <w:tcPr>
            <w:tcW w:w="0" w:type="auto"/>
          </w:tcPr>
          <w:p w14:paraId="0D591545" w14:textId="77777777" w:rsidR="00B01F53" w:rsidRDefault="00B01F53">
            <w:pPr>
              <w:rPr>
                <w:rFonts w:ascii="Times New Roman" w:hAnsi="Times New Roman"/>
              </w:rPr>
            </w:pPr>
          </w:p>
        </w:tc>
        <w:tc>
          <w:tcPr>
            <w:tcW w:w="0" w:type="auto"/>
          </w:tcPr>
          <w:p w14:paraId="2D91C326"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77D81F82" w14:textId="77777777">
        <w:trPr>
          <w:jc w:val="center"/>
        </w:trPr>
        <w:tc>
          <w:tcPr>
            <w:tcW w:w="0" w:type="auto"/>
          </w:tcPr>
          <w:p w14:paraId="0EEC63B9" w14:textId="77777777" w:rsidR="00B01F53" w:rsidRDefault="00702863">
            <w:pPr>
              <w:rPr>
                <w:rFonts w:ascii="Times New Roman" w:hAnsi="Times New Roman"/>
                <w:sz w:val="24"/>
                <w:szCs w:val="24"/>
              </w:rPr>
            </w:pPr>
            <w:r>
              <w:rPr>
                <w:rFonts w:ascii="Times New Roman" w:hAnsi="Times New Roman"/>
                <w:sz w:val="24"/>
                <w:szCs w:val="24"/>
              </w:rPr>
              <w:t>- Serum Creatinine (mg/dL)</w:t>
            </w:r>
          </w:p>
        </w:tc>
        <w:tc>
          <w:tcPr>
            <w:tcW w:w="0" w:type="auto"/>
          </w:tcPr>
          <w:p w14:paraId="1DBA5B5E" w14:textId="77777777" w:rsidR="00B01F53" w:rsidRDefault="00702863">
            <w:pPr>
              <w:rPr>
                <w:rFonts w:ascii="Times New Roman" w:hAnsi="Times New Roman"/>
                <w:sz w:val="24"/>
                <w:szCs w:val="24"/>
              </w:rPr>
            </w:pPr>
            <w:r>
              <w:rPr>
                <w:rFonts w:ascii="Times New Roman" w:hAnsi="Times New Roman"/>
                <w:sz w:val="24"/>
                <w:szCs w:val="24"/>
              </w:rPr>
              <w:t>0.9</w:t>
            </w:r>
          </w:p>
        </w:tc>
        <w:tc>
          <w:tcPr>
            <w:tcW w:w="0" w:type="auto"/>
          </w:tcPr>
          <w:p w14:paraId="114FF09B" w14:textId="77777777" w:rsidR="00B01F53" w:rsidRDefault="00702863">
            <w:pPr>
              <w:rPr>
                <w:rFonts w:ascii="Times New Roman" w:hAnsi="Times New Roman"/>
                <w:sz w:val="24"/>
                <w:szCs w:val="24"/>
              </w:rPr>
            </w:pPr>
            <w:r>
              <w:rPr>
                <w:rFonts w:ascii="Times New Roman" w:hAnsi="Times New Roman"/>
                <w:sz w:val="24"/>
                <w:szCs w:val="24"/>
              </w:rPr>
              <w:t>0.6–1.2</w:t>
            </w:r>
          </w:p>
        </w:tc>
        <w:tc>
          <w:tcPr>
            <w:tcW w:w="0" w:type="auto"/>
          </w:tcPr>
          <w:p w14:paraId="42CE1A6A"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2CEE79ED" w14:textId="77777777">
        <w:trPr>
          <w:jc w:val="center"/>
        </w:trPr>
        <w:tc>
          <w:tcPr>
            <w:tcW w:w="0" w:type="auto"/>
          </w:tcPr>
          <w:p w14:paraId="393DB79C" w14:textId="77777777" w:rsidR="00B01F53" w:rsidRDefault="00702863">
            <w:pPr>
              <w:rPr>
                <w:rFonts w:ascii="Times New Roman" w:hAnsi="Times New Roman"/>
                <w:sz w:val="24"/>
                <w:szCs w:val="24"/>
              </w:rPr>
            </w:pPr>
            <w:r>
              <w:rPr>
                <w:rFonts w:ascii="Times New Roman" w:hAnsi="Times New Roman"/>
                <w:sz w:val="24"/>
                <w:szCs w:val="24"/>
              </w:rPr>
              <w:t>- Blood Urea (mg/dL)</w:t>
            </w:r>
          </w:p>
        </w:tc>
        <w:tc>
          <w:tcPr>
            <w:tcW w:w="0" w:type="auto"/>
          </w:tcPr>
          <w:p w14:paraId="0FB9BF68" w14:textId="77777777" w:rsidR="00B01F53" w:rsidRDefault="00702863">
            <w:pPr>
              <w:rPr>
                <w:rFonts w:ascii="Times New Roman" w:hAnsi="Times New Roman"/>
                <w:sz w:val="24"/>
                <w:szCs w:val="24"/>
              </w:rPr>
            </w:pPr>
            <w:r>
              <w:rPr>
                <w:rFonts w:ascii="Times New Roman" w:hAnsi="Times New Roman"/>
                <w:sz w:val="24"/>
                <w:szCs w:val="24"/>
              </w:rPr>
              <w:t>28</w:t>
            </w:r>
          </w:p>
        </w:tc>
        <w:tc>
          <w:tcPr>
            <w:tcW w:w="0" w:type="auto"/>
          </w:tcPr>
          <w:p w14:paraId="63F0A330" w14:textId="77777777" w:rsidR="00B01F53" w:rsidRDefault="00702863">
            <w:pPr>
              <w:rPr>
                <w:rFonts w:ascii="Times New Roman" w:hAnsi="Times New Roman"/>
                <w:sz w:val="24"/>
                <w:szCs w:val="24"/>
              </w:rPr>
            </w:pPr>
            <w:r>
              <w:rPr>
                <w:rFonts w:ascii="Times New Roman" w:hAnsi="Times New Roman"/>
                <w:sz w:val="24"/>
                <w:szCs w:val="24"/>
              </w:rPr>
              <w:t>15–40</w:t>
            </w:r>
          </w:p>
        </w:tc>
        <w:tc>
          <w:tcPr>
            <w:tcW w:w="0" w:type="auto"/>
          </w:tcPr>
          <w:p w14:paraId="21B1614D"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A6DF121" w14:textId="77777777">
        <w:trPr>
          <w:jc w:val="center"/>
        </w:trPr>
        <w:tc>
          <w:tcPr>
            <w:tcW w:w="0" w:type="auto"/>
          </w:tcPr>
          <w:p w14:paraId="53C8405B" w14:textId="77777777" w:rsidR="00B01F53" w:rsidRDefault="00702863">
            <w:pPr>
              <w:rPr>
                <w:rFonts w:ascii="Times New Roman" w:hAnsi="Times New Roman"/>
                <w:sz w:val="24"/>
                <w:szCs w:val="24"/>
              </w:rPr>
            </w:pPr>
            <w:r>
              <w:rPr>
                <w:rFonts w:ascii="Times New Roman" w:hAnsi="Times New Roman"/>
                <w:sz w:val="24"/>
                <w:szCs w:val="24"/>
              </w:rPr>
              <w:t>Liver Function Test</w:t>
            </w:r>
          </w:p>
        </w:tc>
        <w:tc>
          <w:tcPr>
            <w:tcW w:w="0" w:type="auto"/>
          </w:tcPr>
          <w:p w14:paraId="4459B2EF" w14:textId="77777777" w:rsidR="00B01F53" w:rsidRDefault="00B01F53">
            <w:pPr>
              <w:rPr>
                <w:rFonts w:ascii="Times New Roman" w:hAnsi="Times New Roman"/>
                <w:sz w:val="24"/>
                <w:szCs w:val="24"/>
              </w:rPr>
            </w:pPr>
          </w:p>
        </w:tc>
        <w:tc>
          <w:tcPr>
            <w:tcW w:w="0" w:type="auto"/>
          </w:tcPr>
          <w:p w14:paraId="4032466D" w14:textId="77777777" w:rsidR="00B01F53" w:rsidRDefault="00B01F53">
            <w:pPr>
              <w:rPr>
                <w:rFonts w:ascii="Times New Roman" w:hAnsi="Times New Roman"/>
              </w:rPr>
            </w:pPr>
          </w:p>
        </w:tc>
        <w:tc>
          <w:tcPr>
            <w:tcW w:w="0" w:type="auto"/>
          </w:tcPr>
          <w:p w14:paraId="63C4A800"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7F8F3DF5" w14:textId="77777777">
        <w:trPr>
          <w:jc w:val="center"/>
        </w:trPr>
        <w:tc>
          <w:tcPr>
            <w:tcW w:w="0" w:type="auto"/>
          </w:tcPr>
          <w:p w14:paraId="36C82C65" w14:textId="77777777" w:rsidR="00B01F53" w:rsidRDefault="00702863">
            <w:pPr>
              <w:rPr>
                <w:rFonts w:ascii="Times New Roman" w:hAnsi="Times New Roman"/>
                <w:sz w:val="24"/>
                <w:szCs w:val="24"/>
              </w:rPr>
            </w:pPr>
            <w:r>
              <w:rPr>
                <w:rFonts w:ascii="Times New Roman" w:hAnsi="Times New Roman"/>
                <w:sz w:val="24"/>
                <w:szCs w:val="24"/>
              </w:rPr>
              <w:t>- AST (U/L)</w:t>
            </w:r>
          </w:p>
        </w:tc>
        <w:tc>
          <w:tcPr>
            <w:tcW w:w="0" w:type="auto"/>
          </w:tcPr>
          <w:p w14:paraId="385BFB61" w14:textId="77777777" w:rsidR="00B01F53" w:rsidRDefault="00702863">
            <w:pPr>
              <w:rPr>
                <w:rFonts w:ascii="Times New Roman" w:hAnsi="Times New Roman"/>
                <w:sz w:val="24"/>
                <w:szCs w:val="24"/>
              </w:rPr>
            </w:pPr>
            <w:r>
              <w:rPr>
                <w:rFonts w:ascii="Times New Roman" w:hAnsi="Times New Roman"/>
                <w:sz w:val="24"/>
                <w:szCs w:val="24"/>
              </w:rPr>
              <w:t>22</w:t>
            </w:r>
          </w:p>
        </w:tc>
        <w:tc>
          <w:tcPr>
            <w:tcW w:w="0" w:type="auto"/>
          </w:tcPr>
          <w:p w14:paraId="3BC7862A" w14:textId="77777777" w:rsidR="00B01F53" w:rsidRDefault="00702863">
            <w:pPr>
              <w:rPr>
                <w:rFonts w:ascii="Times New Roman" w:hAnsi="Times New Roman"/>
                <w:sz w:val="24"/>
                <w:szCs w:val="24"/>
              </w:rPr>
            </w:pPr>
            <w:r>
              <w:rPr>
                <w:rFonts w:ascii="Times New Roman" w:hAnsi="Times New Roman"/>
                <w:sz w:val="24"/>
                <w:szCs w:val="24"/>
              </w:rPr>
              <w:t>10–40</w:t>
            </w:r>
          </w:p>
        </w:tc>
        <w:tc>
          <w:tcPr>
            <w:tcW w:w="0" w:type="auto"/>
          </w:tcPr>
          <w:p w14:paraId="7072CF7F"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734ED38" w14:textId="77777777">
        <w:trPr>
          <w:jc w:val="center"/>
        </w:trPr>
        <w:tc>
          <w:tcPr>
            <w:tcW w:w="0" w:type="auto"/>
          </w:tcPr>
          <w:p w14:paraId="3548E5E7" w14:textId="77777777" w:rsidR="00B01F53" w:rsidRDefault="00702863">
            <w:pPr>
              <w:rPr>
                <w:rFonts w:ascii="Times New Roman" w:hAnsi="Times New Roman"/>
                <w:sz w:val="24"/>
                <w:szCs w:val="24"/>
              </w:rPr>
            </w:pPr>
            <w:r>
              <w:rPr>
                <w:rFonts w:ascii="Times New Roman" w:hAnsi="Times New Roman"/>
                <w:sz w:val="24"/>
                <w:szCs w:val="24"/>
              </w:rPr>
              <w:t>- ALT (U/L)</w:t>
            </w:r>
          </w:p>
        </w:tc>
        <w:tc>
          <w:tcPr>
            <w:tcW w:w="0" w:type="auto"/>
          </w:tcPr>
          <w:p w14:paraId="48A8992C" w14:textId="77777777" w:rsidR="00B01F53" w:rsidRDefault="00702863">
            <w:pPr>
              <w:rPr>
                <w:rFonts w:ascii="Times New Roman" w:hAnsi="Times New Roman"/>
                <w:sz w:val="24"/>
                <w:szCs w:val="24"/>
              </w:rPr>
            </w:pPr>
            <w:r>
              <w:rPr>
                <w:rFonts w:ascii="Times New Roman" w:hAnsi="Times New Roman"/>
                <w:sz w:val="24"/>
                <w:szCs w:val="24"/>
              </w:rPr>
              <w:t>25</w:t>
            </w:r>
          </w:p>
        </w:tc>
        <w:tc>
          <w:tcPr>
            <w:tcW w:w="0" w:type="auto"/>
          </w:tcPr>
          <w:p w14:paraId="0709070D" w14:textId="77777777" w:rsidR="00B01F53" w:rsidRDefault="00702863">
            <w:pPr>
              <w:rPr>
                <w:rFonts w:ascii="Times New Roman" w:hAnsi="Times New Roman"/>
                <w:sz w:val="24"/>
                <w:szCs w:val="24"/>
              </w:rPr>
            </w:pPr>
            <w:r>
              <w:rPr>
                <w:rFonts w:ascii="Times New Roman" w:hAnsi="Times New Roman"/>
                <w:sz w:val="24"/>
                <w:szCs w:val="24"/>
              </w:rPr>
              <w:t>7–56</w:t>
            </w:r>
          </w:p>
        </w:tc>
        <w:tc>
          <w:tcPr>
            <w:tcW w:w="0" w:type="auto"/>
          </w:tcPr>
          <w:p w14:paraId="00603DF1"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03134AA1" w14:textId="77777777">
        <w:trPr>
          <w:jc w:val="center"/>
        </w:trPr>
        <w:tc>
          <w:tcPr>
            <w:tcW w:w="0" w:type="auto"/>
          </w:tcPr>
          <w:p w14:paraId="147D2655" w14:textId="77777777" w:rsidR="00B01F53" w:rsidRDefault="00702863">
            <w:pPr>
              <w:rPr>
                <w:rFonts w:ascii="Times New Roman" w:hAnsi="Times New Roman"/>
                <w:sz w:val="24"/>
                <w:szCs w:val="24"/>
              </w:rPr>
            </w:pPr>
            <w:r>
              <w:rPr>
                <w:rFonts w:ascii="Times New Roman" w:hAnsi="Times New Roman"/>
                <w:sz w:val="24"/>
                <w:szCs w:val="24"/>
              </w:rPr>
              <w:t>- Total Bilirubin (mg/dL)</w:t>
            </w:r>
          </w:p>
        </w:tc>
        <w:tc>
          <w:tcPr>
            <w:tcW w:w="0" w:type="auto"/>
          </w:tcPr>
          <w:p w14:paraId="20345A72" w14:textId="77777777" w:rsidR="00B01F53" w:rsidRDefault="00702863">
            <w:pPr>
              <w:rPr>
                <w:rFonts w:ascii="Times New Roman" w:hAnsi="Times New Roman"/>
                <w:sz w:val="24"/>
                <w:szCs w:val="24"/>
              </w:rPr>
            </w:pPr>
            <w:r>
              <w:rPr>
                <w:rFonts w:ascii="Times New Roman" w:hAnsi="Times New Roman"/>
                <w:sz w:val="24"/>
                <w:szCs w:val="24"/>
              </w:rPr>
              <w:t>0.8</w:t>
            </w:r>
          </w:p>
        </w:tc>
        <w:tc>
          <w:tcPr>
            <w:tcW w:w="0" w:type="auto"/>
          </w:tcPr>
          <w:p w14:paraId="137E8E43" w14:textId="77777777" w:rsidR="00B01F53" w:rsidRDefault="00702863">
            <w:pPr>
              <w:rPr>
                <w:rFonts w:ascii="Times New Roman" w:hAnsi="Times New Roman"/>
                <w:sz w:val="24"/>
                <w:szCs w:val="24"/>
              </w:rPr>
            </w:pPr>
            <w:r>
              <w:rPr>
                <w:rFonts w:ascii="Times New Roman" w:hAnsi="Times New Roman"/>
                <w:sz w:val="24"/>
                <w:szCs w:val="24"/>
              </w:rPr>
              <w:t>0.3–1.2</w:t>
            </w:r>
          </w:p>
        </w:tc>
        <w:tc>
          <w:tcPr>
            <w:tcW w:w="0" w:type="auto"/>
          </w:tcPr>
          <w:p w14:paraId="79245D11"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3E5222DA" w14:textId="77777777">
        <w:trPr>
          <w:jc w:val="center"/>
        </w:trPr>
        <w:tc>
          <w:tcPr>
            <w:tcW w:w="0" w:type="auto"/>
          </w:tcPr>
          <w:p w14:paraId="1622BE82" w14:textId="77777777" w:rsidR="00B01F53" w:rsidRDefault="00702863">
            <w:pPr>
              <w:rPr>
                <w:rFonts w:ascii="Times New Roman" w:hAnsi="Times New Roman"/>
                <w:sz w:val="24"/>
                <w:szCs w:val="24"/>
              </w:rPr>
            </w:pPr>
            <w:r>
              <w:rPr>
                <w:rFonts w:ascii="Times New Roman" w:hAnsi="Times New Roman"/>
                <w:sz w:val="24"/>
                <w:szCs w:val="24"/>
              </w:rPr>
              <w:t>Electrolytes</w:t>
            </w:r>
          </w:p>
        </w:tc>
        <w:tc>
          <w:tcPr>
            <w:tcW w:w="0" w:type="auto"/>
          </w:tcPr>
          <w:p w14:paraId="4DF347A9" w14:textId="77777777" w:rsidR="00B01F53" w:rsidRDefault="00B01F53">
            <w:pPr>
              <w:rPr>
                <w:rFonts w:ascii="Times New Roman" w:hAnsi="Times New Roman"/>
                <w:sz w:val="24"/>
                <w:szCs w:val="24"/>
              </w:rPr>
            </w:pPr>
          </w:p>
        </w:tc>
        <w:tc>
          <w:tcPr>
            <w:tcW w:w="0" w:type="auto"/>
          </w:tcPr>
          <w:p w14:paraId="0911055A" w14:textId="77777777" w:rsidR="00B01F53" w:rsidRDefault="00B01F53">
            <w:pPr>
              <w:rPr>
                <w:rFonts w:ascii="Times New Roman" w:hAnsi="Times New Roman"/>
              </w:rPr>
            </w:pPr>
          </w:p>
        </w:tc>
        <w:tc>
          <w:tcPr>
            <w:tcW w:w="0" w:type="auto"/>
          </w:tcPr>
          <w:p w14:paraId="6D06F0D6"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3B3317A7" w14:textId="77777777">
        <w:trPr>
          <w:jc w:val="center"/>
        </w:trPr>
        <w:tc>
          <w:tcPr>
            <w:tcW w:w="0" w:type="auto"/>
          </w:tcPr>
          <w:p w14:paraId="700FC841" w14:textId="77777777" w:rsidR="00B01F53" w:rsidRDefault="00702863">
            <w:pPr>
              <w:rPr>
                <w:rFonts w:ascii="Times New Roman" w:hAnsi="Times New Roman"/>
                <w:sz w:val="24"/>
                <w:szCs w:val="24"/>
              </w:rPr>
            </w:pPr>
            <w:r>
              <w:rPr>
                <w:rFonts w:ascii="Times New Roman" w:hAnsi="Times New Roman"/>
                <w:sz w:val="24"/>
                <w:szCs w:val="24"/>
              </w:rPr>
              <w:t>- Sodium (</w:t>
            </w:r>
            <w:proofErr w:type="spellStart"/>
            <w:r>
              <w:rPr>
                <w:rFonts w:ascii="Times New Roman" w:hAnsi="Times New Roman"/>
                <w:sz w:val="24"/>
                <w:szCs w:val="24"/>
              </w:rPr>
              <w:t>mEq</w:t>
            </w:r>
            <w:proofErr w:type="spellEnd"/>
            <w:r>
              <w:rPr>
                <w:rFonts w:ascii="Times New Roman" w:hAnsi="Times New Roman"/>
                <w:sz w:val="24"/>
                <w:szCs w:val="24"/>
              </w:rPr>
              <w:t>/L)</w:t>
            </w:r>
          </w:p>
        </w:tc>
        <w:tc>
          <w:tcPr>
            <w:tcW w:w="0" w:type="auto"/>
          </w:tcPr>
          <w:p w14:paraId="28825542" w14:textId="77777777" w:rsidR="00B01F53" w:rsidRDefault="00702863">
            <w:pPr>
              <w:rPr>
                <w:rFonts w:ascii="Times New Roman" w:hAnsi="Times New Roman"/>
                <w:sz w:val="24"/>
                <w:szCs w:val="24"/>
              </w:rPr>
            </w:pPr>
            <w:r>
              <w:rPr>
                <w:rFonts w:ascii="Times New Roman" w:hAnsi="Times New Roman"/>
                <w:sz w:val="24"/>
                <w:szCs w:val="24"/>
              </w:rPr>
              <w:t>138</w:t>
            </w:r>
          </w:p>
        </w:tc>
        <w:tc>
          <w:tcPr>
            <w:tcW w:w="0" w:type="auto"/>
          </w:tcPr>
          <w:p w14:paraId="2B0D9155" w14:textId="77777777" w:rsidR="00B01F53" w:rsidRDefault="00702863">
            <w:pPr>
              <w:rPr>
                <w:rFonts w:ascii="Times New Roman" w:hAnsi="Times New Roman"/>
                <w:sz w:val="24"/>
                <w:szCs w:val="24"/>
              </w:rPr>
            </w:pPr>
            <w:r>
              <w:rPr>
                <w:rFonts w:ascii="Times New Roman" w:hAnsi="Times New Roman"/>
                <w:sz w:val="24"/>
                <w:szCs w:val="24"/>
              </w:rPr>
              <w:t>135–145</w:t>
            </w:r>
          </w:p>
        </w:tc>
        <w:tc>
          <w:tcPr>
            <w:tcW w:w="0" w:type="auto"/>
          </w:tcPr>
          <w:p w14:paraId="428D20E0" w14:textId="77777777" w:rsidR="00B01F53" w:rsidRDefault="00702863">
            <w:pPr>
              <w:rPr>
                <w:rFonts w:ascii="Times New Roman" w:hAnsi="Times New Roman"/>
                <w:sz w:val="24"/>
                <w:szCs w:val="24"/>
              </w:rPr>
            </w:pPr>
            <w:r>
              <w:rPr>
                <w:rFonts w:ascii="Times New Roman" w:hAnsi="Times New Roman"/>
                <w:sz w:val="24"/>
                <w:szCs w:val="24"/>
              </w:rPr>
              <w:t>Normal</w:t>
            </w:r>
          </w:p>
        </w:tc>
      </w:tr>
      <w:tr w:rsidR="00B01F53" w14:paraId="3090DD22" w14:textId="77777777">
        <w:trPr>
          <w:jc w:val="center"/>
        </w:trPr>
        <w:tc>
          <w:tcPr>
            <w:tcW w:w="0" w:type="auto"/>
          </w:tcPr>
          <w:p w14:paraId="321F392F" w14:textId="77777777" w:rsidR="00B01F53" w:rsidRDefault="00702863">
            <w:pPr>
              <w:rPr>
                <w:rFonts w:ascii="Times New Roman" w:hAnsi="Times New Roman"/>
                <w:sz w:val="24"/>
                <w:szCs w:val="24"/>
              </w:rPr>
            </w:pPr>
            <w:r>
              <w:rPr>
                <w:rFonts w:ascii="Times New Roman" w:hAnsi="Times New Roman"/>
                <w:sz w:val="24"/>
                <w:szCs w:val="24"/>
              </w:rPr>
              <w:t>- Potassium (</w:t>
            </w:r>
            <w:proofErr w:type="spellStart"/>
            <w:r>
              <w:rPr>
                <w:rFonts w:ascii="Times New Roman" w:hAnsi="Times New Roman"/>
                <w:sz w:val="24"/>
                <w:szCs w:val="24"/>
              </w:rPr>
              <w:t>mEq</w:t>
            </w:r>
            <w:proofErr w:type="spellEnd"/>
            <w:r>
              <w:rPr>
                <w:rFonts w:ascii="Times New Roman" w:hAnsi="Times New Roman"/>
                <w:sz w:val="24"/>
                <w:szCs w:val="24"/>
              </w:rPr>
              <w:t>/L)</w:t>
            </w:r>
          </w:p>
        </w:tc>
        <w:tc>
          <w:tcPr>
            <w:tcW w:w="0" w:type="auto"/>
          </w:tcPr>
          <w:p w14:paraId="72E19FE8" w14:textId="77777777" w:rsidR="00B01F53" w:rsidRDefault="00702863">
            <w:pPr>
              <w:rPr>
                <w:rFonts w:ascii="Times New Roman" w:hAnsi="Times New Roman"/>
                <w:sz w:val="24"/>
                <w:szCs w:val="24"/>
              </w:rPr>
            </w:pPr>
            <w:r>
              <w:rPr>
                <w:rFonts w:ascii="Times New Roman" w:hAnsi="Times New Roman"/>
                <w:sz w:val="24"/>
                <w:szCs w:val="24"/>
              </w:rPr>
              <w:t>4.2</w:t>
            </w:r>
          </w:p>
        </w:tc>
        <w:tc>
          <w:tcPr>
            <w:tcW w:w="0" w:type="auto"/>
          </w:tcPr>
          <w:p w14:paraId="54C06D55" w14:textId="77777777" w:rsidR="00B01F53" w:rsidRDefault="00702863">
            <w:pPr>
              <w:rPr>
                <w:rFonts w:ascii="Times New Roman" w:hAnsi="Times New Roman"/>
                <w:sz w:val="24"/>
                <w:szCs w:val="24"/>
              </w:rPr>
            </w:pPr>
            <w:r>
              <w:rPr>
                <w:rFonts w:ascii="Times New Roman" w:hAnsi="Times New Roman"/>
                <w:sz w:val="24"/>
                <w:szCs w:val="24"/>
              </w:rPr>
              <w:t>3.5–5.0</w:t>
            </w:r>
          </w:p>
        </w:tc>
        <w:tc>
          <w:tcPr>
            <w:tcW w:w="0" w:type="auto"/>
          </w:tcPr>
          <w:p w14:paraId="752F3F00" w14:textId="77777777" w:rsidR="00B01F53" w:rsidRDefault="00702863">
            <w:pPr>
              <w:rPr>
                <w:rFonts w:ascii="Times New Roman" w:hAnsi="Times New Roman"/>
                <w:sz w:val="24"/>
                <w:szCs w:val="24"/>
              </w:rPr>
            </w:pPr>
            <w:r>
              <w:rPr>
                <w:rFonts w:ascii="Times New Roman" w:hAnsi="Times New Roman"/>
                <w:sz w:val="24"/>
                <w:szCs w:val="24"/>
              </w:rPr>
              <w:t>Normal</w:t>
            </w:r>
          </w:p>
        </w:tc>
      </w:tr>
    </w:tbl>
    <w:p w14:paraId="40803E30" w14:textId="77777777" w:rsidR="00B01F53" w:rsidRDefault="00B01F53"/>
    <w:p w14:paraId="12DE934D" w14:textId="77777777" w:rsidR="00B01F53" w:rsidRDefault="00702863">
      <w:r>
        <w:t xml:space="preserve">Immediate emergency </w:t>
      </w:r>
      <w:r>
        <w:t>interventions were initiated as per standard guidelines:</w:t>
      </w:r>
    </w:p>
    <w:p w14:paraId="7FC5BEF8" w14:textId="77777777" w:rsidR="00B01F53" w:rsidRDefault="00702863">
      <w:r>
        <w:t>•</w:t>
      </w:r>
      <w:r>
        <w:tab/>
        <w:t>Oxygen therapy via face mask to maintain adequate oxygenation</w:t>
      </w:r>
    </w:p>
    <w:p w14:paraId="603C33AB" w14:textId="77777777" w:rsidR="00B01F53" w:rsidRDefault="00702863">
      <w:r>
        <w:t>•</w:t>
      </w:r>
      <w:r>
        <w:tab/>
        <w:t>Intravenous Ringer’s lactate for fluid resuscitation</w:t>
      </w:r>
    </w:p>
    <w:p w14:paraId="0096FF77" w14:textId="77777777" w:rsidR="00B01F53" w:rsidRDefault="00702863">
      <w:r>
        <w:t>•</w:t>
      </w:r>
      <w:r>
        <w:tab/>
        <w:t>Intravenous adrenaline (0.5 mg) for cardiovascular support</w:t>
      </w:r>
    </w:p>
    <w:p w14:paraId="3BD331A0" w14:textId="77777777" w:rsidR="00B01F53" w:rsidRDefault="00702863">
      <w:r>
        <w:t>•</w:t>
      </w:r>
      <w:r>
        <w:tab/>
        <w:t>Intravenous hydro</w:t>
      </w:r>
      <w:r>
        <w:t>cortisone (100 mg) to prevent biphasic reactions</w:t>
      </w:r>
    </w:p>
    <w:p w14:paraId="3023A636" w14:textId="77777777" w:rsidR="00B01F53" w:rsidRDefault="00702863">
      <w:r>
        <w:t>•</w:t>
      </w:r>
      <w:r>
        <w:tab/>
        <w:t>Intravenous pheniramine (Avil, 45 mg) for antihistaminic effect</w:t>
      </w:r>
    </w:p>
    <w:p w14:paraId="62AC37D0" w14:textId="77777777" w:rsidR="00B01F53" w:rsidRDefault="00702863">
      <w:r>
        <w:t>•</w:t>
      </w:r>
      <w:r>
        <w:tab/>
        <w:t xml:space="preserve">Intravenous </w:t>
      </w:r>
      <w:proofErr w:type="spellStart"/>
      <w:r>
        <w:t>deriphylline</w:t>
      </w:r>
      <w:proofErr w:type="spellEnd"/>
      <w:r>
        <w:t xml:space="preserve"> for bronchodilation</w:t>
      </w:r>
    </w:p>
    <w:p w14:paraId="03E60A5F" w14:textId="77777777" w:rsidR="00B01F53" w:rsidRDefault="00B01F53"/>
    <w:p w14:paraId="2B288FE4" w14:textId="77777777" w:rsidR="00B01F53" w:rsidRDefault="00702863">
      <w:r>
        <w:lastRenderedPageBreak/>
        <w:t>The patient responded promptly to the interventions, with normalization of blood pressure, he</w:t>
      </w:r>
      <w:r>
        <w:t>art rate, and resolution of respiratory distress within one hour. Amoxicillin–clavulanate was immediately discontinued, and the reaction was documented in the patient’s medical records. She was counseled regarding avoidance of beta-lactam antibiotics and a</w:t>
      </w:r>
      <w:r>
        <w:t>dvised on emergency preparedness, including the potential use of an epinephrine auto-injector. No further adverse events occurred during her hospital stay.</w:t>
      </w:r>
    </w:p>
    <w:p w14:paraId="4E24EC34" w14:textId="77777777" w:rsidR="00B01F53" w:rsidRDefault="00B01F53"/>
    <w:p w14:paraId="79866094" w14:textId="77777777" w:rsidR="00B01F53" w:rsidRDefault="00702863">
      <w:pPr>
        <w:pStyle w:val="Head1"/>
        <w:spacing w:after="0"/>
        <w:jc w:val="both"/>
        <w:rPr>
          <w:rFonts w:ascii="Arial" w:hAnsi="Arial" w:cs="Arial"/>
        </w:rPr>
      </w:pPr>
      <w:r>
        <w:rPr>
          <w:rFonts w:ascii="Arial" w:hAnsi="Arial" w:cs="Arial"/>
        </w:rPr>
        <w:t>3.  discussion</w:t>
      </w:r>
    </w:p>
    <w:p w14:paraId="3333F7DD" w14:textId="77777777" w:rsidR="00B01F53" w:rsidRDefault="00702863">
      <w:r>
        <w:t>Anaphylaxis due to β-lactam antibiotics remains a major concern in clinical practice</w:t>
      </w:r>
      <w:r>
        <w:t>. Worldwide data show that β-lactams account for a substantial proportion of drug-induced immediate hypersensitivity, ranking as the second most common cause after non-steroidal anti-inflammatory drugs (NSAIDs</w:t>
      </w:r>
      <w:proofErr w:type="gramStart"/>
      <w:r>
        <w:t>) .</w:t>
      </w:r>
      <w:proofErr w:type="gramEnd"/>
      <w:r>
        <w:t xml:space="preserve"> Among β-lactams, amoxicillin is the most fr</w:t>
      </w:r>
      <w:r>
        <w:t xml:space="preserve">equently implicated agent, but increasing evidence indicates that clavulanic acid, when combined with amoxicillin, is itself a significant allergenic </w:t>
      </w:r>
      <w:proofErr w:type="gramStart"/>
      <w:r>
        <w:t>determinant .</w:t>
      </w:r>
      <w:proofErr w:type="gramEnd"/>
      <w:r>
        <w:t xml:space="preserve"> This distinction is clinically important, since some patients may tolerate amoxicillin alone</w:t>
      </w:r>
      <w:r>
        <w:t xml:space="preserve"> while reacting severely to the clavulanic </w:t>
      </w:r>
      <w:proofErr w:type="gramStart"/>
      <w:r>
        <w:t>component.(</w:t>
      </w:r>
      <w:proofErr w:type="gramEnd"/>
      <w:r>
        <w:t xml:space="preserve">2) </w:t>
      </w:r>
    </w:p>
    <w:p w14:paraId="6BB8BAEA" w14:textId="77777777" w:rsidR="00B01F53" w:rsidRDefault="00B01F53">
      <w:pPr>
        <w:rPr>
          <w:b/>
        </w:rPr>
      </w:pPr>
    </w:p>
    <w:p w14:paraId="28E796D9" w14:textId="77777777" w:rsidR="00B01F53" w:rsidRDefault="00702863">
      <w:pPr>
        <w:pStyle w:val="Body"/>
        <w:spacing w:after="0"/>
        <w:rPr>
          <w:rFonts w:ascii="Arial" w:hAnsi="Arial" w:cs="Arial"/>
        </w:rPr>
      </w:pPr>
      <w:r>
        <w:rPr>
          <w:rFonts w:ascii="Arial" w:hAnsi="Arial" w:cs="Arial"/>
        </w:rPr>
        <w:t xml:space="preserve">The mechanism underlying amoxicillin–clavulanate–induced anaphylaxis is primarily </w:t>
      </w:r>
      <w:proofErr w:type="spellStart"/>
      <w:r>
        <w:rPr>
          <w:rFonts w:ascii="Arial" w:hAnsi="Arial" w:cs="Arial"/>
        </w:rPr>
        <w:t>IgE</w:t>
      </w:r>
      <w:proofErr w:type="spellEnd"/>
      <w:r>
        <w:rPr>
          <w:rFonts w:ascii="Arial" w:hAnsi="Arial" w:cs="Arial"/>
        </w:rPr>
        <w:t xml:space="preserve">-mediated. During sensitization, the drug induces the production of specific </w:t>
      </w:r>
      <w:proofErr w:type="spellStart"/>
      <w:r>
        <w:rPr>
          <w:rFonts w:ascii="Arial" w:hAnsi="Arial" w:cs="Arial"/>
        </w:rPr>
        <w:t>IgE</w:t>
      </w:r>
      <w:proofErr w:type="spellEnd"/>
      <w:r>
        <w:rPr>
          <w:rFonts w:ascii="Arial" w:hAnsi="Arial" w:cs="Arial"/>
        </w:rPr>
        <w:t xml:space="preserve"> antibodies, which bind to mast </w:t>
      </w:r>
      <w:r>
        <w:rPr>
          <w:rFonts w:ascii="Arial" w:hAnsi="Arial" w:cs="Arial"/>
        </w:rPr>
        <w:t>cells and basophils. Upon re-exposure, cross-linking of these antibodies triggers the rapid release of histamine and other mediators such as leukotrienes and prostaglandins, resulting in urticaria, bronchospasm, hypotension, and cardiovascular collapse. Ev</w:t>
      </w:r>
      <w:r>
        <w:rPr>
          <w:rFonts w:ascii="Arial" w:hAnsi="Arial" w:cs="Arial"/>
        </w:rPr>
        <w:t xml:space="preserve">idence suggests that mediator release can occur either as a rapid discharge of small vesicles or as a complete release of stored granules, both of which contribute to the severity of the </w:t>
      </w:r>
      <w:proofErr w:type="gramStart"/>
      <w:r>
        <w:rPr>
          <w:rFonts w:ascii="Arial" w:hAnsi="Arial" w:cs="Arial"/>
        </w:rPr>
        <w:t>reaction.(</w:t>
      </w:r>
      <w:proofErr w:type="gramEnd"/>
      <w:r>
        <w:rPr>
          <w:rFonts w:ascii="Arial" w:hAnsi="Arial" w:cs="Arial"/>
        </w:rPr>
        <w:t xml:space="preserve">2) </w:t>
      </w:r>
    </w:p>
    <w:p w14:paraId="5792D5C7" w14:textId="77777777" w:rsidR="00B01F53" w:rsidRDefault="00B01F53">
      <w:pPr>
        <w:pStyle w:val="Body"/>
        <w:spacing w:after="0"/>
        <w:rPr>
          <w:rFonts w:ascii="Arial" w:hAnsi="Arial" w:cs="Arial"/>
        </w:rPr>
      </w:pPr>
    </w:p>
    <w:p w14:paraId="3720100E" w14:textId="77777777" w:rsidR="00B01F53" w:rsidRDefault="00702863">
      <w:pPr>
        <w:pStyle w:val="Body"/>
        <w:spacing w:after="0"/>
        <w:rPr>
          <w:rFonts w:ascii="Arial" w:hAnsi="Arial" w:cs="Arial"/>
        </w:rPr>
      </w:pPr>
      <w:r>
        <w:rPr>
          <w:rFonts w:ascii="Arial" w:hAnsi="Arial" w:cs="Arial"/>
        </w:rPr>
        <w:t>To establish causality, the Naranjo Adverse Drug React</w:t>
      </w:r>
      <w:r>
        <w:rPr>
          <w:rFonts w:ascii="Arial" w:hAnsi="Arial" w:cs="Arial"/>
        </w:rPr>
        <w:t>ion Probability Scale was applied (Table 2). The total score was 7, indicating a probable adverse drug reaction due to amoxicillin–</w:t>
      </w:r>
      <w:proofErr w:type="gramStart"/>
      <w:r>
        <w:rPr>
          <w:rFonts w:ascii="Arial" w:hAnsi="Arial" w:cs="Arial"/>
        </w:rPr>
        <w:t>clavulanate(</w:t>
      </w:r>
      <w:proofErr w:type="gramEnd"/>
      <w:r>
        <w:rPr>
          <w:rFonts w:ascii="Arial" w:hAnsi="Arial" w:cs="Arial"/>
        </w:rPr>
        <w:t xml:space="preserve">4). </w:t>
      </w:r>
    </w:p>
    <w:p w14:paraId="6414BDFA" w14:textId="77777777" w:rsidR="00B01F53" w:rsidRDefault="00B01F53">
      <w:pPr>
        <w:pStyle w:val="Body"/>
        <w:spacing w:after="0"/>
        <w:rPr>
          <w:rFonts w:ascii="Arial" w:hAnsi="Arial" w:cs="Arial"/>
        </w:rPr>
      </w:pPr>
    </w:p>
    <w:p w14:paraId="0AC9184F" w14:textId="77777777" w:rsidR="00B01F53" w:rsidRDefault="00702863">
      <w:pPr>
        <w:pStyle w:val="Caption"/>
        <w:keepNext/>
        <w:jc w:val="center"/>
        <w:rPr>
          <w:sz w:val="22"/>
          <w:szCs w:val="22"/>
        </w:rPr>
      </w:pPr>
      <w:r>
        <w:rPr>
          <w:sz w:val="22"/>
          <w:szCs w:val="22"/>
        </w:rPr>
        <w:t xml:space="preserve">Table </w:t>
      </w:r>
      <w:r>
        <w:rPr>
          <w:sz w:val="22"/>
          <w:szCs w:val="22"/>
        </w:rPr>
        <w:fldChar w:fldCharType="begin"/>
      </w:r>
      <w:r>
        <w:rPr>
          <w:sz w:val="22"/>
          <w:szCs w:val="22"/>
        </w:rPr>
        <w:instrText xml:space="preserve"> SEQ Table \* ARABIC </w:instrText>
      </w:r>
      <w:r>
        <w:rPr>
          <w:sz w:val="22"/>
          <w:szCs w:val="22"/>
        </w:rPr>
        <w:fldChar w:fldCharType="separate"/>
      </w:r>
      <w:r>
        <w:rPr>
          <w:sz w:val="22"/>
          <w:szCs w:val="22"/>
        </w:rPr>
        <w:t>2</w:t>
      </w:r>
      <w:r>
        <w:rPr>
          <w:sz w:val="22"/>
          <w:szCs w:val="22"/>
        </w:rPr>
        <w:fldChar w:fldCharType="end"/>
      </w:r>
      <w:r>
        <w:rPr>
          <w:sz w:val="22"/>
          <w:szCs w:val="22"/>
        </w:rPr>
        <w:t xml:space="preserve"> Naranjo Adverse Drug Reaction Probability Scale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6936"/>
        <w:gridCol w:w="3317"/>
        <w:gridCol w:w="557"/>
      </w:tblGrid>
      <w:tr w:rsidR="00B01F53" w14:paraId="437336AA" w14:textId="77777777">
        <w:tc>
          <w:tcPr>
            <w:tcW w:w="0" w:type="auto"/>
          </w:tcPr>
          <w:p w14:paraId="5FB6452C" w14:textId="77777777" w:rsidR="00B01F53" w:rsidRDefault="00702863">
            <w:pPr>
              <w:jc w:val="center"/>
              <w:rPr>
                <w:rFonts w:ascii="Times New Roman" w:hAnsi="Times New Roman"/>
                <w:sz w:val="24"/>
                <w:szCs w:val="24"/>
              </w:rPr>
            </w:pPr>
            <w:r>
              <w:rPr>
                <w:rFonts w:ascii="Times New Roman" w:hAnsi="Times New Roman"/>
                <w:sz w:val="24"/>
                <w:szCs w:val="24"/>
              </w:rPr>
              <w:t>Question</w:t>
            </w:r>
          </w:p>
        </w:tc>
        <w:tc>
          <w:tcPr>
            <w:tcW w:w="0" w:type="auto"/>
          </w:tcPr>
          <w:p w14:paraId="6E8884D8" w14:textId="77777777" w:rsidR="00B01F53" w:rsidRDefault="00702863">
            <w:pPr>
              <w:jc w:val="center"/>
              <w:rPr>
                <w:rFonts w:ascii="Times New Roman" w:hAnsi="Times New Roman"/>
                <w:sz w:val="24"/>
                <w:szCs w:val="24"/>
              </w:rPr>
            </w:pPr>
            <w:r>
              <w:rPr>
                <w:rFonts w:ascii="Times New Roman" w:hAnsi="Times New Roman"/>
                <w:sz w:val="24"/>
                <w:szCs w:val="24"/>
              </w:rPr>
              <w:t>Response</w:t>
            </w:r>
          </w:p>
        </w:tc>
        <w:tc>
          <w:tcPr>
            <w:tcW w:w="0" w:type="auto"/>
          </w:tcPr>
          <w:p w14:paraId="065D46D6" w14:textId="77777777" w:rsidR="00B01F53" w:rsidRDefault="00702863">
            <w:pPr>
              <w:jc w:val="center"/>
              <w:rPr>
                <w:rFonts w:ascii="Times New Roman" w:hAnsi="Times New Roman"/>
                <w:sz w:val="24"/>
                <w:szCs w:val="24"/>
              </w:rPr>
            </w:pPr>
            <w:r>
              <w:rPr>
                <w:rFonts w:ascii="Times New Roman" w:hAnsi="Times New Roman"/>
                <w:sz w:val="24"/>
                <w:szCs w:val="24"/>
              </w:rPr>
              <w:t>Score</w:t>
            </w:r>
          </w:p>
        </w:tc>
      </w:tr>
      <w:tr w:rsidR="00B01F53" w14:paraId="7EE35A89" w14:textId="77777777">
        <w:tc>
          <w:tcPr>
            <w:tcW w:w="0" w:type="auto"/>
            <w:shd w:val="clear" w:color="auto" w:fill="F2F2F2"/>
          </w:tcPr>
          <w:p w14:paraId="3604F711" w14:textId="77777777" w:rsidR="00B01F53" w:rsidRDefault="00702863">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 xml:space="preserve"> Are there previous conclusive reports on this reaction?</w:t>
            </w:r>
          </w:p>
        </w:tc>
        <w:tc>
          <w:tcPr>
            <w:tcW w:w="0" w:type="auto"/>
            <w:shd w:val="clear" w:color="auto" w:fill="F2F2F2"/>
          </w:tcPr>
          <w:p w14:paraId="778722CF" w14:textId="77777777" w:rsidR="00B01F53" w:rsidRDefault="00702863">
            <w:pPr>
              <w:rPr>
                <w:rFonts w:ascii="Times New Roman" w:hAnsi="Times New Roman"/>
                <w:sz w:val="24"/>
                <w:szCs w:val="24"/>
              </w:rPr>
            </w:pPr>
            <w:r>
              <w:rPr>
                <w:rFonts w:ascii="Times New Roman" w:hAnsi="Times New Roman"/>
                <w:sz w:val="24"/>
                <w:szCs w:val="24"/>
              </w:rPr>
              <w:t>Yes</w:t>
            </w:r>
          </w:p>
        </w:tc>
        <w:tc>
          <w:tcPr>
            <w:tcW w:w="0" w:type="auto"/>
            <w:shd w:val="clear" w:color="auto" w:fill="F2F2F2"/>
          </w:tcPr>
          <w:p w14:paraId="164F6506" w14:textId="77777777" w:rsidR="00B01F53" w:rsidRDefault="00702863">
            <w:pPr>
              <w:rPr>
                <w:rFonts w:ascii="Times New Roman" w:hAnsi="Times New Roman"/>
                <w:sz w:val="24"/>
                <w:szCs w:val="24"/>
              </w:rPr>
            </w:pPr>
            <w:r>
              <w:rPr>
                <w:rFonts w:ascii="Times New Roman" w:hAnsi="Times New Roman"/>
                <w:sz w:val="24"/>
                <w:szCs w:val="24"/>
              </w:rPr>
              <w:t>+1</w:t>
            </w:r>
          </w:p>
        </w:tc>
      </w:tr>
      <w:tr w:rsidR="00B01F53" w14:paraId="6DAFE7BB" w14:textId="77777777">
        <w:tc>
          <w:tcPr>
            <w:tcW w:w="0" w:type="auto"/>
          </w:tcPr>
          <w:p w14:paraId="73154549" w14:textId="77777777" w:rsidR="00B01F53" w:rsidRDefault="00702863">
            <w:pPr>
              <w:rPr>
                <w:rFonts w:ascii="Times New Roman" w:hAnsi="Times New Roman"/>
                <w:sz w:val="24"/>
                <w:szCs w:val="24"/>
              </w:rPr>
            </w:pPr>
            <w:r>
              <w:rPr>
                <w:rFonts w:ascii="Times New Roman" w:hAnsi="Times New Roman"/>
                <w:sz w:val="24"/>
                <w:szCs w:val="24"/>
              </w:rPr>
              <w:t>2. Did the adverse event appear after the suspected drug was administered?</w:t>
            </w:r>
          </w:p>
        </w:tc>
        <w:tc>
          <w:tcPr>
            <w:tcW w:w="0" w:type="auto"/>
          </w:tcPr>
          <w:p w14:paraId="120FE3C1" w14:textId="77777777" w:rsidR="00B01F53" w:rsidRDefault="00702863">
            <w:pPr>
              <w:rPr>
                <w:rFonts w:ascii="Times New Roman" w:hAnsi="Times New Roman"/>
                <w:sz w:val="24"/>
                <w:szCs w:val="24"/>
              </w:rPr>
            </w:pPr>
            <w:r>
              <w:rPr>
                <w:rFonts w:ascii="Times New Roman" w:hAnsi="Times New Roman"/>
                <w:sz w:val="24"/>
                <w:szCs w:val="24"/>
              </w:rPr>
              <w:t>Yes</w:t>
            </w:r>
          </w:p>
        </w:tc>
        <w:tc>
          <w:tcPr>
            <w:tcW w:w="0" w:type="auto"/>
          </w:tcPr>
          <w:p w14:paraId="06A11BB0" w14:textId="77777777" w:rsidR="00B01F53" w:rsidRDefault="00702863">
            <w:pPr>
              <w:rPr>
                <w:rFonts w:ascii="Times New Roman" w:hAnsi="Times New Roman"/>
                <w:sz w:val="24"/>
                <w:szCs w:val="24"/>
              </w:rPr>
            </w:pPr>
            <w:r>
              <w:rPr>
                <w:rFonts w:ascii="Times New Roman" w:hAnsi="Times New Roman"/>
                <w:sz w:val="24"/>
                <w:szCs w:val="24"/>
              </w:rPr>
              <w:t>+2</w:t>
            </w:r>
          </w:p>
        </w:tc>
      </w:tr>
      <w:tr w:rsidR="00B01F53" w14:paraId="2826F254" w14:textId="77777777">
        <w:tc>
          <w:tcPr>
            <w:tcW w:w="0" w:type="auto"/>
            <w:shd w:val="clear" w:color="auto" w:fill="F2F2F2"/>
          </w:tcPr>
          <w:p w14:paraId="1059E500" w14:textId="77777777" w:rsidR="00B01F53" w:rsidRDefault="00702863">
            <w:pPr>
              <w:rPr>
                <w:rFonts w:ascii="Times New Roman" w:hAnsi="Times New Roman"/>
                <w:sz w:val="24"/>
                <w:szCs w:val="24"/>
              </w:rPr>
            </w:pPr>
            <w:r>
              <w:rPr>
                <w:rFonts w:ascii="Times New Roman" w:hAnsi="Times New Roman"/>
                <w:sz w:val="24"/>
                <w:szCs w:val="24"/>
              </w:rPr>
              <w:t xml:space="preserve">3. Did the adverse reaction improve when the drug was discontinued or a specific antagonist was </w:t>
            </w:r>
            <w:r>
              <w:rPr>
                <w:rFonts w:ascii="Times New Roman" w:hAnsi="Times New Roman"/>
                <w:sz w:val="24"/>
                <w:szCs w:val="24"/>
              </w:rPr>
              <w:t>administered?</w:t>
            </w:r>
          </w:p>
        </w:tc>
        <w:tc>
          <w:tcPr>
            <w:tcW w:w="0" w:type="auto"/>
            <w:shd w:val="clear" w:color="auto" w:fill="F2F2F2"/>
          </w:tcPr>
          <w:p w14:paraId="63B2F269" w14:textId="77777777" w:rsidR="00B01F53" w:rsidRDefault="00702863">
            <w:pPr>
              <w:rPr>
                <w:rFonts w:ascii="Times New Roman" w:hAnsi="Times New Roman"/>
                <w:sz w:val="24"/>
                <w:szCs w:val="24"/>
              </w:rPr>
            </w:pPr>
            <w:r>
              <w:rPr>
                <w:rFonts w:ascii="Times New Roman" w:hAnsi="Times New Roman"/>
                <w:sz w:val="24"/>
                <w:szCs w:val="24"/>
              </w:rPr>
              <w:t>Yes</w:t>
            </w:r>
          </w:p>
        </w:tc>
        <w:tc>
          <w:tcPr>
            <w:tcW w:w="0" w:type="auto"/>
            <w:shd w:val="clear" w:color="auto" w:fill="F2F2F2"/>
          </w:tcPr>
          <w:p w14:paraId="630A95F0" w14:textId="77777777" w:rsidR="00B01F53" w:rsidRDefault="00702863">
            <w:pPr>
              <w:rPr>
                <w:rFonts w:ascii="Times New Roman" w:hAnsi="Times New Roman"/>
                <w:sz w:val="24"/>
                <w:szCs w:val="24"/>
              </w:rPr>
            </w:pPr>
            <w:r>
              <w:rPr>
                <w:rFonts w:ascii="Times New Roman" w:hAnsi="Times New Roman"/>
                <w:sz w:val="24"/>
                <w:szCs w:val="24"/>
              </w:rPr>
              <w:t>+1</w:t>
            </w:r>
          </w:p>
        </w:tc>
      </w:tr>
      <w:tr w:rsidR="00B01F53" w14:paraId="1A66F4C3" w14:textId="77777777">
        <w:tc>
          <w:tcPr>
            <w:tcW w:w="0" w:type="auto"/>
          </w:tcPr>
          <w:p w14:paraId="792B47B2" w14:textId="77777777" w:rsidR="00B01F53" w:rsidRDefault="00702863">
            <w:pPr>
              <w:rPr>
                <w:rFonts w:ascii="Times New Roman" w:hAnsi="Times New Roman"/>
                <w:sz w:val="24"/>
                <w:szCs w:val="24"/>
              </w:rPr>
            </w:pPr>
            <w:r>
              <w:rPr>
                <w:rFonts w:ascii="Times New Roman" w:hAnsi="Times New Roman"/>
                <w:sz w:val="24"/>
                <w:szCs w:val="24"/>
              </w:rPr>
              <w:t>4. Did the adverse reaction reappear when the drug was re-administered?</w:t>
            </w:r>
          </w:p>
        </w:tc>
        <w:tc>
          <w:tcPr>
            <w:tcW w:w="0" w:type="auto"/>
          </w:tcPr>
          <w:p w14:paraId="0C6A66F0" w14:textId="77777777" w:rsidR="00B01F53" w:rsidRDefault="00702863">
            <w:pPr>
              <w:rPr>
                <w:rFonts w:ascii="Times New Roman" w:hAnsi="Times New Roman"/>
                <w:sz w:val="24"/>
                <w:szCs w:val="24"/>
              </w:rPr>
            </w:pPr>
            <w:r>
              <w:rPr>
                <w:rFonts w:ascii="Times New Roman" w:hAnsi="Times New Roman"/>
                <w:sz w:val="24"/>
                <w:szCs w:val="24"/>
              </w:rPr>
              <w:t>Not applicable</w:t>
            </w:r>
          </w:p>
        </w:tc>
        <w:tc>
          <w:tcPr>
            <w:tcW w:w="0" w:type="auto"/>
          </w:tcPr>
          <w:p w14:paraId="68FBAE9F" w14:textId="77777777" w:rsidR="00B01F53" w:rsidRDefault="00702863">
            <w:pPr>
              <w:rPr>
                <w:rFonts w:ascii="Times New Roman" w:hAnsi="Times New Roman"/>
                <w:sz w:val="24"/>
                <w:szCs w:val="24"/>
              </w:rPr>
            </w:pPr>
            <w:r>
              <w:rPr>
                <w:rFonts w:ascii="Times New Roman" w:hAnsi="Times New Roman"/>
                <w:sz w:val="24"/>
                <w:szCs w:val="24"/>
              </w:rPr>
              <w:t>0</w:t>
            </w:r>
          </w:p>
        </w:tc>
      </w:tr>
      <w:tr w:rsidR="00B01F53" w14:paraId="320D7CBE" w14:textId="77777777">
        <w:tc>
          <w:tcPr>
            <w:tcW w:w="0" w:type="auto"/>
            <w:shd w:val="clear" w:color="auto" w:fill="F2F2F2"/>
          </w:tcPr>
          <w:p w14:paraId="7AC89F00" w14:textId="77777777" w:rsidR="00B01F53" w:rsidRDefault="00702863">
            <w:pPr>
              <w:rPr>
                <w:rFonts w:ascii="Times New Roman" w:hAnsi="Times New Roman"/>
                <w:sz w:val="24"/>
                <w:szCs w:val="24"/>
              </w:rPr>
            </w:pPr>
            <w:r>
              <w:rPr>
                <w:rFonts w:ascii="Times New Roman" w:hAnsi="Times New Roman"/>
                <w:sz w:val="24"/>
                <w:szCs w:val="24"/>
              </w:rPr>
              <w:t>5. Are there alternative causes that could have caused the reaction?</w:t>
            </w:r>
          </w:p>
        </w:tc>
        <w:tc>
          <w:tcPr>
            <w:tcW w:w="0" w:type="auto"/>
            <w:shd w:val="clear" w:color="auto" w:fill="F2F2F2"/>
          </w:tcPr>
          <w:p w14:paraId="7D88ABBF" w14:textId="77777777" w:rsidR="00B01F53" w:rsidRDefault="00702863">
            <w:pPr>
              <w:rPr>
                <w:rFonts w:ascii="Times New Roman" w:hAnsi="Times New Roman"/>
                <w:sz w:val="24"/>
                <w:szCs w:val="24"/>
              </w:rPr>
            </w:pPr>
            <w:r>
              <w:rPr>
                <w:rFonts w:ascii="Times New Roman" w:hAnsi="Times New Roman"/>
                <w:sz w:val="24"/>
                <w:szCs w:val="24"/>
              </w:rPr>
              <w:t>No</w:t>
            </w:r>
          </w:p>
        </w:tc>
        <w:tc>
          <w:tcPr>
            <w:tcW w:w="0" w:type="auto"/>
            <w:shd w:val="clear" w:color="auto" w:fill="F2F2F2"/>
          </w:tcPr>
          <w:p w14:paraId="7F31BC30" w14:textId="77777777" w:rsidR="00B01F53" w:rsidRDefault="00702863">
            <w:pPr>
              <w:rPr>
                <w:rFonts w:ascii="Times New Roman" w:hAnsi="Times New Roman"/>
                <w:sz w:val="24"/>
                <w:szCs w:val="24"/>
              </w:rPr>
            </w:pPr>
            <w:r>
              <w:rPr>
                <w:rFonts w:ascii="Times New Roman" w:hAnsi="Times New Roman"/>
                <w:sz w:val="24"/>
                <w:szCs w:val="24"/>
              </w:rPr>
              <w:t>+2</w:t>
            </w:r>
          </w:p>
        </w:tc>
      </w:tr>
      <w:tr w:rsidR="00B01F53" w14:paraId="0527155E" w14:textId="77777777">
        <w:tc>
          <w:tcPr>
            <w:tcW w:w="0" w:type="auto"/>
          </w:tcPr>
          <w:p w14:paraId="4A774FE0" w14:textId="77777777" w:rsidR="00B01F53" w:rsidRDefault="00702863">
            <w:pPr>
              <w:rPr>
                <w:rFonts w:ascii="Times New Roman" w:hAnsi="Times New Roman"/>
                <w:sz w:val="24"/>
                <w:szCs w:val="24"/>
              </w:rPr>
            </w:pPr>
            <w:r>
              <w:rPr>
                <w:rFonts w:ascii="Times New Roman" w:hAnsi="Times New Roman"/>
                <w:sz w:val="24"/>
                <w:szCs w:val="24"/>
              </w:rPr>
              <w:t>6. Did the reaction reappear when a placebo was given?</w:t>
            </w:r>
          </w:p>
        </w:tc>
        <w:tc>
          <w:tcPr>
            <w:tcW w:w="0" w:type="auto"/>
          </w:tcPr>
          <w:p w14:paraId="5E402FD2" w14:textId="77777777" w:rsidR="00B01F53" w:rsidRDefault="00702863">
            <w:pPr>
              <w:rPr>
                <w:rFonts w:ascii="Times New Roman" w:hAnsi="Times New Roman"/>
                <w:sz w:val="24"/>
                <w:szCs w:val="24"/>
              </w:rPr>
            </w:pPr>
            <w:r>
              <w:rPr>
                <w:rFonts w:ascii="Times New Roman" w:hAnsi="Times New Roman"/>
                <w:sz w:val="24"/>
                <w:szCs w:val="24"/>
              </w:rPr>
              <w:t xml:space="preserve">Not </w:t>
            </w:r>
            <w:r>
              <w:rPr>
                <w:rFonts w:ascii="Times New Roman" w:hAnsi="Times New Roman"/>
                <w:sz w:val="24"/>
                <w:szCs w:val="24"/>
              </w:rPr>
              <w:t>applicable</w:t>
            </w:r>
          </w:p>
        </w:tc>
        <w:tc>
          <w:tcPr>
            <w:tcW w:w="0" w:type="auto"/>
          </w:tcPr>
          <w:p w14:paraId="5F777742" w14:textId="77777777" w:rsidR="00B01F53" w:rsidRDefault="00702863">
            <w:pPr>
              <w:rPr>
                <w:rFonts w:ascii="Times New Roman" w:hAnsi="Times New Roman"/>
                <w:sz w:val="24"/>
                <w:szCs w:val="24"/>
              </w:rPr>
            </w:pPr>
            <w:r>
              <w:rPr>
                <w:rFonts w:ascii="Times New Roman" w:hAnsi="Times New Roman"/>
                <w:sz w:val="24"/>
                <w:szCs w:val="24"/>
              </w:rPr>
              <w:t>0</w:t>
            </w:r>
          </w:p>
        </w:tc>
      </w:tr>
      <w:tr w:rsidR="00B01F53" w14:paraId="7B420FFC" w14:textId="77777777">
        <w:tc>
          <w:tcPr>
            <w:tcW w:w="0" w:type="auto"/>
            <w:shd w:val="clear" w:color="auto" w:fill="F2F2F2"/>
          </w:tcPr>
          <w:p w14:paraId="476B6A53" w14:textId="77777777" w:rsidR="00B01F53" w:rsidRDefault="00702863">
            <w:pPr>
              <w:rPr>
                <w:rFonts w:ascii="Times New Roman" w:hAnsi="Times New Roman"/>
                <w:sz w:val="24"/>
                <w:szCs w:val="24"/>
              </w:rPr>
            </w:pPr>
            <w:r>
              <w:rPr>
                <w:rFonts w:ascii="Times New Roman" w:hAnsi="Times New Roman"/>
                <w:sz w:val="24"/>
                <w:szCs w:val="24"/>
              </w:rPr>
              <w:t>7. Was the drug detected in any body fluid in toxic concentrations?</w:t>
            </w:r>
          </w:p>
        </w:tc>
        <w:tc>
          <w:tcPr>
            <w:tcW w:w="0" w:type="auto"/>
            <w:shd w:val="clear" w:color="auto" w:fill="F2F2F2"/>
          </w:tcPr>
          <w:p w14:paraId="7EDACE50" w14:textId="77777777" w:rsidR="00B01F53" w:rsidRDefault="00702863">
            <w:pPr>
              <w:rPr>
                <w:rFonts w:ascii="Times New Roman" w:hAnsi="Times New Roman"/>
                <w:sz w:val="24"/>
                <w:szCs w:val="24"/>
              </w:rPr>
            </w:pPr>
            <w:r>
              <w:rPr>
                <w:rFonts w:ascii="Times New Roman" w:hAnsi="Times New Roman"/>
                <w:sz w:val="24"/>
                <w:szCs w:val="24"/>
              </w:rPr>
              <w:t>Not applicable</w:t>
            </w:r>
          </w:p>
        </w:tc>
        <w:tc>
          <w:tcPr>
            <w:tcW w:w="0" w:type="auto"/>
            <w:shd w:val="clear" w:color="auto" w:fill="F2F2F2"/>
          </w:tcPr>
          <w:p w14:paraId="2B29BCF0" w14:textId="77777777" w:rsidR="00B01F53" w:rsidRDefault="00702863">
            <w:pPr>
              <w:rPr>
                <w:rFonts w:ascii="Times New Roman" w:hAnsi="Times New Roman"/>
                <w:sz w:val="24"/>
                <w:szCs w:val="24"/>
              </w:rPr>
            </w:pPr>
            <w:r>
              <w:rPr>
                <w:rFonts w:ascii="Times New Roman" w:hAnsi="Times New Roman"/>
                <w:sz w:val="24"/>
                <w:szCs w:val="24"/>
              </w:rPr>
              <w:t>0</w:t>
            </w:r>
          </w:p>
        </w:tc>
      </w:tr>
      <w:tr w:rsidR="00B01F53" w14:paraId="26097036" w14:textId="77777777">
        <w:tc>
          <w:tcPr>
            <w:tcW w:w="0" w:type="auto"/>
          </w:tcPr>
          <w:p w14:paraId="306C3DB8" w14:textId="77777777" w:rsidR="00B01F53" w:rsidRDefault="00702863">
            <w:pPr>
              <w:rPr>
                <w:rFonts w:ascii="Times New Roman" w:hAnsi="Times New Roman"/>
                <w:sz w:val="24"/>
                <w:szCs w:val="24"/>
              </w:rPr>
            </w:pPr>
            <w:r>
              <w:rPr>
                <w:rFonts w:ascii="Times New Roman" w:hAnsi="Times New Roman"/>
                <w:sz w:val="24"/>
                <w:szCs w:val="24"/>
              </w:rPr>
              <w:t>8. Was the reaction more severe when the dose was increased, or less severe when the dose was decreased?</w:t>
            </w:r>
          </w:p>
        </w:tc>
        <w:tc>
          <w:tcPr>
            <w:tcW w:w="0" w:type="auto"/>
          </w:tcPr>
          <w:p w14:paraId="43888965" w14:textId="77777777" w:rsidR="00B01F53" w:rsidRDefault="00702863">
            <w:pPr>
              <w:rPr>
                <w:rFonts w:ascii="Times New Roman" w:hAnsi="Times New Roman"/>
                <w:sz w:val="24"/>
                <w:szCs w:val="24"/>
              </w:rPr>
            </w:pPr>
            <w:r>
              <w:rPr>
                <w:rFonts w:ascii="Times New Roman" w:hAnsi="Times New Roman"/>
                <w:sz w:val="24"/>
                <w:szCs w:val="24"/>
              </w:rPr>
              <w:t>Not applicable</w:t>
            </w:r>
          </w:p>
        </w:tc>
        <w:tc>
          <w:tcPr>
            <w:tcW w:w="0" w:type="auto"/>
          </w:tcPr>
          <w:p w14:paraId="680BC174" w14:textId="77777777" w:rsidR="00B01F53" w:rsidRDefault="00702863">
            <w:pPr>
              <w:rPr>
                <w:rFonts w:ascii="Times New Roman" w:hAnsi="Times New Roman"/>
                <w:sz w:val="24"/>
                <w:szCs w:val="24"/>
              </w:rPr>
            </w:pPr>
            <w:r>
              <w:rPr>
                <w:rFonts w:ascii="Times New Roman" w:hAnsi="Times New Roman"/>
                <w:sz w:val="24"/>
                <w:szCs w:val="24"/>
              </w:rPr>
              <w:t>0</w:t>
            </w:r>
          </w:p>
        </w:tc>
      </w:tr>
      <w:tr w:rsidR="00B01F53" w14:paraId="1C67BD28" w14:textId="77777777">
        <w:tc>
          <w:tcPr>
            <w:tcW w:w="0" w:type="auto"/>
            <w:shd w:val="clear" w:color="auto" w:fill="F2F2F2"/>
          </w:tcPr>
          <w:p w14:paraId="53227EC3" w14:textId="77777777" w:rsidR="00B01F53" w:rsidRDefault="00702863">
            <w:pPr>
              <w:rPr>
                <w:rFonts w:ascii="Times New Roman" w:hAnsi="Times New Roman"/>
                <w:sz w:val="24"/>
                <w:szCs w:val="24"/>
              </w:rPr>
            </w:pPr>
            <w:r>
              <w:rPr>
                <w:rFonts w:ascii="Times New Roman" w:hAnsi="Times New Roman"/>
                <w:sz w:val="24"/>
                <w:szCs w:val="24"/>
              </w:rPr>
              <w:t>9. Did the patient have a similar</w:t>
            </w:r>
            <w:r>
              <w:rPr>
                <w:rFonts w:ascii="Times New Roman" w:hAnsi="Times New Roman"/>
                <w:sz w:val="24"/>
                <w:szCs w:val="24"/>
              </w:rPr>
              <w:t xml:space="preserve"> reaction to the same or similar drugs in any previous exposure?</w:t>
            </w:r>
          </w:p>
        </w:tc>
        <w:tc>
          <w:tcPr>
            <w:tcW w:w="0" w:type="auto"/>
            <w:shd w:val="clear" w:color="auto" w:fill="F2F2F2"/>
          </w:tcPr>
          <w:p w14:paraId="6D65F30D" w14:textId="77777777" w:rsidR="00B01F53" w:rsidRDefault="00702863">
            <w:pPr>
              <w:rPr>
                <w:rFonts w:ascii="Times New Roman" w:hAnsi="Times New Roman"/>
                <w:sz w:val="24"/>
                <w:szCs w:val="24"/>
              </w:rPr>
            </w:pPr>
            <w:r>
              <w:rPr>
                <w:rFonts w:ascii="Times New Roman" w:hAnsi="Times New Roman"/>
                <w:sz w:val="24"/>
                <w:szCs w:val="24"/>
              </w:rPr>
              <w:t>No</w:t>
            </w:r>
          </w:p>
        </w:tc>
        <w:tc>
          <w:tcPr>
            <w:tcW w:w="0" w:type="auto"/>
            <w:shd w:val="clear" w:color="auto" w:fill="F2F2F2"/>
          </w:tcPr>
          <w:p w14:paraId="7B2A2F5B" w14:textId="77777777" w:rsidR="00B01F53" w:rsidRDefault="00702863">
            <w:pPr>
              <w:rPr>
                <w:rFonts w:ascii="Times New Roman" w:hAnsi="Times New Roman"/>
                <w:sz w:val="24"/>
                <w:szCs w:val="24"/>
              </w:rPr>
            </w:pPr>
            <w:r>
              <w:rPr>
                <w:rFonts w:ascii="Times New Roman" w:hAnsi="Times New Roman"/>
                <w:sz w:val="24"/>
                <w:szCs w:val="24"/>
              </w:rPr>
              <w:t>0</w:t>
            </w:r>
          </w:p>
        </w:tc>
      </w:tr>
      <w:tr w:rsidR="00B01F53" w14:paraId="224EC68D" w14:textId="77777777">
        <w:tc>
          <w:tcPr>
            <w:tcW w:w="0" w:type="auto"/>
          </w:tcPr>
          <w:p w14:paraId="52D06E30" w14:textId="77777777" w:rsidR="00B01F53" w:rsidRDefault="00702863">
            <w:pPr>
              <w:rPr>
                <w:rFonts w:ascii="Times New Roman" w:hAnsi="Times New Roman"/>
                <w:sz w:val="24"/>
                <w:szCs w:val="24"/>
              </w:rPr>
            </w:pPr>
            <w:r>
              <w:rPr>
                <w:rFonts w:ascii="Times New Roman" w:hAnsi="Times New Roman"/>
                <w:sz w:val="24"/>
                <w:szCs w:val="24"/>
              </w:rPr>
              <w:t>10. Was the adverse event confirmed by any objective evidence?</w:t>
            </w:r>
          </w:p>
        </w:tc>
        <w:tc>
          <w:tcPr>
            <w:tcW w:w="0" w:type="auto"/>
          </w:tcPr>
          <w:p w14:paraId="21200C4B" w14:textId="77777777" w:rsidR="00B01F53" w:rsidRDefault="00702863">
            <w:pPr>
              <w:rPr>
                <w:rFonts w:ascii="Times New Roman" w:hAnsi="Times New Roman"/>
                <w:sz w:val="24"/>
                <w:szCs w:val="24"/>
              </w:rPr>
            </w:pPr>
            <w:r>
              <w:rPr>
                <w:rFonts w:ascii="Times New Roman" w:hAnsi="Times New Roman"/>
                <w:sz w:val="24"/>
                <w:szCs w:val="24"/>
              </w:rPr>
              <w:t>Yes (clinical signs and rapid response to treatment)</w:t>
            </w:r>
          </w:p>
        </w:tc>
        <w:tc>
          <w:tcPr>
            <w:tcW w:w="0" w:type="auto"/>
          </w:tcPr>
          <w:p w14:paraId="65845F74" w14:textId="77777777" w:rsidR="00B01F53" w:rsidRDefault="00702863">
            <w:pPr>
              <w:rPr>
                <w:rFonts w:ascii="Times New Roman" w:hAnsi="Times New Roman"/>
                <w:sz w:val="24"/>
                <w:szCs w:val="24"/>
              </w:rPr>
            </w:pPr>
            <w:r>
              <w:rPr>
                <w:rFonts w:ascii="Times New Roman" w:hAnsi="Times New Roman"/>
                <w:sz w:val="24"/>
                <w:szCs w:val="24"/>
              </w:rPr>
              <w:t>+1</w:t>
            </w:r>
          </w:p>
        </w:tc>
      </w:tr>
    </w:tbl>
    <w:p w14:paraId="4323C7CB" w14:textId="77777777" w:rsidR="00B01F53" w:rsidRDefault="00B01F53">
      <w:pPr>
        <w:pStyle w:val="Body"/>
        <w:spacing w:after="0"/>
        <w:rPr>
          <w:rFonts w:ascii="Arial" w:hAnsi="Arial" w:cs="Arial"/>
        </w:rPr>
      </w:pPr>
    </w:p>
    <w:p w14:paraId="4EB495E8" w14:textId="77777777" w:rsidR="00B01F53" w:rsidRDefault="00B01F53">
      <w:pPr>
        <w:pStyle w:val="Body"/>
        <w:spacing w:after="0"/>
        <w:rPr>
          <w:rFonts w:ascii="Arial" w:hAnsi="Arial" w:cs="Arial"/>
        </w:rPr>
      </w:pPr>
    </w:p>
    <w:p w14:paraId="00E7B2FC" w14:textId="77777777" w:rsidR="00B01F53" w:rsidRDefault="00B01F53">
      <w:pPr>
        <w:pStyle w:val="Body"/>
        <w:spacing w:after="0"/>
        <w:rPr>
          <w:rFonts w:ascii="Arial" w:hAnsi="Arial" w:cs="Arial"/>
        </w:rPr>
      </w:pPr>
    </w:p>
    <w:p w14:paraId="53CA2EE2" w14:textId="77777777" w:rsidR="00B01F53" w:rsidRDefault="00702863">
      <w:pPr>
        <w:pStyle w:val="Body"/>
        <w:spacing w:after="0"/>
        <w:rPr>
          <w:rFonts w:ascii="Arial" w:hAnsi="Arial" w:cs="Arial"/>
        </w:rPr>
      </w:pPr>
      <w:r>
        <w:rPr>
          <w:rFonts w:ascii="Arial" w:hAnsi="Arial" w:cs="Arial"/>
        </w:rPr>
        <w:t>Recent pharmacogenomic evidence has expanded our understanding of susceptibility to β-lactam hypersensitivity. A genome-wide association study identified HLA-DRB1*10:01 and related alleles as potential genetic risk factors for immediate hypersensitivity to</w:t>
      </w:r>
      <w:r>
        <w:rPr>
          <w:rFonts w:ascii="Arial" w:hAnsi="Arial" w:cs="Arial"/>
        </w:rPr>
        <w:t xml:space="preserve"> </w:t>
      </w:r>
      <w:proofErr w:type="spellStart"/>
      <w:r>
        <w:rPr>
          <w:rFonts w:ascii="Arial" w:hAnsi="Arial" w:cs="Arial"/>
        </w:rPr>
        <w:t>penicillins</w:t>
      </w:r>
      <w:proofErr w:type="spellEnd"/>
      <w:r>
        <w:rPr>
          <w:rFonts w:ascii="Arial" w:hAnsi="Arial" w:cs="Arial"/>
        </w:rPr>
        <w:t xml:space="preserve"> (5). Such findings suggest that host factors may partially explain why only a subset of patients develop life-threatening reactions despite widespread antibiotic use. </w:t>
      </w:r>
    </w:p>
    <w:p w14:paraId="0E757CEE" w14:textId="77777777" w:rsidR="00B01F53" w:rsidRDefault="00B01F53">
      <w:pPr>
        <w:pStyle w:val="Body"/>
        <w:spacing w:after="0"/>
        <w:rPr>
          <w:rFonts w:ascii="Arial" w:hAnsi="Arial" w:cs="Arial"/>
        </w:rPr>
      </w:pPr>
    </w:p>
    <w:p w14:paraId="4C4679D2" w14:textId="77777777" w:rsidR="00B01F53" w:rsidRDefault="00702863">
      <w:pPr>
        <w:pStyle w:val="Body"/>
        <w:spacing w:after="0"/>
        <w:rPr>
          <w:rFonts w:ascii="Arial" w:hAnsi="Arial" w:cs="Arial"/>
        </w:rPr>
      </w:pPr>
      <w:r>
        <w:rPr>
          <w:rFonts w:ascii="Arial" w:hAnsi="Arial" w:cs="Arial"/>
        </w:rPr>
        <w:t>The management in this case—prompt administration of adrenaline, intraveno</w:t>
      </w:r>
      <w:r>
        <w:rPr>
          <w:rFonts w:ascii="Arial" w:hAnsi="Arial" w:cs="Arial"/>
        </w:rPr>
        <w:t>us fluids, antihistamines, corticosteroids, and bronchodilators—was consistent with international guideline recommendations (6). Epinephrine remains the first-line therapy and should be administered without delay, as early treatment is associated with redu</w:t>
      </w:r>
      <w:r>
        <w:rPr>
          <w:rFonts w:ascii="Arial" w:hAnsi="Arial" w:cs="Arial"/>
        </w:rPr>
        <w:t>ced morbidity and mortality.</w:t>
      </w:r>
    </w:p>
    <w:p w14:paraId="46BC5271" w14:textId="77777777" w:rsidR="00B01F53" w:rsidRDefault="00B01F53">
      <w:pPr>
        <w:pStyle w:val="Body"/>
        <w:spacing w:after="0"/>
        <w:rPr>
          <w:rFonts w:ascii="Arial" w:hAnsi="Arial" w:cs="Arial"/>
        </w:rPr>
      </w:pPr>
    </w:p>
    <w:p w14:paraId="41B39B22" w14:textId="77777777" w:rsidR="00B01F53" w:rsidRDefault="00702863">
      <w:pPr>
        <w:pStyle w:val="Body"/>
        <w:spacing w:after="0"/>
        <w:rPr>
          <w:rFonts w:ascii="Arial" w:hAnsi="Arial" w:cs="Arial"/>
        </w:rPr>
      </w:pPr>
      <w:r>
        <w:rPr>
          <w:rFonts w:ascii="Arial" w:hAnsi="Arial" w:cs="Arial"/>
        </w:rPr>
        <w:lastRenderedPageBreak/>
        <w:t xml:space="preserve">A key aspect of care involves documentation and counselling. </w:t>
      </w:r>
      <w:proofErr w:type="spellStart"/>
      <w:r>
        <w:rPr>
          <w:rFonts w:ascii="Arial" w:hAnsi="Arial" w:cs="Arial"/>
        </w:rPr>
        <w:t>Mislabelled</w:t>
      </w:r>
      <w:proofErr w:type="spellEnd"/>
      <w:r>
        <w:rPr>
          <w:rFonts w:ascii="Arial" w:hAnsi="Arial" w:cs="Arial"/>
        </w:rPr>
        <w:t xml:space="preserve"> “penicillin allergy” is a well-documented problem, leading to the unnecessary use of broad-spectrum alternatives, longer hospital stays, and higher antim</w:t>
      </w:r>
      <w:r>
        <w:rPr>
          <w:rFonts w:ascii="Arial" w:hAnsi="Arial" w:cs="Arial"/>
        </w:rPr>
        <w:t xml:space="preserve">icrobial resistance rates. Where feasible, patients with severe reactions should be referred for allergy evaluation—including skin testing and, if appropriate, graded provocation tests—to clarify whether the culprit is amoxicillin, clavulanic acid, or the </w:t>
      </w:r>
      <w:r>
        <w:rPr>
          <w:rFonts w:ascii="Arial" w:hAnsi="Arial" w:cs="Arial"/>
        </w:rPr>
        <w:t>combination (7). This approach not only improves patient safety but also supports antimicrobial stewardship efforts by enabling the safe use of narrower β-lactam antibiotics when appropriate.</w:t>
      </w:r>
    </w:p>
    <w:p w14:paraId="22533847" w14:textId="77777777" w:rsidR="00B01F53" w:rsidRDefault="00B01F53">
      <w:pPr>
        <w:pStyle w:val="Body"/>
        <w:spacing w:after="0"/>
        <w:rPr>
          <w:rFonts w:ascii="Arial" w:hAnsi="Arial" w:cs="Arial"/>
        </w:rPr>
      </w:pPr>
    </w:p>
    <w:p w14:paraId="6DA2B5DC" w14:textId="77777777" w:rsidR="00B01F53" w:rsidRDefault="00702863">
      <w:pPr>
        <w:pStyle w:val="Body"/>
        <w:spacing w:after="0"/>
        <w:rPr>
          <w:rFonts w:ascii="Arial" w:hAnsi="Arial" w:cs="Arial"/>
        </w:rPr>
      </w:pPr>
      <w:r>
        <w:rPr>
          <w:rFonts w:ascii="Arial" w:hAnsi="Arial" w:cs="Arial"/>
        </w:rPr>
        <w:t>Several case reports, including fatal events, have been publish</w:t>
      </w:r>
      <w:r>
        <w:rPr>
          <w:rFonts w:ascii="Arial" w:hAnsi="Arial" w:cs="Arial"/>
        </w:rPr>
        <w:t>ed on amoxicillin–clavulanate-induced anaphylaxis, underlining its clinical significance (8,9). The present case reinforces the need for heightened awareness among clinicians prescribing this commonly used antibiotic. Three key lessons emerge: (</w:t>
      </w:r>
      <w:proofErr w:type="spellStart"/>
      <w:r>
        <w:rPr>
          <w:rFonts w:ascii="Arial" w:hAnsi="Arial" w:cs="Arial"/>
        </w:rPr>
        <w:t>i</w:t>
      </w:r>
      <w:proofErr w:type="spellEnd"/>
      <w:r>
        <w:rPr>
          <w:rFonts w:ascii="Arial" w:hAnsi="Arial" w:cs="Arial"/>
        </w:rPr>
        <w:t>) anaphyla</w:t>
      </w:r>
      <w:r>
        <w:rPr>
          <w:rFonts w:ascii="Arial" w:hAnsi="Arial" w:cs="Arial"/>
        </w:rPr>
        <w:t>xis can occur even in patients without prior allergy history, (ii) immediate guideline-based management is lifesaving, and (iii) structured documentation and follow-up allergy assessment are essential to prevent recurrence and guide future therapy</w:t>
      </w:r>
    </w:p>
    <w:p w14:paraId="1627B05C" w14:textId="77777777" w:rsidR="00B01F53" w:rsidRDefault="00B01F53">
      <w:pPr>
        <w:pStyle w:val="Body"/>
        <w:spacing w:after="0"/>
        <w:rPr>
          <w:rFonts w:ascii="Arial" w:hAnsi="Arial" w:cs="Arial"/>
        </w:rPr>
      </w:pPr>
    </w:p>
    <w:p w14:paraId="0BA58195" w14:textId="77777777" w:rsidR="00B01F53" w:rsidRDefault="00702863">
      <w:pPr>
        <w:pStyle w:val="ConcHead"/>
        <w:spacing w:after="0"/>
        <w:jc w:val="both"/>
        <w:rPr>
          <w:rFonts w:ascii="Arial" w:hAnsi="Arial" w:cs="Arial"/>
        </w:rPr>
      </w:pPr>
      <w:r>
        <w:rPr>
          <w:rFonts w:ascii="Arial" w:hAnsi="Arial" w:cs="Arial"/>
        </w:rPr>
        <w:t>4. Conc</w:t>
      </w:r>
      <w:r>
        <w:rPr>
          <w:rFonts w:ascii="Arial" w:hAnsi="Arial" w:cs="Arial"/>
        </w:rPr>
        <w:t>lusion</w:t>
      </w:r>
    </w:p>
    <w:p w14:paraId="6768E188" w14:textId="77777777" w:rsidR="00B01F53" w:rsidRDefault="00B01F53">
      <w:pPr>
        <w:pStyle w:val="ConcHead"/>
        <w:spacing w:after="0"/>
        <w:jc w:val="both"/>
        <w:rPr>
          <w:rFonts w:ascii="Arial" w:hAnsi="Arial" w:cs="Arial"/>
        </w:rPr>
      </w:pPr>
    </w:p>
    <w:p w14:paraId="3DA10549" w14:textId="77777777" w:rsidR="00B01F53" w:rsidRDefault="00702863">
      <w:pPr>
        <w:pStyle w:val="Body"/>
        <w:spacing w:after="0"/>
        <w:rPr>
          <w:rFonts w:ascii="Arial" w:hAnsi="Arial" w:cs="Arial"/>
        </w:rPr>
      </w:pPr>
      <w:r>
        <w:rPr>
          <w:rFonts w:ascii="Arial" w:hAnsi="Arial" w:cs="Arial"/>
        </w:rPr>
        <w:t>This case highlights the occurrence of probable anaphylactic shock following administration of amoxicillin–clavulanate in a 60-year-old female. Prompt recognition and immediate management with adrenaline, intravenous fluids, antihistamines, cortico</w:t>
      </w:r>
      <w:r>
        <w:rPr>
          <w:rFonts w:ascii="Arial" w:hAnsi="Arial" w:cs="Arial"/>
        </w:rPr>
        <w:t>steroids, and oxygen led to rapid stabilization. The Naranjo Adverse Drug Reaction Probability Scale indicated a probable causality, underscoring the importance of systematic assessment of suspected adverse drug reactions. Clinicians should be aware of cla</w:t>
      </w:r>
      <w:r>
        <w:rPr>
          <w:rFonts w:ascii="Arial" w:hAnsi="Arial" w:cs="Arial"/>
        </w:rPr>
        <w:t>vulanic acid as a potential allergen, counsel patients regarding avoidance of β-lactam antibiotics, and ensure proper documentation to prevent recurrence.</w:t>
      </w:r>
    </w:p>
    <w:p w14:paraId="6554840E" w14:textId="77777777" w:rsidR="00B01F53" w:rsidRDefault="00B01F53">
      <w:pPr>
        <w:pStyle w:val="Body"/>
        <w:spacing w:after="0"/>
        <w:rPr>
          <w:rFonts w:ascii="Arial" w:hAnsi="Arial" w:cs="Arial"/>
        </w:rPr>
      </w:pPr>
    </w:p>
    <w:p w14:paraId="19D21F2D" w14:textId="77777777" w:rsidR="00B01F53" w:rsidRDefault="00B01F53">
      <w:pPr>
        <w:pStyle w:val="ReferHead"/>
        <w:spacing w:after="0"/>
        <w:jc w:val="both"/>
        <w:rPr>
          <w:rFonts w:ascii="Arial" w:hAnsi="Arial" w:cs="Arial"/>
          <w:b w:val="0"/>
          <w:caps w:val="0"/>
          <w:sz w:val="20"/>
          <w:u w:val="single"/>
        </w:rPr>
      </w:pPr>
    </w:p>
    <w:p w14:paraId="2D02C755" w14:textId="77777777" w:rsidR="00B01F53" w:rsidRDefault="00B01F53">
      <w:pPr>
        <w:pStyle w:val="ReferHead"/>
        <w:spacing w:after="0"/>
        <w:jc w:val="both"/>
        <w:rPr>
          <w:rFonts w:ascii="Arial" w:hAnsi="Arial" w:cs="Arial"/>
          <w:b w:val="0"/>
          <w:caps w:val="0"/>
          <w:sz w:val="20"/>
        </w:rPr>
      </w:pPr>
    </w:p>
    <w:p w14:paraId="5EA5D461" w14:textId="77777777" w:rsidR="00B01F53" w:rsidRDefault="00702863">
      <w:pPr>
        <w:pStyle w:val="ReferHead"/>
        <w:spacing w:after="0"/>
        <w:jc w:val="both"/>
        <w:rPr>
          <w:rFonts w:ascii="Arial" w:hAnsi="Arial" w:cs="Arial"/>
          <w:bCs/>
        </w:rPr>
      </w:pPr>
      <w:r>
        <w:rPr>
          <w:rFonts w:ascii="Arial" w:hAnsi="Arial" w:cs="Arial"/>
          <w:bCs/>
        </w:rPr>
        <w:t xml:space="preserve">Consent </w:t>
      </w:r>
    </w:p>
    <w:p w14:paraId="1AD1788A" w14:textId="77777777" w:rsidR="00B01F53" w:rsidRDefault="00B01F53">
      <w:pPr>
        <w:pStyle w:val="ReferHead"/>
        <w:spacing w:after="0"/>
        <w:jc w:val="both"/>
        <w:rPr>
          <w:rFonts w:ascii="Arial" w:hAnsi="Arial" w:cs="Arial"/>
          <w:bCs/>
        </w:rPr>
      </w:pPr>
    </w:p>
    <w:p w14:paraId="7109FDCD" w14:textId="77777777" w:rsidR="00B01F53" w:rsidRDefault="00702863">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for publication of this ca</w:t>
      </w:r>
      <w:r>
        <w:rPr>
          <w:rFonts w:ascii="Arial" w:hAnsi="Arial" w:cs="Arial"/>
          <w:b w:val="0"/>
          <w:caps w:val="0"/>
          <w:sz w:val="20"/>
        </w:rPr>
        <w:t>se report. The patient has given permission for the use of clinical details and any accompanying images. A copy of the written consent is available for review by the Editorial Office or Chief Editor upon request.</w:t>
      </w:r>
    </w:p>
    <w:p w14:paraId="275AA01A" w14:textId="77777777" w:rsidR="00B01F53" w:rsidRDefault="00B01F53">
      <w:pPr>
        <w:pStyle w:val="ReferHead"/>
        <w:spacing w:after="0"/>
        <w:jc w:val="both"/>
        <w:rPr>
          <w:rFonts w:ascii="Arial" w:hAnsi="Arial" w:cs="Arial"/>
          <w:b w:val="0"/>
          <w:caps w:val="0"/>
          <w:sz w:val="20"/>
        </w:rPr>
      </w:pPr>
    </w:p>
    <w:p w14:paraId="5ABCDE62" w14:textId="77777777" w:rsidR="00B01F53" w:rsidRDefault="00702863">
      <w:pPr>
        <w:pStyle w:val="ReferHead"/>
        <w:spacing w:after="0"/>
        <w:jc w:val="both"/>
        <w:rPr>
          <w:rFonts w:ascii="Arial" w:hAnsi="Arial" w:cs="Arial"/>
          <w:bCs/>
        </w:rPr>
      </w:pPr>
      <w:r>
        <w:rPr>
          <w:rFonts w:ascii="Arial" w:hAnsi="Arial" w:cs="Arial"/>
          <w:bCs/>
        </w:rPr>
        <w:t xml:space="preserve">Ethical approval </w:t>
      </w:r>
    </w:p>
    <w:p w14:paraId="1AAC46BF" w14:textId="77777777" w:rsidR="00B01F53" w:rsidRDefault="00B01F53">
      <w:pPr>
        <w:pStyle w:val="ReferHead"/>
        <w:spacing w:after="0"/>
        <w:jc w:val="both"/>
        <w:rPr>
          <w:rFonts w:ascii="Arial" w:hAnsi="Arial" w:cs="Arial"/>
          <w:bCs/>
        </w:rPr>
      </w:pPr>
    </w:p>
    <w:p w14:paraId="5E22CB80" w14:textId="77777777" w:rsidR="00B01F53" w:rsidRDefault="00702863">
      <w:r>
        <w:t>As this is a single cas</w:t>
      </w:r>
      <w:r>
        <w:t>e report, formal ethical committee approval was not required. Written informed consent was obtained from the patient for publication of clinical details, and all measures were taken to ensure patient confidentiality and anonymity.</w:t>
      </w:r>
    </w:p>
    <w:p w14:paraId="77E5DD97" w14:textId="77777777" w:rsidR="00B01F53" w:rsidRDefault="00B01F53">
      <w:pPr>
        <w:rPr>
          <w:b/>
          <w:bCs/>
        </w:rPr>
      </w:pPr>
    </w:p>
    <w:p w14:paraId="4872DFDE" w14:textId="77777777" w:rsidR="00B01F53" w:rsidRDefault="00702863">
      <w:pPr>
        <w:pStyle w:val="ReferHead"/>
        <w:spacing w:after="0"/>
        <w:jc w:val="both"/>
        <w:rPr>
          <w:rFonts w:ascii="Arial" w:hAnsi="Arial" w:cs="Arial"/>
        </w:rPr>
      </w:pPr>
      <w:r>
        <w:rPr>
          <w:rFonts w:ascii="Arial" w:hAnsi="Arial" w:cs="Arial"/>
        </w:rPr>
        <w:t>References</w:t>
      </w:r>
    </w:p>
    <w:p w14:paraId="7A0324C8" w14:textId="77777777" w:rsidR="00B01F53" w:rsidRDefault="00702863">
      <w:pPr>
        <w:pStyle w:val="ListParagraph1"/>
        <w:numPr>
          <w:ilvl w:val="0"/>
          <w:numId w:val="2"/>
        </w:numPr>
        <w:rPr>
          <w:b/>
        </w:rPr>
      </w:pPr>
      <w:r>
        <w:rPr>
          <w:bCs/>
        </w:rPr>
        <w:t xml:space="preserve">Torres-Rojas I, Pérez-Alzate D, Somoza ML, Pfeifer AP, Diaz EH, Jimenez-Rodriguez TW, Sánchez JF, Ruano FJ, Blanca M, Blanca-López N. Clavulanic Acid Is a Leading Culprit Beta-Lactam in Immediate Allergic Reactions to </w:t>
      </w:r>
      <w:proofErr w:type="spellStart"/>
      <w:r>
        <w:rPr>
          <w:bCs/>
        </w:rPr>
        <w:t>Penicillins</w:t>
      </w:r>
      <w:proofErr w:type="spellEnd"/>
      <w:r>
        <w:rPr>
          <w:bCs/>
        </w:rPr>
        <w:t>. Allergy Asthma Immunol Re</w:t>
      </w:r>
      <w:r>
        <w:rPr>
          <w:bCs/>
        </w:rPr>
        <w:t xml:space="preserve">s. 2023 Mar;15(2):201-213. </w:t>
      </w:r>
      <w:proofErr w:type="spellStart"/>
      <w:r>
        <w:rPr>
          <w:bCs/>
        </w:rPr>
        <w:t>doi</w:t>
      </w:r>
      <w:proofErr w:type="spellEnd"/>
      <w:r>
        <w:rPr>
          <w:bCs/>
        </w:rPr>
        <w:t>: 10.4168/aair.2023.15.2.201. PMID: 37021506; PMCID: PMC10079519</w:t>
      </w:r>
      <w:r>
        <w:rPr>
          <w:b/>
        </w:rPr>
        <w:t>.</w:t>
      </w:r>
    </w:p>
    <w:p w14:paraId="65A70464" w14:textId="77777777" w:rsidR="00B01F53" w:rsidRDefault="00702863">
      <w:pPr>
        <w:pStyle w:val="ListParagraph1"/>
        <w:numPr>
          <w:ilvl w:val="0"/>
          <w:numId w:val="2"/>
        </w:numPr>
        <w:rPr>
          <w:b/>
        </w:rPr>
      </w:pPr>
      <w:r>
        <w:t xml:space="preserve">Montañez MI, Mayorga C, Bogas G, Barrionuevo E, Fernandez-Santamaria R, Martin-Serrano A, Laguna JJ, Torres MJ, Fernandez TD, Doña I. Epidemiology, Mechanisms, </w:t>
      </w:r>
      <w:r>
        <w:t xml:space="preserve">and Diagnosis of Drug-Induced Anaphylaxis. Front Immunol. 2017 May </w:t>
      </w:r>
      <w:proofErr w:type="gramStart"/>
      <w:r>
        <w:t>29;8:614</w:t>
      </w:r>
      <w:proofErr w:type="gramEnd"/>
      <w:r>
        <w:t xml:space="preserve">. </w:t>
      </w:r>
      <w:proofErr w:type="spellStart"/>
      <w:r>
        <w:t>doi</w:t>
      </w:r>
      <w:proofErr w:type="spellEnd"/>
      <w:r>
        <w:t>: 10.3389/fimmu.2017.00614. PMID: 28611774; PMCID: PMC5446992.</w:t>
      </w:r>
    </w:p>
    <w:p w14:paraId="5360545B" w14:textId="77777777" w:rsidR="00B01F53" w:rsidRDefault="00702863">
      <w:pPr>
        <w:pStyle w:val="ListParagraph1"/>
        <w:numPr>
          <w:ilvl w:val="0"/>
          <w:numId w:val="2"/>
        </w:numPr>
        <w:rPr>
          <w:b/>
        </w:rPr>
      </w:pPr>
      <w:r>
        <w:rPr>
          <w:bCs/>
        </w:rPr>
        <w:t>Weisser C, Ben-Shoshan M. Immediate and non-immediate allergic reactions to amoxicillin present a diagnostic dile</w:t>
      </w:r>
      <w:r>
        <w:rPr>
          <w:bCs/>
        </w:rPr>
        <w:t xml:space="preserve">mma: a case series. J Med Case Rep. 2016 Jan </w:t>
      </w:r>
      <w:proofErr w:type="gramStart"/>
      <w:r>
        <w:rPr>
          <w:bCs/>
        </w:rPr>
        <w:t>18;10:10</w:t>
      </w:r>
      <w:proofErr w:type="gramEnd"/>
      <w:r>
        <w:rPr>
          <w:bCs/>
        </w:rPr>
        <w:t xml:space="preserve">. </w:t>
      </w:r>
      <w:proofErr w:type="spellStart"/>
      <w:r>
        <w:rPr>
          <w:bCs/>
        </w:rPr>
        <w:t>doi</w:t>
      </w:r>
      <w:proofErr w:type="spellEnd"/>
      <w:r>
        <w:rPr>
          <w:bCs/>
        </w:rPr>
        <w:t>: 10.1186/s13256-016-0801-2. PMID: 26781593; PMCID: PMC4717649</w:t>
      </w:r>
      <w:r>
        <w:rPr>
          <w:b/>
        </w:rPr>
        <w:t>.</w:t>
      </w:r>
    </w:p>
    <w:p w14:paraId="319113B5" w14:textId="77777777" w:rsidR="00B01F53" w:rsidRDefault="00702863">
      <w:pPr>
        <w:pStyle w:val="ListParagraph1"/>
        <w:numPr>
          <w:ilvl w:val="0"/>
          <w:numId w:val="2"/>
        </w:numPr>
        <w:rPr>
          <w:b/>
        </w:rPr>
      </w:pPr>
      <w:r>
        <w:rPr>
          <w:bCs/>
        </w:rPr>
        <w:t>Naranjo CA, Busto U, Sellers EM, Sandor P, Ruiz I, Roberts EA, Janecek E, Domecq C, Greenblatt DJ. A method for estimating the probabi</w:t>
      </w:r>
      <w:r>
        <w:rPr>
          <w:bCs/>
        </w:rPr>
        <w:t xml:space="preserve">lity of adverse drug reactions. Clin </w:t>
      </w:r>
      <w:proofErr w:type="spellStart"/>
      <w:r>
        <w:rPr>
          <w:bCs/>
        </w:rPr>
        <w:t>Pharmacol</w:t>
      </w:r>
      <w:proofErr w:type="spellEnd"/>
      <w:r>
        <w:rPr>
          <w:bCs/>
        </w:rPr>
        <w:t xml:space="preserve"> </w:t>
      </w:r>
      <w:proofErr w:type="spellStart"/>
      <w:r>
        <w:rPr>
          <w:bCs/>
        </w:rPr>
        <w:t>Ther</w:t>
      </w:r>
      <w:proofErr w:type="spellEnd"/>
      <w:r>
        <w:rPr>
          <w:bCs/>
        </w:rPr>
        <w:t>. 1981 Aug;30(2):239–45. doi:10.1038/clpt.1981.154</w:t>
      </w:r>
      <w:r>
        <w:rPr>
          <w:b/>
        </w:rPr>
        <w:t>.</w:t>
      </w:r>
    </w:p>
    <w:p w14:paraId="25ADC8C5" w14:textId="77777777" w:rsidR="00B01F53" w:rsidRDefault="00702863">
      <w:pPr>
        <w:pStyle w:val="ListParagraph1"/>
        <w:numPr>
          <w:ilvl w:val="0"/>
          <w:numId w:val="2"/>
        </w:numPr>
        <w:rPr>
          <w:bCs/>
        </w:rPr>
      </w:pPr>
      <w:r>
        <w:rPr>
          <w:bCs/>
        </w:rPr>
        <w:t>Nicoletti P, Carr DF, Barrett S, et al. Beta-lactam-induced immediate hypersensitivity reactions: A genome-wide association study. J Allergy Clin Immunol</w:t>
      </w:r>
      <w:r>
        <w:rPr>
          <w:bCs/>
        </w:rPr>
        <w:t xml:space="preserve">. 2021;147(5):1830-1837.e15. </w:t>
      </w:r>
      <w:proofErr w:type="gramStart"/>
      <w:r>
        <w:rPr>
          <w:bCs/>
        </w:rPr>
        <w:t>doi:10.1016/j.jaci</w:t>
      </w:r>
      <w:proofErr w:type="gramEnd"/>
      <w:r>
        <w:rPr>
          <w:bCs/>
        </w:rPr>
        <w:t>.2020.10.004</w:t>
      </w:r>
    </w:p>
    <w:p w14:paraId="16FBE205" w14:textId="77777777" w:rsidR="00B01F53" w:rsidRDefault="00702863">
      <w:pPr>
        <w:pStyle w:val="ListParagraph1"/>
        <w:numPr>
          <w:ilvl w:val="0"/>
          <w:numId w:val="2"/>
        </w:numPr>
        <w:rPr>
          <w:bCs/>
        </w:rPr>
      </w:pPr>
      <w:r>
        <w:rPr>
          <w:bCs/>
        </w:rPr>
        <w:t xml:space="preserve">Cardona V, </w:t>
      </w:r>
      <w:proofErr w:type="spellStart"/>
      <w:r>
        <w:rPr>
          <w:bCs/>
        </w:rPr>
        <w:t>Ansotegui</w:t>
      </w:r>
      <w:proofErr w:type="spellEnd"/>
      <w:r>
        <w:rPr>
          <w:bCs/>
        </w:rPr>
        <w:t xml:space="preserve"> IJ, </w:t>
      </w:r>
      <w:proofErr w:type="spellStart"/>
      <w:r>
        <w:rPr>
          <w:bCs/>
        </w:rPr>
        <w:t>Ebisawa</w:t>
      </w:r>
      <w:proofErr w:type="spellEnd"/>
      <w:r>
        <w:rPr>
          <w:bCs/>
        </w:rPr>
        <w:t xml:space="preserve"> M, et al. World Allergy Organization anaphylaxis guidance 2020. World Allergy Organ J. 2020;13(10):100472. </w:t>
      </w:r>
      <w:proofErr w:type="gramStart"/>
      <w:r>
        <w:rPr>
          <w:bCs/>
        </w:rPr>
        <w:t>doi:10.1016/j.waojou</w:t>
      </w:r>
      <w:proofErr w:type="gramEnd"/>
      <w:r>
        <w:rPr>
          <w:bCs/>
        </w:rPr>
        <w:t>.2020.100472.</w:t>
      </w:r>
    </w:p>
    <w:p w14:paraId="581A92FC" w14:textId="77777777" w:rsidR="00B01F53" w:rsidRDefault="00702863">
      <w:pPr>
        <w:pStyle w:val="ListParagraph1"/>
        <w:numPr>
          <w:ilvl w:val="0"/>
          <w:numId w:val="2"/>
        </w:numPr>
        <w:rPr>
          <w:bCs/>
        </w:rPr>
      </w:pPr>
      <w:r>
        <w:rPr>
          <w:bCs/>
        </w:rPr>
        <w:t>Sunagawa SW, Hirota K,</w:t>
      </w:r>
      <w:r>
        <w:rPr>
          <w:bCs/>
        </w:rPr>
        <w:t xml:space="preserve"> Saito M, et al. Implementation of a beta-lactam graded challenge process in inpatients: Supporting antimicrobial stewardship. Front Allergy. </w:t>
      </w:r>
      <w:proofErr w:type="gramStart"/>
      <w:r>
        <w:rPr>
          <w:bCs/>
        </w:rPr>
        <w:t>2023;4:1161683</w:t>
      </w:r>
      <w:proofErr w:type="gramEnd"/>
      <w:r>
        <w:rPr>
          <w:bCs/>
        </w:rPr>
        <w:t>. doi:10.3389/falgy.2023.1161683.</w:t>
      </w:r>
    </w:p>
    <w:p w14:paraId="0E85BE18" w14:textId="77777777" w:rsidR="00B01F53" w:rsidRDefault="00702863">
      <w:pPr>
        <w:pStyle w:val="ListParagraph1"/>
        <w:numPr>
          <w:ilvl w:val="0"/>
          <w:numId w:val="2"/>
        </w:numPr>
        <w:rPr>
          <w:bCs/>
        </w:rPr>
      </w:pPr>
      <w:proofErr w:type="spellStart"/>
      <w:r>
        <w:rPr>
          <w:bCs/>
        </w:rPr>
        <w:t>Ralapanawa</w:t>
      </w:r>
      <w:proofErr w:type="spellEnd"/>
      <w:r>
        <w:rPr>
          <w:bCs/>
        </w:rPr>
        <w:t xml:space="preserve">, </w:t>
      </w:r>
      <w:proofErr w:type="spellStart"/>
      <w:r>
        <w:rPr>
          <w:bCs/>
        </w:rPr>
        <w:t>Udaya&amp;Kularatne</w:t>
      </w:r>
      <w:proofErr w:type="spellEnd"/>
      <w:r>
        <w:rPr>
          <w:bCs/>
        </w:rPr>
        <w:t xml:space="preserve">, Senanayake. (2015). </w:t>
      </w:r>
      <w:proofErr w:type="spellStart"/>
      <w:r>
        <w:rPr>
          <w:bCs/>
        </w:rPr>
        <w:t>Kounis</w:t>
      </w:r>
      <w:proofErr w:type="spellEnd"/>
      <w:r>
        <w:rPr>
          <w:bCs/>
        </w:rPr>
        <w:t xml:space="preserve"> syndrome s</w:t>
      </w:r>
      <w:r>
        <w:rPr>
          <w:bCs/>
        </w:rPr>
        <w:t>econdary to amoxicillin/clavulanic acid administration: A case report and review of literature Case Reports. BMC Research Notes. 8. 10.1186/s13104-015-1072-5.</w:t>
      </w:r>
    </w:p>
    <w:p w14:paraId="3BDA4B74" w14:textId="77777777" w:rsidR="00B01F53" w:rsidRDefault="00702863">
      <w:pPr>
        <w:pStyle w:val="ListParagraph1"/>
        <w:numPr>
          <w:ilvl w:val="0"/>
          <w:numId w:val="2"/>
        </w:numPr>
        <w:rPr>
          <w:bCs/>
        </w:rPr>
      </w:pPr>
      <w:r>
        <w:rPr>
          <w:bCs/>
        </w:rPr>
        <w:lastRenderedPageBreak/>
        <w:t>Conlon NP, Edgar JDM. Fatal anaphylaxis to intravenous co-amoxiclav: a case series. Int J Case Re</w:t>
      </w:r>
      <w:r>
        <w:rPr>
          <w:bCs/>
        </w:rPr>
        <w:t>p Images. 2013;4(4):190-193.</w:t>
      </w:r>
    </w:p>
    <w:sectPr w:rsidR="00B01F53">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F1DC" w14:textId="77777777" w:rsidR="00702863" w:rsidRDefault="00702863">
      <w:r>
        <w:separator/>
      </w:r>
    </w:p>
  </w:endnote>
  <w:endnote w:type="continuationSeparator" w:id="0">
    <w:p w14:paraId="0DF82954" w14:textId="77777777" w:rsidR="00702863" w:rsidRDefault="0070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xi Sans">
    <w:altName w:val="Calibri"/>
    <w:charset w:val="00"/>
    <w:family w:val="auto"/>
    <w:pitch w:val="variable"/>
  </w:font>
  <w:font w:name="OPPO black body">
    <w:altName w:val="Droid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C155" w14:textId="77777777" w:rsidR="00A5639E" w:rsidRDefault="00A56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1FC4" w14:textId="77777777" w:rsidR="00A5639E" w:rsidRDefault="00A5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4B9D1" w14:textId="75F8604E" w:rsidR="00B01F53" w:rsidRPr="00A5639E" w:rsidRDefault="00B01F53" w:rsidP="00A5639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D9682" w14:textId="77777777" w:rsidR="00B01F53" w:rsidRDefault="00B01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F5D3C" w14:textId="77777777" w:rsidR="00702863" w:rsidRDefault="00702863">
      <w:r>
        <w:separator/>
      </w:r>
    </w:p>
  </w:footnote>
  <w:footnote w:type="continuationSeparator" w:id="0">
    <w:p w14:paraId="4A3920A4" w14:textId="77777777" w:rsidR="00702863" w:rsidRDefault="00702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247C7" w14:textId="1DB33BE1" w:rsidR="00A5639E" w:rsidRDefault="00A5639E">
    <w:pPr>
      <w:pStyle w:val="Header"/>
    </w:pPr>
    <w:r>
      <w:rPr>
        <w:noProof/>
      </w:rPr>
      <w:pict w14:anchorId="7BCDB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20F4C" w14:textId="7C56C47A" w:rsidR="00A5639E" w:rsidRDefault="00A5639E">
    <w:pPr>
      <w:pStyle w:val="Header"/>
    </w:pPr>
    <w:r>
      <w:rPr>
        <w:noProof/>
      </w:rPr>
      <w:pict w14:anchorId="55997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B10F" w14:textId="47500F58" w:rsidR="00B01F53" w:rsidRDefault="00A5639E">
    <w:pPr>
      <w:ind w:left="2160"/>
      <w:jc w:val="center"/>
      <w:rPr>
        <w:rFonts w:ascii="Times New Roman" w:eastAsia="Calibri" w:hAnsi="Times New Roman"/>
        <w:i/>
        <w:sz w:val="18"/>
        <w:szCs w:val="22"/>
      </w:rPr>
    </w:pPr>
    <w:r>
      <w:rPr>
        <w:noProof/>
      </w:rPr>
      <w:pict w14:anchorId="1A584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0351C3" w14:textId="77777777" w:rsidR="00B01F53" w:rsidRDefault="0070286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26459FD" w14:textId="77777777" w:rsidR="00B01F53" w:rsidRDefault="00702863">
    <w:pPr>
      <w:jc w:val="center"/>
      <w:rPr>
        <w:rFonts w:ascii="Times New Roman" w:eastAsia="Calibri" w:hAnsi="Times New Roman"/>
        <w:i/>
        <w:sz w:val="18"/>
        <w:szCs w:val="22"/>
      </w:rPr>
    </w:pPr>
    <w:r>
      <w:rPr>
        <w:rFonts w:ascii="Times New Roman" w:eastAsia="Calibri" w:hAnsi="Times New Roman"/>
        <w:i/>
        <w:sz w:val="18"/>
        <w:szCs w:val="22"/>
      </w:rPr>
      <w:t>.</w:t>
    </w:r>
  </w:p>
  <w:p w14:paraId="6EDD28EE" w14:textId="77777777" w:rsidR="00B01F53" w:rsidRDefault="0070286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578337D" w14:textId="77777777" w:rsidR="00B01F53" w:rsidRDefault="0070286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F5C1428" w14:textId="77777777" w:rsidR="00B01F53" w:rsidRDefault="0070286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7E22E3" w14:textId="77777777" w:rsidR="00B01F53" w:rsidRDefault="0070286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CFDC3" w14:textId="69976322" w:rsidR="00A5639E" w:rsidRDefault="00A5639E">
    <w:pPr>
      <w:pStyle w:val="Header"/>
    </w:pPr>
    <w:r>
      <w:rPr>
        <w:noProof/>
      </w:rPr>
      <w:pict w14:anchorId="521779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4C00" w14:textId="4CEAD5F6" w:rsidR="00A5639E" w:rsidRDefault="00A5639E">
    <w:pPr>
      <w:pStyle w:val="Header"/>
    </w:pPr>
    <w:r>
      <w:rPr>
        <w:noProof/>
      </w:rPr>
      <w:pict w14:anchorId="17EF2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CF38" w14:textId="1A611515" w:rsidR="00A5639E" w:rsidRDefault="00A5639E">
    <w:pPr>
      <w:pStyle w:val="Header"/>
    </w:pPr>
    <w:r>
      <w:rPr>
        <w:noProof/>
      </w:rPr>
      <w:pict w14:anchorId="34AAE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2437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34B1B"/>
    <w:multiLevelType w:val="hybridMultilevel"/>
    <w:tmpl w:val="99F026AE"/>
    <w:lvl w:ilvl="0" w:tplc="61BE1EAE">
      <w:start w:val="1"/>
      <w:numFmt w:val="bullet"/>
      <w:lvlRestart w:val="0"/>
      <w:lvlText w:val=""/>
      <w:lvlJc w:val="left"/>
      <w:pPr>
        <w:tabs>
          <w:tab w:val="num" w:pos="0"/>
        </w:tabs>
        <w:ind w:left="720" w:hanging="360"/>
      </w:pPr>
      <w:rPr>
        <w:rFonts w:ascii="Symbol" w:hAnsi="Symbol" w:hint="default"/>
      </w:rPr>
    </w:lvl>
    <w:lvl w:ilvl="1" w:tplc="5A2CC1E6">
      <w:start w:val="1"/>
      <w:numFmt w:val="bullet"/>
      <w:lvlText w:val="o"/>
      <w:lvlJc w:val="left"/>
      <w:pPr>
        <w:tabs>
          <w:tab w:val="num" w:pos="0"/>
        </w:tabs>
        <w:ind w:left="1440" w:hanging="360"/>
      </w:pPr>
      <w:rPr>
        <w:rFonts w:ascii="Courier New" w:hAnsi="Courier New" w:cs="Courier New" w:hint="default"/>
      </w:rPr>
    </w:lvl>
    <w:lvl w:ilvl="2" w:tplc="43407056">
      <w:start w:val="1"/>
      <w:numFmt w:val="bullet"/>
      <w:lvlText w:val=""/>
      <w:lvlJc w:val="left"/>
      <w:pPr>
        <w:tabs>
          <w:tab w:val="num" w:pos="0"/>
        </w:tabs>
        <w:ind w:left="2160" w:hanging="360"/>
      </w:pPr>
      <w:rPr>
        <w:rFonts w:ascii="Wingdings" w:hAnsi="Wingdings" w:hint="default"/>
      </w:rPr>
    </w:lvl>
    <w:lvl w:ilvl="3" w:tplc="EB14037E">
      <w:start w:val="1"/>
      <w:numFmt w:val="bullet"/>
      <w:lvlText w:val=""/>
      <w:lvlJc w:val="left"/>
      <w:pPr>
        <w:tabs>
          <w:tab w:val="num" w:pos="0"/>
        </w:tabs>
        <w:ind w:left="2880" w:hanging="360"/>
      </w:pPr>
      <w:rPr>
        <w:rFonts w:ascii="Symbol" w:hAnsi="Symbol" w:hint="default"/>
      </w:rPr>
    </w:lvl>
    <w:lvl w:ilvl="4" w:tplc="300C9174">
      <w:start w:val="1"/>
      <w:numFmt w:val="bullet"/>
      <w:lvlText w:val="o"/>
      <w:lvlJc w:val="left"/>
      <w:pPr>
        <w:tabs>
          <w:tab w:val="num" w:pos="0"/>
        </w:tabs>
        <w:ind w:left="3600" w:hanging="360"/>
      </w:pPr>
      <w:rPr>
        <w:rFonts w:ascii="Courier New" w:hAnsi="Courier New" w:cs="Courier New" w:hint="default"/>
      </w:rPr>
    </w:lvl>
    <w:lvl w:ilvl="5" w:tplc="B9905A84">
      <w:start w:val="1"/>
      <w:numFmt w:val="bullet"/>
      <w:lvlText w:val=""/>
      <w:lvlJc w:val="left"/>
      <w:pPr>
        <w:tabs>
          <w:tab w:val="num" w:pos="0"/>
        </w:tabs>
        <w:ind w:left="4320" w:hanging="360"/>
      </w:pPr>
      <w:rPr>
        <w:rFonts w:ascii="Wingdings" w:hAnsi="Wingdings" w:hint="default"/>
      </w:rPr>
    </w:lvl>
    <w:lvl w:ilvl="6" w:tplc="03FEA1E4">
      <w:start w:val="1"/>
      <w:numFmt w:val="bullet"/>
      <w:lvlText w:val=""/>
      <w:lvlJc w:val="left"/>
      <w:pPr>
        <w:tabs>
          <w:tab w:val="num" w:pos="0"/>
        </w:tabs>
        <w:ind w:left="5040" w:hanging="360"/>
      </w:pPr>
      <w:rPr>
        <w:rFonts w:ascii="Symbol" w:hAnsi="Symbol" w:hint="default"/>
      </w:rPr>
    </w:lvl>
    <w:lvl w:ilvl="7" w:tplc="58E48854">
      <w:start w:val="1"/>
      <w:numFmt w:val="bullet"/>
      <w:lvlText w:val="o"/>
      <w:lvlJc w:val="left"/>
      <w:pPr>
        <w:tabs>
          <w:tab w:val="num" w:pos="0"/>
        </w:tabs>
        <w:ind w:left="5760" w:hanging="360"/>
      </w:pPr>
      <w:rPr>
        <w:rFonts w:ascii="Courier New" w:hAnsi="Courier New" w:cs="Courier New" w:hint="default"/>
      </w:rPr>
    </w:lvl>
    <w:lvl w:ilvl="8" w:tplc="606EE968">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78D72FF8"/>
    <w:multiLevelType w:val="hybridMultilevel"/>
    <w:tmpl w:val="DEB2ECEE"/>
    <w:lvl w:ilvl="0" w:tplc="22E4003C">
      <w:start w:val="1"/>
      <w:numFmt w:val="decimal"/>
      <w:lvlRestart w:val="0"/>
      <w:lvlText w:val="%1."/>
      <w:lvlJc w:val="left"/>
      <w:pPr>
        <w:tabs>
          <w:tab w:val="num" w:pos="0"/>
        </w:tabs>
        <w:ind w:left="720" w:hanging="360"/>
      </w:pPr>
    </w:lvl>
    <w:lvl w:ilvl="1" w:tplc="599E8BB8">
      <w:start w:val="1"/>
      <w:numFmt w:val="lowerLetter"/>
      <w:lvlText w:val="%2."/>
      <w:lvlJc w:val="left"/>
      <w:pPr>
        <w:tabs>
          <w:tab w:val="num" w:pos="0"/>
        </w:tabs>
        <w:ind w:left="1440" w:hanging="360"/>
      </w:pPr>
    </w:lvl>
    <w:lvl w:ilvl="2" w:tplc="B238AC1A">
      <w:start w:val="1"/>
      <w:numFmt w:val="lowerRoman"/>
      <w:lvlText w:val="%3."/>
      <w:lvlJc w:val="right"/>
      <w:pPr>
        <w:tabs>
          <w:tab w:val="num" w:pos="0"/>
        </w:tabs>
        <w:ind w:left="2160" w:hanging="180"/>
      </w:pPr>
    </w:lvl>
    <w:lvl w:ilvl="3" w:tplc="E960A8B2">
      <w:start w:val="1"/>
      <w:numFmt w:val="decimal"/>
      <w:lvlText w:val="%4."/>
      <w:lvlJc w:val="left"/>
      <w:pPr>
        <w:tabs>
          <w:tab w:val="num" w:pos="0"/>
        </w:tabs>
        <w:ind w:left="2880" w:hanging="360"/>
      </w:pPr>
    </w:lvl>
    <w:lvl w:ilvl="4" w:tplc="552E485E">
      <w:start w:val="1"/>
      <w:numFmt w:val="lowerLetter"/>
      <w:lvlText w:val="%5."/>
      <w:lvlJc w:val="left"/>
      <w:pPr>
        <w:tabs>
          <w:tab w:val="num" w:pos="0"/>
        </w:tabs>
        <w:ind w:left="3600" w:hanging="360"/>
      </w:pPr>
    </w:lvl>
    <w:lvl w:ilvl="5" w:tplc="C94868BE">
      <w:start w:val="1"/>
      <w:numFmt w:val="lowerRoman"/>
      <w:lvlText w:val="%6."/>
      <w:lvlJc w:val="right"/>
      <w:pPr>
        <w:tabs>
          <w:tab w:val="num" w:pos="0"/>
        </w:tabs>
        <w:ind w:left="4320" w:hanging="180"/>
      </w:pPr>
    </w:lvl>
    <w:lvl w:ilvl="6" w:tplc="E1E4A512">
      <w:start w:val="1"/>
      <w:numFmt w:val="decimal"/>
      <w:lvlText w:val="%7."/>
      <w:lvlJc w:val="left"/>
      <w:pPr>
        <w:tabs>
          <w:tab w:val="num" w:pos="0"/>
        </w:tabs>
        <w:ind w:left="5040" w:hanging="360"/>
      </w:pPr>
    </w:lvl>
    <w:lvl w:ilvl="7" w:tplc="55FAC1A8">
      <w:start w:val="1"/>
      <w:numFmt w:val="lowerLetter"/>
      <w:lvlText w:val="%8."/>
      <w:lvlJc w:val="left"/>
      <w:pPr>
        <w:tabs>
          <w:tab w:val="num" w:pos="0"/>
        </w:tabs>
        <w:ind w:left="5760" w:hanging="360"/>
      </w:pPr>
    </w:lvl>
    <w:lvl w:ilvl="8" w:tplc="DEC266E0">
      <w:start w:val="1"/>
      <w:numFmt w:val="lowerRoman"/>
      <w:lvlText w:val="%9."/>
      <w:lvlJc w:val="right"/>
      <w:pPr>
        <w:tabs>
          <w:tab w:val="num" w:pos="0"/>
        </w:tabs>
        <w:ind w:left="6480" w:hanging="180"/>
      </w:pPr>
    </w:lvl>
  </w:abstractNum>
  <w:abstractNum w:abstractNumId="2" w15:restartNumberingAfterBreak="0">
    <w:nsid w:val="7E9C08F0"/>
    <w:multiLevelType w:val="singleLevel"/>
    <w:tmpl w:val="E368B7EE"/>
    <w:lvl w:ilvl="0">
      <w:start w:val="1"/>
      <w:numFmt w:val="decimal"/>
      <w:lvlRestart w:val="0"/>
      <w:pStyle w:val="Reference"/>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clean"/>
  <w:defaultTabStop w:val="720"/>
  <w:drawingGridHorizontalSpacing w:val="100"/>
  <w:drawingGridVerticalSpacing w:val="156"/>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growAutofit/>
    <w:useFELayout/>
    <w:compatSetting w:name="compatibilityMode" w:uri="http://schemas.microsoft.com/office/word" w:val="14"/>
    <w:compatSetting w:name="useWord2013TrackBottomHyphenation" w:uri="http://schemas.microsoft.com/office/word" w:val="1"/>
  </w:compat>
  <w:rsids>
    <w:rsidRoot w:val="00B01F53"/>
    <w:rsid w:val="0003084C"/>
    <w:rsid w:val="004F3116"/>
    <w:rsid w:val="00702863"/>
    <w:rsid w:val="00A5639E"/>
    <w:rsid w:val="00B01F53"/>
    <w:rsid w:val="00B6710F"/>
    <w:rsid w:val="00EF2B1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674C8F"/>
  <w15:docId w15:val="{8CE43A43-168D-481B-A319-BF93A52F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lang w:eastAsia="en-US"/>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semiHidden/>
    <w:unhideWhenUsed/>
    <w:qFormat/>
    <w:pPr>
      <w:keepNext/>
      <w:keepLines/>
      <w:spacing w:before="260" w:after="260" w:line="415" w:lineRule="auto"/>
      <w:outlineLvl w:val="1"/>
    </w:pPr>
    <w:rPr>
      <w:rFonts w:ascii="Luxi Sans" w:eastAsia="OPPO black body" w:hAnsi="Luxi Sans"/>
      <w:b/>
      <w:sz w:val="32"/>
    </w:rPr>
  </w:style>
  <w:style w:type="paragraph" w:styleId="Heading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MainHead">
    <w:name w:val="Main Head"/>
    <w:basedOn w:val="Normal"/>
    <w:pPr>
      <w:keepNext/>
      <w:spacing w:after="240"/>
    </w:pPr>
    <w:rPr>
      <w:b/>
      <w:caps/>
    </w:r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3"/>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2">
    <w:name w:val="Head2"/>
    <w:basedOn w:val="Normal"/>
    <w:next w:val="Body"/>
    <w:pPr>
      <w:keepNext/>
      <w:spacing w:after="240"/>
    </w:pPr>
    <w:rPr>
      <w:caps/>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paragraph" w:styleId="BodyText2">
    <w:name w:val="Body Text 2"/>
    <w:basedOn w:val="Normal"/>
    <w:pPr>
      <w:spacing w:after="120" w:line="480" w:lineRule="auto"/>
    </w:pPr>
  </w:style>
  <w:style w:type="character" w:styleId="CommentReference">
    <w:name w:val="annotation reference"/>
    <w:basedOn w:val="DefaultParagraphFont"/>
    <w:rPr>
      <w:sz w:val="16"/>
      <w:szCs w:val="16"/>
    </w:rPr>
  </w:style>
  <w:style w:type="paragraph" w:styleId="CommentText">
    <w:name w:val="annotation text"/>
    <w:basedOn w:val="Normal"/>
    <w:rPr>
      <w:rFonts w:ascii="Times New Roman" w:hAnsi="Times New Roman"/>
      <w:lang w:val="nb-NO" w:eastAsia="nb-NO"/>
    </w:rPr>
  </w:style>
  <w:style w:type="paragraph" w:styleId="BalloonText">
    <w:name w:val="Balloon Text"/>
    <w:basedOn w:val="Normal"/>
    <w:rPr>
      <w:rFonts w:ascii="Tahoma" w:hAnsi="Tahoma" w:cs="Tahoma"/>
      <w:sz w:val="16"/>
      <w:szCs w:val="16"/>
    </w:rPr>
  </w:style>
  <w:style w:type="paragraph" w:styleId="BodyText3">
    <w:name w:val="Body Text 3"/>
    <w:basedOn w:val="Normal"/>
    <w:pPr>
      <w:spacing w:after="120"/>
    </w:pPr>
    <w:rPr>
      <w:sz w:val="16"/>
      <w:szCs w:val="16"/>
    </w:rPr>
  </w:style>
  <w:style w:type="character" w:styleId="LineNumber">
    <w:name w:val="line number"/>
    <w:basedOn w:val="DefaultParagraphFont"/>
  </w:style>
  <w:style w:type="character" w:styleId="Emphasis">
    <w:name w:val="Emphasis"/>
    <w:basedOn w:val="DefaultParagraphFont"/>
    <w:rPr>
      <w:i/>
      <w:iCs/>
    </w:rPr>
  </w:style>
  <w:style w:type="character" w:customStyle="1" w:styleId="UnresolvedMention1">
    <w:name w:val="Unresolved Mention1"/>
    <w:basedOn w:val="DefaultParagraphFont"/>
    <w:rPr>
      <w:color w:val="605E5C"/>
      <w:shd w:val="clear" w:color="auto" w:fill="E1DFDD"/>
    </w:rPr>
  </w:style>
  <w:style w:type="paragraph" w:customStyle="1" w:styleId="ListParagraph1">
    <w:name w:val="List Paragraph1"/>
    <w:basedOn w:val="Normal"/>
    <w:pPr>
      <w:ind w:left="720"/>
      <w:contextualSpacing/>
    </w:pPr>
  </w:style>
  <w:style w:type="paragraph" w:styleId="Caption">
    <w:name w:val="caption"/>
    <w:basedOn w:val="Normal"/>
    <w:next w:val="Normal"/>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2110</Words>
  <Characters>12027</Characters>
  <Application>Microsoft Office Word</Application>
  <DocSecurity>0</DocSecurity>
  <Lines>100</Lines>
  <Paragraphs>28</Paragraphs>
  <ScaleCrop>false</ScaleCrop>
  <Company>aaaa</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1999-07-06T11:00:00Z</cp:lastPrinted>
  <dcterms:created xsi:type="dcterms:W3CDTF">2025-10-02T13:11:00Z</dcterms:created>
  <dcterms:modified xsi:type="dcterms:W3CDTF">2025-10-03T12:08:00Z</dcterms:modified>
</cp:coreProperties>
</file>