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36CD4" w14:textId="781D936F" w:rsidR="00EE259A" w:rsidRPr="00EE259A" w:rsidRDefault="00EE259A" w:rsidP="00EE259A">
      <w:pPr>
        <w:spacing w:line="360" w:lineRule="auto"/>
        <w:rPr>
          <w:rFonts w:ascii="Times New Roman" w:hAnsi="Times New Roman" w:cs="Times New Roman"/>
          <w:b/>
          <w:sz w:val="20"/>
          <w:szCs w:val="20"/>
          <w:u w:val="single"/>
        </w:rPr>
      </w:pPr>
      <w:r w:rsidRPr="00EE259A">
        <w:rPr>
          <w:rFonts w:ascii="Times New Roman" w:hAnsi="Times New Roman" w:cs="Times New Roman"/>
          <w:b/>
          <w:sz w:val="20"/>
          <w:szCs w:val="20"/>
          <w:u w:val="single"/>
        </w:rPr>
        <w:t>Case Study</w:t>
      </w:r>
    </w:p>
    <w:p w14:paraId="0E2C64CC" w14:textId="6EE83EF0" w:rsidR="00BA0652" w:rsidRDefault="00BA0652" w:rsidP="00137685">
      <w:pPr>
        <w:spacing w:line="360" w:lineRule="auto"/>
        <w:jc w:val="center"/>
        <w:rPr>
          <w:rFonts w:ascii="Times New Roman" w:hAnsi="Times New Roman" w:cs="Times New Roman"/>
          <w:b/>
          <w:sz w:val="20"/>
          <w:szCs w:val="20"/>
        </w:rPr>
      </w:pPr>
      <w:r w:rsidRPr="00BA0652">
        <w:rPr>
          <w:rFonts w:ascii="Times New Roman" w:hAnsi="Times New Roman" w:cs="Times New Roman"/>
          <w:b/>
          <w:sz w:val="20"/>
          <w:szCs w:val="20"/>
        </w:rPr>
        <w:t>CEFTRIAXONE-INDUCED IMMUNE HEMOLYSIS: CLINICAL INSIGHTS FROM A CASE</w:t>
      </w:r>
    </w:p>
    <w:p w14:paraId="0B4E4438" w14:textId="77777777" w:rsidR="00AD2CAE" w:rsidRPr="00137685" w:rsidRDefault="00AD2CAE" w:rsidP="00137685">
      <w:pPr>
        <w:spacing w:line="360" w:lineRule="auto"/>
        <w:jc w:val="center"/>
        <w:rPr>
          <w:rFonts w:ascii="Times New Roman" w:hAnsi="Times New Roman" w:cs="Times New Roman"/>
          <w:b/>
          <w:sz w:val="20"/>
          <w:szCs w:val="20"/>
        </w:rPr>
      </w:pPr>
    </w:p>
    <w:p w14:paraId="549BC021" w14:textId="77777777" w:rsidR="0028441D" w:rsidRPr="00137685" w:rsidRDefault="0028441D" w:rsidP="00137685">
      <w:pPr>
        <w:spacing w:line="360" w:lineRule="auto"/>
        <w:rPr>
          <w:rFonts w:ascii="Times New Roman" w:hAnsi="Times New Roman" w:cs="Times New Roman"/>
          <w:b/>
          <w:sz w:val="20"/>
          <w:szCs w:val="20"/>
        </w:rPr>
      </w:pPr>
      <w:r w:rsidRPr="00137685">
        <w:rPr>
          <w:rFonts w:ascii="Times New Roman" w:hAnsi="Times New Roman" w:cs="Times New Roman"/>
          <w:b/>
          <w:sz w:val="20"/>
          <w:szCs w:val="20"/>
        </w:rPr>
        <w:t>ABSTRACT</w:t>
      </w:r>
    </w:p>
    <w:p w14:paraId="76269D22" w14:textId="77777777" w:rsidR="00F67C2B" w:rsidRPr="00137685" w:rsidRDefault="00F67C2B" w:rsidP="00137685">
      <w:pPr>
        <w:pStyle w:val="NormalWeb"/>
        <w:spacing w:line="360" w:lineRule="auto"/>
        <w:jc w:val="both"/>
        <w:rPr>
          <w:sz w:val="20"/>
          <w:szCs w:val="20"/>
        </w:rPr>
      </w:pPr>
      <w:r w:rsidRPr="00137685">
        <w:rPr>
          <w:rStyle w:val="Strong"/>
          <w:sz w:val="20"/>
          <w:szCs w:val="20"/>
        </w:rPr>
        <w:t>Background:</w:t>
      </w:r>
      <w:r w:rsidRPr="00137685">
        <w:rPr>
          <w:sz w:val="20"/>
          <w:szCs w:val="20"/>
        </w:rPr>
        <w:t xml:space="preserve"> Ceftriaxone is a widely used cephalosporin antibiotic, but rarely, it may cause drug-induced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(DIHA), a potentially life-threatening adverse reaction. Prompt recognition is essential to prevent morbidity, particularly in patients with comorbidities and concurrent surgical needs.</w:t>
      </w:r>
    </w:p>
    <w:p w14:paraId="426717D0" w14:textId="77777777" w:rsidR="00F67C2B" w:rsidRPr="00137685" w:rsidRDefault="00F67C2B" w:rsidP="00137685">
      <w:pPr>
        <w:pStyle w:val="NormalWeb"/>
        <w:spacing w:line="360" w:lineRule="auto"/>
        <w:jc w:val="both"/>
        <w:rPr>
          <w:sz w:val="20"/>
          <w:szCs w:val="20"/>
        </w:rPr>
      </w:pPr>
      <w:r w:rsidRPr="00137685">
        <w:rPr>
          <w:rStyle w:val="Strong"/>
          <w:sz w:val="20"/>
          <w:szCs w:val="20"/>
        </w:rPr>
        <w:t>Case Presentation:</w:t>
      </w:r>
      <w:r w:rsidRPr="00137685">
        <w:rPr>
          <w:sz w:val="20"/>
          <w:szCs w:val="20"/>
        </w:rPr>
        <w:t xml:space="preserve"> We describe a 63-year-old male with a history of hypertension, diabetes mellitus, and prior ischemic stroke, who presented with left hip and wrist pain following a fall. Imagi</w:t>
      </w:r>
      <w:bookmarkStart w:id="0" w:name="_GoBack"/>
      <w:bookmarkEnd w:id="0"/>
      <w:r w:rsidRPr="00137685">
        <w:rPr>
          <w:sz w:val="20"/>
          <w:szCs w:val="20"/>
        </w:rPr>
        <w:t xml:space="preserve">ng revealed a closed intertrochanteric fracture of the left femur and a closed distal radius fracture. During hospitalization, while on ceftriaxone therapy, the patient developed a sudden </w:t>
      </w:r>
      <w:proofErr w:type="spellStart"/>
      <w:r w:rsidRPr="00137685">
        <w:rPr>
          <w:sz w:val="20"/>
          <w:szCs w:val="20"/>
        </w:rPr>
        <w:t>hemoglobin</w:t>
      </w:r>
      <w:proofErr w:type="spellEnd"/>
      <w:r w:rsidRPr="00137685">
        <w:rPr>
          <w:sz w:val="20"/>
          <w:szCs w:val="20"/>
        </w:rPr>
        <w:t xml:space="preserve"> drop (12.4 g/dL to 7.0 g/dL), reticulocytosis, elevated LDH, and hyperbilirubinemia, consistent with </w:t>
      </w:r>
      <w:proofErr w:type="spellStart"/>
      <w:r w:rsidRPr="00137685">
        <w:rPr>
          <w:sz w:val="20"/>
          <w:szCs w:val="20"/>
        </w:rPr>
        <w:t>hemolysis</w:t>
      </w:r>
      <w:proofErr w:type="spellEnd"/>
      <w:r w:rsidRPr="00137685">
        <w:rPr>
          <w:sz w:val="20"/>
          <w:szCs w:val="20"/>
        </w:rPr>
        <w:t xml:space="preserve">. Coombs test was negative. Ceftriaxone-induced </w:t>
      </w:r>
      <w:proofErr w:type="spellStart"/>
      <w:r w:rsidRPr="00137685">
        <w:rPr>
          <w:sz w:val="20"/>
          <w:szCs w:val="20"/>
        </w:rPr>
        <w:t>hemolysis</w:t>
      </w:r>
      <w:proofErr w:type="spellEnd"/>
      <w:r w:rsidRPr="00137685">
        <w:rPr>
          <w:sz w:val="20"/>
          <w:szCs w:val="20"/>
        </w:rPr>
        <w:t xml:space="preserve"> was suspected, and the drug was discontinued. Supportive care with blood transfusions stabilized his condition. On 2nd January 2025, he underwent closed reduction and internal fixation (CRIF) of the femur and open reduction and internal fixation (ORIF) of the radius. Postoperative recovery was uneventful, and </w:t>
      </w:r>
      <w:proofErr w:type="spellStart"/>
      <w:r w:rsidRPr="00137685">
        <w:rPr>
          <w:sz w:val="20"/>
          <w:szCs w:val="20"/>
        </w:rPr>
        <w:t>hemoglobin</w:t>
      </w:r>
      <w:proofErr w:type="spellEnd"/>
      <w:r w:rsidRPr="00137685">
        <w:rPr>
          <w:sz w:val="20"/>
          <w:szCs w:val="20"/>
        </w:rPr>
        <w:t xml:space="preserve"> levels gradually improved with close monitoring.</w:t>
      </w:r>
    </w:p>
    <w:p w14:paraId="08096726" w14:textId="77777777" w:rsidR="00F67C2B" w:rsidRPr="00137685" w:rsidRDefault="00F67C2B" w:rsidP="00137685">
      <w:pPr>
        <w:pStyle w:val="NormalWeb"/>
        <w:spacing w:line="360" w:lineRule="auto"/>
        <w:jc w:val="both"/>
        <w:rPr>
          <w:sz w:val="20"/>
          <w:szCs w:val="20"/>
        </w:rPr>
      </w:pPr>
      <w:r w:rsidRPr="00137685">
        <w:rPr>
          <w:rStyle w:val="Strong"/>
          <w:sz w:val="20"/>
          <w:szCs w:val="20"/>
        </w:rPr>
        <w:t>Conclusion:</w:t>
      </w:r>
      <w:r w:rsidRPr="00137685">
        <w:rPr>
          <w:sz w:val="20"/>
          <w:szCs w:val="20"/>
        </w:rPr>
        <w:t xml:space="preserve"> This case emphasizes the importance of early identification of ceftriaxone-induced </w:t>
      </w:r>
      <w:proofErr w:type="spellStart"/>
      <w:r w:rsidRPr="00137685">
        <w:rPr>
          <w:sz w:val="20"/>
          <w:szCs w:val="20"/>
        </w:rPr>
        <w:t>hemolysis</w:t>
      </w:r>
      <w:proofErr w:type="spellEnd"/>
      <w:r w:rsidRPr="00137685">
        <w:rPr>
          <w:sz w:val="20"/>
          <w:szCs w:val="20"/>
        </w:rPr>
        <w:t xml:space="preserve"> in patients presenting with unexplained </w:t>
      </w:r>
      <w:proofErr w:type="spellStart"/>
      <w:r w:rsidRPr="00137685">
        <w:rPr>
          <w:sz w:val="20"/>
          <w:szCs w:val="20"/>
        </w:rPr>
        <w:t>anemia</w:t>
      </w:r>
      <w:proofErr w:type="spellEnd"/>
      <w:r w:rsidRPr="00137685">
        <w:rPr>
          <w:sz w:val="20"/>
          <w:szCs w:val="20"/>
        </w:rPr>
        <w:t xml:space="preserve"> during therapy. Timely drug withdrawal, supportive care, and coordinated perioperative management can lead to </w:t>
      </w:r>
      <w:proofErr w:type="spellStart"/>
      <w:r w:rsidRPr="00137685">
        <w:rPr>
          <w:sz w:val="20"/>
          <w:szCs w:val="20"/>
        </w:rPr>
        <w:t>favorable</w:t>
      </w:r>
      <w:proofErr w:type="spellEnd"/>
      <w:r w:rsidRPr="00137685">
        <w:rPr>
          <w:sz w:val="20"/>
          <w:szCs w:val="20"/>
        </w:rPr>
        <w:t xml:space="preserve"> outcomes.</w:t>
      </w:r>
    </w:p>
    <w:p w14:paraId="6BC6D573" w14:textId="77777777" w:rsidR="00F67C2B" w:rsidRPr="00137685" w:rsidRDefault="00F67C2B" w:rsidP="00137685">
      <w:pPr>
        <w:pStyle w:val="NormalWeb"/>
        <w:spacing w:line="360" w:lineRule="auto"/>
        <w:jc w:val="both"/>
        <w:rPr>
          <w:sz w:val="20"/>
          <w:szCs w:val="20"/>
        </w:rPr>
      </w:pPr>
      <w:r w:rsidRPr="00137685">
        <w:rPr>
          <w:rStyle w:val="Strong"/>
          <w:sz w:val="20"/>
          <w:szCs w:val="20"/>
        </w:rPr>
        <w:t>Keywords:</w:t>
      </w:r>
      <w:r w:rsidRPr="00137685">
        <w:rPr>
          <w:sz w:val="20"/>
          <w:szCs w:val="20"/>
        </w:rPr>
        <w:t xml:space="preserve"> Ceftriaxone, Drug-induced </w:t>
      </w:r>
      <w:proofErr w:type="spellStart"/>
      <w:r w:rsidRPr="00137685">
        <w:rPr>
          <w:sz w:val="20"/>
          <w:szCs w:val="20"/>
        </w:rPr>
        <w:t>hemolysis</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Intertrochanteric fracture, Distal radius fracture</w:t>
      </w:r>
      <w:r w:rsidR="00AD2CAE" w:rsidRPr="00137685">
        <w:rPr>
          <w:sz w:val="20"/>
          <w:szCs w:val="20"/>
        </w:rPr>
        <w:t>.</w:t>
      </w:r>
    </w:p>
    <w:p w14:paraId="45F782E8" w14:textId="77777777" w:rsidR="00AD2CAE" w:rsidRPr="00137685" w:rsidRDefault="00AD2CAE" w:rsidP="00137685">
      <w:pPr>
        <w:pStyle w:val="NormalWeb"/>
        <w:spacing w:line="360" w:lineRule="auto"/>
        <w:jc w:val="both"/>
        <w:rPr>
          <w:sz w:val="20"/>
          <w:szCs w:val="20"/>
        </w:rPr>
      </w:pPr>
    </w:p>
    <w:p w14:paraId="4B26E619"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3BACAB8F"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77EB9A30"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6F3B5EA6"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63BDD40B" w14:textId="77777777" w:rsidR="00397A37" w:rsidRDefault="00397A37" w:rsidP="00137685">
      <w:pPr>
        <w:spacing w:before="100" w:beforeAutospacing="1" w:after="100" w:afterAutospacing="1" w:line="360" w:lineRule="auto"/>
        <w:rPr>
          <w:rFonts w:ascii="Times New Roman" w:eastAsia="Times New Roman" w:hAnsi="Times New Roman" w:cs="Times New Roman"/>
          <w:b/>
          <w:bCs/>
          <w:sz w:val="20"/>
          <w:szCs w:val="20"/>
          <w:lang w:eastAsia="en-GB"/>
        </w:rPr>
      </w:pPr>
    </w:p>
    <w:p w14:paraId="4365C7F0" w14:textId="53AB0A7A" w:rsidR="00E67A01" w:rsidRPr="00137685" w:rsidRDefault="00E67A01" w:rsidP="00137685">
      <w:pPr>
        <w:spacing w:before="100" w:beforeAutospacing="1" w:after="100" w:afterAutospacing="1" w:line="360" w:lineRule="auto"/>
        <w:rPr>
          <w:rFonts w:ascii="Times New Roman" w:eastAsia="Times New Roman" w:hAnsi="Times New Roman" w:cs="Times New Roman"/>
          <w:b/>
          <w:bCs/>
          <w:sz w:val="20"/>
          <w:szCs w:val="20"/>
          <w:lang w:eastAsia="en-GB"/>
        </w:rPr>
      </w:pPr>
      <w:r w:rsidRPr="00137685">
        <w:rPr>
          <w:rFonts w:ascii="Times New Roman" w:eastAsia="Times New Roman" w:hAnsi="Times New Roman" w:cs="Times New Roman"/>
          <w:b/>
          <w:bCs/>
          <w:sz w:val="20"/>
          <w:szCs w:val="20"/>
          <w:lang w:eastAsia="en-GB"/>
        </w:rPr>
        <w:t>INTRODUCTION</w:t>
      </w:r>
      <w:r w:rsidR="00B71434" w:rsidRPr="00137685">
        <w:rPr>
          <w:rFonts w:ascii="Times New Roman" w:eastAsia="Times New Roman" w:hAnsi="Times New Roman" w:cs="Times New Roman"/>
          <w:b/>
          <w:bCs/>
          <w:sz w:val="20"/>
          <w:szCs w:val="20"/>
          <w:lang w:eastAsia="en-GB"/>
        </w:rPr>
        <w:t>:</w:t>
      </w:r>
    </w:p>
    <w:p w14:paraId="4011C7D5" w14:textId="34EE9A4E" w:rsidR="00AD2CAE" w:rsidRPr="00137685" w:rsidRDefault="00B71434" w:rsidP="00137685">
      <w:pPr>
        <w:spacing w:before="100" w:beforeAutospacing="1" w:after="100" w:afterAutospacing="1" w:line="360" w:lineRule="auto"/>
        <w:jc w:val="both"/>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 xml:space="preserve">Drug-induced immune </w:t>
      </w:r>
      <w:proofErr w:type="spellStart"/>
      <w:r w:rsidRPr="00137685">
        <w:rPr>
          <w:rFonts w:ascii="Times New Roman" w:eastAsia="Times New Roman" w:hAnsi="Times New Roman" w:cs="Times New Roman"/>
          <w:sz w:val="20"/>
          <w:szCs w:val="20"/>
          <w:lang w:eastAsia="en-GB"/>
        </w:rPr>
        <w:t>hemolytic</w:t>
      </w:r>
      <w:proofErr w:type="spellEnd"/>
      <w:r w:rsidRPr="00137685">
        <w:rPr>
          <w:rFonts w:ascii="Times New Roman" w:eastAsia="Times New Roman" w:hAnsi="Times New Roman" w:cs="Times New Roman"/>
          <w:sz w:val="20"/>
          <w:szCs w:val="20"/>
          <w:lang w:eastAsia="en-GB"/>
        </w:rPr>
        <w:t xml:space="preserve"> </w:t>
      </w:r>
      <w:proofErr w:type="spellStart"/>
      <w:r w:rsidRPr="00137685">
        <w:rPr>
          <w:rFonts w:ascii="Times New Roman" w:eastAsia="Times New Roman" w:hAnsi="Times New Roman" w:cs="Times New Roman"/>
          <w:sz w:val="20"/>
          <w:szCs w:val="20"/>
          <w:lang w:eastAsia="en-GB"/>
        </w:rPr>
        <w:t>anemia</w:t>
      </w:r>
      <w:proofErr w:type="spellEnd"/>
      <w:r w:rsidRPr="00137685">
        <w:rPr>
          <w:rFonts w:ascii="Times New Roman" w:eastAsia="Times New Roman" w:hAnsi="Times New Roman" w:cs="Times New Roman"/>
          <w:sz w:val="20"/>
          <w:szCs w:val="20"/>
          <w:lang w:eastAsia="en-GB"/>
        </w:rPr>
        <w:t xml:space="preserve"> (DIIHA) is a rare but serious complication, most often linked to antibiotics such as cefotetan, ceftriaxone, and piperacillin/tazobactam. Ceftriaxone, a third-generation </w:t>
      </w:r>
      <w:r w:rsidRPr="00137685">
        <w:rPr>
          <w:rFonts w:ascii="Times New Roman" w:eastAsia="Times New Roman" w:hAnsi="Times New Roman" w:cs="Times New Roman"/>
          <w:sz w:val="20"/>
          <w:szCs w:val="20"/>
          <w:lang w:eastAsia="en-GB"/>
        </w:rPr>
        <w:lastRenderedPageBreak/>
        <w:t xml:space="preserve">cephalosporin widely prescribed for both treatment and prophylaxis of bacterial infections due to its broad-spectrum activity and generally </w:t>
      </w:r>
      <w:proofErr w:type="spellStart"/>
      <w:r w:rsidRPr="00137685">
        <w:rPr>
          <w:rFonts w:ascii="Times New Roman" w:eastAsia="Times New Roman" w:hAnsi="Times New Roman" w:cs="Times New Roman"/>
          <w:sz w:val="20"/>
          <w:szCs w:val="20"/>
          <w:lang w:eastAsia="en-GB"/>
        </w:rPr>
        <w:t>favorable</w:t>
      </w:r>
      <w:proofErr w:type="spellEnd"/>
      <w:r w:rsidRPr="00137685">
        <w:rPr>
          <w:rFonts w:ascii="Times New Roman" w:eastAsia="Times New Roman" w:hAnsi="Times New Roman" w:cs="Times New Roman"/>
          <w:sz w:val="20"/>
          <w:szCs w:val="20"/>
          <w:lang w:eastAsia="en-GB"/>
        </w:rPr>
        <w:t xml:space="preserve"> safety profile, has been identified as a leading cause. Affected patients typically experience an abrupt decline in </w:t>
      </w:r>
      <w:proofErr w:type="spellStart"/>
      <w:r w:rsidRPr="00137685">
        <w:rPr>
          <w:rFonts w:ascii="Times New Roman" w:eastAsia="Times New Roman" w:hAnsi="Times New Roman" w:cs="Times New Roman"/>
          <w:sz w:val="20"/>
          <w:szCs w:val="20"/>
          <w:lang w:eastAsia="en-GB"/>
        </w:rPr>
        <w:t>hemoglobin</w:t>
      </w:r>
      <w:proofErr w:type="spellEnd"/>
      <w:r w:rsidRPr="00137685">
        <w:rPr>
          <w:rFonts w:ascii="Times New Roman" w:eastAsia="Times New Roman" w:hAnsi="Times New Roman" w:cs="Times New Roman"/>
          <w:sz w:val="20"/>
          <w:szCs w:val="20"/>
          <w:lang w:eastAsia="en-GB"/>
        </w:rPr>
        <w:t xml:space="preserve">, accompanied by laboratory evidence of </w:t>
      </w:r>
      <w:proofErr w:type="spellStart"/>
      <w:r w:rsidRPr="00137685">
        <w:rPr>
          <w:rFonts w:ascii="Times New Roman" w:eastAsia="Times New Roman" w:hAnsi="Times New Roman" w:cs="Times New Roman"/>
          <w:sz w:val="20"/>
          <w:szCs w:val="20"/>
          <w:lang w:eastAsia="en-GB"/>
        </w:rPr>
        <w:t>hemolysis</w:t>
      </w:r>
      <w:proofErr w:type="spellEnd"/>
      <w:r w:rsidRPr="00137685">
        <w:rPr>
          <w:rFonts w:ascii="Times New Roman" w:eastAsia="Times New Roman" w:hAnsi="Times New Roman" w:cs="Times New Roman"/>
          <w:sz w:val="20"/>
          <w:szCs w:val="20"/>
          <w:lang w:eastAsia="en-GB"/>
        </w:rPr>
        <w:t xml:space="preserve">, including reduced haptoglobin, elevated lactate dehydrogenase (LDH), and increased bilirubin. The direct antiglobulin test (DAT) is usually positive. Clinically, ceftriaxone-induced DIIHA may present as acute </w:t>
      </w:r>
      <w:proofErr w:type="spellStart"/>
      <w:r w:rsidRPr="00137685">
        <w:rPr>
          <w:rFonts w:ascii="Times New Roman" w:eastAsia="Times New Roman" w:hAnsi="Times New Roman" w:cs="Times New Roman"/>
          <w:sz w:val="20"/>
          <w:szCs w:val="20"/>
          <w:lang w:eastAsia="en-GB"/>
        </w:rPr>
        <w:t>hemolysis</w:t>
      </w:r>
      <w:proofErr w:type="spellEnd"/>
      <w:r w:rsidRPr="00137685">
        <w:rPr>
          <w:rFonts w:ascii="Times New Roman" w:eastAsia="Times New Roman" w:hAnsi="Times New Roman" w:cs="Times New Roman"/>
          <w:sz w:val="20"/>
          <w:szCs w:val="20"/>
          <w:lang w:eastAsia="en-GB"/>
        </w:rPr>
        <w:t xml:space="preserve"> with rapid progression to severe </w:t>
      </w:r>
      <w:proofErr w:type="spellStart"/>
      <w:r w:rsidRPr="00137685">
        <w:rPr>
          <w:rFonts w:ascii="Times New Roman" w:eastAsia="Times New Roman" w:hAnsi="Times New Roman" w:cs="Times New Roman"/>
          <w:sz w:val="20"/>
          <w:szCs w:val="20"/>
          <w:lang w:eastAsia="en-GB"/>
        </w:rPr>
        <w:t>anemia</w:t>
      </w:r>
      <w:proofErr w:type="spellEnd"/>
      <w:r w:rsidRPr="00137685">
        <w:rPr>
          <w:rFonts w:ascii="Times New Roman" w:eastAsia="Times New Roman" w:hAnsi="Times New Roman" w:cs="Times New Roman"/>
          <w:sz w:val="20"/>
          <w:szCs w:val="20"/>
          <w:lang w:eastAsia="en-GB"/>
        </w:rPr>
        <w:t xml:space="preserve"> and hemodynamic compromise if not promptly managed. The condition is associated with a high risk of organ failure and mortality rates exceeding 30%, with children often exhibiting more severe manifestations than adults </w:t>
      </w:r>
      <w:r w:rsidR="00FB1D72" w:rsidRPr="00137685">
        <w:rPr>
          <w:rFonts w:ascii="Times New Roman" w:eastAsia="Times New Roman" w:hAnsi="Times New Roman" w:cs="Times New Roman"/>
          <w:sz w:val="20"/>
          <w:szCs w:val="20"/>
          <w:vertAlign w:val="superscript"/>
          <w:lang w:eastAsia="en-GB"/>
        </w:rPr>
        <w:t>1-2</w:t>
      </w:r>
      <w:r w:rsidR="00AD2CAE" w:rsidRPr="00137685">
        <w:rPr>
          <w:rFonts w:ascii="Times New Roman" w:eastAsia="Times New Roman" w:hAnsi="Times New Roman" w:cs="Times New Roman"/>
          <w:sz w:val="20"/>
          <w:szCs w:val="20"/>
          <w:lang w:eastAsia="en-GB"/>
        </w:rPr>
        <w:t xml:space="preserve">. The pathogenesis of ceftriaxone-induced </w:t>
      </w:r>
      <w:proofErr w:type="spellStart"/>
      <w:r w:rsidR="00AD2CAE" w:rsidRPr="00137685">
        <w:rPr>
          <w:rFonts w:ascii="Times New Roman" w:eastAsia="Times New Roman" w:hAnsi="Times New Roman" w:cs="Times New Roman"/>
          <w:sz w:val="20"/>
          <w:szCs w:val="20"/>
          <w:lang w:eastAsia="en-GB"/>
        </w:rPr>
        <w:t>hemolysis</w:t>
      </w:r>
      <w:proofErr w:type="spellEnd"/>
      <w:r w:rsidR="00AD2CAE" w:rsidRPr="00137685">
        <w:rPr>
          <w:rFonts w:ascii="Times New Roman" w:eastAsia="Times New Roman" w:hAnsi="Times New Roman" w:cs="Times New Roman"/>
          <w:sz w:val="20"/>
          <w:szCs w:val="20"/>
          <w:lang w:eastAsia="en-GB"/>
        </w:rPr>
        <w:t xml:space="preserve"> is immune mediated, involving drug-dependent antibodies that bind to red blood cells, activate complement, and trigger intravascular </w:t>
      </w:r>
      <w:proofErr w:type="spellStart"/>
      <w:r w:rsidR="00AD2CAE" w:rsidRPr="00137685">
        <w:rPr>
          <w:rFonts w:ascii="Times New Roman" w:eastAsia="Times New Roman" w:hAnsi="Times New Roman" w:cs="Times New Roman"/>
          <w:sz w:val="20"/>
          <w:szCs w:val="20"/>
          <w:lang w:eastAsia="en-GB"/>
        </w:rPr>
        <w:t>hemolysis</w:t>
      </w:r>
      <w:proofErr w:type="spellEnd"/>
      <w:r w:rsidR="00AD2CAE" w:rsidRPr="00137685">
        <w:rPr>
          <w:rFonts w:ascii="Times New Roman" w:eastAsia="Times New Roman" w:hAnsi="Times New Roman" w:cs="Times New Roman"/>
          <w:sz w:val="20"/>
          <w:szCs w:val="20"/>
          <w:lang w:eastAsia="en-GB"/>
        </w:rPr>
        <w:t xml:space="preserve">. Although uncommon, the condition carries a high mortality rate, particularly in adults with comorbidities </w:t>
      </w:r>
      <w:r w:rsidR="00FB1D72" w:rsidRPr="00137685">
        <w:rPr>
          <w:rFonts w:ascii="Times New Roman" w:eastAsia="Times New Roman" w:hAnsi="Times New Roman" w:cs="Times New Roman"/>
          <w:sz w:val="20"/>
          <w:szCs w:val="20"/>
          <w:vertAlign w:val="superscript"/>
          <w:lang w:eastAsia="en-GB"/>
        </w:rPr>
        <w:t>3</w:t>
      </w:r>
      <w:r w:rsidR="00AD2CAE" w:rsidRPr="00137685">
        <w:rPr>
          <w:rFonts w:ascii="Times New Roman" w:eastAsia="Times New Roman" w:hAnsi="Times New Roman" w:cs="Times New Roman"/>
          <w:sz w:val="20"/>
          <w:szCs w:val="20"/>
          <w:lang w:eastAsia="en-GB"/>
        </w:rPr>
        <w:t xml:space="preserve">. Clinical features include sudden onset </w:t>
      </w:r>
      <w:proofErr w:type="spellStart"/>
      <w:r w:rsidR="00AD2CAE" w:rsidRPr="00137685">
        <w:rPr>
          <w:rFonts w:ascii="Times New Roman" w:eastAsia="Times New Roman" w:hAnsi="Times New Roman" w:cs="Times New Roman"/>
          <w:sz w:val="20"/>
          <w:szCs w:val="20"/>
          <w:lang w:eastAsia="en-GB"/>
        </w:rPr>
        <w:t>anemia</w:t>
      </w:r>
      <w:proofErr w:type="spellEnd"/>
      <w:r w:rsidR="00AD2CAE" w:rsidRPr="00137685">
        <w:rPr>
          <w:rFonts w:ascii="Times New Roman" w:eastAsia="Times New Roman" w:hAnsi="Times New Roman" w:cs="Times New Roman"/>
          <w:sz w:val="20"/>
          <w:szCs w:val="20"/>
          <w:lang w:eastAsia="en-GB"/>
        </w:rPr>
        <w:t xml:space="preserve">, </w:t>
      </w:r>
      <w:proofErr w:type="spellStart"/>
      <w:r w:rsidR="00AD2CAE" w:rsidRPr="00137685">
        <w:rPr>
          <w:rFonts w:ascii="Times New Roman" w:eastAsia="Times New Roman" w:hAnsi="Times New Roman" w:cs="Times New Roman"/>
          <w:sz w:val="20"/>
          <w:szCs w:val="20"/>
          <w:lang w:eastAsia="en-GB"/>
        </w:rPr>
        <w:t>reticulocytosis</w:t>
      </w:r>
      <w:proofErr w:type="spellEnd"/>
      <w:r w:rsidR="00AD2CAE" w:rsidRPr="00137685">
        <w:rPr>
          <w:rFonts w:ascii="Times New Roman" w:eastAsia="Times New Roman" w:hAnsi="Times New Roman" w:cs="Times New Roman"/>
          <w:sz w:val="20"/>
          <w:szCs w:val="20"/>
          <w:lang w:eastAsia="en-GB"/>
        </w:rPr>
        <w:t xml:space="preserve">, elevated bilirubin, and increased lactate dehydrogenase (LDH) levels, while Coombs test results may vary </w:t>
      </w:r>
      <w:r w:rsidR="00FB1D72" w:rsidRPr="00137685">
        <w:rPr>
          <w:rFonts w:ascii="Times New Roman" w:eastAsia="Times New Roman" w:hAnsi="Times New Roman" w:cs="Times New Roman"/>
          <w:sz w:val="20"/>
          <w:szCs w:val="20"/>
          <w:vertAlign w:val="superscript"/>
          <w:lang w:eastAsia="en-GB"/>
        </w:rPr>
        <w:t>4</w:t>
      </w:r>
      <w:r w:rsidR="00AD2CAE" w:rsidRPr="00137685">
        <w:rPr>
          <w:rFonts w:ascii="Times New Roman" w:eastAsia="Times New Roman" w:hAnsi="Times New Roman" w:cs="Times New Roman"/>
          <w:sz w:val="20"/>
          <w:szCs w:val="20"/>
          <w:lang w:eastAsia="en-GB"/>
        </w:rPr>
        <w:t xml:space="preserve">. Fracture management in elderly patients requires careful perioperative planning, especially when complicated by unexpected hematologic events. Balancing the urgency of surgical fixation with the stabilization of </w:t>
      </w:r>
      <w:proofErr w:type="spellStart"/>
      <w:r w:rsidR="00AD2CAE" w:rsidRPr="00137685">
        <w:rPr>
          <w:rFonts w:ascii="Times New Roman" w:eastAsia="Times New Roman" w:hAnsi="Times New Roman" w:cs="Times New Roman"/>
          <w:sz w:val="20"/>
          <w:szCs w:val="20"/>
          <w:lang w:eastAsia="en-GB"/>
        </w:rPr>
        <w:t>hemolysis</w:t>
      </w:r>
      <w:proofErr w:type="spellEnd"/>
      <w:r w:rsidR="00AD2CAE" w:rsidRPr="00137685">
        <w:rPr>
          <w:rFonts w:ascii="Times New Roman" w:eastAsia="Times New Roman" w:hAnsi="Times New Roman" w:cs="Times New Roman"/>
          <w:sz w:val="20"/>
          <w:szCs w:val="20"/>
          <w:lang w:eastAsia="en-GB"/>
        </w:rPr>
        <w:t xml:space="preserve"> represents a clinical challenge. Here, we describe the case of a 63-year-old male with intertrochanteric femur and distal radius fractures who developed ceftriaxone-induced </w:t>
      </w:r>
      <w:proofErr w:type="spellStart"/>
      <w:r w:rsidR="00AD2CAE" w:rsidRPr="00137685">
        <w:rPr>
          <w:rFonts w:ascii="Times New Roman" w:eastAsia="Times New Roman" w:hAnsi="Times New Roman" w:cs="Times New Roman"/>
          <w:sz w:val="20"/>
          <w:szCs w:val="20"/>
          <w:lang w:eastAsia="en-GB"/>
        </w:rPr>
        <w:t>hemolysis</w:t>
      </w:r>
      <w:proofErr w:type="spellEnd"/>
      <w:r w:rsidR="00AD2CAE" w:rsidRPr="00137685">
        <w:rPr>
          <w:rFonts w:ascii="Times New Roman" w:eastAsia="Times New Roman" w:hAnsi="Times New Roman" w:cs="Times New Roman"/>
          <w:sz w:val="20"/>
          <w:szCs w:val="20"/>
          <w:lang w:eastAsia="en-GB"/>
        </w:rPr>
        <w:t xml:space="preserve"> during hospitalization. This report underscores the importance of vigilance in identifying antibiotic-related </w:t>
      </w:r>
      <w:proofErr w:type="spellStart"/>
      <w:r w:rsidR="00AD2CAE" w:rsidRPr="00137685">
        <w:rPr>
          <w:rFonts w:ascii="Times New Roman" w:eastAsia="Times New Roman" w:hAnsi="Times New Roman" w:cs="Times New Roman"/>
          <w:sz w:val="20"/>
          <w:szCs w:val="20"/>
          <w:lang w:eastAsia="en-GB"/>
        </w:rPr>
        <w:t>hemolysis</w:t>
      </w:r>
      <w:proofErr w:type="spellEnd"/>
      <w:r w:rsidR="00AD2CAE" w:rsidRPr="00137685">
        <w:rPr>
          <w:rFonts w:ascii="Times New Roman" w:eastAsia="Times New Roman" w:hAnsi="Times New Roman" w:cs="Times New Roman"/>
          <w:sz w:val="20"/>
          <w:szCs w:val="20"/>
          <w:lang w:eastAsia="en-GB"/>
        </w:rPr>
        <w:t xml:space="preserve"> and highlights the effectiveness of early drug withdrawal and supportive care in preventing adverse outcomes.</w:t>
      </w:r>
    </w:p>
    <w:p w14:paraId="052C0069" w14:textId="5A15518E" w:rsidR="00E67A01" w:rsidRPr="00137685" w:rsidRDefault="00E67A01" w:rsidP="00137685">
      <w:pPr>
        <w:spacing w:before="100" w:beforeAutospacing="1" w:after="100" w:afterAutospacing="1" w:line="360" w:lineRule="auto"/>
        <w:rPr>
          <w:rFonts w:ascii="Times New Roman" w:eastAsia="Times New Roman" w:hAnsi="Times New Roman" w:cs="Times New Roman"/>
          <w:b/>
          <w:bCs/>
          <w:sz w:val="20"/>
          <w:szCs w:val="20"/>
          <w:lang w:eastAsia="en-GB"/>
        </w:rPr>
      </w:pPr>
      <w:r w:rsidRPr="00137685">
        <w:rPr>
          <w:rFonts w:ascii="Times New Roman" w:eastAsia="Times New Roman" w:hAnsi="Times New Roman" w:cs="Times New Roman"/>
          <w:b/>
          <w:bCs/>
          <w:sz w:val="20"/>
          <w:szCs w:val="20"/>
          <w:lang w:eastAsia="en-GB"/>
        </w:rPr>
        <w:t>CASE PRESENTATION</w:t>
      </w:r>
      <w:r w:rsidR="002E3468" w:rsidRPr="00137685">
        <w:rPr>
          <w:rFonts w:ascii="Times New Roman" w:eastAsia="Times New Roman" w:hAnsi="Times New Roman" w:cs="Times New Roman"/>
          <w:b/>
          <w:bCs/>
          <w:sz w:val="20"/>
          <w:szCs w:val="20"/>
          <w:lang w:eastAsia="en-GB"/>
        </w:rPr>
        <w:t>:</w:t>
      </w:r>
    </w:p>
    <w:p w14:paraId="23F0473A" w14:textId="0CF20718" w:rsidR="00B71434" w:rsidRPr="00137685" w:rsidRDefault="00B71434" w:rsidP="00137685">
      <w:pPr>
        <w:spacing w:before="100" w:beforeAutospacing="1" w:after="100" w:afterAutospacing="1" w:line="360" w:lineRule="auto"/>
        <w:jc w:val="both"/>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 xml:space="preserve">A 63-year-old male was admitted to the emergency department on 26th December 2024 following a fall at home. He presented with pain, swelling, and restricted mobility of the left hip and wrist, both exacerbated by movement. His past medical history was significant for hypertension, type 2 diabetes mellitus, and ischemic stroke 13 years earlier. He was on regular medications including Amlodipine (5 mg), Metformin (1000 mg), Clopidogrel (75 mg), and </w:t>
      </w:r>
      <w:proofErr w:type="spellStart"/>
      <w:r w:rsidRPr="00137685">
        <w:rPr>
          <w:rFonts w:ascii="Times New Roman" w:eastAsia="Times New Roman" w:hAnsi="Times New Roman" w:cs="Times New Roman"/>
          <w:sz w:val="20"/>
          <w:szCs w:val="20"/>
          <w:lang w:eastAsia="en-GB"/>
        </w:rPr>
        <w:t>Ecospirin</w:t>
      </w:r>
      <w:proofErr w:type="spellEnd"/>
      <w:r w:rsidRPr="00137685">
        <w:rPr>
          <w:rFonts w:ascii="Times New Roman" w:eastAsia="Times New Roman" w:hAnsi="Times New Roman" w:cs="Times New Roman"/>
          <w:sz w:val="20"/>
          <w:szCs w:val="20"/>
          <w:lang w:eastAsia="en-GB"/>
        </w:rPr>
        <w:t xml:space="preserve"> AV (75/20 mg). He had no known drug allergies or prior surgical history. On admission, his vital signs were stable. </w:t>
      </w:r>
      <w:r w:rsidR="00661FE7" w:rsidRPr="00137685">
        <w:rPr>
          <w:rFonts w:ascii="Times New Roman" w:eastAsia="Times New Roman" w:hAnsi="Times New Roman" w:cs="Times New Roman"/>
          <w:sz w:val="20"/>
          <w:szCs w:val="20"/>
          <w:lang w:eastAsia="en-GB"/>
        </w:rPr>
        <w:t>Table 1 highlighted that patient was moderately built with pallor and stable vitals. Musculoskeletal examination revealed pain with restricted movements at the left wrist, hip, knee, and elbow, while neurovascular status remained intact. Cardiovascular, respiratory, abdominal, and CNS examinations were unremarkable.</w:t>
      </w:r>
    </w:p>
    <w:p w14:paraId="0A41C7E4" w14:textId="3A21C4D3" w:rsidR="00B71434" w:rsidRPr="00137685" w:rsidRDefault="00B71434" w:rsidP="00137685">
      <w:pPr>
        <w:spacing w:before="100" w:beforeAutospacing="1" w:after="100" w:afterAutospacing="1" w:line="360" w:lineRule="auto"/>
        <w:jc w:val="both"/>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 xml:space="preserve">Laboratory parameters revealed that </w:t>
      </w:r>
      <w:proofErr w:type="spellStart"/>
      <w:r w:rsidRPr="00137685">
        <w:rPr>
          <w:rFonts w:ascii="Times New Roman" w:eastAsia="Times New Roman" w:hAnsi="Times New Roman" w:cs="Times New Roman"/>
          <w:sz w:val="20"/>
          <w:szCs w:val="20"/>
          <w:lang w:eastAsia="en-GB"/>
        </w:rPr>
        <w:t>hemoglobin</w:t>
      </w:r>
      <w:proofErr w:type="spellEnd"/>
      <w:r w:rsidRPr="00137685">
        <w:rPr>
          <w:rFonts w:ascii="Times New Roman" w:eastAsia="Times New Roman" w:hAnsi="Times New Roman" w:cs="Times New Roman"/>
          <w:sz w:val="20"/>
          <w:szCs w:val="20"/>
          <w:lang w:eastAsia="en-GB"/>
        </w:rPr>
        <w:t xml:space="preserve">: 12.4 g/dL, PCV: 37.5% and random blood sugar: 141 mg/dL. Radiographs confirmed a closed intertrochanteric fracture of the left femur and a closed distal radius fracture of the left wrist. Prophylactic intravenous ceftriaxone was initiated. Clinical Course During hospitalization, a sharp decline in </w:t>
      </w:r>
      <w:proofErr w:type="spellStart"/>
      <w:r w:rsidRPr="00137685">
        <w:rPr>
          <w:rFonts w:ascii="Times New Roman" w:eastAsia="Times New Roman" w:hAnsi="Times New Roman" w:cs="Times New Roman"/>
          <w:sz w:val="20"/>
          <w:szCs w:val="20"/>
          <w:lang w:eastAsia="en-GB"/>
        </w:rPr>
        <w:t>hemoglobin</w:t>
      </w:r>
      <w:proofErr w:type="spellEnd"/>
      <w:r w:rsidRPr="00137685">
        <w:rPr>
          <w:rFonts w:ascii="Times New Roman" w:eastAsia="Times New Roman" w:hAnsi="Times New Roman" w:cs="Times New Roman"/>
          <w:sz w:val="20"/>
          <w:szCs w:val="20"/>
          <w:lang w:eastAsia="en-GB"/>
        </w:rPr>
        <w:t xml:space="preserve"> was noted, dropping to 7.0 g/dL by 29th December. Reticulocyte count was elevated (4.8%), suggesting compensatory marrow response. Further investigations demonstrated elevated LDH (447.03 U/L) and hyperbilirubinemia (3.5 mg/dL) by 3rd January 2025, consistent with </w:t>
      </w:r>
      <w:proofErr w:type="spellStart"/>
      <w:r w:rsidRPr="00137685">
        <w:rPr>
          <w:rFonts w:ascii="Times New Roman" w:eastAsia="Times New Roman" w:hAnsi="Times New Roman" w:cs="Times New Roman"/>
          <w:sz w:val="20"/>
          <w:szCs w:val="20"/>
          <w:lang w:eastAsia="en-GB"/>
        </w:rPr>
        <w:t>hemolysis</w:t>
      </w:r>
      <w:proofErr w:type="spellEnd"/>
      <w:r w:rsidRPr="00137685">
        <w:rPr>
          <w:rFonts w:ascii="Times New Roman" w:eastAsia="Times New Roman" w:hAnsi="Times New Roman" w:cs="Times New Roman"/>
          <w:sz w:val="20"/>
          <w:szCs w:val="20"/>
          <w:lang w:eastAsia="en-GB"/>
        </w:rPr>
        <w:t xml:space="preserve">. Surprisingly, both direct and indirect Coombs tests were negative. The table 2 shows a sharp fall in </w:t>
      </w:r>
      <w:proofErr w:type="spellStart"/>
      <w:r w:rsidRPr="00137685">
        <w:rPr>
          <w:rFonts w:ascii="Times New Roman" w:eastAsia="Times New Roman" w:hAnsi="Times New Roman" w:cs="Times New Roman"/>
          <w:sz w:val="20"/>
          <w:szCs w:val="20"/>
          <w:lang w:eastAsia="en-GB"/>
        </w:rPr>
        <w:t>hemoglobin</w:t>
      </w:r>
      <w:proofErr w:type="spellEnd"/>
      <w:r w:rsidRPr="00137685">
        <w:rPr>
          <w:rFonts w:ascii="Times New Roman" w:eastAsia="Times New Roman" w:hAnsi="Times New Roman" w:cs="Times New Roman"/>
          <w:sz w:val="20"/>
          <w:szCs w:val="20"/>
          <w:lang w:eastAsia="en-GB"/>
        </w:rPr>
        <w:t xml:space="preserve"> after starting ceftriaxone, with reticulocytosis, elevated LDH, and hyperbilirubinemia indicating </w:t>
      </w:r>
      <w:proofErr w:type="spellStart"/>
      <w:r w:rsidRPr="00137685">
        <w:rPr>
          <w:rFonts w:ascii="Times New Roman" w:eastAsia="Times New Roman" w:hAnsi="Times New Roman" w:cs="Times New Roman"/>
          <w:sz w:val="20"/>
          <w:szCs w:val="20"/>
          <w:lang w:eastAsia="en-GB"/>
        </w:rPr>
        <w:t>hemolysis</w:t>
      </w:r>
      <w:proofErr w:type="spellEnd"/>
      <w:r w:rsidRPr="00137685">
        <w:rPr>
          <w:rFonts w:ascii="Times New Roman" w:eastAsia="Times New Roman" w:hAnsi="Times New Roman" w:cs="Times New Roman"/>
          <w:sz w:val="20"/>
          <w:szCs w:val="20"/>
          <w:lang w:eastAsia="en-GB"/>
        </w:rPr>
        <w:t xml:space="preserve">. Despite a negative Coombs test, the close temporal relation and improvement after stopping ceftriaxone support drug-induced </w:t>
      </w:r>
      <w:proofErr w:type="spellStart"/>
      <w:r w:rsidRPr="00137685">
        <w:rPr>
          <w:rFonts w:ascii="Times New Roman" w:eastAsia="Times New Roman" w:hAnsi="Times New Roman" w:cs="Times New Roman"/>
          <w:sz w:val="20"/>
          <w:szCs w:val="20"/>
          <w:lang w:eastAsia="en-GB"/>
        </w:rPr>
        <w:t>hemolysis</w:t>
      </w:r>
      <w:proofErr w:type="spellEnd"/>
      <w:r w:rsidRPr="00137685">
        <w:rPr>
          <w:rFonts w:ascii="Times New Roman" w:eastAsia="Times New Roman" w:hAnsi="Times New Roman" w:cs="Times New Roman"/>
          <w:sz w:val="20"/>
          <w:szCs w:val="20"/>
          <w:lang w:eastAsia="en-GB"/>
        </w:rPr>
        <w:t xml:space="preserve">. </w:t>
      </w:r>
    </w:p>
    <w:p w14:paraId="3B2559EA" w14:textId="44339757" w:rsidR="00E67A01" w:rsidRPr="00137685" w:rsidRDefault="00B71434" w:rsidP="00137685">
      <w:pPr>
        <w:spacing w:before="100" w:beforeAutospacing="1" w:after="100" w:afterAutospacing="1" w:line="360" w:lineRule="auto"/>
        <w:jc w:val="both"/>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lastRenderedPageBreak/>
        <w:t xml:space="preserve">Given the close temporal relationship with ceftriaxone administration and absence of other identifiable causes, drug-induced </w:t>
      </w:r>
      <w:proofErr w:type="spellStart"/>
      <w:r w:rsidRPr="00137685">
        <w:rPr>
          <w:rFonts w:ascii="Times New Roman" w:eastAsia="Times New Roman" w:hAnsi="Times New Roman" w:cs="Times New Roman"/>
          <w:sz w:val="20"/>
          <w:szCs w:val="20"/>
          <w:lang w:eastAsia="en-GB"/>
        </w:rPr>
        <w:t>hemolysis</w:t>
      </w:r>
      <w:proofErr w:type="spellEnd"/>
      <w:r w:rsidRPr="00137685">
        <w:rPr>
          <w:rFonts w:ascii="Times New Roman" w:eastAsia="Times New Roman" w:hAnsi="Times New Roman" w:cs="Times New Roman"/>
          <w:sz w:val="20"/>
          <w:szCs w:val="20"/>
          <w:lang w:eastAsia="en-GB"/>
        </w:rPr>
        <w:t xml:space="preserve"> was suspected. Ceftriaxone was discontinued on 31st December. Supportive management included packed red cell transfusions, strict monitoring of renal and hepatic function, and maintenance of hemodynamic stability. On 2nd January 2025, once </w:t>
      </w:r>
      <w:proofErr w:type="spellStart"/>
      <w:r w:rsidRPr="00137685">
        <w:rPr>
          <w:rFonts w:ascii="Times New Roman" w:eastAsia="Times New Roman" w:hAnsi="Times New Roman" w:cs="Times New Roman"/>
          <w:sz w:val="20"/>
          <w:szCs w:val="20"/>
          <w:lang w:eastAsia="en-GB"/>
        </w:rPr>
        <w:t>hemoglobin</w:t>
      </w:r>
      <w:proofErr w:type="spellEnd"/>
      <w:r w:rsidRPr="00137685">
        <w:rPr>
          <w:rFonts w:ascii="Times New Roman" w:eastAsia="Times New Roman" w:hAnsi="Times New Roman" w:cs="Times New Roman"/>
          <w:sz w:val="20"/>
          <w:szCs w:val="20"/>
          <w:lang w:eastAsia="en-GB"/>
        </w:rPr>
        <w:t xml:space="preserve"> was stabilized, the patient underwent surgical interventions: Closed reduction and internal fixation (CRIF) of the intertrochanteric fracture using PFN/PFNA. Open reduction and internal fixation (ORIF) of the distal radius fracture with plate fixation. Perioperative analgesia was managed with intravenous tramadol (50 mg) and adjunct medications. Postoperative recovery was uneventful, with gradual improvement in </w:t>
      </w:r>
      <w:proofErr w:type="spellStart"/>
      <w:r w:rsidRPr="00137685">
        <w:rPr>
          <w:rFonts w:ascii="Times New Roman" w:eastAsia="Times New Roman" w:hAnsi="Times New Roman" w:cs="Times New Roman"/>
          <w:sz w:val="20"/>
          <w:szCs w:val="20"/>
          <w:lang w:eastAsia="en-GB"/>
        </w:rPr>
        <w:t>hemoglobin</w:t>
      </w:r>
      <w:proofErr w:type="spellEnd"/>
      <w:r w:rsidRPr="00137685">
        <w:rPr>
          <w:rFonts w:ascii="Times New Roman" w:eastAsia="Times New Roman" w:hAnsi="Times New Roman" w:cs="Times New Roman"/>
          <w:sz w:val="20"/>
          <w:szCs w:val="20"/>
          <w:lang w:eastAsia="en-GB"/>
        </w:rPr>
        <w:t xml:space="preserve"> levels and resolution of pallor and weakness.</w:t>
      </w:r>
    </w:p>
    <w:p w14:paraId="22F731EA" w14:textId="3B6A8CDC" w:rsidR="0028441D" w:rsidRPr="00137685" w:rsidRDefault="00661FE7" w:rsidP="00137685">
      <w:pPr>
        <w:spacing w:before="100" w:beforeAutospacing="1" w:after="100" w:afterAutospacing="1" w:line="360" w:lineRule="auto"/>
        <w:rPr>
          <w:rFonts w:ascii="Times New Roman" w:eastAsia="Times New Roman" w:hAnsi="Times New Roman" w:cs="Times New Roman"/>
          <w:b/>
          <w:sz w:val="20"/>
          <w:szCs w:val="20"/>
          <w:lang w:eastAsia="en-GB"/>
        </w:rPr>
      </w:pPr>
      <w:r w:rsidRPr="00137685">
        <w:rPr>
          <w:rFonts w:ascii="Times New Roman" w:eastAsia="Times New Roman" w:hAnsi="Times New Roman" w:cs="Times New Roman"/>
          <w:b/>
          <w:sz w:val="20"/>
          <w:szCs w:val="20"/>
          <w:lang w:eastAsia="en-GB"/>
        </w:rPr>
        <w:t>TABLE 1: EXAMINATION FINDINGS</w:t>
      </w:r>
    </w:p>
    <w:tbl>
      <w:tblPr>
        <w:tblStyle w:val="TableGrid"/>
        <w:tblW w:w="9072" w:type="dxa"/>
        <w:tblInd w:w="421" w:type="dxa"/>
        <w:tblLook w:val="04A0" w:firstRow="1" w:lastRow="0" w:firstColumn="1" w:lastColumn="0" w:noHBand="0" w:noVBand="1"/>
      </w:tblPr>
      <w:tblGrid>
        <w:gridCol w:w="3118"/>
        <w:gridCol w:w="5954"/>
      </w:tblGrid>
      <w:tr w:rsidR="0028441D" w:rsidRPr="00137685" w14:paraId="154BBD21" w14:textId="77777777" w:rsidTr="00661FE7">
        <w:tc>
          <w:tcPr>
            <w:tcW w:w="3118" w:type="dxa"/>
            <w:hideMark/>
          </w:tcPr>
          <w:p w14:paraId="00429190" w14:textId="77777777" w:rsidR="0028441D" w:rsidRPr="00137685" w:rsidRDefault="0028441D"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System/Region</w:t>
            </w:r>
          </w:p>
        </w:tc>
        <w:tc>
          <w:tcPr>
            <w:tcW w:w="5954" w:type="dxa"/>
            <w:hideMark/>
          </w:tcPr>
          <w:p w14:paraId="14D6F398" w14:textId="77777777" w:rsidR="0028441D" w:rsidRPr="00137685" w:rsidRDefault="0028441D"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Findings</w:t>
            </w:r>
          </w:p>
        </w:tc>
      </w:tr>
      <w:tr w:rsidR="0028441D" w:rsidRPr="00137685" w14:paraId="3DBFC83E" w14:textId="77777777" w:rsidTr="00661FE7">
        <w:tc>
          <w:tcPr>
            <w:tcW w:w="3118" w:type="dxa"/>
            <w:hideMark/>
          </w:tcPr>
          <w:p w14:paraId="15A35198"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General Examination</w:t>
            </w:r>
          </w:p>
        </w:tc>
        <w:tc>
          <w:tcPr>
            <w:tcW w:w="5954" w:type="dxa"/>
            <w:hideMark/>
          </w:tcPr>
          <w:p w14:paraId="357DFF81"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 xml:space="preserve">Moderately built and nourished, </w:t>
            </w:r>
            <w:r w:rsidRPr="00137685">
              <w:rPr>
                <w:rStyle w:val="Strong"/>
                <w:rFonts w:ascii="Times New Roman" w:hAnsi="Times New Roman" w:cs="Times New Roman"/>
                <w:sz w:val="20"/>
                <w:szCs w:val="20"/>
              </w:rPr>
              <w:t>pallor present</w:t>
            </w:r>
          </w:p>
        </w:tc>
      </w:tr>
      <w:tr w:rsidR="0028441D" w:rsidRPr="00137685" w14:paraId="27E6D5A9" w14:textId="77777777" w:rsidTr="00661FE7">
        <w:tc>
          <w:tcPr>
            <w:tcW w:w="3118" w:type="dxa"/>
            <w:hideMark/>
          </w:tcPr>
          <w:p w14:paraId="0171D06A"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Vital Signs</w:t>
            </w:r>
          </w:p>
        </w:tc>
        <w:tc>
          <w:tcPr>
            <w:tcW w:w="5954" w:type="dxa"/>
            <w:hideMark/>
          </w:tcPr>
          <w:p w14:paraId="0655167A"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BP: 130/70 mmHg</w:t>
            </w:r>
          </w:p>
          <w:p w14:paraId="094C00FE"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Pulse: 84 bpm</w:t>
            </w:r>
          </w:p>
          <w:p w14:paraId="43CED7DD"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SpO₂: 98%</w:t>
            </w:r>
          </w:p>
          <w:p w14:paraId="713C0DB5"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Urine output: 1100 ml</w:t>
            </w:r>
          </w:p>
        </w:tc>
      </w:tr>
      <w:tr w:rsidR="0028441D" w:rsidRPr="00137685" w14:paraId="2246815B" w14:textId="77777777" w:rsidTr="00661FE7">
        <w:tc>
          <w:tcPr>
            <w:tcW w:w="3118" w:type="dxa"/>
            <w:hideMark/>
          </w:tcPr>
          <w:p w14:paraId="5D9F8671"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Left Wrist</w:t>
            </w:r>
          </w:p>
        </w:tc>
        <w:tc>
          <w:tcPr>
            <w:tcW w:w="5954" w:type="dxa"/>
            <w:hideMark/>
          </w:tcPr>
          <w:p w14:paraId="4BF572EB"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Pain, restricted flexion and extension</w:t>
            </w:r>
          </w:p>
        </w:tc>
      </w:tr>
      <w:tr w:rsidR="0028441D" w:rsidRPr="00137685" w14:paraId="35C38448" w14:textId="77777777" w:rsidTr="00661FE7">
        <w:tc>
          <w:tcPr>
            <w:tcW w:w="3118" w:type="dxa"/>
            <w:hideMark/>
          </w:tcPr>
          <w:p w14:paraId="05DD4DB0"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Left Hip</w:t>
            </w:r>
          </w:p>
        </w:tc>
        <w:tc>
          <w:tcPr>
            <w:tcW w:w="5954" w:type="dxa"/>
            <w:hideMark/>
          </w:tcPr>
          <w:p w14:paraId="15FA134F"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Painful and restricted flexion, extension, abduction, and adduction</w:t>
            </w:r>
          </w:p>
        </w:tc>
      </w:tr>
      <w:tr w:rsidR="0028441D" w:rsidRPr="00137685" w14:paraId="40847D2F" w14:textId="77777777" w:rsidTr="00661FE7">
        <w:tc>
          <w:tcPr>
            <w:tcW w:w="3118" w:type="dxa"/>
            <w:hideMark/>
          </w:tcPr>
          <w:p w14:paraId="28B69C0B"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Left Knee</w:t>
            </w:r>
          </w:p>
        </w:tc>
        <w:tc>
          <w:tcPr>
            <w:tcW w:w="5954" w:type="dxa"/>
            <w:hideMark/>
          </w:tcPr>
          <w:p w14:paraId="008D1C54"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Painful and restricted flexion and extension</w:t>
            </w:r>
          </w:p>
        </w:tc>
      </w:tr>
      <w:tr w:rsidR="0028441D" w:rsidRPr="00137685" w14:paraId="7BA1D93D" w14:textId="77777777" w:rsidTr="00661FE7">
        <w:tc>
          <w:tcPr>
            <w:tcW w:w="3118" w:type="dxa"/>
            <w:hideMark/>
          </w:tcPr>
          <w:p w14:paraId="35C35688"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Left Elbow</w:t>
            </w:r>
          </w:p>
        </w:tc>
        <w:tc>
          <w:tcPr>
            <w:tcW w:w="5954" w:type="dxa"/>
            <w:hideMark/>
          </w:tcPr>
          <w:p w14:paraId="21DB7846"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Painful, restricted internal and external rotation</w:t>
            </w:r>
          </w:p>
        </w:tc>
      </w:tr>
      <w:tr w:rsidR="0028441D" w:rsidRPr="00137685" w14:paraId="6B7FB455" w14:textId="77777777" w:rsidTr="00661FE7">
        <w:tc>
          <w:tcPr>
            <w:tcW w:w="3118" w:type="dxa"/>
            <w:hideMark/>
          </w:tcPr>
          <w:p w14:paraId="0B17E1C3"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Neurovascular Status</w:t>
            </w:r>
          </w:p>
        </w:tc>
        <w:tc>
          <w:tcPr>
            <w:tcW w:w="5954" w:type="dxa"/>
            <w:hideMark/>
          </w:tcPr>
          <w:p w14:paraId="2E3CBF32"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Intact; palpable radial pulse; sensations preserved across dermatomes</w:t>
            </w:r>
          </w:p>
        </w:tc>
      </w:tr>
      <w:tr w:rsidR="0028441D" w:rsidRPr="00137685" w14:paraId="4212A872" w14:textId="77777777" w:rsidTr="00661FE7">
        <w:tc>
          <w:tcPr>
            <w:tcW w:w="3118" w:type="dxa"/>
            <w:hideMark/>
          </w:tcPr>
          <w:p w14:paraId="1D36128C"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Cardiovascular</w:t>
            </w:r>
          </w:p>
        </w:tc>
        <w:tc>
          <w:tcPr>
            <w:tcW w:w="5954" w:type="dxa"/>
            <w:hideMark/>
          </w:tcPr>
          <w:p w14:paraId="3E724D77"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S1 and S2 normal</w:t>
            </w:r>
          </w:p>
        </w:tc>
      </w:tr>
      <w:tr w:rsidR="0028441D" w:rsidRPr="00137685" w14:paraId="232C24F8" w14:textId="77777777" w:rsidTr="00661FE7">
        <w:tc>
          <w:tcPr>
            <w:tcW w:w="3118" w:type="dxa"/>
            <w:hideMark/>
          </w:tcPr>
          <w:p w14:paraId="60D4EB90"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Respiratory</w:t>
            </w:r>
          </w:p>
        </w:tc>
        <w:tc>
          <w:tcPr>
            <w:tcW w:w="5954" w:type="dxa"/>
            <w:hideMark/>
          </w:tcPr>
          <w:p w14:paraId="635DDE75"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Bilateral normal vesicular breath sounds</w:t>
            </w:r>
          </w:p>
        </w:tc>
      </w:tr>
      <w:tr w:rsidR="0028441D" w:rsidRPr="00137685" w14:paraId="58F5D2D9" w14:textId="77777777" w:rsidTr="00661FE7">
        <w:tc>
          <w:tcPr>
            <w:tcW w:w="3118" w:type="dxa"/>
            <w:hideMark/>
          </w:tcPr>
          <w:p w14:paraId="6F92F83C"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Abdominal</w:t>
            </w:r>
          </w:p>
        </w:tc>
        <w:tc>
          <w:tcPr>
            <w:tcW w:w="5954" w:type="dxa"/>
            <w:hideMark/>
          </w:tcPr>
          <w:p w14:paraId="744A1433"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Soft, non-tender</w:t>
            </w:r>
          </w:p>
        </w:tc>
      </w:tr>
      <w:tr w:rsidR="0028441D" w:rsidRPr="00137685" w14:paraId="7228CDEF" w14:textId="77777777" w:rsidTr="00661FE7">
        <w:tc>
          <w:tcPr>
            <w:tcW w:w="3118" w:type="dxa"/>
            <w:hideMark/>
          </w:tcPr>
          <w:p w14:paraId="69A6C571" w14:textId="77777777" w:rsidR="0028441D" w:rsidRPr="00137685" w:rsidRDefault="0028441D" w:rsidP="00137685">
            <w:pPr>
              <w:spacing w:line="360" w:lineRule="auto"/>
              <w:rPr>
                <w:rFonts w:ascii="Times New Roman" w:hAnsi="Times New Roman" w:cs="Times New Roman"/>
                <w:sz w:val="20"/>
                <w:szCs w:val="20"/>
              </w:rPr>
            </w:pPr>
            <w:r w:rsidRPr="00137685">
              <w:rPr>
                <w:rStyle w:val="Strong"/>
                <w:rFonts w:ascii="Times New Roman" w:hAnsi="Times New Roman" w:cs="Times New Roman"/>
                <w:sz w:val="20"/>
                <w:szCs w:val="20"/>
              </w:rPr>
              <w:t>CNS</w:t>
            </w:r>
          </w:p>
        </w:tc>
        <w:tc>
          <w:tcPr>
            <w:tcW w:w="5954" w:type="dxa"/>
            <w:hideMark/>
          </w:tcPr>
          <w:p w14:paraId="3DF16E7F" w14:textId="77777777" w:rsidR="0028441D" w:rsidRPr="00137685" w:rsidRDefault="0028441D"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No focal neurological deficits</w:t>
            </w:r>
          </w:p>
        </w:tc>
      </w:tr>
    </w:tbl>
    <w:p w14:paraId="227134D3" w14:textId="77777777" w:rsidR="00E67A01" w:rsidRPr="00137685" w:rsidRDefault="00E67A01" w:rsidP="00137685">
      <w:pPr>
        <w:spacing w:line="360" w:lineRule="auto"/>
        <w:rPr>
          <w:rFonts w:ascii="Times New Roman" w:eastAsia="Times New Roman" w:hAnsi="Times New Roman" w:cs="Times New Roman"/>
          <w:b/>
          <w:bCs/>
          <w:sz w:val="20"/>
          <w:szCs w:val="20"/>
          <w:lang w:eastAsia="en-GB"/>
        </w:rPr>
      </w:pPr>
    </w:p>
    <w:p w14:paraId="6C0444D0" w14:textId="0E274FD5" w:rsidR="00DB2825" w:rsidRPr="00137685" w:rsidRDefault="00661FE7" w:rsidP="00137685">
      <w:pPr>
        <w:spacing w:line="360" w:lineRule="auto"/>
        <w:rPr>
          <w:rFonts w:ascii="Times New Roman" w:eastAsia="Times New Roman" w:hAnsi="Times New Roman" w:cs="Times New Roman"/>
          <w:b/>
          <w:bCs/>
          <w:sz w:val="20"/>
          <w:szCs w:val="20"/>
          <w:lang w:eastAsia="en-GB"/>
        </w:rPr>
      </w:pPr>
      <w:r w:rsidRPr="00137685">
        <w:rPr>
          <w:rFonts w:ascii="Times New Roman" w:eastAsia="Times New Roman" w:hAnsi="Times New Roman" w:cs="Times New Roman"/>
          <w:b/>
          <w:sz w:val="20"/>
          <w:szCs w:val="20"/>
          <w:lang w:eastAsia="en-GB"/>
        </w:rPr>
        <w:t xml:space="preserve">TABLE 2: </w:t>
      </w:r>
      <w:r w:rsidRPr="00137685">
        <w:rPr>
          <w:rFonts w:ascii="Times New Roman" w:eastAsia="Times New Roman" w:hAnsi="Times New Roman" w:cs="Times New Roman"/>
          <w:b/>
          <w:bCs/>
          <w:sz w:val="20"/>
          <w:szCs w:val="20"/>
          <w:lang w:eastAsia="en-GB"/>
        </w:rPr>
        <w:t>LABORATORY INVESTIGATIONS</w:t>
      </w:r>
    </w:p>
    <w:tbl>
      <w:tblPr>
        <w:tblStyle w:val="TableGrid"/>
        <w:tblW w:w="9923" w:type="dxa"/>
        <w:tblInd w:w="-289" w:type="dxa"/>
        <w:tblLayout w:type="fixed"/>
        <w:tblLook w:val="04A0" w:firstRow="1" w:lastRow="0" w:firstColumn="1" w:lastColumn="0" w:noHBand="0" w:noVBand="1"/>
      </w:tblPr>
      <w:tblGrid>
        <w:gridCol w:w="1497"/>
        <w:gridCol w:w="1551"/>
        <w:gridCol w:w="780"/>
        <w:gridCol w:w="1134"/>
        <w:gridCol w:w="1534"/>
        <w:gridCol w:w="876"/>
        <w:gridCol w:w="1276"/>
        <w:gridCol w:w="1275"/>
      </w:tblGrid>
      <w:tr w:rsidR="00DB2825" w:rsidRPr="00137685" w14:paraId="4439B0B5" w14:textId="77777777" w:rsidTr="00E67A01">
        <w:tc>
          <w:tcPr>
            <w:tcW w:w="1497" w:type="dxa"/>
            <w:hideMark/>
          </w:tcPr>
          <w:p w14:paraId="7AD0C84F"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Date</w:t>
            </w:r>
          </w:p>
        </w:tc>
        <w:tc>
          <w:tcPr>
            <w:tcW w:w="1551" w:type="dxa"/>
            <w:hideMark/>
          </w:tcPr>
          <w:p w14:paraId="36A17C81" w14:textId="77777777" w:rsidR="00DB2825" w:rsidRPr="00137685" w:rsidRDefault="00DB2825" w:rsidP="00137685">
            <w:pPr>
              <w:spacing w:line="360" w:lineRule="auto"/>
              <w:jc w:val="center"/>
              <w:rPr>
                <w:rFonts w:ascii="Times New Roman" w:hAnsi="Times New Roman" w:cs="Times New Roman"/>
                <w:b/>
                <w:bCs/>
                <w:sz w:val="20"/>
                <w:szCs w:val="20"/>
              </w:rPr>
            </w:pPr>
            <w:proofErr w:type="spellStart"/>
            <w:r w:rsidRPr="00137685">
              <w:rPr>
                <w:rStyle w:val="Strong"/>
                <w:rFonts w:ascii="Times New Roman" w:hAnsi="Times New Roman" w:cs="Times New Roman"/>
                <w:sz w:val="20"/>
                <w:szCs w:val="20"/>
              </w:rPr>
              <w:t>Hemoglobin</w:t>
            </w:r>
            <w:proofErr w:type="spellEnd"/>
            <w:r w:rsidRPr="00137685">
              <w:rPr>
                <w:rStyle w:val="Strong"/>
                <w:rFonts w:ascii="Times New Roman" w:hAnsi="Times New Roman" w:cs="Times New Roman"/>
                <w:sz w:val="20"/>
                <w:szCs w:val="20"/>
              </w:rPr>
              <w:t xml:space="preserve"> (g/dL)</w:t>
            </w:r>
          </w:p>
        </w:tc>
        <w:tc>
          <w:tcPr>
            <w:tcW w:w="780" w:type="dxa"/>
            <w:hideMark/>
          </w:tcPr>
          <w:p w14:paraId="6C3239CD"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PCV (%)</w:t>
            </w:r>
          </w:p>
        </w:tc>
        <w:tc>
          <w:tcPr>
            <w:tcW w:w="1134" w:type="dxa"/>
            <w:hideMark/>
          </w:tcPr>
          <w:p w14:paraId="5DE05E9D"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RBS (mg/dL)</w:t>
            </w:r>
          </w:p>
        </w:tc>
        <w:tc>
          <w:tcPr>
            <w:tcW w:w="1534" w:type="dxa"/>
            <w:hideMark/>
          </w:tcPr>
          <w:p w14:paraId="039A91AB"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Reticulocyte Count (%)</w:t>
            </w:r>
          </w:p>
        </w:tc>
        <w:tc>
          <w:tcPr>
            <w:tcW w:w="876" w:type="dxa"/>
            <w:hideMark/>
          </w:tcPr>
          <w:p w14:paraId="5BD2FE6C"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LDH (U/L)</w:t>
            </w:r>
          </w:p>
        </w:tc>
        <w:tc>
          <w:tcPr>
            <w:tcW w:w="1276" w:type="dxa"/>
            <w:hideMark/>
          </w:tcPr>
          <w:p w14:paraId="48776301"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Bilirubin (mg/dL)</w:t>
            </w:r>
          </w:p>
        </w:tc>
        <w:tc>
          <w:tcPr>
            <w:tcW w:w="1275" w:type="dxa"/>
            <w:hideMark/>
          </w:tcPr>
          <w:p w14:paraId="271DFB2D" w14:textId="77777777" w:rsidR="00DB2825" w:rsidRPr="00137685" w:rsidRDefault="00DB2825" w:rsidP="00137685">
            <w:pPr>
              <w:spacing w:line="360" w:lineRule="auto"/>
              <w:jc w:val="center"/>
              <w:rPr>
                <w:rFonts w:ascii="Times New Roman" w:hAnsi="Times New Roman" w:cs="Times New Roman"/>
                <w:b/>
                <w:bCs/>
                <w:sz w:val="20"/>
                <w:szCs w:val="20"/>
              </w:rPr>
            </w:pPr>
            <w:r w:rsidRPr="00137685">
              <w:rPr>
                <w:rStyle w:val="Strong"/>
                <w:rFonts w:ascii="Times New Roman" w:hAnsi="Times New Roman" w:cs="Times New Roman"/>
                <w:sz w:val="20"/>
                <w:szCs w:val="20"/>
              </w:rPr>
              <w:t>Coombs Test</w:t>
            </w:r>
          </w:p>
        </w:tc>
      </w:tr>
      <w:tr w:rsidR="00DB2825" w:rsidRPr="00137685" w14:paraId="652A38A5" w14:textId="77777777" w:rsidTr="00E67A01">
        <w:tc>
          <w:tcPr>
            <w:tcW w:w="1497" w:type="dxa"/>
            <w:hideMark/>
          </w:tcPr>
          <w:p w14:paraId="743CF4E7" w14:textId="77777777" w:rsidR="00DB2825" w:rsidRPr="00137685" w:rsidRDefault="00DB2825"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26 Dec 2024 (Admission)</w:t>
            </w:r>
          </w:p>
        </w:tc>
        <w:tc>
          <w:tcPr>
            <w:tcW w:w="1551" w:type="dxa"/>
            <w:hideMark/>
          </w:tcPr>
          <w:p w14:paraId="618C4A5C"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12.4</w:t>
            </w:r>
          </w:p>
        </w:tc>
        <w:tc>
          <w:tcPr>
            <w:tcW w:w="780" w:type="dxa"/>
            <w:hideMark/>
          </w:tcPr>
          <w:p w14:paraId="5E0DA2C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37.5</w:t>
            </w:r>
          </w:p>
        </w:tc>
        <w:tc>
          <w:tcPr>
            <w:tcW w:w="1134" w:type="dxa"/>
            <w:hideMark/>
          </w:tcPr>
          <w:p w14:paraId="4C2ABA0F"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141</w:t>
            </w:r>
          </w:p>
        </w:tc>
        <w:tc>
          <w:tcPr>
            <w:tcW w:w="1534" w:type="dxa"/>
            <w:hideMark/>
          </w:tcPr>
          <w:p w14:paraId="1E309E67"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876" w:type="dxa"/>
            <w:hideMark/>
          </w:tcPr>
          <w:p w14:paraId="4A399DCC"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6" w:type="dxa"/>
            <w:hideMark/>
          </w:tcPr>
          <w:p w14:paraId="1F6786C9"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5" w:type="dxa"/>
            <w:hideMark/>
          </w:tcPr>
          <w:p w14:paraId="61AA812B"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r>
      <w:tr w:rsidR="00DB2825" w:rsidRPr="00137685" w14:paraId="38C0ACFB" w14:textId="77777777" w:rsidTr="00E67A01">
        <w:tc>
          <w:tcPr>
            <w:tcW w:w="1497" w:type="dxa"/>
            <w:hideMark/>
          </w:tcPr>
          <w:p w14:paraId="1FCBEC9B" w14:textId="77777777" w:rsidR="00DB2825" w:rsidRPr="00137685" w:rsidRDefault="00DB2825"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29 Dec 2024</w:t>
            </w:r>
          </w:p>
        </w:tc>
        <w:tc>
          <w:tcPr>
            <w:tcW w:w="1551" w:type="dxa"/>
            <w:hideMark/>
          </w:tcPr>
          <w:p w14:paraId="6D40C7E7"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7.0</w:t>
            </w:r>
          </w:p>
        </w:tc>
        <w:tc>
          <w:tcPr>
            <w:tcW w:w="780" w:type="dxa"/>
            <w:hideMark/>
          </w:tcPr>
          <w:p w14:paraId="6941E1B3"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134" w:type="dxa"/>
            <w:hideMark/>
          </w:tcPr>
          <w:p w14:paraId="1F7C88BD"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534" w:type="dxa"/>
            <w:hideMark/>
          </w:tcPr>
          <w:p w14:paraId="0796860B"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4.8</w:t>
            </w:r>
          </w:p>
        </w:tc>
        <w:tc>
          <w:tcPr>
            <w:tcW w:w="876" w:type="dxa"/>
            <w:hideMark/>
          </w:tcPr>
          <w:p w14:paraId="34A0FD22"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6" w:type="dxa"/>
            <w:hideMark/>
          </w:tcPr>
          <w:p w14:paraId="1F1BD07A"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5" w:type="dxa"/>
            <w:hideMark/>
          </w:tcPr>
          <w:p w14:paraId="0919AAF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r>
      <w:tr w:rsidR="00DB2825" w:rsidRPr="00137685" w14:paraId="6060E810" w14:textId="77777777" w:rsidTr="00E67A01">
        <w:tc>
          <w:tcPr>
            <w:tcW w:w="1497" w:type="dxa"/>
            <w:hideMark/>
          </w:tcPr>
          <w:p w14:paraId="52B8FE90" w14:textId="77777777" w:rsidR="00DB2825" w:rsidRPr="00137685" w:rsidRDefault="00DB2825"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31 Dec 2024 (Ceftriaxone stopped)</w:t>
            </w:r>
          </w:p>
        </w:tc>
        <w:tc>
          <w:tcPr>
            <w:tcW w:w="1551" w:type="dxa"/>
            <w:hideMark/>
          </w:tcPr>
          <w:p w14:paraId="1E0AAAF0"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780" w:type="dxa"/>
            <w:hideMark/>
          </w:tcPr>
          <w:p w14:paraId="1A4C7DC0"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134" w:type="dxa"/>
            <w:hideMark/>
          </w:tcPr>
          <w:p w14:paraId="0380E9F3"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534" w:type="dxa"/>
            <w:hideMark/>
          </w:tcPr>
          <w:p w14:paraId="039BAF6D"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876" w:type="dxa"/>
            <w:hideMark/>
          </w:tcPr>
          <w:p w14:paraId="06A5992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6" w:type="dxa"/>
            <w:hideMark/>
          </w:tcPr>
          <w:p w14:paraId="19F13B9F"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275" w:type="dxa"/>
            <w:hideMark/>
          </w:tcPr>
          <w:p w14:paraId="5688FD0E"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r>
      <w:tr w:rsidR="00DB2825" w:rsidRPr="00137685" w14:paraId="21E1D1AD" w14:textId="77777777" w:rsidTr="00E67A01">
        <w:tc>
          <w:tcPr>
            <w:tcW w:w="1497" w:type="dxa"/>
            <w:hideMark/>
          </w:tcPr>
          <w:p w14:paraId="00B38FD3" w14:textId="77777777" w:rsidR="00DB2825" w:rsidRPr="00137685" w:rsidRDefault="00DB2825" w:rsidP="00137685">
            <w:pPr>
              <w:spacing w:line="360" w:lineRule="auto"/>
              <w:rPr>
                <w:rFonts w:ascii="Times New Roman" w:hAnsi="Times New Roman" w:cs="Times New Roman"/>
                <w:sz w:val="20"/>
                <w:szCs w:val="20"/>
              </w:rPr>
            </w:pPr>
            <w:r w:rsidRPr="00137685">
              <w:rPr>
                <w:rFonts w:ascii="Times New Roman" w:hAnsi="Times New Roman" w:cs="Times New Roman"/>
                <w:sz w:val="20"/>
                <w:szCs w:val="20"/>
              </w:rPr>
              <w:t>3 Jan 2025</w:t>
            </w:r>
          </w:p>
        </w:tc>
        <w:tc>
          <w:tcPr>
            <w:tcW w:w="1551" w:type="dxa"/>
            <w:hideMark/>
          </w:tcPr>
          <w:p w14:paraId="03A1353F"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7.6</w:t>
            </w:r>
          </w:p>
        </w:tc>
        <w:tc>
          <w:tcPr>
            <w:tcW w:w="780" w:type="dxa"/>
            <w:hideMark/>
          </w:tcPr>
          <w:p w14:paraId="5A847014"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134" w:type="dxa"/>
            <w:hideMark/>
          </w:tcPr>
          <w:p w14:paraId="25CC8B76"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1534" w:type="dxa"/>
            <w:hideMark/>
          </w:tcPr>
          <w:p w14:paraId="330F0070"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w:t>
            </w:r>
          </w:p>
        </w:tc>
        <w:tc>
          <w:tcPr>
            <w:tcW w:w="876" w:type="dxa"/>
            <w:hideMark/>
          </w:tcPr>
          <w:p w14:paraId="6190A8F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447.03</w:t>
            </w:r>
          </w:p>
        </w:tc>
        <w:tc>
          <w:tcPr>
            <w:tcW w:w="1276" w:type="dxa"/>
            <w:hideMark/>
          </w:tcPr>
          <w:p w14:paraId="05AF1B99"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 xml:space="preserve">3.5 (↑) </w:t>
            </w:r>
            <w:r w:rsidRPr="00137685">
              <w:rPr>
                <w:rStyle w:val="Emphasis"/>
                <w:rFonts w:ascii="Times New Roman" w:hAnsi="Times New Roman" w:cs="Times New Roman"/>
                <w:sz w:val="20"/>
                <w:szCs w:val="20"/>
              </w:rPr>
              <w:t>(NR ≤ 3.2)</w:t>
            </w:r>
          </w:p>
        </w:tc>
        <w:tc>
          <w:tcPr>
            <w:tcW w:w="1275" w:type="dxa"/>
            <w:hideMark/>
          </w:tcPr>
          <w:p w14:paraId="29C26678" w14:textId="77777777" w:rsidR="00DB2825" w:rsidRPr="00137685" w:rsidRDefault="00DB2825" w:rsidP="00137685">
            <w:pPr>
              <w:spacing w:line="360" w:lineRule="auto"/>
              <w:jc w:val="center"/>
              <w:rPr>
                <w:rFonts w:ascii="Times New Roman" w:hAnsi="Times New Roman" w:cs="Times New Roman"/>
                <w:sz w:val="20"/>
                <w:szCs w:val="20"/>
              </w:rPr>
            </w:pPr>
            <w:r w:rsidRPr="00137685">
              <w:rPr>
                <w:rFonts w:ascii="Times New Roman" w:hAnsi="Times New Roman" w:cs="Times New Roman"/>
                <w:sz w:val="20"/>
                <w:szCs w:val="20"/>
              </w:rPr>
              <w:t>Negative</w:t>
            </w:r>
          </w:p>
        </w:tc>
      </w:tr>
    </w:tbl>
    <w:p w14:paraId="6F35A9A5" w14:textId="77777777" w:rsidR="00DB2825" w:rsidRPr="00137685" w:rsidRDefault="00DB2825" w:rsidP="00137685">
      <w:pPr>
        <w:spacing w:line="360" w:lineRule="auto"/>
        <w:rPr>
          <w:rFonts w:ascii="Times New Roman" w:hAnsi="Times New Roman" w:cs="Times New Roman"/>
          <w:sz w:val="20"/>
          <w:szCs w:val="20"/>
        </w:rPr>
      </w:pPr>
    </w:p>
    <w:p w14:paraId="1ACD02C2" w14:textId="77777777" w:rsidR="006D08A3" w:rsidRPr="00137685" w:rsidRDefault="006D08A3" w:rsidP="00137685">
      <w:pPr>
        <w:spacing w:before="100" w:beforeAutospacing="1" w:after="100" w:afterAutospacing="1" w:line="360" w:lineRule="auto"/>
        <w:jc w:val="center"/>
        <w:rPr>
          <w:rFonts w:ascii="Times New Roman" w:eastAsia="Times New Roman" w:hAnsi="Times New Roman" w:cs="Times New Roman"/>
          <w:sz w:val="20"/>
          <w:szCs w:val="20"/>
          <w:lang w:eastAsia="en-GB"/>
        </w:rPr>
      </w:pPr>
      <w:r w:rsidRPr="00137685">
        <w:rPr>
          <w:rFonts w:ascii="Times New Roman" w:hAnsi="Times New Roman" w:cs="Times New Roman"/>
          <w:noProof/>
          <w:sz w:val="20"/>
          <w:szCs w:val="20"/>
          <w:lang w:eastAsia="en-GB"/>
        </w:rPr>
        <w:lastRenderedPageBreak/>
        <mc:AlternateContent>
          <mc:Choice Requires="wps">
            <w:drawing>
              <wp:inline distT="0" distB="0" distL="0" distR="0" wp14:anchorId="61C6D36A" wp14:editId="23A96FF0">
                <wp:extent cx="304800" cy="304800"/>
                <wp:effectExtent l="0" t="0" r="0" b="0"/>
                <wp:docPr id="1" name="Rectangle 1" descr="blob:https://web.whatsapp.com/16da2110-aee3-4815-b288-def51c6e9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410E71" id="Rectangle 1" o:spid="_x0000_s1026" alt="blob:https://web.whatsapp.com/16da2110-aee3-4815-b288-def51c6e93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37685">
        <w:rPr>
          <w:rFonts w:ascii="Times New Roman" w:eastAsia="Times New Roman" w:hAnsi="Times New Roman" w:cs="Times New Roman"/>
          <w:noProof/>
          <w:sz w:val="20"/>
          <w:szCs w:val="20"/>
          <w:lang w:eastAsia="en-GB"/>
        </w:rPr>
        <w:drawing>
          <wp:inline distT="0" distB="0" distL="0" distR="0" wp14:anchorId="36380947" wp14:editId="1EC8C063">
            <wp:extent cx="2098030" cy="1250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5722" cy="1261499"/>
                    </a:xfrm>
                    <a:prstGeom prst="rect">
                      <a:avLst/>
                    </a:prstGeom>
                    <a:noFill/>
                  </pic:spPr>
                </pic:pic>
              </a:graphicData>
            </a:graphic>
          </wp:inline>
        </w:drawing>
      </w:r>
    </w:p>
    <w:p w14:paraId="284CCEDC" w14:textId="7A8E3EAE" w:rsidR="00661FE7" w:rsidRPr="00137685" w:rsidRDefault="00661FE7" w:rsidP="00137685">
      <w:pPr>
        <w:spacing w:before="100" w:beforeAutospacing="1" w:after="100" w:afterAutospacing="1" w:line="360" w:lineRule="auto"/>
        <w:jc w:val="center"/>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Figure 1: Laboratory trends during hospitalization</w:t>
      </w:r>
    </w:p>
    <w:p w14:paraId="036247DC" w14:textId="496EA3AC" w:rsidR="00661FE7" w:rsidRPr="00661FE7" w:rsidRDefault="00661FE7" w:rsidP="00137685">
      <w:pPr>
        <w:spacing w:before="100" w:beforeAutospacing="1" w:after="100" w:afterAutospacing="1" w:line="360" w:lineRule="auto"/>
        <w:rPr>
          <w:rFonts w:ascii="Times New Roman" w:eastAsia="Times New Roman" w:hAnsi="Times New Roman" w:cs="Times New Roman"/>
          <w:bCs/>
          <w:sz w:val="20"/>
          <w:szCs w:val="20"/>
          <w:lang w:val="en-IN" w:eastAsia="en-GB"/>
        </w:rPr>
      </w:pPr>
      <w:r w:rsidRPr="00661FE7">
        <w:rPr>
          <w:rFonts w:ascii="Times New Roman" w:eastAsia="Times New Roman" w:hAnsi="Times New Roman" w:cs="Times New Roman"/>
          <w:bCs/>
          <w:sz w:val="20"/>
          <w:szCs w:val="20"/>
          <w:lang w:val="en-IN" w:eastAsia="en-GB"/>
        </w:rPr>
        <w:t xml:space="preserve">The </w:t>
      </w:r>
      <w:r w:rsidRPr="00137685">
        <w:rPr>
          <w:rFonts w:ascii="Times New Roman" w:eastAsia="Times New Roman" w:hAnsi="Times New Roman" w:cs="Times New Roman"/>
          <w:bCs/>
          <w:sz w:val="20"/>
          <w:szCs w:val="20"/>
          <w:lang w:val="en-IN" w:eastAsia="en-GB"/>
        </w:rPr>
        <w:t>Figure 1</w:t>
      </w:r>
      <w:r w:rsidRPr="00661FE7">
        <w:rPr>
          <w:rFonts w:ascii="Times New Roman" w:eastAsia="Times New Roman" w:hAnsi="Times New Roman" w:cs="Times New Roman"/>
          <w:bCs/>
          <w:sz w:val="20"/>
          <w:szCs w:val="20"/>
          <w:lang w:val="en-IN" w:eastAsia="en-GB"/>
        </w:rPr>
        <w:t xml:space="preserve"> show</w:t>
      </w:r>
      <w:r w:rsidRPr="00137685">
        <w:rPr>
          <w:rFonts w:ascii="Times New Roman" w:eastAsia="Times New Roman" w:hAnsi="Times New Roman" w:cs="Times New Roman"/>
          <w:bCs/>
          <w:sz w:val="20"/>
          <w:szCs w:val="20"/>
          <w:lang w:val="en-IN" w:eastAsia="en-GB"/>
        </w:rPr>
        <w:t>s</w:t>
      </w:r>
      <w:r w:rsidRPr="00661FE7">
        <w:rPr>
          <w:rFonts w:ascii="Times New Roman" w:eastAsia="Times New Roman" w:hAnsi="Times New Roman" w:cs="Times New Roman"/>
          <w:bCs/>
          <w:sz w:val="20"/>
          <w:szCs w:val="20"/>
          <w:lang w:val="en-IN" w:eastAsia="en-GB"/>
        </w:rPr>
        <w:t xml:space="preserve"> the laboratory trends during hospitalization:</w:t>
      </w:r>
    </w:p>
    <w:p w14:paraId="6C6B8169" w14:textId="77777777" w:rsidR="00661FE7" w:rsidRPr="00661FE7" w:rsidRDefault="00661FE7" w:rsidP="00137685">
      <w:pPr>
        <w:numPr>
          <w:ilvl w:val="0"/>
          <w:numId w:val="6"/>
        </w:numPr>
        <w:spacing w:before="100" w:beforeAutospacing="1" w:after="100" w:afterAutospacing="1" w:line="360" w:lineRule="auto"/>
        <w:rPr>
          <w:rFonts w:ascii="Times New Roman" w:eastAsia="Times New Roman" w:hAnsi="Times New Roman" w:cs="Times New Roman"/>
          <w:bCs/>
          <w:sz w:val="20"/>
          <w:szCs w:val="20"/>
          <w:lang w:val="en-IN" w:eastAsia="en-GB"/>
        </w:rPr>
      </w:pPr>
      <w:proofErr w:type="spellStart"/>
      <w:r w:rsidRPr="00661FE7">
        <w:rPr>
          <w:rFonts w:ascii="Times New Roman" w:eastAsia="Times New Roman" w:hAnsi="Times New Roman" w:cs="Times New Roman"/>
          <w:b/>
          <w:sz w:val="20"/>
          <w:szCs w:val="20"/>
          <w:lang w:val="en-IN" w:eastAsia="en-GB"/>
        </w:rPr>
        <w:t>Hemoglobin</w:t>
      </w:r>
      <w:proofErr w:type="spellEnd"/>
      <w:r w:rsidRPr="00661FE7">
        <w:rPr>
          <w:rFonts w:ascii="Times New Roman" w:eastAsia="Times New Roman" w:hAnsi="Times New Roman" w:cs="Times New Roman"/>
          <w:b/>
          <w:sz w:val="20"/>
          <w:szCs w:val="20"/>
          <w:lang w:val="en-IN" w:eastAsia="en-GB"/>
        </w:rPr>
        <w:t>:</w:t>
      </w:r>
      <w:r w:rsidRPr="00661FE7">
        <w:rPr>
          <w:rFonts w:ascii="Times New Roman" w:eastAsia="Times New Roman" w:hAnsi="Times New Roman" w:cs="Times New Roman"/>
          <w:bCs/>
          <w:sz w:val="20"/>
          <w:szCs w:val="20"/>
          <w:lang w:val="en-IN" w:eastAsia="en-GB"/>
        </w:rPr>
        <w:t xml:space="preserve"> A steep decline from normal (≈12 g/dL) on admission to around 7 g/dL, with gradual stabilization after ceftriaxone withdrawal.</w:t>
      </w:r>
    </w:p>
    <w:p w14:paraId="735085B6" w14:textId="77777777" w:rsidR="00661FE7" w:rsidRPr="00661FE7" w:rsidRDefault="00661FE7" w:rsidP="00137685">
      <w:pPr>
        <w:numPr>
          <w:ilvl w:val="0"/>
          <w:numId w:val="6"/>
        </w:numPr>
        <w:spacing w:before="100" w:beforeAutospacing="1" w:after="100" w:afterAutospacing="1" w:line="360" w:lineRule="auto"/>
        <w:rPr>
          <w:rFonts w:ascii="Times New Roman" w:eastAsia="Times New Roman" w:hAnsi="Times New Roman" w:cs="Times New Roman"/>
          <w:bCs/>
          <w:sz w:val="20"/>
          <w:szCs w:val="20"/>
          <w:lang w:val="en-IN" w:eastAsia="en-GB"/>
        </w:rPr>
      </w:pPr>
      <w:r w:rsidRPr="00661FE7">
        <w:rPr>
          <w:rFonts w:ascii="Times New Roman" w:eastAsia="Times New Roman" w:hAnsi="Times New Roman" w:cs="Times New Roman"/>
          <w:b/>
          <w:sz w:val="20"/>
          <w:szCs w:val="20"/>
          <w:lang w:val="en-IN" w:eastAsia="en-GB"/>
        </w:rPr>
        <w:t>Reticulocyte count:</w:t>
      </w:r>
      <w:r w:rsidRPr="00661FE7">
        <w:rPr>
          <w:rFonts w:ascii="Times New Roman" w:eastAsia="Times New Roman" w:hAnsi="Times New Roman" w:cs="Times New Roman"/>
          <w:bCs/>
          <w:sz w:val="20"/>
          <w:szCs w:val="20"/>
          <w:lang w:val="en-IN" w:eastAsia="en-GB"/>
        </w:rPr>
        <w:t xml:space="preserve"> Marked increase, indicating bone marrow response to </w:t>
      </w:r>
      <w:proofErr w:type="spellStart"/>
      <w:r w:rsidRPr="00661FE7">
        <w:rPr>
          <w:rFonts w:ascii="Times New Roman" w:eastAsia="Times New Roman" w:hAnsi="Times New Roman" w:cs="Times New Roman"/>
          <w:bCs/>
          <w:sz w:val="20"/>
          <w:szCs w:val="20"/>
          <w:lang w:val="en-IN" w:eastAsia="en-GB"/>
        </w:rPr>
        <w:t>hemolysis</w:t>
      </w:r>
      <w:proofErr w:type="spellEnd"/>
      <w:r w:rsidRPr="00661FE7">
        <w:rPr>
          <w:rFonts w:ascii="Times New Roman" w:eastAsia="Times New Roman" w:hAnsi="Times New Roman" w:cs="Times New Roman"/>
          <w:bCs/>
          <w:sz w:val="20"/>
          <w:szCs w:val="20"/>
          <w:lang w:val="en-IN" w:eastAsia="en-GB"/>
        </w:rPr>
        <w:t>.</w:t>
      </w:r>
    </w:p>
    <w:p w14:paraId="0CB94842" w14:textId="3B05FFE9" w:rsidR="00661FE7" w:rsidRPr="00137685" w:rsidRDefault="00661FE7" w:rsidP="00137685">
      <w:pPr>
        <w:numPr>
          <w:ilvl w:val="0"/>
          <w:numId w:val="6"/>
        </w:numPr>
        <w:spacing w:before="100" w:beforeAutospacing="1" w:after="100" w:afterAutospacing="1" w:line="360" w:lineRule="auto"/>
        <w:rPr>
          <w:rFonts w:ascii="Times New Roman" w:eastAsia="Times New Roman" w:hAnsi="Times New Roman" w:cs="Times New Roman"/>
          <w:bCs/>
          <w:sz w:val="20"/>
          <w:szCs w:val="20"/>
          <w:lang w:val="en-IN" w:eastAsia="en-GB"/>
        </w:rPr>
      </w:pPr>
      <w:r w:rsidRPr="00661FE7">
        <w:rPr>
          <w:rFonts w:ascii="Times New Roman" w:eastAsia="Times New Roman" w:hAnsi="Times New Roman" w:cs="Times New Roman"/>
          <w:b/>
          <w:sz w:val="20"/>
          <w:szCs w:val="20"/>
          <w:lang w:val="en-IN" w:eastAsia="en-GB"/>
        </w:rPr>
        <w:t>LDH:</w:t>
      </w:r>
      <w:r w:rsidRPr="00661FE7">
        <w:rPr>
          <w:rFonts w:ascii="Times New Roman" w:eastAsia="Times New Roman" w:hAnsi="Times New Roman" w:cs="Times New Roman"/>
          <w:bCs/>
          <w:sz w:val="20"/>
          <w:szCs w:val="20"/>
          <w:lang w:val="en-IN" w:eastAsia="en-GB"/>
        </w:rPr>
        <w:t xml:space="preserve"> Sharp spike during the episode, consistent with </w:t>
      </w:r>
      <w:proofErr w:type="spellStart"/>
      <w:r w:rsidRPr="00661FE7">
        <w:rPr>
          <w:rFonts w:ascii="Times New Roman" w:eastAsia="Times New Roman" w:hAnsi="Times New Roman" w:cs="Times New Roman"/>
          <w:bCs/>
          <w:sz w:val="20"/>
          <w:szCs w:val="20"/>
          <w:lang w:val="en-IN" w:eastAsia="en-GB"/>
        </w:rPr>
        <w:t>hemolysis</w:t>
      </w:r>
      <w:proofErr w:type="spellEnd"/>
      <w:r w:rsidRPr="00661FE7">
        <w:rPr>
          <w:rFonts w:ascii="Times New Roman" w:eastAsia="Times New Roman" w:hAnsi="Times New Roman" w:cs="Times New Roman"/>
          <w:bCs/>
          <w:sz w:val="20"/>
          <w:szCs w:val="20"/>
          <w:lang w:val="en-IN" w:eastAsia="en-GB"/>
        </w:rPr>
        <w:t>, followed by normalization.</w:t>
      </w:r>
    </w:p>
    <w:p w14:paraId="76763C65" w14:textId="6CC514F2" w:rsidR="002E3468" w:rsidRPr="00137685" w:rsidRDefault="002E3468" w:rsidP="00137685">
      <w:pPr>
        <w:spacing w:before="100" w:beforeAutospacing="1" w:after="100" w:afterAutospacing="1" w:line="360" w:lineRule="auto"/>
        <w:rPr>
          <w:rFonts w:ascii="Times New Roman" w:eastAsia="Times New Roman" w:hAnsi="Times New Roman" w:cs="Times New Roman"/>
          <w:bCs/>
          <w:sz w:val="20"/>
          <w:szCs w:val="20"/>
          <w:lang w:eastAsia="en-GB"/>
        </w:rPr>
      </w:pPr>
      <w:r w:rsidRPr="00137685">
        <w:rPr>
          <w:rFonts w:ascii="Times New Roman" w:eastAsia="Times New Roman" w:hAnsi="Times New Roman" w:cs="Times New Roman"/>
          <w:b/>
          <w:sz w:val="20"/>
          <w:szCs w:val="20"/>
          <w:lang w:eastAsia="en-GB"/>
        </w:rPr>
        <w:t>SOME RELATED CASE STUDIES:</w:t>
      </w:r>
    </w:p>
    <w:p w14:paraId="768B4978" w14:textId="769144B6" w:rsidR="00831A54" w:rsidRPr="00137685" w:rsidRDefault="00831A54" w:rsidP="00137685">
      <w:pPr>
        <w:spacing w:before="100" w:beforeAutospacing="1" w:after="100" w:afterAutospacing="1" w:line="360" w:lineRule="auto"/>
        <w:rPr>
          <w:rFonts w:ascii="Times New Roman" w:eastAsia="Times New Roman" w:hAnsi="Times New Roman" w:cs="Times New Roman"/>
          <w:bCs/>
          <w:sz w:val="20"/>
          <w:szCs w:val="20"/>
          <w:lang w:val="en-IN" w:eastAsia="en-GB"/>
        </w:rPr>
      </w:pPr>
      <w:r w:rsidRPr="00137685">
        <w:rPr>
          <w:rFonts w:ascii="Times New Roman" w:eastAsia="Times New Roman" w:hAnsi="Times New Roman" w:cs="Times New Roman"/>
          <w:bCs/>
          <w:sz w:val="20"/>
          <w:szCs w:val="20"/>
          <w:lang w:val="en-IN" w:eastAsia="en-GB"/>
        </w:rPr>
        <w:t xml:space="preserve">Guleria et al. (2013) described a 60-year-old woman with community-acquired pneumonia who developed severe </w:t>
      </w:r>
      <w:proofErr w:type="spellStart"/>
      <w:r w:rsidRPr="00137685">
        <w:rPr>
          <w:rFonts w:ascii="Times New Roman" w:eastAsia="Times New Roman" w:hAnsi="Times New Roman" w:cs="Times New Roman"/>
          <w:bCs/>
          <w:sz w:val="20"/>
          <w:szCs w:val="20"/>
          <w:lang w:val="en-IN" w:eastAsia="en-GB"/>
        </w:rPr>
        <w:t>hemolysis</w:t>
      </w:r>
      <w:proofErr w:type="spellEnd"/>
      <w:r w:rsidRPr="00137685">
        <w:rPr>
          <w:rFonts w:ascii="Times New Roman" w:eastAsia="Times New Roman" w:hAnsi="Times New Roman" w:cs="Times New Roman"/>
          <w:bCs/>
          <w:sz w:val="20"/>
          <w:szCs w:val="20"/>
          <w:lang w:val="en-IN" w:eastAsia="en-GB"/>
        </w:rPr>
        <w:t xml:space="preserve"> after the first dose of ceftriaxone, with her </w:t>
      </w:r>
      <w:proofErr w:type="spellStart"/>
      <w:r w:rsidRPr="00137685">
        <w:rPr>
          <w:rFonts w:ascii="Times New Roman" w:eastAsia="Times New Roman" w:hAnsi="Times New Roman" w:cs="Times New Roman"/>
          <w:bCs/>
          <w:sz w:val="20"/>
          <w:szCs w:val="20"/>
          <w:lang w:val="en-IN" w:eastAsia="en-GB"/>
        </w:rPr>
        <w:t>hemoglobin</w:t>
      </w:r>
      <w:proofErr w:type="spellEnd"/>
      <w:r w:rsidRPr="00137685">
        <w:rPr>
          <w:rFonts w:ascii="Times New Roman" w:eastAsia="Times New Roman" w:hAnsi="Times New Roman" w:cs="Times New Roman"/>
          <w:bCs/>
          <w:sz w:val="20"/>
          <w:szCs w:val="20"/>
          <w:lang w:val="en-IN" w:eastAsia="en-GB"/>
        </w:rPr>
        <w:t xml:space="preserve"> falling from 9.6 g/dL to 5.5 g/dL. She showed clinical improvement following discontinuation of ceftriaxone and administration of a blood transfusion </w:t>
      </w:r>
      <w:r w:rsidRPr="00137685">
        <w:rPr>
          <w:rFonts w:ascii="Times New Roman" w:eastAsia="Times New Roman" w:hAnsi="Times New Roman" w:cs="Times New Roman"/>
          <w:bCs/>
          <w:sz w:val="20"/>
          <w:szCs w:val="20"/>
          <w:vertAlign w:val="superscript"/>
          <w:lang w:val="en-IN" w:eastAsia="en-GB"/>
        </w:rPr>
        <w:t>5</w:t>
      </w:r>
      <w:r w:rsidRPr="00137685">
        <w:rPr>
          <w:rFonts w:ascii="Times New Roman" w:eastAsia="Times New Roman" w:hAnsi="Times New Roman" w:cs="Times New Roman"/>
          <w:bCs/>
          <w:sz w:val="20"/>
          <w:szCs w:val="20"/>
          <w:lang w:val="en-IN" w:eastAsia="en-GB"/>
        </w:rPr>
        <w:t>.</w:t>
      </w:r>
    </w:p>
    <w:p w14:paraId="4211ECE6" w14:textId="05D13402" w:rsidR="00831A54" w:rsidRPr="00137685" w:rsidRDefault="00831A54" w:rsidP="00137685">
      <w:pPr>
        <w:spacing w:before="100" w:beforeAutospacing="1" w:after="100" w:afterAutospacing="1" w:line="360" w:lineRule="auto"/>
        <w:rPr>
          <w:rFonts w:ascii="Times New Roman" w:eastAsia="Times New Roman" w:hAnsi="Times New Roman" w:cs="Times New Roman"/>
          <w:bCs/>
          <w:sz w:val="20"/>
          <w:szCs w:val="20"/>
          <w:lang w:val="en-IN" w:eastAsia="en-GB"/>
        </w:rPr>
      </w:pPr>
      <w:r w:rsidRPr="00137685">
        <w:rPr>
          <w:rFonts w:ascii="Times New Roman" w:eastAsia="Times New Roman" w:hAnsi="Times New Roman" w:cs="Times New Roman"/>
          <w:bCs/>
          <w:sz w:val="20"/>
          <w:szCs w:val="20"/>
          <w:lang w:val="en-IN" w:eastAsia="en-GB"/>
        </w:rPr>
        <w:t xml:space="preserve">Sandeep Kumar et al. (2020) reported a 62-year-old woman with type 2 diabetes who developed diabetic ketoacidosis and a urinary tract infection, treated with IV insulin and ceftriaxone. Five days into ceftriaxone therapy, she developed </w:t>
      </w:r>
      <w:proofErr w:type="spellStart"/>
      <w:r w:rsidRPr="00137685">
        <w:rPr>
          <w:rFonts w:ascii="Times New Roman" w:eastAsia="Times New Roman" w:hAnsi="Times New Roman" w:cs="Times New Roman"/>
          <w:bCs/>
          <w:sz w:val="20"/>
          <w:szCs w:val="20"/>
          <w:lang w:val="en-IN" w:eastAsia="en-GB"/>
        </w:rPr>
        <w:t>hemolytic</w:t>
      </w:r>
      <w:proofErr w:type="spellEnd"/>
      <w:r w:rsidRPr="00137685">
        <w:rPr>
          <w:rFonts w:ascii="Times New Roman" w:eastAsia="Times New Roman" w:hAnsi="Times New Roman" w:cs="Times New Roman"/>
          <w:bCs/>
          <w:sz w:val="20"/>
          <w:szCs w:val="20"/>
          <w:lang w:val="en-IN" w:eastAsia="en-GB"/>
        </w:rPr>
        <w:t xml:space="preserve"> </w:t>
      </w:r>
      <w:proofErr w:type="spellStart"/>
      <w:r w:rsidRPr="00137685">
        <w:rPr>
          <w:rFonts w:ascii="Times New Roman" w:eastAsia="Times New Roman" w:hAnsi="Times New Roman" w:cs="Times New Roman"/>
          <w:bCs/>
          <w:sz w:val="20"/>
          <w:szCs w:val="20"/>
          <w:lang w:val="en-IN" w:eastAsia="en-GB"/>
        </w:rPr>
        <w:t>anemia</w:t>
      </w:r>
      <w:proofErr w:type="spellEnd"/>
      <w:r w:rsidRPr="00137685">
        <w:rPr>
          <w:rFonts w:ascii="Times New Roman" w:eastAsia="Times New Roman" w:hAnsi="Times New Roman" w:cs="Times New Roman"/>
          <w:bCs/>
          <w:sz w:val="20"/>
          <w:szCs w:val="20"/>
          <w:lang w:val="en-IN" w:eastAsia="en-GB"/>
        </w:rPr>
        <w:t xml:space="preserve">, evidenced by a drop in </w:t>
      </w:r>
      <w:proofErr w:type="spellStart"/>
      <w:r w:rsidRPr="00137685">
        <w:rPr>
          <w:rFonts w:ascii="Times New Roman" w:eastAsia="Times New Roman" w:hAnsi="Times New Roman" w:cs="Times New Roman"/>
          <w:bCs/>
          <w:sz w:val="20"/>
          <w:szCs w:val="20"/>
          <w:lang w:val="en-IN" w:eastAsia="en-GB"/>
        </w:rPr>
        <w:t>hemoglobin</w:t>
      </w:r>
      <w:proofErr w:type="spellEnd"/>
      <w:r w:rsidRPr="00137685">
        <w:rPr>
          <w:rFonts w:ascii="Times New Roman" w:eastAsia="Times New Roman" w:hAnsi="Times New Roman" w:cs="Times New Roman"/>
          <w:bCs/>
          <w:sz w:val="20"/>
          <w:szCs w:val="20"/>
          <w:lang w:val="en-IN" w:eastAsia="en-GB"/>
        </w:rPr>
        <w:t xml:space="preserve">, elevated bilirubin, and LDH, with no other cause identified. Ceftriaxone was discontinued, switched to imipenem, and she received one unit of RBCs. Her </w:t>
      </w:r>
      <w:proofErr w:type="spellStart"/>
      <w:r w:rsidRPr="00137685">
        <w:rPr>
          <w:rFonts w:ascii="Times New Roman" w:eastAsia="Times New Roman" w:hAnsi="Times New Roman" w:cs="Times New Roman"/>
          <w:bCs/>
          <w:sz w:val="20"/>
          <w:szCs w:val="20"/>
          <w:lang w:val="en-IN" w:eastAsia="en-GB"/>
        </w:rPr>
        <w:t>hemoglobin</w:t>
      </w:r>
      <w:proofErr w:type="spellEnd"/>
      <w:r w:rsidRPr="00137685">
        <w:rPr>
          <w:rFonts w:ascii="Times New Roman" w:eastAsia="Times New Roman" w:hAnsi="Times New Roman" w:cs="Times New Roman"/>
          <w:bCs/>
          <w:sz w:val="20"/>
          <w:szCs w:val="20"/>
          <w:lang w:val="en-IN" w:eastAsia="en-GB"/>
        </w:rPr>
        <w:t xml:space="preserve"> and labs gradually normalized, and she fully recovered by day 40 </w:t>
      </w:r>
      <w:r w:rsidRPr="00137685">
        <w:rPr>
          <w:rFonts w:ascii="Times New Roman" w:eastAsia="Times New Roman" w:hAnsi="Times New Roman" w:cs="Times New Roman"/>
          <w:bCs/>
          <w:sz w:val="20"/>
          <w:szCs w:val="20"/>
          <w:vertAlign w:val="superscript"/>
          <w:lang w:val="en-IN" w:eastAsia="en-GB"/>
        </w:rPr>
        <w:t>6</w:t>
      </w:r>
      <w:r w:rsidRPr="00137685">
        <w:rPr>
          <w:rFonts w:ascii="Times New Roman" w:eastAsia="Times New Roman" w:hAnsi="Times New Roman" w:cs="Times New Roman"/>
          <w:bCs/>
          <w:sz w:val="20"/>
          <w:szCs w:val="20"/>
          <w:lang w:val="en-IN" w:eastAsia="en-GB"/>
        </w:rPr>
        <w:t>.</w:t>
      </w:r>
    </w:p>
    <w:p w14:paraId="03864156" w14:textId="2ACFEEF5" w:rsidR="002E3468" w:rsidRPr="002E3468" w:rsidRDefault="002E3468" w:rsidP="00137685">
      <w:pPr>
        <w:spacing w:before="100" w:beforeAutospacing="1" w:after="100" w:afterAutospacing="1" w:line="360" w:lineRule="auto"/>
        <w:rPr>
          <w:rFonts w:ascii="Times New Roman" w:eastAsia="Times New Roman" w:hAnsi="Times New Roman" w:cs="Times New Roman"/>
          <w:bCs/>
          <w:sz w:val="20"/>
          <w:szCs w:val="20"/>
          <w:lang w:val="en-IN" w:eastAsia="en-GB"/>
        </w:rPr>
      </w:pPr>
      <w:r w:rsidRPr="002E3468">
        <w:rPr>
          <w:rFonts w:ascii="Times New Roman" w:eastAsia="Times New Roman" w:hAnsi="Times New Roman" w:cs="Times New Roman"/>
          <w:bCs/>
          <w:sz w:val="20"/>
          <w:szCs w:val="20"/>
          <w:lang w:val="en-IN" w:eastAsia="en-GB"/>
        </w:rPr>
        <w:t xml:space="preserve">Jaslyn Maurer et al. 2023 reported the case of a 59-year-old Korean woman with a history of hypertension, </w:t>
      </w:r>
      <w:proofErr w:type="spellStart"/>
      <w:r w:rsidRPr="002E3468">
        <w:rPr>
          <w:rFonts w:ascii="Times New Roman" w:eastAsia="Times New Roman" w:hAnsi="Times New Roman" w:cs="Times New Roman"/>
          <w:bCs/>
          <w:sz w:val="20"/>
          <w:szCs w:val="20"/>
          <w:lang w:val="en-IN" w:eastAsia="en-GB"/>
        </w:rPr>
        <w:t>hyperlipidemia</w:t>
      </w:r>
      <w:proofErr w:type="spellEnd"/>
      <w:r w:rsidRPr="002E3468">
        <w:rPr>
          <w:rFonts w:ascii="Times New Roman" w:eastAsia="Times New Roman" w:hAnsi="Times New Roman" w:cs="Times New Roman"/>
          <w:bCs/>
          <w:sz w:val="20"/>
          <w:szCs w:val="20"/>
          <w:lang w:val="en-IN" w:eastAsia="en-GB"/>
        </w:rPr>
        <w:t xml:space="preserve">, and diabetes, and no known drug allergies, who was receiving ceftriaxone for pyelonephritis in an outpatient parenteral antimicrobial therapy (OPAT) unit. Several days after starting the antibiotic, she was hospitalized with laboratory findings indicative of </w:t>
      </w:r>
      <w:proofErr w:type="spellStart"/>
      <w:r w:rsidRPr="002E3468">
        <w:rPr>
          <w:rFonts w:ascii="Times New Roman" w:eastAsia="Times New Roman" w:hAnsi="Times New Roman" w:cs="Times New Roman"/>
          <w:bCs/>
          <w:sz w:val="20"/>
          <w:szCs w:val="20"/>
          <w:lang w:val="en-IN" w:eastAsia="en-GB"/>
        </w:rPr>
        <w:t>hemolysis</w:t>
      </w:r>
      <w:proofErr w:type="spellEnd"/>
      <w:r w:rsidRPr="002E3468">
        <w:rPr>
          <w:rFonts w:ascii="Times New Roman" w:eastAsia="Times New Roman" w:hAnsi="Times New Roman" w:cs="Times New Roman"/>
          <w:bCs/>
          <w:sz w:val="20"/>
          <w:szCs w:val="20"/>
          <w:lang w:val="en-IN" w:eastAsia="en-GB"/>
        </w:rPr>
        <w:t>. All abnormalities resolved after ceftriaxone was discontinued and ertapenem therapy was initiated</w:t>
      </w:r>
      <w:r w:rsidR="00831A54" w:rsidRPr="00137685">
        <w:rPr>
          <w:rFonts w:ascii="Times New Roman" w:eastAsia="Times New Roman" w:hAnsi="Times New Roman" w:cs="Times New Roman"/>
          <w:bCs/>
          <w:sz w:val="20"/>
          <w:szCs w:val="20"/>
          <w:lang w:val="en-IN" w:eastAsia="en-GB"/>
        </w:rPr>
        <w:t xml:space="preserve"> </w:t>
      </w:r>
      <w:r w:rsidR="00831A54" w:rsidRPr="00137685">
        <w:rPr>
          <w:rFonts w:ascii="Times New Roman" w:eastAsia="Times New Roman" w:hAnsi="Times New Roman" w:cs="Times New Roman"/>
          <w:bCs/>
          <w:sz w:val="20"/>
          <w:szCs w:val="20"/>
          <w:vertAlign w:val="superscript"/>
          <w:lang w:val="en-IN" w:eastAsia="en-GB"/>
        </w:rPr>
        <w:t>7</w:t>
      </w:r>
      <w:r w:rsidRPr="002E3468">
        <w:rPr>
          <w:rFonts w:ascii="Times New Roman" w:eastAsia="Times New Roman" w:hAnsi="Times New Roman" w:cs="Times New Roman"/>
          <w:bCs/>
          <w:sz w:val="20"/>
          <w:szCs w:val="20"/>
          <w:lang w:val="en-IN" w:eastAsia="en-GB"/>
        </w:rPr>
        <w:t>.</w:t>
      </w:r>
    </w:p>
    <w:p w14:paraId="289EE4C1" w14:textId="2F186E9C" w:rsidR="00831A54" w:rsidRPr="00137685" w:rsidRDefault="00831A54" w:rsidP="00137685">
      <w:pPr>
        <w:spacing w:before="100" w:beforeAutospacing="1" w:after="100" w:afterAutospacing="1" w:line="360" w:lineRule="auto"/>
        <w:rPr>
          <w:rFonts w:ascii="Times New Roman" w:eastAsia="Times New Roman" w:hAnsi="Times New Roman" w:cs="Times New Roman"/>
          <w:bCs/>
          <w:sz w:val="20"/>
          <w:szCs w:val="20"/>
          <w:lang w:eastAsia="en-GB"/>
        </w:rPr>
      </w:pPr>
      <w:r w:rsidRPr="00137685">
        <w:rPr>
          <w:rFonts w:ascii="Times New Roman" w:eastAsia="Times New Roman" w:hAnsi="Times New Roman" w:cs="Times New Roman"/>
          <w:bCs/>
          <w:sz w:val="20"/>
          <w:szCs w:val="20"/>
          <w:lang w:eastAsia="en-GB"/>
        </w:rPr>
        <w:t xml:space="preserve">Zhang et al. (2025) reported a 54-year-old woman who developed </w:t>
      </w:r>
      <w:proofErr w:type="spellStart"/>
      <w:r w:rsidRPr="00137685">
        <w:rPr>
          <w:rFonts w:ascii="Times New Roman" w:eastAsia="Times New Roman" w:hAnsi="Times New Roman" w:cs="Times New Roman"/>
          <w:bCs/>
          <w:sz w:val="20"/>
          <w:szCs w:val="20"/>
          <w:lang w:eastAsia="en-GB"/>
        </w:rPr>
        <w:t>hemolysis</w:t>
      </w:r>
      <w:proofErr w:type="spellEnd"/>
      <w:r w:rsidRPr="00137685">
        <w:rPr>
          <w:rFonts w:ascii="Times New Roman" w:eastAsia="Times New Roman" w:hAnsi="Times New Roman" w:cs="Times New Roman"/>
          <w:bCs/>
          <w:sz w:val="20"/>
          <w:szCs w:val="20"/>
          <w:lang w:eastAsia="en-GB"/>
        </w:rPr>
        <w:t xml:space="preserve"> following intravenous ceftriaxone for a respiratory infection. Clinicians should promptly recognize signs of CIHA—fatigue, pallor, nausea, vomiting, and trunk pain—and discontinue ceftriaxone, with laboratory tests aiding in confirming the diagnosis</w:t>
      </w:r>
      <w:r w:rsidR="00FB1D72" w:rsidRPr="00137685">
        <w:rPr>
          <w:rFonts w:ascii="Times New Roman" w:eastAsia="Times New Roman" w:hAnsi="Times New Roman" w:cs="Times New Roman"/>
          <w:bCs/>
          <w:sz w:val="20"/>
          <w:szCs w:val="20"/>
          <w:lang w:eastAsia="en-GB"/>
        </w:rPr>
        <w:t xml:space="preserve"> </w:t>
      </w:r>
      <w:r w:rsidR="00FB1D72" w:rsidRPr="00137685">
        <w:rPr>
          <w:rFonts w:ascii="Times New Roman" w:eastAsia="Times New Roman" w:hAnsi="Times New Roman" w:cs="Times New Roman"/>
          <w:bCs/>
          <w:sz w:val="20"/>
          <w:szCs w:val="20"/>
          <w:vertAlign w:val="superscript"/>
          <w:lang w:eastAsia="en-GB"/>
        </w:rPr>
        <w:t>8</w:t>
      </w:r>
      <w:r w:rsidRPr="00137685">
        <w:rPr>
          <w:rFonts w:ascii="Times New Roman" w:eastAsia="Times New Roman" w:hAnsi="Times New Roman" w:cs="Times New Roman"/>
          <w:bCs/>
          <w:sz w:val="20"/>
          <w:szCs w:val="20"/>
          <w:lang w:eastAsia="en-GB"/>
        </w:rPr>
        <w:t>.</w:t>
      </w:r>
    </w:p>
    <w:p w14:paraId="0779199B" w14:textId="61843981" w:rsidR="00661FE7" w:rsidRPr="00137685" w:rsidRDefault="0028441D" w:rsidP="00137685">
      <w:pPr>
        <w:spacing w:before="100" w:beforeAutospacing="1" w:after="100" w:afterAutospacing="1" w:line="360" w:lineRule="auto"/>
        <w:rPr>
          <w:rFonts w:ascii="Times New Roman" w:eastAsia="Times New Roman" w:hAnsi="Times New Roman" w:cs="Times New Roman"/>
          <w:b/>
          <w:sz w:val="20"/>
          <w:szCs w:val="20"/>
          <w:lang w:eastAsia="en-GB"/>
        </w:rPr>
      </w:pPr>
      <w:r w:rsidRPr="00137685">
        <w:rPr>
          <w:rFonts w:ascii="Times New Roman" w:eastAsia="Times New Roman" w:hAnsi="Times New Roman" w:cs="Times New Roman"/>
          <w:b/>
          <w:sz w:val="20"/>
          <w:szCs w:val="20"/>
          <w:lang w:eastAsia="en-GB"/>
        </w:rPr>
        <w:t>DISCUSSION</w:t>
      </w:r>
      <w:r w:rsidR="002E3468" w:rsidRPr="00137685">
        <w:rPr>
          <w:rFonts w:ascii="Times New Roman" w:eastAsia="Times New Roman" w:hAnsi="Times New Roman" w:cs="Times New Roman"/>
          <w:b/>
          <w:sz w:val="20"/>
          <w:szCs w:val="20"/>
          <w:lang w:eastAsia="en-GB"/>
        </w:rPr>
        <w:t>:</w:t>
      </w:r>
    </w:p>
    <w:p w14:paraId="05634A1A" w14:textId="47AB1285" w:rsidR="00CD71C2" w:rsidRPr="00137685" w:rsidRDefault="00CD71C2" w:rsidP="00137685">
      <w:pPr>
        <w:spacing w:before="100" w:beforeAutospacing="1" w:after="100" w:afterAutospacing="1" w:line="360" w:lineRule="auto"/>
        <w:jc w:val="both"/>
        <w:rPr>
          <w:rFonts w:ascii="Times New Roman" w:hAnsi="Times New Roman" w:cs="Times New Roman"/>
          <w:sz w:val="20"/>
          <w:szCs w:val="20"/>
        </w:rPr>
      </w:pPr>
      <w:r w:rsidRPr="00137685">
        <w:rPr>
          <w:rFonts w:ascii="Times New Roman" w:hAnsi="Times New Roman" w:cs="Times New Roman"/>
          <w:sz w:val="20"/>
          <w:szCs w:val="20"/>
        </w:rPr>
        <w:lastRenderedPageBreak/>
        <w:t xml:space="preserve">Ceftriaxone, a third-generation cephalosporin introduced in 1984, is widely prescribed across multiple specialties due to its broad-spectrum activity and </w:t>
      </w:r>
      <w:proofErr w:type="spellStart"/>
      <w:r w:rsidRPr="00137685">
        <w:rPr>
          <w:rFonts w:ascii="Times New Roman" w:hAnsi="Times New Roman" w:cs="Times New Roman"/>
          <w:sz w:val="20"/>
          <w:szCs w:val="20"/>
        </w:rPr>
        <w:t>favorable</w:t>
      </w:r>
      <w:proofErr w:type="spellEnd"/>
      <w:r w:rsidRPr="00137685">
        <w:rPr>
          <w:rFonts w:ascii="Times New Roman" w:hAnsi="Times New Roman" w:cs="Times New Roman"/>
          <w:sz w:val="20"/>
          <w:szCs w:val="20"/>
        </w:rPr>
        <w:t xml:space="preserve"> pharmacokinetics. While generally well tolerated, adverse reactions such as urticaria, rash, pruritus, and exanthema occur in approximately 3% of patients. Rarely, ceftriaxone has been implicated in drug-induced immune </w:t>
      </w:r>
      <w:proofErr w:type="spellStart"/>
      <w:r w:rsidRPr="00137685">
        <w:rPr>
          <w:rFonts w:ascii="Times New Roman" w:hAnsi="Times New Roman" w:cs="Times New Roman"/>
          <w:sz w:val="20"/>
          <w:szCs w:val="20"/>
        </w:rPr>
        <w:t>hemolytic</w:t>
      </w:r>
      <w:proofErr w:type="spellEnd"/>
      <w:r w:rsidRPr="00137685">
        <w:rPr>
          <w:rFonts w:ascii="Times New Roman" w:hAnsi="Times New Roman" w:cs="Times New Roman"/>
          <w:sz w:val="20"/>
          <w:szCs w:val="20"/>
        </w:rPr>
        <w:t xml:space="preserve"> </w:t>
      </w:r>
      <w:proofErr w:type="spellStart"/>
      <w:r w:rsidRPr="00137685">
        <w:rPr>
          <w:rFonts w:ascii="Times New Roman" w:hAnsi="Times New Roman" w:cs="Times New Roman"/>
          <w:sz w:val="20"/>
          <w:szCs w:val="20"/>
        </w:rPr>
        <w:t>anemia</w:t>
      </w:r>
      <w:proofErr w:type="spellEnd"/>
      <w:r w:rsidRPr="00137685">
        <w:rPr>
          <w:rFonts w:ascii="Times New Roman" w:hAnsi="Times New Roman" w:cs="Times New Roman"/>
          <w:sz w:val="20"/>
          <w:szCs w:val="20"/>
        </w:rPr>
        <w:t xml:space="preserve"> (DIIHA), a potentially fatal complication. The first case was reported in 1991 by </w:t>
      </w:r>
      <w:proofErr w:type="spellStart"/>
      <w:r w:rsidRPr="00137685">
        <w:rPr>
          <w:rFonts w:ascii="Times New Roman" w:hAnsi="Times New Roman" w:cs="Times New Roman"/>
          <w:sz w:val="20"/>
          <w:szCs w:val="20"/>
        </w:rPr>
        <w:t>Garratty</w:t>
      </w:r>
      <w:proofErr w:type="spellEnd"/>
      <w:r w:rsidR="00FB1D72" w:rsidRPr="00137685">
        <w:rPr>
          <w:rFonts w:ascii="Times New Roman" w:hAnsi="Times New Roman" w:cs="Times New Roman"/>
          <w:sz w:val="20"/>
          <w:szCs w:val="20"/>
        </w:rPr>
        <w:t xml:space="preserve"> </w:t>
      </w:r>
      <w:r w:rsidR="00FB1D72" w:rsidRPr="00137685">
        <w:rPr>
          <w:rFonts w:ascii="Times New Roman" w:hAnsi="Times New Roman" w:cs="Times New Roman"/>
          <w:sz w:val="20"/>
          <w:szCs w:val="20"/>
          <w:vertAlign w:val="superscript"/>
        </w:rPr>
        <w:t>9</w:t>
      </w:r>
      <w:r w:rsidRPr="00137685">
        <w:rPr>
          <w:rFonts w:ascii="Times New Roman" w:hAnsi="Times New Roman" w:cs="Times New Roman"/>
          <w:sz w:val="20"/>
          <w:szCs w:val="20"/>
        </w:rPr>
        <w:t xml:space="preserve"> et al. in a 52-year-old woman, which was also the first fatal cephalosporin-induced </w:t>
      </w:r>
      <w:proofErr w:type="spellStart"/>
      <w:r w:rsidRPr="00137685">
        <w:rPr>
          <w:rFonts w:ascii="Times New Roman" w:hAnsi="Times New Roman" w:cs="Times New Roman"/>
          <w:sz w:val="20"/>
          <w:szCs w:val="20"/>
        </w:rPr>
        <w:t>hemolytic</w:t>
      </w:r>
      <w:proofErr w:type="spellEnd"/>
      <w:r w:rsidRPr="00137685">
        <w:rPr>
          <w:rFonts w:ascii="Times New Roman" w:hAnsi="Times New Roman" w:cs="Times New Roman"/>
          <w:sz w:val="20"/>
          <w:szCs w:val="20"/>
        </w:rPr>
        <w:t xml:space="preserve"> </w:t>
      </w:r>
      <w:proofErr w:type="spellStart"/>
      <w:r w:rsidRPr="00137685">
        <w:rPr>
          <w:rFonts w:ascii="Times New Roman" w:hAnsi="Times New Roman" w:cs="Times New Roman"/>
          <w:sz w:val="20"/>
          <w:szCs w:val="20"/>
        </w:rPr>
        <w:t>anemia</w:t>
      </w:r>
      <w:proofErr w:type="spellEnd"/>
      <w:r w:rsidRPr="00137685">
        <w:rPr>
          <w:rFonts w:ascii="Times New Roman" w:hAnsi="Times New Roman" w:cs="Times New Roman"/>
          <w:sz w:val="20"/>
          <w:szCs w:val="20"/>
        </w:rPr>
        <w:t xml:space="preserve">. Subsequent </w:t>
      </w:r>
      <w:proofErr w:type="spellStart"/>
      <w:r w:rsidRPr="00137685">
        <w:rPr>
          <w:rFonts w:ascii="Times New Roman" w:hAnsi="Times New Roman" w:cs="Times New Roman"/>
          <w:sz w:val="20"/>
          <w:szCs w:val="20"/>
        </w:rPr>
        <w:t>pediatric</w:t>
      </w:r>
      <w:proofErr w:type="spellEnd"/>
      <w:r w:rsidRPr="00137685">
        <w:rPr>
          <w:rFonts w:ascii="Times New Roman" w:hAnsi="Times New Roman" w:cs="Times New Roman"/>
          <w:sz w:val="20"/>
          <w:szCs w:val="20"/>
        </w:rPr>
        <w:t xml:space="preserve"> cases, including a 24-month-old boy with sickle cell disease (1995) and a 16-year-old girl (1999), highlighted the severe and sometimes fatal course of ceftriaxone-induced </w:t>
      </w:r>
      <w:proofErr w:type="spellStart"/>
      <w:r w:rsidRPr="00137685">
        <w:rPr>
          <w:rFonts w:ascii="Times New Roman" w:hAnsi="Times New Roman" w:cs="Times New Roman"/>
          <w:sz w:val="20"/>
          <w:szCs w:val="20"/>
        </w:rPr>
        <w:t>hemolysis</w:t>
      </w:r>
      <w:proofErr w:type="spellEnd"/>
      <w:r w:rsidRPr="00137685">
        <w:rPr>
          <w:rFonts w:ascii="Times New Roman" w:hAnsi="Times New Roman" w:cs="Times New Roman"/>
          <w:sz w:val="20"/>
          <w:szCs w:val="20"/>
        </w:rPr>
        <w:t xml:space="preserve">. More than 130 drugs have been associated with DIIHA, with antibiotics and platinum-based chemotherapeutics being the most common culprits. Among antibiotics, second- and third-generation cephalosporins account for the majority of cases. In </w:t>
      </w:r>
      <w:proofErr w:type="spellStart"/>
      <w:r w:rsidRPr="00137685">
        <w:rPr>
          <w:rFonts w:ascii="Times New Roman" w:hAnsi="Times New Roman" w:cs="Times New Roman"/>
          <w:sz w:val="20"/>
          <w:szCs w:val="20"/>
        </w:rPr>
        <w:t>Garratty’s</w:t>
      </w:r>
      <w:proofErr w:type="spellEnd"/>
      <w:r w:rsidRPr="00137685">
        <w:rPr>
          <w:rFonts w:ascii="Times New Roman" w:hAnsi="Times New Roman" w:cs="Times New Roman"/>
          <w:sz w:val="20"/>
          <w:szCs w:val="20"/>
        </w:rPr>
        <w:t xml:space="preserve"> analysis, cefotetan was the leading cause, followed by ceftriaxone, which is notable for its more severe and often fatal outcomes, particularly in children. </w:t>
      </w:r>
      <w:r w:rsidR="002E3468" w:rsidRPr="00137685">
        <w:rPr>
          <w:rFonts w:ascii="Times New Roman" w:hAnsi="Times New Roman" w:cs="Times New Roman"/>
          <w:sz w:val="20"/>
          <w:szCs w:val="20"/>
        </w:rPr>
        <w:t xml:space="preserve">The clinical presentation of DIIHA is often nonspecific, primarily reflecting the severity of </w:t>
      </w:r>
      <w:proofErr w:type="spellStart"/>
      <w:r w:rsidR="002E3468" w:rsidRPr="00137685">
        <w:rPr>
          <w:rFonts w:ascii="Times New Roman" w:hAnsi="Times New Roman" w:cs="Times New Roman"/>
          <w:sz w:val="20"/>
          <w:szCs w:val="20"/>
        </w:rPr>
        <w:t>anemia</w:t>
      </w:r>
      <w:proofErr w:type="spellEnd"/>
      <w:r w:rsidR="002E3468" w:rsidRPr="00137685">
        <w:rPr>
          <w:rFonts w:ascii="Times New Roman" w:hAnsi="Times New Roman" w:cs="Times New Roman"/>
          <w:sz w:val="20"/>
          <w:szCs w:val="20"/>
        </w:rPr>
        <w:t xml:space="preserve">, with common symptoms including fatigue, dizziness, </w:t>
      </w:r>
      <w:proofErr w:type="spellStart"/>
      <w:r w:rsidR="002E3468" w:rsidRPr="00137685">
        <w:rPr>
          <w:rFonts w:ascii="Times New Roman" w:hAnsi="Times New Roman" w:cs="Times New Roman"/>
          <w:sz w:val="20"/>
          <w:szCs w:val="20"/>
        </w:rPr>
        <w:t>dyspnea</w:t>
      </w:r>
      <w:proofErr w:type="spellEnd"/>
      <w:r w:rsidR="002E3468" w:rsidRPr="00137685">
        <w:rPr>
          <w:rFonts w:ascii="Times New Roman" w:hAnsi="Times New Roman" w:cs="Times New Roman"/>
          <w:sz w:val="20"/>
          <w:szCs w:val="20"/>
        </w:rPr>
        <w:t xml:space="preserve">, and jaundice. Physical examination may show pallor, jaundice, hepatosplenomegaly, or lymphadenopathy. Laboratory findings typically demonstrate a sudden drop in </w:t>
      </w:r>
      <w:proofErr w:type="spellStart"/>
      <w:r w:rsidR="002E3468" w:rsidRPr="00137685">
        <w:rPr>
          <w:rFonts w:ascii="Times New Roman" w:hAnsi="Times New Roman" w:cs="Times New Roman"/>
          <w:sz w:val="20"/>
          <w:szCs w:val="20"/>
        </w:rPr>
        <w:t>hemoglobin</w:t>
      </w:r>
      <w:proofErr w:type="spellEnd"/>
      <w:r w:rsidR="002E3468" w:rsidRPr="00137685">
        <w:rPr>
          <w:rFonts w:ascii="Times New Roman" w:hAnsi="Times New Roman" w:cs="Times New Roman"/>
          <w:sz w:val="20"/>
          <w:szCs w:val="20"/>
        </w:rPr>
        <w:t xml:space="preserve"> (&lt;7 g/dL), mild </w:t>
      </w:r>
      <w:proofErr w:type="spellStart"/>
      <w:r w:rsidR="002E3468" w:rsidRPr="00137685">
        <w:rPr>
          <w:rFonts w:ascii="Times New Roman" w:hAnsi="Times New Roman" w:cs="Times New Roman"/>
          <w:sz w:val="20"/>
          <w:szCs w:val="20"/>
        </w:rPr>
        <w:t>leukocytosis</w:t>
      </w:r>
      <w:proofErr w:type="spellEnd"/>
      <w:r w:rsidR="002E3468" w:rsidRPr="00137685">
        <w:rPr>
          <w:rFonts w:ascii="Times New Roman" w:hAnsi="Times New Roman" w:cs="Times New Roman"/>
          <w:sz w:val="20"/>
          <w:szCs w:val="20"/>
        </w:rPr>
        <w:t xml:space="preserve">, and, in prolonged cases, elevated reticulocyte count and mean corpuscular volume. Markers of </w:t>
      </w:r>
      <w:proofErr w:type="spellStart"/>
      <w:r w:rsidR="002E3468" w:rsidRPr="00137685">
        <w:rPr>
          <w:rFonts w:ascii="Times New Roman" w:hAnsi="Times New Roman" w:cs="Times New Roman"/>
          <w:sz w:val="20"/>
          <w:szCs w:val="20"/>
        </w:rPr>
        <w:t>hemolysis</w:t>
      </w:r>
      <w:proofErr w:type="spellEnd"/>
      <w:r w:rsidR="002E3468" w:rsidRPr="00137685">
        <w:rPr>
          <w:rFonts w:ascii="Times New Roman" w:hAnsi="Times New Roman" w:cs="Times New Roman"/>
          <w:sz w:val="20"/>
          <w:szCs w:val="20"/>
        </w:rPr>
        <w:t xml:space="preserve"> such as lactate dehydrogenase, indirect bilirubin, and haptoglobin are usually raised, and peripheral blood smears may show poikilocytosis, schistocytes, spherocytes, anisocytosis, or polychromasia. In this case, the patient exhibited fatigue and </w:t>
      </w:r>
      <w:proofErr w:type="spellStart"/>
      <w:r w:rsidR="002E3468" w:rsidRPr="00137685">
        <w:rPr>
          <w:rFonts w:ascii="Times New Roman" w:hAnsi="Times New Roman" w:cs="Times New Roman"/>
          <w:sz w:val="20"/>
          <w:szCs w:val="20"/>
        </w:rPr>
        <w:t>dyspnea</w:t>
      </w:r>
      <w:proofErr w:type="spellEnd"/>
      <w:r w:rsidR="002E3468" w:rsidRPr="00137685">
        <w:rPr>
          <w:rFonts w:ascii="Times New Roman" w:hAnsi="Times New Roman" w:cs="Times New Roman"/>
          <w:sz w:val="20"/>
          <w:szCs w:val="20"/>
        </w:rPr>
        <w:t xml:space="preserve">, with labs showing </w:t>
      </w:r>
      <w:proofErr w:type="spellStart"/>
      <w:r w:rsidR="002E3468" w:rsidRPr="00137685">
        <w:rPr>
          <w:rFonts w:ascii="Times New Roman" w:hAnsi="Times New Roman" w:cs="Times New Roman"/>
          <w:sz w:val="20"/>
          <w:szCs w:val="20"/>
        </w:rPr>
        <w:t>leukocytosis</w:t>
      </w:r>
      <w:proofErr w:type="spellEnd"/>
      <w:r w:rsidR="002E3468" w:rsidRPr="00137685">
        <w:rPr>
          <w:rFonts w:ascii="Times New Roman" w:hAnsi="Times New Roman" w:cs="Times New Roman"/>
          <w:sz w:val="20"/>
          <w:szCs w:val="20"/>
        </w:rPr>
        <w:t xml:space="preserve">, </w:t>
      </w:r>
      <w:proofErr w:type="spellStart"/>
      <w:r w:rsidR="002E3468" w:rsidRPr="00137685">
        <w:rPr>
          <w:rFonts w:ascii="Times New Roman" w:hAnsi="Times New Roman" w:cs="Times New Roman"/>
          <w:sz w:val="20"/>
          <w:szCs w:val="20"/>
        </w:rPr>
        <w:t>reticulocytosis</w:t>
      </w:r>
      <w:proofErr w:type="spellEnd"/>
      <w:r w:rsidR="002E3468" w:rsidRPr="00137685">
        <w:rPr>
          <w:rFonts w:ascii="Times New Roman" w:hAnsi="Times New Roman" w:cs="Times New Roman"/>
          <w:sz w:val="20"/>
          <w:szCs w:val="20"/>
        </w:rPr>
        <w:t xml:space="preserve"> (3.26%), and an increased mean corpuscular volume (from 95.6 </w:t>
      </w:r>
      <w:proofErr w:type="spellStart"/>
      <w:r w:rsidR="002E3468" w:rsidRPr="00137685">
        <w:rPr>
          <w:rFonts w:ascii="Times New Roman" w:hAnsi="Times New Roman" w:cs="Times New Roman"/>
          <w:sz w:val="20"/>
          <w:szCs w:val="20"/>
        </w:rPr>
        <w:t>fL</w:t>
      </w:r>
      <w:proofErr w:type="spellEnd"/>
      <w:r w:rsidR="002E3468" w:rsidRPr="00137685">
        <w:rPr>
          <w:rFonts w:ascii="Times New Roman" w:hAnsi="Times New Roman" w:cs="Times New Roman"/>
          <w:sz w:val="20"/>
          <w:szCs w:val="20"/>
        </w:rPr>
        <w:t xml:space="preserve"> to 103.5 </w:t>
      </w:r>
      <w:proofErr w:type="spellStart"/>
      <w:r w:rsidR="002E3468" w:rsidRPr="00137685">
        <w:rPr>
          <w:rFonts w:ascii="Times New Roman" w:hAnsi="Times New Roman" w:cs="Times New Roman"/>
          <w:sz w:val="20"/>
          <w:szCs w:val="20"/>
        </w:rPr>
        <w:t>fL</w:t>
      </w:r>
      <w:proofErr w:type="spellEnd"/>
      <w:r w:rsidR="002E3468" w:rsidRPr="00137685">
        <w:rPr>
          <w:rFonts w:ascii="Times New Roman" w:hAnsi="Times New Roman" w:cs="Times New Roman"/>
          <w:sz w:val="20"/>
          <w:szCs w:val="20"/>
        </w:rPr>
        <w:t>), while imaging revealed splenomegaly</w:t>
      </w:r>
      <w:r w:rsidR="00137685" w:rsidRPr="00137685">
        <w:rPr>
          <w:rFonts w:ascii="Times New Roman" w:hAnsi="Times New Roman" w:cs="Times New Roman"/>
          <w:sz w:val="20"/>
          <w:szCs w:val="20"/>
        </w:rPr>
        <w:t xml:space="preserve"> </w:t>
      </w:r>
      <w:r w:rsidR="00137685" w:rsidRPr="00137685">
        <w:rPr>
          <w:rFonts w:ascii="Times New Roman" w:hAnsi="Times New Roman" w:cs="Times New Roman"/>
          <w:sz w:val="20"/>
          <w:szCs w:val="20"/>
          <w:vertAlign w:val="superscript"/>
        </w:rPr>
        <w:t>8-10</w:t>
      </w:r>
      <w:r w:rsidR="002E3468" w:rsidRPr="00137685">
        <w:rPr>
          <w:rFonts w:ascii="Times New Roman" w:hAnsi="Times New Roman" w:cs="Times New Roman"/>
          <w:sz w:val="20"/>
          <w:szCs w:val="20"/>
        </w:rPr>
        <w:t>.</w:t>
      </w:r>
    </w:p>
    <w:p w14:paraId="4709CDF3" w14:textId="34C751F2" w:rsidR="00CD71C2" w:rsidRPr="00CD71C2" w:rsidRDefault="00CD71C2" w:rsidP="00137685">
      <w:p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sz w:val="20"/>
          <w:szCs w:val="20"/>
          <w:lang w:val="en-IN"/>
        </w:rPr>
        <w:t xml:space="preserve">The immunopathogenesis of DIIHA involves the production of either </w:t>
      </w:r>
      <w:r w:rsidRPr="00CD71C2">
        <w:rPr>
          <w:rFonts w:ascii="Times New Roman" w:hAnsi="Times New Roman" w:cs="Times New Roman"/>
          <w:b/>
          <w:bCs/>
          <w:sz w:val="20"/>
          <w:szCs w:val="20"/>
          <w:lang w:val="en-IN"/>
        </w:rPr>
        <w:t>drug-dependent</w:t>
      </w:r>
      <w:r w:rsidRPr="00CD71C2">
        <w:rPr>
          <w:rFonts w:ascii="Times New Roman" w:hAnsi="Times New Roman" w:cs="Times New Roman"/>
          <w:sz w:val="20"/>
          <w:szCs w:val="20"/>
          <w:lang w:val="en-IN"/>
        </w:rPr>
        <w:t xml:space="preserve"> or </w:t>
      </w:r>
      <w:r w:rsidRPr="00CD71C2">
        <w:rPr>
          <w:rFonts w:ascii="Times New Roman" w:hAnsi="Times New Roman" w:cs="Times New Roman"/>
          <w:b/>
          <w:bCs/>
          <w:sz w:val="20"/>
          <w:szCs w:val="20"/>
          <w:lang w:val="en-IN"/>
        </w:rPr>
        <w:t>drug-independent antibodies</w:t>
      </w:r>
      <w:r w:rsidR="00137685" w:rsidRPr="00137685">
        <w:rPr>
          <w:rFonts w:ascii="Times New Roman" w:hAnsi="Times New Roman" w:cs="Times New Roman"/>
          <w:b/>
          <w:bCs/>
          <w:sz w:val="20"/>
          <w:szCs w:val="20"/>
          <w:lang w:val="en-IN"/>
        </w:rPr>
        <w:t xml:space="preserve"> </w:t>
      </w:r>
      <w:r w:rsidR="00137685" w:rsidRPr="00137685">
        <w:rPr>
          <w:rFonts w:ascii="Times New Roman" w:hAnsi="Times New Roman" w:cs="Times New Roman"/>
          <w:b/>
          <w:bCs/>
          <w:sz w:val="20"/>
          <w:szCs w:val="20"/>
          <w:vertAlign w:val="superscript"/>
          <w:lang w:val="en-IN"/>
        </w:rPr>
        <w:t>13-14</w:t>
      </w:r>
      <w:r w:rsidRPr="00CD71C2">
        <w:rPr>
          <w:rFonts w:ascii="Times New Roman" w:hAnsi="Times New Roman" w:cs="Times New Roman"/>
          <w:sz w:val="20"/>
          <w:szCs w:val="20"/>
          <w:lang w:val="en-IN"/>
        </w:rPr>
        <w:t>.</w:t>
      </w:r>
    </w:p>
    <w:p w14:paraId="5E2EC44F" w14:textId="77777777" w:rsidR="00CD71C2" w:rsidRPr="00CD71C2" w:rsidRDefault="00CD71C2" w:rsidP="00137685">
      <w:pPr>
        <w:numPr>
          <w:ilvl w:val="0"/>
          <w:numId w:val="7"/>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Drug-dependent antibodies</w:t>
      </w:r>
      <w:r w:rsidRPr="00CD71C2">
        <w:rPr>
          <w:rFonts w:ascii="Times New Roman" w:hAnsi="Times New Roman" w:cs="Times New Roman"/>
          <w:sz w:val="20"/>
          <w:szCs w:val="20"/>
          <w:lang w:val="en-IN"/>
        </w:rPr>
        <w:t xml:space="preserve"> (commonly induced by ceftriaxone and piperacillin) react with red blood cells (RBCs) only in the presence of the drug. These may be IgG or IgM, forming immune complexes that activate complement, leading to acute intravascular </w:t>
      </w:r>
      <w:proofErr w:type="spellStart"/>
      <w:r w:rsidRPr="00CD71C2">
        <w:rPr>
          <w:rFonts w:ascii="Times New Roman" w:hAnsi="Times New Roman" w:cs="Times New Roman"/>
          <w:sz w:val="20"/>
          <w:szCs w:val="20"/>
          <w:lang w:val="en-IN"/>
        </w:rPr>
        <w:t>hemolysis</w:t>
      </w:r>
      <w:proofErr w:type="spellEnd"/>
      <w:r w:rsidRPr="00CD71C2">
        <w:rPr>
          <w:rFonts w:ascii="Times New Roman" w:hAnsi="Times New Roman" w:cs="Times New Roman"/>
          <w:sz w:val="20"/>
          <w:szCs w:val="20"/>
          <w:lang w:val="en-IN"/>
        </w:rPr>
        <w:t>.</w:t>
      </w:r>
    </w:p>
    <w:p w14:paraId="432DED28" w14:textId="77777777" w:rsidR="00CD71C2" w:rsidRPr="00CD71C2" w:rsidRDefault="00CD71C2" w:rsidP="00137685">
      <w:pPr>
        <w:numPr>
          <w:ilvl w:val="0"/>
          <w:numId w:val="7"/>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Drug-independent antibodies</w:t>
      </w:r>
      <w:r w:rsidRPr="00CD71C2">
        <w:rPr>
          <w:rFonts w:ascii="Times New Roman" w:hAnsi="Times New Roman" w:cs="Times New Roman"/>
          <w:sz w:val="20"/>
          <w:szCs w:val="20"/>
          <w:lang w:val="en-IN"/>
        </w:rPr>
        <w:t xml:space="preserve"> (seen with agents such as fludarabine, methyldopa, and some </w:t>
      </w:r>
      <w:proofErr w:type="spellStart"/>
      <w:r w:rsidRPr="00CD71C2">
        <w:rPr>
          <w:rFonts w:ascii="Times New Roman" w:hAnsi="Times New Roman" w:cs="Times New Roman"/>
          <w:sz w:val="20"/>
          <w:szCs w:val="20"/>
          <w:lang w:val="en-IN"/>
        </w:rPr>
        <w:t>penicillins</w:t>
      </w:r>
      <w:proofErr w:type="spellEnd"/>
      <w:r w:rsidRPr="00CD71C2">
        <w:rPr>
          <w:rFonts w:ascii="Times New Roman" w:hAnsi="Times New Roman" w:cs="Times New Roman"/>
          <w:sz w:val="20"/>
          <w:szCs w:val="20"/>
          <w:lang w:val="en-IN"/>
        </w:rPr>
        <w:t xml:space="preserve">) act as autoantibodies against RBCs without the presence of the drug, typically IgG-mediated, leading to extravascular </w:t>
      </w:r>
      <w:proofErr w:type="spellStart"/>
      <w:r w:rsidRPr="00CD71C2">
        <w:rPr>
          <w:rFonts w:ascii="Times New Roman" w:hAnsi="Times New Roman" w:cs="Times New Roman"/>
          <w:sz w:val="20"/>
          <w:szCs w:val="20"/>
          <w:lang w:val="en-IN"/>
        </w:rPr>
        <w:t>hemolysis</w:t>
      </w:r>
      <w:proofErr w:type="spellEnd"/>
      <w:r w:rsidRPr="00CD71C2">
        <w:rPr>
          <w:rFonts w:ascii="Times New Roman" w:hAnsi="Times New Roman" w:cs="Times New Roman"/>
          <w:sz w:val="20"/>
          <w:szCs w:val="20"/>
          <w:lang w:val="en-IN"/>
        </w:rPr>
        <w:t>.</w:t>
      </w:r>
    </w:p>
    <w:p w14:paraId="53EFE4EE" w14:textId="72E27F9A" w:rsidR="00CD71C2" w:rsidRPr="00CD71C2" w:rsidRDefault="00CD71C2" w:rsidP="00137685">
      <w:p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sz w:val="20"/>
          <w:szCs w:val="20"/>
          <w:lang w:val="en-IN"/>
        </w:rPr>
        <w:t>Mechanistic classifications include</w:t>
      </w:r>
      <w:r w:rsidR="00137685" w:rsidRPr="00137685">
        <w:rPr>
          <w:rFonts w:ascii="Times New Roman" w:hAnsi="Times New Roman" w:cs="Times New Roman"/>
          <w:sz w:val="20"/>
          <w:szCs w:val="20"/>
          <w:lang w:val="en-IN"/>
        </w:rPr>
        <w:t xml:space="preserve"> </w:t>
      </w:r>
      <w:r w:rsidR="00137685" w:rsidRPr="00137685">
        <w:rPr>
          <w:rFonts w:ascii="Times New Roman" w:hAnsi="Times New Roman" w:cs="Times New Roman"/>
          <w:sz w:val="20"/>
          <w:szCs w:val="20"/>
          <w:vertAlign w:val="superscript"/>
          <w:lang w:val="en-IN"/>
        </w:rPr>
        <w:t>11-12</w:t>
      </w:r>
      <w:r w:rsidRPr="00CD71C2">
        <w:rPr>
          <w:rFonts w:ascii="Times New Roman" w:hAnsi="Times New Roman" w:cs="Times New Roman"/>
          <w:sz w:val="20"/>
          <w:szCs w:val="20"/>
          <w:lang w:val="en-IN"/>
        </w:rPr>
        <w:t>:</w:t>
      </w:r>
    </w:p>
    <w:p w14:paraId="352E70A7" w14:textId="77777777" w:rsidR="00CD71C2" w:rsidRPr="00CD71C2" w:rsidRDefault="00CD71C2" w:rsidP="00137685">
      <w:pPr>
        <w:numPr>
          <w:ilvl w:val="0"/>
          <w:numId w:val="8"/>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Drug adsorption (hapten type):</w:t>
      </w:r>
      <w:r w:rsidRPr="00CD71C2">
        <w:rPr>
          <w:rFonts w:ascii="Times New Roman" w:hAnsi="Times New Roman" w:cs="Times New Roman"/>
          <w:sz w:val="20"/>
          <w:szCs w:val="20"/>
          <w:lang w:val="en-IN"/>
        </w:rPr>
        <w:t xml:space="preserve"> e.g., penicillin, where the drug binds covalently to RBC membranes.</w:t>
      </w:r>
    </w:p>
    <w:p w14:paraId="51A4899D" w14:textId="77777777" w:rsidR="00CD71C2" w:rsidRPr="00CD71C2" w:rsidRDefault="00CD71C2" w:rsidP="00137685">
      <w:pPr>
        <w:numPr>
          <w:ilvl w:val="0"/>
          <w:numId w:val="8"/>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Immune complex formation:</w:t>
      </w:r>
      <w:r w:rsidRPr="00CD71C2">
        <w:rPr>
          <w:rFonts w:ascii="Times New Roman" w:hAnsi="Times New Roman" w:cs="Times New Roman"/>
          <w:sz w:val="20"/>
          <w:szCs w:val="20"/>
          <w:lang w:val="en-IN"/>
        </w:rPr>
        <w:t xml:space="preserve"> e.g., ceftriaxone, where drug–antibody complexes adhere to RBC membranes and activate complement.</w:t>
      </w:r>
    </w:p>
    <w:p w14:paraId="304028CC" w14:textId="77777777" w:rsidR="00CD71C2" w:rsidRPr="00CD71C2" w:rsidRDefault="00CD71C2" w:rsidP="00137685">
      <w:pPr>
        <w:numPr>
          <w:ilvl w:val="0"/>
          <w:numId w:val="8"/>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Membrane modification:</w:t>
      </w:r>
      <w:r w:rsidRPr="00CD71C2">
        <w:rPr>
          <w:rFonts w:ascii="Times New Roman" w:hAnsi="Times New Roman" w:cs="Times New Roman"/>
          <w:sz w:val="20"/>
          <w:szCs w:val="20"/>
          <w:lang w:val="en-IN"/>
        </w:rPr>
        <w:t xml:space="preserve"> where drugs alter RBC antigens.</w:t>
      </w:r>
    </w:p>
    <w:p w14:paraId="4F3C43F1" w14:textId="77829EB1" w:rsidR="00CD71C2" w:rsidRPr="00137685" w:rsidRDefault="00CD71C2" w:rsidP="00137685">
      <w:pPr>
        <w:numPr>
          <w:ilvl w:val="0"/>
          <w:numId w:val="8"/>
        </w:numPr>
        <w:spacing w:before="100" w:beforeAutospacing="1" w:after="100" w:afterAutospacing="1" w:line="360" w:lineRule="auto"/>
        <w:jc w:val="both"/>
        <w:rPr>
          <w:rFonts w:ascii="Times New Roman" w:hAnsi="Times New Roman" w:cs="Times New Roman"/>
          <w:sz w:val="20"/>
          <w:szCs w:val="20"/>
          <w:lang w:val="en-IN"/>
        </w:rPr>
      </w:pPr>
      <w:r w:rsidRPr="00CD71C2">
        <w:rPr>
          <w:rFonts w:ascii="Times New Roman" w:hAnsi="Times New Roman" w:cs="Times New Roman"/>
          <w:b/>
          <w:bCs/>
          <w:sz w:val="20"/>
          <w:szCs w:val="20"/>
          <w:lang w:val="en-IN"/>
        </w:rPr>
        <w:t>True autoantibody induction:</w:t>
      </w:r>
      <w:r w:rsidRPr="00CD71C2">
        <w:rPr>
          <w:rFonts w:ascii="Times New Roman" w:hAnsi="Times New Roman" w:cs="Times New Roman"/>
          <w:sz w:val="20"/>
          <w:szCs w:val="20"/>
          <w:lang w:val="en-IN"/>
        </w:rPr>
        <w:t xml:space="preserve"> where drugs stimulate antibodies against native RBC antigens (e.g., methyldopa).</w:t>
      </w:r>
    </w:p>
    <w:p w14:paraId="2143BABD" w14:textId="57271F14" w:rsidR="00661FE7" w:rsidRPr="00137685" w:rsidRDefault="00CD71C2" w:rsidP="00137685">
      <w:pPr>
        <w:spacing w:before="100" w:beforeAutospacing="1" w:after="100" w:afterAutospacing="1" w:line="360" w:lineRule="auto"/>
        <w:jc w:val="both"/>
        <w:rPr>
          <w:rFonts w:ascii="Times New Roman" w:hAnsi="Times New Roman" w:cs="Times New Roman"/>
          <w:sz w:val="20"/>
          <w:szCs w:val="20"/>
        </w:rPr>
      </w:pPr>
      <w:r w:rsidRPr="00137685">
        <w:rPr>
          <w:rFonts w:ascii="Times New Roman" w:hAnsi="Times New Roman" w:cs="Times New Roman"/>
          <w:sz w:val="20"/>
          <w:szCs w:val="20"/>
        </w:rPr>
        <w:lastRenderedPageBreak/>
        <w:t xml:space="preserve">The condition usually presents with sudden pallor, weakness, </w:t>
      </w:r>
      <w:proofErr w:type="spellStart"/>
      <w:r w:rsidRPr="00137685">
        <w:rPr>
          <w:rFonts w:ascii="Times New Roman" w:hAnsi="Times New Roman" w:cs="Times New Roman"/>
          <w:sz w:val="20"/>
          <w:szCs w:val="20"/>
        </w:rPr>
        <w:t>dyspnea</w:t>
      </w:r>
      <w:proofErr w:type="spellEnd"/>
      <w:r w:rsidRPr="00137685">
        <w:rPr>
          <w:rFonts w:ascii="Times New Roman" w:hAnsi="Times New Roman" w:cs="Times New Roman"/>
          <w:sz w:val="20"/>
          <w:szCs w:val="20"/>
        </w:rPr>
        <w:t xml:space="preserve">, abdominal or back pain, and may progress to shock or cardiopulmonary arrest. Laboratory findings include a rapid fall in </w:t>
      </w:r>
      <w:proofErr w:type="spellStart"/>
      <w:r w:rsidRPr="00137685">
        <w:rPr>
          <w:rFonts w:ascii="Times New Roman" w:hAnsi="Times New Roman" w:cs="Times New Roman"/>
          <w:sz w:val="20"/>
          <w:szCs w:val="20"/>
        </w:rPr>
        <w:t>hemoglobin</w:t>
      </w:r>
      <w:proofErr w:type="spellEnd"/>
      <w:r w:rsidRPr="00137685">
        <w:rPr>
          <w:rFonts w:ascii="Times New Roman" w:hAnsi="Times New Roman" w:cs="Times New Roman"/>
          <w:sz w:val="20"/>
          <w:szCs w:val="20"/>
        </w:rPr>
        <w:t xml:space="preserve">, </w:t>
      </w:r>
      <w:proofErr w:type="spellStart"/>
      <w:r w:rsidRPr="00137685">
        <w:rPr>
          <w:rFonts w:ascii="Times New Roman" w:hAnsi="Times New Roman" w:cs="Times New Roman"/>
          <w:sz w:val="20"/>
          <w:szCs w:val="20"/>
        </w:rPr>
        <w:t>reticulocytosis</w:t>
      </w:r>
      <w:proofErr w:type="spellEnd"/>
      <w:r w:rsidRPr="00137685">
        <w:rPr>
          <w:rFonts w:ascii="Times New Roman" w:hAnsi="Times New Roman" w:cs="Times New Roman"/>
          <w:sz w:val="20"/>
          <w:szCs w:val="20"/>
        </w:rPr>
        <w:t xml:space="preserve">, elevated indirect bilirubin, raised lactate dehydrogenase (LDH), and peripheral smear evidence of </w:t>
      </w:r>
      <w:proofErr w:type="spellStart"/>
      <w:r w:rsidRPr="00137685">
        <w:rPr>
          <w:rFonts w:ascii="Times New Roman" w:hAnsi="Times New Roman" w:cs="Times New Roman"/>
          <w:sz w:val="20"/>
          <w:szCs w:val="20"/>
        </w:rPr>
        <w:t>hemolysis</w:t>
      </w:r>
      <w:proofErr w:type="spellEnd"/>
      <w:r w:rsidRPr="00137685">
        <w:rPr>
          <w:rFonts w:ascii="Times New Roman" w:hAnsi="Times New Roman" w:cs="Times New Roman"/>
          <w:sz w:val="20"/>
          <w:szCs w:val="20"/>
        </w:rPr>
        <w:t xml:space="preserve">. The Direct Antiglobulin Test (DAT) is typically positive for complement (C3) and sometimes IgG. However, DAT-negative results have been reported, possibly due to rapid clearance of antibody- or complement-coated RBCs during massive </w:t>
      </w:r>
      <w:proofErr w:type="spellStart"/>
      <w:r w:rsidRPr="00137685">
        <w:rPr>
          <w:rFonts w:ascii="Times New Roman" w:hAnsi="Times New Roman" w:cs="Times New Roman"/>
          <w:sz w:val="20"/>
          <w:szCs w:val="20"/>
        </w:rPr>
        <w:t>hemolysis</w:t>
      </w:r>
      <w:proofErr w:type="spellEnd"/>
      <w:r w:rsidRPr="00137685">
        <w:rPr>
          <w:rFonts w:ascii="Times New Roman" w:hAnsi="Times New Roman" w:cs="Times New Roman"/>
          <w:sz w:val="20"/>
          <w:szCs w:val="20"/>
        </w:rPr>
        <w:t xml:space="preserve">, underscoring that a negative DAT does not exclude the diagnosis. Ceftriaxone-induced </w:t>
      </w:r>
      <w:proofErr w:type="spellStart"/>
      <w:r w:rsidRPr="00137685">
        <w:rPr>
          <w:rFonts w:ascii="Times New Roman" w:hAnsi="Times New Roman" w:cs="Times New Roman"/>
          <w:sz w:val="20"/>
          <w:szCs w:val="20"/>
        </w:rPr>
        <w:t>hemolysis</w:t>
      </w:r>
      <w:proofErr w:type="spellEnd"/>
      <w:r w:rsidRPr="00137685">
        <w:rPr>
          <w:rFonts w:ascii="Times New Roman" w:hAnsi="Times New Roman" w:cs="Times New Roman"/>
          <w:sz w:val="20"/>
          <w:szCs w:val="20"/>
        </w:rPr>
        <w:t xml:space="preserve"> has been reported more frequently in </w:t>
      </w:r>
      <w:proofErr w:type="spellStart"/>
      <w:r w:rsidRPr="00137685">
        <w:rPr>
          <w:rFonts w:ascii="Times New Roman" w:hAnsi="Times New Roman" w:cs="Times New Roman"/>
          <w:sz w:val="20"/>
          <w:szCs w:val="20"/>
        </w:rPr>
        <w:t>pediatric</w:t>
      </w:r>
      <w:proofErr w:type="spellEnd"/>
      <w:r w:rsidRPr="00137685">
        <w:rPr>
          <w:rFonts w:ascii="Times New Roman" w:hAnsi="Times New Roman" w:cs="Times New Roman"/>
          <w:sz w:val="20"/>
          <w:szCs w:val="20"/>
        </w:rPr>
        <w:t xml:space="preserve"> patients, especially those with underlying hematologic or immune disorders such as sickle cell </w:t>
      </w:r>
      <w:proofErr w:type="spellStart"/>
      <w:r w:rsidRPr="00137685">
        <w:rPr>
          <w:rFonts w:ascii="Times New Roman" w:hAnsi="Times New Roman" w:cs="Times New Roman"/>
          <w:sz w:val="20"/>
          <w:szCs w:val="20"/>
        </w:rPr>
        <w:t>anemia</w:t>
      </w:r>
      <w:proofErr w:type="spellEnd"/>
      <w:r w:rsidRPr="00137685">
        <w:rPr>
          <w:rFonts w:ascii="Times New Roman" w:hAnsi="Times New Roman" w:cs="Times New Roman"/>
          <w:sz w:val="20"/>
          <w:szCs w:val="20"/>
        </w:rPr>
        <w:t xml:space="preserve"> or HIV. Prior exposure to ceftriaxone may predispose to a more severe reaction, although this is not consistently observed in adults. Immediate withdrawal of ceftriaxone is the cornerstone of treatment, along with supportive care, including blood transfusions, cardiopulmonary monitoring, and renal/hepatic function assessment. Transfusions are generally considered safe since the antibodies are drug-dependent. In severe or refractory cases, plasmapheresis may be employed to remove circulating drug-dependent antibodies. Patients should ideally be monitored in intensive care, given the risk of rapid progression to multi-organ failure</w:t>
      </w:r>
      <w:r w:rsidR="00137685" w:rsidRPr="00137685">
        <w:rPr>
          <w:rFonts w:ascii="Times New Roman" w:hAnsi="Times New Roman" w:cs="Times New Roman"/>
          <w:sz w:val="20"/>
          <w:szCs w:val="20"/>
        </w:rPr>
        <w:t xml:space="preserve"> </w:t>
      </w:r>
      <w:r w:rsidR="00137685" w:rsidRPr="00137685">
        <w:rPr>
          <w:rFonts w:ascii="Times New Roman" w:hAnsi="Times New Roman" w:cs="Times New Roman"/>
          <w:sz w:val="20"/>
          <w:szCs w:val="20"/>
          <w:vertAlign w:val="superscript"/>
        </w:rPr>
        <w:t>1-7</w:t>
      </w:r>
      <w:r w:rsidRPr="00137685">
        <w:rPr>
          <w:rFonts w:ascii="Times New Roman" w:hAnsi="Times New Roman" w:cs="Times New Roman"/>
          <w:sz w:val="20"/>
          <w:szCs w:val="20"/>
        </w:rPr>
        <w:t>.</w:t>
      </w:r>
    </w:p>
    <w:p w14:paraId="01FD6D0A" w14:textId="77777777" w:rsidR="00FB1D72" w:rsidRPr="00137685" w:rsidRDefault="00DB2825" w:rsidP="00137685">
      <w:pPr>
        <w:spacing w:before="100" w:beforeAutospacing="1" w:after="100" w:afterAutospacing="1" w:line="360" w:lineRule="auto"/>
        <w:rPr>
          <w:rFonts w:ascii="Times New Roman" w:eastAsia="Times New Roman" w:hAnsi="Times New Roman" w:cs="Times New Roman"/>
          <w:b/>
          <w:sz w:val="20"/>
          <w:szCs w:val="20"/>
          <w:lang w:eastAsia="en-GB"/>
        </w:rPr>
      </w:pPr>
      <w:r w:rsidRPr="00137685">
        <w:rPr>
          <w:rFonts w:ascii="Times New Roman" w:eastAsia="Times New Roman" w:hAnsi="Times New Roman" w:cs="Times New Roman"/>
          <w:b/>
          <w:sz w:val="20"/>
          <w:szCs w:val="20"/>
          <w:lang w:eastAsia="en-GB"/>
        </w:rPr>
        <w:t>CONCLUSION</w:t>
      </w:r>
      <w:r w:rsidR="00FB1D72" w:rsidRPr="00137685">
        <w:rPr>
          <w:rFonts w:ascii="Times New Roman" w:eastAsia="Times New Roman" w:hAnsi="Times New Roman" w:cs="Times New Roman"/>
          <w:b/>
          <w:sz w:val="20"/>
          <w:szCs w:val="20"/>
          <w:lang w:eastAsia="en-GB"/>
        </w:rPr>
        <w:t>:</w:t>
      </w:r>
    </w:p>
    <w:p w14:paraId="43B50A51" w14:textId="50630681" w:rsidR="0028441D" w:rsidRDefault="0028441D" w:rsidP="00137685">
      <w:pPr>
        <w:spacing w:before="100" w:beforeAutospacing="1" w:after="100" w:afterAutospacing="1" w:line="360" w:lineRule="auto"/>
        <w:rPr>
          <w:rFonts w:ascii="Times New Roman" w:eastAsia="Times New Roman" w:hAnsi="Times New Roman" w:cs="Times New Roman"/>
          <w:sz w:val="20"/>
          <w:szCs w:val="20"/>
          <w:lang w:eastAsia="en-GB"/>
        </w:rPr>
      </w:pPr>
      <w:r w:rsidRPr="00137685">
        <w:rPr>
          <w:rFonts w:ascii="Times New Roman" w:eastAsia="Times New Roman" w:hAnsi="Times New Roman" w:cs="Times New Roman"/>
          <w:sz w:val="20"/>
          <w:szCs w:val="20"/>
          <w:lang w:eastAsia="en-GB"/>
        </w:rPr>
        <w:t xml:space="preserve">This case highlights the importance of recognizing ceftriaxone-induced </w:t>
      </w:r>
      <w:proofErr w:type="spellStart"/>
      <w:r w:rsidRPr="00137685">
        <w:rPr>
          <w:rFonts w:ascii="Times New Roman" w:eastAsia="Times New Roman" w:hAnsi="Times New Roman" w:cs="Times New Roman"/>
          <w:sz w:val="20"/>
          <w:szCs w:val="20"/>
          <w:lang w:eastAsia="en-GB"/>
        </w:rPr>
        <w:t>hemolysis</w:t>
      </w:r>
      <w:proofErr w:type="spellEnd"/>
      <w:r w:rsidRPr="00137685">
        <w:rPr>
          <w:rFonts w:ascii="Times New Roman" w:eastAsia="Times New Roman" w:hAnsi="Times New Roman" w:cs="Times New Roman"/>
          <w:sz w:val="20"/>
          <w:szCs w:val="20"/>
          <w:lang w:eastAsia="en-GB"/>
        </w:rPr>
        <w:t xml:space="preserve"> as a potential cause of acute </w:t>
      </w:r>
      <w:proofErr w:type="spellStart"/>
      <w:r w:rsidRPr="00137685">
        <w:rPr>
          <w:rFonts w:ascii="Times New Roman" w:eastAsia="Times New Roman" w:hAnsi="Times New Roman" w:cs="Times New Roman"/>
          <w:sz w:val="20"/>
          <w:szCs w:val="20"/>
          <w:lang w:eastAsia="en-GB"/>
        </w:rPr>
        <w:t>anemia</w:t>
      </w:r>
      <w:proofErr w:type="spellEnd"/>
      <w:r w:rsidRPr="00137685">
        <w:rPr>
          <w:rFonts w:ascii="Times New Roman" w:eastAsia="Times New Roman" w:hAnsi="Times New Roman" w:cs="Times New Roman"/>
          <w:sz w:val="20"/>
          <w:szCs w:val="20"/>
          <w:lang w:eastAsia="en-GB"/>
        </w:rPr>
        <w:t xml:space="preserve"> in hospitalized patients. Early identification, immediate discontinuation of the offending drug, and supportive care can prevent severe complications. Clinicians should remain vigilant when prescribing cephalosporins, particularly in patients with multiple comorbidities.</w:t>
      </w:r>
    </w:p>
    <w:p w14:paraId="13599933" w14:textId="1AE9D5A4" w:rsidR="00EC0F63" w:rsidRPr="00137685" w:rsidRDefault="00EC0F63" w:rsidP="00137685">
      <w:pPr>
        <w:spacing w:before="100" w:beforeAutospacing="1" w:after="100" w:afterAutospacing="1" w:line="360" w:lineRule="auto"/>
        <w:jc w:val="both"/>
        <w:rPr>
          <w:rFonts w:ascii="Times New Roman" w:eastAsia="Times New Roman" w:hAnsi="Times New Roman" w:cs="Times New Roman"/>
          <w:b/>
          <w:sz w:val="20"/>
          <w:szCs w:val="20"/>
          <w:lang w:eastAsia="en-GB"/>
        </w:rPr>
      </w:pPr>
      <w:r w:rsidRPr="00137685">
        <w:rPr>
          <w:rFonts w:ascii="Times New Roman" w:eastAsia="Times New Roman" w:hAnsi="Times New Roman" w:cs="Times New Roman"/>
          <w:b/>
          <w:sz w:val="20"/>
          <w:szCs w:val="20"/>
          <w:lang w:eastAsia="en-GB"/>
        </w:rPr>
        <w:t>REFERENCE</w:t>
      </w:r>
      <w:r w:rsidR="00137685" w:rsidRPr="00137685">
        <w:rPr>
          <w:rFonts w:ascii="Times New Roman" w:eastAsia="Times New Roman" w:hAnsi="Times New Roman" w:cs="Times New Roman"/>
          <w:b/>
          <w:sz w:val="20"/>
          <w:szCs w:val="20"/>
          <w:lang w:eastAsia="en-GB"/>
        </w:rPr>
        <w:t>S:</w:t>
      </w:r>
    </w:p>
    <w:p w14:paraId="1F1FCF19" w14:textId="77777777" w:rsidR="00137685" w:rsidRPr="00137685" w:rsidRDefault="00137685" w:rsidP="00137685">
      <w:pPr>
        <w:pStyle w:val="NormalWeb"/>
        <w:numPr>
          <w:ilvl w:val="0"/>
          <w:numId w:val="4"/>
        </w:numPr>
        <w:spacing w:line="360" w:lineRule="auto"/>
        <w:jc w:val="both"/>
        <w:rPr>
          <w:sz w:val="20"/>
          <w:szCs w:val="20"/>
        </w:rPr>
      </w:pPr>
      <w:r w:rsidRPr="00137685">
        <w:rPr>
          <w:sz w:val="20"/>
          <w:szCs w:val="20"/>
        </w:rPr>
        <w:t> </w:t>
      </w:r>
      <w:proofErr w:type="spellStart"/>
      <w:r w:rsidRPr="00137685">
        <w:rPr>
          <w:sz w:val="20"/>
          <w:szCs w:val="20"/>
        </w:rPr>
        <w:t>Zantek</w:t>
      </w:r>
      <w:proofErr w:type="spellEnd"/>
      <w:r w:rsidRPr="00137685">
        <w:rPr>
          <w:sz w:val="20"/>
          <w:szCs w:val="20"/>
        </w:rPr>
        <w:t xml:space="preserve"> ND, </w:t>
      </w:r>
      <w:proofErr w:type="spellStart"/>
      <w:r w:rsidRPr="00137685">
        <w:rPr>
          <w:sz w:val="20"/>
          <w:szCs w:val="20"/>
        </w:rPr>
        <w:t>Koepsell</w:t>
      </w:r>
      <w:proofErr w:type="spellEnd"/>
      <w:r w:rsidRPr="00137685">
        <w:rPr>
          <w:sz w:val="20"/>
          <w:szCs w:val="20"/>
        </w:rPr>
        <w:t xml:space="preserve"> SA, Tharp DR, Jr., Cohn CS. The direct antiglobulin test: a critical step in the evaluation of </w:t>
      </w:r>
      <w:proofErr w:type="spellStart"/>
      <w:r w:rsidRPr="00137685">
        <w:rPr>
          <w:sz w:val="20"/>
          <w:szCs w:val="20"/>
        </w:rPr>
        <w:t>hemolysis</w:t>
      </w:r>
      <w:proofErr w:type="spellEnd"/>
      <w:r w:rsidRPr="00137685">
        <w:rPr>
          <w:sz w:val="20"/>
          <w:szCs w:val="20"/>
        </w:rPr>
        <w:t xml:space="preserve">. Am J </w:t>
      </w:r>
      <w:proofErr w:type="spellStart"/>
      <w:r w:rsidRPr="00137685">
        <w:rPr>
          <w:sz w:val="20"/>
          <w:szCs w:val="20"/>
        </w:rPr>
        <w:t>Hematol</w:t>
      </w:r>
      <w:proofErr w:type="spellEnd"/>
      <w:r w:rsidRPr="00137685">
        <w:rPr>
          <w:sz w:val="20"/>
          <w:szCs w:val="20"/>
        </w:rPr>
        <w:t xml:space="preserve">. (2012) 87:707–9. </w:t>
      </w:r>
      <w:proofErr w:type="spellStart"/>
      <w:r w:rsidRPr="00137685">
        <w:rPr>
          <w:sz w:val="20"/>
          <w:szCs w:val="20"/>
        </w:rPr>
        <w:t>doi</w:t>
      </w:r>
      <w:proofErr w:type="spellEnd"/>
      <w:r w:rsidRPr="00137685">
        <w:rPr>
          <w:sz w:val="20"/>
          <w:szCs w:val="20"/>
        </w:rPr>
        <w:t>:  10.1002/ajh.23218</w:t>
      </w:r>
    </w:p>
    <w:p w14:paraId="753C4C1E" w14:textId="3374B3BB" w:rsidR="00EC0F63" w:rsidRPr="00137685" w:rsidRDefault="00EC0F63" w:rsidP="00137685">
      <w:pPr>
        <w:pStyle w:val="NormalWeb"/>
        <w:numPr>
          <w:ilvl w:val="0"/>
          <w:numId w:val="4"/>
        </w:numPr>
        <w:spacing w:line="360" w:lineRule="auto"/>
        <w:jc w:val="both"/>
        <w:rPr>
          <w:sz w:val="20"/>
          <w:szCs w:val="20"/>
        </w:rPr>
      </w:pPr>
      <w:r w:rsidRPr="00137685">
        <w:rPr>
          <w:sz w:val="20"/>
          <w:szCs w:val="20"/>
        </w:rPr>
        <w:t xml:space="preserve">Arndt PA, </w:t>
      </w:r>
      <w:proofErr w:type="spellStart"/>
      <w:r w:rsidRPr="00137685">
        <w:rPr>
          <w:sz w:val="20"/>
          <w:szCs w:val="20"/>
        </w:rPr>
        <w:t>Garratty</w:t>
      </w:r>
      <w:proofErr w:type="spellEnd"/>
      <w:r w:rsidRPr="00137685">
        <w:rPr>
          <w:sz w:val="20"/>
          <w:szCs w:val="20"/>
        </w:rPr>
        <w:t xml:space="preserve"> G. The changing spectrum of drug-induced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w:t>
      </w:r>
      <w:proofErr w:type="spellStart"/>
      <w:r w:rsidRPr="00137685">
        <w:rPr>
          <w:rStyle w:val="Emphasis"/>
          <w:i w:val="0"/>
          <w:sz w:val="20"/>
          <w:szCs w:val="20"/>
        </w:rPr>
        <w:t>Semin</w:t>
      </w:r>
      <w:proofErr w:type="spellEnd"/>
      <w:r w:rsidRPr="00137685">
        <w:rPr>
          <w:rStyle w:val="Emphasis"/>
          <w:i w:val="0"/>
          <w:sz w:val="20"/>
          <w:szCs w:val="20"/>
        </w:rPr>
        <w:t xml:space="preserve"> </w:t>
      </w:r>
      <w:proofErr w:type="spellStart"/>
      <w:r w:rsidRPr="00137685">
        <w:rPr>
          <w:rStyle w:val="Emphasis"/>
          <w:i w:val="0"/>
          <w:sz w:val="20"/>
          <w:szCs w:val="20"/>
        </w:rPr>
        <w:t>Hematol</w:t>
      </w:r>
      <w:proofErr w:type="spellEnd"/>
      <w:r w:rsidRPr="00137685">
        <w:rPr>
          <w:i/>
          <w:sz w:val="20"/>
          <w:szCs w:val="20"/>
        </w:rPr>
        <w:t>.</w:t>
      </w:r>
      <w:r w:rsidRPr="00137685">
        <w:rPr>
          <w:sz w:val="20"/>
          <w:szCs w:val="20"/>
        </w:rPr>
        <w:t xml:space="preserve"> 2005;42(3):137–144.</w:t>
      </w:r>
    </w:p>
    <w:p w14:paraId="25411782" w14:textId="77777777" w:rsidR="00EC0F63" w:rsidRPr="00137685" w:rsidRDefault="00EC0F63" w:rsidP="00137685">
      <w:pPr>
        <w:pStyle w:val="NormalWeb"/>
        <w:numPr>
          <w:ilvl w:val="0"/>
          <w:numId w:val="4"/>
        </w:numPr>
        <w:spacing w:line="360" w:lineRule="auto"/>
        <w:jc w:val="both"/>
        <w:rPr>
          <w:sz w:val="20"/>
          <w:szCs w:val="20"/>
        </w:rPr>
      </w:pPr>
      <w:r w:rsidRPr="00137685">
        <w:rPr>
          <w:sz w:val="20"/>
          <w:szCs w:val="20"/>
        </w:rPr>
        <w:t xml:space="preserve">Salama A. Drug-induced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w:t>
      </w:r>
      <w:r w:rsidRPr="00137685">
        <w:rPr>
          <w:rStyle w:val="Emphasis"/>
          <w:i w:val="0"/>
          <w:sz w:val="20"/>
          <w:szCs w:val="20"/>
        </w:rPr>
        <w:t xml:space="preserve">Expert </w:t>
      </w:r>
      <w:proofErr w:type="spellStart"/>
      <w:r w:rsidRPr="00137685">
        <w:rPr>
          <w:rStyle w:val="Emphasis"/>
          <w:i w:val="0"/>
          <w:sz w:val="20"/>
          <w:szCs w:val="20"/>
        </w:rPr>
        <w:t>Opin</w:t>
      </w:r>
      <w:proofErr w:type="spellEnd"/>
      <w:r w:rsidRPr="00137685">
        <w:rPr>
          <w:rStyle w:val="Emphasis"/>
          <w:i w:val="0"/>
          <w:sz w:val="20"/>
          <w:szCs w:val="20"/>
        </w:rPr>
        <w:t xml:space="preserve"> Drug </w:t>
      </w:r>
      <w:proofErr w:type="spellStart"/>
      <w:r w:rsidRPr="00137685">
        <w:rPr>
          <w:rStyle w:val="Emphasis"/>
          <w:i w:val="0"/>
          <w:sz w:val="20"/>
          <w:szCs w:val="20"/>
        </w:rPr>
        <w:t>Saf</w:t>
      </w:r>
      <w:proofErr w:type="spellEnd"/>
      <w:r w:rsidRPr="00137685">
        <w:rPr>
          <w:i/>
          <w:sz w:val="20"/>
          <w:szCs w:val="20"/>
        </w:rPr>
        <w:t xml:space="preserve">. </w:t>
      </w:r>
      <w:r w:rsidRPr="00137685">
        <w:rPr>
          <w:sz w:val="20"/>
          <w:szCs w:val="20"/>
        </w:rPr>
        <w:t>2009;8(1):73–79.</w:t>
      </w:r>
    </w:p>
    <w:p w14:paraId="11D66460" w14:textId="77298A0B" w:rsidR="00831A54" w:rsidRPr="00137685" w:rsidRDefault="00EC0F63" w:rsidP="00137685">
      <w:pPr>
        <w:pStyle w:val="NormalWeb"/>
        <w:numPr>
          <w:ilvl w:val="0"/>
          <w:numId w:val="4"/>
        </w:numPr>
        <w:spacing w:line="360" w:lineRule="auto"/>
        <w:jc w:val="both"/>
        <w:rPr>
          <w:sz w:val="20"/>
          <w:szCs w:val="20"/>
        </w:rPr>
      </w:pPr>
      <w:r w:rsidRPr="00137685">
        <w:rPr>
          <w:sz w:val="20"/>
          <w:szCs w:val="20"/>
        </w:rPr>
        <w:t xml:space="preserve">Petz LD. Immune </w:t>
      </w:r>
      <w:proofErr w:type="spellStart"/>
      <w:r w:rsidRPr="00137685">
        <w:rPr>
          <w:sz w:val="20"/>
          <w:szCs w:val="20"/>
        </w:rPr>
        <w:t>hemolysis</w:t>
      </w:r>
      <w:proofErr w:type="spellEnd"/>
      <w:r w:rsidRPr="00137685">
        <w:rPr>
          <w:sz w:val="20"/>
          <w:szCs w:val="20"/>
        </w:rPr>
        <w:t xml:space="preserve"> associated with drug therapy. </w:t>
      </w:r>
      <w:r w:rsidRPr="00137685">
        <w:rPr>
          <w:rStyle w:val="Emphasis"/>
          <w:i w:val="0"/>
          <w:sz w:val="20"/>
          <w:szCs w:val="20"/>
        </w:rPr>
        <w:t>Blood Rev</w:t>
      </w:r>
      <w:r w:rsidRPr="00137685">
        <w:rPr>
          <w:i/>
          <w:sz w:val="20"/>
          <w:szCs w:val="20"/>
        </w:rPr>
        <w:t>.</w:t>
      </w:r>
      <w:r w:rsidRPr="00137685">
        <w:rPr>
          <w:sz w:val="20"/>
          <w:szCs w:val="20"/>
        </w:rPr>
        <w:t xml:space="preserve"> 2008;22(4):179–187.</w:t>
      </w:r>
    </w:p>
    <w:p w14:paraId="4D56352B" w14:textId="27F490A8" w:rsidR="00831A54" w:rsidRPr="00137685" w:rsidRDefault="00831A54" w:rsidP="00137685">
      <w:pPr>
        <w:pStyle w:val="NormalWeb"/>
        <w:numPr>
          <w:ilvl w:val="0"/>
          <w:numId w:val="4"/>
        </w:numPr>
        <w:spacing w:line="360" w:lineRule="auto"/>
        <w:jc w:val="both"/>
        <w:rPr>
          <w:sz w:val="20"/>
          <w:szCs w:val="20"/>
        </w:rPr>
      </w:pPr>
      <w:r w:rsidRPr="00137685">
        <w:rPr>
          <w:sz w:val="20"/>
          <w:szCs w:val="20"/>
        </w:rPr>
        <w:t xml:space="preserve">Guleria V, Sharma N, Amitabh S, Nair V. Ceftriaxone-induced </w:t>
      </w:r>
      <w:proofErr w:type="spellStart"/>
      <w:r w:rsidRPr="00137685">
        <w:rPr>
          <w:sz w:val="20"/>
          <w:szCs w:val="20"/>
        </w:rPr>
        <w:t>hemolysis</w:t>
      </w:r>
      <w:proofErr w:type="spellEnd"/>
      <w:r w:rsidRPr="00137685">
        <w:rPr>
          <w:sz w:val="20"/>
          <w:szCs w:val="20"/>
        </w:rPr>
        <w:t xml:space="preserve">. Indian J </w:t>
      </w:r>
      <w:proofErr w:type="spellStart"/>
      <w:r w:rsidRPr="00137685">
        <w:rPr>
          <w:sz w:val="20"/>
          <w:szCs w:val="20"/>
        </w:rPr>
        <w:t>Pharmacol</w:t>
      </w:r>
      <w:proofErr w:type="spellEnd"/>
      <w:r w:rsidRPr="00137685">
        <w:rPr>
          <w:sz w:val="20"/>
          <w:szCs w:val="20"/>
        </w:rPr>
        <w:t>. 2013;45(5):530.</w:t>
      </w:r>
    </w:p>
    <w:p w14:paraId="4009A104" w14:textId="65F2650C" w:rsidR="00831A54" w:rsidRPr="00137685" w:rsidRDefault="00FB1D72" w:rsidP="00137685">
      <w:pPr>
        <w:pStyle w:val="NormalWeb"/>
        <w:numPr>
          <w:ilvl w:val="0"/>
          <w:numId w:val="4"/>
        </w:numPr>
        <w:spacing w:line="360" w:lineRule="auto"/>
        <w:jc w:val="both"/>
        <w:rPr>
          <w:sz w:val="20"/>
          <w:szCs w:val="20"/>
        </w:rPr>
      </w:pPr>
      <w:r w:rsidRPr="00137685">
        <w:rPr>
          <w:sz w:val="20"/>
          <w:szCs w:val="20"/>
        </w:rPr>
        <w:t xml:space="preserve">Kumar S, Bansal R, Bansal P, Dhamija RK, Neurology D. Ceftriaxone-Induced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A Rare Case Report. TPJ. 2020 Mar;24(1):1-10</w:t>
      </w:r>
    </w:p>
    <w:p w14:paraId="6587E193" w14:textId="14F8ABB8" w:rsidR="00831A54" w:rsidRPr="00137685" w:rsidRDefault="00831A54" w:rsidP="00137685">
      <w:pPr>
        <w:pStyle w:val="NormalWeb"/>
        <w:numPr>
          <w:ilvl w:val="0"/>
          <w:numId w:val="4"/>
        </w:numPr>
        <w:spacing w:line="360" w:lineRule="auto"/>
        <w:jc w:val="both"/>
        <w:rPr>
          <w:sz w:val="20"/>
          <w:szCs w:val="20"/>
        </w:rPr>
      </w:pPr>
      <w:r w:rsidRPr="00137685">
        <w:rPr>
          <w:sz w:val="20"/>
          <w:szCs w:val="20"/>
        </w:rPr>
        <w:t xml:space="preserve">Maurer J, Ruddy S, Bapna M, Rodriguez G, Segal-Maurer S. Case of Ceftriaxone-Induced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in an Outpatient Parenteral Antimicrobial Therapy (OPAT) Unit. IJMPCR. 2023 Dec 13;16(4):93-8.</w:t>
      </w:r>
    </w:p>
    <w:p w14:paraId="68C09782" w14:textId="0D63085D" w:rsidR="00FB1D72" w:rsidRPr="00137685" w:rsidRDefault="00FB1D72" w:rsidP="00137685">
      <w:pPr>
        <w:pStyle w:val="NormalWeb"/>
        <w:numPr>
          <w:ilvl w:val="0"/>
          <w:numId w:val="4"/>
        </w:numPr>
        <w:spacing w:line="360" w:lineRule="auto"/>
        <w:jc w:val="both"/>
        <w:rPr>
          <w:sz w:val="20"/>
          <w:szCs w:val="20"/>
        </w:rPr>
      </w:pPr>
      <w:r w:rsidRPr="00137685">
        <w:rPr>
          <w:sz w:val="20"/>
          <w:szCs w:val="20"/>
        </w:rPr>
        <w:t xml:space="preserve">Zhang L, Huang W, Xu J, Li Y, Zhu J. Ceftriaxone-induced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managed successfully in a 54-year-old woman: a case report and literature review. Front </w:t>
      </w:r>
      <w:proofErr w:type="spellStart"/>
      <w:r w:rsidRPr="00137685">
        <w:rPr>
          <w:sz w:val="20"/>
          <w:szCs w:val="20"/>
        </w:rPr>
        <w:t>Pharmacol</w:t>
      </w:r>
      <w:proofErr w:type="spellEnd"/>
      <w:r w:rsidRPr="00137685">
        <w:rPr>
          <w:sz w:val="20"/>
          <w:szCs w:val="20"/>
        </w:rPr>
        <w:t xml:space="preserve">. 2025 Jan </w:t>
      </w:r>
      <w:proofErr w:type="gramStart"/>
      <w:r w:rsidRPr="00137685">
        <w:rPr>
          <w:sz w:val="20"/>
          <w:szCs w:val="20"/>
        </w:rPr>
        <w:t>7;15:1</w:t>
      </w:r>
      <w:proofErr w:type="gramEnd"/>
      <w:r w:rsidRPr="00137685">
        <w:rPr>
          <w:sz w:val="20"/>
          <w:szCs w:val="20"/>
        </w:rPr>
        <w:t>-10</w:t>
      </w:r>
    </w:p>
    <w:p w14:paraId="77490D0F" w14:textId="3EC2093E"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Garratty</w:t>
      </w:r>
      <w:proofErr w:type="spellEnd"/>
      <w:r w:rsidRPr="00137685">
        <w:rPr>
          <w:sz w:val="20"/>
          <w:szCs w:val="20"/>
        </w:rPr>
        <w:t xml:space="preserve"> G, </w:t>
      </w:r>
      <w:proofErr w:type="spellStart"/>
      <w:r w:rsidRPr="00137685">
        <w:rPr>
          <w:sz w:val="20"/>
          <w:szCs w:val="20"/>
        </w:rPr>
        <w:t>Postoway</w:t>
      </w:r>
      <w:proofErr w:type="spellEnd"/>
      <w:r w:rsidRPr="00137685">
        <w:rPr>
          <w:sz w:val="20"/>
          <w:szCs w:val="20"/>
        </w:rPr>
        <w:t xml:space="preserve"> N, Schwellenbach J, McMahill PC. A fatal case of ceftriaxone (Rocephin)-induced </w:t>
      </w:r>
      <w:proofErr w:type="spellStart"/>
      <w:r w:rsidRPr="00137685">
        <w:rPr>
          <w:sz w:val="20"/>
          <w:szCs w:val="20"/>
        </w:rPr>
        <w:t>hemolytic</w:t>
      </w:r>
      <w:proofErr w:type="spellEnd"/>
      <w:r w:rsidRPr="00137685">
        <w:rPr>
          <w:sz w:val="20"/>
          <w:szCs w:val="20"/>
        </w:rPr>
        <w:t xml:space="preserve"> anaemia associated with intravascular immune </w:t>
      </w:r>
      <w:proofErr w:type="spellStart"/>
      <w:r w:rsidRPr="00137685">
        <w:rPr>
          <w:sz w:val="20"/>
          <w:szCs w:val="20"/>
        </w:rPr>
        <w:t>hemolysis</w:t>
      </w:r>
      <w:proofErr w:type="spellEnd"/>
      <w:r w:rsidRPr="00137685">
        <w:rPr>
          <w:sz w:val="20"/>
          <w:szCs w:val="20"/>
        </w:rPr>
        <w:t xml:space="preserve">. Transfusion </w:t>
      </w:r>
      <w:proofErr w:type="gramStart"/>
      <w:r w:rsidRPr="00137685">
        <w:rPr>
          <w:sz w:val="20"/>
          <w:szCs w:val="20"/>
        </w:rPr>
        <w:t>1991;31:176</w:t>
      </w:r>
      <w:proofErr w:type="gramEnd"/>
      <w:r w:rsidRPr="00137685">
        <w:rPr>
          <w:sz w:val="20"/>
          <w:szCs w:val="20"/>
        </w:rPr>
        <w:t>-9</w:t>
      </w:r>
    </w:p>
    <w:p w14:paraId="7587B0D9" w14:textId="1D9EEE96"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lastRenderedPageBreak/>
        <w:t>Arandt</w:t>
      </w:r>
      <w:proofErr w:type="spellEnd"/>
      <w:r w:rsidRPr="00137685">
        <w:rPr>
          <w:sz w:val="20"/>
          <w:szCs w:val="20"/>
        </w:rPr>
        <w:t xml:space="preserve"> PA, Leger RM, </w:t>
      </w:r>
      <w:proofErr w:type="spellStart"/>
      <w:r w:rsidRPr="00137685">
        <w:rPr>
          <w:sz w:val="20"/>
          <w:szCs w:val="20"/>
        </w:rPr>
        <w:t>Garratty</w:t>
      </w:r>
      <w:proofErr w:type="spellEnd"/>
      <w:r w:rsidRPr="00137685">
        <w:rPr>
          <w:sz w:val="20"/>
          <w:szCs w:val="20"/>
        </w:rPr>
        <w:t xml:space="preserve"> G. Serology of antibodies to second and </w:t>
      </w:r>
      <w:proofErr w:type="spellStart"/>
      <w:r w:rsidRPr="00137685">
        <w:rPr>
          <w:sz w:val="20"/>
          <w:szCs w:val="20"/>
        </w:rPr>
        <w:t>thirdgeneration</w:t>
      </w:r>
      <w:proofErr w:type="spellEnd"/>
      <w:r w:rsidRPr="00137685">
        <w:rPr>
          <w:sz w:val="20"/>
          <w:szCs w:val="20"/>
        </w:rPr>
        <w:t xml:space="preserve"> cephalosporins associated with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and/or </w:t>
      </w:r>
      <w:proofErr w:type="spellStart"/>
      <w:r w:rsidRPr="00137685">
        <w:rPr>
          <w:sz w:val="20"/>
          <w:szCs w:val="20"/>
        </w:rPr>
        <w:t>positivedirect</w:t>
      </w:r>
      <w:proofErr w:type="spellEnd"/>
      <w:r w:rsidRPr="00137685">
        <w:rPr>
          <w:sz w:val="20"/>
          <w:szCs w:val="20"/>
        </w:rPr>
        <w:t xml:space="preserve"> antiglobulin tests. Transfusion 1999 Nov-Dec;39(11-12). DOI: </w:t>
      </w:r>
      <w:hyperlink r:id="rId8" w:history="1">
        <w:r w:rsidRPr="00137685">
          <w:rPr>
            <w:rStyle w:val="Hyperlink"/>
            <w:sz w:val="20"/>
            <w:szCs w:val="20"/>
          </w:rPr>
          <w:t>https://doi.org/10.1046/j.1537-2995.1999.39111239.x</w:t>
        </w:r>
      </w:hyperlink>
      <w:r w:rsidRPr="00137685">
        <w:rPr>
          <w:sz w:val="20"/>
          <w:szCs w:val="20"/>
        </w:rPr>
        <w:t xml:space="preserve"> </w:t>
      </w:r>
    </w:p>
    <w:p w14:paraId="70C7D339" w14:textId="23A10FE9"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Garratty</w:t>
      </w:r>
      <w:proofErr w:type="spellEnd"/>
      <w:r w:rsidRPr="00137685">
        <w:rPr>
          <w:sz w:val="20"/>
          <w:szCs w:val="20"/>
        </w:rPr>
        <w:t xml:space="preserve"> G. Drug-induced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w:t>
      </w:r>
      <w:proofErr w:type="spellStart"/>
      <w:r w:rsidRPr="00137685">
        <w:rPr>
          <w:sz w:val="20"/>
          <w:szCs w:val="20"/>
        </w:rPr>
        <w:t>Hematology</w:t>
      </w:r>
      <w:proofErr w:type="spellEnd"/>
      <w:r w:rsidRPr="00137685">
        <w:rPr>
          <w:sz w:val="20"/>
          <w:szCs w:val="20"/>
        </w:rPr>
        <w:t xml:space="preserve"> (Am </w:t>
      </w:r>
      <w:proofErr w:type="spellStart"/>
      <w:r w:rsidRPr="00137685">
        <w:rPr>
          <w:sz w:val="20"/>
          <w:szCs w:val="20"/>
        </w:rPr>
        <w:t>SocHematol</w:t>
      </w:r>
      <w:proofErr w:type="spellEnd"/>
      <w:r w:rsidRPr="00137685">
        <w:rPr>
          <w:sz w:val="20"/>
          <w:szCs w:val="20"/>
        </w:rPr>
        <w:t xml:space="preserve"> </w:t>
      </w:r>
      <w:proofErr w:type="spellStart"/>
      <w:r w:rsidRPr="00137685">
        <w:rPr>
          <w:sz w:val="20"/>
          <w:szCs w:val="20"/>
        </w:rPr>
        <w:t>Educ</w:t>
      </w:r>
      <w:proofErr w:type="spellEnd"/>
      <w:r w:rsidRPr="00137685">
        <w:rPr>
          <w:sz w:val="20"/>
          <w:szCs w:val="20"/>
        </w:rPr>
        <w:t xml:space="preserve"> Program) 2009;2009(1):73-9. DOI: </w:t>
      </w:r>
      <w:hyperlink r:id="rId9" w:history="1">
        <w:r w:rsidRPr="00137685">
          <w:rPr>
            <w:rStyle w:val="Hyperlink"/>
            <w:sz w:val="20"/>
            <w:szCs w:val="20"/>
          </w:rPr>
          <w:t>https://doi.org/10.1182/asheducation-2009.1.73 PMID:200081847</w:t>
        </w:r>
      </w:hyperlink>
      <w:r w:rsidRPr="00137685">
        <w:rPr>
          <w:sz w:val="20"/>
          <w:szCs w:val="20"/>
        </w:rPr>
        <w:t xml:space="preserve">. </w:t>
      </w:r>
    </w:p>
    <w:p w14:paraId="77739DDD" w14:textId="6D4FD1C4"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Garratty</w:t>
      </w:r>
      <w:proofErr w:type="spellEnd"/>
      <w:r w:rsidRPr="00137685">
        <w:rPr>
          <w:sz w:val="20"/>
          <w:szCs w:val="20"/>
        </w:rPr>
        <w:t xml:space="preserve"> G. 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associated with drug therapy. Blood Rev2010 Jul-Sep;24(4-5):143-50</w:t>
      </w:r>
    </w:p>
    <w:p w14:paraId="52FDCA89" w14:textId="77777777" w:rsidR="00FB1D72" w:rsidRPr="00137685" w:rsidRDefault="00FB1D72" w:rsidP="00137685">
      <w:pPr>
        <w:pStyle w:val="NormalWeb"/>
        <w:numPr>
          <w:ilvl w:val="0"/>
          <w:numId w:val="4"/>
        </w:numPr>
        <w:spacing w:line="360" w:lineRule="auto"/>
        <w:jc w:val="both"/>
        <w:rPr>
          <w:sz w:val="20"/>
          <w:szCs w:val="20"/>
        </w:rPr>
      </w:pPr>
      <w:r w:rsidRPr="00137685">
        <w:rPr>
          <w:sz w:val="20"/>
          <w:szCs w:val="20"/>
        </w:rPr>
        <w:t xml:space="preserve">Phillips J, Henderson AC.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evaluation and differential diagnosis. Am Fam Physician. (2018) 98:354–61. </w:t>
      </w:r>
    </w:p>
    <w:p w14:paraId="32C4C173" w14:textId="3AA47A8A" w:rsidR="00FB1D72" w:rsidRPr="00137685" w:rsidRDefault="00FB1D72" w:rsidP="00137685">
      <w:pPr>
        <w:pStyle w:val="NormalWeb"/>
        <w:numPr>
          <w:ilvl w:val="0"/>
          <w:numId w:val="4"/>
        </w:numPr>
        <w:spacing w:line="360" w:lineRule="auto"/>
        <w:jc w:val="both"/>
        <w:rPr>
          <w:sz w:val="20"/>
          <w:szCs w:val="20"/>
        </w:rPr>
      </w:pPr>
      <w:proofErr w:type="spellStart"/>
      <w:r w:rsidRPr="00137685">
        <w:rPr>
          <w:sz w:val="20"/>
          <w:szCs w:val="20"/>
        </w:rPr>
        <w:t>Barcellini</w:t>
      </w:r>
      <w:proofErr w:type="spellEnd"/>
      <w:r w:rsidRPr="00137685">
        <w:rPr>
          <w:sz w:val="20"/>
          <w:szCs w:val="20"/>
        </w:rPr>
        <w:t xml:space="preserve"> W, </w:t>
      </w:r>
      <w:proofErr w:type="spellStart"/>
      <w:r w:rsidRPr="00137685">
        <w:rPr>
          <w:sz w:val="20"/>
          <w:szCs w:val="20"/>
        </w:rPr>
        <w:t>Fattizzo</w:t>
      </w:r>
      <w:proofErr w:type="spellEnd"/>
      <w:r w:rsidRPr="00137685">
        <w:rPr>
          <w:sz w:val="20"/>
          <w:szCs w:val="20"/>
        </w:rPr>
        <w:t xml:space="preserve"> B. The changing landscape of autoimmune </w:t>
      </w:r>
      <w:proofErr w:type="spellStart"/>
      <w:r w:rsidRPr="00137685">
        <w:rPr>
          <w:sz w:val="20"/>
          <w:szCs w:val="20"/>
        </w:rPr>
        <w:t>hemolytic</w:t>
      </w:r>
      <w:proofErr w:type="spellEnd"/>
      <w:r w:rsidRPr="00137685">
        <w:rPr>
          <w:sz w:val="20"/>
          <w:szCs w:val="20"/>
        </w:rPr>
        <w:t xml:space="preserve"> </w:t>
      </w:r>
      <w:proofErr w:type="spellStart"/>
      <w:r w:rsidRPr="00137685">
        <w:rPr>
          <w:sz w:val="20"/>
          <w:szCs w:val="20"/>
        </w:rPr>
        <w:t>anemia</w:t>
      </w:r>
      <w:proofErr w:type="spellEnd"/>
      <w:r w:rsidRPr="00137685">
        <w:rPr>
          <w:sz w:val="20"/>
          <w:szCs w:val="20"/>
        </w:rPr>
        <w:t xml:space="preserve">. Front Immunol. (2020) 11:946. </w:t>
      </w:r>
      <w:proofErr w:type="spellStart"/>
      <w:r w:rsidRPr="00137685">
        <w:rPr>
          <w:sz w:val="20"/>
          <w:szCs w:val="20"/>
        </w:rPr>
        <w:t>doi</w:t>
      </w:r>
      <w:proofErr w:type="spellEnd"/>
      <w:r w:rsidRPr="00137685">
        <w:rPr>
          <w:sz w:val="20"/>
          <w:szCs w:val="20"/>
        </w:rPr>
        <w:t>:  10.3389/fimmu.2020.0094</w:t>
      </w:r>
    </w:p>
    <w:p w14:paraId="4C047344" w14:textId="77777777" w:rsidR="0028441D" w:rsidRPr="00137685" w:rsidRDefault="0028441D" w:rsidP="00137685">
      <w:pPr>
        <w:spacing w:line="360" w:lineRule="auto"/>
        <w:rPr>
          <w:rFonts w:ascii="Times New Roman" w:hAnsi="Times New Roman" w:cs="Times New Roman"/>
          <w:sz w:val="20"/>
          <w:szCs w:val="20"/>
        </w:rPr>
      </w:pPr>
    </w:p>
    <w:sectPr w:rsidR="0028441D" w:rsidRPr="001376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05778" w14:textId="77777777" w:rsidR="00F85364" w:rsidRDefault="00F85364" w:rsidP="00DD2F3A">
      <w:pPr>
        <w:spacing w:after="0" w:line="240" w:lineRule="auto"/>
      </w:pPr>
      <w:r>
        <w:separator/>
      </w:r>
    </w:p>
  </w:endnote>
  <w:endnote w:type="continuationSeparator" w:id="0">
    <w:p w14:paraId="45F8559A" w14:textId="77777777" w:rsidR="00F85364" w:rsidRDefault="00F85364" w:rsidP="00DD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35FF" w14:textId="77777777" w:rsidR="00DD2F3A" w:rsidRDefault="00DD2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BC740" w14:textId="77777777" w:rsidR="00DD2F3A" w:rsidRDefault="00DD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7523" w14:textId="77777777" w:rsidR="00DD2F3A" w:rsidRDefault="00DD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11EFB" w14:textId="77777777" w:rsidR="00F85364" w:rsidRDefault="00F85364" w:rsidP="00DD2F3A">
      <w:pPr>
        <w:spacing w:after="0" w:line="240" w:lineRule="auto"/>
      </w:pPr>
      <w:r>
        <w:separator/>
      </w:r>
    </w:p>
  </w:footnote>
  <w:footnote w:type="continuationSeparator" w:id="0">
    <w:p w14:paraId="686BD9FF" w14:textId="77777777" w:rsidR="00F85364" w:rsidRDefault="00F85364" w:rsidP="00DD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7F69" w14:textId="361FE949" w:rsidR="00DD2F3A" w:rsidRDefault="00DD2F3A">
    <w:pPr>
      <w:pStyle w:val="Header"/>
    </w:pPr>
    <w:r>
      <w:rPr>
        <w:noProof/>
      </w:rPr>
      <w:pict w14:anchorId="55F51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81DB" w14:textId="60AF9FC1" w:rsidR="00DD2F3A" w:rsidRDefault="00DD2F3A">
    <w:pPr>
      <w:pStyle w:val="Header"/>
    </w:pPr>
    <w:r>
      <w:rPr>
        <w:noProof/>
      </w:rPr>
      <w:pict w14:anchorId="36511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28294" w14:textId="734207E8" w:rsidR="00DD2F3A" w:rsidRDefault="00DD2F3A">
    <w:pPr>
      <w:pStyle w:val="Header"/>
    </w:pPr>
    <w:r>
      <w:rPr>
        <w:noProof/>
      </w:rPr>
      <w:pict w14:anchorId="6539B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4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31E2"/>
    <w:multiLevelType w:val="multilevel"/>
    <w:tmpl w:val="F5FE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66962"/>
    <w:multiLevelType w:val="multilevel"/>
    <w:tmpl w:val="44C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36EA2"/>
    <w:multiLevelType w:val="multilevel"/>
    <w:tmpl w:val="3BD8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45F82"/>
    <w:multiLevelType w:val="multilevel"/>
    <w:tmpl w:val="846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961B4"/>
    <w:multiLevelType w:val="multilevel"/>
    <w:tmpl w:val="1772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96034"/>
    <w:multiLevelType w:val="multilevel"/>
    <w:tmpl w:val="FD76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B36E4"/>
    <w:multiLevelType w:val="multilevel"/>
    <w:tmpl w:val="F6AA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DF5AAC"/>
    <w:multiLevelType w:val="multilevel"/>
    <w:tmpl w:val="9B1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1D"/>
    <w:rsid w:val="00137685"/>
    <w:rsid w:val="001F6571"/>
    <w:rsid w:val="0028441D"/>
    <w:rsid w:val="002B74B4"/>
    <w:rsid w:val="002E3468"/>
    <w:rsid w:val="00397A37"/>
    <w:rsid w:val="003D75C2"/>
    <w:rsid w:val="004221AB"/>
    <w:rsid w:val="004325A5"/>
    <w:rsid w:val="004831CB"/>
    <w:rsid w:val="004A5F84"/>
    <w:rsid w:val="004B4C78"/>
    <w:rsid w:val="00531F8A"/>
    <w:rsid w:val="00661FE7"/>
    <w:rsid w:val="006D08A3"/>
    <w:rsid w:val="00831A54"/>
    <w:rsid w:val="00AD2CAE"/>
    <w:rsid w:val="00B71434"/>
    <w:rsid w:val="00BA0652"/>
    <w:rsid w:val="00C81BAB"/>
    <w:rsid w:val="00CD71C2"/>
    <w:rsid w:val="00DB2825"/>
    <w:rsid w:val="00DD2F3A"/>
    <w:rsid w:val="00E67A01"/>
    <w:rsid w:val="00E94803"/>
    <w:rsid w:val="00EC0F63"/>
    <w:rsid w:val="00EE259A"/>
    <w:rsid w:val="00F375D9"/>
    <w:rsid w:val="00F67C2B"/>
    <w:rsid w:val="00F85364"/>
    <w:rsid w:val="00FB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F125E3"/>
  <w15:chartTrackingRefBased/>
  <w15:docId w15:val="{67743C53-C62F-40BB-A826-0FCEFF1A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8441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8441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41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8441D"/>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44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441D"/>
    <w:rPr>
      <w:b/>
      <w:bCs/>
    </w:rPr>
  </w:style>
  <w:style w:type="table" w:styleId="TableGrid">
    <w:name w:val="Table Grid"/>
    <w:basedOn w:val="TableNormal"/>
    <w:uiPriority w:val="39"/>
    <w:rsid w:val="0028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8441D"/>
    <w:rPr>
      <w:i/>
      <w:iCs/>
    </w:rPr>
  </w:style>
  <w:style w:type="paragraph" w:styleId="BalloonText">
    <w:name w:val="Balloon Text"/>
    <w:basedOn w:val="Normal"/>
    <w:link w:val="BalloonTextChar"/>
    <w:uiPriority w:val="99"/>
    <w:semiHidden/>
    <w:unhideWhenUsed/>
    <w:rsid w:val="00DB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825"/>
    <w:rPr>
      <w:rFonts w:ascii="Segoe UI" w:hAnsi="Segoe UI" w:cs="Segoe UI"/>
      <w:sz w:val="18"/>
      <w:szCs w:val="18"/>
    </w:rPr>
  </w:style>
  <w:style w:type="character" w:styleId="Hyperlink">
    <w:name w:val="Hyperlink"/>
    <w:basedOn w:val="DefaultParagraphFont"/>
    <w:uiPriority w:val="99"/>
    <w:unhideWhenUsed/>
    <w:rsid w:val="00FB1D72"/>
    <w:rPr>
      <w:color w:val="0563C1" w:themeColor="hyperlink"/>
      <w:u w:val="single"/>
    </w:rPr>
  </w:style>
  <w:style w:type="character" w:styleId="UnresolvedMention">
    <w:name w:val="Unresolved Mention"/>
    <w:basedOn w:val="DefaultParagraphFont"/>
    <w:uiPriority w:val="99"/>
    <w:semiHidden/>
    <w:unhideWhenUsed/>
    <w:rsid w:val="00FB1D72"/>
    <w:rPr>
      <w:color w:val="605E5C"/>
      <w:shd w:val="clear" w:color="auto" w:fill="E1DFDD"/>
    </w:rPr>
  </w:style>
  <w:style w:type="paragraph" w:styleId="Header">
    <w:name w:val="header"/>
    <w:basedOn w:val="Normal"/>
    <w:link w:val="HeaderChar"/>
    <w:uiPriority w:val="99"/>
    <w:unhideWhenUsed/>
    <w:rsid w:val="00DD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F3A"/>
  </w:style>
  <w:style w:type="paragraph" w:styleId="Footer">
    <w:name w:val="footer"/>
    <w:basedOn w:val="Normal"/>
    <w:link w:val="FooterChar"/>
    <w:uiPriority w:val="99"/>
    <w:unhideWhenUsed/>
    <w:rsid w:val="00DD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936235">
      <w:bodyDiv w:val="1"/>
      <w:marLeft w:val="0"/>
      <w:marRight w:val="0"/>
      <w:marTop w:val="0"/>
      <w:marBottom w:val="0"/>
      <w:divBdr>
        <w:top w:val="none" w:sz="0" w:space="0" w:color="auto"/>
        <w:left w:val="none" w:sz="0" w:space="0" w:color="auto"/>
        <w:bottom w:val="none" w:sz="0" w:space="0" w:color="auto"/>
        <w:right w:val="none" w:sz="0" w:space="0" w:color="auto"/>
      </w:divBdr>
    </w:div>
    <w:div w:id="818495748">
      <w:bodyDiv w:val="1"/>
      <w:marLeft w:val="0"/>
      <w:marRight w:val="0"/>
      <w:marTop w:val="0"/>
      <w:marBottom w:val="0"/>
      <w:divBdr>
        <w:top w:val="none" w:sz="0" w:space="0" w:color="auto"/>
        <w:left w:val="none" w:sz="0" w:space="0" w:color="auto"/>
        <w:bottom w:val="none" w:sz="0" w:space="0" w:color="auto"/>
        <w:right w:val="none" w:sz="0" w:space="0" w:color="auto"/>
      </w:divBdr>
    </w:div>
    <w:div w:id="879513618">
      <w:bodyDiv w:val="1"/>
      <w:marLeft w:val="0"/>
      <w:marRight w:val="0"/>
      <w:marTop w:val="0"/>
      <w:marBottom w:val="0"/>
      <w:divBdr>
        <w:top w:val="none" w:sz="0" w:space="0" w:color="auto"/>
        <w:left w:val="none" w:sz="0" w:space="0" w:color="auto"/>
        <w:bottom w:val="none" w:sz="0" w:space="0" w:color="auto"/>
        <w:right w:val="none" w:sz="0" w:space="0" w:color="auto"/>
      </w:divBdr>
    </w:div>
    <w:div w:id="2021001007">
      <w:bodyDiv w:val="1"/>
      <w:marLeft w:val="0"/>
      <w:marRight w:val="0"/>
      <w:marTop w:val="0"/>
      <w:marBottom w:val="0"/>
      <w:divBdr>
        <w:top w:val="none" w:sz="0" w:space="0" w:color="auto"/>
        <w:left w:val="none" w:sz="0" w:space="0" w:color="auto"/>
        <w:bottom w:val="none" w:sz="0" w:space="0" w:color="auto"/>
        <w:right w:val="none" w:sz="0" w:space="0" w:color="auto"/>
      </w:divBdr>
    </w:div>
    <w:div w:id="2064284102">
      <w:bodyDiv w:val="1"/>
      <w:marLeft w:val="0"/>
      <w:marRight w:val="0"/>
      <w:marTop w:val="0"/>
      <w:marBottom w:val="0"/>
      <w:divBdr>
        <w:top w:val="none" w:sz="0" w:space="0" w:color="auto"/>
        <w:left w:val="none" w:sz="0" w:space="0" w:color="auto"/>
        <w:bottom w:val="none" w:sz="0" w:space="0" w:color="auto"/>
        <w:right w:val="none" w:sz="0" w:space="0" w:color="auto"/>
      </w:divBdr>
    </w:div>
    <w:div w:id="207292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6/j.1537-2995.1999.39111239.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2/asheducation-2009.1.73%20PMID:20008184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SDI 1180</cp:lastModifiedBy>
  <cp:revision>32</cp:revision>
  <dcterms:created xsi:type="dcterms:W3CDTF">2025-09-23T19:00:00Z</dcterms:created>
  <dcterms:modified xsi:type="dcterms:W3CDTF">2025-09-26T12:05:00Z</dcterms:modified>
</cp:coreProperties>
</file>