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20453" w14:textId="0830C11C" w:rsidR="001B56CF" w:rsidRDefault="00E363DB" w:rsidP="001B56CF">
      <w:pPr>
        <w:spacing w:line="480" w:lineRule="auto"/>
        <w:rPr>
          <w:rFonts w:ascii="Times New Roman" w:hAnsi="Times New Roman" w:cs="Times New Roman"/>
          <w:b/>
          <w:bCs/>
          <w:sz w:val="24"/>
          <w:szCs w:val="24"/>
        </w:rPr>
      </w:pPr>
      <w:r>
        <w:rPr>
          <w:rFonts w:ascii="Calibri" w:hAnsi="Calibri" w:cs="Calibri"/>
        </w:rPr>
        <w:t>Review Article</w:t>
      </w:r>
    </w:p>
    <w:p w14:paraId="278C9F6C" w14:textId="4A0F2913" w:rsidR="001B56CF" w:rsidRPr="004D324A" w:rsidRDefault="001B56CF" w:rsidP="001B56CF">
      <w:pPr>
        <w:spacing w:line="480" w:lineRule="auto"/>
        <w:jc w:val="center"/>
        <w:rPr>
          <w:rFonts w:ascii="Times New Roman" w:hAnsi="Times New Roman" w:cs="Times New Roman"/>
          <w:b/>
          <w:bCs/>
          <w:sz w:val="24"/>
          <w:szCs w:val="24"/>
        </w:rPr>
      </w:pPr>
      <w:r w:rsidRPr="0006385D">
        <w:rPr>
          <w:rFonts w:ascii="Times New Roman" w:hAnsi="Times New Roman" w:cs="Times New Roman"/>
          <w:b/>
          <w:bCs/>
          <w:sz w:val="24"/>
          <w:szCs w:val="24"/>
        </w:rPr>
        <w:t>Harnessing the Human Microbiome for Drug Discovery: Identification and Characterization of Bacterially-Derived Small Molecul</w:t>
      </w:r>
      <w:r w:rsidR="001513D7">
        <w:rPr>
          <w:rFonts w:ascii="Times New Roman" w:hAnsi="Times New Roman" w:cs="Times New Roman"/>
          <w:b/>
          <w:bCs/>
          <w:sz w:val="24"/>
          <w:szCs w:val="24"/>
        </w:rPr>
        <w:t>e Modulators of Host Physiology</w:t>
      </w:r>
    </w:p>
    <w:p w14:paraId="58CCBFB6" w14:textId="77777777" w:rsidR="001B56CF" w:rsidRDefault="001B56CF" w:rsidP="004D324A">
      <w:pPr>
        <w:spacing w:line="480" w:lineRule="auto"/>
        <w:rPr>
          <w:rFonts w:ascii="Times New Roman" w:hAnsi="Times New Roman" w:cs="Times New Roman"/>
          <w:sz w:val="24"/>
          <w:szCs w:val="24"/>
        </w:rPr>
      </w:pPr>
    </w:p>
    <w:p w14:paraId="7E614F7A" w14:textId="07C8EE15" w:rsidR="00774CB9" w:rsidRPr="00294E2A" w:rsidRDefault="00774CB9" w:rsidP="00774CB9">
      <w:pPr>
        <w:spacing w:line="480" w:lineRule="auto"/>
        <w:jc w:val="both"/>
        <w:rPr>
          <w:rFonts w:ascii="Times New Roman" w:hAnsi="Times New Roman" w:cs="Times New Roman"/>
          <w:sz w:val="24"/>
          <w:szCs w:val="24"/>
        </w:rPr>
      </w:pPr>
      <w:r w:rsidRPr="0006385D">
        <w:rPr>
          <w:rFonts w:ascii="Times New Roman" w:hAnsi="Times New Roman" w:cs="Times New Roman"/>
          <w:b/>
          <w:bCs/>
          <w:sz w:val="24"/>
          <w:szCs w:val="24"/>
        </w:rPr>
        <w:t>Abstract</w:t>
      </w:r>
      <w:r w:rsidRPr="00294E2A">
        <w:rPr>
          <w:rFonts w:ascii="Times New Roman" w:hAnsi="Times New Roman" w:cs="Times New Roman"/>
          <w:sz w:val="24"/>
          <w:szCs w:val="24"/>
        </w:rPr>
        <w:t>:</w:t>
      </w:r>
    </w:p>
    <w:p w14:paraId="7632ECAF" w14:textId="77777777" w:rsidR="00774CB9" w:rsidRPr="00294E2A" w:rsidRDefault="00774CB9" w:rsidP="00774CB9">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The human microbiome, a complex ecosystem of trillions of microorganisms, is now recognized as a virtual endocrine organ that profoundly influences host physiology. Beyond its role in metabolism and immunity, the microbiome produces a vast repertoire of small molecules that can mimic, modulate, or interfere with host signaling pathways. These bacterially-derived metabolites represent an untapped reservoir of novel therapeutic agents. This review explores the paradigm of mining the human microbiome for drug discovery. We outline the methodological pipeline for identifying candidate molecules, from multi-omics correlation studies to functional validation in gnotobiotic models. We highlight key examples of microbiome-derived modulators of host physiology, including metabolites targeting G protein-coupled receptors (GPCRs), nuclear receptors, and epigenetic machinery. Finally, we discuss the challenges and future directions in translating these findings into viable therapeutics, emphasizing the need for advanced culturing techniques, synthetic biology, and robust clinical validation. Harnessing this microbial "dark matter" holds immense promise for treating a wide range of diseases, from metabolic disorders to neurological conditions.</w:t>
      </w:r>
    </w:p>
    <w:p w14:paraId="1AAEEF09" w14:textId="77777777" w:rsidR="00774CB9" w:rsidRPr="00294E2A" w:rsidRDefault="00774CB9" w:rsidP="00774CB9">
      <w:pPr>
        <w:spacing w:line="480" w:lineRule="auto"/>
        <w:jc w:val="both"/>
        <w:rPr>
          <w:rFonts w:ascii="Times New Roman" w:hAnsi="Times New Roman" w:cs="Times New Roman"/>
          <w:sz w:val="24"/>
          <w:szCs w:val="24"/>
        </w:rPr>
      </w:pPr>
    </w:p>
    <w:p w14:paraId="6D9E2F9F" w14:textId="5C57C858" w:rsidR="00943453" w:rsidRPr="0006385D" w:rsidRDefault="00774CB9" w:rsidP="00774CB9">
      <w:pPr>
        <w:spacing w:line="480" w:lineRule="auto"/>
        <w:jc w:val="both"/>
        <w:rPr>
          <w:rFonts w:ascii="Times New Roman" w:hAnsi="Times New Roman" w:cs="Times New Roman"/>
          <w:b/>
          <w:bCs/>
          <w:sz w:val="24"/>
          <w:szCs w:val="24"/>
        </w:rPr>
      </w:pPr>
      <w:r w:rsidRPr="0006385D">
        <w:rPr>
          <w:rFonts w:ascii="Times New Roman" w:hAnsi="Times New Roman" w:cs="Times New Roman"/>
          <w:b/>
          <w:bCs/>
          <w:sz w:val="24"/>
          <w:szCs w:val="24"/>
        </w:rPr>
        <w:t xml:space="preserve">Keywords: Human Microbiome, Drug Discovery, Microbial Metabolites, Host-Microbe Interactions, Metabolomics, GPCRs, Nuclear Receptors, </w:t>
      </w:r>
      <w:proofErr w:type="spellStart"/>
      <w:r w:rsidRPr="0006385D">
        <w:rPr>
          <w:rFonts w:ascii="Times New Roman" w:hAnsi="Times New Roman" w:cs="Times New Roman"/>
          <w:b/>
          <w:bCs/>
          <w:sz w:val="24"/>
          <w:szCs w:val="24"/>
        </w:rPr>
        <w:t>Pharmacomicrobiomics</w:t>
      </w:r>
      <w:proofErr w:type="spellEnd"/>
      <w:r w:rsidRPr="0006385D">
        <w:rPr>
          <w:rFonts w:ascii="Times New Roman" w:hAnsi="Times New Roman" w:cs="Times New Roman"/>
          <w:b/>
          <w:bCs/>
          <w:sz w:val="24"/>
          <w:szCs w:val="24"/>
        </w:rPr>
        <w:t>.</w:t>
      </w:r>
    </w:p>
    <w:p w14:paraId="791AD457" w14:textId="544B9B93" w:rsidR="00774CB9" w:rsidRPr="0073316C" w:rsidRDefault="0073316C" w:rsidP="0073316C">
      <w:pPr>
        <w:spacing w:line="480" w:lineRule="auto"/>
        <w:jc w:val="both"/>
        <w:rPr>
          <w:rFonts w:ascii="Times New Roman" w:hAnsi="Times New Roman" w:cs="Times New Roman"/>
          <w:b/>
          <w:bCs/>
          <w:sz w:val="24"/>
          <w:szCs w:val="24"/>
        </w:rPr>
      </w:pPr>
      <w:bookmarkStart w:id="0" w:name="_GoBack"/>
      <w:bookmarkEnd w:id="0"/>
      <w:r w:rsidRPr="0073316C">
        <w:rPr>
          <w:rFonts w:ascii="Times New Roman" w:hAnsi="Times New Roman" w:cs="Times New Roman"/>
          <w:b/>
          <w:bCs/>
          <w:sz w:val="24"/>
          <w:szCs w:val="24"/>
        </w:rPr>
        <w:lastRenderedPageBreak/>
        <w:t>1.</w:t>
      </w:r>
      <w:r>
        <w:rPr>
          <w:rFonts w:ascii="Times New Roman" w:hAnsi="Times New Roman" w:cs="Times New Roman"/>
          <w:b/>
          <w:bCs/>
          <w:sz w:val="24"/>
          <w:szCs w:val="24"/>
        </w:rPr>
        <w:t xml:space="preserve"> </w:t>
      </w:r>
      <w:r w:rsidR="00774CB9" w:rsidRPr="0073316C">
        <w:rPr>
          <w:rFonts w:ascii="Times New Roman" w:hAnsi="Times New Roman" w:cs="Times New Roman"/>
          <w:b/>
          <w:bCs/>
          <w:sz w:val="24"/>
          <w:szCs w:val="24"/>
        </w:rPr>
        <w:t>Introduction</w:t>
      </w:r>
    </w:p>
    <w:p w14:paraId="5F2A2B5D" w14:textId="70E8FF88" w:rsidR="00774CB9" w:rsidRPr="00294E2A" w:rsidRDefault="00774CB9" w:rsidP="00774CB9">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 xml:space="preserve">The human body is not merely a singular entity but a complex superorganism, composed of human cells and a vast, dynamic ecosystem of trillions of microorganisms are present in the human microbiome (Gilbert </w:t>
      </w:r>
      <w:r w:rsidRPr="00294E2A">
        <w:rPr>
          <w:rFonts w:ascii="Times New Roman" w:hAnsi="Times New Roman" w:cs="Times New Roman"/>
          <w:i/>
          <w:iCs/>
          <w:sz w:val="24"/>
          <w:szCs w:val="24"/>
        </w:rPr>
        <w:t>et al</w:t>
      </w:r>
      <w:r w:rsidRPr="00294E2A">
        <w:rPr>
          <w:rFonts w:ascii="Times New Roman" w:hAnsi="Times New Roman" w:cs="Times New Roman"/>
          <w:sz w:val="24"/>
          <w:szCs w:val="24"/>
        </w:rPr>
        <w:t>, 2018). For decades, the prevailing view of microbes was as pathogens to be eradicated. However, a paradigm shift has occurred, driven by revolutionary advances in genomic sequencing. We now understand that the diverse microbial communities residing on our skin, in our mouths, and particularly within our gastrointestinal tract are not passive passengers but active, integral contributors to human physiology (</w:t>
      </w:r>
      <w:proofErr w:type="spellStart"/>
      <w:r w:rsidRPr="00294E2A">
        <w:rPr>
          <w:rFonts w:ascii="Times New Roman" w:hAnsi="Times New Roman" w:cs="Times New Roman"/>
          <w:sz w:val="24"/>
          <w:szCs w:val="24"/>
        </w:rPr>
        <w:t>Pateriya</w:t>
      </w:r>
      <w:proofErr w:type="spellEnd"/>
      <w:r w:rsidRPr="00294E2A">
        <w:rPr>
          <w:rFonts w:ascii="Times New Roman" w:hAnsi="Times New Roman" w:cs="Times New Roman"/>
          <w:sz w:val="24"/>
          <w:szCs w:val="24"/>
        </w:rPr>
        <w:t xml:space="preserve"> </w:t>
      </w:r>
      <w:r w:rsidRPr="00294E2A">
        <w:rPr>
          <w:rFonts w:ascii="Times New Roman" w:hAnsi="Times New Roman" w:cs="Times New Roman"/>
          <w:i/>
          <w:iCs/>
          <w:sz w:val="24"/>
          <w:szCs w:val="24"/>
        </w:rPr>
        <w:t>et al</w:t>
      </w:r>
      <w:r w:rsidRPr="00294E2A">
        <w:rPr>
          <w:rFonts w:ascii="Times New Roman" w:hAnsi="Times New Roman" w:cs="Times New Roman"/>
          <w:sz w:val="24"/>
          <w:szCs w:val="24"/>
        </w:rPr>
        <w:t>., 2025). These symbionts play crucial roles in digesting dietary components, synthesizing essential vitamins, educating the immune system, and providing a barrier against colonization by pathogens.</w:t>
      </w:r>
    </w:p>
    <w:p w14:paraId="16016075" w14:textId="14A90B0C" w:rsidR="00A7093C" w:rsidRPr="00294E2A" w:rsidRDefault="00A7093C" w:rsidP="00774CB9">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 xml:space="preserve">The influence of the microbiome, however, extends far beyond these local, foundational functions. A primary mechanism for its systemic impact is the production of an immense and chemically diverse repertoire of small molecules (&lt;1500 Da). These bacterially-derived metabolites are the language of interspecies and interkingdom communication. They can traverse the intestinal epithelium, enter the portal circulation, and function as potent endocrine or signaling molecules, effectively mimicking, modulating, or interfering with host pathways (Kim </w:t>
      </w:r>
      <w:r w:rsidRPr="00294E2A">
        <w:rPr>
          <w:rFonts w:ascii="Times New Roman" w:hAnsi="Times New Roman" w:cs="Times New Roman"/>
          <w:i/>
          <w:iCs/>
          <w:sz w:val="24"/>
          <w:szCs w:val="24"/>
        </w:rPr>
        <w:t>et al</w:t>
      </w:r>
      <w:r w:rsidRPr="00294E2A">
        <w:rPr>
          <w:rFonts w:ascii="Times New Roman" w:hAnsi="Times New Roman" w:cs="Times New Roman"/>
          <w:sz w:val="24"/>
          <w:szCs w:val="24"/>
        </w:rPr>
        <w:t xml:space="preserve">., 2018) </w:t>
      </w:r>
    </w:p>
    <w:p w14:paraId="5C3D378C" w14:textId="7F310107" w:rsidR="00774CB9" w:rsidRPr="00294E2A" w:rsidRDefault="00774CB9" w:rsidP="00774CB9">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 xml:space="preserve">The profound influence of the microbiome extends far beyond these local functions. A primary mechanism for its systemic effects is the production of an immense and diverse repertoire of small molecules. These bacterially derived metabolites can traverse the intestinal epithelium, enter the systemic circulation, and function as potent signaling molecules, effectively mimicking, modulating, or interfering with host pathways (Krautkramer </w:t>
      </w:r>
      <w:r w:rsidRPr="00294E2A">
        <w:rPr>
          <w:rFonts w:ascii="Times New Roman" w:hAnsi="Times New Roman" w:cs="Times New Roman"/>
          <w:i/>
          <w:iCs/>
          <w:sz w:val="24"/>
          <w:szCs w:val="24"/>
        </w:rPr>
        <w:t>et al</w:t>
      </w:r>
      <w:r w:rsidRPr="00294E2A">
        <w:rPr>
          <w:rFonts w:ascii="Times New Roman" w:hAnsi="Times New Roman" w:cs="Times New Roman"/>
          <w:sz w:val="24"/>
          <w:szCs w:val="24"/>
        </w:rPr>
        <w:t xml:space="preserve">., 2021). This chemical dialogue positions the gut microbiome as a virtual endocrine organ, capable of influencing distal organs, including the liver, brain, and adipose tissue. Consequently, the microbiome's compositional and </w:t>
      </w:r>
      <w:r w:rsidRPr="00294E2A">
        <w:rPr>
          <w:rFonts w:ascii="Times New Roman" w:hAnsi="Times New Roman" w:cs="Times New Roman"/>
          <w:sz w:val="24"/>
          <w:szCs w:val="24"/>
        </w:rPr>
        <w:lastRenderedPageBreak/>
        <w:t>functional state is increasingly linked to a wide array of diseases, from inflammatory bowel disease and metabolic syndrome to neurological disorders and cancer</w:t>
      </w:r>
      <w:r w:rsidR="00A7093C" w:rsidRPr="00294E2A">
        <w:rPr>
          <w:rFonts w:ascii="Times New Roman" w:hAnsi="Times New Roman" w:cs="Times New Roman"/>
          <w:sz w:val="24"/>
          <w:szCs w:val="24"/>
        </w:rPr>
        <w:t xml:space="preserve"> (Iliev </w:t>
      </w:r>
      <w:r w:rsidR="00A7093C" w:rsidRPr="00294E2A">
        <w:rPr>
          <w:rFonts w:ascii="Times New Roman" w:hAnsi="Times New Roman" w:cs="Times New Roman"/>
          <w:i/>
          <w:iCs/>
          <w:sz w:val="24"/>
          <w:szCs w:val="24"/>
        </w:rPr>
        <w:t>et al</w:t>
      </w:r>
      <w:r w:rsidR="00A7093C" w:rsidRPr="00294E2A">
        <w:rPr>
          <w:rFonts w:ascii="Times New Roman" w:hAnsi="Times New Roman" w:cs="Times New Roman"/>
          <w:sz w:val="24"/>
          <w:szCs w:val="24"/>
        </w:rPr>
        <w:t>., 2025)</w:t>
      </w:r>
      <w:r w:rsidRPr="00294E2A">
        <w:rPr>
          <w:rFonts w:ascii="Times New Roman" w:hAnsi="Times New Roman" w:cs="Times New Roman"/>
          <w:sz w:val="24"/>
          <w:szCs w:val="24"/>
        </w:rPr>
        <w:t>.</w:t>
      </w:r>
    </w:p>
    <w:p w14:paraId="233010B8" w14:textId="4A343892" w:rsidR="00774CB9" w:rsidRPr="00294E2A" w:rsidRDefault="00774CB9" w:rsidP="00774CB9">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This recognition unveils an unprecedented opportunity for therapeutic intervention. The human microbiome represents a largely untapped reservoir of novel bioactive compounds, refined by millions of years of co-evolution with the host</w:t>
      </w:r>
      <w:r w:rsidR="00A7093C" w:rsidRPr="00294E2A">
        <w:rPr>
          <w:rFonts w:ascii="Times New Roman" w:hAnsi="Times New Roman" w:cs="Times New Roman"/>
          <w:sz w:val="24"/>
          <w:szCs w:val="24"/>
        </w:rPr>
        <w:t xml:space="preserve"> (Siddiqui </w:t>
      </w:r>
      <w:r w:rsidR="00A7093C" w:rsidRPr="00294E2A">
        <w:rPr>
          <w:rFonts w:ascii="Times New Roman" w:hAnsi="Times New Roman" w:cs="Times New Roman"/>
          <w:i/>
          <w:iCs/>
          <w:sz w:val="24"/>
          <w:szCs w:val="24"/>
        </w:rPr>
        <w:t>et al</w:t>
      </w:r>
      <w:r w:rsidR="00A7093C" w:rsidRPr="00294E2A">
        <w:rPr>
          <w:rFonts w:ascii="Times New Roman" w:hAnsi="Times New Roman" w:cs="Times New Roman"/>
          <w:sz w:val="24"/>
          <w:szCs w:val="24"/>
        </w:rPr>
        <w:t>., 2022)</w:t>
      </w:r>
      <w:r w:rsidRPr="00294E2A">
        <w:rPr>
          <w:rFonts w:ascii="Times New Roman" w:hAnsi="Times New Roman" w:cs="Times New Roman"/>
          <w:sz w:val="24"/>
          <w:szCs w:val="24"/>
        </w:rPr>
        <w:t xml:space="preserve">. The field of </w:t>
      </w:r>
      <w:proofErr w:type="spellStart"/>
      <w:r w:rsidRPr="00294E2A">
        <w:rPr>
          <w:rFonts w:ascii="Times New Roman" w:hAnsi="Times New Roman" w:cs="Times New Roman"/>
          <w:sz w:val="24"/>
          <w:szCs w:val="24"/>
        </w:rPr>
        <w:t>pharmacomicrobiomics</w:t>
      </w:r>
      <w:proofErr w:type="spellEnd"/>
      <w:r w:rsidR="00A7093C" w:rsidRPr="00294E2A">
        <w:rPr>
          <w:rFonts w:ascii="Times New Roman" w:hAnsi="Times New Roman" w:cs="Times New Roman"/>
          <w:sz w:val="24"/>
          <w:szCs w:val="24"/>
        </w:rPr>
        <w:t xml:space="preserve"> is </w:t>
      </w:r>
      <w:r w:rsidRPr="00294E2A">
        <w:rPr>
          <w:rFonts w:ascii="Times New Roman" w:hAnsi="Times New Roman" w:cs="Times New Roman"/>
          <w:sz w:val="24"/>
          <w:szCs w:val="24"/>
        </w:rPr>
        <w:t>the study of microbiome-drug interactions</w:t>
      </w:r>
      <w:r w:rsidR="00A7093C" w:rsidRPr="00294E2A">
        <w:rPr>
          <w:rFonts w:ascii="Times New Roman" w:hAnsi="Times New Roman" w:cs="Times New Roman"/>
          <w:sz w:val="24"/>
          <w:szCs w:val="24"/>
        </w:rPr>
        <w:t>, which i</w:t>
      </w:r>
      <w:r w:rsidRPr="00294E2A">
        <w:rPr>
          <w:rFonts w:ascii="Times New Roman" w:hAnsi="Times New Roman" w:cs="Times New Roman"/>
          <w:sz w:val="24"/>
          <w:szCs w:val="24"/>
        </w:rPr>
        <w:t xml:space="preserve">s expanding to include the deliberate mining of the microbiome for new drug leads </w:t>
      </w:r>
      <w:r w:rsidR="00A7093C" w:rsidRPr="00294E2A">
        <w:rPr>
          <w:rFonts w:ascii="Times New Roman" w:hAnsi="Times New Roman" w:cs="Times New Roman"/>
          <w:sz w:val="24"/>
          <w:szCs w:val="24"/>
        </w:rPr>
        <w:t xml:space="preserve">(Walter </w:t>
      </w:r>
      <w:r w:rsidR="00A7093C" w:rsidRPr="00294E2A">
        <w:rPr>
          <w:rFonts w:ascii="Times New Roman" w:hAnsi="Times New Roman" w:cs="Times New Roman"/>
          <w:i/>
          <w:iCs/>
          <w:sz w:val="24"/>
          <w:szCs w:val="24"/>
        </w:rPr>
        <w:t>et al</w:t>
      </w:r>
      <w:r w:rsidR="00A7093C" w:rsidRPr="00294E2A">
        <w:rPr>
          <w:rFonts w:ascii="Times New Roman" w:hAnsi="Times New Roman" w:cs="Times New Roman"/>
          <w:sz w:val="24"/>
          <w:szCs w:val="24"/>
        </w:rPr>
        <w:t>., 2020)</w:t>
      </w:r>
      <w:r w:rsidRPr="00294E2A">
        <w:rPr>
          <w:rFonts w:ascii="Times New Roman" w:hAnsi="Times New Roman" w:cs="Times New Roman"/>
          <w:sz w:val="24"/>
          <w:szCs w:val="24"/>
        </w:rPr>
        <w:t>. Instead of screening synthetic chemical libraries or plant-derived compounds, we can now look inward to the microbial "dark matter" within us for inspiration.</w:t>
      </w:r>
    </w:p>
    <w:p w14:paraId="335C8660" w14:textId="3E17286E" w:rsidR="00A7093C" w:rsidRPr="00294E2A" w:rsidRDefault="00A7093C" w:rsidP="00A7093C">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This review will comprehensively explore the emerging paradigm of harnessing the human microbiome as a frontier for drug discovery. We will first outline the integrated methodological pipeline for identifying candidate molecules, from initial multi-omics correlations to functional validation using gnotobiotic models and bioassay-guided fractionation. We will then highlight key classes of characterized bacterially derived small molecules that act as direct modulators of host physiology, with a focus on their mechanisms of action through major target families such as G protein-coupled receptors (GPCRs), nuclear receptors, and epigenetic enzymes. Furthermore, we will present the compelling concept of engineering microbial strains to produce therapeutic molecules in situ, creating "living biotherapeutics." Finally, we will critically discuss the significant challenges, including establishing causality in humans and navigating context-dependent effects, and the exciting future directions in translating these microbial metabolites into viable therapeutics. By synthesizing recent advances in the field, this review aims to argue convincingly that the next frontier in medicine lies in deciphering and leveraging the extensive pharmacological potential of our inner microbial universe.</w:t>
      </w:r>
    </w:p>
    <w:p w14:paraId="7D42C642" w14:textId="0DAA6134" w:rsidR="00294E2A" w:rsidRPr="00695990" w:rsidRDefault="00294E2A" w:rsidP="00294E2A">
      <w:pPr>
        <w:spacing w:line="480" w:lineRule="auto"/>
        <w:jc w:val="both"/>
        <w:rPr>
          <w:rFonts w:ascii="Times New Roman" w:hAnsi="Times New Roman" w:cs="Times New Roman"/>
          <w:b/>
          <w:bCs/>
          <w:sz w:val="24"/>
          <w:szCs w:val="24"/>
        </w:rPr>
      </w:pPr>
      <w:r w:rsidRPr="00695990">
        <w:rPr>
          <w:rFonts w:ascii="Times New Roman" w:hAnsi="Times New Roman" w:cs="Times New Roman"/>
          <w:b/>
          <w:bCs/>
          <w:sz w:val="24"/>
          <w:szCs w:val="24"/>
        </w:rPr>
        <w:lastRenderedPageBreak/>
        <w:t>2.</w:t>
      </w:r>
      <w:r w:rsidR="00695990" w:rsidRPr="00695990">
        <w:rPr>
          <w:rFonts w:ascii="Times New Roman" w:hAnsi="Times New Roman" w:cs="Times New Roman"/>
          <w:b/>
          <w:bCs/>
          <w:sz w:val="24"/>
          <w:szCs w:val="24"/>
        </w:rPr>
        <w:t>0</w:t>
      </w:r>
      <w:r w:rsidRPr="00695990">
        <w:rPr>
          <w:rFonts w:ascii="Times New Roman" w:hAnsi="Times New Roman" w:cs="Times New Roman"/>
          <w:b/>
          <w:bCs/>
          <w:sz w:val="24"/>
          <w:szCs w:val="24"/>
        </w:rPr>
        <w:t xml:space="preserve"> The Pipeline for Microbial Drug Discovery</w:t>
      </w:r>
    </w:p>
    <w:p w14:paraId="36AA2E1D" w14:textId="758DFBE4"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The systematic translation of microbial ecological complexity into therapeutic candidates requires a well-defined pipeline that moves from observational correlation to mechanistic causation. This multi-stage process integrates computational biology, microbiology, chemistry, and pharmacology to identify, validate, and characterize bacterially-derived bioactive molecules. The following sections detail this pipeline, illustrated in Figure 1.</w:t>
      </w:r>
    </w:p>
    <w:p w14:paraId="39B7DA37" w14:textId="77777777"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Figure 1. The Pipeline for Microbial Drug Discovery</w:t>
      </w:r>
    </w:p>
    <w:p w14:paraId="71F6C5B0" w14:textId="0B156310" w:rsidR="00294E2A" w:rsidRPr="00294E2A" w:rsidRDefault="006A1641" w:rsidP="00294E2A">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14:anchorId="4E8605CC" wp14:editId="47CECA9C">
            <wp:extent cx="5943600" cy="22151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215176"/>
                    </a:xfrm>
                    <a:prstGeom prst="rect">
                      <a:avLst/>
                    </a:prstGeom>
                    <a:noFill/>
                  </pic:spPr>
                </pic:pic>
              </a:graphicData>
            </a:graphic>
          </wp:inline>
        </w:drawing>
      </w:r>
    </w:p>
    <w:p w14:paraId="2F7BA772" w14:textId="47A229B4" w:rsidR="00294E2A" w:rsidRPr="00294E2A" w:rsidRDefault="00294E2A" w:rsidP="006A1641">
      <w:pPr>
        <w:spacing w:line="480" w:lineRule="auto"/>
        <w:jc w:val="both"/>
        <w:rPr>
          <w:rFonts w:ascii="Times New Roman" w:hAnsi="Times New Roman" w:cs="Times New Roman"/>
          <w:sz w:val="24"/>
          <w:szCs w:val="24"/>
        </w:rPr>
      </w:pPr>
    </w:p>
    <w:p w14:paraId="205C013C" w14:textId="77777777" w:rsidR="00294E2A" w:rsidRPr="00294E2A" w:rsidRDefault="00294E2A" w:rsidP="00294E2A">
      <w:pPr>
        <w:spacing w:line="480" w:lineRule="auto"/>
        <w:jc w:val="both"/>
        <w:rPr>
          <w:rFonts w:ascii="Times New Roman" w:hAnsi="Times New Roman" w:cs="Times New Roman"/>
          <w:b/>
          <w:bCs/>
          <w:sz w:val="24"/>
          <w:szCs w:val="24"/>
        </w:rPr>
      </w:pPr>
      <w:r w:rsidRPr="00294E2A">
        <w:rPr>
          <w:rFonts w:ascii="Times New Roman" w:hAnsi="Times New Roman" w:cs="Times New Roman"/>
          <w:b/>
          <w:bCs/>
          <w:sz w:val="24"/>
          <w:szCs w:val="24"/>
        </w:rPr>
        <w:t>2.1. Discovery and Correlation: Multi-Omics Integration</w:t>
      </w:r>
    </w:p>
    <w:p w14:paraId="3FB6B3E7" w14:textId="76A83499"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The initial discovery phase aims to generate hypotheses by identifying associations between microbial functions and host physiology. This is achieved through the integrated analysis of multi-omics data derived from human cohort studies or animal models.</w:t>
      </w:r>
    </w:p>
    <w:p w14:paraId="7AF3DDEF" w14:textId="2D4DDE23"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b/>
          <w:bCs/>
          <w:sz w:val="24"/>
          <w:szCs w:val="24"/>
        </w:rPr>
        <w:t>Metagenomics:</w:t>
      </w:r>
      <w:r w:rsidRPr="00294E2A">
        <w:rPr>
          <w:rFonts w:ascii="Times New Roman" w:hAnsi="Times New Roman" w:cs="Times New Roman"/>
          <w:sz w:val="24"/>
          <w:szCs w:val="24"/>
        </w:rPr>
        <w:t xml:space="preserve"> Shotgun sequencing of microbial DNA from stool or tissue samples reveals the taxonomic composition of the community and, crucially, its functional potential. It allows for the identification of specific Biosynthetic Gene Clusters (BGCs) genomic regions encoding enzymes </w:t>
      </w:r>
      <w:r w:rsidRPr="00294E2A">
        <w:rPr>
          <w:rFonts w:ascii="Times New Roman" w:hAnsi="Times New Roman" w:cs="Times New Roman"/>
          <w:sz w:val="24"/>
          <w:szCs w:val="24"/>
        </w:rPr>
        <w:lastRenderedPageBreak/>
        <w:t>for secondary metabolite production</w:t>
      </w:r>
      <w:r w:rsidR="00423C8F">
        <w:rPr>
          <w:rFonts w:ascii="Times New Roman" w:hAnsi="Times New Roman" w:cs="Times New Roman"/>
          <w:sz w:val="24"/>
          <w:szCs w:val="24"/>
        </w:rPr>
        <w:t>,</w:t>
      </w:r>
      <w:r w:rsidRPr="00294E2A">
        <w:rPr>
          <w:rFonts w:ascii="Times New Roman" w:hAnsi="Times New Roman" w:cs="Times New Roman"/>
          <w:sz w:val="24"/>
          <w:szCs w:val="24"/>
        </w:rPr>
        <w:t xml:space="preserve"> </w:t>
      </w:r>
      <w:r>
        <w:rPr>
          <w:rFonts w:ascii="Times New Roman" w:hAnsi="Times New Roman" w:cs="Times New Roman"/>
          <w:sz w:val="24"/>
          <w:szCs w:val="24"/>
        </w:rPr>
        <w:t>which includes</w:t>
      </w:r>
      <w:r w:rsidRPr="00294E2A">
        <w:rPr>
          <w:rFonts w:ascii="Times New Roman" w:hAnsi="Times New Roman" w:cs="Times New Roman"/>
          <w:sz w:val="24"/>
          <w:szCs w:val="24"/>
        </w:rPr>
        <w:t xml:space="preserve"> non-ribosomal peptide synthetases, polyketide synthases</w:t>
      </w:r>
      <w:r>
        <w:rPr>
          <w:rFonts w:ascii="Times New Roman" w:hAnsi="Times New Roman" w:cs="Times New Roman"/>
          <w:sz w:val="24"/>
          <w:szCs w:val="24"/>
        </w:rPr>
        <w:t xml:space="preserve"> (</w:t>
      </w:r>
      <w:proofErr w:type="spellStart"/>
      <w:r w:rsidRPr="00294E2A">
        <w:rPr>
          <w:rFonts w:ascii="Times New Roman" w:hAnsi="Times New Roman" w:cs="Times New Roman"/>
          <w:sz w:val="24"/>
          <w:szCs w:val="24"/>
        </w:rPr>
        <w:t>Rothhammer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2018)</w:t>
      </w:r>
      <w:r w:rsidRPr="00294E2A">
        <w:rPr>
          <w:rFonts w:ascii="Times New Roman" w:hAnsi="Times New Roman" w:cs="Times New Roman"/>
          <w:sz w:val="24"/>
          <w:szCs w:val="24"/>
        </w:rPr>
        <w:t xml:space="preserve">. Computational tools like </w:t>
      </w:r>
      <w:proofErr w:type="spellStart"/>
      <w:r w:rsidRPr="00294E2A">
        <w:rPr>
          <w:rFonts w:ascii="Times New Roman" w:hAnsi="Times New Roman" w:cs="Times New Roman"/>
          <w:sz w:val="24"/>
          <w:szCs w:val="24"/>
        </w:rPr>
        <w:t>antiSMASH</w:t>
      </w:r>
      <w:proofErr w:type="spellEnd"/>
      <w:r w:rsidRPr="00294E2A">
        <w:rPr>
          <w:rFonts w:ascii="Times New Roman" w:hAnsi="Times New Roman" w:cs="Times New Roman"/>
          <w:sz w:val="24"/>
          <w:szCs w:val="24"/>
        </w:rPr>
        <w:t xml:space="preserve"> are used to predict the types of molecules these BGCs might produce.</w:t>
      </w:r>
    </w:p>
    <w:p w14:paraId="2E21565E" w14:textId="779418C6" w:rsidR="00294E2A" w:rsidRPr="00294E2A" w:rsidRDefault="00294E2A" w:rsidP="00294E2A">
      <w:pPr>
        <w:spacing w:line="480" w:lineRule="auto"/>
        <w:jc w:val="both"/>
        <w:rPr>
          <w:rFonts w:ascii="Times New Roman" w:hAnsi="Times New Roman" w:cs="Times New Roman"/>
          <w:sz w:val="24"/>
          <w:szCs w:val="24"/>
        </w:rPr>
      </w:pPr>
      <w:proofErr w:type="spellStart"/>
      <w:r w:rsidRPr="00294E2A">
        <w:rPr>
          <w:rFonts w:ascii="Times New Roman" w:hAnsi="Times New Roman" w:cs="Times New Roman"/>
          <w:b/>
          <w:bCs/>
          <w:sz w:val="24"/>
          <w:szCs w:val="24"/>
        </w:rPr>
        <w:t>Metatranscriptomics</w:t>
      </w:r>
      <w:proofErr w:type="spellEnd"/>
      <w:r w:rsidRPr="00294E2A">
        <w:rPr>
          <w:rFonts w:ascii="Times New Roman" w:hAnsi="Times New Roman" w:cs="Times New Roman"/>
          <w:b/>
          <w:bCs/>
          <w:sz w:val="24"/>
          <w:szCs w:val="24"/>
        </w:rPr>
        <w:t xml:space="preserve"> and </w:t>
      </w:r>
      <w:proofErr w:type="spellStart"/>
      <w:r w:rsidRPr="00294E2A">
        <w:rPr>
          <w:rFonts w:ascii="Times New Roman" w:hAnsi="Times New Roman" w:cs="Times New Roman"/>
          <w:b/>
          <w:bCs/>
          <w:sz w:val="24"/>
          <w:szCs w:val="24"/>
        </w:rPr>
        <w:t>Metaproteomics</w:t>
      </w:r>
      <w:proofErr w:type="spellEnd"/>
      <w:r w:rsidRPr="00294E2A">
        <w:rPr>
          <w:rFonts w:ascii="Times New Roman" w:hAnsi="Times New Roman" w:cs="Times New Roman"/>
          <w:b/>
          <w:bCs/>
          <w:sz w:val="24"/>
          <w:szCs w:val="24"/>
        </w:rPr>
        <w:t>:</w:t>
      </w:r>
      <w:r w:rsidRPr="00294E2A">
        <w:rPr>
          <w:rFonts w:ascii="Times New Roman" w:hAnsi="Times New Roman" w:cs="Times New Roman"/>
          <w:sz w:val="24"/>
          <w:szCs w:val="24"/>
        </w:rPr>
        <w:t xml:space="preserve"> While metagenomics reveals genetic potential, it does not indicate activity. </w:t>
      </w:r>
      <w:proofErr w:type="spellStart"/>
      <w:r w:rsidRPr="00294E2A">
        <w:rPr>
          <w:rFonts w:ascii="Times New Roman" w:hAnsi="Times New Roman" w:cs="Times New Roman"/>
          <w:sz w:val="24"/>
          <w:szCs w:val="24"/>
        </w:rPr>
        <w:t>Metatranscriptomics</w:t>
      </w:r>
      <w:proofErr w:type="spellEnd"/>
      <w:r w:rsidRPr="00294E2A">
        <w:rPr>
          <w:rFonts w:ascii="Times New Roman" w:hAnsi="Times New Roman" w:cs="Times New Roman"/>
          <w:sz w:val="24"/>
          <w:szCs w:val="24"/>
        </w:rPr>
        <w:t xml:space="preserve"> (RNA-seq) shows which genes are being actively transcribed, and </w:t>
      </w:r>
      <w:proofErr w:type="spellStart"/>
      <w:r w:rsidRPr="00294E2A">
        <w:rPr>
          <w:rFonts w:ascii="Times New Roman" w:hAnsi="Times New Roman" w:cs="Times New Roman"/>
          <w:sz w:val="24"/>
          <w:szCs w:val="24"/>
        </w:rPr>
        <w:t>metaproteomics</w:t>
      </w:r>
      <w:proofErr w:type="spellEnd"/>
      <w:r w:rsidRPr="00294E2A">
        <w:rPr>
          <w:rFonts w:ascii="Times New Roman" w:hAnsi="Times New Roman" w:cs="Times New Roman"/>
          <w:sz w:val="24"/>
          <w:szCs w:val="24"/>
        </w:rPr>
        <w:t xml:space="preserve"> identifies which proteins are being synthesized. This provides a more dynamic picture of microbial community function in a specific physiological state </w:t>
      </w:r>
      <w:r>
        <w:rPr>
          <w:rFonts w:ascii="Times New Roman" w:hAnsi="Times New Roman" w:cs="Times New Roman"/>
          <w:sz w:val="24"/>
          <w:szCs w:val="24"/>
        </w:rPr>
        <w:t xml:space="preserve">(Chiang </w:t>
      </w:r>
      <w:r>
        <w:rPr>
          <w:rFonts w:ascii="Times New Roman" w:hAnsi="Times New Roman" w:cs="Times New Roman"/>
          <w:i/>
          <w:iCs/>
          <w:sz w:val="24"/>
          <w:szCs w:val="24"/>
        </w:rPr>
        <w:t>et al</w:t>
      </w:r>
      <w:r>
        <w:rPr>
          <w:rFonts w:ascii="Times New Roman" w:hAnsi="Times New Roman" w:cs="Times New Roman"/>
          <w:sz w:val="24"/>
          <w:szCs w:val="24"/>
        </w:rPr>
        <w:t>., 2018)</w:t>
      </w:r>
      <w:r w:rsidRPr="00294E2A">
        <w:rPr>
          <w:rFonts w:ascii="Times New Roman" w:hAnsi="Times New Roman" w:cs="Times New Roman"/>
          <w:sz w:val="24"/>
          <w:szCs w:val="24"/>
        </w:rPr>
        <w:t>.</w:t>
      </w:r>
    </w:p>
    <w:p w14:paraId="7048A9CA" w14:textId="6532673F"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b/>
          <w:bCs/>
          <w:sz w:val="24"/>
          <w:szCs w:val="24"/>
        </w:rPr>
        <w:t>Metabolomics:</w:t>
      </w:r>
      <w:r w:rsidRPr="00294E2A">
        <w:rPr>
          <w:rFonts w:ascii="Times New Roman" w:hAnsi="Times New Roman" w:cs="Times New Roman"/>
          <w:sz w:val="24"/>
          <w:szCs w:val="24"/>
        </w:rPr>
        <w:t xml:space="preserve"> The ultimate readout of microbial activity is the metabolome. High-throughput techniques like liquid or gas chromatography coupled with mass spectrometry (LC-MS/GC-MS) profile the small molecules in biofluids (plasma, urine) or fecal samples. The goal is to identify metabolites whose abundance correlates with a host phenotype, disease state</w:t>
      </w:r>
      <w:r w:rsidR="00856335">
        <w:rPr>
          <w:rFonts w:ascii="Times New Roman" w:hAnsi="Times New Roman" w:cs="Times New Roman"/>
          <w:sz w:val="24"/>
          <w:szCs w:val="24"/>
        </w:rPr>
        <w:t xml:space="preserve"> or </w:t>
      </w:r>
      <w:r w:rsidRPr="00294E2A">
        <w:rPr>
          <w:rFonts w:ascii="Times New Roman" w:hAnsi="Times New Roman" w:cs="Times New Roman"/>
          <w:sz w:val="24"/>
          <w:szCs w:val="24"/>
        </w:rPr>
        <w:t>response to a diet/drug</w:t>
      </w:r>
    </w:p>
    <w:p w14:paraId="48A6685D" w14:textId="18405971"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b/>
          <w:bCs/>
          <w:sz w:val="24"/>
          <w:szCs w:val="24"/>
        </w:rPr>
        <w:t>Integration:</w:t>
      </w:r>
      <w:r w:rsidRPr="00294E2A">
        <w:rPr>
          <w:rFonts w:ascii="Times New Roman" w:hAnsi="Times New Roman" w:cs="Times New Roman"/>
          <w:sz w:val="24"/>
          <w:szCs w:val="24"/>
        </w:rPr>
        <w:t xml:space="preserve"> Advanced statistical and bioinformatic methods multivariate analysis, machine learning, network integration</w:t>
      </w:r>
      <w:r w:rsidR="00856335">
        <w:rPr>
          <w:rFonts w:ascii="Times New Roman" w:hAnsi="Times New Roman" w:cs="Times New Roman"/>
          <w:sz w:val="24"/>
          <w:szCs w:val="24"/>
        </w:rPr>
        <w:t xml:space="preserve"> </w:t>
      </w:r>
      <w:r w:rsidRPr="00294E2A">
        <w:rPr>
          <w:rFonts w:ascii="Times New Roman" w:hAnsi="Times New Roman" w:cs="Times New Roman"/>
          <w:sz w:val="24"/>
          <w:szCs w:val="24"/>
        </w:rPr>
        <w:t xml:space="preserve">are employed to correlate the abundance of a microbial gene (from metagenomics), its expression (from </w:t>
      </w:r>
      <w:proofErr w:type="spellStart"/>
      <w:r w:rsidRPr="00294E2A">
        <w:rPr>
          <w:rFonts w:ascii="Times New Roman" w:hAnsi="Times New Roman" w:cs="Times New Roman"/>
          <w:sz w:val="24"/>
          <w:szCs w:val="24"/>
        </w:rPr>
        <w:t>metatranscriptomics</w:t>
      </w:r>
      <w:proofErr w:type="spellEnd"/>
      <w:r w:rsidRPr="00294E2A">
        <w:rPr>
          <w:rFonts w:ascii="Times New Roman" w:hAnsi="Times New Roman" w:cs="Times New Roman"/>
          <w:sz w:val="24"/>
          <w:szCs w:val="24"/>
        </w:rPr>
        <w:t xml:space="preserve">), and the resulting metabolite (from metabolomics) with the host phenotype of interest </w:t>
      </w:r>
      <w:r w:rsidR="00856335">
        <w:rPr>
          <w:rFonts w:ascii="Times New Roman" w:hAnsi="Times New Roman" w:cs="Times New Roman"/>
          <w:sz w:val="24"/>
          <w:szCs w:val="24"/>
        </w:rPr>
        <w:t>(</w:t>
      </w:r>
      <w:proofErr w:type="spellStart"/>
      <w:r w:rsidR="00856335" w:rsidRPr="00856335">
        <w:rPr>
          <w:rFonts w:ascii="Times New Roman" w:hAnsi="Times New Roman" w:cs="Times New Roman"/>
          <w:sz w:val="24"/>
          <w:szCs w:val="24"/>
        </w:rPr>
        <w:t>Strandwitz</w:t>
      </w:r>
      <w:proofErr w:type="spellEnd"/>
      <w:r w:rsidR="00856335">
        <w:rPr>
          <w:rFonts w:ascii="Times New Roman" w:hAnsi="Times New Roman" w:cs="Times New Roman"/>
          <w:sz w:val="24"/>
          <w:szCs w:val="24"/>
        </w:rPr>
        <w:t xml:space="preserve"> </w:t>
      </w:r>
      <w:r w:rsidR="00856335">
        <w:rPr>
          <w:rFonts w:ascii="Times New Roman" w:hAnsi="Times New Roman" w:cs="Times New Roman"/>
          <w:i/>
          <w:iCs/>
          <w:sz w:val="24"/>
          <w:szCs w:val="24"/>
        </w:rPr>
        <w:t>et al</w:t>
      </w:r>
      <w:r w:rsidR="00856335">
        <w:rPr>
          <w:rFonts w:ascii="Times New Roman" w:hAnsi="Times New Roman" w:cs="Times New Roman"/>
          <w:sz w:val="24"/>
          <w:szCs w:val="24"/>
        </w:rPr>
        <w:t>., 2019)</w:t>
      </w:r>
      <w:r w:rsidRPr="00294E2A">
        <w:rPr>
          <w:rFonts w:ascii="Times New Roman" w:hAnsi="Times New Roman" w:cs="Times New Roman"/>
          <w:sz w:val="24"/>
          <w:szCs w:val="24"/>
        </w:rPr>
        <w:t>. This generates a candidate list of microbial functions and molecules potentially responsible for the observed effect.</w:t>
      </w:r>
    </w:p>
    <w:p w14:paraId="404EF2C8" w14:textId="4CB844EB" w:rsidR="00774CB9" w:rsidRPr="00294E2A" w:rsidRDefault="00294E2A" w:rsidP="00774CB9">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Table 1. Omics Technologies in Microbial Drug Discovery</w:t>
      </w:r>
    </w:p>
    <w:tbl>
      <w:tblPr>
        <w:tblStyle w:val="TableGrid"/>
        <w:tblW w:w="0" w:type="auto"/>
        <w:tblLook w:val="04A0" w:firstRow="1" w:lastRow="0" w:firstColumn="1" w:lastColumn="0" w:noHBand="0" w:noVBand="1"/>
      </w:tblPr>
      <w:tblGrid>
        <w:gridCol w:w="2337"/>
        <w:gridCol w:w="2337"/>
        <w:gridCol w:w="2338"/>
        <w:gridCol w:w="2338"/>
      </w:tblGrid>
      <w:tr w:rsidR="00294E2A" w:rsidRPr="00294E2A" w14:paraId="35C7EE0B" w14:textId="77777777" w:rsidTr="00294E2A">
        <w:tc>
          <w:tcPr>
            <w:tcW w:w="2337" w:type="dxa"/>
          </w:tcPr>
          <w:p w14:paraId="36303311" w14:textId="371F1DA5"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Omics Layer</w:t>
            </w:r>
          </w:p>
        </w:tc>
        <w:tc>
          <w:tcPr>
            <w:tcW w:w="2337" w:type="dxa"/>
          </w:tcPr>
          <w:p w14:paraId="7223DBC7" w14:textId="3FC1142A"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Analytical Technique</w:t>
            </w:r>
          </w:p>
        </w:tc>
        <w:tc>
          <w:tcPr>
            <w:tcW w:w="2338" w:type="dxa"/>
          </w:tcPr>
          <w:p w14:paraId="64B361DE" w14:textId="6D2F6533"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Information Gained</w:t>
            </w:r>
          </w:p>
        </w:tc>
        <w:tc>
          <w:tcPr>
            <w:tcW w:w="2338" w:type="dxa"/>
          </w:tcPr>
          <w:p w14:paraId="50BE7629" w14:textId="4E4A3C7A"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Role in Pipeline</w:t>
            </w:r>
          </w:p>
        </w:tc>
      </w:tr>
      <w:tr w:rsidR="00294E2A" w:rsidRPr="00294E2A" w14:paraId="058E9E50" w14:textId="77777777" w:rsidTr="00294E2A">
        <w:tc>
          <w:tcPr>
            <w:tcW w:w="2337" w:type="dxa"/>
          </w:tcPr>
          <w:p w14:paraId="5203EC18" w14:textId="10FF0457"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lastRenderedPageBreak/>
              <w:t>Metagenomics</w:t>
            </w:r>
          </w:p>
        </w:tc>
        <w:tc>
          <w:tcPr>
            <w:tcW w:w="2337" w:type="dxa"/>
          </w:tcPr>
          <w:p w14:paraId="7B853539" w14:textId="2256464A"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Shotgun Sequencing</w:t>
            </w:r>
          </w:p>
        </w:tc>
        <w:tc>
          <w:tcPr>
            <w:tcW w:w="2338" w:type="dxa"/>
          </w:tcPr>
          <w:p w14:paraId="4057CA1D" w14:textId="62D33FB3"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Taxonomic profile; functional gene content; identification of Biosynthetic Gene Clusters (BGCs).</w:t>
            </w:r>
          </w:p>
        </w:tc>
        <w:tc>
          <w:tcPr>
            <w:tcW w:w="2338" w:type="dxa"/>
          </w:tcPr>
          <w:p w14:paraId="02F17E80" w14:textId="5D3FA66B"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Hypothesis generation: Links microbial genetic potential to host phenotype.</w:t>
            </w:r>
          </w:p>
        </w:tc>
      </w:tr>
      <w:tr w:rsidR="00294E2A" w:rsidRPr="00294E2A" w14:paraId="6AED9508" w14:textId="77777777" w:rsidTr="00294E2A">
        <w:tc>
          <w:tcPr>
            <w:tcW w:w="2337" w:type="dxa"/>
          </w:tcPr>
          <w:p w14:paraId="4B5C242D" w14:textId="6DE04264" w:rsidR="00294E2A" w:rsidRPr="00294E2A" w:rsidRDefault="00294E2A" w:rsidP="00294E2A">
            <w:pPr>
              <w:spacing w:line="480" w:lineRule="auto"/>
              <w:jc w:val="both"/>
              <w:rPr>
                <w:rFonts w:ascii="Times New Roman" w:hAnsi="Times New Roman" w:cs="Times New Roman"/>
                <w:sz w:val="24"/>
                <w:szCs w:val="24"/>
              </w:rPr>
            </w:pPr>
            <w:proofErr w:type="spellStart"/>
            <w:r w:rsidRPr="00294E2A">
              <w:rPr>
                <w:rFonts w:ascii="Times New Roman" w:hAnsi="Times New Roman" w:cs="Times New Roman"/>
                <w:sz w:val="24"/>
                <w:szCs w:val="24"/>
              </w:rPr>
              <w:t>Metatranscriptomics</w:t>
            </w:r>
            <w:proofErr w:type="spellEnd"/>
          </w:p>
        </w:tc>
        <w:tc>
          <w:tcPr>
            <w:tcW w:w="2337" w:type="dxa"/>
          </w:tcPr>
          <w:p w14:paraId="28E4BD43" w14:textId="4F5FE944"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RNA Sequencing (RNA-seq)</w:t>
            </w:r>
          </w:p>
        </w:tc>
        <w:tc>
          <w:tcPr>
            <w:tcW w:w="2338" w:type="dxa"/>
          </w:tcPr>
          <w:p w14:paraId="6A3D859C" w14:textId="2D84C81F"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Gene expression profile; active metabolic pathways in the community.</w:t>
            </w:r>
          </w:p>
        </w:tc>
        <w:tc>
          <w:tcPr>
            <w:tcW w:w="2338" w:type="dxa"/>
          </w:tcPr>
          <w:p w14:paraId="553B9C72" w14:textId="59FE0EBF"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Identifies which microbial genes are functionally active in a given condition.</w:t>
            </w:r>
          </w:p>
        </w:tc>
      </w:tr>
      <w:tr w:rsidR="00294E2A" w:rsidRPr="00294E2A" w14:paraId="6AAB0B39" w14:textId="77777777" w:rsidTr="00294E2A">
        <w:tc>
          <w:tcPr>
            <w:tcW w:w="2337" w:type="dxa"/>
          </w:tcPr>
          <w:p w14:paraId="377B4905" w14:textId="0288AC27" w:rsidR="00294E2A" w:rsidRPr="00294E2A" w:rsidRDefault="00294E2A" w:rsidP="00294E2A">
            <w:pPr>
              <w:spacing w:line="480" w:lineRule="auto"/>
              <w:jc w:val="both"/>
              <w:rPr>
                <w:rFonts w:ascii="Times New Roman" w:hAnsi="Times New Roman" w:cs="Times New Roman"/>
                <w:sz w:val="24"/>
                <w:szCs w:val="24"/>
              </w:rPr>
            </w:pPr>
            <w:proofErr w:type="spellStart"/>
            <w:r w:rsidRPr="00294E2A">
              <w:rPr>
                <w:rFonts w:ascii="Times New Roman" w:hAnsi="Times New Roman" w:cs="Times New Roman"/>
                <w:sz w:val="24"/>
                <w:szCs w:val="24"/>
              </w:rPr>
              <w:t>Metaproteomics</w:t>
            </w:r>
            <w:proofErr w:type="spellEnd"/>
          </w:p>
        </w:tc>
        <w:tc>
          <w:tcPr>
            <w:tcW w:w="2337" w:type="dxa"/>
          </w:tcPr>
          <w:p w14:paraId="0FAD1B10" w14:textId="504103D2"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Mass Spectrometry (MS)</w:t>
            </w:r>
          </w:p>
        </w:tc>
        <w:tc>
          <w:tcPr>
            <w:tcW w:w="2338" w:type="dxa"/>
          </w:tcPr>
          <w:p w14:paraId="7EF3EAE8" w14:textId="693C7D36"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Protein abundance and activity; confirmation of enzyme production.</w:t>
            </w:r>
          </w:p>
        </w:tc>
        <w:tc>
          <w:tcPr>
            <w:tcW w:w="2338" w:type="dxa"/>
          </w:tcPr>
          <w:p w14:paraId="6E87CC07" w14:textId="509C5D01"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Validates translation of transcripts into functional proteins.</w:t>
            </w:r>
          </w:p>
        </w:tc>
      </w:tr>
      <w:tr w:rsidR="00294E2A" w:rsidRPr="00294E2A" w14:paraId="19CCD010" w14:textId="77777777" w:rsidTr="00294E2A">
        <w:tc>
          <w:tcPr>
            <w:tcW w:w="2337" w:type="dxa"/>
          </w:tcPr>
          <w:p w14:paraId="3EDA6C17" w14:textId="19A8C7C8"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Metabolomics</w:t>
            </w:r>
          </w:p>
        </w:tc>
        <w:tc>
          <w:tcPr>
            <w:tcW w:w="2337" w:type="dxa"/>
          </w:tcPr>
          <w:p w14:paraId="5C7174C9" w14:textId="7B050404"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LC-MS / GC-MS</w:t>
            </w:r>
          </w:p>
        </w:tc>
        <w:tc>
          <w:tcPr>
            <w:tcW w:w="2338" w:type="dxa"/>
          </w:tcPr>
          <w:p w14:paraId="079A3956" w14:textId="0A780EC8"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Profile of small molecules in a sample (end-products of microbial activity).</w:t>
            </w:r>
          </w:p>
        </w:tc>
        <w:tc>
          <w:tcPr>
            <w:tcW w:w="2338" w:type="dxa"/>
          </w:tcPr>
          <w:p w14:paraId="42964473" w14:textId="3ADBD5EA"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Directly links microbial activity to a chemical signal detectable in the host.</w:t>
            </w:r>
          </w:p>
        </w:tc>
      </w:tr>
    </w:tbl>
    <w:p w14:paraId="28F850BA" w14:textId="77777777" w:rsidR="00294E2A" w:rsidRPr="00294E2A" w:rsidRDefault="00294E2A" w:rsidP="00294E2A">
      <w:pPr>
        <w:spacing w:line="480" w:lineRule="auto"/>
        <w:jc w:val="both"/>
        <w:rPr>
          <w:rFonts w:ascii="Times New Roman" w:hAnsi="Times New Roman" w:cs="Times New Roman"/>
          <w:sz w:val="24"/>
          <w:szCs w:val="24"/>
        </w:rPr>
      </w:pPr>
    </w:p>
    <w:p w14:paraId="4658C755" w14:textId="2EC41C97" w:rsidR="00294E2A" w:rsidRPr="00294E2A" w:rsidRDefault="00294E2A" w:rsidP="00294E2A">
      <w:pPr>
        <w:spacing w:line="480" w:lineRule="auto"/>
        <w:jc w:val="both"/>
        <w:rPr>
          <w:rFonts w:ascii="Times New Roman" w:hAnsi="Times New Roman" w:cs="Times New Roman"/>
          <w:b/>
          <w:bCs/>
          <w:sz w:val="24"/>
          <w:szCs w:val="24"/>
        </w:rPr>
      </w:pPr>
      <w:r w:rsidRPr="00294E2A">
        <w:rPr>
          <w:rFonts w:ascii="Times New Roman" w:hAnsi="Times New Roman" w:cs="Times New Roman"/>
          <w:b/>
          <w:bCs/>
          <w:sz w:val="24"/>
          <w:szCs w:val="24"/>
        </w:rPr>
        <w:t>2.2. From Correlation to Causation: A Functional Validation</w:t>
      </w:r>
    </w:p>
    <w:p w14:paraId="56E3E1CB" w14:textId="77777777"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A statistical correlation must be tested for biological causality. This is the most critical step in the pipeline.</w:t>
      </w:r>
    </w:p>
    <w:p w14:paraId="3AF4083C" w14:textId="6B5AAEFE"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b/>
          <w:bCs/>
          <w:sz w:val="24"/>
          <w:szCs w:val="24"/>
        </w:rPr>
        <w:t>Culture-Based Approaches (Culturomics):</w:t>
      </w:r>
      <w:r w:rsidRPr="00294E2A">
        <w:rPr>
          <w:rFonts w:ascii="Times New Roman" w:hAnsi="Times New Roman" w:cs="Times New Roman"/>
          <w:sz w:val="24"/>
          <w:szCs w:val="24"/>
        </w:rPr>
        <w:t xml:space="preserve"> The candidate bacterium identified from omics data must be isolated and cultured in vitro. Recent advances in culturomics</w:t>
      </w:r>
      <w:r>
        <w:rPr>
          <w:rFonts w:ascii="Times New Roman" w:hAnsi="Times New Roman" w:cs="Times New Roman"/>
          <w:sz w:val="24"/>
          <w:szCs w:val="24"/>
        </w:rPr>
        <w:t xml:space="preserve"> </w:t>
      </w:r>
      <w:r w:rsidRPr="00294E2A">
        <w:rPr>
          <w:rFonts w:ascii="Times New Roman" w:hAnsi="Times New Roman" w:cs="Times New Roman"/>
          <w:sz w:val="24"/>
          <w:szCs w:val="24"/>
        </w:rPr>
        <w:t xml:space="preserve">using diverse media and </w:t>
      </w:r>
      <w:r w:rsidRPr="00294E2A">
        <w:rPr>
          <w:rFonts w:ascii="Times New Roman" w:hAnsi="Times New Roman" w:cs="Times New Roman"/>
          <w:sz w:val="24"/>
          <w:szCs w:val="24"/>
        </w:rPr>
        <w:lastRenderedPageBreak/>
        <w:t xml:space="preserve">culturing conditions have expanded our ability to grow previously "unculturable" microbes </w:t>
      </w:r>
      <w:r w:rsidR="00856335">
        <w:rPr>
          <w:rFonts w:ascii="Times New Roman" w:hAnsi="Times New Roman" w:cs="Times New Roman"/>
          <w:sz w:val="24"/>
          <w:szCs w:val="24"/>
        </w:rPr>
        <w:t xml:space="preserve">(Park </w:t>
      </w:r>
      <w:r w:rsidR="00856335">
        <w:rPr>
          <w:rFonts w:ascii="Times New Roman" w:hAnsi="Times New Roman" w:cs="Times New Roman"/>
          <w:i/>
          <w:iCs/>
          <w:sz w:val="24"/>
          <w:szCs w:val="24"/>
        </w:rPr>
        <w:t>et al</w:t>
      </w:r>
      <w:r w:rsidR="00856335">
        <w:rPr>
          <w:rFonts w:ascii="Times New Roman" w:hAnsi="Times New Roman" w:cs="Times New Roman"/>
          <w:sz w:val="24"/>
          <w:szCs w:val="24"/>
        </w:rPr>
        <w:t>., 2022).</w:t>
      </w:r>
      <w:r w:rsidRPr="00294E2A">
        <w:rPr>
          <w:rFonts w:ascii="Times New Roman" w:hAnsi="Times New Roman" w:cs="Times New Roman"/>
          <w:sz w:val="24"/>
          <w:szCs w:val="24"/>
        </w:rPr>
        <w:t xml:space="preserve"> Once isolated, the bacterium can be grown, and its conditioned media can be tested for bioactivity in relevant in vitro host cell assays (e.g., immune cell activation, hormone secretion).</w:t>
      </w:r>
    </w:p>
    <w:p w14:paraId="19D73508" w14:textId="7140B8B3"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b/>
          <w:bCs/>
          <w:sz w:val="24"/>
          <w:szCs w:val="24"/>
        </w:rPr>
        <w:t>Gnotobiotic Models:</w:t>
      </w:r>
      <w:r w:rsidRPr="00294E2A">
        <w:rPr>
          <w:rFonts w:ascii="Times New Roman" w:hAnsi="Times New Roman" w:cs="Times New Roman"/>
          <w:sz w:val="24"/>
          <w:szCs w:val="24"/>
        </w:rPr>
        <w:t xml:space="preserve"> Germ-free (GF) mice, raised in sterile isolators and devoid of any microbiota, provide the most powerful system for establishing causation. These animals can be colonized with a single candidate bacterial strain or a defined microbial community (a consortium) </w:t>
      </w:r>
      <w:r w:rsidR="00856335">
        <w:rPr>
          <w:rFonts w:ascii="Times New Roman" w:hAnsi="Times New Roman" w:cs="Times New Roman"/>
          <w:sz w:val="24"/>
          <w:szCs w:val="24"/>
        </w:rPr>
        <w:t xml:space="preserve">(Walter </w:t>
      </w:r>
      <w:r w:rsidR="00856335">
        <w:rPr>
          <w:rFonts w:ascii="Times New Roman" w:hAnsi="Times New Roman" w:cs="Times New Roman"/>
          <w:i/>
          <w:iCs/>
          <w:sz w:val="24"/>
          <w:szCs w:val="24"/>
        </w:rPr>
        <w:t>et al</w:t>
      </w:r>
      <w:r w:rsidR="00856335">
        <w:rPr>
          <w:rFonts w:ascii="Times New Roman" w:hAnsi="Times New Roman" w:cs="Times New Roman"/>
          <w:sz w:val="24"/>
          <w:szCs w:val="24"/>
        </w:rPr>
        <w:t>., 2020)</w:t>
      </w:r>
      <w:r w:rsidRPr="00294E2A">
        <w:rPr>
          <w:rFonts w:ascii="Times New Roman" w:hAnsi="Times New Roman" w:cs="Times New Roman"/>
          <w:sz w:val="24"/>
          <w:szCs w:val="24"/>
        </w:rPr>
        <w:t>. If colonization with the candidate bacterium recapitulates the metabolite profile and the host phenotype observed in the original correlation study, it provides strong evidence for a causal role. Conversely, GF mice colonized with a community lacking the key strain should not exhibit the effect</w:t>
      </w:r>
      <w:r w:rsidR="00856335">
        <w:rPr>
          <w:rFonts w:ascii="Times New Roman" w:hAnsi="Times New Roman" w:cs="Times New Roman"/>
          <w:sz w:val="24"/>
          <w:szCs w:val="24"/>
        </w:rPr>
        <w:t xml:space="preserve"> (</w:t>
      </w:r>
      <w:r w:rsidR="00856335" w:rsidRPr="00856335">
        <w:rPr>
          <w:rFonts w:ascii="Times New Roman" w:hAnsi="Times New Roman" w:cs="Times New Roman"/>
          <w:sz w:val="24"/>
          <w:szCs w:val="24"/>
        </w:rPr>
        <w:t>Park</w:t>
      </w:r>
      <w:r w:rsidR="00856335">
        <w:rPr>
          <w:rFonts w:ascii="Times New Roman" w:hAnsi="Times New Roman" w:cs="Times New Roman"/>
          <w:sz w:val="24"/>
          <w:szCs w:val="24"/>
        </w:rPr>
        <w:t xml:space="preserve"> </w:t>
      </w:r>
      <w:r w:rsidR="00856335">
        <w:rPr>
          <w:rFonts w:ascii="Times New Roman" w:hAnsi="Times New Roman" w:cs="Times New Roman"/>
          <w:i/>
          <w:iCs/>
          <w:sz w:val="24"/>
          <w:szCs w:val="24"/>
        </w:rPr>
        <w:t>et al</w:t>
      </w:r>
      <w:r w:rsidR="00856335">
        <w:rPr>
          <w:rFonts w:ascii="Times New Roman" w:hAnsi="Times New Roman" w:cs="Times New Roman"/>
          <w:sz w:val="24"/>
          <w:szCs w:val="24"/>
        </w:rPr>
        <w:t>., 2022)</w:t>
      </w:r>
      <w:r w:rsidRPr="00294E2A">
        <w:rPr>
          <w:rFonts w:ascii="Times New Roman" w:hAnsi="Times New Roman" w:cs="Times New Roman"/>
          <w:sz w:val="24"/>
          <w:szCs w:val="24"/>
        </w:rPr>
        <w:t>.</w:t>
      </w:r>
    </w:p>
    <w:p w14:paraId="5D318C0F" w14:textId="6142B82F" w:rsidR="00856335" w:rsidRPr="0073316C"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b/>
          <w:bCs/>
          <w:sz w:val="24"/>
          <w:szCs w:val="24"/>
        </w:rPr>
        <w:t>Mechanistic In Vitro Studies:</w:t>
      </w:r>
      <w:r w:rsidRPr="00294E2A">
        <w:rPr>
          <w:rFonts w:ascii="Times New Roman" w:hAnsi="Times New Roman" w:cs="Times New Roman"/>
          <w:sz w:val="24"/>
          <w:szCs w:val="24"/>
        </w:rPr>
        <w:t xml:space="preserve"> To pinpoint the exact molecular mechanism, purified metabolites or bacterial-conditioned media are applied to human cell lines. Techniques such as receptor antagonism, RNA interference (RNAi), or reporter gene assays are used to identify the host molecular target (e.g., a specific GPCR or nuclear receptor).</w:t>
      </w:r>
    </w:p>
    <w:p w14:paraId="43F064C1" w14:textId="5AFAA8FB" w:rsidR="00294E2A" w:rsidRPr="00294E2A" w:rsidRDefault="00294E2A" w:rsidP="00294E2A">
      <w:pPr>
        <w:spacing w:line="480" w:lineRule="auto"/>
        <w:jc w:val="both"/>
        <w:rPr>
          <w:rFonts w:ascii="Times New Roman" w:hAnsi="Times New Roman" w:cs="Times New Roman"/>
          <w:b/>
          <w:bCs/>
          <w:sz w:val="24"/>
          <w:szCs w:val="24"/>
        </w:rPr>
      </w:pPr>
      <w:r w:rsidRPr="00294E2A">
        <w:rPr>
          <w:rFonts w:ascii="Times New Roman" w:hAnsi="Times New Roman" w:cs="Times New Roman"/>
          <w:b/>
          <w:bCs/>
          <w:sz w:val="24"/>
          <w:szCs w:val="24"/>
        </w:rPr>
        <w:t>2.3. Compound Identification and Characterization</w:t>
      </w:r>
    </w:p>
    <w:p w14:paraId="19F4F9E7" w14:textId="3C71DABA"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Once bioactivity is confirmed in a culture-based system, the specific molecule responsible must be identified.</w:t>
      </w:r>
    </w:p>
    <w:p w14:paraId="76D93F57" w14:textId="77777777" w:rsidR="00856335" w:rsidRDefault="00294E2A" w:rsidP="00294E2A">
      <w:pPr>
        <w:pStyle w:val="ListParagraph"/>
        <w:numPr>
          <w:ilvl w:val="0"/>
          <w:numId w:val="2"/>
        </w:numPr>
        <w:spacing w:line="480" w:lineRule="auto"/>
        <w:jc w:val="both"/>
        <w:rPr>
          <w:rFonts w:ascii="Times New Roman" w:hAnsi="Times New Roman" w:cs="Times New Roman"/>
          <w:sz w:val="24"/>
          <w:szCs w:val="24"/>
        </w:rPr>
      </w:pPr>
      <w:r w:rsidRPr="00856335">
        <w:rPr>
          <w:rFonts w:ascii="Times New Roman" w:hAnsi="Times New Roman" w:cs="Times New Roman"/>
          <w:b/>
          <w:bCs/>
          <w:sz w:val="24"/>
          <w:szCs w:val="24"/>
        </w:rPr>
        <w:t>Bioassay-Guided Fractionation:</w:t>
      </w:r>
      <w:r w:rsidRPr="00856335">
        <w:rPr>
          <w:rFonts w:ascii="Times New Roman" w:hAnsi="Times New Roman" w:cs="Times New Roman"/>
          <w:sz w:val="24"/>
          <w:szCs w:val="24"/>
        </w:rPr>
        <w:t xml:space="preserve"> This is a classic natural products chemistry approach. The bacterial extract is separated into fractions using techniques like HPLC. Each fraction is tested in the bioassay. The active fraction is subsequently fractionated again, and the process is repeated iteratively until a pure, active compound is isolated</w:t>
      </w:r>
      <w:r w:rsidR="00856335" w:rsidRPr="00856335">
        <w:rPr>
          <w:rFonts w:ascii="Times New Roman" w:hAnsi="Times New Roman" w:cs="Times New Roman"/>
          <w:sz w:val="24"/>
          <w:szCs w:val="24"/>
        </w:rPr>
        <w:t xml:space="preserve"> (Mani </w:t>
      </w:r>
      <w:r w:rsidR="00856335" w:rsidRPr="00856335">
        <w:rPr>
          <w:rFonts w:ascii="Times New Roman" w:hAnsi="Times New Roman" w:cs="Times New Roman"/>
          <w:i/>
          <w:iCs/>
          <w:sz w:val="24"/>
          <w:szCs w:val="24"/>
        </w:rPr>
        <w:t>et al</w:t>
      </w:r>
      <w:r w:rsidR="00856335" w:rsidRPr="00856335">
        <w:rPr>
          <w:rFonts w:ascii="Times New Roman" w:hAnsi="Times New Roman" w:cs="Times New Roman"/>
          <w:sz w:val="24"/>
          <w:szCs w:val="24"/>
        </w:rPr>
        <w:t>., 2022)</w:t>
      </w:r>
      <w:r w:rsidRPr="00856335">
        <w:rPr>
          <w:rFonts w:ascii="Times New Roman" w:hAnsi="Times New Roman" w:cs="Times New Roman"/>
          <w:sz w:val="24"/>
          <w:szCs w:val="24"/>
        </w:rPr>
        <w:t>.</w:t>
      </w:r>
    </w:p>
    <w:p w14:paraId="4B0BBDC6" w14:textId="77777777" w:rsidR="00856335" w:rsidRDefault="00294E2A" w:rsidP="00294E2A">
      <w:pPr>
        <w:pStyle w:val="ListParagraph"/>
        <w:numPr>
          <w:ilvl w:val="0"/>
          <w:numId w:val="2"/>
        </w:numPr>
        <w:spacing w:line="480" w:lineRule="auto"/>
        <w:jc w:val="both"/>
        <w:rPr>
          <w:rFonts w:ascii="Times New Roman" w:hAnsi="Times New Roman" w:cs="Times New Roman"/>
          <w:sz w:val="24"/>
          <w:szCs w:val="24"/>
        </w:rPr>
      </w:pPr>
      <w:r w:rsidRPr="00856335">
        <w:rPr>
          <w:rFonts w:ascii="Times New Roman" w:hAnsi="Times New Roman" w:cs="Times New Roman"/>
          <w:b/>
          <w:bCs/>
          <w:sz w:val="24"/>
          <w:szCs w:val="24"/>
        </w:rPr>
        <w:lastRenderedPageBreak/>
        <w:t>Structural Elucidation:</w:t>
      </w:r>
      <w:r w:rsidRPr="00856335">
        <w:rPr>
          <w:rFonts w:ascii="Times New Roman" w:hAnsi="Times New Roman" w:cs="Times New Roman"/>
          <w:sz w:val="24"/>
          <w:szCs w:val="24"/>
        </w:rPr>
        <w:t xml:space="preserve"> The chemical structure of the purified active compound is determined using analytical techniques, primarily tandem mass spectrometry (MS/MS) and nuclear magnetic resonance (NMR) spectroscopy</w:t>
      </w:r>
      <w:r w:rsidR="00856335">
        <w:rPr>
          <w:rFonts w:ascii="Times New Roman" w:hAnsi="Times New Roman" w:cs="Times New Roman"/>
          <w:sz w:val="24"/>
          <w:szCs w:val="24"/>
        </w:rPr>
        <w:t xml:space="preserve"> (Ma </w:t>
      </w:r>
      <w:r w:rsidR="00856335">
        <w:rPr>
          <w:rFonts w:ascii="Times New Roman" w:hAnsi="Times New Roman" w:cs="Times New Roman"/>
          <w:i/>
          <w:iCs/>
          <w:sz w:val="24"/>
          <w:szCs w:val="24"/>
        </w:rPr>
        <w:t>et al</w:t>
      </w:r>
      <w:r w:rsidR="00856335">
        <w:rPr>
          <w:rFonts w:ascii="Times New Roman" w:hAnsi="Times New Roman" w:cs="Times New Roman"/>
          <w:sz w:val="24"/>
          <w:szCs w:val="24"/>
        </w:rPr>
        <w:t>., 2022)</w:t>
      </w:r>
      <w:r w:rsidRPr="00856335">
        <w:rPr>
          <w:rFonts w:ascii="Times New Roman" w:hAnsi="Times New Roman" w:cs="Times New Roman"/>
          <w:sz w:val="24"/>
          <w:szCs w:val="24"/>
        </w:rPr>
        <w:t>.</w:t>
      </w:r>
    </w:p>
    <w:p w14:paraId="2A88A6B9" w14:textId="0C9B535D" w:rsidR="00294E2A" w:rsidRPr="00856335" w:rsidRDefault="00294E2A" w:rsidP="00294E2A">
      <w:pPr>
        <w:pStyle w:val="ListParagraph"/>
        <w:numPr>
          <w:ilvl w:val="0"/>
          <w:numId w:val="2"/>
        </w:numPr>
        <w:spacing w:line="480" w:lineRule="auto"/>
        <w:jc w:val="both"/>
        <w:rPr>
          <w:rFonts w:ascii="Times New Roman" w:hAnsi="Times New Roman" w:cs="Times New Roman"/>
          <w:sz w:val="24"/>
          <w:szCs w:val="24"/>
        </w:rPr>
      </w:pPr>
      <w:r w:rsidRPr="00856335">
        <w:rPr>
          <w:rFonts w:ascii="Times New Roman" w:hAnsi="Times New Roman" w:cs="Times New Roman"/>
          <w:b/>
          <w:bCs/>
          <w:sz w:val="24"/>
          <w:szCs w:val="24"/>
        </w:rPr>
        <w:t>Chemical Synthesis:</w:t>
      </w:r>
      <w:r w:rsidRPr="00856335">
        <w:rPr>
          <w:rFonts w:ascii="Times New Roman" w:hAnsi="Times New Roman" w:cs="Times New Roman"/>
          <w:sz w:val="24"/>
          <w:szCs w:val="24"/>
        </w:rPr>
        <w:t xml:space="preserve"> For abundant metabolites, the structure can be confirmed by chemical synthesis. For novel, complex molecules, total synthesis may be challenging, but it is essential for confirming structure and for generating sufficient quantities for pre-clinical and clinical development. Synthetic versions are used to confirm that the bioactivity is intrinsic to the molecule and not due to a contaminant</w:t>
      </w:r>
      <w:r w:rsidR="00856335">
        <w:rPr>
          <w:rFonts w:ascii="Times New Roman" w:hAnsi="Times New Roman" w:cs="Times New Roman"/>
          <w:sz w:val="24"/>
          <w:szCs w:val="24"/>
        </w:rPr>
        <w:t xml:space="preserve"> (</w:t>
      </w:r>
      <w:proofErr w:type="spellStart"/>
      <w:r w:rsidR="00856335" w:rsidRPr="00856335">
        <w:rPr>
          <w:rFonts w:ascii="Times New Roman" w:hAnsi="Times New Roman" w:cs="Times New Roman"/>
          <w:sz w:val="24"/>
          <w:szCs w:val="24"/>
        </w:rPr>
        <w:t>Chunarkar</w:t>
      </w:r>
      <w:proofErr w:type="spellEnd"/>
      <w:r w:rsidR="00856335" w:rsidRPr="00856335">
        <w:rPr>
          <w:rFonts w:ascii="Times New Roman" w:hAnsi="Times New Roman" w:cs="Times New Roman"/>
          <w:sz w:val="24"/>
          <w:szCs w:val="24"/>
        </w:rPr>
        <w:t>-Patil</w:t>
      </w:r>
      <w:r w:rsidR="00856335">
        <w:rPr>
          <w:rFonts w:ascii="Times New Roman" w:hAnsi="Times New Roman" w:cs="Times New Roman"/>
          <w:sz w:val="24"/>
          <w:szCs w:val="24"/>
        </w:rPr>
        <w:t xml:space="preserve"> </w:t>
      </w:r>
      <w:r w:rsidR="00856335">
        <w:rPr>
          <w:rFonts w:ascii="Times New Roman" w:hAnsi="Times New Roman" w:cs="Times New Roman"/>
          <w:i/>
          <w:iCs/>
          <w:sz w:val="24"/>
          <w:szCs w:val="24"/>
        </w:rPr>
        <w:t>et al</w:t>
      </w:r>
      <w:r w:rsidR="00856335">
        <w:rPr>
          <w:rFonts w:ascii="Times New Roman" w:hAnsi="Times New Roman" w:cs="Times New Roman"/>
          <w:sz w:val="24"/>
          <w:szCs w:val="24"/>
        </w:rPr>
        <w:t>., 2024)</w:t>
      </w:r>
      <w:r w:rsidRPr="00856335">
        <w:rPr>
          <w:rFonts w:ascii="Times New Roman" w:hAnsi="Times New Roman" w:cs="Times New Roman"/>
          <w:sz w:val="24"/>
          <w:szCs w:val="24"/>
        </w:rPr>
        <w:t>.</w:t>
      </w:r>
    </w:p>
    <w:p w14:paraId="3D3D4F40" w14:textId="26191007" w:rsidR="00294E2A" w:rsidRPr="00695990" w:rsidRDefault="00294E2A" w:rsidP="00294E2A">
      <w:pPr>
        <w:spacing w:line="480" w:lineRule="auto"/>
        <w:jc w:val="both"/>
        <w:rPr>
          <w:rFonts w:ascii="Times New Roman" w:hAnsi="Times New Roman" w:cs="Times New Roman"/>
          <w:b/>
          <w:bCs/>
          <w:sz w:val="24"/>
          <w:szCs w:val="24"/>
        </w:rPr>
      </w:pPr>
      <w:r w:rsidRPr="00695990">
        <w:rPr>
          <w:rFonts w:ascii="Times New Roman" w:hAnsi="Times New Roman" w:cs="Times New Roman"/>
          <w:b/>
          <w:bCs/>
          <w:sz w:val="24"/>
          <w:szCs w:val="24"/>
        </w:rPr>
        <w:t>2.4. Target Deconvolution and Pharmacological Optimization</w:t>
      </w:r>
    </w:p>
    <w:p w14:paraId="0470D4B1" w14:textId="3058552C" w:rsidR="00294E2A" w:rsidRPr="00294E2A" w:rsidRDefault="00294E2A" w:rsidP="00294E2A">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The final stage involves understanding how the molecule works at the molecular level and optimizing its properties for therapeutic use</w:t>
      </w:r>
      <w:r w:rsidR="00423C8F">
        <w:rPr>
          <w:rFonts w:ascii="Times New Roman" w:hAnsi="Times New Roman" w:cs="Times New Roman"/>
          <w:sz w:val="24"/>
          <w:szCs w:val="24"/>
        </w:rPr>
        <w:t xml:space="preserve"> (</w:t>
      </w:r>
      <w:r w:rsidR="00423C8F" w:rsidRPr="00423C8F">
        <w:rPr>
          <w:rFonts w:ascii="Times New Roman" w:hAnsi="Times New Roman" w:cs="Times New Roman"/>
          <w:sz w:val="24"/>
          <w:szCs w:val="24"/>
        </w:rPr>
        <w:t>Wilkinson</w:t>
      </w:r>
      <w:r w:rsidR="00423C8F">
        <w:rPr>
          <w:rFonts w:ascii="Times New Roman" w:hAnsi="Times New Roman" w:cs="Times New Roman"/>
          <w:sz w:val="24"/>
          <w:szCs w:val="24"/>
        </w:rPr>
        <w:t xml:space="preserve"> </w:t>
      </w:r>
      <w:r w:rsidR="00423C8F">
        <w:rPr>
          <w:rFonts w:ascii="Times New Roman" w:hAnsi="Times New Roman" w:cs="Times New Roman"/>
          <w:i/>
          <w:iCs/>
          <w:sz w:val="24"/>
          <w:szCs w:val="24"/>
        </w:rPr>
        <w:t>et al</w:t>
      </w:r>
      <w:r w:rsidR="00423C8F">
        <w:rPr>
          <w:rFonts w:ascii="Times New Roman" w:hAnsi="Times New Roman" w:cs="Times New Roman"/>
          <w:sz w:val="24"/>
          <w:szCs w:val="24"/>
        </w:rPr>
        <w:t>., 2020)</w:t>
      </w:r>
      <w:r w:rsidRPr="00294E2A">
        <w:rPr>
          <w:rFonts w:ascii="Times New Roman" w:hAnsi="Times New Roman" w:cs="Times New Roman"/>
          <w:sz w:val="24"/>
          <w:szCs w:val="24"/>
        </w:rPr>
        <w:t>. Identifying the host protein target is crucial</w:t>
      </w:r>
      <w:r w:rsidR="00423C8F">
        <w:rPr>
          <w:rFonts w:ascii="Times New Roman" w:hAnsi="Times New Roman" w:cs="Times New Roman"/>
          <w:sz w:val="24"/>
          <w:szCs w:val="24"/>
        </w:rPr>
        <w:t>;</w:t>
      </w:r>
      <w:r w:rsidRPr="00294E2A">
        <w:rPr>
          <w:rFonts w:ascii="Times New Roman" w:hAnsi="Times New Roman" w:cs="Times New Roman"/>
          <w:sz w:val="24"/>
          <w:szCs w:val="24"/>
        </w:rPr>
        <w:t xml:space="preserve"> the methods include:</w:t>
      </w:r>
    </w:p>
    <w:p w14:paraId="3D968883" w14:textId="7383717C" w:rsidR="00294E2A" w:rsidRPr="00294E2A" w:rsidRDefault="00294E2A" w:rsidP="00294E2A">
      <w:pPr>
        <w:pStyle w:val="ListParagraph"/>
        <w:numPr>
          <w:ilvl w:val="0"/>
          <w:numId w:val="1"/>
        </w:numPr>
        <w:spacing w:line="480" w:lineRule="auto"/>
        <w:jc w:val="both"/>
        <w:rPr>
          <w:rFonts w:ascii="Times New Roman" w:hAnsi="Times New Roman" w:cs="Times New Roman"/>
          <w:sz w:val="24"/>
          <w:szCs w:val="24"/>
        </w:rPr>
      </w:pPr>
      <w:r w:rsidRPr="00856335">
        <w:rPr>
          <w:rFonts w:ascii="Times New Roman" w:hAnsi="Times New Roman" w:cs="Times New Roman"/>
          <w:b/>
          <w:bCs/>
          <w:sz w:val="24"/>
          <w:szCs w:val="24"/>
        </w:rPr>
        <w:t>Affinity Purification:</w:t>
      </w:r>
      <w:r w:rsidRPr="00294E2A">
        <w:rPr>
          <w:rFonts w:ascii="Times New Roman" w:hAnsi="Times New Roman" w:cs="Times New Roman"/>
          <w:sz w:val="24"/>
          <w:szCs w:val="24"/>
        </w:rPr>
        <w:t xml:space="preserve"> Immobilizing the metabolite and identifying host proteins that bind to it.</w:t>
      </w:r>
    </w:p>
    <w:p w14:paraId="3D070D2B" w14:textId="44AC2D78" w:rsidR="00294E2A" w:rsidRPr="00294E2A" w:rsidRDefault="00294E2A" w:rsidP="00294E2A">
      <w:pPr>
        <w:pStyle w:val="ListParagraph"/>
        <w:numPr>
          <w:ilvl w:val="0"/>
          <w:numId w:val="1"/>
        </w:numPr>
        <w:spacing w:line="480" w:lineRule="auto"/>
        <w:jc w:val="both"/>
        <w:rPr>
          <w:rFonts w:ascii="Times New Roman" w:hAnsi="Times New Roman" w:cs="Times New Roman"/>
          <w:sz w:val="24"/>
          <w:szCs w:val="24"/>
        </w:rPr>
      </w:pPr>
      <w:r w:rsidRPr="00856335">
        <w:rPr>
          <w:rFonts w:ascii="Times New Roman" w:hAnsi="Times New Roman" w:cs="Times New Roman"/>
          <w:b/>
          <w:bCs/>
          <w:sz w:val="24"/>
          <w:szCs w:val="24"/>
        </w:rPr>
        <w:t>Chemical Proteomics:</w:t>
      </w:r>
      <w:r w:rsidRPr="00294E2A">
        <w:rPr>
          <w:rFonts w:ascii="Times New Roman" w:hAnsi="Times New Roman" w:cs="Times New Roman"/>
          <w:sz w:val="24"/>
          <w:szCs w:val="24"/>
        </w:rPr>
        <w:t xml:space="preserve"> Using functionalized metabolite analogs as baits to pull down interacting proteins from cell lysates.</w:t>
      </w:r>
    </w:p>
    <w:p w14:paraId="20D7EF5E" w14:textId="02B55F24" w:rsidR="00294E2A" w:rsidRPr="00294E2A" w:rsidRDefault="00294E2A" w:rsidP="00294E2A">
      <w:pPr>
        <w:pStyle w:val="ListParagraph"/>
        <w:numPr>
          <w:ilvl w:val="0"/>
          <w:numId w:val="1"/>
        </w:numPr>
        <w:spacing w:line="480" w:lineRule="auto"/>
        <w:jc w:val="both"/>
        <w:rPr>
          <w:rFonts w:ascii="Times New Roman" w:hAnsi="Times New Roman" w:cs="Times New Roman"/>
          <w:sz w:val="24"/>
          <w:szCs w:val="24"/>
        </w:rPr>
      </w:pPr>
      <w:r w:rsidRPr="00856335">
        <w:rPr>
          <w:rFonts w:ascii="Times New Roman" w:hAnsi="Times New Roman" w:cs="Times New Roman"/>
          <w:b/>
          <w:bCs/>
          <w:sz w:val="24"/>
          <w:szCs w:val="24"/>
        </w:rPr>
        <w:t>Transcriptional Profiling:</w:t>
      </w:r>
      <w:r w:rsidRPr="00294E2A">
        <w:rPr>
          <w:rFonts w:ascii="Times New Roman" w:hAnsi="Times New Roman" w:cs="Times New Roman"/>
          <w:sz w:val="24"/>
          <w:szCs w:val="24"/>
        </w:rPr>
        <w:t xml:space="preserve"> Comparing the gene expression signature induced by the metabolite to signatures of compounds with known targets.</w:t>
      </w:r>
    </w:p>
    <w:p w14:paraId="36C23394" w14:textId="1A6F63E0" w:rsidR="00A7093C" w:rsidRDefault="00294E2A" w:rsidP="00294E2A">
      <w:pPr>
        <w:pStyle w:val="ListParagraph"/>
        <w:numPr>
          <w:ilvl w:val="0"/>
          <w:numId w:val="1"/>
        </w:numPr>
        <w:spacing w:line="480" w:lineRule="auto"/>
        <w:jc w:val="both"/>
        <w:rPr>
          <w:rFonts w:ascii="Times New Roman" w:hAnsi="Times New Roman" w:cs="Times New Roman"/>
          <w:sz w:val="24"/>
          <w:szCs w:val="24"/>
        </w:rPr>
      </w:pPr>
      <w:r w:rsidRPr="00856335">
        <w:rPr>
          <w:rFonts w:ascii="Times New Roman" w:hAnsi="Times New Roman" w:cs="Times New Roman"/>
          <w:b/>
          <w:bCs/>
          <w:sz w:val="24"/>
          <w:szCs w:val="24"/>
        </w:rPr>
        <w:t>Medicinal Chemistry:</w:t>
      </w:r>
      <w:r w:rsidRPr="00294E2A">
        <w:rPr>
          <w:rFonts w:ascii="Times New Roman" w:hAnsi="Times New Roman" w:cs="Times New Roman"/>
          <w:sz w:val="24"/>
          <w:szCs w:val="24"/>
        </w:rPr>
        <w:t xml:space="preserve"> The microbial metabolite often serves as a lead compound. Its structure may be optimized by medicinal chemistry to improve its drug-like properties, such as potency, solubility, metabolic stability, and bioavailability, ultimately creating a viable drug candidate suitable for Investigational New Drug (IND)-enabling studies.</w:t>
      </w:r>
    </w:p>
    <w:p w14:paraId="3E57407F" w14:textId="4BAA7BB7" w:rsidR="004A3258" w:rsidRDefault="00E13345" w:rsidP="004A3258">
      <w:pPr>
        <w:spacing w:line="480" w:lineRule="auto"/>
        <w:ind w:left="360"/>
        <w:jc w:val="both"/>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14:anchorId="7A8C5695" wp14:editId="3668FA88">
            <wp:extent cx="5623560" cy="32660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7558" cy="3274223"/>
                    </a:xfrm>
                    <a:prstGeom prst="rect">
                      <a:avLst/>
                    </a:prstGeom>
                    <a:noFill/>
                  </pic:spPr>
                </pic:pic>
              </a:graphicData>
            </a:graphic>
          </wp:inline>
        </w:drawing>
      </w:r>
    </w:p>
    <w:p w14:paraId="6658FC96" w14:textId="5FF17354" w:rsidR="00E13345" w:rsidRPr="00E13345" w:rsidRDefault="00E13345" w:rsidP="004A325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Figure </w:t>
      </w:r>
      <w:r w:rsidR="00695990">
        <w:rPr>
          <w:rFonts w:ascii="Times New Roman" w:hAnsi="Times New Roman" w:cs="Times New Roman"/>
          <w:sz w:val="24"/>
          <w:szCs w:val="24"/>
        </w:rPr>
        <w:t>2</w:t>
      </w:r>
      <w:r>
        <w:rPr>
          <w:rFonts w:ascii="Times New Roman" w:hAnsi="Times New Roman" w:cs="Times New Roman"/>
          <w:sz w:val="24"/>
          <w:szCs w:val="24"/>
        </w:rPr>
        <w:t xml:space="preserve">: </w:t>
      </w:r>
      <w:r w:rsidRPr="00E13345">
        <w:rPr>
          <w:rFonts w:ascii="Times New Roman" w:hAnsi="Times New Roman" w:cs="Times New Roman"/>
          <w:sz w:val="24"/>
          <w:szCs w:val="24"/>
        </w:rPr>
        <w:t xml:space="preserve">The gut microbiome functions as a virtual endocrine organ </w:t>
      </w:r>
      <w:r>
        <w:rPr>
          <w:rFonts w:ascii="Times New Roman" w:hAnsi="Times New Roman" w:cs="Times New Roman"/>
          <w:sz w:val="24"/>
          <w:szCs w:val="24"/>
        </w:rPr>
        <w:t xml:space="preserve">(Pires </w:t>
      </w:r>
      <w:r>
        <w:rPr>
          <w:rFonts w:ascii="Times New Roman" w:hAnsi="Times New Roman" w:cs="Times New Roman"/>
          <w:i/>
          <w:iCs/>
          <w:sz w:val="24"/>
          <w:szCs w:val="24"/>
        </w:rPr>
        <w:t>et al</w:t>
      </w:r>
      <w:r>
        <w:rPr>
          <w:rFonts w:ascii="Times New Roman" w:hAnsi="Times New Roman" w:cs="Times New Roman"/>
          <w:sz w:val="24"/>
          <w:szCs w:val="24"/>
        </w:rPr>
        <w:t>., 2024)</w:t>
      </w:r>
    </w:p>
    <w:p w14:paraId="74B71FAC" w14:textId="42EE0CCB" w:rsidR="00423C8F" w:rsidRPr="00423C8F" w:rsidRDefault="00423C8F" w:rsidP="00423C8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 Main Types of Bacterially-Derived Bioactive Molecules</w:t>
      </w:r>
    </w:p>
    <w:p w14:paraId="74C90138" w14:textId="416D9B24" w:rsidR="006A1641" w:rsidRPr="00423C8F" w:rsidRDefault="00423C8F" w:rsidP="00423C8F">
      <w:pPr>
        <w:spacing w:line="480" w:lineRule="auto"/>
        <w:jc w:val="both"/>
        <w:rPr>
          <w:rFonts w:ascii="Times New Roman" w:hAnsi="Times New Roman" w:cs="Times New Roman"/>
          <w:sz w:val="24"/>
          <w:szCs w:val="24"/>
        </w:rPr>
      </w:pPr>
      <w:r w:rsidRPr="00423C8F">
        <w:rPr>
          <w:rFonts w:ascii="Times New Roman" w:hAnsi="Times New Roman" w:cs="Times New Roman"/>
          <w:sz w:val="24"/>
          <w:szCs w:val="24"/>
        </w:rPr>
        <w:t>The concerted efforts of the discovery pipeline have unveiled a remarkable pharmacopoeia of microbially-produced small molecules that directly modulate host physiology. These molecules often function as key mediators of the gut-brain, gut-liver, and gut-immune axes. This section details the most well-characterized classes of these bioactive metabolites, their mechanisms of action, and their therapeutic implications</w:t>
      </w:r>
      <w:r>
        <w:rPr>
          <w:rFonts w:ascii="Times New Roman" w:hAnsi="Times New Roman" w:cs="Times New Roman"/>
          <w:sz w:val="24"/>
          <w:szCs w:val="24"/>
        </w:rPr>
        <w:t xml:space="preserve"> (Ferris, 2023)</w:t>
      </w:r>
      <w:r w:rsidRPr="00423C8F">
        <w:rPr>
          <w:rFonts w:ascii="Times New Roman" w:hAnsi="Times New Roman" w:cs="Times New Roman"/>
          <w:sz w:val="24"/>
          <w:szCs w:val="24"/>
        </w:rPr>
        <w:t>.</w:t>
      </w:r>
    </w:p>
    <w:p w14:paraId="096DF0F7" w14:textId="77777777" w:rsidR="00423C8F" w:rsidRPr="00423C8F" w:rsidRDefault="00423C8F" w:rsidP="00423C8F">
      <w:pPr>
        <w:spacing w:line="480" w:lineRule="auto"/>
        <w:jc w:val="both"/>
        <w:rPr>
          <w:rFonts w:ascii="Times New Roman" w:hAnsi="Times New Roman" w:cs="Times New Roman"/>
          <w:sz w:val="24"/>
          <w:szCs w:val="24"/>
        </w:rPr>
      </w:pPr>
      <w:r w:rsidRPr="00695990">
        <w:rPr>
          <w:rFonts w:ascii="Times New Roman" w:hAnsi="Times New Roman" w:cs="Times New Roman"/>
          <w:b/>
          <w:bCs/>
          <w:sz w:val="24"/>
          <w:szCs w:val="24"/>
        </w:rPr>
        <w:t>3.1. Short-Chain Fatty Acids (SCFAs):</w:t>
      </w:r>
      <w:r w:rsidRPr="00423C8F">
        <w:rPr>
          <w:rFonts w:ascii="Times New Roman" w:hAnsi="Times New Roman" w:cs="Times New Roman"/>
          <w:sz w:val="24"/>
          <w:szCs w:val="24"/>
        </w:rPr>
        <w:t xml:space="preserve"> Microbial Fermentation Products with Systemic Effects</w:t>
      </w:r>
    </w:p>
    <w:p w14:paraId="67852FC7" w14:textId="77777777" w:rsidR="00423C8F" w:rsidRDefault="00423C8F" w:rsidP="00423C8F">
      <w:pPr>
        <w:spacing w:line="480" w:lineRule="auto"/>
        <w:jc w:val="both"/>
        <w:rPr>
          <w:rFonts w:ascii="Times New Roman" w:hAnsi="Times New Roman" w:cs="Times New Roman"/>
          <w:sz w:val="24"/>
          <w:szCs w:val="24"/>
        </w:rPr>
      </w:pPr>
      <w:r w:rsidRPr="00423C8F">
        <w:rPr>
          <w:rFonts w:ascii="Times New Roman" w:hAnsi="Times New Roman" w:cs="Times New Roman"/>
          <w:sz w:val="24"/>
          <w:szCs w:val="24"/>
        </w:rPr>
        <w:t>Short-chain fatty acids (SCFAs), primarily acetate, propionate, and butyrate, are the most abundant metabolites produced by the microbial fermentation of dietary fiber in the colon. While long recognized for their local roles in colonic health, their function as systemic signaling molecules is now a major focus of research.</w:t>
      </w:r>
    </w:p>
    <w:p w14:paraId="0DBDB650" w14:textId="5CB3F68B" w:rsidR="00423C8F" w:rsidRPr="00423C8F" w:rsidRDefault="00423C8F" w:rsidP="00423C8F">
      <w:pPr>
        <w:pStyle w:val="ListParagraph"/>
        <w:numPr>
          <w:ilvl w:val="0"/>
          <w:numId w:val="3"/>
        </w:numPr>
        <w:spacing w:line="480" w:lineRule="auto"/>
        <w:jc w:val="both"/>
        <w:rPr>
          <w:rFonts w:ascii="Times New Roman" w:hAnsi="Times New Roman" w:cs="Times New Roman"/>
          <w:sz w:val="24"/>
          <w:szCs w:val="24"/>
        </w:rPr>
      </w:pPr>
      <w:r w:rsidRPr="0073316C">
        <w:rPr>
          <w:rFonts w:ascii="Times New Roman" w:hAnsi="Times New Roman" w:cs="Times New Roman"/>
          <w:b/>
          <w:bCs/>
          <w:sz w:val="24"/>
          <w:szCs w:val="24"/>
        </w:rPr>
        <w:lastRenderedPageBreak/>
        <w:t>Production:</w:t>
      </w:r>
      <w:r w:rsidRPr="00423C8F">
        <w:rPr>
          <w:rFonts w:ascii="Times New Roman" w:hAnsi="Times New Roman" w:cs="Times New Roman"/>
          <w:sz w:val="24"/>
          <w:szCs w:val="24"/>
        </w:rPr>
        <w:t xml:space="preserve"> Derived from the fermentation of dietary fiber by obligate anaerobic bacteria such as </w:t>
      </w:r>
      <w:proofErr w:type="spellStart"/>
      <w:r w:rsidRPr="00423C8F">
        <w:rPr>
          <w:rFonts w:ascii="Times New Roman" w:hAnsi="Times New Roman" w:cs="Times New Roman"/>
          <w:sz w:val="24"/>
          <w:szCs w:val="24"/>
        </w:rPr>
        <w:t>Faecalibacterium</w:t>
      </w:r>
      <w:proofErr w:type="spellEnd"/>
      <w:r w:rsidRPr="00423C8F">
        <w:rPr>
          <w:rFonts w:ascii="Times New Roman" w:hAnsi="Times New Roman" w:cs="Times New Roman"/>
          <w:sz w:val="24"/>
          <w:szCs w:val="24"/>
        </w:rPr>
        <w:t xml:space="preserve"> </w:t>
      </w:r>
      <w:proofErr w:type="spellStart"/>
      <w:r w:rsidRPr="00423C8F">
        <w:rPr>
          <w:rFonts w:ascii="Times New Roman" w:hAnsi="Times New Roman" w:cs="Times New Roman"/>
          <w:sz w:val="24"/>
          <w:szCs w:val="24"/>
        </w:rPr>
        <w:t>prausnitzii</w:t>
      </w:r>
      <w:proofErr w:type="spellEnd"/>
      <w:r w:rsidRPr="00423C8F">
        <w:rPr>
          <w:rFonts w:ascii="Times New Roman" w:hAnsi="Times New Roman" w:cs="Times New Roman"/>
          <w:sz w:val="24"/>
          <w:szCs w:val="24"/>
        </w:rPr>
        <w:t xml:space="preserve">, </w:t>
      </w:r>
      <w:proofErr w:type="spellStart"/>
      <w:r w:rsidRPr="00423C8F">
        <w:rPr>
          <w:rFonts w:ascii="Times New Roman" w:hAnsi="Times New Roman" w:cs="Times New Roman"/>
          <w:sz w:val="24"/>
          <w:szCs w:val="24"/>
        </w:rPr>
        <w:t>Roseburia</w:t>
      </w:r>
      <w:proofErr w:type="spellEnd"/>
      <w:r w:rsidRPr="00423C8F">
        <w:rPr>
          <w:rFonts w:ascii="Times New Roman" w:hAnsi="Times New Roman" w:cs="Times New Roman"/>
          <w:sz w:val="24"/>
          <w:szCs w:val="24"/>
        </w:rPr>
        <w:t xml:space="preserve"> spp., and members of the Clostridium clusters IV and </w:t>
      </w:r>
      <w:proofErr w:type="spellStart"/>
      <w:r w:rsidRPr="00423C8F">
        <w:rPr>
          <w:rFonts w:ascii="Times New Roman" w:hAnsi="Times New Roman" w:cs="Times New Roman"/>
          <w:sz w:val="24"/>
          <w:szCs w:val="24"/>
        </w:rPr>
        <w:t>XIVa</w:t>
      </w:r>
      <w:proofErr w:type="spellEnd"/>
      <w:r w:rsidRPr="00423C8F">
        <w:rPr>
          <w:rFonts w:ascii="Times New Roman" w:hAnsi="Times New Roman" w:cs="Times New Roman"/>
          <w:sz w:val="24"/>
          <w:szCs w:val="24"/>
        </w:rPr>
        <w:t xml:space="preserve"> </w:t>
      </w:r>
      <w:r>
        <w:rPr>
          <w:rFonts w:ascii="Times New Roman" w:hAnsi="Times New Roman" w:cs="Times New Roman"/>
          <w:sz w:val="24"/>
          <w:szCs w:val="24"/>
        </w:rPr>
        <w:t>(</w:t>
      </w:r>
      <w:r w:rsidRPr="00423C8F">
        <w:rPr>
          <w:rFonts w:ascii="Times New Roman" w:hAnsi="Times New Roman" w:cs="Times New Roman"/>
          <w:sz w:val="24"/>
          <w:szCs w:val="24"/>
        </w:rPr>
        <w:t>Rivière</w:t>
      </w:r>
      <w:r w:rsidR="00C148F7">
        <w:rPr>
          <w:rFonts w:ascii="Times New Roman" w:hAnsi="Times New Roman" w:cs="Times New Roman"/>
          <w:sz w:val="24"/>
          <w:szCs w:val="24"/>
        </w:rPr>
        <w:t xml:space="preserve"> </w:t>
      </w:r>
      <w:r w:rsidR="00C148F7">
        <w:rPr>
          <w:rFonts w:ascii="Times New Roman" w:hAnsi="Times New Roman" w:cs="Times New Roman"/>
          <w:i/>
          <w:iCs/>
          <w:sz w:val="24"/>
          <w:szCs w:val="24"/>
        </w:rPr>
        <w:t>et al</w:t>
      </w:r>
      <w:r w:rsidR="00C148F7">
        <w:rPr>
          <w:rFonts w:ascii="Times New Roman" w:hAnsi="Times New Roman" w:cs="Times New Roman"/>
          <w:sz w:val="24"/>
          <w:szCs w:val="24"/>
        </w:rPr>
        <w:t>., 2016)</w:t>
      </w:r>
      <w:r w:rsidRPr="00423C8F">
        <w:rPr>
          <w:rFonts w:ascii="Times New Roman" w:hAnsi="Times New Roman" w:cs="Times New Roman"/>
          <w:sz w:val="24"/>
          <w:szCs w:val="24"/>
        </w:rPr>
        <w:t>.</w:t>
      </w:r>
    </w:p>
    <w:p w14:paraId="4207D668" w14:textId="35EC3AA4" w:rsidR="00423C8F" w:rsidRPr="00C148F7" w:rsidRDefault="00423C8F" w:rsidP="00C148F7">
      <w:pPr>
        <w:pStyle w:val="ListParagraph"/>
        <w:numPr>
          <w:ilvl w:val="0"/>
          <w:numId w:val="3"/>
        </w:numPr>
        <w:spacing w:line="480" w:lineRule="auto"/>
        <w:jc w:val="both"/>
        <w:rPr>
          <w:rFonts w:ascii="Times New Roman" w:hAnsi="Times New Roman" w:cs="Times New Roman"/>
          <w:sz w:val="24"/>
          <w:szCs w:val="24"/>
        </w:rPr>
      </w:pPr>
      <w:r w:rsidRPr="0073316C">
        <w:rPr>
          <w:rFonts w:ascii="Times New Roman" w:hAnsi="Times New Roman" w:cs="Times New Roman"/>
          <w:b/>
          <w:bCs/>
          <w:sz w:val="24"/>
          <w:szCs w:val="24"/>
        </w:rPr>
        <w:t>Mechanisms of Action:</w:t>
      </w:r>
      <w:r w:rsidRPr="00C148F7">
        <w:rPr>
          <w:rFonts w:ascii="Times New Roman" w:hAnsi="Times New Roman" w:cs="Times New Roman"/>
          <w:sz w:val="24"/>
          <w:szCs w:val="24"/>
        </w:rPr>
        <w:t xml:space="preserve"> SCFAs influence host physiology through multiple mechanisms:</w:t>
      </w:r>
    </w:p>
    <w:p w14:paraId="47BAF996" w14:textId="5D8CB4AF" w:rsidR="00423C8F" w:rsidRPr="00C148F7" w:rsidRDefault="00423C8F" w:rsidP="00C148F7">
      <w:pPr>
        <w:pStyle w:val="ListParagraph"/>
        <w:numPr>
          <w:ilvl w:val="0"/>
          <w:numId w:val="4"/>
        </w:numPr>
        <w:spacing w:line="480" w:lineRule="auto"/>
        <w:jc w:val="both"/>
        <w:rPr>
          <w:rFonts w:ascii="Times New Roman" w:hAnsi="Times New Roman" w:cs="Times New Roman"/>
          <w:sz w:val="24"/>
          <w:szCs w:val="24"/>
        </w:rPr>
      </w:pPr>
      <w:r w:rsidRPr="00C148F7">
        <w:rPr>
          <w:rFonts w:ascii="Times New Roman" w:hAnsi="Times New Roman" w:cs="Times New Roman"/>
          <w:sz w:val="24"/>
          <w:szCs w:val="24"/>
        </w:rPr>
        <w:t xml:space="preserve">GPCR Activation: SCFAs are endogenous ligands for the G protein-coupled receptors FFAR2 (GPR43) and FFAR3 (GPR41). Butyrate also activates HCAR2 (GPR109A). These receptors are expressed on immune cells, enteroendocrine cells, and adipocytes </w:t>
      </w:r>
      <w:r w:rsidR="00C148F7">
        <w:rPr>
          <w:rFonts w:ascii="Times New Roman" w:hAnsi="Times New Roman" w:cs="Times New Roman"/>
          <w:sz w:val="24"/>
          <w:szCs w:val="24"/>
        </w:rPr>
        <w:t xml:space="preserve">(Grant </w:t>
      </w:r>
      <w:r w:rsidR="00C148F7">
        <w:rPr>
          <w:rFonts w:ascii="Times New Roman" w:hAnsi="Times New Roman" w:cs="Times New Roman"/>
          <w:i/>
          <w:iCs/>
          <w:sz w:val="24"/>
          <w:szCs w:val="24"/>
        </w:rPr>
        <w:t>et al</w:t>
      </w:r>
      <w:r w:rsidR="00C148F7">
        <w:rPr>
          <w:rFonts w:ascii="Times New Roman" w:hAnsi="Times New Roman" w:cs="Times New Roman"/>
          <w:sz w:val="24"/>
          <w:szCs w:val="24"/>
        </w:rPr>
        <w:t>., 2025)</w:t>
      </w:r>
      <w:r w:rsidRPr="00C148F7">
        <w:rPr>
          <w:rFonts w:ascii="Times New Roman" w:hAnsi="Times New Roman" w:cs="Times New Roman"/>
          <w:sz w:val="24"/>
          <w:szCs w:val="24"/>
        </w:rPr>
        <w:t>.</w:t>
      </w:r>
    </w:p>
    <w:p w14:paraId="6B05C92E" w14:textId="2C75AFFD" w:rsidR="00423C8F" w:rsidRPr="00C148F7" w:rsidRDefault="00423C8F" w:rsidP="00C148F7">
      <w:pPr>
        <w:pStyle w:val="ListParagraph"/>
        <w:numPr>
          <w:ilvl w:val="0"/>
          <w:numId w:val="4"/>
        </w:numPr>
        <w:spacing w:line="480" w:lineRule="auto"/>
        <w:jc w:val="both"/>
        <w:rPr>
          <w:rFonts w:ascii="Times New Roman" w:hAnsi="Times New Roman" w:cs="Times New Roman"/>
          <w:sz w:val="24"/>
          <w:szCs w:val="24"/>
        </w:rPr>
      </w:pPr>
      <w:r w:rsidRPr="00C148F7">
        <w:rPr>
          <w:rFonts w:ascii="Times New Roman" w:hAnsi="Times New Roman" w:cs="Times New Roman"/>
          <w:sz w:val="24"/>
          <w:szCs w:val="24"/>
        </w:rPr>
        <w:t xml:space="preserve">Epigenetic Modulation: Butyrate is a potent histone deacetylase (HDAC) inhibitor. By increasing histone acetylation, alters gene expression patterns in host cells, particularly those involved in inflammation and cell proliferation </w:t>
      </w:r>
      <w:r w:rsidR="00C148F7">
        <w:rPr>
          <w:rFonts w:ascii="Times New Roman" w:hAnsi="Times New Roman" w:cs="Times New Roman"/>
          <w:sz w:val="24"/>
          <w:szCs w:val="24"/>
        </w:rPr>
        <w:t xml:space="preserve">(Fellows </w:t>
      </w:r>
      <w:r w:rsidR="00C148F7">
        <w:rPr>
          <w:rFonts w:ascii="Times New Roman" w:hAnsi="Times New Roman" w:cs="Times New Roman"/>
          <w:i/>
          <w:iCs/>
          <w:sz w:val="24"/>
          <w:szCs w:val="24"/>
        </w:rPr>
        <w:t>et al</w:t>
      </w:r>
      <w:r w:rsidR="00C148F7">
        <w:rPr>
          <w:rFonts w:ascii="Times New Roman" w:hAnsi="Times New Roman" w:cs="Times New Roman"/>
          <w:sz w:val="24"/>
          <w:szCs w:val="24"/>
        </w:rPr>
        <w:t>., 2018)</w:t>
      </w:r>
    </w:p>
    <w:p w14:paraId="25E18DD5" w14:textId="138D5BC7" w:rsidR="00423C8F" w:rsidRPr="00C148F7" w:rsidRDefault="00423C8F" w:rsidP="00C148F7">
      <w:pPr>
        <w:pStyle w:val="ListParagraph"/>
        <w:numPr>
          <w:ilvl w:val="0"/>
          <w:numId w:val="4"/>
        </w:numPr>
        <w:spacing w:line="480" w:lineRule="auto"/>
        <w:jc w:val="both"/>
        <w:rPr>
          <w:rFonts w:ascii="Times New Roman" w:hAnsi="Times New Roman" w:cs="Times New Roman"/>
          <w:sz w:val="24"/>
          <w:szCs w:val="24"/>
        </w:rPr>
      </w:pPr>
      <w:r w:rsidRPr="00C148F7">
        <w:rPr>
          <w:rFonts w:ascii="Times New Roman" w:hAnsi="Times New Roman" w:cs="Times New Roman"/>
          <w:sz w:val="24"/>
          <w:szCs w:val="24"/>
        </w:rPr>
        <w:t>Energy Substrate: Butyrate serves as the primary energy source for colonocytes, reinforcing the gut barrier.</w:t>
      </w:r>
    </w:p>
    <w:p w14:paraId="13ED315B" w14:textId="77777777" w:rsidR="00423C8F" w:rsidRPr="00C148F7" w:rsidRDefault="00423C8F" w:rsidP="00423C8F">
      <w:pPr>
        <w:spacing w:line="480" w:lineRule="auto"/>
        <w:jc w:val="both"/>
        <w:rPr>
          <w:rFonts w:ascii="Times New Roman" w:hAnsi="Times New Roman" w:cs="Times New Roman"/>
          <w:b/>
          <w:bCs/>
          <w:sz w:val="24"/>
          <w:szCs w:val="24"/>
        </w:rPr>
      </w:pPr>
      <w:r w:rsidRPr="00C148F7">
        <w:rPr>
          <w:rFonts w:ascii="Times New Roman" w:hAnsi="Times New Roman" w:cs="Times New Roman"/>
          <w:b/>
          <w:bCs/>
          <w:sz w:val="24"/>
          <w:szCs w:val="24"/>
        </w:rPr>
        <w:t>Physiological Impacts and Therapeutic Potential:</w:t>
      </w:r>
    </w:p>
    <w:p w14:paraId="3F2FDBB0" w14:textId="59AB47B0" w:rsidR="00423C8F" w:rsidRPr="00423C8F" w:rsidRDefault="00423C8F" w:rsidP="00423C8F">
      <w:pPr>
        <w:spacing w:line="480" w:lineRule="auto"/>
        <w:jc w:val="both"/>
        <w:rPr>
          <w:rFonts w:ascii="Times New Roman" w:hAnsi="Times New Roman" w:cs="Times New Roman"/>
          <w:sz w:val="24"/>
          <w:szCs w:val="24"/>
        </w:rPr>
      </w:pPr>
      <w:r w:rsidRPr="00423C8F">
        <w:rPr>
          <w:rFonts w:ascii="Times New Roman" w:hAnsi="Times New Roman" w:cs="Times New Roman"/>
          <w:sz w:val="24"/>
          <w:szCs w:val="24"/>
        </w:rPr>
        <w:t xml:space="preserve">SCFA signaling through FFAR2/3 on regulatory T cells (Tregs) promotes their differentiation and function, maintaining immune tolerance and suppressing inflammation. This has implications for treating inflammatory bowel disease (IBD) and allergies </w:t>
      </w:r>
      <w:r w:rsidR="00C148F7">
        <w:rPr>
          <w:rFonts w:ascii="Times New Roman" w:hAnsi="Times New Roman" w:cs="Times New Roman"/>
          <w:sz w:val="24"/>
          <w:szCs w:val="24"/>
        </w:rPr>
        <w:t xml:space="preserve">(Grant </w:t>
      </w:r>
      <w:r w:rsidR="00C148F7">
        <w:rPr>
          <w:rFonts w:ascii="Times New Roman" w:hAnsi="Times New Roman" w:cs="Times New Roman"/>
          <w:i/>
          <w:iCs/>
          <w:sz w:val="24"/>
          <w:szCs w:val="24"/>
        </w:rPr>
        <w:t>et al</w:t>
      </w:r>
      <w:r w:rsidR="00C148F7">
        <w:rPr>
          <w:rFonts w:ascii="Times New Roman" w:hAnsi="Times New Roman" w:cs="Times New Roman"/>
          <w:sz w:val="24"/>
          <w:szCs w:val="24"/>
        </w:rPr>
        <w:t>., 2025)</w:t>
      </w:r>
      <w:r w:rsidRPr="00423C8F">
        <w:rPr>
          <w:rFonts w:ascii="Times New Roman" w:hAnsi="Times New Roman" w:cs="Times New Roman"/>
          <w:sz w:val="24"/>
          <w:szCs w:val="24"/>
        </w:rPr>
        <w:t>.</w:t>
      </w:r>
      <w:r w:rsidR="00C148F7">
        <w:rPr>
          <w:rFonts w:ascii="Times New Roman" w:hAnsi="Times New Roman" w:cs="Times New Roman"/>
          <w:sz w:val="24"/>
          <w:szCs w:val="24"/>
        </w:rPr>
        <w:t xml:space="preserve"> </w:t>
      </w:r>
      <w:r w:rsidRPr="00423C8F">
        <w:rPr>
          <w:rFonts w:ascii="Times New Roman" w:hAnsi="Times New Roman" w:cs="Times New Roman"/>
          <w:sz w:val="24"/>
          <w:szCs w:val="24"/>
        </w:rPr>
        <w:t>SCFAs improve insulin sensitivity, increase energy expenditure, and regulate appetite through effects on gut hormones like glucagon-like peptide-1 (GLP-1), making them attractive for managing obesity and type 2 diabetes.</w:t>
      </w:r>
      <w:r w:rsidR="00C148F7">
        <w:rPr>
          <w:rFonts w:ascii="Times New Roman" w:hAnsi="Times New Roman" w:cs="Times New Roman"/>
          <w:sz w:val="24"/>
          <w:szCs w:val="24"/>
        </w:rPr>
        <w:t xml:space="preserve"> </w:t>
      </w:r>
      <w:r w:rsidRPr="00423C8F">
        <w:rPr>
          <w:rFonts w:ascii="Times New Roman" w:hAnsi="Times New Roman" w:cs="Times New Roman"/>
          <w:sz w:val="24"/>
          <w:szCs w:val="24"/>
        </w:rPr>
        <w:t>Systemic SCFAs can cross the blood-brain barrier and influence microglia function, impacting neuroinflammation and behavior</w:t>
      </w:r>
      <w:r w:rsidR="00C148F7">
        <w:rPr>
          <w:rFonts w:ascii="Times New Roman" w:hAnsi="Times New Roman" w:cs="Times New Roman"/>
          <w:sz w:val="24"/>
          <w:szCs w:val="24"/>
        </w:rPr>
        <w:t xml:space="preserve"> (</w:t>
      </w:r>
      <w:proofErr w:type="spellStart"/>
      <w:r w:rsidR="00C148F7">
        <w:rPr>
          <w:rFonts w:ascii="Times New Roman" w:hAnsi="Times New Roman" w:cs="Times New Roman"/>
          <w:sz w:val="24"/>
          <w:szCs w:val="24"/>
        </w:rPr>
        <w:t>Fock</w:t>
      </w:r>
      <w:proofErr w:type="spellEnd"/>
      <w:r w:rsidR="00C148F7">
        <w:rPr>
          <w:rFonts w:ascii="Times New Roman" w:hAnsi="Times New Roman" w:cs="Times New Roman"/>
          <w:sz w:val="24"/>
          <w:szCs w:val="24"/>
        </w:rPr>
        <w:t xml:space="preserve"> and </w:t>
      </w:r>
      <w:proofErr w:type="spellStart"/>
      <w:r w:rsidR="00C148F7">
        <w:rPr>
          <w:rFonts w:ascii="Times New Roman" w:hAnsi="Times New Roman" w:cs="Times New Roman"/>
          <w:sz w:val="24"/>
          <w:szCs w:val="24"/>
        </w:rPr>
        <w:t>Parnova</w:t>
      </w:r>
      <w:proofErr w:type="spellEnd"/>
      <w:r w:rsidR="00C148F7">
        <w:rPr>
          <w:rFonts w:ascii="Times New Roman" w:hAnsi="Times New Roman" w:cs="Times New Roman"/>
          <w:sz w:val="24"/>
          <w:szCs w:val="24"/>
        </w:rPr>
        <w:t>, 2023)</w:t>
      </w:r>
    </w:p>
    <w:p w14:paraId="793B7154" w14:textId="77777777" w:rsidR="0073316C" w:rsidRDefault="0073316C" w:rsidP="00423C8F">
      <w:pPr>
        <w:spacing w:line="480" w:lineRule="auto"/>
        <w:jc w:val="both"/>
        <w:rPr>
          <w:rFonts w:ascii="Times New Roman" w:hAnsi="Times New Roman" w:cs="Times New Roman"/>
          <w:b/>
          <w:bCs/>
          <w:sz w:val="24"/>
          <w:szCs w:val="24"/>
        </w:rPr>
      </w:pPr>
    </w:p>
    <w:p w14:paraId="212AEB94" w14:textId="48DA4951" w:rsidR="00423C8F" w:rsidRPr="00C148F7" w:rsidRDefault="00423C8F" w:rsidP="00423C8F">
      <w:pPr>
        <w:spacing w:line="480" w:lineRule="auto"/>
        <w:jc w:val="both"/>
        <w:rPr>
          <w:rFonts w:ascii="Times New Roman" w:hAnsi="Times New Roman" w:cs="Times New Roman"/>
          <w:b/>
          <w:bCs/>
          <w:sz w:val="24"/>
          <w:szCs w:val="24"/>
        </w:rPr>
      </w:pPr>
      <w:r w:rsidRPr="00C148F7">
        <w:rPr>
          <w:rFonts w:ascii="Times New Roman" w:hAnsi="Times New Roman" w:cs="Times New Roman"/>
          <w:b/>
          <w:bCs/>
          <w:sz w:val="24"/>
          <w:szCs w:val="24"/>
        </w:rPr>
        <w:lastRenderedPageBreak/>
        <w:t>3.2. Tryptophan Metabolites: Bridging Diet, Microbes, and Immunity</w:t>
      </w:r>
    </w:p>
    <w:p w14:paraId="069C59CC" w14:textId="77777777" w:rsidR="00423C8F" w:rsidRPr="00423C8F" w:rsidRDefault="00423C8F" w:rsidP="00423C8F">
      <w:pPr>
        <w:spacing w:line="480" w:lineRule="auto"/>
        <w:jc w:val="both"/>
        <w:rPr>
          <w:rFonts w:ascii="Times New Roman" w:hAnsi="Times New Roman" w:cs="Times New Roman"/>
          <w:sz w:val="24"/>
          <w:szCs w:val="24"/>
        </w:rPr>
      </w:pPr>
      <w:r w:rsidRPr="00423C8F">
        <w:rPr>
          <w:rFonts w:ascii="Times New Roman" w:hAnsi="Times New Roman" w:cs="Times New Roman"/>
          <w:sz w:val="24"/>
          <w:szCs w:val="24"/>
        </w:rPr>
        <w:t>Dietary tryptophan is metabolized by host enzymes, gut microbiota, and immune cells into a diverse array of bioactive compounds that are critical for maintaining intestinal homeostasis and immune function.</w:t>
      </w:r>
    </w:p>
    <w:p w14:paraId="69FDD044" w14:textId="6468E571" w:rsidR="00423C8F" w:rsidRPr="00C148F7" w:rsidRDefault="00423C8F" w:rsidP="00C148F7">
      <w:pPr>
        <w:pStyle w:val="ListParagraph"/>
        <w:numPr>
          <w:ilvl w:val="0"/>
          <w:numId w:val="5"/>
        </w:numPr>
        <w:spacing w:line="480" w:lineRule="auto"/>
        <w:jc w:val="both"/>
        <w:rPr>
          <w:rFonts w:ascii="Times New Roman" w:hAnsi="Times New Roman" w:cs="Times New Roman"/>
          <w:sz w:val="24"/>
          <w:szCs w:val="24"/>
        </w:rPr>
      </w:pPr>
      <w:r w:rsidRPr="00C148F7">
        <w:rPr>
          <w:rFonts w:ascii="Times New Roman" w:hAnsi="Times New Roman" w:cs="Times New Roman"/>
          <w:b/>
          <w:bCs/>
          <w:sz w:val="24"/>
          <w:szCs w:val="24"/>
        </w:rPr>
        <w:t>Production:</w:t>
      </w:r>
      <w:r w:rsidRPr="00C148F7">
        <w:rPr>
          <w:rFonts w:ascii="Times New Roman" w:hAnsi="Times New Roman" w:cs="Times New Roman"/>
          <w:sz w:val="24"/>
          <w:szCs w:val="24"/>
        </w:rPr>
        <w:t xml:space="preserve"> Gut bacteria like Clostridium </w:t>
      </w:r>
      <w:proofErr w:type="spellStart"/>
      <w:r w:rsidRPr="00C148F7">
        <w:rPr>
          <w:rFonts w:ascii="Times New Roman" w:hAnsi="Times New Roman" w:cs="Times New Roman"/>
          <w:sz w:val="24"/>
          <w:szCs w:val="24"/>
        </w:rPr>
        <w:t>sporogenes</w:t>
      </w:r>
      <w:proofErr w:type="spellEnd"/>
      <w:r w:rsidRPr="00C148F7">
        <w:rPr>
          <w:rFonts w:ascii="Times New Roman" w:hAnsi="Times New Roman" w:cs="Times New Roman"/>
          <w:sz w:val="24"/>
          <w:szCs w:val="24"/>
        </w:rPr>
        <w:t>, Lactobacillus spp., and Bifidobacterium spp. convert tryptophan into indole and its derivatives (e.g., indole-3-propionic acid (IPA), indole-3-aldehyde (</w:t>
      </w:r>
      <w:proofErr w:type="spellStart"/>
      <w:r w:rsidRPr="00C148F7">
        <w:rPr>
          <w:rFonts w:ascii="Times New Roman" w:hAnsi="Times New Roman" w:cs="Times New Roman"/>
          <w:sz w:val="24"/>
          <w:szCs w:val="24"/>
        </w:rPr>
        <w:t>IAld</w:t>
      </w:r>
      <w:proofErr w:type="spellEnd"/>
      <w:r w:rsidRPr="00C148F7">
        <w:rPr>
          <w:rFonts w:ascii="Times New Roman" w:hAnsi="Times New Roman" w:cs="Times New Roman"/>
          <w:sz w:val="24"/>
          <w:szCs w:val="24"/>
        </w:rPr>
        <w:t xml:space="preserve">)), as well as tryptamine </w:t>
      </w:r>
      <w:r w:rsidR="00C148F7" w:rsidRPr="00C148F7">
        <w:rPr>
          <w:rFonts w:ascii="Times New Roman" w:hAnsi="Times New Roman" w:cs="Times New Roman"/>
          <w:sz w:val="24"/>
          <w:szCs w:val="24"/>
        </w:rPr>
        <w:t xml:space="preserve">(Dodd </w:t>
      </w:r>
      <w:r w:rsidR="00C148F7" w:rsidRPr="00C148F7">
        <w:rPr>
          <w:rFonts w:ascii="Times New Roman" w:hAnsi="Times New Roman" w:cs="Times New Roman"/>
          <w:i/>
          <w:iCs/>
          <w:sz w:val="24"/>
          <w:szCs w:val="24"/>
        </w:rPr>
        <w:t>et al</w:t>
      </w:r>
      <w:r w:rsidR="00C148F7" w:rsidRPr="00C148F7">
        <w:rPr>
          <w:rFonts w:ascii="Times New Roman" w:hAnsi="Times New Roman" w:cs="Times New Roman"/>
          <w:sz w:val="24"/>
          <w:szCs w:val="24"/>
        </w:rPr>
        <w:t>., 2017)</w:t>
      </w:r>
    </w:p>
    <w:p w14:paraId="37CF947A" w14:textId="6C140E9A" w:rsidR="00423C8F" w:rsidRPr="00AB4475" w:rsidRDefault="00423C8F" w:rsidP="00423C8F">
      <w:pPr>
        <w:spacing w:line="480" w:lineRule="auto"/>
        <w:jc w:val="both"/>
        <w:rPr>
          <w:rFonts w:ascii="Times New Roman" w:hAnsi="Times New Roman" w:cs="Times New Roman"/>
          <w:b/>
          <w:bCs/>
          <w:sz w:val="24"/>
          <w:szCs w:val="24"/>
        </w:rPr>
      </w:pPr>
      <w:r w:rsidRPr="00C148F7">
        <w:rPr>
          <w:rFonts w:ascii="Times New Roman" w:hAnsi="Times New Roman" w:cs="Times New Roman"/>
          <w:b/>
          <w:bCs/>
          <w:sz w:val="24"/>
          <w:szCs w:val="24"/>
        </w:rPr>
        <w:t>Mechanisms of Action:</w:t>
      </w:r>
      <w:r w:rsidR="00C148F7">
        <w:rPr>
          <w:rFonts w:ascii="Times New Roman" w:hAnsi="Times New Roman" w:cs="Times New Roman"/>
          <w:b/>
          <w:bCs/>
          <w:sz w:val="24"/>
          <w:szCs w:val="24"/>
        </w:rPr>
        <w:t xml:space="preserve"> </w:t>
      </w:r>
      <w:r w:rsidRPr="00423C8F">
        <w:rPr>
          <w:rFonts w:ascii="Times New Roman" w:hAnsi="Times New Roman" w:cs="Times New Roman"/>
          <w:sz w:val="24"/>
          <w:szCs w:val="24"/>
        </w:rPr>
        <w:t>Aryl Hydrocarbon Receptor (</w:t>
      </w:r>
      <w:proofErr w:type="spellStart"/>
      <w:r w:rsidRPr="00423C8F">
        <w:rPr>
          <w:rFonts w:ascii="Times New Roman" w:hAnsi="Times New Roman" w:cs="Times New Roman"/>
          <w:sz w:val="24"/>
          <w:szCs w:val="24"/>
        </w:rPr>
        <w:t>AhR</w:t>
      </w:r>
      <w:proofErr w:type="spellEnd"/>
      <w:r w:rsidRPr="00423C8F">
        <w:rPr>
          <w:rFonts w:ascii="Times New Roman" w:hAnsi="Times New Roman" w:cs="Times New Roman"/>
          <w:sz w:val="24"/>
          <w:szCs w:val="24"/>
        </w:rPr>
        <w:t xml:space="preserve">) Activation: Indole derivatives are potent ligands for the </w:t>
      </w:r>
      <w:proofErr w:type="spellStart"/>
      <w:r w:rsidRPr="00423C8F">
        <w:rPr>
          <w:rFonts w:ascii="Times New Roman" w:hAnsi="Times New Roman" w:cs="Times New Roman"/>
          <w:sz w:val="24"/>
          <w:szCs w:val="24"/>
        </w:rPr>
        <w:t>AhR</w:t>
      </w:r>
      <w:proofErr w:type="spellEnd"/>
      <w:r w:rsidRPr="00423C8F">
        <w:rPr>
          <w:rFonts w:ascii="Times New Roman" w:hAnsi="Times New Roman" w:cs="Times New Roman"/>
          <w:sz w:val="24"/>
          <w:szCs w:val="24"/>
        </w:rPr>
        <w:t xml:space="preserve">, a ligand-activated transcription factor highly expressed in immune and epithelial cells. </w:t>
      </w:r>
      <w:proofErr w:type="spellStart"/>
      <w:r w:rsidRPr="00423C8F">
        <w:rPr>
          <w:rFonts w:ascii="Times New Roman" w:hAnsi="Times New Roman" w:cs="Times New Roman"/>
          <w:sz w:val="24"/>
          <w:szCs w:val="24"/>
        </w:rPr>
        <w:t>AhR</w:t>
      </w:r>
      <w:proofErr w:type="spellEnd"/>
      <w:r w:rsidRPr="00423C8F">
        <w:rPr>
          <w:rFonts w:ascii="Times New Roman" w:hAnsi="Times New Roman" w:cs="Times New Roman"/>
          <w:sz w:val="24"/>
          <w:szCs w:val="24"/>
        </w:rPr>
        <w:t xml:space="preserve"> activation is crucial for maintaining intraepithelial lymphocytes and innate lymphoid cells type 3 (ILC3s</w:t>
      </w:r>
      <w:r w:rsidR="00AB4475">
        <w:rPr>
          <w:rFonts w:ascii="Times New Roman" w:hAnsi="Times New Roman" w:cs="Times New Roman"/>
          <w:sz w:val="24"/>
          <w:szCs w:val="24"/>
        </w:rPr>
        <w:t xml:space="preserve"> (</w:t>
      </w:r>
      <w:proofErr w:type="spellStart"/>
      <w:r w:rsidR="00AB4475" w:rsidRPr="00C148F7">
        <w:rPr>
          <w:rFonts w:ascii="Times New Roman" w:hAnsi="Times New Roman" w:cs="Times New Roman"/>
          <w:sz w:val="24"/>
          <w:szCs w:val="24"/>
        </w:rPr>
        <w:t>Rothhammer</w:t>
      </w:r>
      <w:proofErr w:type="spellEnd"/>
      <w:r w:rsidR="00AB4475">
        <w:rPr>
          <w:rFonts w:ascii="Times New Roman" w:hAnsi="Times New Roman" w:cs="Times New Roman"/>
          <w:sz w:val="24"/>
          <w:szCs w:val="24"/>
        </w:rPr>
        <w:t xml:space="preserve"> and</w:t>
      </w:r>
      <w:r w:rsidR="00AB4475" w:rsidRPr="00C148F7">
        <w:rPr>
          <w:rFonts w:ascii="Times New Roman" w:hAnsi="Times New Roman" w:cs="Times New Roman"/>
          <w:sz w:val="24"/>
          <w:szCs w:val="24"/>
        </w:rPr>
        <w:t xml:space="preserve"> Quintana, </w:t>
      </w:r>
      <w:r w:rsidR="00AB4475">
        <w:rPr>
          <w:rFonts w:ascii="Times New Roman" w:hAnsi="Times New Roman" w:cs="Times New Roman"/>
          <w:sz w:val="24"/>
          <w:szCs w:val="24"/>
        </w:rPr>
        <w:t>2</w:t>
      </w:r>
      <w:r w:rsidR="00AB4475" w:rsidRPr="00C148F7">
        <w:rPr>
          <w:rFonts w:ascii="Times New Roman" w:hAnsi="Times New Roman" w:cs="Times New Roman"/>
          <w:sz w:val="24"/>
          <w:szCs w:val="24"/>
        </w:rPr>
        <w:t>019).</w:t>
      </w:r>
      <w:r w:rsidR="00AB4475">
        <w:rPr>
          <w:rFonts w:ascii="Times New Roman" w:hAnsi="Times New Roman" w:cs="Times New Roman"/>
          <w:sz w:val="24"/>
          <w:szCs w:val="24"/>
        </w:rPr>
        <w:t xml:space="preserve"> </w:t>
      </w:r>
      <w:r w:rsidRPr="00423C8F">
        <w:rPr>
          <w:rFonts w:ascii="Times New Roman" w:hAnsi="Times New Roman" w:cs="Times New Roman"/>
          <w:sz w:val="24"/>
          <w:szCs w:val="24"/>
        </w:rPr>
        <w:t>Tryptamine and other metabolites can act as ligands for host serotonin receptors and other GPCRs.</w:t>
      </w:r>
    </w:p>
    <w:p w14:paraId="63390521" w14:textId="78779999" w:rsidR="006A1641" w:rsidRPr="0073316C" w:rsidRDefault="00423C8F" w:rsidP="00423C8F">
      <w:pPr>
        <w:spacing w:line="480" w:lineRule="auto"/>
        <w:jc w:val="both"/>
        <w:rPr>
          <w:rFonts w:ascii="Times New Roman" w:hAnsi="Times New Roman" w:cs="Times New Roman"/>
          <w:sz w:val="24"/>
          <w:szCs w:val="24"/>
        </w:rPr>
      </w:pPr>
      <w:r w:rsidRPr="00AB4475">
        <w:rPr>
          <w:rFonts w:ascii="Times New Roman" w:hAnsi="Times New Roman" w:cs="Times New Roman"/>
          <w:b/>
          <w:bCs/>
          <w:sz w:val="24"/>
          <w:szCs w:val="24"/>
        </w:rPr>
        <w:t>Physiological Impacts and Therapeutic Potential:</w:t>
      </w:r>
      <w:r w:rsidRPr="00423C8F">
        <w:rPr>
          <w:rFonts w:ascii="Times New Roman" w:hAnsi="Times New Roman" w:cs="Times New Roman"/>
          <w:sz w:val="24"/>
          <w:szCs w:val="24"/>
        </w:rPr>
        <w:t xml:space="preserve"> Activation of the </w:t>
      </w:r>
      <w:proofErr w:type="spellStart"/>
      <w:r w:rsidRPr="00423C8F">
        <w:rPr>
          <w:rFonts w:ascii="Times New Roman" w:hAnsi="Times New Roman" w:cs="Times New Roman"/>
          <w:sz w:val="24"/>
          <w:szCs w:val="24"/>
        </w:rPr>
        <w:t>AhR</w:t>
      </w:r>
      <w:proofErr w:type="spellEnd"/>
      <w:r w:rsidRPr="00423C8F">
        <w:rPr>
          <w:rFonts w:ascii="Times New Roman" w:hAnsi="Times New Roman" w:cs="Times New Roman"/>
          <w:sz w:val="24"/>
          <w:szCs w:val="24"/>
        </w:rPr>
        <w:t xml:space="preserve"> pathway by microbial ligands strengthens the epithelial barrier, induces the production of anti-microbial peptides, and promotes IL-22 secretion, which is essential for mucosal repair and defense. Deficiencies in </w:t>
      </w:r>
      <w:proofErr w:type="spellStart"/>
      <w:r w:rsidRPr="00423C8F">
        <w:rPr>
          <w:rFonts w:ascii="Times New Roman" w:hAnsi="Times New Roman" w:cs="Times New Roman"/>
          <w:sz w:val="24"/>
          <w:szCs w:val="24"/>
        </w:rPr>
        <w:t>AhR</w:t>
      </w:r>
      <w:proofErr w:type="spellEnd"/>
      <w:r w:rsidRPr="00423C8F">
        <w:rPr>
          <w:rFonts w:ascii="Times New Roman" w:hAnsi="Times New Roman" w:cs="Times New Roman"/>
          <w:sz w:val="24"/>
          <w:szCs w:val="24"/>
        </w:rPr>
        <w:t xml:space="preserve"> ligands are associated with IBD and multiple sclerosis, suggesting that supplementation or microbial intervention could be therapeutic </w:t>
      </w:r>
      <w:r w:rsidR="00C148F7">
        <w:rPr>
          <w:rFonts w:ascii="Times New Roman" w:hAnsi="Times New Roman" w:cs="Times New Roman"/>
          <w:sz w:val="24"/>
          <w:szCs w:val="24"/>
        </w:rPr>
        <w:t>(</w:t>
      </w:r>
      <w:proofErr w:type="spellStart"/>
      <w:r w:rsidR="00C148F7" w:rsidRPr="00C148F7">
        <w:rPr>
          <w:rFonts w:ascii="Times New Roman" w:hAnsi="Times New Roman" w:cs="Times New Roman"/>
          <w:sz w:val="24"/>
          <w:szCs w:val="24"/>
        </w:rPr>
        <w:t>Rothhammer</w:t>
      </w:r>
      <w:proofErr w:type="spellEnd"/>
      <w:r w:rsidR="00C148F7">
        <w:rPr>
          <w:rFonts w:ascii="Times New Roman" w:hAnsi="Times New Roman" w:cs="Times New Roman"/>
          <w:sz w:val="24"/>
          <w:szCs w:val="24"/>
        </w:rPr>
        <w:t xml:space="preserve"> and</w:t>
      </w:r>
      <w:r w:rsidR="00C148F7" w:rsidRPr="00C148F7">
        <w:rPr>
          <w:rFonts w:ascii="Times New Roman" w:hAnsi="Times New Roman" w:cs="Times New Roman"/>
          <w:sz w:val="24"/>
          <w:szCs w:val="24"/>
        </w:rPr>
        <w:t xml:space="preserve"> Quintana, </w:t>
      </w:r>
      <w:r w:rsidR="00C148F7">
        <w:rPr>
          <w:rFonts w:ascii="Times New Roman" w:hAnsi="Times New Roman" w:cs="Times New Roman"/>
          <w:sz w:val="24"/>
          <w:szCs w:val="24"/>
        </w:rPr>
        <w:t>2</w:t>
      </w:r>
      <w:r w:rsidR="00C148F7" w:rsidRPr="00C148F7">
        <w:rPr>
          <w:rFonts w:ascii="Times New Roman" w:hAnsi="Times New Roman" w:cs="Times New Roman"/>
          <w:sz w:val="24"/>
          <w:szCs w:val="24"/>
        </w:rPr>
        <w:t>019).</w:t>
      </w:r>
    </w:p>
    <w:p w14:paraId="723E9B8B" w14:textId="77145CCC" w:rsidR="00423C8F" w:rsidRPr="00AB4475" w:rsidRDefault="00423C8F" w:rsidP="00423C8F">
      <w:pPr>
        <w:spacing w:line="480" w:lineRule="auto"/>
        <w:jc w:val="both"/>
        <w:rPr>
          <w:rFonts w:ascii="Times New Roman" w:hAnsi="Times New Roman" w:cs="Times New Roman"/>
          <w:b/>
          <w:bCs/>
          <w:sz w:val="24"/>
          <w:szCs w:val="24"/>
        </w:rPr>
      </w:pPr>
      <w:r w:rsidRPr="00AB4475">
        <w:rPr>
          <w:rFonts w:ascii="Times New Roman" w:hAnsi="Times New Roman" w:cs="Times New Roman"/>
          <w:b/>
          <w:bCs/>
          <w:sz w:val="24"/>
          <w:szCs w:val="24"/>
        </w:rPr>
        <w:t>3.3. Bile Acids: Microbially-Modified Metabolic Regulators</w:t>
      </w:r>
    </w:p>
    <w:p w14:paraId="08308D70" w14:textId="15F9D9A3" w:rsidR="00423C8F" w:rsidRPr="00423C8F" w:rsidRDefault="00423C8F" w:rsidP="00423C8F">
      <w:pPr>
        <w:spacing w:line="480" w:lineRule="auto"/>
        <w:jc w:val="both"/>
        <w:rPr>
          <w:rFonts w:ascii="Times New Roman" w:hAnsi="Times New Roman" w:cs="Times New Roman"/>
          <w:sz w:val="24"/>
          <w:szCs w:val="24"/>
        </w:rPr>
      </w:pPr>
      <w:r w:rsidRPr="00423C8F">
        <w:rPr>
          <w:rFonts w:ascii="Times New Roman" w:hAnsi="Times New Roman" w:cs="Times New Roman"/>
          <w:sz w:val="24"/>
          <w:szCs w:val="24"/>
        </w:rPr>
        <w:t>Primary bile acids (BAs), synthesized from cholesterol in the liver, are extensively modified by gut bacteria into secondary bile acids, creating a diverse pool of signaling molecules.</w:t>
      </w:r>
    </w:p>
    <w:p w14:paraId="4751B539" w14:textId="77777777" w:rsidR="00AB4475" w:rsidRDefault="00423C8F" w:rsidP="00423C8F">
      <w:pPr>
        <w:pStyle w:val="ListParagraph"/>
        <w:numPr>
          <w:ilvl w:val="0"/>
          <w:numId w:val="5"/>
        </w:numPr>
        <w:spacing w:line="480" w:lineRule="auto"/>
        <w:jc w:val="both"/>
        <w:rPr>
          <w:rFonts w:ascii="Times New Roman" w:hAnsi="Times New Roman" w:cs="Times New Roman"/>
          <w:sz w:val="24"/>
          <w:szCs w:val="24"/>
        </w:rPr>
      </w:pPr>
      <w:r w:rsidRPr="00AB4475">
        <w:rPr>
          <w:rFonts w:ascii="Times New Roman" w:hAnsi="Times New Roman" w:cs="Times New Roman"/>
          <w:b/>
          <w:bCs/>
          <w:sz w:val="24"/>
          <w:szCs w:val="24"/>
        </w:rPr>
        <w:lastRenderedPageBreak/>
        <w:t>Production:</w:t>
      </w:r>
      <w:r w:rsidRPr="00AB4475">
        <w:rPr>
          <w:rFonts w:ascii="Times New Roman" w:hAnsi="Times New Roman" w:cs="Times New Roman"/>
          <w:sz w:val="24"/>
          <w:szCs w:val="24"/>
        </w:rPr>
        <w:t xml:space="preserve"> Specific bacterial taxa, notably Clostridium </w:t>
      </w:r>
      <w:proofErr w:type="spellStart"/>
      <w:r w:rsidRPr="00AB4475">
        <w:rPr>
          <w:rFonts w:ascii="Times New Roman" w:hAnsi="Times New Roman" w:cs="Times New Roman"/>
          <w:sz w:val="24"/>
          <w:szCs w:val="24"/>
        </w:rPr>
        <w:t>scindens</w:t>
      </w:r>
      <w:proofErr w:type="spellEnd"/>
      <w:r w:rsidRPr="00AB4475">
        <w:rPr>
          <w:rFonts w:ascii="Times New Roman" w:hAnsi="Times New Roman" w:cs="Times New Roman"/>
          <w:sz w:val="24"/>
          <w:szCs w:val="24"/>
        </w:rPr>
        <w:t xml:space="preserve"> and other members of the Clostridium cluster </w:t>
      </w:r>
      <w:proofErr w:type="spellStart"/>
      <w:r w:rsidRPr="00AB4475">
        <w:rPr>
          <w:rFonts w:ascii="Times New Roman" w:hAnsi="Times New Roman" w:cs="Times New Roman"/>
          <w:sz w:val="24"/>
          <w:szCs w:val="24"/>
        </w:rPr>
        <w:t>XVIa</w:t>
      </w:r>
      <w:proofErr w:type="spellEnd"/>
      <w:r w:rsidRPr="00AB4475">
        <w:rPr>
          <w:rFonts w:ascii="Times New Roman" w:hAnsi="Times New Roman" w:cs="Times New Roman"/>
          <w:sz w:val="24"/>
          <w:szCs w:val="24"/>
        </w:rPr>
        <w:t>, perform 7α-</w:t>
      </w:r>
      <w:proofErr w:type="spellStart"/>
      <w:r w:rsidRPr="00AB4475">
        <w:rPr>
          <w:rFonts w:ascii="Times New Roman" w:hAnsi="Times New Roman" w:cs="Times New Roman"/>
          <w:sz w:val="24"/>
          <w:szCs w:val="24"/>
        </w:rPr>
        <w:t>dehydroxylation</w:t>
      </w:r>
      <w:proofErr w:type="spellEnd"/>
      <w:r w:rsidRPr="00AB4475">
        <w:rPr>
          <w:rFonts w:ascii="Times New Roman" w:hAnsi="Times New Roman" w:cs="Times New Roman"/>
          <w:sz w:val="24"/>
          <w:szCs w:val="24"/>
        </w:rPr>
        <w:t xml:space="preserve">, converting primary BAs like cholic acid into secondary BAs like deoxycholic acid (DCA) </w:t>
      </w:r>
      <w:r w:rsidR="00C148F7" w:rsidRPr="00AB4475">
        <w:rPr>
          <w:rFonts w:ascii="Times New Roman" w:hAnsi="Times New Roman" w:cs="Times New Roman"/>
          <w:sz w:val="24"/>
          <w:szCs w:val="24"/>
        </w:rPr>
        <w:t xml:space="preserve">(Chiang </w:t>
      </w:r>
      <w:r w:rsidR="00C148F7" w:rsidRPr="00AB4475">
        <w:rPr>
          <w:rFonts w:ascii="Times New Roman" w:hAnsi="Times New Roman" w:cs="Times New Roman"/>
          <w:i/>
          <w:iCs/>
          <w:sz w:val="24"/>
          <w:szCs w:val="24"/>
        </w:rPr>
        <w:t>et al</w:t>
      </w:r>
      <w:r w:rsidR="00C148F7" w:rsidRPr="00AB4475">
        <w:rPr>
          <w:rFonts w:ascii="Times New Roman" w:hAnsi="Times New Roman" w:cs="Times New Roman"/>
          <w:sz w:val="24"/>
          <w:szCs w:val="24"/>
        </w:rPr>
        <w:t>., 2020)</w:t>
      </w:r>
      <w:r w:rsidRPr="00AB4475">
        <w:rPr>
          <w:rFonts w:ascii="Times New Roman" w:hAnsi="Times New Roman" w:cs="Times New Roman"/>
          <w:sz w:val="24"/>
          <w:szCs w:val="24"/>
        </w:rPr>
        <w:t>.</w:t>
      </w:r>
    </w:p>
    <w:p w14:paraId="25F8846C" w14:textId="77777777" w:rsidR="00AB4475" w:rsidRDefault="00423C8F" w:rsidP="00423C8F">
      <w:pPr>
        <w:pStyle w:val="ListParagraph"/>
        <w:numPr>
          <w:ilvl w:val="0"/>
          <w:numId w:val="5"/>
        </w:numPr>
        <w:spacing w:line="480" w:lineRule="auto"/>
        <w:jc w:val="both"/>
        <w:rPr>
          <w:rFonts w:ascii="Times New Roman" w:hAnsi="Times New Roman" w:cs="Times New Roman"/>
          <w:sz w:val="24"/>
          <w:szCs w:val="24"/>
        </w:rPr>
      </w:pPr>
      <w:r w:rsidRPr="00AB4475">
        <w:rPr>
          <w:rFonts w:ascii="Times New Roman" w:hAnsi="Times New Roman" w:cs="Times New Roman"/>
          <w:b/>
          <w:bCs/>
          <w:sz w:val="24"/>
          <w:szCs w:val="24"/>
        </w:rPr>
        <w:t>Mechanisms of Action:</w:t>
      </w:r>
      <w:r w:rsidRPr="00AB4475">
        <w:rPr>
          <w:rFonts w:ascii="Times New Roman" w:hAnsi="Times New Roman" w:cs="Times New Roman"/>
          <w:sz w:val="24"/>
          <w:szCs w:val="24"/>
        </w:rPr>
        <w:t xml:space="preserve"> Bile acids are endogenous ligands for several host receptors:</w:t>
      </w:r>
      <w:r w:rsidR="00AB4475">
        <w:rPr>
          <w:rFonts w:ascii="Times New Roman" w:hAnsi="Times New Roman" w:cs="Times New Roman"/>
          <w:sz w:val="24"/>
          <w:szCs w:val="24"/>
        </w:rPr>
        <w:t xml:space="preserve"> </w:t>
      </w:r>
      <w:r w:rsidRPr="00AB4475">
        <w:rPr>
          <w:rFonts w:ascii="Times New Roman" w:hAnsi="Times New Roman" w:cs="Times New Roman"/>
          <w:sz w:val="24"/>
          <w:szCs w:val="24"/>
        </w:rPr>
        <w:t>Nuclear Receptor FXR (</w:t>
      </w:r>
      <w:proofErr w:type="spellStart"/>
      <w:r w:rsidRPr="00AB4475">
        <w:rPr>
          <w:rFonts w:ascii="Times New Roman" w:hAnsi="Times New Roman" w:cs="Times New Roman"/>
          <w:sz w:val="24"/>
          <w:szCs w:val="24"/>
        </w:rPr>
        <w:t>Farnesoid</w:t>
      </w:r>
      <w:proofErr w:type="spellEnd"/>
      <w:r w:rsidRPr="00AB4475">
        <w:rPr>
          <w:rFonts w:ascii="Times New Roman" w:hAnsi="Times New Roman" w:cs="Times New Roman"/>
          <w:sz w:val="24"/>
          <w:szCs w:val="24"/>
        </w:rPr>
        <w:t xml:space="preserve"> X Receptor)</w:t>
      </w:r>
      <w:r w:rsidR="00AB4475">
        <w:rPr>
          <w:rFonts w:ascii="Times New Roman" w:hAnsi="Times New Roman" w:cs="Times New Roman"/>
          <w:sz w:val="24"/>
          <w:szCs w:val="24"/>
        </w:rPr>
        <w:t xml:space="preserve"> r</w:t>
      </w:r>
      <w:r w:rsidRPr="00AB4475">
        <w:rPr>
          <w:rFonts w:ascii="Times New Roman" w:hAnsi="Times New Roman" w:cs="Times New Roman"/>
          <w:sz w:val="24"/>
          <w:szCs w:val="24"/>
        </w:rPr>
        <w:t>egulates BA homeostasis, glucose metabolism, and lipid metabolism.</w:t>
      </w:r>
      <w:r w:rsidR="00AB4475">
        <w:rPr>
          <w:rFonts w:ascii="Times New Roman" w:hAnsi="Times New Roman" w:cs="Times New Roman"/>
          <w:sz w:val="24"/>
          <w:szCs w:val="24"/>
        </w:rPr>
        <w:t xml:space="preserve"> </w:t>
      </w:r>
      <w:r w:rsidR="00AB4475" w:rsidRPr="00AB4475">
        <w:rPr>
          <w:rFonts w:ascii="Times New Roman" w:hAnsi="Times New Roman" w:cs="Times New Roman"/>
          <w:sz w:val="24"/>
          <w:szCs w:val="24"/>
        </w:rPr>
        <w:t xml:space="preserve">The activation of </w:t>
      </w:r>
      <w:r w:rsidRPr="00AB4475">
        <w:rPr>
          <w:rFonts w:ascii="Times New Roman" w:hAnsi="Times New Roman" w:cs="Times New Roman"/>
          <w:sz w:val="24"/>
          <w:szCs w:val="24"/>
        </w:rPr>
        <w:t>GPCR TGR5 (G Protein-coupled Bile Acid Receptor 1)</w:t>
      </w:r>
      <w:r w:rsidR="00AB4475">
        <w:rPr>
          <w:rFonts w:ascii="Times New Roman" w:hAnsi="Times New Roman" w:cs="Times New Roman"/>
          <w:sz w:val="24"/>
          <w:szCs w:val="24"/>
        </w:rPr>
        <w:t xml:space="preserve"> </w:t>
      </w:r>
      <w:r w:rsidRPr="00AB4475">
        <w:rPr>
          <w:rFonts w:ascii="Times New Roman" w:hAnsi="Times New Roman" w:cs="Times New Roman"/>
          <w:sz w:val="24"/>
          <w:szCs w:val="24"/>
        </w:rPr>
        <w:t>stimulates GLP-1 secretion, energy expenditure, and has anti-inflammatory effects.</w:t>
      </w:r>
    </w:p>
    <w:p w14:paraId="03E47467" w14:textId="50569FD1" w:rsidR="00423C8F" w:rsidRPr="00AB4475" w:rsidRDefault="00423C8F" w:rsidP="00423C8F">
      <w:pPr>
        <w:pStyle w:val="ListParagraph"/>
        <w:numPr>
          <w:ilvl w:val="0"/>
          <w:numId w:val="5"/>
        </w:numPr>
        <w:spacing w:line="480" w:lineRule="auto"/>
        <w:jc w:val="both"/>
        <w:rPr>
          <w:rFonts w:ascii="Times New Roman" w:hAnsi="Times New Roman" w:cs="Times New Roman"/>
          <w:sz w:val="24"/>
          <w:szCs w:val="24"/>
        </w:rPr>
      </w:pPr>
      <w:r w:rsidRPr="00AB4475">
        <w:rPr>
          <w:rFonts w:ascii="Times New Roman" w:hAnsi="Times New Roman" w:cs="Times New Roman"/>
          <w:b/>
          <w:bCs/>
          <w:sz w:val="24"/>
          <w:szCs w:val="24"/>
        </w:rPr>
        <w:t>Physiological Impacts and Therapeutic Potential:</w:t>
      </w:r>
      <w:r w:rsidRPr="00AB4475">
        <w:rPr>
          <w:rFonts w:ascii="Times New Roman" w:hAnsi="Times New Roman" w:cs="Times New Roman"/>
          <w:sz w:val="24"/>
          <w:szCs w:val="24"/>
        </w:rPr>
        <w:t xml:space="preserve"> The microbiome-dependent composition of the BA pool significantly influences metabolic health. An altered BA profile is linked to insulin resistance and non-alcoholic fatty liver disease (NAFLD). FXR agonists are already in clinical development for NAFLD, highlighting the therapeutic relevance of this microbial pathway </w:t>
      </w:r>
      <w:r w:rsidR="00AB4475">
        <w:rPr>
          <w:rFonts w:ascii="Times New Roman" w:hAnsi="Times New Roman" w:cs="Times New Roman"/>
          <w:sz w:val="24"/>
          <w:szCs w:val="24"/>
        </w:rPr>
        <w:t xml:space="preserve">(Chiang </w:t>
      </w:r>
      <w:r w:rsidR="00AB4475">
        <w:rPr>
          <w:rFonts w:ascii="Times New Roman" w:hAnsi="Times New Roman" w:cs="Times New Roman"/>
          <w:i/>
          <w:iCs/>
          <w:sz w:val="24"/>
          <w:szCs w:val="24"/>
        </w:rPr>
        <w:t>et al</w:t>
      </w:r>
      <w:r w:rsidR="00AB4475">
        <w:rPr>
          <w:rFonts w:ascii="Times New Roman" w:hAnsi="Times New Roman" w:cs="Times New Roman"/>
          <w:sz w:val="24"/>
          <w:szCs w:val="24"/>
        </w:rPr>
        <w:t>., 2020)</w:t>
      </w:r>
      <w:r w:rsidRPr="00AB4475">
        <w:rPr>
          <w:rFonts w:ascii="Times New Roman" w:hAnsi="Times New Roman" w:cs="Times New Roman"/>
          <w:sz w:val="24"/>
          <w:szCs w:val="24"/>
        </w:rPr>
        <w:t>.</w:t>
      </w:r>
    </w:p>
    <w:p w14:paraId="6E523762" w14:textId="77777777" w:rsidR="00423C8F" w:rsidRPr="00423C8F" w:rsidRDefault="00423C8F" w:rsidP="00423C8F">
      <w:pPr>
        <w:spacing w:line="480" w:lineRule="auto"/>
        <w:jc w:val="both"/>
        <w:rPr>
          <w:rFonts w:ascii="Times New Roman" w:hAnsi="Times New Roman" w:cs="Times New Roman"/>
          <w:sz w:val="24"/>
          <w:szCs w:val="24"/>
        </w:rPr>
      </w:pPr>
      <w:r w:rsidRPr="00695990">
        <w:rPr>
          <w:rFonts w:ascii="Times New Roman" w:hAnsi="Times New Roman" w:cs="Times New Roman"/>
          <w:b/>
          <w:bCs/>
          <w:sz w:val="24"/>
          <w:szCs w:val="24"/>
        </w:rPr>
        <w:t xml:space="preserve">3.4. Neuroactive Metabolites: </w:t>
      </w:r>
      <w:r w:rsidRPr="00423C8F">
        <w:rPr>
          <w:rFonts w:ascii="Times New Roman" w:hAnsi="Times New Roman" w:cs="Times New Roman"/>
          <w:sz w:val="24"/>
          <w:szCs w:val="24"/>
        </w:rPr>
        <w:t>Chemical Messengers of the Gut-Brain Axis</w:t>
      </w:r>
    </w:p>
    <w:p w14:paraId="65B0A861" w14:textId="263DED6B" w:rsidR="00423C8F" w:rsidRPr="00423C8F" w:rsidRDefault="00423C8F" w:rsidP="00423C8F">
      <w:pPr>
        <w:spacing w:line="480" w:lineRule="auto"/>
        <w:jc w:val="both"/>
        <w:rPr>
          <w:rFonts w:ascii="Times New Roman" w:hAnsi="Times New Roman" w:cs="Times New Roman"/>
          <w:sz w:val="24"/>
          <w:szCs w:val="24"/>
        </w:rPr>
      </w:pPr>
      <w:r w:rsidRPr="00423C8F">
        <w:rPr>
          <w:rFonts w:ascii="Times New Roman" w:hAnsi="Times New Roman" w:cs="Times New Roman"/>
          <w:sz w:val="24"/>
          <w:szCs w:val="24"/>
        </w:rPr>
        <w:t>Gut microbes can synthesize and consume neurotransmitters and their precursors, providing a direct biochemical pathway for microbial influence on the central nervous system.</w:t>
      </w:r>
    </w:p>
    <w:p w14:paraId="26B06AF8" w14:textId="77777777" w:rsidR="00AB4475" w:rsidRDefault="00423C8F" w:rsidP="00423C8F">
      <w:pPr>
        <w:pStyle w:val="ListParagraph"/>
        <w:numPr>
          <w:ilvl w:val="0"/>
          <w:numId w:val="6"/>
        </w:numPr>
        <w:spacing w:line="480" w:lineRule="auto"/>
        <w:jc w:val="both"/>
        <w:rPr>
          <w:rFonts w:ascii="Times New Roman" w:hAnsi="Times New Roman" w:cs="Times New Roman"/>
          <w:sz w:val="24"/>
          <w:szCs w:val="24"/>
        </w:rPr>
      </w:pPr>
      <w:r w:rsidRPr="00AB4475">
        <w:rPr>
          <w:rFonts w:ascii="Times New Roman" w:hAnsi="Times New Roman" w:cs="Times New Roman"/>
          <w:b/>
          <w:bCs/>
          <w:sz w:val="24"/>
          <w:szCs w:val="24"/>
        </w:rPr>
        <w:t>Production</w:t>
      </w:r>
      <w:r w:rsidRPr="00AB4475">
        <w:rPr>
          <w:rFonts w:ascii="Times New Roman" w:hAnsi="Times New Roman" w:cs="Times New Roman"/>
          <w:sz w:val="24"/>
          <w:szCs w:val="24"/>
        </w:rPr>
        <w:t>:</w:t>
      </w:r>
      <w:r w:rsidR="00AB4475" w:rsidRPr="00AB4475">
        <w:rPr>
          <w:rFonts w:ascii="Times New Roman" w:hAnsi="Times New Roman" w:cs="Times New Roman"/>
          <w:sz w:val="24"/>
          <w:szCs w:val="24"/>
        </w:rPr>
        <w:t xml:space="preserve"> </w:t>
      </w:r>
      <w:r w:rsidRPr="00AB4475">
        <w:rPr>
          <w:rFonts w:ascii="Times New Roman" w:hAnsi="Times New Roman" w:cs="Times New Roman"/>
          <w:sz w:val="24"/>
          <w:szCs w:val="24"/>
        </w:rPr>
        <w:t>GABA (Gamma-aminobutyric acid): Produced by strains of Lactobacillus and Bifidobacterium</w:t>
      </w:r>
      <w:r w:rsidR="00AB4475" w:rsidRPr="00AB4475">
        <w:rPr>
          <w:rFonts w:ascii="Times New Roman" w:hAnsi="Times New Roman" w:cs="Times New Roman"/>
          <w:sz w:val="24"/>
          <w:szCs w:val="24"/>
        </w:rPr>
        <w:t xml:space="preserve"> (</w:t>
      </w:r>
      <w:proofErr w:type="spellStart"/>
      <w:r w:rsidR="00AB4475" w:rsidRPr="00AB4475">
        <w:rPr>
          <w:rFonts w:ascii="Times New Roman" w:hAnsi="Times New Roman" w:cs="Times New Roman"/>
          <w:sz w:val="24"/>
          <w:szCs w:val="24"/>
        </w:rPr>
        <w:t>Strandwitz</w:t>
      </w:r>
      <w:proofErr w:type="spellEnd"/>
      <w:r w:rsidR="00AB4475" w:rsidRPr="00AB4475">
        <w:rPr>
          <w:rFonts w:ascii="Times New Roman" w:hAnsi="Times New Roman" w:cs="Times New Roman"/>
          <w:i/>
          <w:iCs/>
          <w:sz w:val="24"/>
          <w:szCs w:val="24"/>
        </w:rPr>
        <w:t xml:space="preserve"> et al</w:t>
      </w:r>
      <w:r w:rsidR="00AB4475" w:rsidRPr="00AB4475">
        <w:rPr>
          <w:rFonts w:ascii="Times New Roman" w:hAnsi="Times New Roman" w:cs="Times New Roman"/>
          <w:sz w:val="24"/>
          <w:szCs w:val="24"/>
        </w:rPr>
        <w:t>., 2019)</w:t>
      </w:r>
      <w:r w:rsidRPr="00AB4475">
        <w:rPr>
          <w:rFonts w:ascii="Times New Roman" w:hAnsi="Times New Roman" w:cs="Times New Roman"/>
          <w:sz w:val="24"/>
          <w:szCs w:val="24"/>
        </w:rPr>
        <w:t>.</w:t>
      </w:r>
      <w:r w:rsidR="00AB4475" w:rsidRPr="00AB4475">
        <w:rPr>
          <w:rFonts w:ascii="Times New Roman" w:hAnsi="Times New Roman" w:cs="Times New Roman"/>
          <w:sz w:val="24"/>
          <w:szCs w:val="24"/>
        </w:rPr>
        <w:t xml:space="preserve"> </w:t>
      </w:r>
      <w:r w:rsidRPr="00AB4475">
        <w:rPr>
          <w:rFonts w:ascii="Times New Roman" w:hAnsi="Times New Roman" w:cs="Times New Roman"/>
          <w:sz w:val="24"/>
          <w:szCs w:val="24"/>
        </w:rPr>
        <w:t>Norepinephrine</w:t>
      </w:r>
      <w:r w:rsidR="00AB4475" w:rsidRPr="00AB4475">
        <w:rPr>
          <w:rFonts w:ascii="Times New Roman" w:hAnsi="Times New Roman" w:cs="Times New Roman"/>
          <w:sz w:val="24"/>
          <w:szCs w:val="24"/>
        </w:rPr>
        <w:t xml:space="preserve"> is p</w:t>
      </w:r>
      <w:r w:rsidRPr="00AB4475">
        <w:rPr>
          <w:rFonts w:ascii="Times New Roman" w:hAnsi="Times New Roman" w:cs="Times New Roman"/>
          <w:sz w:val="24"/>
          <w:szCs w:val="24"/>
        </w:rPr>
        <w:t>roduced by strains of Escherichia and Bacillus.</w:t>
      </w:r>
      <w:r w:rsidR="00AB4475" w:rsidRPr="00AB4475">
        <w:rPr>
          <w:rFonts w:ascii="Times New Roman" w:hAnsi="Times New Roman" w:cs="Times New Roman"/>
          <w:sz w:val="24"/>
          <w:szCs w:val="24"/>
        </w:rPr>
        <w:t xml:space="preserve"> </w:t>
      </w:r>
      <w:r w:rsidRPr="00AB4475">
        <w:rPr>
          <w:rFonts w:ascii="Times New Roman" w:hAnsi="Times New Roman" w:cs="Times New Roman"/>
          <w:sz w:val="24"/>
          <w:szCs w:val="24"/>
        </w:rPr>
        <w:t>Gut microbes influence the production of serotonin (5-HT) in the host, as a significant portion of the body's 5-HT is synthesized in enterochromaffin cells of the gut.</w:t>
      </w:r>
    </w:p>
    <w:p w14:paraId="24530FF4" w14:textId="6438EE21" w:rsidR="00AB4475" w:rsidRPr="006A1641" w:rsidRDefault="00423C8F" w:rsidP="00774CB9">
      <w:pPr>
        <w:pStyle w:val="ListParagraph"/>
        <w:numPr>
          <w:ilvl w:val="0"/>
          <w:numId w:val="6"/>
        </w:numPr>
        <w:spacing w:line="480" w:lineRule="auto"/>
        <w:jc w:val="both"/>
        <w:rPr>
          <w:rFonts w:ascii="Times New Roman" w:hAnsi="Times New Roman" w:cs="Times New Roman"/>
          <w:sz w:val="24"/>
          <w:szCs w:val="24"/>
        </w:rPr>
      </w:pPr>
      <w:r w:rsidRPr="00AB4475">
        <w:rPr>
          <w:rFonts w:ascii="Times New Roman" w:hAnsi="Times New Roman" w:cs="Times New Roman"/>
          <w:b/>
          <w:bCs/>
          <w:sz w:val="24"/>
          <w:szCs w:val="24"/>
        </w:rPr>
        <w:lastRenderedPageBreak/>
        <w:t>Physiological Impacts and Therapeutic Potential:</w:t>
      </w:r>
      <w:r w:rsidRPr="00AB4475">
        <w:rPr>
          <w:rFonts w:ascii="Times New Roman" w:hAnsi="Times New Roman" w:cs="Times New Roman"/>
          <w:sz w:val="24"/>
          <w:szCs w:val="24"/>
        </w:rPr>
        <w:t xml:space="preserve"> These findings provide a mechanistic basis for the observed links between the gut microbiota and anxiety, depression, and stress-related disorders. Probiotics targeting the production of these neuroactive compounds ("</w:t>
      </w:r>
      <w:proofErr w:type="spellStart"/>
      <w:r w:rsidRPr="00AB4475">
        <w:rPr>
          <w:rFonts w:ascii="Times New Roman" w:hAnsi="Times New Roman" w:cs="Times New Roman"/>
          <w:sz w:val="24"/>
          <w:szCs w:val="24"/>
        </w:rPr>
        <w:t>psychobiotics</w:t>
      </w:r>
      <w:proofErr w:type="spellEnd"/>
      <w:r w:rsidRPr="00AB4475">
        <w:rPr>
          <w:rFonts w:ascii="Times New Roman" w:hAnsi="Times New Roman" w:cs="Times New Roman"/>
          <w:sz w:val="24"/>
          <w:szCs w:val="24"/>
        </w:rPr>
        <w:t xml:space="preserve">") are an area of active investigation </w:t>
      </w:r>
      <w:r w:rsidR="00AB4475" w:rsidRPr="00AB4475">
        <w:rPr>
          <w:rFonts w:ascii="Times New Roman" w:hAnsi="Times New Roman" w:cs="Times New Roman"/>
          <w:sz w:val="24"/>
          <w:szCs w:val="24"/>
        </w:rPr>
        <w:t>(</w:t>
      </w:r>
      <w:proofErr w:type="spellStart"/>
      <w:r w:rsidR="00AB4475" w:rsidRPr="00AB4475">
        <w:rPr>
          <w:rFonts w:ascii="Times New Roman" w:hAnsi="Times New Roman" w:cs="Times New Roman"/>
          <w:sz w:val="24"/>
          <w:szCs w:val="24"/>
        </w:rPr>
        <w:t>Strandwitz</w:t>
      </w:r>
      <w:proofErr w:type="spellEnd"/>
      <w:r w:rsidR="00AB4475" w:rsidRPr="00AB4475">
        <w:rPr>
          <w:rFonts w:ascii="Times New Roman" w:hAnsi="Times New Roman" w:cs="Times New Roman"/>
          <w:i/>
          <w:iCs/>
          <w:sz w:val="24"/>
          <w:szCs w:val="24"/>
        </w:rPr>
        <w:t xml:space="preserve"> et al</w:t>
      </w:r>
      <w:r w:rsidR="00AB4475" w:rsidRPr="00AB4475">
        <w:rPr>
          <w:rFonts w:ascii="Times New Roman" w:hAnsi="Times New Roman" w:cs="Times New Roman"/>
          <w:sz w:val="24"/>
          <w:szCs w:val="24"/>
        </w:rPr>
        <w:t xml:space="preserve">., 2019). </w:t>
      </w:r>
    </w:p>
    <w:p w14:paraId="4DE6D43F" w14:textId="04B39E50" w:rsidR="0073316C" w:rsidRPr="0073316C" w:rsidRDefault="0073316C" w:rsidP="0073316C">
      <w:pPr>
        <w:pStyle w:val="ListParagraph"/>
        <w:numPr>
          <w:ilvl w:val="0"/>
          <w:numId w:val="4"/>
        </w:numPr>
        <w:spacing w:line="480" w:lineRule="auto"/>
        <w:ind w:left="360"/>
        <w:jc w:val="both"/>
        <w:rPr>
          <w:rFonts w:ascii="Times New Roman" w:hAnsi="Times New Roman" w:cs="Times New Roman"/>
          <w:b/>
          <w:bCs/>
          <w:sz w:val="24"/>
          <w:szCs w:val="24"/>
        </w:rPr>
      </w:pPr>
      <w:r w:rsidRPr="0073316C">
        <w:rPr>
          <w:rFonts w:ascii="Times New Roman" w:hAnsi="Times New Roman" w:cs="Times New Roman"/>
          <w:b/>
          <w:bCs/>
          <w:sz w:val="24"/>
          <w:szCs w:val="24"/>
        </w:rPr>
        <w:t>Challenges and Future Perspectives</w:t>
      </w:r>
    </w:p>
    <w:p w14:paraId="3027F265" w14:textId="6E6904B7" w:rsidR="00AB4475" w:rsidRPr="0073316C" w:rsidRDefault="00AB4475" w:rsidP="0073316C">
      <w:pPr>
        <w:spacing w:line="480" w:lineRule="auto"/>
        <w:jc w:val="both"/>
        <w:rPr>
          <w:rFonts w:ascii="Times New Roman" w:hAnsi="Times New Roman" w:cs="Times New Roman"/>
          <w:sz w:val="24"/>
          <w:szCs w:val="24"/>
        </w:rPr>
      </w:pPr>
      <w:r w:rsidRPr="0073316C">
        <w:rPr>
          <w:rFonts w:ascii="Times New Roman" w:hAnsi="Times New Roman" w:cs="Times New Roman"/>
          <w:sz w:val="24"/>
          <w:szCs w:val="24"/>
        </w:rPr>
        <w:t>The potential of the human microbiome as a source of novel therapeutics is immense, yet the path from discovery to clinical application is fraught with unique challenges that stem from the ecosystem's inherent complexity. Successfully navigating this landscape requires a clear understanding of these hurdles and a vision for the technologies and approaches that will overcome them. This section outlines the major bottlenecks in the field and the promising strategies being developed to address them.</w:t>
      </w:r>
    </w:p>
    <w:p w14:paraId="078AC9E9" w14:textId="77777777" w:rsidR="00AB4475" w:rsidRPr="00695990" w:rsidRDefault="00AB4475" w:rsidP="00AB4475">
      <w:pPr>
        <w:spacing w:line="480" w:lineRule="auto"/>
        <w:jc w:val="both"/>
        <w:rPr>
          <w:rFonts w:ascii="Times New Roman" w:hAnsi="Times New Roman" w:cs="Times New Roman"/>
          <w:b/>
          <w:bCs/>
          <w:sz w:val="24"/>
          <w:szCs w:val="24"/>
        </w:rPr>
      </w:pPr>
      <w:r w:rsidRPr="00695990">
        <w:rPr>
          <w:rFonts w:ascii="Times New Roman" w:hAnsi="Times New Roman" w:cs="Times New Roman"/>
          <w:b/>
          <w:bCs/>
          <w:sz w:val="24"/>
          <w:szCs w:val="24"/>
        </w:rPr>
        <w:t>4.1. Key Challenges in Microbiome Drug Discovery</w:t>
      </w:r>
    </w:p>
    <w:p w14:paraId="7270B27A" w14:textId="77777777" w:rsidR="00AB4475" w:rsidRPr="0073316C" w:rsidRDefault="00AB4475" w:rsidP="00AB4475">
      <w:pPr>
        <w:spacing w:line="480" w:lineRule="auto"/>
        <w:jc w:val="both"/>
        <w:rPr>
          <w:rFonts w:ascii="Times New Roman" w:hAnsi="Times New Roman" w:cs="Times New Roman"/>
          <w:b/>
          <w:bCs/>
          <w:sz w:val="24"/>
          <w:szCs w:val="24"/>
        </w:rPr>
      </w:pPr>
      <w:r w:rsidRPr="0073316C">
        <w:rPr>
          <w:rFonts w:ascii="Times New Roman" w:hAnsi="Times New Roman" w:cs="Times New Roman"/>
          <w:b/>
          <w:bCs/>
          <w:sz w:val="24"/>
          <w:szCs w:val="24"/>
        </w:rPr>
        <w:t>1. Establishing Causality in Human Health and Disease:</w:t>
      </w:r>
    </w:p>
    <w:p w14:paraId="76364EDF" w14:textId="5D8B39C0" w:rsidR="00AB4475" w:rsidRPr="00AB4475" w:rsidRDefault="00AB4475" w:rsidP="00AB4475">
      <w:pPr>
        <w:spacing w:line="480" w:lineRule="auto"/>
        <w:jc w:val="both"/>
        <w:rPr>
          <w:rFonts w:ascii="Times New Roman" w:hAnsi="Times New Roman" w:cs="Times New Roman"/>
          <w:sz w:val="24"/>
          <w:szCs w:val="24"/>
        </w:rPr>
      </w:pPr>
      <w:r w:rsidRPr="00AB4475">
        <w:rPr>
          <w:rFonts w:ascii="Times New Roman" w:hAnsi="Times New Roman" w:cs="Times New Roman"/>
          <w:sz w:val="24"/>
          <w:szCs w:val="24"/>
        </w:rPr>
        <w:t>While gnotobiotic mouse models provide powerful evidence for causation, translating these findings to humans remains a significant obstacle. The complexity of human genetics, diet, lifestyle, and microbial community structure is immense and cannot be fully recapitulated in animal models. As highlighted by Walter et al. (2020), findings from gnotobiotic studies must be interpreted cautiously, as microbial effects can be exaggerated in the simplified systems of germ-free animal. Demonstrating that a specific microbial metabolite is both necessary and sufficient for a health effect in humans requires large-scale, longitudinal, and interventional studies that are costly and time-consuming.</w:t>
      </w:r>
    </w:p>
    <w:p w14:paraId="64B3E2AE" w14:textId="77777777" w:rsidR="0073316C" w:rsidRDefault="0073316C" w:rsidP="00AB4475">
      <w:pPr>
        <w:spacing w:line="480" w:lineRule="auto"/>
        <w:jc w:val="both"/>
        <w:rPr>
          <w:rFonts w:ascii="Times New Roman" w:hAnsi="Times New Roman" w:cs="Times New Roman"/>
          <w:b/>
          <w:bCs/>
          <w:sz w:val="24"/>
          <w:szCs w:val="24"/>
        </w:rPr>
      </w:pPr>
    </w:p>
    <w:p w14:paraId="1C7CBCA5" w14:textId="0F9866FE" w:rsidR="00AB4475" w:rsidRPr="0073316C" w:rsidRDefault="00AB4475" w:rsidP="00AB4475">
      <w:pPr>
        <w:spacing w:line="480" w:lineRule="auto"/>
        <w:jc w:val="both"/>
        <w:rPr>
          <w:rFonts w:ascii="Times New Roman" w:hAnsi="Times New Roman" w:cs="Times New Roman"/>
          <w:b/>
          <w:bCs/>
          <w:sz w:val="24"/>
          <w:szCs w:val="24"/>
        </w:rPr>
      </w:pPr>
      <w:r w:rsidRPr="0073316C">
        <w:rPr>
          <w:rFonts w:ascii="Times New Roman" w:hAnsi="Times New Roman" w:cs="Times New Roman"/>
          <w:b/>
          <w:bCs/>
          <w:sz w:val="24"/>
          <w:szCs w:val="24"/>
        </w:rPr>
        <w:lastRenderedPageBreak/>
        <w:t>2. Inter-individual Variability and Context Dependency:</w:t>
      </w:r>
    </w:p>
    <w:p w14:paraId="42B56078" w14:textId="4EA700F7" w:rsidR="00AB4475" w:rsidRPr="00AB4475" w:rsidRDefault="00AB4475" w:rsidP="00AB4475">
      <w:pPr>
        <w:spacing w:line="480" w:lineRule="auto"/>
        <w:jc w:val="both"/>
        <w:rPr>
          <w:rFonts w:ascii="Times New Roman" w:hAnsi="Times New Roman" w:cs="Times New Roman"/>
          <w:sz w:val="24"/>
          <w:szCs w:val="24"/>
        </w:rPr>
      </w:pPr>
      <w:r w:rsidRPr="00AB4475">
        <w:rPr>
          <w:rFonts w:ascii="Times New Roman" w:hAnsi="Times New Roman" w:cs="Times New Roman"/>
          <w:sz w:val="24"/>
          <w:szCs w:val="24"/>
        </w:rPr>
        <w:t xml:space="preserve">The effects of a microbiome-derived molecule are not universal. A primary challenge is the profound influence of the host's genetic background, baseline microbiota composition, and dietary patterns on the activity of any single metabolite. This variability poses a significant challenge for the development of one-size-fits-all therapeutics. </w:t>
      </w:r>
      <w:r w:rsidR="004A3258">
        <w:rPr>
          <w:rFonts w:ascii="Times New Roman" w:hAnsi="Times New Roman" w:cs="Times New Roman"/>
          <w:sz w:val="24"/>
          <w:szCs w:val="24"/>
        </w:rPr>
        <w:t>Yan</w:t>
      </w:r>
      <w:r w:rsidRPr="00AB4475">
        <w:rPr>
          <w:rFonts w:ascii="Times New Roman" w:hAnsi="Times New Roman" w:cs="Times New Roman"/>
          <w:sz w:val="24"/>
          <w:szCs w:val="24"/>
        </w:rPr>
        <w:t xml:space="preserve"> et al. (202</w:t>
      </w:r>
      <w:r w:rsidR="004A3258">
        <w:rPr>
          <w:rFonts w:ascii="Times New Roman" w:hAnsi="Times New Roman" w:cs="Times New Roman"/>
          <w:sz w:val="24"/>
          <w:szCs w:val="24"/>
        </w:rPr>
        <w:t>0</w:t>
      </w:r>
      <w:r w:rsidRPr="00AB4475">
        <w:rPr>
          <w:rFonts w:ascii="Times New Roman" w:hAnsi="Times New Roman" w:cs="Times New Roman"/>
          <w:sz w:val="24"/>
          <w:szCs w:val="24"/>
        </w:rPr>
        <w:t xml:space="preserve">) demonstrated that the production of a bioactive lipid was exclusive to a specific strain of Bacteroides fragilis, and its impact was dependent on the surrounding microbial community, underscoring the exquisite context-dependency of microbe-derived bioactivity </w:t>
      </w:r>
      <w:r w:rsidR="004A3258">
        <w:rPr>
          <w:rFonts w:ascii="Times New Roman" w:hAnsi="Times New Roman" w:cs="Times New Roman"/>
          <w:sz w:val="24"/>
          <w:szCs w:val="24"/>
        </w:rPr>
        <w:t xml:space="preserve">(Yan </w:t>
      </w:r>
      <w:r w:rsidR="004A3258" w:rsidRPr="004A3258">
        <w:rPr>
          <w:rFonts w:ascii="Times New Roman" w:hAnsi="Times New Roman" w:cs="Times New Roman"/>
          <w:i/>
          <w:iCs/>
          <w:sz w:val="24"/>
          <w:szCs w:val="24"/>
        </w:rPr>
        <w:t>et</w:t>
      </w:r>
      <w:r w:rsidR="004A3258">
        <w:rPr>
          <w:rFonts w:ascii="Times New Roman" w:hAnsi="Times New Roman" w:cs="Times New Roman"/>
          <w:i/>
          <w:iCs/>
          <w:sz w:val="24"/>
          <w:szCs w:val="24"/>
        </w:rPr>
        <w:t xml:space="preserve"> al</w:t>
      </w:r>
      <w:r w:rsidR="004A3258">
        <w:rPr>
          <w:rFonts w:ascii="Times New Roman" w:hAnsi="Times New Roman" w:cs="Times New Roman"/>
          <w:sz w:val="24"/>
          <w:szCs w:val="24"/>
        </w:rPr>
        <w:t>., 2020)</w:t>
      </w:r>
      <w:r w:rsidR="004A3258" w:rsidRPr="00AB4475">
        <w:rPr>
          <w:rFonts w:ascii="Times New Roman" w:hAnsi="Times New Roman" w:cs="Times New Roman"/>
          <w:sz w:val="24"/>
          <w:szCs w:val="24"/>
        </w:rPr>
        <w:t xml:space="preserve">. </w:t>
      </w:r>
      <w:r w:rsidRPr="00AB4475">
        <w:rPr>
          <w:rFonts w:ascii="Times New Roman" w:hAnsi="Times New Roman" w:cs="Times New Roman"/>
          <w:sz w:val="24"/>
          <w:szCs w:val="24"/>
        </w:rPr>
        <w:t>This necessitates a move towards personalized approaches.</w:t>
      </w:r>
    </w:p>
    <w:p w14:paraId="4342B13D" w14:textId="77777777" w:rsidR="00AB4475" w:rsidRPr="0073316C" w:rsidRDefault="00AB4475" w:rsidP="00AB4475">
      <w:pPr>
        <w:spacing w:line="480" w:lineRule="auto"/>
        <w:jc w:val="both"/>
        <w:rPr>
          <w:rFonts w:ascii="Times New Roman" w:hAnsi="Times New Roman" w:cs="Times New Roman"/>
          <w:b/>
          <w:bCs/>
          <w:sz w:val="24"/>
          <w:szCs w:val="24"/>
        </w:rPr>
      </w:pPr>
      <w:r w:rsidRPr="0073316C">
        <w:rPr>
          <w:rFonts w:ascii="Times New Roman" w:hAnsi="Times New Roman" w:cs="Times New Roman"/>
          <w:b/>
          <w:bCs/>
          <w:sz w:val="24"/>
          <w:szCs w:val="24"/>
        </w:rPr>
        <w:t>3. Strain-Level Specificity of Bioactivity:</w:t>
      </w:r>
    </w:p>
    <w:p w14:paraId="4E91CA26" w14:textId="37ECE575" w:rsidR="00AB4475" w:rsidRPr="00AB4475" w:rsidRDefault="00AB4475" w:rsidP="00AB4475">
      <w:pPr>
        <w:spacing w:line="480" w:lineRule="auto"/>
        <w:jc w:val="both"/>
        <w:rPr>
          <w:rFonts w:ascii="Times New Roman" w:hAnsi="Times New Roman" w:cs="Times New Roman"/>
          <w:sz w:val="24"/>
          <w:szCs w:val="24"/>
        </w:rPr>
      </w:pPr>
      <w:r w:rsidRPr="00AB4475">
        <w:rPr>
          <w:rFonts w:ascii="Times New Roman" w:hAnsi="Times New Roman" w:cs="Times New Roman"/>
          <w:sz w:val="24"/>
          <w:szCs w:val="24"/>
        </w:rPr>
        <w:t xml:space="preserve">As the Zou et al. study exemplifies, bioactive compound production is often not a species-level trait but is specific to particular bacterial strains </w:t>
      </w:r>
      <w:r w:rsidR="004A3258">
        <w:rPr>
          <w:rFonts w:ascii="Times New Roman" w:hAnsi="Times New Roman" w:cs="Times New Roman"/>
          <w:sz w:val="24"/>
          <w:szCs w:val="24"/>
        </w:rPr>
        <w:t xml:space="preserve">(Yan </w:t>
      </w:r>
      <w:r w:rsidR="004A3258" w:rsidRPr="004A3258">
        <w:rPr>
          <w:rFonts w:ascii="Times New Roman" w:hAnsi="Times New Roman" w:cs="Times New Roman"/>
          <w:i/>
          <w:iCs/>
          <w:sz w:val="24"/>
          <w:szCs w:val="24"/>
        </w:rPr>
        <w:t>et</w:t>
      </w:r>
      <w:r w:rsidR="004A3258">
        <w:rPr>
          <w:rFonts w:ascii="Times New Roman" w:hAnsi="Times New Roman" w:cs="Times New Roman"/>
          <w:i/>
          <w:iCs/>
          <w:sz w:val="24"/>
          <w:szCs w:val="24"/>
        </w:rPr>
        <w:t xml:space="preserve"> al</w:t>
      </w:r>
      <w:r w:rsidR="004A3258">
        <w:rPr>
          <w:rFonts w:ascii="Times New Roman" w:hAnsi="Times New Roman" w:cs="Times New Roman"/>
          <w:sz w:val="24"/>
          <w:szCs w:val="24"/>
        </w:rPr>
        <w:t>., 2020)</w:t>
      </w:r>
      <w:r w:rsidRPr="00AB4475">
        <w:rPr>
          <w:rFonts w:ascii="Times New Roman" w:hAnsi="Times New Roman" w:cs="Times New Roman"/>
          <w:sz w:val="24"/>
          <w:szCs w:val="24"/>
        </w:rPr>
        <w:t xml:space="preserve">. A beneficial molecule may be produced by only a subset of strains within a species, while others may produce different compounds or none at all. This demands high-resolution, strain-level analysis during discovery and careful selection of microbial candidates for therapeutic development, moving beyond 16S rRNA gene sequencing to deeper metagenomic and </w:t>
      </w:r>
      <w:proofErr w:type="spellStart"/>
      <w:r w:rsidRPr="00AB4475">
        <w:rPr>
          <w:rFonts w:ascii="Times New Roman" w:hAnsi="Times New Roman" w:cs="Times New Roman"/>
          <w:sz w:val="24"/>
          <w:szCs w:val="24"/>
        </w:rPr>
        <w:t>culturomic</w:t>
      </w:r>
      <w:proofErr w:type="spellEnd"/>
      <w:r w:rsidRPr="00AB4475">
        <w:rPr>
          <w:rFonts w:ascii="Times New Roman" w:hAnsi="Times New Roman" w:cs="Times New Roman"/>
          <w:sz w:val="24"/>
          <w:szCs w:val="24"/>
        </w:rPr>
        <w:t xml:space="preserve"> approaches.</w:t>
      </w:r>
    </w:p>
    <w:p w14:paraId="4A04F37D" w14:textId="77777777" w:rsidR="00AB4475" w:rsidRPr="0073316C" w:rsidRDefault="00AB4475" w:rsidP="00AB4475">
      <w:pPr>
        <w:spacing w:line="480" w:lineRule="auto"/>
        <w:jc w:val="both"/>
        <w:rPr>
          <w:rFonts w:ascii="Times New Roman" w:hAnsi="Times New Roman" w:cs="Times New Roman"/>
          <w:b/>
          <w:bCs/>
          <w:sz w:val="24"/>
          <w:szCs w:val="24"/>
        </w:rPr>
      </w:pPr>
      <w:r w:rsidRPr="0073316C">
        <w:rPr>
          <w:rFonts w:ascii="Times New Roman" w:hAnsi="Times New Roman" w:cs="Times New Roman"/>
          <w:b/>
          <w:bCs/>
          <w:sz w:val="24"/>
          <w:szCs w:val="24"/>
        </w:rPr>
        <w:t>4. Pharmacological and Manufacturing Hurdles:</w:t>
      </w:r>
    </w:p>
    <w:p w14:paraId="3E2E37A4" w14:textId="42617A7D" w:rsidR="00AB4475" w:rsidRPr="00AB4475" w:rsidRDefault="00AB4475" w:rsidP="00AB4475">
      <w:pPr>
        <w:spacing w:line="480" w:lineRule="auto"/>
        <w:jc w:val="both"/>
        <w:rPr>
          <w:rFonts w:ascii="Times New Roman" w:hAnsi="Times New Roman" w:cs="Times New Roman"/>
          <w:sz w:val="24"/>
          <w:szCs w:val="24"/>
        </w:rPr>
      </w:pPr>
      <w:r w:rsidRPr="00AB4475">
        <w:rPr>
          <w:rFonts w:ascii="Times New Roman" w:hAnsi="Times New Roman" w:cs="Times New Roman"/>
          <w:sz w:val="24"/>
          <w:szCs w:val="24"/>
        </w:rPr>
        <w:t>Delivery and Stability: Many microbial metabolites are unstable in the gastrointestinal tract or have poor oral bioavailability. Ensuring that a sufficient concentration reaches the target site of action in the host may require sophisticated formulation strategies.</w:t>
      </w:r>
    </w:p>
    <w:p w14:paraId="7CBF8575" w14:textId="22A99A05" w:rsidR="00AB4475" w:rsidRPr="00AB4475" w:rsidRDefault="00AB4475" w:rsidP="00AB4475">
      <w:pPr>
        <w:spacing w:line="480" w:lineRule="auto"/>
        <w:jc w:val="both"/>
        <w:rPr>
          <w:rFonts w:ascii="Times New Roman" w:hAnsi="Times New Roman" w:cs="Times New Roman"/>
          <w:sz w:val="24"/>
          <w:szCs w:val="24"/>
        </w:rPr>
      </w:pPr>
      <w:r w:rsidRPr="00AB4475">
        <w:rPr>
          <w:rFonts w:ascii="Times New Roman" w:hAnsi="Times New Roman" w:cs="Times New Roman"/>
          <w:sz w:val="24"/>
          <w:szCs w:val="24"/>
        </w:rPr>
        <w:t xml:space="preserve">Manufacturing: If the therapeutic is a purified metabolite, scaling up its production from bacterial fermentation or complex chemical synthesis can be challenging. If the therapeutic is a live bacterial </w:t>
      </w:r>
      <w:r w:rsidRPr="00AB4475">
        <w:rPr>
          <w:rFonts w:ascii="Times New Roman" w:hAnsi="Times New Roman" w:cs="Times New Roman"/>
          <w:sz w:val="24"/>
          <w:szCs w:val="24"/>
        </w:rPr>
        <w:lastRenderedPageBreak/>
        <w:t>strain (a probiotic), ensuring its viability, stability, and consistent potency through manufacturing and storage is a critical barrier to clinical translation.</w:t>
      </w:r>
    </w:p>
    <w:p w14:paraId="5A6FD968" w14:textId="77777777" w:rsidR="00AB4475" w:rsidRPr="004A3258" w:rsidRDefault="00AB4475" w:rsidP="00AB4475">
      <w:pPr>
        <w:spacing w:line="480" w:lineRule="auto"/>
        <w:jc w:val="both"/>
        <w:rPr>
          <w:rFonts w:ascii="Times New Roman" w:hAnsi="Times New Roman" w:cs="Times New Roman"/>
          <w:b/>
          <w:bCs/>
          <w:sz w:val="24"/>
          <w:szCs w:val="24"/>
        </w:rPr>
      </w:pPr>
      <w:r w:rsidRPr="004A3258">
        <w:rPr>
          <w:rFonts w:ascii="Times New Roman" w:hAnsi="Times New Roman" w:cs="Times New Roman"/>
          <w:b/>
          <w:bCs/>
          <w:sz w:val="24"/>
          <w:szCs w:val="24"/>
        </w:rPr>
        <w:t>4.2. Future Perspectives and Emerging Solutions</w:t>
      </w:r>
    </w:p>
    <w:p w14:paraId="2955554C" w14:textId="5734E106" w:rsidR="00AB4475" w:rsidRPr="00AB4475" w:rsidRDefault="00AB4475" w:rsidP="00AB4475">
      <w:pPr>
        <w:spacing w:line="480" w:lineRule="auto"/>
        <w:jc w:val="both"/>
        <w:rPr>
          <w:rFonts w:ascii="Times New Roman" w:hAnsi="Times New Roman" w:cs="Times New Roman"/>
          <w:sz w:val="24"/>
          <w:szCs w:val="24"/>
        </w:rPr>
      </w:pPr>
      <w:r w:rsidRPr="00AB4475">
        <w:rPr>
          <w:rFonts w:ascii="Times New Roman" w:hAnsi="Times New Roman" w:cs="Times New Roman"/>
          <w:sz w:val="24"/>
          <w:szCs w:val="24"/>
        </w:rPr>
        <w:t>The field is rapidly evolving to address these challenges through technological innovation and novel therapeutic paradigms.</w:t>
      </w:r>
    </w:p>
    <w:p w14:paraId="49B60D37" w14:textId="77777777" w:rsidR="00AB4475" w:rsidRPr="004A3258" w:rsidRDefault="00AB4475" w:rsidP="00AB4475">
      <w:pPr>
        <w:spacing w:line="480" w:lineRule="auto"/>
        <w:jc w:val="both"/>
        <w:rPr>
          <w:rFonts w:ascii="Times New Roman" w:hAnsi="Times New Roman" w:cs="Times New Roman"/>
          <w:b/>
          <w:bCs/>
          <w:sz w:val="24"/>
          <w:szCs w:val="24"/>
        </w:rPr>
      </w:pPr>
      <w:r w:rsidRPr="004A3258">
        <w:rPr>
          <w:rFonts w:ascii="Times New Roman" w:hAnsi="Times New Roman" w:cs="Times New Roman"/>
          <w:b/>
          <w:bCs/>
          <w:sz w:val="24"/>
          <w:szCs w:val="24"/>
        </w:rPr>
        <w:t>1. Advanced Culturomics and Single-Cell Genomics:</w:t>
      </w:r>
    </w:p>
    <w:p w14:paraId="0DD73951" w14:textId="5AB899CA" w:rsidR="00AB4475" w:rsidRPr="00AB4475" w:rsidRDefault="00AB4475" w:rsidP="00AB4475">
      <w:pPr>
        <w:spacing w:line="480" w:lineRule="auto"/>
        <w:jc w:val="both"/>
        <w:rPr>
          <w:rFonts w:ascii="Times New Roman" w:hAnsi="Times New Roman" w:cs="Times New Roman"/>
          <w:sz w:val="24"/>
          <w:szCs w:val="24"/>
        </w:rPr>
      </w:pPr>
      <w:r w:rsidRPr="00AB4475">
        <w:rPr>
          <w:rFonts w:ascii="Times New Roman" w:hAnsi="Times New Roman" w:cs="Times New Roman"/>
          <w:sz w:val="24"/>
          <w:szCs w:val="24"/>
        </w:rPr>
        <w:t>New techniques using specialized growth media, co-culture systems, and microbial chip devices are expanding the boundaries of what is culturable. Lagier et al. (2016) demonstrated the power of "culturomics," using a wide array of culture conditions to isolate hundreds of previously uncultured bacterial species from the human gut. Coupled with single-cell genomics, which can sequence the DNA of individual uncultured cells, these methods are illuminating the functional potential of the "microbial dark matter," providing new candidates for discovery.</w:t>
      </w:r>
    </w:p>
    <w:p w14:paraId="14BE9D37" w14:textId="77777777" w:rsidR="00AB4475" w:rsidRPr="004A3258" w:rsidRDefault="00AB4475" w:rsidP="00AB4475">
      <w:pPr>
        <w:spacing w:line="480" w:lineRule="auto"/>
        <w:jc w:val="both"/>
        <w:rPr>
          <w:rFonts w:ascii="Times New Roman" w:hAnsi="Times New Roman" w:cs="Times New Roman"/>
          <w:b/>
          <w:bCs/>
          <w:sz w:val="24"/>
          <w:szCs w:val="24"/>
        </w:rPr>
      </w:pPr>
      <w:r w:rsidRPr="004A3258">
        <w:rPr>
          <w:rFonts w:ascii="Times New Roman" w:hAnsi="Times New Roman" w:cs="Times New Roman"/>
          <w:b/>
          <w:bCs/>
          <w:sz w:val="24"/>
          <w:szCs w:val="24"/>
        </w:rPr>
        <w:t>2. Synthetic Biology and Engineered Live Biotherapeutics:</w:t>
      </w:r>
    </w:p>
    <w:p w14:paraId="329C7CFD" w14:textId="761AB533" w:rsidR="00AB4475" w:rsidRPr="00AB4475" w:rsidRDefault="00AB4475" w:rsidP="00AB4475">
      <w:pPr>
        <w:spacing w:line="480" w:lineRule="auto"/>
        <w:jc w:val="both"/>
        <w:rPr>
          <w:rFonts w:ascii="Times New Roman" w:hAnsi="Times New Roman" w:cs="Times New Roman"/>
          <w:sz w:val="24"/>
          <w:szCs w:val="24"/>
        </w:rPr>
      </w:pPr>
      <w:r w:rsidRPr="00AB4475">
        <w:rPr>
          <w:rFonts w:ascii="Times New Roman" w:hAnsi="Times New Roman" w:cs="Times New Roman"/>
          <w:sz w:val="24"/>
          <w:szCs w:val="24"/>
        </w:rPr>
        <w:t xml:space="preserve">A promising future direction lies in engineering well-characterized, safe bacterial chassis to produce and deliver therapeutic molecules directly in the gut. </w:t>
      </w:r>
      <w:proofErr w:type="spellStart"/>
      <w:r w:rsidRPr="00AB4475">
        <w:rPr>
          <w:rFonts w:ascii="Times New Roman" w:hAnsi="Times New Roman" w:cs="Times New Roman"/>
          <w:sz w:val="24"/>
          <w:szCs w:val="24"/>
        </w:rPr>
        <w:t>Mimee</w:t>
      </w:r>
      <w:proofErr w:type="spellEnd"/>
      <w:r w:rsidRPr="00AB4475">
        <w:rPr>
          <w:rFonts w:ascii="Times New Roman" w:hAnsi="Times New Roman" w:cs="Times New Roman"/>
          <w:sz w:val="24"/>
          <w:szCs w:val="24"/>
        </w:rPr>
        <w:t xml:space="preserve"> et al. (2016) outlined the potential of these engineered live biotherapeutics, which can be designed to sense their environment and respond by producing a drug only when needed, creating a self-regulating delivery system for treating chronic conditions</w:t>
      </w:r>
      <w:r w:rsidR="004A3258">
        <w:rPr>
          <w:rFonts w:ascii="Times New Roman" w:hAnsi="Times New Roman" w:cs="Times New Roman"/>
          <w:sz w:val="24"/>
          <w:szCs w:val="24"/>
        </w:rPr>
        <w:t>.</w:t>
      </w:r>
      <w:r w:rsidRPr="00AB4475">
        <w:rPr>
          <w:rFonts w:ascii="Times New Roman" w:hAnsi="Times New Roman" w:cs="Times New Roman"/>
          <w:sz w:val="24"/>
          <w:szCs w:val="24"/>
        </w:rPr>
        <w:t xml:space="preserve"> This approach can circumvent challenges of bioavailability and stability.</w:t>
      </w:r>
    </w:p>
    <w:p w14:paraId="3873CDF4" w14:textId="77777777" w:rsidR="00AB4475" w:rsidRPr="004A3258" w:rsidRDefault="00AB4475" w:rsidP="00AB4475">
      <w:pPr>
        <w:spacing w:line="480" w:lineRule="auto"/>
        <w:jc w:val="both"/>
        <w:rPr>
          <w:rFonts w:ascii="Times New Roman" w:hAnsi="Times New Roman" w:cs="Times New Roman"/>
          <w:b/>
          <w:bCs/>
          <w:sz w:val="24"/>
          <w:szCs w:val="24"/>
        </w:rPr>
      </w:pPr>
      <w:r w:rsidRPr="004A3258">
        <w:rPr>
          <w:rFonts w:ascii="Times New Roman" w:hAnsi="Times New Roman" w:cs="Times New Roman"/>
          <w:b/>
          <w:bCs/>
          <w:sz w:val="24"/>
          <w:szCs w:val="24"/>
        </w:rPr>
        <w:t>3. Integrated Multi-omics and Artificial Intelligence:</w:t>
      </w:r>
    </w:p>
    <w:p w14:paraId="12C97D40" w14:textId="4168B9B2" w:rsidR="00AB4475" w:rsidRPr="00AB4475" w:rsidRDefault="00AB4475" w:rsidP="00AB4475">
      <w:pPr>
        <w:spacing w:line="480" w:lineRule="auto"/>
        <w:jc w:val="both"/>
        <w:rPr>
          <w:rFonts w:ascii="Times New Roman" w:hAnsi="Times New Roman" w:cs="Times New Roman"/>
          <w:sz w:val="24"/>
          <w:szCs w:val="24"/>
        </w:rPr>
      </w:pPr>
      <w:r w:rsidRPr="00AB4475">
        <w:rPr>
          <w:rFonts w:ascii="Times New Roman" w:hAnsi="Times New Roman" w:cs="Times New Roman"/>
          <w:sz w:val="24"/>
          <w:szCs w:val="24"/>
        </w:rPr>
        <w:lastRenderedPageBreak/>
        <w:t xml:space="preserve">The integration of massive multi-omics datasets is increasingly relying on machine learning and AI. These tools can predict the functions of unknown genes, identify novel correlations, and generate testable hypotheses about mechanisms of action at a scale impossible for humans. For example, </w:t>
      </w:r>
      <w:r w:rsidR="004A3258">
        <w:rPr>
          <w:rFonts w:ascii="Times New Roman" w:hAnsi="Times New Roman" w:cs="Times New Roman"/>
          <w:sz w:val="24"/>
          <w:szCs w:val="24"/>
        </w:rPr>
        <w:t>Li</w:t>
      </w:r>
      <w:r w:rsidRPr="00AB4475">
        <w:rPr>
          <w:rFonts w:ascii="Times New Roman" w:hAnsi="Times New Roman" w:cs="Times New Roman"/>
          <w:sz w:val="24"/>
          <w:szCs w:val="24"/>
        </w:rPr>
        <w:t xml:space="preserve"> et al. (2022) used machine learning to predict microbiome metabolic responses to diet, showcasing the power of AI to manage complexity and personalize interventions. AI will be crucial for stratifying patient populations to identify those most likely to respond to a specific therapy.</w:t>
      </w:r>
    </w:p>
    <w:p w14:paraId="56D6C57C" w14:textId="77777777" w:rsidR="00AB4475" w:rsidRPr="004A3258" w:rsidRDefault="00AB4475" w:rsidP="00AB4475">
      <w:pPr>
        <w:spacing w:line="480" w:lineRule="auto"/>
        <w:jc w:val="both"/>
        <w:rPr>
          <w:rFonts w:ascii="Times New Roman" w:hAnsi="Times New Roman" w:cs="Times New Roman"/>
          <w:b/>
          <w:bCs/>
          <w:sz w:val="24"/>
          <w:szCs w:val="24"/>
        </w:rPr>
      </w:pPr>
      <w:r w:rsidRPr="004A3258">
        <w:rPr>
          <w:rFonts w:ascii="Times New Roman" w:hAnsi="Times New Roman" w:cs="Times New Roman"/>
          <w:b/>
          <w:bCs/>
          <w:sz w:val="24"/>
          <w:szCs w:val="24"/>
        </w:rPr>
        <w:t>4. Targeted Modulation with Prebiotics and Phages:</w:t>
      </w:r>
    </w:p>
    <w:p w14:paraId="58525DCA" w14:textId="49F20E83" w:rsidR="00AB4475" w:rsidRDefault="00AB4475" w:rsidP="00AB4475">
      <w:pPr>
        <w:spacing w:line="480" w:lineRule="auto"/>
        <w:jc w:val="both"/>
        <w:rPr>
          <w:rFonts w:ascii="Times New Roman" w:hAnsi="Times New Roman" w:cs="Times New Roman"/>
          <w:sz w:val="24"/>
          <w:szCs w:val="24"/>
        </w:rPr>
      </w:pPr>
      <w:r w:rsidRPr="00AB4475">
        <w:rPr>
          <w:rFonts w:ascii="Times New Roman" w:hAnsi="Times New Roman" w:cs="Times New Roman"/>
          <w:sz w:val="24"/>
          <w:szCs w:val="24"/>
        </w:rPr>
        <w:t>Instead of administering a molecule or a bacterium, an alternative strategy is to precisely modulate the existing microbiome to enhance the growth of beneficial, metabolite-producing taxa. This can be achieved through next-generation prebiotics (complex carbohydrates designed for specific taxa) or bacteriophage therapy to selectively deplete pathobionts, thereby allowing beneficial taxa to flourish and restore a healthy ecosystem.</w:t>
      </w:r>
    </w:p>
    <w:p w14:paraId="153D1465" w14:textId="0409BC14" w:rsidR="004A3258" w:rsidRPr="004A3258" w:rsidRDefault="004A3258" w:rsidP="004A3258">
      <w:pPr>
        <w:spacing w:line="480" w:lineRule="auto"/>
        <w:jc w:val="both"/>
        <w:rPr>
          <w:rFonts w:ascii="Times New Roman" w:hAnsi="Times New Roman" w:cs="Times New Roman"/>
          <w:sz w:val="24"/>
          <w:szCs w:val="24"/>
        </w:rPr>
      </w:pPr>
      <w:r w:rsidRPr="004A3258">
        <w:rPr>
          <w:rFonts w:ascii="Times New Roman" w:hAnsi="Times New Roman" w:cs="Times New Roman"/>
          <w:sz w:val="24"/>
          <w:szCs w:val="24"/>
        </w:rPr>
        <w:t>The human microbiome represents a paradigm shift in our understanding of human biology and a frontier of unprecedented opportunity for therapeutic discovery. This review has articulated the compelling case for harnessing the metabolic output of our microbial inhabitants</w:t>
      </w:r>
      <w:r>
        <w:rPr>
          <w:rFonts w:ascii="Times New Roman" w:hAnsi="Times New Roman" w:cs="Times New Roman"/>
          <w:sz w:val="24"/>
          <w:szCs w:val="24"/>
        </w:rPr>
        <w:t xml:space="preserve"> </w:t>
      </w:r>
      <w:r w:rsidRPr="004A3258">
        <w:rPr>
          <w:rFonts w:ascii="Times New Roman" w:hAnsi="Times New Roman" w:cs="Times New Roman"/>
          <w:sz w:val="24"/>
          <w:szCs w:val="24"/>
        </w:rPr>
        <w:t>a vast, evolutionarily refined pharmacopoeia of small molecules that directly modulate host physiology. We have outlined a systematic pipeline for mining this resource, moving from multi-omics correlations to functional validation and mechanistic characterization, which has already yielded groundbreaking insights.</w:t>
      </w:r>
    </w:p>
    <w:p w14:paraId="48955F4F" w14:textId="653F92D2" w:rsidR="004A3258" w:rsidRPr="004A3258" w:rsidRDefault="004A3258" w:rsidP="004A3258">
      <w:pPr>
        <w:spacing w:line="480" w:lineRule="auto"/>
        <w:jc w:val="both"/>
        <w:rPr>
          <w:rFonts w:ascii="Times New Roman" w:hAnsi="Times New Roman" w:cs="Times New Roman"/>
          <w:sz w:val="24"/>
          <w:szCs w:val="24"/>
        </w:rPr>
      </w:pPr>
      <w:r w:rsidRPr="004A3258">
        <w:rPr>
          <w:rFonts w:ascii="Times New Roman" w:hAnsi="Times New Roman" w:cs="Times New Roman"/>
          <w:sz w:val="24"/>
          <w:szCs w:val="24"/>
        </w:rPr>
        <w:t>The key classes of bacterially-derived metabolites</w:t>
      </w:r>
      <w:r>
        <w:rPr>
          <w:rFonts w:ascii="Times New Roman" w:hAnsi="Times New Roman" w:cs="Times New Roman"/>
          <w:sz w:val="24"/>
          <w:szCs w:val="24"/>
        </w:rPr>
        <w:t xml:space="preserve"> </w:t>
      </w:r>
      <w:r w:rsidRPr="004A3258">
        <w:rPr>
          <w:rFonts w:ascii="Times New Roman" w:hAnsi="Times New Roman" w:cs="Times New Roman"/>
          <w:sz w:val="24"/>
          <w:szCs w:val="24"/>
        </w:rPr>
        <w:t>including short-chain fatty acids, tryptophan derivatives, bile acids, and neuroactive compounds</w:t>
      </w:r>
      <w:r>
        <w:rPr>
          <w:rFonts w:ascii="Times New Roman" w:hAnsi="Times New Roman" w:cs="Times New Roman"/>
          <w:sz w:val="24"/>
          <w:szCs w:val="24"/>
        </w:rPr>
        <w:t xml:space="preserve"> </w:t>
      </w:r>
      <w:r w:rsidRPr="004A3258">
        <w:rPr>
          <w:rFonts w:ascii="Times New Roman" w:hAnsi="Times New Roman" w:cs="Times New Roman"/>
          <w:sz w:val="24"/>
          <w:szCs w:val="24"/>
        </w:rPr>
        <w:t xml:space="preserve">demonstrate that the microbiome functions as </w:t>
      </w:r>
      <w:r w:rsidRPr="004A3258">
        <w:rPr>
          <w:rFonts w:ascii="Times New Roman" w:hAnsi="Times New Roman" w:cs="Times New Roman"/>
          <w:sz w:val="24"/>
          <w:szCs w:val="24"/>
        </w:rPr>
        <w:lastRenderedPageBreak/>
        <w:t>a virtual endocrine organ, influencing systemic metabolism, immunity, and even cognitive function through well-defined molecular targets like GPCRs, nuclear receptors, and epigenetic enzymes. However, the path from discovery to clinic is not without significant challenges. The inherent complexity of the ecosystem, marked by inter-individual variability, strain-specific effects, and context-dependent bioactivity, demands a sophisticated approach that moves beyond one-size-fits-all solutions.</w:t>
      </w:r>
    </w:p>
    <w:p w14:paraId="411198E9" w14:textId="38F76C7E" w:rsidR="004A3258" w:rsidRDefault="004A3258" w:rsidP="004A3258">
      <w:pPr>
        <w:spacing w:line="480" w:lineRule="auto"/>
        <w:jc w:val="both"/>
        <w:rPr>
          <w:rFonts w:ascii="Times New Roman" w:hAnsi="Times New Roman" w:cs="Times New Roman"/>
          <w:sz w:val="24"/>
          <w:szCs w:val="24"/>
        </w:rPr>
      </w:pPr>
      <w:r w:rsidRPr="004A3258">
        <w:rPr>
          <w:rFonts w:ascii="Times New Roman" w:hAnsi="Times New Roman" w:cs="Times New Roman"/>
          <w:sz w:val="24"/>
          <w:szCs w:val="24"/>
        </w:rPr>
        <w:t>The future of microbiome-based drug discovery lies in embracing this complexity. Emerging strategies</w:t>
      </w:r>
      <w:r>
        <w:rPr>
          <w:rFonts w:ascii="Times New Roman" w:hAnsi="Times New Roman" w:cs="Times New Roman"/>
          <w:sz w:val="24"/>
          <w:szCs w:val="24"/>
        </w:rPr>
        <w:t xml:space="preserve"> </w:t>
      </w:r>
      <w:r w:rsidRPr="004A3258">
        <w:rPr>
          <w:rFonts w:ascii="Times New Roman" w:hAnsi="Times New Roman" w:cs="Times New Roman"/>
          <w:sz w:val="24"/>
          <w:szCs w:val="24"/>
        </w:rPr>
        <w:t>such as advanced culturomics, synthetic biology for engineered live biotherapeutics, and AI-driven analysis of multi-omics datasets</w:t>
      </w:r>
      <w:r>
        <w:rPr>
          <w:rFonts w:ascii="Times New Roman" w:hAnsi="Times New Roman" w:cs="Times New Roman"/>
          <w:sz w:val="24"/>
          <w:szCs w:val="24"/>
        </w:rPr>
        <w:t xml:space="preserve"> </w:t>
      </w:r>
      <w:r w:rsidRPr="004A3258">
        <w:rPr>
          <w:rFonts w:ascii="Times New Roman" w:hAnsi="Times New Roman" w:cs="Times New Roman"/>
          <w:sz w:val="24"/>
          <w:szCs w:val="24"/>
        </w:rPr>
        <w:t>provide the tools to overcome these hurdles. The goal is evolving from simply altering microbial composition to intelligently manipulating its chemical dialogue with the host. This may involve administering purified postbiotics, consortia of beneficial strains, or engineered microbes that produce therapeutics in situ in a regulated manner.</w:t>
      </w:r>
    </w:p>
    <w:p w14:paraId="79FDAF9E" w14:textId="41F51514" w:rsidR="002D4DDE" w:rsidRPr="004A3258" w:rsidRDefault="002D4DDE" w:rsidP="004A3258">
      <w:pPr>
        <w:spacing w:line="480" w:lineRule="auto"/>
        <w:jc w:val="both"/>
        <w:rPr>
          <w:rFonts w:ascii="Times New Roman" w:hAnsi="Times New Roman" w:cs="Times New Roman"/>
          <w:sz w:val="24"/>
          <w:szCs w:val="24"/>
        </w:rPr>
      </w:pPr>
      <w:r w:rsidRPr="004A3258">
        <w:rPr>
          <w:rFonts w:ascii="Times New Roman" w:hAnsi="Times New Roman" w:cs="Times New Roman"/>
          <w:sz w:val="24"/>
          <w:szCs w:val="24"/>
        </w:rPr>
        <w:t>Conclusion</w:t>
      </w:r>
    </w:p>
    <w:p w14:paraId="662384D7" w14:textId="5B23FD88" w:rsidR="004A3258" w:rsidRPr="00294E2A" w:rsidRDefault="004A3258" w:rsidP="004A3258">
      <w:pPr>
        <w:spacing w:line="480" w:lineRule="auto"/>
        <w:jc w:val="both"/>
        <w:rPr>
          <w:rFonts w:ascii="Times New Roman" w:hAnsi="Times New Roman" w:cs="Times New Roman"/>
          <w:sz w:val="24"/>
          <w:szCs w:val="24"/>
        </w:rPr>
      </w:pPr>
      <w:r w:rsidRPr="004A3258">
        <w:rPr>
          <w:rFonts w:ascii="Times New Roman" w:hAnsi="Times New Roman" w:cs="Times New Roman"/>
          <w:sz w:val="24"/>
          <w:szCs w:val="24"/>
        </w:rPr>
        <w:t>In conclusion, the exploration of the human microbiome is transitioning from a descriptive to a functional and therapeutic discipline. By deciphering the chemical language of our microbial selves, we are poised to develop a new generation of targeted, effective, and personalized medicines. The greatest promise may lie not in a single magic bullet, but in therapies that restore the healthy, resilient ecological balance of the superorganism we call the human body, ultimately leading to novel treatments for a wide spectrum of chronic diseases.</w:t>
      </w:r>
    </w:p>
    <w:p w14:paraId="6AF12550" w14:textId="77777777" w:rsidR="006A1641" w:rsidRDefault="006A1641" w:rsidP="00774CB9">
      <w:pPr>
        <w:spacing w:line="480" w:lineRule="auto"/>
        <w:jc w:val="both"/>
        <w:rPr>
          <w:rFonts w:ascii="Times New Roman" w:hAnsi="Times New Roman" w:cs="Times New Roman"/>
          <w:sz w:val="24"/>
          <w:szCs w:val="24"/>
        </w:rPr>
      </w:pPr>
    </w:p>
    <w:p w14:paraId="3FE4E08B" w14:textId="77777777" w:rsidR="006A1641" w:rsidRDefault="006A1641" w:rsidP="00774CB9">
      <w:pPr>
        <w:spacing w:line="480" w:lineRule="auto"/>
        <w:jc w:val="both"/>
        <w:rPr>
          <w:rFonts w:ascii="Times New Roman" w:hAnsi="Times New Roman" w:cs="Times New Roman"/>
          <w:sz w:val="24"/>
          <w:szCs w:val="24"/>
        </w:rPr>
      </w:pPr>
    </w:p>
    <w:p w14:paraId="2C95CF68" w14:textId="77777777" w:rsidR="00695990" w:rsidRDefault="00695990" w:rsidP="00774CB9">
      <w:pPr>
        <w:spacing w:line="480" w:lineRule="auto"/>
        <w:jc w:val="both"/>
        <w:rPr>
          <w:rFonts w:ascii="Times New Roman" w:hAnsi="Times New Roman" w:cs="Times New Roman"/>
          <w:sz w:val="24"/>
          <w:szCs w:val="24"/>
        </w:rPr>
      </w:pPr>
    </w:p>
    <w:p w14:paraId="346EF899" w14:textId="77777777" w:rsidR="00695990" w:rsidRDefault="00695990" w:rsidP="00774CB9">
      <w:pPr>
        <w:spacing w:line="480" w:lineRule="auto"/>
        <w:jc w:val="both"/>
        <w:rPr>
          <w:rFonts w:ascii="Times New Roman" w:hAnsi="Times New Roman" w:cs="Times New Roman"/>
          <w:sz w:val="24"/>
          <w:szCs w:val="24"/>
        </w:rPr>
      </w:pPr>
    </w:p>
    <w:p w14:paraId="2901AB80" w14:textId="0A428181" w:rsidR="00774CB9" w:rsidRPr="0073316C" w:rsidRDefault="00774CB9" w:rsidP="00774CB9">
      <w:pPr>
        <w:spacing w:line="480" w:lineRule="auto"/>
        <w:jc w:val="both"/>
        <w:rPr>
          <w:rFonts w:ascii="Times New Roman" w:hAnsi="Times New Roman" w:cs="Times New Roman"/>
          <w:b/>
          <w:bCs/>
          <w:sz w:val="24"/>
          <w:szCs w:val="24"/>
        </w:rPr>
      </w:pPr>
      <w:r w:rsidRPr="0073316C">
        <w:rPr>
          <w:rFonts w:ascii="Times New Roman" w:hAnsi="Times New Roman" w:cs="Times New Roman"/>
          <w:b/>
          <w:bCs/>
          <w:sz w:val="24"/>
          <w:szCs w:val="24"/>
        </w:rPr>
        <w:t>References</w:t>
      </w:r>
    </w:p>
    <w:p w14:paraId="29F85E36" w14:textId="77777777" w:rsidR="006A1641" w:rsidRDefault="006A1641" w:rsidP="00774CB9">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Chiang, John YL, and Jessica M. Ferrell</w:t>
      </w:r>
      <w:r>
        <w:rPr>
          <w:rFonts w:ascii="Times New Roman" w:hAnsi="Times New Roman" w:cs="Times New Roman"/>
          <w:sz w:val="24"/>
          <w:szCs w:val="24"/>
        </w:rPr>
        <w:t xml:space="preserve"> </w:t>
      </w:r>
      <w:r w:rsidRPr="00294E2A">
        <w:rPr>
          <w:rFonts w:ascii="Times New Roman" w:hAnsi="Times New Roman" w:cs="Times New Roman"/>
          <w:sz w:val="24"/>
          <w:szCs w:val="24"/>
        </w:rPr>
        <w:t xml:space="preserve">(2018). "Bile acid metabolism in liver pathobiology." Gene expression 18.2 </w:t>
      </w:r>
      <w:r>
        <w:rPr>
          <w:rFonts w:ascii="Times New Roman" w:hAnsi="Times New Roman" w:cs="Times New Roman"/>
          <w:sz w:val="24"/>
          <w:szCs w:val="24"/>
        </w:rPr>
        <w:t>:</w:t>
      </w:r>
      <w:r w:rsidRPr="00294E2A">
        <w:rPr>
          <w:rFonts w:ascii="Times New Roman" w:hAnsi="Times New Roman" w:cs="Times New Roman"/>
          <w:sz w:val="24"/>
          <w:szCs w:val="24"/>
        </w:rPr>
        <w:t>71.</w:t>
      </w:r>
    </w:p>
    <w:p w14:paraId="3842FE95" w14:textId="77777777" w:rsidR="006A1641" w:rsidRDefault="006A1641" w:rsidP="00774CB9">
      <w:pPr>
        <w:spacing w:line="480" w:lineRule="auto"/>
        <w:jc w:val="both"/>
        <w:rPr>
          <w:rFonts w:ascii="Times New Roman" w:hAnsi="Times New Roman" w:cs="Times New Roman"/>
          <w:sz w:val="24"/>
          <w:szCs w:val="24"/>
        </w:rPr>
      </w:pPr>
      <w:r w:rsidRPr="00856335">
        <w:rPr>
          <w:rFonts w:ascii="Times New Roman" w:hAnsi="Times New Roman" w:cs="Times New Roman"/>
          <w:sz w:val="24"/>
          <w:szCs w:val="24"/>
        </w:rPr>
        <w:t>Chunarkar-Patil, P., Kaleem, M., Mishra, R., Ray, S., Ahmad, A., Verma, D., ... &amp; Kumar, S. (2024). Anticancer drug discovery based on natural products: from computational approaches to clinical studies. Biomedicines, 12(1), 201.</w:t>
      </w:r>
    </w:p>
    <w:p w14:paraId="7D2D601C" w14:textId="77777777" w:rsidR="006A1641" w:rsidRDefault="006A1641" w:rsidP="00774CB9">
      <w:pPr>
        <w:spacing w:line="480" w:lineRule="auto"/>
        <w:jc w:val="both"/>
        <w:rPr>
          <w:rFonts w:ascii="Times New Roman" w:hAnsi="Times New Roman" w:cs="Times New Roman"/>
          <w:sz w:val="24"/>
          <w:szCs w:val="24"/>
        </w:rPr>
      </w:pPr>
      <w:r w:rsidRPr="00C148F7">
        <w:rPr>
          <w:rFonts w:ascii="Times New Roman" w:hAnsi="Times New Roman" w:cs="Times New Roman"/>
          <w:sz w:val="24"/>
          <w:szCs w:val="24"/>
        </w:rPr>
        <w:t xml:space="preserve">Dodd, D., Spitzer, M. H., Van </w:t>
      </w:r>
      <w:proofErr w:type="spellStart"/>
      <w:r w:rsidRPr="00C148F7">
        <w:rPr>
          <w:rFonts w:ascii="Times New Roman" w:hAnsi="Times New Roman" w:cs="Times New Roman"/>
          <w:sz w:val="24"/>
          <w:szCs w:val="24"/>
        </w:rPr>
        <w:t>Treuren</w:t>
      </w:r>
      <w:proofErr w:type="spellEnd"/>
      <w:r w:rsidRPr="00C148F7">
        <w:rPr>
          <w:rFonts w:ascii="Times New Roman" w:hAnsi="Times New Roman" w:cs="Times New Roman"/>
          <w:sz w:val="24"/>
          <w:szCs w:val="24"/>
        </w:rPr>
        <w:t xml:space="preserve">, W., Merrill, B. D., </w:t>
      </w:r>
      <w:proofErr w:type="spellStart"/>
      <w:r w:rsidRPr="00C148F7">
        <w:rPr>
          <w:rFonts w:ascii="Times New Roman" w:hAnsi="Times New Roman" w:cs="Times New Roman"/>
          <w:sz w:val="24"/>
          <w:szCs w:val="24"/>
        </w:rPr>
        <w:t>Hryckowian</w:t>
      </w:r>
      <w:proofErr w:type="spellEnd"/>
      <w:r w:rsidRPr="00C148F7">
        <w:rPr>
          <w:rFonts w:ascii="Times New Roman" w:hAnsi="Times New Roman" w:cs="Times New Roman"/>
          <w:sz w:val="24"/>
          <w:szCs w:val="24"/>
        </w:rPr>
        <w:t>, A. J., Higginbottom, S. K., ... &amp; Sonnenburg, J. L. (2017). A gut bacterial pathway metabolizes aromatic amino acids into nine circulating metabolites. Nature, 551(7682), 648-652.</w:t>
      </w:r>
    </w:p>
    <w:p w14:paraId="50CD0509" w14:textId="77777777" w:rsidR="006A1641" w:rsidRDefault="006A1641" w:rsidP="00774CB9">
      <w:pPr>
        <w:spacing w:line="480" w:lineRule="auto"/>
        <w:jc w:val="both"/>
        <w:rPr>
          <w:rFonts w:ascii="Times New Roman" w:hAnsi="Times New Roman" w:cs="Times New Roman"/>
          <w:sz w:val="24"/>
          <w:szCs w:val="24"/>
        </w:rPr>
      </w:pPr>
      <w:r w:rsidRPr="00C148F7">
        <w:rPr>
          <w:rFonts w:ascii="Times New Roman" w:hAnsi="Times New Roman" w:cs="Times New Roman"/>
          <w:sz w:val="24"/>
          <w:szCs w:val="24"/>
        </w:rPr>
        <w:t xml:space="preserve">Fellows, R., </w:t>
      </w:r>
      <w:proofErr w:type="spellStart"/>
      <w:r w:rsidRPr="00C148F7">
        <w:rPr>
          <w:rFonts w:ascii="Times New Roman" w:hAnsi="Times New Roman" w:cs="Times New Roman"/>
          <w:sz w:val="24"/>
          <w:szCs w:val="24"/>
        </w:rPr>
        <w:t>Denizot</w:t>
      </w:r>
      <w:proofErr w:type="spellEnd"/>
      <w:r w:rsidRPr="00C148F7">
        <w:rPr>
          <w:rFonts w:ascii="Times New Roman" w:hAnsi="Times New Roman" w:cs="Times New Roman"/>
          <w:sz w:val="24"/>
          <w:szCs w:val="24"/>
        </w:rPr>
        <w:t>, J., Stellato, C., Cuomo, A., Jain, P., Stoyanova, E., ... &amp; Varga-Weisz, P. (2018). Microbiota derived short chain fatty acids promote histone crotonylation in the colon through histone deacetylases. Nature communications, 9(1), 105.</w:t>
      </w:r>
    </w:p>
    <w:p w14:paraId="644715A4" w14:textId="77777777" w:rsidR="006A1641" w:rsidRDefault="006A1641" w:rsidP="00774CB9">
      <w:pPr>
        <w:spacing w:line="480" w:lineRule="auto"/>
        <w:jc w:val="both"/>
        <w:rPr>
          <w:rFonts w:ascii="Times New Roman" w:hAnsi="Times New Roman" w:cs="Times New Roman"/>
          <w:sz w:val="24"/>
          <w:szCs w:val="24"/>
        </w:rPr>
      </w:pPr>
      <w:r w:rsidRPr="00423C8F">
        <w:rPr>
          <w:rFonts w:ascii="Times New Roman" w:hAnsi="Times New Roman" w:cs="Times New Roman"/>
          <w:sz w:val="24"/>
          <w:szCs w:val="24"/>
        </w:rPr>
        <w:t>Ferris, Z. E. (2023). Bacterially Derived Secondary Metabolites and Their Impact on Inflammation and Cancer (Doctoral dissertation, University of South Carolina).</w:t>
      </w:r>
    </w:p>
    <w:p w14:paraId="16161996" w14:textId="77777777" w:rsidR="006A1641" w:rsidRDefault="006A1641" w:rsidP="00774CB9">
      <w:pPr>
        <w:spacing w:line="480" w:lineRule="auto"/>
        <w:jc w:val="both"/>
        <w:rPr>
          <w:rFonts w:ascii="Times New Roman" w:hAnsi="Times New Roman" w:cs="Times New Roman"/>
          <w:sz w:val="24"/>
          <w:szCs w:val="24"/>
        </w:rPr>
      </w:pPr>
      <w:r w:rsidRPr="00C148F7">
        <w:rPr>
          <w:rFonts w:ascii="Times New Roman" w:hAnsi="Times New Roman" w:cs="Times New Roman"/>
          <w:sz w:val="24"/>
          <w:szCs w:val="24"/>
        </w:rPr>
        <w:t xml:space="preserve">Fock, E., &amp; </w:t>
      </w:r>
      <w:proofErr w:type="spellStart"/>
      <w:r w:rsidRPr="00C148F7">
        <w:rPr>
          <w:rFonts w:ascii="Times New Roman" w:hAnsi="Times New Roman" w:cs="Times New Roman"/>
          <w:sz w:val="24"/>
          <w:szCs w:val="24"/>
        </w:rPr>
        <w:t>Parnova</w:t>
      </w:r>
      <w:proofErr w:type="spellEnd"/>
      <w:r w:rsidRPr="00C148F7">
        <w:rPr>
          <w:rFonts w:ascii="Times New Roman" w:hAnsi="Times New Roman" w:cs="Times New Roman"/>
          <w:sz w:val="24"/>
          <w:szCs w:val="24"/>
        </w:rPr>
        <w:t>, R. (2023). Mechanisms of blood–brain barrier protection by microbiota-derived short-chain fatty acids. Cells, 12(4), 657.</w:t>
      </w:r>
    </w:p>
    <w:p w14:paraId="68E03D45" w14:textId="77777777" w:rsidR="006A1641" w:rsidRPr="00294E2A" w:rsidRDefault="006A1641" w:rsidP="00774CB9">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Gilbert, J. A., Blaser, M. J., Caporaso, J. G., Jansson, J. K., Lynch, S. V., &amp; Knight, R. (2018). Current understanding of the human microbiome. Nature medicine, 24(4), 392-400.</w:t>
      </w:r>
    </w:p>
    <w:p w14:paraId="7D9B7F97" w14:textId="77777777" w:rsidR="006A1641" w:rsidRDefault="006A1641" w:rsidP="00774CB9">
      <w:pPr>
        <w:spacing w:line="480" w:lineRule="auto"/>
        <w:jc w:val="both"/>
        <w:rPr>
          <w:rFonts w:ascii="Times New Roman" w:hAnsi="Times New Roman" w:cs="Times New Roman"/>
          <w:sz w:val="24"/>
          <w:szCs w:val="24"/>
        </w:rPr>
      </w:pPr>
      <w:r w:rsidRPr="00C148F7">
        <w:rPr>
          <w:rFonts w:ascii="Times New Roman" w:hAnsi="Times New Roman" w:cs="Times New Roman"/>
          <w:sz w:val="24"/>
          <w:szCs w:val="24"/>
        </w:rPr>
        <w:t>Grant, E. T., De Franco, H., &amp; Desai, M. S. (2025). Non-SCFA microbial metabolites associated with fiber fermentation and host health. Trends in Endocrinology &amp; Metabolism, 36(1), 70-82.</w:t>
      </w:r>
    </w:p>
    <w:p w14:paraId="517AC9E7" w14:textId="77777777" w:rsidR="006A1641" w:rsidRPr="00294E2A" w:rsidRDefault="006A1641" w:rsidP="00774CB9">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lastRenderedPageBreak/>
        <w:t>Iliev, I. D., Ananthakrishnan, A. N., &amp; Guo, C. J. (2025). Microbiota in inflammatory bowel disease: mechanisms of disease and therapeutic opportunities. Nature Reviews Microbiology, 1-16.</w:t>
      </w:r>
    </w:p>
    <w:p w14:paraId="6EA07B1B" w14:textId="77777777" w:rsidR="006A1641" w:rsidRPr="00294E2A" w:rsidRDefault="006A1641" w:rsidP="00774CB9">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 xml:space="preserve">Kim, H., Nelson, P., </w:t>
      </w:r>
      <w:proofErr w:type="spellStart"/>
      <w:r w:rsidRPr="00294E2A">
        <w:rPr>
          <w:rFonts w:ascii="Times New Roman" w:hAnsi="Times New Roman" w:cs="Times New Roman"/>
          <w:sz w:val="24"/>
          <w:szCs w:val="24"/>
        </w:rPr>
        <w:t>Nzabarushimana</w:t>
      </w:r>
      <w:proofErr w:type="spellEnd"/>
      <w:r w:rsidRPr="00294E2A">
        <w:rPr>
          <w:rFonts w:ascii="Times New Roman" w:hAnsi="Times New Roman" w:cs="Times New Roman"/>
          <w:sz w:val="24"/>
          <w:szCs w:val="24"/>
        </w:rPr>
        <w:t>, E., Shen, J., Jensen, J., Bhosle, A., ... &amp; Nguyen, L. H. (2025). Multi-</w:t>
      </w:r>
      <w:proofErr w:type="spellStart"/>
      <w:r w:rsidRPr="00294E2A">
        <w:rPr>
          <w:rFonts w:ascii="Times New Roman" w:hAnsi="Times New Roman" w:cs="Times New Roman"/>
          <w:sz w:val="24"/>
          <w:szCs w:val="24"/>
        </w:rPr>
        <w:t>omic</w:t>
      </w:r>
      <w:proofErr w:type="spellEnd"/>
      <w:r w:rsidRPr="00294E2A">
        <w:rPr>
          <w:rFonts w:ascii="Times New Roman" w:hAnsi="Times New Roman" w:cs="Times New Roman"/>
          <w:sz w:val="24"/>
          <w:szCs w:val="24"/>
        </w:rPr>
        <w:t xml:space="preserve"> analysis reveals </w:t>
      </w:r>
      <w:proofErr w:type="spellStart"/>
      <w:r w:rsidRPr="00294E2A">
        <w:rPr>
          <w:rFonts w:ascii="Times New Roman" w:hAnsi="Times New Roman" w:cs="Times New Roman"/>
          <w:sz w:val="24"/>
          <w:szCs w:val="24"/>
        </w:rPr>
        <w:t>transkingdom</w:t>
      </w:r>
      <w:proofErr w:type="spellEnd"/>
      <w:r w:rsidRPr="00294E2A">
        <w:rPr>
          <w:rFonts w:ascii="Times New Roman" w:hAnsi="Times New Roman" w:cs="Times New Roman"/>
          <w:sz w:val="24"/>
          <w:szCs w:val="24"/>
        </w:rPr>
        <w:t xml:space="preserve"> gut dysbiosis in metabolic dysfunction-associated </w:t>
      </w:r>
      <w:proofErr w:type="spellStart"/>
      <w:r w:rsidRPr="00294E2A">
        <w:rPr>
          <w:rFonts w:ascii="Times New Roman" w:hAnsi="Times New Roman" w:cs="Times New Roman"/>
          <w:sz w:val="24"/>
          <w:szCs w:val="24"/>
        </w:rPr>
        <w:t>steatotic</w:t>
      </w:r>
      <w:proofErr w:type="spellEnd"/>
      <w:r w:rsidRPr="00294E2A">
        <w:rPr>
          <w:rFonts w:ascii="Times New Roman" w:hAnsi="Times New Roman" w:cs="Times New Roman"/>
          <w:sz w:val="24"/>
          <w:szCs w:val="24"/>
        </w:rPr>
        <w:t xml:space="preserve"> liver disease. Nature Metabolism, 1-17.</w:t>
      </w:r>
    </w:p>
    <w:p w14:paraId="1D9FB2FF" w14:textId="77777777" w:rsidR="006A1641" w:rsidRPr="00294E2A" w:rsidRDefault="006A1641" w:rsidP="00774CB9">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 xml:space="preserve">Krautkramer, K. A., Fan, J., &amp; </w:t>
      </w:r>
      <w:proofErr w:type="spellStart"/>
      <w:r w:rsidRPr="00294E2A">
        <w:rPr>
          <w:rFonts w:ascii="Times New Roman" w:hAnsi="Times New Roman" w:cs="Times New Roman"/>
          <w:sz w:val="24"/>
          <w:szCs w:val="24"/>
        </w:rPr>
        <w:t>Bäckhed</w:t>
      </w:r>
      <w:proofErr w:type="spellEnd"/>
      <w:r w:rsidRPr="00294E2A">
        <w:rPr>
          <w:rFonts w:ascii="Times New Roman" w:hAnsi="Times New Roman" w:cs="Times New Roman"/>
          <w:sz w:val="24"/>
          <w:szCs w:val="24"/>
        </w:rPr>
        <w:t>, F. (2021). Gut microbial metabolites as multi-kingdom intermediates. Nature Reviews Microbiology, 19(2), 77-94.</w:t>
      </w:r>
    </w:p>
    <w:p w14:paraId="12A2A19A" w14:textId="77777777" w:rsidR="006A1641" w:rsidRDefault="006A1641" w:rsidP="00774CB9">
      <w:pPr>
        <w:spacing w:line="480" w:lineRule="auto"/>
        <w:jc w:val="both"/>
        <w:rPr>
          <w:rFonts w:ascii="Times New Roman" w:hAnsi="Times New Roman" w:cs="Times New Roman"/>
          <w:sz w:val="24"/>
          <w:szCs w:val="24"/>
        </w:rPr>
      </w:pPr>
      <w:r w:rsidRPr="004A3258">
        <w:rPr>
          <w:rFonts w:ascii="Times New Roman" w:hAnsi="Times New Roman" w:cs="Times New Roman"/>
          <w:sz w:val="24"/>
          <w:szCs w:val="24"/>
        </w:rPr>
        <w:t xml:space="preserve">Lagier, J. C., </w:t>
      </w:r>
      <w:proofErr w:type="spellStart"/>
      <w:r w:rsidRPr="004A3258">
        <w:rPr>
          <w:rFonts w:ascii="Times New Roman" w:hAnsi="Times New Roman" w:cs="Times New Roman"/>
          <w:sz w:val="24"/>
          <w:szCs w:val="24"/>
        </w:rPr>
        <w:t>Khelaifia</w:t>
      </w:r>
      <w:proofErr w:type="spellEnd"/>
      <w:r w:rsidRPr="004A3258">
        <w:rPr>
          <w:rFonts w:ascii="Times New Roman" w:hAnsi="Times New Roman" w:cs="Times New Roman"/>
          <w:sz w:val="24"/>
          <w:szCs w:val="24"/>
        </w:rPr>
        <w:t>, S., Alou, M. T., Ndongo, S., Dione, N., Hugon, P., ... &amp; Raoult, D. (2016). Culture of previously uncultured members of the human gut microbiota by culturomics. Nature microbiology, 1(12).</w:t>
      </w:r>
    </w:p>
    <w:p w14:paraId="041E56EF" w14:textId="77777777" w:rsidR="006A1641" w:rsidRPr="00294E2A" w:rsidRDefault="006A1641" w:rsidP="00774CB9">
      <w:pPr>
        <w:spacing w:line="480" w:lineRule="auto"/>
        <w:jc w:val="both"/>
        <w:rPr>
          <w:rFonts w:ascii="Times New Roman" w:hAnsi="Times New Roman" w:cs="Times New Roman"/>
          <w:sz w:val="24"/>
          <w:szCs w:val="24"/>
        </w:rPr>
      </w:pPr>
      <w:r w:rsidRPr="004A3258">
        <w:rPr>
          <w:rFonts w:ascii="Times New Roman" w:hAnsi="Times New Roman" w:cs="Times New Roman"/>
          <w:sz w:val="24"/>
          <w:szCs w:val="24"/>
        </w:rPr>
        <w:t>Li, P., Luo, H., Ji, B., &amp; Nielsen, J. (2022). Machine learning for data integration in human gut microbiome. Microbial Cell Factories, 21(1), 241.</w:t>
      </w:r>
    </w:p>
    <w:p w14:paraId="1AF9B4F7" w14:textId="77777777" w:rsidR="006A1641" w:rsidRDefault="006A1641" w:rsidP="00774CB9">
      <w:pPr>
        <w:spacing w:line="480" w:lineRule="auto"/>
        <w:jc w:val="both"/>
        <w:rPr>
          <w:rFonts w:ascii="Times New Roman" w:hAnsi="Times New Roman" w:cs="Times New Roman"/>
          <w:sz w:val="24"/>
          <w:szCs w:val="24"/>
        </w:rPr>
      </w:pPr>
      <w:r w:rsidRPr="00856335">
        <w:rPr>
          <w:rFonts w:ascii="Times New Roman" w:hAnsi="Times New Roman" w:cs="Times New Roman"/>
          <w:sz w:val="24"/>
          <w:szCs w:val="24"/>
        </w:rPr>
        <w:t>Ma, X. (2022). Recent advances in mass spectrometry-based structural elucidation techniques. Molecules, 27(19), 6466.</w:t>
      </w:r>
    </w:p>
    <w:p w14:paraId="78A02CA9" w14:textId="77777777" w:rsidR="006A1641" w:rsidRDefault="006A1641" w:rsidP="00774CB9">
      <w:pPr>
        <w:spacing w:line="480" w:lineRule="auto"/>
        <w:jc w:val="both"/>
        <w:rPr>
          <w:rFonts w:ascii="Times New Roman" w:hAnsi="Times New Roman" w:cs="Times New Roman"/>
          <w:sz w:val="24"/>
          <w:szCs w:val="24"/>
        </w:rPr>
      </w:pPr>
      <w:r w:rsidRPr="00856335">
        <w:rPr>
          <w:rFonts w:ascii="Times New Roman" w:hAnsi="Times New Roman" w:cs="Times New Roman"/>
          <w:sz w:val="24"/>
          <w:szCs w:val="24"/>
        </w:rPr>
        <w:t xml:space="preserve">Mani, J., Johnson, J., Hosking, H., Hoyos, B. E., Walsh, K. B., Neilsen, P., &amp; </w:t>
      </w:r>
      <w:proofErr w:type="spellStart"/>
      <w:r w:rsidRPr="00856335">
        <w:rPr>
          <w:rFonts w:ascii="Times New Roman" w:hAnsi="Times New Roman" w:cs="Times New Roman"/>
          <w:sz w:val="24"/>
          <w:szCs w:val="24"/>
        </w:rPr>
        <w:t>Naiker</w:t>
      </w:r>
      <w:proofErr w:type="spellEnd"/>
      <w:r w:rsidRPr="00856335">
        <w:rPr>
          <w:rFonts w:ascii="Times New Roman" w:hAnsi="Times New Roman" w:cs="Times New Roman"/>
          <w:sz w:val="24"/>
          <w:szCs w:val="24"/>
        </w:rPr>
        <w:t>, M. (2022). Bioassay guided fractionation protocol for determining novel active compounds in selected Australian flora. Plants, 11(21), 2886.</w:t>
      </w:r>
    </w:p>
    <w:p w14:paraId="33DE53CB" w14:textId="77777777" w:rsidR="006A1641" w:rsidRPr="00294E2A" w:rsidRDefault="006A1641" w:rsidP="00774CB9">
      <w:pPr>
        <w:spacing w:line="480" w:lineRule="auto"/>
        <w:jc w:val="both"/>
        <w:rPr>
          <w:rFonts w:ascii="Times New Roman" w:hAnsi="Times New Roman" w:cs="Times New Roman"/>
          <w:sz w:val="24"/>
          <w:szCs w:val="24"/>
        </w:rPr>
      </w:pPr>
      <w:proofErr w:type="spellStart"/>
      <w:r w:rsidRPr="00294E2A">
        <w:rPr>
          <w:rFonts w:ascii="Times New Roman" w:hAnsi="Times New Roman" w:cs="Times New Roman"/>
          <w:sz w:val="24"/>
          <w:szCs w:val="24"/>
        </w:rPr>
        <w:t>Mukhopadhya</w:t>
      </w:r>
      <w:proofErr w:type="spellEnd"/>
      <w:r w:rsidRPr="00294E2A">
        <w:rPr>
          <w:rFonts w:ascii="Times New Roman" w:hAnsi="Times New Roman" w:cs="Times New Roman"/>
          <w:sz w:val="24"/>
          <w:szCs w:val="24"/>
        </w:rPr>
        <w:t>, I., &amp; Louis, P. (2025). Gut microbiota-derived short-chain fatty acids and their role in human health and disease. Nature Reviews Microbiology, 1-17.</w:t>
      </w:r>
    </w:p>
    <w:p w14:paraId="73416B15" w14:textId="77777777" w:rsidR="006A1641" w:rsidRDefault="006A1641" w:rsidP="00774CB9">
      <w:pPr>
        <w:spacing w:line="480" w:lineRule="auto"/>
        <w:jc w:val="both"/>
        <w:rPr>
          <w:rFonts w:ascii="Times New Roman" w:hAnsi="Times New Roman" w:cs="Times New Roman"/>
          <w:sz w:val="24"/>
          <w:szCs w:val="24"/>
        </w:rPr>
      </w:pPr>
      <w:r w:rsidRPr="00856335">
        <w:rPr>
          <w:rFonts w:ascii="Times New Roman" w:hAnsi="Times New Roman" w:cs="Times New Roman"/>
          <w:sz w:val="24"/>
          <w:szCs w:val="24"/>
        </w:rPr>
        <w:lastRenderedPageBreak/>
        <w:t xml:space="preserve">Park, Sun-Yang, </w:t>
      </w:r>
      <w:proofErr w:type="spellStart"/>
      <w:r w:rsidRPr="00856335">
        <w:rPr>
          <w:rFonts w:ascii="Times New Roman" w:hAnsi="Times New Roman" w:cs="Times New Roman"/>
          <w:sz w:val="24"/>
          <w:szCs w:val="24"/>
        </w:rPr>
        <w:t>Chitong</w:t>
      </w:r>
      <w:proofErr w:type="spellEnd"/>
      <w:r w:rsidRPr="00856335">
        <w:rPr>
          <w:rFonts w:ascii="Times New Roman" w:hAnsi="Times New Roman" w:cs="Times New Roman"/>
          <w:sz w:val="24"/>
          <w:szCs w:val="24"/>
        </w:rPr>
        <w:t xml:space="preserve"> Rao, Katharine Z. Coyte, Gavin A. </w:t>
      </w:r>
      <w:proofErr w:type="spellStart"/>
      <w:r w:rsidRPr="00856335">
        <w:rPr>
          <w:rFonts w:ascii="Times New Roman" w:hAnsi="Times New Roman" w:cs="Times New Roman"/>
          <w:sz w:val="24"/>
          <w:szCs w:val="24"/>
        </w:rPr>
        <w:t>Kuziel</w:t>
      </w:r>
      <w:proofErr w:type="spellEnd"/>
      <w:r w:rsidRPr="00856335">
        <w:rPr>
          <w:rFonts w:ascii="Times New Roman" w:hAnsi="Times New Roman" w:cs="Times New Roman"/>
          <w:sz w:val="24"/>
          <w:szCs w:val="24"/>
        </w:rPr>
        <w:t xml:space="preserve">, </w:t>
      </w:r>
      <w:proofErr w:type="spellStart"/>
      <w:r w:rsidRPr="00856335">
        <w:rPr>
          <w:rFonts w:ascii="Times New Roman" w:hAnsi="Times New Roman" w:cs="Times New Roman"/>
          <w:sz w:val="24"/>
          <w:szCs w:val="24"/>
        </w:rPr>
        <w:t>Yancong</w:t>
      </w:r>
      <w:proofErr w:type="spellEnd"/>
      <w:r w:rsidRPr="00856335">
        <w:rPr>
          <w:rFonts w:ascii="Times New Roman" w:hAnsi="Times New Roman" w:cs="Times New Roman"/>
          <w:sz w:val="24"/>
          <w:szCs w:val="24"/>
        </w:rPr>
        <w:t xml:space="preserve"> Zhang, </w:t>
      </w:r>
      <w:proofErr w:type="spellStart"/>
      <w:r w:rsidRPr="00856335">
        <w:rPr>
          <w:rFonts w:ascii="Times New Roman" w:hAnsi="Times New Roman" w:cs="Times New Roman"/>
          <w:sz w:val="24"/>
          <w:szCs w:val="24"/>
        </w:rPr>
        <w:t>Wentao</w:t>
      </w:r>
      <w:proofErr w:type="spellEnd"/>
      <w:r w:rsidRPr="00856335">
        <w:rPr>
          <w:rFonts w:ascii="Times New Roman" w:hAnsi="Times New Roman" w:cs="Times New Roman"/>
          <w:sz w:val="24"/>
          <w:szCs w:val="24"/>
        </w:rPr>
        <w:t xml:space="preserve"> Huang, Eric A. </w:t>
      </w:r>
      <w:proofErr w:type="spellStart"/>
      <w:r w:rsidRPr="00856335">
        <w:rPr>
          <w:rFonts w:ascii="Times New Roman" w:hAnsi="Times New Roman" w:cs="Times New Roman"/>
          <w:sz w:val="24"/>
          <w:szCs w:val="24"/>
        </w:rPr>
        <w:t>Franzosa</w:t>
      </w:r>
      <w:proofErr w:type="spellEnd"/>
      <w:r w:rsidRPr="00856335">
        <w:rPr>
          <w:rFonts w:ascii="Times New Roman" w:hAnsi="Times New Roman" w:cs="Times New Roman"/>
          <w:sz w:val="24"/>
          <w:szCs w:val="24"/>
        </w:rPr>
        <w:t>, Jing-</w:t>
      </w:r>
      <w:proofErr w:type="spellStart"/>
      <w:r w:rsidRPr="00856335">
        <w:rPr>
          <w:rFonts w:ascii="Times New Roman" w:hAnsi="Times New Roman" w:cs="Times New Roman"/>
          <w:sz w:val="24"/>
          <w:szCs w:val="24"/>
        </w:rPr>
        <w:t>Ke</w:t>
      </w:r>
      <w:proofErr w:type="spellEnd"/>
      <w:r w:rsidRPr="00856335">
        <w:rPr>
          <w:rFonts w:ascii="Times New Roman" w:hAnsi="Times New Roman" w:cs="Times New Roman"/>
          <w:sz w:val="24"/>
          <w:szCs w:val="24"/>
        </w:rPr>
        <w:t xml:space="preserve"> Weng, Curtis </w:t>
      </w:r>
      <w:proofErr w:type="spellStart"/>
      <w:r w:rsidRPr="00856335">
        <w:rPr>
          <w:rFonts w:ascii="Times New Roman" w:hAnsi="Times New Roman" w:cs="Times New Roman"/>
          <w:sz w:val="24"/>
          <w:szCs w:val="24"/>
        </w:rPr>
        <w:t>Huttenhower</w:t>
      </w:r>
      <w:proofErr w:type="spellEnd"/>
      <w:r w:rsidRPr="00856335">
        <w:rPr>
          <w:rFonts w:ascii="Times New Roman" w:hAnsi="Times New Roman" w:cs="Times New Roman"/>
          <w:sz w:val="24"/>
          <w:szCs w:val="24"/>
        </w:rPr>
        <w:t>, and Seth Rakoff-</w:t>
      </w:r>
      <w:proofErr w:type="spellStart"/>
      <w:proofErr w:type="gramStart"/>
      <w:r w:rsidRPr="00856335">
        <w:rPr>
          <w:rFonts w:ascii="Times New Roman" w:hAnsi="Times New Roman" w:cs="Times New Roman"/>
          <w:sz w:val="24"/>
          <w:szCs w:val="24"/>
        </w:rPr>
        <w:t>Nahoum</w:t>
      </w:r>
      <w:proofErr w:type="spellEnd"/>
      <w:r w:rsidRPr="00856335">
        <w:rPr>
          <w:rFonts w:ascii="Times New Roman" w:hAnsi="Times New Roman" w:cs="Times New Roman"/>
          <w:sz w:val="24"/>
          <w:szCs w:val="24"/>
        </w:rPr>
        <w:t>.(</w:t>
      </w:r>
      <w:proofErr w:type="gramEnd"/>
      <w:r w:rsidRPr="00856335">
        <w:rPr>
          <w:rFonts w:ascii="Times New Roman" w:hAnsi="Times New Roman" w:cs="Times New Roman"/>
          <w:sz w:val="24"/>
          <w:szCs w:val="24"/>
        </w:rPr>
        <w:t>2022):  "Strain-level fitness in the gut microbiome is an emergent property of glycans and a single metabolite." Cell 185, no. 3</w:t>
      </w:r>
      <w:r>
        <w:rPr>
          <w:rFonts w:ascii="Times New Roman" w:hAnsi="Times New Roman" w:cs="Times New Roman"/>
          <w:sz w:val="24"/>
          <w:szCs w:val="24"/>
        </w:rPr>
        <w:t xml:space="preserve">: </w:t>
      </w:r>
      <w:r w:rsidRPr="00856335">
        <w:rPr>
          <w:rFonts w:ascii="Times New Roman" w:hAnsi="Times New Roman" w:cs="Times New Roman"/>
          <w:sz w:val="24"/>
          <w:szCs w:val="24"/>
        </w:rPr>
        <w:t>513-529.</w:t>
      </w:r>
    </w:p>
    <w:p w14:paraId="2FB60AC0" w14:textId="77777777" w:rsidR="006A1641" w:rsidRPr="00294E2A" w:rsidRDefault="006A1641" w:rsidP="00774CB9">
      <w:pPr>
        <w:spacing w:line="480" w:lineRule="auto"/>
        <w:jc w:val="both"/>
        <w:rPr>
          <w:rFonts w:ascii="Times New Roman" w:hAnsi="Times New Roman" w:cs="Times New Roman"/>
          <w:sz w:val="24"/>
          <w:szCs w:val="24"/>
        </w:rPr>
      </w:pPr>
      <w:proofErr w:type="spellStart"/>
      <w:r w:rsidRPr="00294E2A">
        <w:rPr>
          <w:rFonts w:ascii="Times New Roman" w:hAnsi="Times New Roman" w:cs="Times New Roman"/>
          <w:sz w:val="24"/>
          <w:szCs w:val="24"/>
        </w:rPr>
        <w:t>Pateriya</w:t>
      </w:r>
      <w:proofErr w:type="spellEnd"/>
      <w:r w:rsidRPr="00294E2A">
        <w:rPr>
          <w:rFonts w:ascii="Times New Roman" w:hAnsi="Times New Roman" w:cs="Times New Roman"/>
          <w:sz w:val="24"/>
          <w:szCs w:val="24"/>
        </w:rPr>
        <w:t xml:space="preserve">, D., </w:t>
      </w:r>
      <w:proofErr w:type="spellStart"/>
      <w:r w:rsidRPr="00294E2A">
        <w:rPr>
          <w:rFonts w:ascii="Times New Roman" w:hAnsi="Times New Roman" w:cs="Times New Roman"/>
          <w:sz w:val="24"/>
          <w:szCs w:val="24"/>
        </w:rPr>
        <w:t>Prasoodanan</w:t>
      </w:r>
      <w:proofErr w:type="spellEnd"/>
      <w:r w:rsidRPr="00294E2A">
        <w:rPr>
          <w:rFonts w:ascii="Times New Roman" w:hAnsi="Times New Roman" w:cs="Times New Roman"/>
          <w:sz w:val="24"/>
          <w:szCs w:val="24"/>
        </w:rPr>
        <w:t xml:space="preserve"> PK, V., Scaria, J., &amp; Sharma, V. K. (2025). Landscape of flavonoid metabolism in human gut microbiome and its association with health and disease. Gut Microbes Reports, 2(1), 2520788.</w:t>
      </w:r>
    </w:p>
    <w:p w14:paraId="75C746FB" w14:textId="77777777" w:rsidR="006A1641" w:rsidRDefault="006A1641" w:rsidP="00774CB9">
      <w:pPr>
        <w:spacing w:line="480" w:lineRule="auto"/>
        <w:jc w:val="both"/>
        <w:rPr>
          <w:rFonts w:ascii="Times New Roman" w:hAnsi="Times New Roman" w:cs="Times New Roman"/>
          <w:sz w:val="24"/>
          <w:szCs w:val="24"/>
        </w:rPr>
      </w:pPr>
      <w:r w:rsidRPr="004A3258">
        <w:rPr>
          <w:rFonts w:ascii="Times New Roman" w:hAnsi="Times New Roman" w:cs="Times New Roman"/>
          <w:sz w:val="24"/>
          <w:szCs w:val="24"/>
        </w:rPr>
        <w:t>Pires, L., Gonzalez-</w:t>
      </w:r>
      <w:proofErr w:type="spellStart"/>
      <w:r w:rsidRPr="004A3258">
        <w:rPr>
          <w:rFonts w:ascii="Times New Roman" w:hAnsi="Times New Roman" w:cs="Times New Roman"/>
          <w:sz w:val="24"/>
          <w:szCs w:val="24"/>
        </w:rPr>
        <w:t>Paramás</w:t>
      </w:r>
      <w:proofErr w:type="spellEnd"/>
      <w:r w:rsidRPr="004A3258">
        <w:rPr>
          <w:rFonts w:ascii="Times New Roman" w:hAnsi="Times New Roman" w:cs="Times New Roman"/>
          <w:sz w:val="24"/>
          <w:szCs w:val="24"/>
        </w:rPr>
        <w:t xml:space="preserve">, A. M., Heleno, S. A., &amp; </w:t>
      </w:r>
      <w:proofErr w:type="spellStart"/>
      <w:r w:rsidRPr="004A3258">
        <w:rPr>
          <w:rFonts w:ascii="Times New Roman" w:hAnsi="Times New Roman" w:cs="Times New Roman"/>
          <w:sz w:val="24"/>
          <w:szCs w:val="24"/>
        </w:rPr>
        <w:t>Calhelha</w:t>
      </w:r>
      <w:proofErr w:type="spellEnd"/>
      <w:r w:rsidRPr="004A3258">
        <w:rPr>
          <w:rFonts w:ascii="Times New Roman" w:hAnsi="Times New Roman" w:cs="Times New Roman"/>
          <w:sz w:val="24"/>
          <w:szCs w:val="24"/>
        </w:rPr>
        <w:t>, R. C. (2024). Gut Microbiota as an Endocrine Organ: Unveiling Its Role in Human Physiology and Health. Applied Sciences, 14(20), 9383. https://doi.org/10.3390/app14209383</w:t>
      </w:r>
    </w:p>
    <w:p w14:paraId="78FB0636" w14:textId="77777777" w:rsidR="006A1641" w:rsidRDefault="006A1641" w:rsidP="00774CB9">
      <w:pPr>
        <w:spacing w:line="480" w:lineRule="auto"/>
        <w:jc w:val="both"/>
        <w:rPr>
          <w:rFonts w:ascii="Times New Roman" w:hAnsi="Times New Roman" w:cs="Times New Roman"/>
          <w:sz w:val="24"/>
          <w:szCs w:val="24"/>
        </w:rPr>
      </w:pPr>
      <w:r w:rsidRPr="00423C8F">
        <w:rPr>
          <w:rFonts w:ascii="Times New Roman" w:hAnsi="Times New Roman" w:cs="Times New Roman"/>
          <w:sz w:val="24"/>
          <w:szCs w:val="24"/>
        </w:rPr>
        <w:t>Rivière, A., Selak, M., Lantin, D., Leroy, F., &amp; De Vuyst, L. (2016). Bifidobacteria and butyrate-producing colon bacteria: importance and strategies for their stimulation in the human gut. Frontiers in microbiology, 7, 979.</w:t>
      </w:r>
    </w:p>
    <w:p w14:paraId="512A4FB6" w14:textId="77777777" w:rsidR="006A1641" w:rsidRDefault="006A1641" w:rsidP="00774CB9">
      <w:pPr>
        <w:spacing w:line="480" w:lineRule="auto"/>
        <w:jc w:val="both"/>
        <w:rPr>
          <w:rFonts w:ascii="Times New Roman" w:hAnsi="Times New Roman" w:cs="Times New Roman"/>
          <w:sz w:val="24"/>
          <w:szCs w:val="24"/>
        </w:rPr>
      </w:pPr>
      <w:proofErr w:type="spellStart"/>
      <w:r w:rsidRPr="00C148F7">
        <w:rPr>
          <w:rFonts w:ascii="Times New Roman" w:hAnsi="Times New Roman" w:cs="Times New Roman"/>
          <w:sz w:val="24"/>
          <w:szCs w:val="24"/>
        </w:rPr>
        <w:t>Rothhammer</w:t>
      </w:r>
      <w:proofErr w:type="spellEnd"/>
      <w:r w:rsidRPr="00C148F7">
        <w:rPr>
          <w:rFonts w:ascii="Times New Roman" w:hAnsi="Times New Roman" w:cs="Times New Roman"/>
          <w:sz w:val="24"/>
          <w:szCs w:val="24"/>
        </w:rPr>
        <w:t>, V., &amp; Quintana, F. J. (2019). The aryl hydrocarbon receptor: an environmental sensor integrating immune responses in health and disease. Nature Reviews Immunology, 19(3), 184-197.</w:t>
      </w:r>
    </w:p>
    <w:p w14:paraId="5F40C9F7" w14:textId="77777777" w:rsidR="006A1641" w:rsidRDefault="006A1641" w:rsidP="00774CB9">
      <w:pPr>
        <w:spacing w:line="480" w:lineRule="auto"/>
        <w:jc w:val="both"/>
        <w:rPr>
          <w:rFonts w:ascii="Times New Roman" w:hAnsi="Times New Roman" w:cs="Times New Roman"/>
          <w:sz w:val="24"/>
          <w:szCs w:val="24"/>
        </w:rPr>
      </w:pPr>
      <w:proofErr w:type="spellStart"/>
      <w:r w:rsidRPr="00294E2A">
        <w:rPr>
          <w:rFonts w:ascii="Times New Roman" w:hAnsi="Times New Roman" w:cs="Times New Roman"/>
          <w:sz w:val="24"/>
          <w:szCs w:val="24"/>
        </w:rPr>
        <w:t>Rothhammer</w:t>
      </w:r>
      <w:proofErr w:type="spellEnd"/>
      <w:r w:rsidRPr="00294E2A">
        <w:rPr>
          <w:rFonts w:ascii="Times New Roman" w:hAnsi="Times New Roman" w:cs="Times New Roman"/>
          <w:sz w:val="24"/>
          <w:szCs w:val="24"/>
        </w:rPr>
        <w:t xml:space="preserve">, V., Borucki, D. M., Tjon, E. C., Takenaka, M. C., Chao, C. C., </w:t>
      </w:r>
      <w:proofErr w:type="spellStart"/>
      <w:r w:rsidRPr="00294E2A">
        <w:rPr>
          <w:rFonts w:ascii="Times New Roman" w:hAnsi="Times New Roman" w:cs="Times New Roman"/>
          <w:sz w:val="24"/>
          <w:szCs w:val="24"/>
        </w:rPr>
        <w:t>Ardura-Fabregat</w:t>
      </w:r>
      <w:proofErr w:type="spellEnd"/>
      <w:r w:rsidRPr="00294E2A">
        <w:rPr>
          <w:rFonts w:ascii="Times New Roman" w:hAnsi="Times New Roman" w:cs="Times New Roman"/>
          <w:sz w:val="24"/>
          <w:szCs w:val="24"/>
        </w:rPr>
        <w:t>, A., ... &amp; Quintana, F. J. (2018). Microglial control of astrocytes in response to microbial metabolites. Nature, 557(7707), 724-728.</w:t>
      </w:r>
    </w:p>
    <w:p w14:paraId="5390E232" w14:textId="77777777" w:rsidR="006A1641" w:rsidRPr="00294E2A" w:rsidRDefault="006A1641" w:rsidP="00774CB9">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 xml:space="preserve">Siddiqui, R., Soopramanien, M., Alharbi, A. M., </w:t>
      </w:r>
      <w:proofErr w:type="spellStart"/>
      <w:r w:rsidRPr="00294E2A">
        <w:rPr>
          <w:rFonts w:ascii="Times New Roman" w:hAnsi="Times New Roman" w:cs="Times New Roman"/>
          <w:sz w:val="24"/>
          <w:szCs w:val="24"/>
        </w:rPr>
        <w:t>Alfahemi</w:t>
      </w:r>
      <w:proofErr w:type="spellEnd"/>
      <w:r w:rsidRPr="00294E2A">
        <w:rPr>
          <w:rFonts w:ascii="Times New Roman" w:hAnsi="Times New Roman" w:cs="Times New Roman"/>
          <w:sz w:val="24"/>
          <w:szCs w:val="24"/>
        </w:rPr>
        <w:t>, H., &amp; Khan, N. A. (2022). Novel sources of bioactive molecules: Gut microbiome of species routinely exposed to microorganisms. Veterinary Sciences, 9(8), 380.</w:t>
      </w:r>
    </w:p>
    <w:p w14:paraId="78426D5B" w14:textId="77777777" w:rsidR="006A1641" w:rsidRDefault="006A1641" w:rsidP="00774CB9">
      <w:pPr>
        <w:spacing w:line="480" w:lineRule="auto"/>
        <w:jc w:val="both"/>
        <w:rPr>
          <w:rFonts w:ascii="Times New Roman" w:hAnsi="Times New Roman" w:cs="Times New Roman"/>
          <w:sz w:val="24"/>
          <w:szCs w:val="24"/>
        </w:rPr>
      </w:pPr>
      <w:proofErr w:type="spellStart"/>
      <w:r w:rsidRPr="00AB4475">
        <w:rPr>
          <w:rFonts w:ascii="Times New Roman" w:hAnsi="Times New Roman" w:cs="Times New Roman"/>
          <w:sz w:val="24"/>
          <w:szCs w:val="24"/>
        </w:rPr>
        <w:lastRenderedPageBreak/>
        <w:t>Strandwitz</w:t>
      </w:r>
      <w:proofErr w:type="spellEnd"/>
      <w:r w:rsidRPr="00AB4475">
        <w:rPr>
          <w:rFonts w:ascii="Times New Roman" w:hAnsi="Times New Roman" w:cs="Times New Roman"/>
          <w:sz w:val="24"/>
          <w:szCs w:val="24"/>
        </w:rPr>
        <w:t>, P., Kim, K. H., Terekhova, D., Liu, J. K., Sharma, A., Levering, J., ... &amp; Lewis, K. (2019). GABA-modulating bacteria of the human gut microbiota. Nature microbiology, 4(3), 396-403.</w:t>
      </w:r>
    </w:p>
    <w:p w14:paraId="276A2A0E" w14:textId="77777777" w:rsidR="006A1641" w:rsidRDefault="006A1641" w:rsidP="00774CB9">
      <w:pPr>
        <w:spacing w:line="480" w:lineRule="auto"/>
        <w:jc w:val="both"/>
        <w:rPr>
          <w:rFonts w:ascii="Times New Roman" w:hAnsi="Times New Roman" w:cs="Times New Roman"/>
          <w:sz w:val="24"/>
          <w:szCs w:val="24"/>
        </w:rPr>
      </w:pPr>
      <w:proofErr w:type="spellStart"/>
      <w:r w:rsidRPr="00856335">
        <w:rPr>
          <w:rFonts w:ascii="Times New Roman" w:hAnsi="Times New Roman" w:cs="Times New Roman"/>
          <w:sz w:val="24"/>
          <w:szCs w:val="24"/>
        </w:rPr>
        <w:t>Strandwitz</w:t>
      </w:r>
      <w:proofErr w:type="spellEnd"/>
      <w:r w:rsidRPr="00856335">
        <w:rPr>
          <w:rFonts w:ascii="Times New Roman" w:hAnsi="Times New Roman" w:cs="Times New Roman"/>
          <w:sz w:val="24"/>
          <w:szCs w:val="24"/>
        </w:rPr>
        <w:t>, P., Kim, K. H., Terekhova, D., Liu, J. K., Sharma, A., Levering, J., ... &amp; Lewis, K. (2019). GABA-modulating bacteria of the human gut microbiota. Nature microbiology, 4(3), 396-403.</w:t>
      </w:r>
    </w:p>
    <w:p w14:paraId="2EDC2770" w14:textId="77777777" w:rsidR="006A1641" w:rsidRPr="00294E2A" w:rsidRDefault="006A1641" w:rsidP="00774CB9">
      <w:pPr>
        <w:spacing w:line="480" w:lineRule="auto"/>
        <w:jc w:val="both"/>
        <w:rPr>
          <w:rFonts w:ascii="Times New Roman" w:hAnsi="Times New Roman" w:cs="Times New Roman"/>
          <w:sz w:val="24"/>
          <w:szCs w:val="24"/>
        </w:rPr>
      </w:pPr>
      <w:r w:rsidRPr="00294E2A">
        <w:rPr>
          <w:rFonts w:ascii="Times New Roman" w:hAnsi="Times New Roman" w:cs="Times New Roman"/>
          <w:sz w:val="24"/>
          <w:szCs w:val="24"/>
        </w:rPr>
        <w:t>Walter, J., Armet, A. M., Finlay, B. B., &amp; Shanahan, F. (2020). Establishing or exaggerating causality for the gut microbiome: lessons from human microbiota-associated rodents. Cell, 180(2), 221-232.</w:t>
      </w:r>
    </w:p>
    <w:p w14:paraId="4EE1D10C" w14:textId="77777777" w:rsidR="006A1641" w:rsidRDefault="006A1641" w:rsidP="00774CB9">
      <w:pPr>
        <w:spacing w:line="480" w:lineRule="auto"/>
        <w:jc w:val="both"/>
        <w:rPr>
          <w:rFonts w:ascii="Times New Roman" w:hAnsi="Times New Roman" w:cs="Times New Roman"/>
          <w:sz w:val="24"/>
          <w:szCs w:val="24"/>
        </w:rPr>
      </w:pPr>
      <w:r w:rsidRPr="00423C8F">
        <w:rPr>
          <w:rFonts w:ascii="Times New Roman" w:hAnsi="Times New Roman" w:cs="Times New Roman"/>
          <w:sz w:val="24"/>
          <w:szCs w:val="24"/>
        </w:rPr>
        <w:t xml:space="preserve">Wilkinson, I. V., </w:t>
      </w:r>
      <w:proofErr w:type="spellStart"/>
      <w:r w:rsidRPr="00423C8F">
        <w:rPr>
          <w:rFonts w:ascii="Times New Roman" w:hAnsi="Times New Roman" w:cs="Times New Roman"/>
          <w:sz w:val="24"/>
          <w:szCs w:val="24"/>
        </w:rPr>
        <w:t>Terstappen</w:t>
      </w:r>
      <w:proofErr w:type="spellEnd"/>
      <w:r w:rsidRPr="00423C8F">
        <w:rPr>
          <w:rFonts w:ascii="Times New Roman" w:hAnsi="Times New Roman" w:cs="Times New Roman"/>
          <w:sz w:val="24"/>
          <w:szCs w:val="24"/>
        </w:rPr>
        <w:t>, G. C., &amp; Russell, A. J. (2020). Combining experimental strategies for successful target deconvolution. Drug Discovery Today, 25(11), 1998-2005.</w:t>
      </w:r>
    </w:p>
    <w:p w14:paraId="481D9FA3" w14:textId="77777777" w:rsidR="006A1641" w:rsidRDefault="006A1641" w:rsidP="00774CB9">
      <w:pPr>
        <w:spacing w:line="480" w:lineRule="auto"/>
        <w:jc w:val="both"/>
        <w:rPr>
          <w:rFonts w:ascii="Times New Roman" w:hAnsi="Times New Roman" w:cs="Times New Roman"/>
          <w:sz w:val="24"/>
          <w:szCs w:val="24"/>
        </w:rPr>
      </w:pPr>
      <w:r w:rsidRPr="004A3258">
        <w:rPr>
          <w:rFonts w:ascii="Times New Roman" w:hAnsi="Times New Roman" w:cs="Times New Roman"/>
          <w:sz w:val="24"/>
          <w:szCs w:val="24"/>
        </w:rPr>
        <w:t xml:space="preserve">Yan, Y., Nguyen, L. H., Franzosa, E. A., &amp; </w:t>
      </w:r>
      <w:proofErr w:type="spellStart"/>
      <w:r w:rsidRPr="004A3258">
        <w:rPr>
          <w:rFonts w:ascii="Times New Roman" w:hAnsi="Times New Roman" w:cs="Times New Roman"/>
          <w:sz w:val="24"/>
          <w:szCs w:val="24"/>
        </w:rPr>
        <w:t>Huttenhower</w:t>
      </w:r>
      <w:proofErr w:type="spellEnd"/>
      <w:r w:rsidRPr="004A3258">
        <w:rPr>
          <w:rFonts w:ascii="Times New Roman" w:hAnsi="Times New Roman" w:cs="Times New Roman"/>
          <w:sz w:val="24"/>
          <w:szCs w:val="24"/>
        </w:rPr>
        <w:t>, C. (2020). Strain-level epidemiology of microbial communities and the human microbiome. Genome medicine, 12(1), 71.</w:t>
      </w:r>
    </w:p>
    <w:sectPr w:rsidR="006A164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C6439" w14:textId="77777777" w:rsidR="009242A3" w:rsidRDefault="009242A3" w:rsidP="00CE6A2D">
      <w:pPr>
        <w:spacing w:after="0" w:line="240" w:lineRule="auto"/>
      </w:pPr>
      <w:r>
        <w:separator/>
      </w:r>
    </w:p>
  </w:endnote>
  <w:endnote w:type="continuationSeparator" w:id="0">
    <w:p w14:paraId="6EA395EE" w14:textId="77777777" w:rsidR="009242A3" w:rsidRDefault="009242A3" w:rsidP="00CE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3C5EA" w14:textId="77777777" w:rsidR="00CE6A2D" w:rsidRDefault="00CE6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78920" w14:textId="77777777" w:rsidR="00CE6A2D" w:rsidRDefault="00CE6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CA786" w14:textId="77777777" w:rsidR="00CE6A2D" w:rsidRDefault="00CE6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9BDE9" w14:textId="77777777" w:rsidR="009242A3" w:rsidRDefault="009242A3" w:rsidP="00CE6A2D">
      <w:pPr>
        <w:spacing w:after="0" w:line="240" w:lineRule="auto"/>
      </w:pPr>
      <w:r>
        <w:separator/>
      </w:r>
    </w:p>
  </w:footnote>
  <w:footnote w:type="continuationSeparator" w:id="0">
    <w:p w14:paraId="234E653A" w14:textId="77777777" w:rsidR="009242A3" w:rsidRDefault="009242A3" w:rsidP="00CE6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1B99C" w14:textId="72F177E0" w:rsidR="00CE6A2D" w:rsidRDefault="00CE6A2D">
    <w:pPr>
      <w:pStyle w:val="Header"/>
    </w:pPr>
    <w:r>
      <w:rPr>
        <w:noProof/>
      </w:rPr>
      <w:pict w14:anchorId="04134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581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74076" w14:textId="20608E79" w:rsidR="00CE6A2D" w:rsidRDefault="00CE6A2D">
    <w:pPr>
      <w:pStyle w:val="Header"/>
    </w:pPr>
    <w:r>
      <w:rPr>
        <w:noProof/>
      </w:rPr>
      <w:pict w14:anchorId="28961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581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692A" w14:textId="49A6A976" w:rsidR="00CE6A2D" w:rsidRDefault="00CE6A2D">
    <w:pPr>
      <w:pStyle w:val="Header"/>
    </w:pPr>
    <w:r>
      <w:rPr>
        <w:noProof/>
      </w:rPr>
      <w:pict w14:anchorId="5F25D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581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2B1"/>
    <w:multiLevelType w:val="hybridMultilevel"/>
    <w:tmpl w:val="2CE25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A42DB"/>
    <w:multiLevelType w:val="multilevel"/>
    <w:tmpl w:val="F5345812"/>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7F0201"/>
    <w:multiLevelType w:val="hybridMultilevel"/>
    <w:tmpl w:val="410C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77F14"/>
    <w:multiLevelType w:val="hybridMultilevel"/>
    <w:tmpl w:val="EF5E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12031B"/>
    <w:multiLevelType w:val="hybridMultilevel"/>
    <w:tmpl w:val="3A704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557B5"/>
    <w:multiLevelType w:val="hybridMultilevel"/>
    <w:tmpl w:val="FA0C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E22AC"/>
    <w:multiLevelType w:val="hybridMultilevel"/>
    <w:tmpl w:val="0208532A"/>
    <w:lvl w:ilvl="0" w:tplc="EA6819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CB9"/>
    <w:rsid w:val="0006385D"/>
    <w:rsid w:val="000A715D"/>
    <w:rsid w:val="001513D7"/>
    <w:rsid w:val="00164B5D"/>
    <w:rsid w:val="00173AF1"/>
    <w:rsid w:val="001B56CF"/>
    <w:rsid w:val="00294E2A"/>
    <w:rsid w:val="002A025E"/>
    <w:rsid w:val="002D4DDE"/>
    <w:rsid w:val="003A3E1B"/>
    <w:rsid w:val="003D3C70"/>
    <w:rsid w:val="00423C8F"/>
    <w:rsid w:val="004A3258"/>
    <w:rsid w:val="004D324A"/>
    <w:rsid w:val="00695990"/>
    <w:rsid w:val="006A1641"/>
    <w:rsid w:val="0073316C"/>
    <w:rsid w:val="007454B4"/>
    <w:rsid w:val="00772FD9"/>
    <w:rsid w:val="00774CB9"/>
    <w:rsid w:val="00856335"/>
    <w:rsid w:val="009242A3"/>
    <w:rsid w:val="00943453"/>
    <w:rsid w:val="00A7093C"/>
    <w:rsid w:val="00AB4475"/>
    <w:rsid w:val="00C148F7"/>
    <w:rsid w:val="00C855D5"/>
    <w:rsid w:val="00CE6A2D"/>
    <w:rsid w:val="00DD09DF"/>
    <w:rsid w:val="00E13345"/>
    <w:rsid w:val="00E363DB"/>
    <w:rsid w:val="00E41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719E95"/>
  <w15:chartTrackingRefBased/>
  <w15:docId w15:val="{D3D0F097-DCED-40CA-B7D5-31750C03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E2A"/>
    <w:pPr>
      <w:ind w:left="720"/>
      <w:contextualSpacing/>
    </w:pPr>
  </w:style>
  <w:style w:type="character" w:styleId="Hyperlink">
    <w:name w:val="Hyperlink"/>
    <w:basedOn w:val="DefaultParagraphFont"/>
    <w:uiPriority w:val="99"/>
    <w:unhideWhenUsed/>
    <w:rsid w:val="004D324A"/>
    <w:rPr>
      <w:color w:val="0563C1" w:themeColor="hyperlink"/>
      <w:u w:val="single"/>
    </w:rPr>
  </w:style>
  <w:style w:type="paragraph" w:styleId="Header">
    <w:name w:val="header"/>
    <w:basedOn w:val="Normal"/>
    <w:link w:val="HeaderChar"/>
    <w:uiPriority w:val="99"/>
    <w:unhideWhenUsed/>
    <w:rsid w:val="00CE6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A2D"/>
  </w:style>
  <w:style w:type="paragraph" w:styleId="Footer">
    <w:name w:val="footer"/>
    <w:basedOn w:val="Normal"/>
    <w:link w:val="FooterChar"/>
    <w:uiPriority w:val="99"/>
    <w:unhideWhenUsed/>
    <w:rsid w:val="00CE6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21</Pages>
  <Words>4940</Words>
  <Characters>28162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Ayodele</dc:creator>
  <cp:keywords/>
  <dc:description/>
  <cp:lastModifiedBy>SDI 1084</cp:lastModifiedBy>
  <cp:revision>18</cp:revision>
  <dcterms:created xsi:type="dcterms:W3CDTF">2025-09-26T19:02:00Z</dcterms:created>
  <dcterms:modified xsi:type="dcterms:W3CDTF">2025-10-06T05:14:00Z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2c232b5c-ceaa-4233-8b9d-7a5039e66dcb</vt:lpwstr>
  </property>
</Properties>
</file>