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3456C" w14:textId="77777777" w:rsidR="00203F6C" w:rsidRPr="00203F6C" w:rsidRDefault="00203F6C" w:rsidP="00203F6C">
      <w:pPr>
        <w:rPr>
          <w:rFonts w:ascii="Times New Roman" w:hAnsi="Times New Roman" w:cs="Times New Roman"/>
          <w:b/>
          <w:bCs/>
          <w:sz w:val="32"/>
          <w:szCs w:val="32"/>
        </w:rPr>
      </w:pPr>
      <w:r w:rsidRPr="00203F6C">
        <w:rPr>
          <w:rFonts w:ascii="Times New Roman" w:hAnsi="Times New Roman" w:cs="Times New Roman"/>
          <w:b/>
          <w:bCs/>
          <w:sz w:val="32"/>
          <w:szCs w:val="32"/>
        </w:rPr>
        <w:t>Blockchain and Tax Administration: Disruptive Innovations for Compliance and Revenue Collection</w:t>
      </w:r>
    </w:p>
    <w:p w14:paraId="7BFA1027" w14:textId="4ECD77AA" w:rsidR="00203F6C" w:rsidRDefault="00203F6C" w:rsidP="00203F6C">
      <w:pPr>
        <w:rPr>
          <w:rFonts w:ascii="Times New Roman" w:hAnsi="Times New Roman" w:cs="Times New Roman"/>
          <w:sz w:val="24"/>
          <w:szCs w:val="24"/>
        </w:rPr>
      </w:pPr>
    </w:p>
    <w:p w14:paraId="3B748ED2" w14:textId="77777777" w:rsidR="00602220" w:rsidRPr="00203F6C" w:rsidRDefault="00602220" w:rsidP="00203F6C">
      <w:pPr>
        <w:rPr>
          <w:rFonts w:ascii="Times New Roman" w:hAnsi="Times New Roman" w:cs="Times New Roman"/>
          <w:sz w:val="24"/>
          <w:szCs w:val="24"/>
        </w:rPr>
      </w:pPr>
      <w:bookmarkStart w:id="0" w:name="_GoBack"/>
      <w:bookmarkEnd w:id="0"/>
    </w:p>
    <w:p w14:paraId="434AB4F5"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ABSTRACT</w:t>
      </w:r>
    </w:p>
    <w:p w14:paraId="59AFB859" w14:textId="77777777" w:rsidR="00203F6C" w:rsidRPr="00203F6C" w:rsidRDefault="00203F6C" w:rsidP="00203F6C">
      <w:pPr>
        <w:rPr>
          <w:rFonts w:ascii="Times New Roman" w:hAnsi="Times New Roman" w:cs="Times New Roman"/>
          <w:sz w:val="24"/>
          <w:szCs w:val="24"/>
        </w:rPr>
      </w:pPr>
    </w:p>
    <w:p w14:paraId="5839EC49"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Tax evasion and administrative inefficiency continue to be significant constraints on the stability of Nigeria's public finances. In this research, the authors explore how blockchain technology can accelerate tax compliance and revenue mobilization using simulation-based modeling. With a calibrated mathematical behavioral framework and Nigerian fiscal data, they evaluate the impact of adopting blockchain technology on the probability of compliance, under-reporting behavior, and detection probability. On a Monte Carlo simulation-paired-sample t-test comparison, the research quantifies fiscal impacts at different levels of adoption. It finds that blockchain-enabled tax systems have the potential to cut the national tax gap by as much as 90%, enhance compliance levels from 55% to 80%, and boost effective VAT collections by up to 25% with a possible ROI of up to 16.7 at mid-range levels of adoption. Sensitivity analysis further indicates that fiscal performance is fundamentally determined by responsiveness of behavior and cost-effectiveness. However, only effective implementation relies on institutional ability, legal backing, and digital preparedness. The research concludes that blockchain is not an isolated solution but a governance enabler whose potential, in conjunction with taxpayer education and governance reforms, can significantly reshape Nigeria's tax administration and revenue.</w:t>
      </w:r>
    </w:p>
    <w:p w14:paraId="4CD4C969" w14:textId="143BE12B"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Keywords: Blockchain, Tax Compliance, Revenue Generation, E-Taxation, Digital Innovation, Tax Policy, Disruptive Technology</w:t>
      </w:r>
    </w:p>
    <w:p w14:paraId="1A42C8A3" w14:textId="77777777" w:rsidR="00203F6C" w:rsidRPr="00203F6C" w:rsidRDefault="00203F6C" w:rsidP="00203F6C">
      <w:pPr>
        <w:rPr>
          <w:rFonts w:ascii="Times New Roman" w:hAnsi="Times New Roman" w:cs="Times New Roman"/>
          <w:b/>
          <w:bCs/>
          <w:sz w:val="24"/>
          <w:szCs w:val="24"/>
        </w:rPr>
      </w:pPr>
    </w:p>
    <w:p w14:paraId="1A3FA374" w14:textId="412A992A"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Introduction</w:t>
      </w:r>
    </w:p>
    <w:p w14:paraId="166E589C" w14:textId="173181B2"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Tax systems are the foundation of public finance but are continually eroded by evasion, non-compliance, and administrative wastage. Traditional taxation mechanisms are typically characterized by weak enforcement, invoice tampering, and fragmented databases, individually widening the tax gap and undermining fiscal authorities’ trust (</w:t>
      </w:r>
      <w:proofErr w:type="spellStart"/>
      <w:r w:rsidRPr="00203F6C">
        <w:rPr>
          <w:rFonts w:ascii="Times New Roman" w:hAnsi="Times New Roman" w:cs="Times New Roman"/>
          <w:sz w:val="24"/>
          <w:szCs w:val="24"/>
        </w:rPr>
        <w:t>Saptono</w:t>
      </w:r>
      <w:proofErr w:type="spellEnd"/>
      <w:r w:rsidRPr="00203F6C">
        <w:rPr>
          <w:rFonts w:ascii="Times New Roman" w:hAnsi="Times New Roman" w:cs="Times New Roman"/>
          <w:sz w:val="24"/>
          <w:szCs w:val="24"/>
        </w:rPr>
        <w:t xml:space="preserve"> et al., 2024). These are most acute in poor economies with thin administrative capacity, low tax-to-GDP ratios, and large-scale economic activity that is informal (Moore, 2020). To fill these systemic gaps (</w:t>
      </w:r>
      <w:proofErr w:type="spellStart"/>
      <w:r w:rsidRPr="00203F6C">
        <w:rPr>
          <w:rFonts w:ascii="Times New Roman" w:hAnsi="Times New Roman" w:cs="Times New Roman"/>
          <w:sz w:val="24"/>
          <w:szCs w:val="24"/>
        </w:rPr>
        <w:t>Gwaindepi</w:t>
      </w:r>
      <w:proofErr w:type="spellEnd"/>
      <w:r w:rsidRPr="00203F6C">
        <w:rPr>
          <w:rFonts w:ascii="Times New Roman" w:hAnsi="Times New Roman" w:cs="Times New Roman"/>
          <w:sz w:val="24"/>
          <w:szCs w:val="24"/>
        </w:rPr>
        <w:t xml:space="preserve">, 2024), governments increasingly </w:t>
      </w:r>
      <w:r w:rsidRPr="00203F6C">
        <w:rPr>
          <w:rFonts w:ascii="Times New Roman" w:hAnsi="Times New Roman" w:cs="Times New Roman"/>
          <w:sz w:val="24"/>
          <w:szCs w:val="24"/>
        </w:rPr>
        <w:lastRenderedPageBreak/>
        <w:t>are looking to digital technologies to enhance transparency, accountability, and the efficiency of tax administration.</w:t>
      </w:r>
    </w:p>
    <w:p w14:paraId="224A0661"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It highlights the major enforcement and compliance practices along with how the invisible and underlying interactions of actors in the field shape these practices (Ayodeji, 2024).  It also explores those issues and circumstances along with the existing patterns of interests which have contributed to the continued practice of the central administration of the property tax (</w:t>
      </w:r>
      <w:proofErr w:type="spellStart"/>
      <w:r w:rsidRPr="00203F6C">
        <w:rPr>
          <w:rFonts w:ascii="Times New Roman" w:hAnsi="Times New Roman" w:cs="Times New Roman"/>
          <w:sz w:val="24"/>
          <w:szCs w:val="24"/>
        </w:rPr>
        <w:t>Ohemeng</w:t>
      </w:r>
      <w:proofErr w:type="spellEnd"/>
      <w:r w:rsidRPr="00203F6C">
        <w:rPr>
          <w:rFonts w:ascii="Times New Roman" w:hAnsi="Times New Roman" w:cs="Times New Roman"/>
          <w:sz w:val="24"/>
          <w:szCs w:val="24"/>
        </w:rPr>
        <w:t xml:space="preserve"> 2022). The study also emphasises struggles in the property tax field between the various players:  the tax authority, the politicians, the developers, the local authorities, the central government and the taxpayers and how each one uses its capital to maintain or dominate its position within the property tax field (</w:t>
      </w:r>
      <w:proofErr w:type="spellStart"/>
      <w:r w:rsidRPr="00203F6C">
        <w:rPr>
          <w:rFonts w:ascii="Times New Roman" w:hAnsi="Times New Roman" w:cs="Times New Roman"/>
          <w:sz w:val="24"/>
          <w:szCs w:val="24"/>
        </w:rPr>
        <w:t>Wołowiec</w:t>
      </w:r>
      <w:proofErr w:type="spellEnd"/>
      <w:r w:rsidRPr="00203F6C">
        <w:rPr>
          <w:rFonts w:ascii="Times New Roman" w:hAnsi="Times New Roman" w:cs="Times New Roman"/>
          <w:sz w:val="24"/>
          <w:szCs w:val="24"/>
        </w:rPr>
        <w:t>, 2018).</w:t>
      </w:r>
    </w:p>
    <w:p w14:paraId="0CE38970"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 xml:space="preserve">Among the most transformative of those technologies that have been used is blockchain technology. Blockchain, as a native technology, ensures immutability, decentralization, and traceability of transactions, greatly minimizing the possibility of fraud and maximizing compliance monitoring (Dai &amp; Vasarely, 2017; Beck et al., 2018). Blockchain, founded on distributed ledgers and smart contracts, allows for instant verification of tax liability, automatic remittance of value-added tax, and secure storage of financial information (Schmitz &amp; Leoni, 2019). Early experiences in Estonia and China offer quantifiable increases in VAT collection and invoice verification, providing empirical basis for the transformative possibilities of blockchain with respect to taxation </w:t>
      </w:r>
      <w:r w:rsidRPr="00203F6C">
        <w:rPr>
          <w:rFonts w:ascii="Times New Roman" w:eastAsiaTheme="minorHAnsi" w:hAnsi="Times New Roman" w:cs="Times New Roman"/>
          <w:kern w:val="2"/>
          <w:sz w:val="24"/>
          <w:szCs w:val="24"/>
          <w14:ligatures w14:val="standardContextual"/>
        </w:rPr>
        <w:t>(Schletz, 2021)</w:t>
      </w:r>
      <w:r w:rsidRPr="00203F6C">
        <w:rPr>
          <w:rFonts w:ascii="Times New Roman" w:hAnsi="Times New Roman" w:cs="Times New Roman"/>
          <w:sz w:val="24"/>
          <w:szCs w:val="24"/>
        </w:rPr>
        <w:t>, 2016; Xu et al., 2019).</w:t>
      </w:r>
    </w:p>
    <w:p w14:paraId="101C4B22" w14:textId="544222A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Blockchain use in tax systems has its drawbacks. Scalability, compatibility with already existing e-taxing platforms, regulatory clarity, and infrastructural constraints are real challenges (Yermack, 2017). Moreover, for countries such as Nigeria’s, where digital readiness is still not uniform and where institutional planning is still ongoing, incorporating blockchain in taxation administration must be weighed with caution. The Nigerian Federal Inland Revenue Service has undertaken digital reforms, yet blockchain is not yet well tested, presenting risks and opportunities for improving compliance as well as revenue collection (OECD, 2022).</w:t>
      </w:r>
    </w:p>
    <w:p w14:paraId="287B08BB" w14:textId="6F1E0AEC"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This research explores the disruptive innovation role of blockchain in taxation, its capacity for promoting compliance and revenue mobilization. Based on global case evidence alongside Nigeria’s institutional environment, the paper adds to digital fiscal governance studies and offers pragmatic knowledge about utilizing blockchain for tax systems in developing economies.</w:t>
      </w:r>
    </w:p>
    <w:p w14:paraId="130ABC50"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 xml:space="preserve">Review of related literature </w:t>
      </w:r>
    </w:p>
    <w:p w14:paraId="1DE6FC64" w14:textId="1EA05E4B"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1.Theoretical bases: tax compliance and online enforcement</w:t>
      </w:r>
    </w:p>
    <w:p w14:paraId="416D4C10"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lastRenderedPageBreak/>
        <w:t xml:space="preserve">Theory in tax compliance invokes economic deterrence, institutional ability, and </w:t>
      </w:r>
      <w:proofErr w:type="spellStart"/>
      <w:r w:rsidRPr="00203F6C">
        <w:rPr>
          <w:rFonts w:ascii="Times New Roman" w:hAnsi="Times New Roman" w:cs="Times New Roman"/>
          <w:sz w:val="24"/>
          <w:szCs w:val="24"/>
        </w:rPr>
        <w:t>behavioural</w:t>
      </w:r>
      <w:proofErr w:type="spellEnd"/>
      <w:r w:rsidRPr="00203F6C">
        <w:rPr>
          <w:rFonts w:ascii="Times New Roman" w:hAnsi="Times New Roman" w:cs="Times New Roman"/>
          <w:sz w:val="24"/>
          <w:szCs w:val="24"/>
        </w:rPr>
        <w:t xml:space="preserve"> factors such as tax morale. </w:t>
      </w:r>
      <w:proofErr w:type="spellStart"/>
      <w:r w:rsidRPr="00203F6C">
        <w:rPr>
          <w:rFonts w:ascii="Times New Roman" w:hAnsi="Times New Roman" w:cs="Times New Roman"/>
          <w:sz w:val="24"/>
          <w:szCs w:val="24"/>
        </w:rPr>
        <w:t>Slemrod</w:t>
      </w:r>
      <w:proofErr w:type="spellEnd"/>
      <w:r w:rsidRPr="00203F6C">
        <w:rPr>
          <w:rFonts w:ascii="Times New Roman" w:hAnsi="Times New Roman" w:cs="Times New Roman"/>
          <w:sz w:val="24"/>
          <w:szCs w:val="24"/>
        </w:rPr>
        <w:t xml:space="preserve"> (2019) synthesizes evidence to show that the presence of information, probability of audit, and administrative structure are essential to minimizing evasion. Digitalization reconditions these by enabling monitoring of transactions online in real time, shifting the evasion benefits v. detection danger balance (Alm &amp; Torgler, 2011; Mascagni, 2018).</w:t>
      </w:r>
    </w:p>
    <w:p w14:paraId="190BE372"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2. Blockchain: features relevant to taxation and public finance</w:t>
      </w:r>
    </w:p>
    <w:p w14:paraId="782159E3"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b/>
          <w:bCs/>
          <w:sz w:val="24"/>
          <w:szCs w:val="24"/>
        </w:rPr>
        <w:t>“</w:t>
      </w:r>
      <w:r w:rsidRPr="00203F6C">
        <w:rPr>
          <w:rFonts w:ascii="Times New Roman" w:hAnsi="Times New Roman" w:cs="Times New Roman"/>
          <w:sz w:val="24"/>
          <w:szCs w:val="24"/>
        </w:rPr>
        <w:t>According to (Khan 2019) Financial systems throughout the world have some things in common: activities termed as transactions, entities involved in such transactions and the recording of transactions in a database or ledger. (Khan 2019). Here the role of a central authority becomes signiﬁcant to facilitate such transactions and manage the record of those transactions in reliable manner.” However, (Al Tilooby, 2018) the emergence of the (Xu &amp; Zhang, 2022) blockchain as the automated mechanism of handling and recording transactions have redeﬁned the ordinary ﬁnancial accounting mechanism in such a way that no any central authority is required anymore. This is being seen as a good solution having no any risks associated with existence of a central authority. In addition, (Khan, et al 2019) blockchain is admired to be a good solution having fast pace, secure method of transactions and cryptographic redundancy of the database.</w:t>
      </w:r>
    </w:p>
    <w:p w14:paraId="328252A0"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 xml:space="preserve">Blockchain is deﬁned as peer-to-peer (distributed) digital ledger of transactions based upon the principles of cryptography (Public Key Infrastructure and hashing functions) (Wijesekara et al 2023). It facilitates the recording of real-time transactions (called as blocks), incurred among authorized participants over a certain blockchain network without involving any centralized 3rd party (Habib et al., 2022). </w:t>
      </w:r>
    </w:p>
    <w:p w14:paraId="4CA89306"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Blockchain's intrinsic qualities of immutability, cryptographic integrity, and smart contracts minimize age-old tax administration challenges such as invoice forgery and data tampering. Systematic accounting and auditing reviews highlight that distributed ledgers give tamper-proof audit trails, improve transparency, and minimize reconciliation expenses (Georgiou et al., 2024). It is mostly a theory for now, but empirical evidence is needed.</w:t>
      </w:r>
    </w:p>
    <w:p w14:paraId="7A1D3148"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3. Blockchain for VAT and transaction-level administration</w:t>
      </w:r>
    </w:p>
    <w:p w14:paraId="4CF88AC5"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There is an emerging literature on blockchain for VAT systems. European Union research indicates how e-invoices based on blockchain can authenticate transactions in real-time, calculate VAT liability, and help eliminate carousel fraud (Rodríguez-Aros, 2023). Empirical pilots in Thailand and China also verify the ability of blockchain to authenticate invoices and refund tourist VAT, though success is contingent on the level of digital infrastructure (</w:t>
      </w:r>
      <w:proofErr w:type="spellStart"/>
      <w:r w:rsidRPr="00203F6C">
        <w:rPr>
          <w:rFonts w:ascii="Times New Roman" w:hAnsi="Times New Roman" w:cs="Times New Roman"/>
          <w:sz w:val="24"/>
          <w:szCs w:val="24"/>
        </w:rPr>
        <w:t>Semenzin</w:t>
      </w:r>
      <w:proofErr w:type="spellEnd"/>
      <w:r w:rsidRPr="00203F6C">
        <w:rPr>
          <w:rFonts w:ascii="Times New Roman" w:hAnsi="Times New Roman" w:cs="Times New Roman"/>
          <w:sz w:val="24"/>
          <w:szCs w:val="24"/>
        </w:rPr>
        <w:t xml:space="preserve">, </w:t>
      </w:r>
      <w:proofErr w:type="spellStart"/>
      <w:r w:rsidRPr="00203F6C">
        <w:rPr>
          <w:rFonts w:ascii="Times New Roman" w:hAnsi="Times New Roman" w:cs="Times New Roman"/>
          <w:sz w:val="24"/>
          <w:szCs w:val="24"/>
        </w:rPr>
        <w:t>Rozas</w:t>
      </w:r>
      <w:proofErr w:type="spellEnd"/>
      <w:r w:rsidRPr="00203F6C">
        <w:rPr>
          <w:rFonts w:ascii="Times New Roman" w:hAnsi="Times New Roman" w:cs="Times New Roman"/>
          <w:sz w:val="24"/>
          <w:szCs w:val="24"/>
        </w:rPr>
        <w:t xml:space="preserve">, &amp; Hassan, 2022). Systematic reviews also </w:t>
      </w:r>
      <w:r w:rsidRPr="00203F6C">
        <w:rPr>
          <w:rFonts w:ascii="Times New Roman" w:hAnsi="Times New Roman" w:cs="Times New Roman"/>
          <w:sz w:val="24"/>
          <w:szCs w:val="24"/>
        </w:rPr>
        <w:lastRenderedPageBreak/>
        <w:t>establish that most of the studies remain descriptive rather than being quantitatively evaluative (Owens &amp; Hodžić, 2022).</w:t>
      </w:r>
    </w:p>
    <w:p w14:paraId="75F08BE4"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4. Empirical evidence on compliance and revenue effects</w:t>
      </w:r>
    </w:p>
    <w:p w14:paraId="2833B259"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 xml:space="preserve">Empirical evidence remains limited. Initial evidence finds blockchain heightens the validity of invoices, accelerates refunds, and lowers fraud risk when paired with e-invoicing and digital identity technology (Hussain, 2020). Cross-country evidence on wider tax (Nose 2023) digitalization indicates significant decreases in tax gaps as governments move forward to digital channels, indicating blockchain's potential when paired with end-to-end overhauls </w:t>
      </w:r>
    </w:p>
    <w:p w14:paraId="624DD85F"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5. Implementation challenges</w:t>
      </w:r>
    </w:p>
    <w:p w14:paraId="5F729EC2" w14:textId="77777777" w:rsidR="00203F6C" w:rsidRPr="00203F6C" w:rsidRDefault="00203F6C" w:rsidP="00203F6C">
      <w:pPr>
        <w:pStyle w:val="NoSpacing"/>
        <w:rPr>
          <w:rFonts w:ascii="Times New Roman" w:hAnsi="Times New Roman" w:cs="Times New Roman"/>
          <w:sz w:val="24"/>
          <w:szCs w:val="24"/>
        </w:rPr>
      </w:pPr>
      <w:r w:rsidRPr="00203F6C">
        <w:rPr>
          <w:rFonts w:ascii="Times New Roman" w:hAnsi="Times New Roman" w:cs="Times New Roman"/>
          <w:sz w:val="24"/>
          <w:szCs w:val="24"/>
        </w:rPr>
        <w:t>There are difficulties ahead for blockchain:</w:t>
      </w:r>
    </w:p>
    <w:p w14:paraId="4B41680B" w14:textId="77777777" w:rsidR="00203F6C" w:rsidRPr="00203F6C" w:rsidRDefault="00203F6C" w:rsidP="00203F6C">
      <w:pPr>
        <w:pStyle w:val="NoSpacing"/>
        <w:rPr>
          <w:rFonts w:ascii="Times New Roman" w:hAnsi="Times New Roman" w:cs="Times New Roman"/>
          <w:sz w:val="24"/>
          <w:szCs w:val="24"/>
        </w:rPr>
      </w:pPr>
    </w:p>
    <w:p w14:paraId="27415998" w14:textId="77777777" w:rsidR="00203F6C" w:rsidRPr="00203F6C" w:rsidRDefault="00203F6C" w:rsidP="00203F6C">
      <w:pPr>
        <w:pStyle w:val="NoSpacing"/>
        <w:rPr>
          <w:rFonts w:ascii="Times New Roman" w:hAnsi="Times New Roman" w:cs="Times New Roman"/>
          <w:sz w:val="24"/>
          <w:szCs w:val="24"/>
        </w:rPr>
      </w:pPr>
      <w:r w:rsidRPr="00203F6C">
        <w:rPr>
          <w:rFonts w:ascii="Times New Roman" w:hAnsi="Times New Roman" w:cs="Times New Roman"/>
          <w:sz w:val="24"/>
          <w:szCs w:val="24"/>
        </w:rPr>
        <w:t>Scalability: processing millions of invoices needs hybrid on-chain/off-chain architecture (Rodríguez-Aros, 2023).</w:t>
      </w:r>
    </w:p>
    <w:p w14:paraId="1116EFC4" w14:textId="77777777" w:rsidR="00203F6C" w:rsidRPr="00203F6C" w:rsidRDefault="00203F6C" w:rsidP="00203F6C">
      <w:pPr>
        <w:pStyle w:val="NoSpacing"/>
        <w:rPr>
          <w:rFonts w:ascii="Times New Roman" w:hAnsi="Times New Roman" w:cs="Times New Roman"/>
          <w:sz w:val="24"/>
          <w:szCs w:val="24"/>
        </w:rPr>
      </w:pPr>
      <w:r w:rsidRPr="00203F6C">
        <w:rPr>
          <w:rFonts w:ascii="Times New Roman" w:hAnsi="Times New Roman" w:cs="Times New Roman"/>
          <w:sz w:val="24"/>
          <w:szCs w:val="24"/>
        </w:rPr>
        <w:t>Data privacy: permissioned blockchains are typically required to safeguard confidential taxpayer data (</w:t>
      </w:r>
      <w:proofErr w:type="spellStart"/>
      <w:r w:rsidRPr="00203F6C">
        <w:rPr>
          <w:rFonts w:ascii="Times New Roman" w:hAnsi="Times New Roman" w:cs="Times New Roman"/>
          <w:sz w:val="24"/>
          <w:szCs w:val="24"/>
        </w:rPr>
        <w:t>Semenzin</w:t>
      </w:r>
      <w:proofErr w:type="spellEnd"/>
      <w:r w:rsidRPr="00203F6C">
        <w:rPr>
          <w:rFonts w:ascii="Times New Roman" w:hAnsi="Times New Roman" w:cs="Times New Roman"/>
          <w:sz w:val="24"/>
          <w:szCs w:val="24"/>
        </w:rPr>
        <w:t xml:space="preserve"> et al., 2022).</w:t>
      </w:r>
    </w:p>
    <w:p w14:paraId="37F8F9FC" w14:textId="77777777" w:rsidR="00203F6C" w:rsidRPr="00203F6C" w:rsidRDefault="00203F6C" w:rsidP="00203F6C">
      <w:pPr>
        <w:pStyle w:val="NoSpacing"/>
        <w:rPr>
          <w:rFonts w:ascii="Times New Roman" w:hAnsi="Times New Roman" w:cs="Times New Roman"/>
          <w:sz w:val="24"/>
          <w:szCs w:val="24"/>
        </w:rPr>
      </w:pPr>
      <w:r w:rsidRPr="00203F6C">
        <w:rPr>
          <w:rFonts w:ascii="Times New Roman" w:hAnsi="Times New Roman" w:cs="Times New Roman"/>
          <w:sz w:val="24"/>
          <w:szCs w:val="24"/>
        </w:rPr>
        <w:t>Interoperability: integration with existing IT systems necessitates agency and business coordination (Owens &amp; Hodžić, 2022).</w:t>
      </w:r>
    </w:p>
    <w:p w14:paraId="659B12D5" w14:textId="77777777" w:rsidR="00203F6C" w:rsidRPr="00203F6C" w:rsidRDefault="00203F6C" w:rsidP="00203F6C">
      <w:pPr>
        <w:pStyle w:val="NoSpacing"/>
        <w:rPr>
          <w:rFonts w:ascii="Times New Roman" w:hAnsi="Times New Roman" w:cs="Times New Roman"/>
          <w:sz w:val="24"/>
          <w:szCs w:val="24"/>
        </w:rPr>
      </w:pPr>
      <w:r w:rsidRPr="00203F6C">
        <w:rPr>
          <w:rFonts w:ascii="Times New Roman" w:hAnsi="Times New Roman" w:cs="Times New Roman"/>
          <w:sz w:val="24"/>
          <w:szCs w:val="24"/>
        </w:rPr>
        <w:t>Institutional capacity: adoption success relies on training, legal environment, and change management (Georgiou et al., 2024).</w:t>
      </w:r>
    </w:p>
    <w:p w14:paraId="092E70DD" w14:textId="77777777" w:rsidR="00203F6C" w:rsidRPr="00203F6C" w:rsidRDefault="00203F6C" w:rsidP="00203F6C">
      <w:pPr>
        <w:pStyle w:val="NoSpacing"/>
        <w:rPr>
          <w:rFonts w:ascii="Times New Roman" w:hAnsi="Times New Roman" w:cs="Times New Roman"/>
          <w:sz w:val="24"/>
          <w:szCs w:val="24"/>
        </w:rPr>
      </w:pPr>
    </w:p>
    <w:p w14:paraId="55AC8EF3"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Definition of Blockchain</w:t>
      </w:r>
    </w:p>
    <w:p w14:paraId="57F4D0C0"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Blockchain is a decentralized ledger technology (DLT) used for safe, transparent, and tamper-proof recording of transactions on a decentralized network (</w:t>
      </w:r>
      <w:proofErr w:type="spellStart"/>
      <w:r w:rsidRPr="00203F6C">
        <w:rPr>
          <w:rFonts w:ascii="Times New Roman" w:hAnsi="Times New Roman" w:cs="Times New Roman"/>
          <w:sz w:val="24"/>
          <w:szCs w:val="24"/>
        </w:rPr>
        <w:t>Nwariaku</w:t>
      </w:r>
      <w:proofErr w:type="spellEnd"/>
      <w:r w:rsidRPr="00203F6C">
        <w:rPr>
          <w:rFonts w:ascii="Times New Roman" w:hAnsi="Times New Roman" w:cs="Times New Roman"/>
          <w:sz w:val="24"/>
          <w:szCs w:val="24"/>
        </w:rPr>
        <w:t xml:space="preserve"> et al., 2024). Transactions are compiled into a "block," which is cryptographically bound to the subsequent one to create an unalterable chain of blocks (Nakamoto, 2008). The most prominent features of blockchain are decentralization, immutability, transparency, and programmability via smart contracts, which, combined, reduce the need for intermediaries and lower information asymmetry (Tapscott &amp; Tapscott, 2016).</w:t>
      </w:r>
    </w:p>
    <w:p w14:paraId="65F932BC"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For public finance, blockchain's immutability and consensus features grant tax administrations an auditable record of dependability that enhances accountability and trust (Treleaven, Brown, &amp; Yang, 2017). Blockchain is henceforth increasingly seen as a core digital innovation that can reshape financial reporting, audit, and above all, tax administration (Georgiou et al., 2024).</w:t>
      </w:r>
    </w:p>
    <w:p w14:paraId="241C4019"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Blockchain and Tax Administration</w:t>
      </w:r>
    </w:p>
    <w:p w14:paraId="6AD3C4D7"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1. Blockchain as a disruption to tax administration</w:t>
      </w:r>
    </w:p>
    <w:p w14:paraId="59334A10"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lastRenderedPageBreak/>
        <w:t xml:space="preserve">Tax agencies globally are confronted with tax evasion, (Martinez-Vazquez et al, 2014) under-reporting, fraud, and wastage of administration. Conventional digitalization initiatives (e-invoicing, e-filing) raised compliance levels but are open to manipulation. Permanent records of the blockchain technology provide a more revolutionary alternative in the sense that data submitted cannot be altered in the past (Yermack, 2017). Researchers cite how the functionality is in line with tax authorities' objectives of minimizing information asymmetry and maximizing taxpayers' transparency (Pimentel &amp; </w:t>
      </w:r>
      <w:proofErr w:type="spellStart"/>
      <w:r w:rsidRPr="00203F6C">
        <w:rPr>
          <w:rFonts w:ascii="Times New Roman" w:hAnsi="Times New Roman" w:cs="Times New Roman"/>
          <w:sz w:val="24"/>
          <w:szCs w:val="24"/>
        </w:rPr>
        <w:t>Boulianne</w:t>
      </w:r>
      <w:proofErr w:type="spellEnd"/>
      <w:r w:rsidRPr="00203F6C">
        <w:rPr>
          <w:rFonts w:ascii="Times New Roman" w:hAnsi="Times New Roman" w:cs="Times New Roman"/>
          <w:sz w:val="24"/>
          <w:szCs w:val="24"/>
        </w:rPr>
        <w:t>, 2020).</w:t>
      </w:r>
    </w:p>
    <w:p w14:paraId="1FAD3FA0"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2. Blockchain technology for VAT and indirect tax</w:t>
      </w:r>
    </w:p>
    <w:p w14:paraId="546EA19C"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Literature primarily describes how blockchain is beneficial in VAT, where carousel schemes and frauds are common. Rodríguez-Aros (2023) indicates that VAT systems based on blockchain can verify invoices, automate VAT settlements, and prevent refund fraud. National pilots like China's blockchain invoicing system have proved to enhance traceability and prevent false claims (Li, Wang, &amp; Chen, 2019). In the same way, Thailand has used blockchain in tourist VAT refund schemes to showcase its application to cross-border compliance in real-time (</w:t>
      </w:r>
      <w:proofErr w:type="spellStart"/>
      <w:r w:rsidRPr="00203F6C">
        <w:rPr>
          <w:rFonts w:ascii="Times New Roman" w:hAnsi="Times New Roman" w:cs="Times New Roman"/>
          <w:sz w:val="24"/>
          <w:szCs w:val="24"/>
        </w:rPr>
        <w:t>Semenzin</w:t>
      </w:r>
      <w:proofErr w:type="spellEnd"/>
      <w:r w:rsidRPr="00203F6C">
        <w:rPr>
          <w:rFonts w:ascii="Times New Roman" w:hAnsi="Times New Roman" w:cs="Times New Roman"/>
          <w:sz w:val="24"/>
          <w:szCs w:val="24"/>
        </w:rPr>
        <w:t xml:space="preserve">, </w:t>
      </w:r>
      <w:proofErr w:type="spellStart"/>
      <w:r w:rsidRPr="00203F6C">
        <w:rPr>
          <w:rFonts w:ascii="Times New Roman" w:hAnsi="Times New Roman" w:cs="Times New Roman"/>
          <w:sz w:val="24"/>
          <w:szCs w:val="24"/>
        </w:rPr>
        <w:t>Rozas</w:t>
      </w:r>
      <w:proofErr w:type="spellEnd"/>
      <w:r w:rsidRPr="00203F6C">
        <w:rPr>
          <w:rFonts w:ascii="Times New Roman" w:hAnsi="Times New Roman" w:cs="Times New Roman"/>
          <w:sz w:val="24"/>
          <w:szCs w:val="24"/>
        </w:rPr>
        <w:t>, &amp; Hassan, 2022).</w:t>
      </w:r>
    </w:p>
    <w:p w14:paraId="333AB843"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3. Improving compliance and revenue mobilization</w:t>
      </w:r>
    </w:p>
    <w:p w14:paraId="6EBBACF7"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Evidences indicate that blockchain has the capacity to encourage voluntary compliance through diminished opportunities for evasion and easier reporting. For instance, Nguyen, Le, and Truong (2021) discovered that using blockchain in tax management enhances the credibility of data and efficiency of audit (Han et al., 2022), thereby enhancing the collection of revenue. Owens and Hodžić (2022) posit that blockchain is a turning point of "Tax Administration 3.0," where web platforms enable real-time monitoring of taxpayer behavior, reducing the compliance burden while plugging loopholes.</w:t>
      </w:r>
    </w:p>
    <w:p w14:paraId="30E77CA3"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4. Challenges and threats of blockchain adoption</w:t>
      </w:r>
    </w:p>
    <w:p w14:paraId="3BA54B43"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Notwithstanding its promise, however, blockchain has numerous challenges. Scalability and integration concerns stall adoption in countries with high volumes of transactions (Rodríguez-Aros, 2023). There are data privacy challenges and concerns with the law, including maintaining taxpayer anonymity but being transparent (</w:t>
      </w:r>
      <w:proofErr w:type="spellStart"/>
      <w:r w:rsidRPr="00203F6C">
        <w:rPr>
          <w:rFonts w:ascii="Times New Roman" w:hAnsi="Times New Roman" w:cs="Times New Roman"/>
          <w:sz w:val="24"/>
          <w:szCs w:val="24"/>
        </w:rPr>
        <w:t>Semenzin</w:t>
      </w:r>
      <w:proofErr w:type="spellEnd"/>
      <w:r w:rsidRPr="00203F6C">
        <w:rPr>
          <w:rFonts w:ascii="Times New Roman" w:hAnsi="Times New Roman" w:cs="Times New Roman"/>
          <w:sz w:val="24"/>
          <w:szCs w:val="24"/>
        </w:rPr>
        <w:t xml:space="preserve"> et al., 2022). The adoption is also susceptible to high institutional capacity and governance transformations, for instance, training staff, new legal frameworks, and compatibility with existing systems (Georgiou et al., 2024). Political economy constraints can also affect adoption because automation reduces discretionary power in tax administration (Owens &amp; Hodžić, 2022).</w:t>
      </w:r>
    </w:p>
    <w:p w14:paraId="4F451F35"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Disruptive tax compliance and collection technologies</w:t>
      </w:r>
    </w:p>
    <w:p w14:paraId="29CB143D"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lastRenderedPageBreak/>
        <w:t xml:space="preserve">Disruptive digital technologies here defined as technologies that alter the cost, timing, or observability of economic transactions redevelop the game of enforcement in tax by reshaping information flows, audit likelihoods and taxpayer concealment costs (OECD, 2019). Where third-party data were previously incomplete or costly to obtain, contemporary digital technologies (e-invoicing, online tills, big-data analysis, artificial intelligence, DLT/blockchain and e-payments) provide near real-time machine-readable proof of transactions that may be used by tax administrations to limit the ambit for under-reporting and tax evasion. </w:t>
      </w:r>
    </w:p>
    <w:p w14:paraId="6ED435C9"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2. Mechanisms: how disruptive technologies enhance compliance and revenues</w:t>
      </w:r>
    </w:p>
    <w:p w14:paraId="5E2040C0"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One of the main channels through which digital technologies increase compliance is through the increase in verifiable third-party information. Experimental and quasi-experimental results indicate that taxpayers are more likely to report if they have assurance that the tax authority possesses independent, transaction-level information. Randomized evidence from Pomeranz's VAT contexts illustrates that credible third-party reporting significantly increases declared VAT by altering deterrence and self-enforcement incentives. (Pomeranz, 2015).</w:t>
      </w:r>
    </w:p>
    <w:p w14:paraId="1660F2C6"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E-invoicing and electronic fiscal instruments accomplish this mechanism by rendering invoices and transaction records machine-readable and (if collected in a central fashion) immediately verifiable between buyer, seller and the taxation authority. Empirical evidence is presented that compulsory electronic invoicing can stimulate reported turnover and VAT obligations effects most pronounced amongst firms with previous weak enforcement or in industries where informal payments are common (Bellon et al., 2019). Network externalities are significant too: as trade counterparts implement e-invoicing, compliance spillovers increase the impact of the reform in supply chains (IMF follow-up evidence documented below). Big data and AI complement transaction-level reforms. Machine-learning risk models and network-topology aware analytics enhance audit selection efficiency and find unusual patterns in high-dimensional transaction data such that authorities can concentrate limited audit capacity and identify novel types of evasion (Baghdasaryan et al., 2022).</w:t>
      </w:r>
    </w:p>
    <w:p w14:paraId="204E546C"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3. Representative empirical evidence</w:t>
      </w:r>
    </w:p>
    <w:p w14:paraId="78097970"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E-invoicing and electronic sales reporting</w:t>
      </w:r>
    </w:p>
    <w:p w14:paraId="1E84C576"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 xml:space="preserve">Several high-quality quasi-experimental studies corroborate that mandatory e-invoicing increases reported purchases, sales and VAT liabilities. Close inspection of Peru's rolled-out deployment reveals significant increases in reported sales and VAT for adopters, particularly small firms and historically low-compliance sectors consistent with increased deterrence and reduced concealment cost once invoices are electronic (Bellon et al., 2019). Consistent with Italy, supporting evidence indicates that mandatory e-invoicing </w:t>
      </w:r>
      <w:r w:rsidRPr="00203F6C">
        <w:rPr>
          <w:rFonts w:ascii="Times New Roman" w:hAnsi="Times New Roman" w:cs="Times New Roman"/>
          <w:sz w:val="24"/>
          <w:szCs w:val="24"/>
        </w:rPr>
        <w:lastRenderedPageBreak/>
        <w:t>across the country curbed estimated cross-country VAT fraud considerably and realized actual revenue gains in the first year of enforcement (Heinemann &amp; Stiller, 2024). Lower-income country research in Peru and other lower-income environments also record revenue gains after the application of e-invoicing or fiscal instruments online, even though realized impacts vary depending on controls available (Mascagni et al., 2021).</w:t>
      </w:r>
    </w:p>
    <w:p w14:paraId="6697F870"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Third-party information and consumer reporting</w:t>
      </w:r>
    </w:p>
    <w:p w14:paraId="6F22BFD8"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Third-party reporting policy experiments with intermediaries or consumers have high multiplier effects: randomized deterrence experiments and consumer reward schemes in Brazil (nota-fiscal schemes) show that extra information channels (notifications, receipts verifiable by the authority) strongly increase declared transactions (</w:t>
      </w:r>
      <w:proofErr w:type="spellStart"/>
      <w:r w:rsidRPr="00203F6C">
        <w:rPr>
          <w:rFonts w:ascii="Times New Roman" w:hAnsi="Times New Roman" w:cs="Times New Roman"/>
          <w:sz w:val="24"/>
          <w:szCs w:val="24"/>
        </w:rPr>
        <w:t>Naritomi</w:t>
      </w:r>
      <w:proofErr w:type="spellEnd"/>
      <w:r w:rsidRPr="00203F6C">
        <w:rPr>
          <w:rFonts w:ascii="Times New Roman" w:hAnsi="Times New Roman" w:cs="Times New Roman"/>
          <w:sz w:val="24"/>
          <w:szCs w:val="24"/>
        </w:rPr>
        <w:t>, 2019; Pomeranz, 2015). These experiments corroborate that verifiable, easy-to-process information provokes voluntary compliance.</w:t>
      </w:r>
    </w:p>
    <w:p w14:paraId="2326B589"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AI, machine learning and audit targeting</w:t>
      </w:r>
    </w:p>
    <w:p w14:paraId="1F0F0A2F"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ML in auditing and suggests strategies to overcome these challenges. Overall, this paper aims to provide a comprehensive overview (Adelakun et al., 2024) of the benefits and challenges of integrating ML algorithms into audit processes.  It will discuss the potential impact of ML on audit practices and how auditors can leverage this technology to improve audit outcomes. Auditing plays a crucial role in ensuring the integrity and reliability of financial information.  It involves a systematic examination of financial records, transactions, and operations to verify their accuracy and compliance with relevant laws and regulations. As businesses and financial transactions become increasingly complex, auditors are turning to advanced technologies, such as machine learning (ML), to enhance audit processes (Fotoh &amp; Lorentzon, 2023, Imoniana, et. al., 2023, Kanaparthi, 2024). Machine learning, a subset of artificial intelligence (AI), involves the development of algorithms that can learn from and make predictions or decisions based on data</w:t>
      </w:r>
    </w:p>
    <w:p w14:paraId="6928B108" w14:textId="1F067682" w:rsidR="00203F6C" w:rsidRPr="00203F6C" w:rsidRDefault="00203F6C" w:rsidP="00203F6C">
      <w:pPr>
        <w:pStyle w:val="Heading2"/>
        <w:rPr>
          <w:rFonts w:ascii="Times New Roman" w:hAnsi="Times New Roman" w:cs="Times New Roman"/>
          <w:b w:val="0"/>
          <w:bCs w:val="0"/>
          <w:color w:val="000000" w:themeColor="text1"/>
          <w:sz w:val="24"/>
          <w:szCs w:val="24"/>
        </w:rPr>
      </w:pPr>
      <w:r w:rsidRPr="00203F6C">
        <w:rPr>
          <w:rFonts w:ascii="Times New Roman" w:hAnsi="Times New Roman" w:cs="Times New Roman"/>
          <w:b w:val="0"/>
          <w:bCs w:val="0"/>
          <w:color w:val="000000" w:themeColor="text1"/>
          <w:sz w:val="24"/>
          <w:szCs w:val="24"/>
        </w:rPr>
        <w:lastRenderedPageBreak/>
        <w:t>Applied ML enhances the efficiency of auditing by enhancing fraud/under-reporting accuracy detection and by utilizing network information (buyer/supplier relationships, payment flows) for collusion or missing-trader scheme detection. New applied studies indicate gradient-boosting and other ensemble techniques via taxpayer network features outperforming straightforward rule-based selection, enhancing the hit-rate of audits as well as assisting revenue agencies in case prioritization (Baghdasaryan et al., 2022). Operational deployments (as documented in policy reports) show that analytic platforms and AI can have a material impact on reducing human effort and enabling more transaction screening, but author teams cite governance and explainability constraints</w:t>
      </w:r>
    </w:p>
    <w:p w14:paraId="7E1F24E2" w14:textId="2952D100" w:rsidR="000725C2" w:rsidRPr="00203F6C" w:rsidRDefault="00203F6C">
      <w:pPr>
        <w:pStyle w:val="Heading2"/>
        <w:rPr>
          <w:rFonts w:ascii="Times New Roman" w:hAnsi="Times New Roman" w:cs="Times New Roman"/>
          <w:color w:val="000000" w:themeColor="text1"/>
          <w:sz w:val="24"/>
          <w:szCs w:val="24"/>
        </w:rPr>
      </w:pPr>
      <w:r w:rsidRPr="00203F6C">
        <w:rPr>
          <w:rFonts w:ascii="Times New Roman" w:hAnsi="Times New Roman" w:cs="Times New Roman"/>
          <w:color w:val="000000" w:themeColor="text1"/>
          <w:sz w:val="24"/>
          <w:szCs w:val="24"/>
        </w:rPr>
        <w:t xml:space="preserve">Material and Methods </w:t>
      </w:r>
    </w:p>
    <w:p w14:paraId="75CC4577" w14:textId="0B68CD49" w:rsidR="00203F6C" w:rsidRPr="00203F6C" w:rsidRDefault="002E1EC8" w:rsidP="00203F6C">
      <w:pPr>
        <w:rPr>
          <w:rFonts w:ascii="Times New Roman" w:hAnsi="Times New Roman" w:cs="Times New Roman"/>
          <w:sz w:val="24"/>
          <w:szCs w:val="24"/>
        </w:rPr>
      </w:pPr>
      <w:r w:rsidRPr="00203F6C">
        <w:rPr>
          <w:rFonts w:ascii="Times New Roman" w:hAnsi="Times New Roman" w:cs="Times New Roman"/>
          <w:sz w:val="24"/>
          <w:szCs w:val="24"/>
        </w:rPr>
        <w:br/>
      </w:r>
      <w:r w:rsidR="00203F6C" w:rsidRPr="00203F6C">
        <w:rPr>
          <w:rFonts w:ascii="Times New Roman" w:hAnsi="Times New Roman" w:cs="Times New Roman"/>
          <w:sz w:val="24"/>
          <w:szCs w:val="24"/>
        </w:rPr>
        <w:t xml:space="preserve"> Research Design</w:t>
      </w:r>
    </w:p>
    <w:p w14:paraId="3891D979"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This research employs a simulation quantitative research approach with its anchor rooted in a behavioral mathematical model and computation calibration to quantify blockchain's potential impact on tax compliance and revenue collection in Nigeria. The model is predictive–evaluative in nature appropriate where empirical adoption data is lacking. The model measures the extent to which blockchain-enforced enforcement systems change taxpayers' compliance opportunity, under-reporting opportunity, and detection opportunity.</w:t>
      </w:r>
    </w:p>
    <w:p w14:paraId="09C39DB0" w14:textId="3235966D"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Model Specification</w:t>
      </w:r>
    </w:p>
    <w:p w14:paraId="2401D2F6" w14:textId="77777777" w:rsidR="00203F6C" w:rsidRPr="00203F6C" w:rsidRDefault="00203F6C" w:rsidP="00203F6C">
      <w:pPr>
        <w:rPr>
          <w:rFonts w:ascii="Times New Roman" w:hAnsi="Times New Roman" w:cs="Times New Roman"/>
          <w:i/>
          <w:iCs/>
          <w:sz w:val="24"/>
          <w:szCs w:val="24"/>
        </w:rPr>
      </w:pPr>
      <w:r w:rsidRPr="00203F6C">
        <w:rPr>
          <w:rFonts w:ascii="Times New Roman" w:hAnsi="Times New Roman" w:cs="Times New Roman"/>
          <w:sz w:val="24"/>
          <w:szCs w:val="24"/>
        </w:rPr>
        <w:t xml:space="preserve">Let </w:t>
      </w:r>
      <w:proofErr w:type="spellStart"/>
      <w:r w:rsidRPr="00203F6C">
        <w:rPr>
          <w:rFonts w:ascii="Times New Roman" w:hAnsi="Times New Roman" w:cs="Times New Roman"/>
          <w:sz w:val="24"/>
          <w:szCs w:val="24"/>
        </w:rPr>
        <w:t>Y_i</w:t>
      </w:r>
      <w:proofErr w:type="spellEnd"/>
      <w:r w:rsidRPr="00203F6C">
        <w:rPr>
          <w:rFonts w:ascii="Times New Roman" w:hAnsi="Times New Roman" w:cs="Times New Roman"/>
          <w:sz w:val="24"/>
          <w:szCs w:val="24"/>
        </w:rPr>
        <w:t xml:space="preserve"> denote firm i’s VAT-liable sales, and t the statutory VAT rate. Blockchain adoption intensity is represented as B </w:t>
      </w:r>
      <w:r w:rsidRPr="00203F6C">
        <w:rPr>
          <w:rFonts w:ascii="Cambria Math" w:hAnsi="Cambria Math" w:cs="Cambria Math"/>
          <w:sz w:val="24"/>
          <w:szCs w:val="24"/>
        </w:rPr>
        <w:t>∈</w:t>
      </w:r>
      <w:r w:rsidRPr="00203F6C">
        <w:rPr>
          <w:rFonts w:ascii="Times New Roman" w:hAnsi="Times New Roman" w:cs="Times New Roman"/>
          <w:sz w:val="24"/>
          <w:szCs w:val="24"/>
        </w:rPr>
        <w:t xml:space="preserve"> [0, 1]. Expected government revenue per firm under adoption </w:t>
      </w:r>
      <w:r w:rsidRPr="00203F6C">
        <w:rPr>
          <w:rFonts w:ascii="Times New Roman" w:hAnsi="Times New Roman" w:cs="Times New Roman"/>
          <w:i/>
          <w:iCs/>
          <w:sz w:val="24"/>
          <w:szCs w:val="24"/>
        </w:rPr>
        <w:t>level B is defined as:</w:t>
      </w:r>
      <w:r w:rsidRPr="00203F6C">
        <w:rPr>
          <w:rFonts w:ascii="Times New Roman" w:hAnsi="Times New Roman" w:cs="Times New Roman"/>
          <w:i/>
          <w:iCs/>
          <w:sz w:val="24"/>
          <w:szCs w:val="24"/>
        </w:rPr>
        <w:br/>
      </w:r>
      <w:proofErr w:type="gramStart"/>
      <w:r w:rsidRPr="00203F6C">
        <w:rPr>
          <w:rFonts w:ascii="Times New Roman" w:hAnsi="Times New Roman" w:cs="Times New Roman"/>
          <w:i/>
          <w:iCs/>
          <w:sz w:val="24"/>
          <w:szCs w:val="24"/>
        </w:rPr>
        <w:t>E[</w:t>
      </w:r>
      <w:proofErr w:type="gramEnd"/>
      <w:r w:rsidRPr="00203F6C">
        <w:rPr>
          <w:rFonts w:ascii="Times New Roman" w:hAnsi="Times New Roman" w:cs="Times New Roman"/>
          <w:i/>
          <w:iCs/>
          <w:sz w:val="24"/>
          <w:szCs w:val="24"/>
        </w:rPr>
        <w:t>R_i(Y_i, B)] = tY_i [P(B) + (1 - P(B))((1 - q(B))(1 - u(B)) + q(B)(1 + u(B)))]</w:t>
      </w:r>
      <w:r w:rsidRPr="00203F6C">
        <w:rPr>
          <w:rFonts w:ascii="Times New Roman" w:hAnsi="Times New Roman" w:cs="Times New Roman"/>
          <w:i/>
          <w:iCs/>
          <w:sz w:val="24"/>
          <w:szCs w:val="24"/>
        </w:rPr>
        <w:br/>
      </w:r>
      <w:r w:rsidRPr="00203F6C">
        <w:rPr>
          <w:rFonts w:ascii="Times New Roman" w:hAnsi="Times New Roman" w:cs="Times New Roman"/>
          <w:i/>
          <w:iCs/>
          <w:sz w:val="24"/>
          <w:szCs w:val="24"/>
        </w:rPr>
        <w:br/>
        <w:t>Where:</w:t>
      </w:r>
    </w:p>
    <w:p w14:paraId="7506EC4C" w14:textId="0478674F" w:rsidR="00203F6C" w:rsidRPr="00203F6C" w:rsidRDefault="00203F6C" w:rsidP="00203F6C">
      <w:pPr>
        <w:pStyle w:val="ListParagraph"/>
        <w:numPr>
          <w:ilvl w:val="0"/>
          <w:numId w:val="18"/>
        </w:numPr>
        <w:rPr>
          <w:rFonts w:ascii="Times New Roman" w:hAnsi="Times New Roman" w:cs="Times New Roman"/>
          <w:sz w:val="24"/>
          <w:szCs w:val="24"/>
        </w:rPr>
      </w:pPr>
      <w:r w:rsidRPr="00203F6C">
        <w:rPr>
          <w:rFonts w:ascii="Times New Roman" w:hAnsi="Times New Roman" w:cs="Times New Roman"/>
          <w:i/>
          <w:iCs/>
          <w:sz w:val="24"/>
          <w:szCs w:val="24"/>
        </w:rPr>
        <w:t>P(B):</w:t>
      </w:r>
      <w:r w:rsidRPr="00203F6C">
        <w:rPr>
          <w:rFonts w:ascii="Times New Roman" w:hAnsi="Times New Roman" w:cs="Times New Roman"/>
          <w:sz w:val="24"/>
          <w:szCs w:val="24"/>
        </w:rPr>
        <w:t xml:space="preserve"> probability of truthful reporting,</w:t>
      </w:r>
    </w:p>
    <w:p w14:paraId="25A42402" w14:textId="278CA635" w:rsidR="00203F6C" w:rsidRPr="00203F6C" w:rsidRDefault="00203F6C" w:rsidP="00203F6C">
      <w:pPr>
        <w:pStyle w:val="ListParagraph"/>
        <w:numPr>
          <w:ilvl w:val="0"/>
          <w:numId w:val="18"/>
        </w:numPr>
        <w:rPr>
          <w:rFonts w:ascii="Times New Roman" w:hAnsi="Times New Roman" w:cs="Times New Roman"/>
          <w:i/>
          <w:iCs/>
          <w:sz w:val="24"/>
          <w:szCs w:val="24"/>
        </w:rPr>
      </w:pPr>
      <w:r w:rsidRPr="00203F6C">
        <w:rPr>
          <w:rFonts w:ascii="Times New Roman" w:hAnsi="Times New Roman" w:cs="Times New Roman"/>
          <w:i/>
          <w:iCs/>
          <w:sz w:val="24"/>
          <w:szCs w:val="24"/>
        </w:rPr>
        <w:t xml:space="preserve">u(B): </w:t>
      </w:r>
      <w:r w:rsidRPr="00203F6C">
        <w:rPr>
          <w:rFonts w:ascii="Times New Roman" w:hAnsi="Times New Roman" w:cs="Times New Roman"/>
          <w:sz w:val="24"/>
          <w:szCs w:val="24"/>
        </w:rPr>
        <w:t>ratio of unreported transactions</w:t>
      </w:r>
      <w:r w:rsidRPr="00203F6C">
        <w:rPr>
          <w:rFonts w:ascii="Times New Roman" w:hAnsi="Times New Roman" w:cs="Times New Roman"/>
          <w:i/>
          <w:iCs/>
          <w:sz w:val="24"/>
          <w:szCs w:val="24"/>
        </w:rPr>
        <w:t>,</w:t>
      </w:r>
    </w:p>
    <w:p w14:paraId="25063912" w14:textId="0BF70B5D" w:rsidR="00203F6C" w:rsidRPr="00203F6C" w:rsidRDefault="00203F6C" w:rsidP="00203F6C">
      <w:pPr>
        <w:pStyle w:val="ListParagraph"/>
        <w:numPr>
          <w:ilvl w:val="0"/>
          <w:numId w:val="18"/>
        </w:numPr>
        <w:rPr>
          <w:rFonts w:ascii="Times New Roman" w:hAnsi="Times New Roman" w:cs="Times New Roman"/>
          <w:i/>
          <w:iCs/>
          <w:sz w:val="24"/>
          <w:szCs w:val="24"/>
        </w:rPr>
      </w:pPr>
      <w:r w:rsidRPr="00203F6C">
        <w:rPr>
          <w:rFonts w:ascii="Times New Roman" w:hAnsi="Times New Roman" w:cs="Times New Roman"/>
          <w:i/>
          <w:iCs/>
          <w:sz w:val="24"/>
          <w:szCs w:val="24"/>
        </w:rPr>
        <w:t xml:space="preserve">q(B): </w:t>
      </w:r>
      <w:r w:rsidRPr="00203F6C">
        <w:rPr>
          <w:rFonts w:ascii="Times New Roman" w:hAnsi="Times New Roman" w:cs="Times New Roman"/>
          <w:sz w:val="24"/>
          <w:szCs w:val="24"/>
        </w:rPr>
        <w:t>detection probability</w:t>
      </w:r>
      <w:r w:rsidRPr="00203F6C">
        <w:rPr>
          <w:rFonts w:ascii="Times New Roman" w:hAnsi="Times New Roman" w:cs="Times New Roman"/>
          <w:i/>
          <w:iCs/>
          <w:sz w:val="24"/>
          <w:szCs w:val="24"/>
        </w:rPr>
        <w:t>,</w:t>
      </w:r>
    </w:p>
    <w:p w14:paraId="7AC820EE" w14:textId="09CA3141" w:rsidR="00203F6C" w:rsidRPr="00203F6C" w:rsidRDefault="00203F6C" w:rsidP="00203F6C">
      <w:pPr>
        <w:pStyle w:val="ListParagraph"/>
        <w:numPr>
          <w:ilvl w:val="0"/>
          <w:numId w:val="18"/>
        </w:numPr>
        <w:rPr>
          <w:rFonts w:ascii="Times New Roman" w:hAnsi="Times New Roman" w:cs="Times New Roman"/>
          <w:sz w:val="24"/>
          <w:szCs w:val="24"/>
        </w:rPr>
      </w:pPr>
      <w:r w:rsidRPr="00203F6C">
        <w:rPr>
          <w:rFonts w:ascii="Times New Roman" w:hAnsi="Times New Roman" w:cs="Times New Roman"/>
          <w:i/>
          <w:iCs/>
          <w:sz w:val="24"/>
          <w:szCs w:val="24"/>
        </w:rPr>
        <w:t xml:space="preserve">q(B) </w:t>
      </w:r>
      <w:r w:rsidRPr="00203F6C">
        <w:rPr>
          <w:rFonts w:ascii="Times New Roman" w:hAnsi="Times New Roman" w:cs="Times New Roman"/>
          <w:sz w:val="24"/>
          <w:szCs w:val="24"/>
        </w:rPr>
        <w:t>and P(B) rise with B,</w:t>
      </w:r>
    </w:p>
    <w:p w14:paraId="6AA44FE8" w14:textId="78A28C64" w:rsidR="00203F6C" w:rsidRPr="00203F6C" w:rsidRDefault="00203F6C" w:rsidP="00203F6C">
      <w:pPr>
        <w:pStyle w:val="ListParagraph"/>
        <w:numPr>
          <w:ilvl w:val="0"/>
          <w:numId w:val="18"/>
        </w:numPr>
        <w:rPr>
          <w:rFonts w:ascii="Times New Roman" w:hAnsi="Times New Roman" w:cs="Times New Roman"/>
          <w:sz w:val="24"/>
          <w:szCs w:val="24"/>
        </w:rPr>
      </w:pPr>
      <w:r w:rsidRPr="00203F6C">
        <w:rPr>
          <w:rFonts w:ascii="Times New Roman" w:hAnsi="Times New Roman" w:cs="Times New Roman"/>
          <w:i/>
          <w:iCs/>
          <w:sz w:val="24"/>
          <w:szCs w:val="24"/>
        </w:rPr>
        <w:t xml:space="preserve">u(B) </w:t>
      </w:r>
      <w:r w:rsidRPr="00203F6C">
        <w:rPr>
          <w:rFonts w:ascii="Times New Roman" w:hAnsi="Times New Roman" w:cs="Times New Roman"/>
          <w:sz w:val="24"/>
          <w:szCs w:val="24"/>
        </w:rPr>
        <w:t>falls with B.</w:t>
      </w:r>
    </w:p>
    <w:p w14:paraId="3806DD85"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Aggregate expected revenue is given as:</w:t>
      </w:r>
    </w:p>
    <w:p w14:paraId="102F2D2E" w14:textId="77777777" w:rsidR="00203F6C" w:rsidRPr="00203F6C" w:rsidRDefault="002E1EC8" w:rsidP="00203F6C">
      <w:pPr>
        <w:pStyle w:val="ListParagraph"/>
        <w:numPr>
          <w:ilvl w:val="0"/>
          <w:numId w:val="12"/>
        </w:numPr>
        <w:rPr>
          <w:rFonts w:ascii="Times New Roman" w:hAnsi="Times New Roman" w:cs="Times New Roman"/>
          <w:sz w:val="24"/>
          <w:szCs w:val="24"/>
        </w:rPr>
      </w:pPr>
      <w:proofErr w:type="spellStart"/>
      <w:r w:rsidRPr="00203F6C">
        <w:rPr>
          <w:rFonts w:ascii="Times New Roman" w:hAnsi="Times New Roman" w:cs="Times New Roman"/>
          <w:i/>
          <w:iCs/>
          <w:sz w:val="24"/>
          <w:szCs w:val="24"/>
        </w:rPr>
        <w:t>R_tot</w:t>
      </w:r>
      <w:proofErr w:type="spellEnd"/>
      <w:r w:rsidRPr="00203F6C">
        <w:rPr>
          <w:rFonts w:ascii="Times New Roman" w:hAnsi="Times New Roman" w:cs="Times New Roman"/>
          <w:i/>
          <w:iCs/>
          <w:sz w:val="24"/>
          <w:szCs w:val="24"/>
        </w:rPr>
        <w:t>(B) =</w:t>
      </w:r>
      <w:r w:rsidRPr="00203F6C">
        <w:rPr>
          <w:rFonts w:ascii="Times New Roman" w:hAnsi="Times New Roman" w:cs="Times New Roman"/>
          <w:i/>
          <w:iCs/>
          <w:sz w:val="24"/>
          <w:szCs w:val="24"/>
        </w:rPr>
        <w:t xml:space="preserve"> </w:t>
      </w:r>
      <w:proofErr w:type="spellStart"/>
      <w:r w:rsidRPr="00203F6C">
        <w:rPr>
          <w:rFonts w:ascii="Times New Roman" w:hAnsi="Times New Roman" w:cs="Times New Roman"/>
          <w:i/>
          <w:iCs/>
          <w:sz w:val="24"/>
          <w:szCs w:val="24"/>
        </w:rPr>
        <w:t>NtE</w:t>
      </w:r>
      <w:proofErr w:type="spellEnd"/>
      <w:r w:rsidRPr="00203F6C">
        <w:rPr>
          <w:rFonts w:ascii="Times New Roman" w:hAnsi="Times New Roman" w:cs="Times New Roman"/>
          <w:i/>
          <w:iCs/>
          <w:sz w:val="24"/>
          <w:szCs w:val="24"/>
        </w:rPr>
        <w:t xml:space="preserve">[Y]F(B), where F(B) </w:t>
      </w:r>
      <w:r w:rsidRPr="00203F6C">
        <w:rPr>
          <w:rFonts w:ascii="Times New Roman" w:hAnsi="Times New Roman" w:cs="Times New Roman"/>
          <w:sz w:val="24"/>
          <w:szCs w:val="24"/>
        </w:rPr>
        <w:t>summarizes compliance effects</w:t>
      </w:r>
      <w:r w:rsidRPr="00203F6C">
        <w:rPr>
          <w:rFonts w:ascii="Times New Roman" w:hAnsi="Times New Roman" w:cs="Times New Roman"/>
          <w:i/>
          <w:iCs/>
          <w:sz w:val="24"/>
          <w:szCs w:val="24"/>
        </w:rPr>
        <w:t>.</w:t>
      </w:r>
    </w:p>
    <w:p w14:paraId="786414D2" w14:textId="77777777" w:rsidR="00203F6C" w:rsidRPr="00203F6C" w:rsidRDefault="00203F6C" w:rsidP="00203F6C">
      <w:pPr>
        <w:pStyle w:val="ListParagraph"/>
        <w:rPr>
          <w:rFonts w:ascii="Times New Roman" w:hAnsi="Times New Roman" w:cs="Times New Roman"/>
          <w:sz w:val="24"/>
          <w:szCs w:val="24"/>
        </w:rPr>
      </w:pPr>
    </w:p>
    <w:p w14:paraId="3D9431F5" w14:textId="50CE2A07" w:rsidR="00203F6C" w:rsidRPr="00203F6C" w:rsidRDefault="00203F6C" w:rsidP="00203F6C">
      <w:pPr>
        <w:pStyle w:val="ListParagraph"/>
        <w:rPr>
          <w:rFonts w:ascii="Times New Roman" w:hAnsi="Times New Roman" w:cs="Times New Roman"/>
          <w:sz w:val="24"/>
          <w:szCs w:val="24"/>
        </w:rPr>
      </w:pPr>
      <w:r w:rsidRPr="00203F6C">
        <w:rPr>
          <w:rFonts w:ascii="Times New Roman" w:hAnsi="Times New Roman" w:cs="Times New Roman"/>
          <w:sz w:val="24"/>
          <w:szCs w:val="24"/>
        </w:rPr>
        <w:t>Calibration</w:t>
      </w:r>
    </w:p>
    <w:p w14:paraId="658C6C44" w14:textId="77777777" w:rsidR="00203F6C" w:rsidRPr="00203F6C" w:rsidRDefault="00203F6C" w:rsidP="00203F6C">
      <w:pPr>
        <w:pStyle w:val="ListParagraph"/>
        <w:rPr>
          <w:rFonts w:ascii="Times New Roman" w:hAnsi="Times New Roman" w:cs="Times New Roman"/>
          <w:sz w:val="24"/>
          <w:szCs w:val="24"/>
        </w:rPr>
      </w:pPr>
    </w:p>
    <w:p w14:paraId="794D5D17" w14:textId="77777777" w:rsidR="00203F6C" w:rsidRPr="00203F6C" w:rsidRDefault="00203F6C" w:rsidP="00203F6C">
      <w:pPr>
        <w:pStyle w:val="ListParagraph"/>
        <w:numPr>
          <w:ilvl w:val="0"/>
          <w:numId w:val="12"/>
        </w:numPr>
        <w:rPr>
          <w:rFonts w:ascii="Times New Roman" w:hAnsi="Times New Roman" w:cs="Times New Roman"/>
          <w:sz w:val="24"/>
          <w:szCs w:val="24"/>
        </w:rPr>
      </w:pPr>
      <w:r w:rsidRPr="00203F6C">
        <w:rPr>
          <w:rFonts w:ascii="Times New Roman" w:hAnsi="Times New Roman" w:cs="Times New Roman"/>
          <w:sz w:val="24"/>
          <w:szCs w:val="24"/>
        </w:rPr>
        <w:lastRenderedPageBreak/>
        <w:t>Parameters were calibrated based on data from:</w:t>
      </w:r>
    </w:p>
    <w:p w14:paraId="27F93A70" w14:textId="5F26025B" w:rsidR="00203F6C" w:rsidRPr="00203F6C" w:rsidRDefault="00203F6C" w:rsidP="00203F6C">
      <w:pPr>
        <w:pStyle w:val="ListParagraph"/>
        <w:numPr>
          <w:ilvl w:val="0"/>
          <w:numId w:val="12"/>
        </w:numPr>
        <w:rPr>
          <w:rFonts w:ascii="Times New Roman" w:hAnsi="Times New Roman" w:cs="Times New Roman"/>
          <w:sz w:val="24"/>
          <w:szCs w:val="24"/>
        </w:rPr>
      </w:pPr>
      <w:r w:rsidRPr="00203F6C">
        <w:rPr>
          <w:rFonts w:ascii="Times New Roman" w:hAnsi="Times New Roman" w:cs="Times New Roman"/>
          <w:sz w:val="24"/>
          <w:szCs w:val="24"/>
        </w:rPr>
        <w:t>Federal Inland Revenue Service (FIRS) Annual Reports (2019–2023),</w:t>
      </w:r>
    </w:p>
    <w:p w14:paraId="1F439090" w14:textId="0C5171EA" w:rsidR="00203F6C" w:rsidRPr="00203F6C" w:rsidRDefault="00203F6C" w:rsidP="00203F6C">
      <w:pPr>
        <w:pStyle w:val="ListParagraph"/>
        <w:numPr>
          <w:ilvl w:val="0"/>
          <w:numId w:val="12"/>
        </w:numPr>
        <w:rPr>
          <w:rFonts w:ascii="Times New Roman" w:hAnsi="Times New Roman" w:cs="Times New Roman"/>
          <w:sz w:val="24"/>
          <w:szCs w:val="24"/>
        </w:rPr>
      </w:pPr>
      <w:r w:rsidRPr="00203F6C">
        <w:rPr>
          <w:rFonts w:ascii="Times New Roman" w:hAnsi="Times New Roman" w:cs="Times New Roman"/>
          <w:sz w:val="24"/>
          <w:szCs w:val="24"/>
        </w:rPr>
        <w:t>National Bureau of Statistics (NBS) enterprise data,</w:t>
      </w:r>
    </w:p>
    <w:p w14:paraId="68EE9BA7" w14:textId="77777777" w:rsidR="00F8518D"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OECD (2022) digital readiness benchmarks</w:t>
      </w:r>
    </w:p>
    <w:p w14:paraId="488498EA" w14:textId="77777777" w:rsidR="00F8518D" w:rsidRDefault="00F8518D" w:rsidP="00203F6C">
      <w:pPr>
        <w:rPr>
          <w:rFonts w:ascii="Times New Roman" w:hAnsi="Times New Roman" w:cs="Times New Roman"/>
          <w:sz w:val="24"/>
          <w:szCs w:val="24"/>
        </w:rPr>
      </w:pPr>
    </w:p>
    <w:p w14:paraId="3E7F81AE" w14:textId="6D53F80F" w:rsidR="00203F6C" w:rsidRPr="00203F6C" w:rsidRDefault="00F8518D" w:rsidP="00203F6C">
      <w:pPr>
        <w:rPr>
          <w:rFonts w:ascii="Times New Roman" w:hAnsi="Times New Roman" w:cs="Times New Roman"/>
          <w:sz w:val="24"/>
          <w:szCs w:val="24"/>
        </w:rPr>
      </w:pPr>
      <w:r>
        <w:rPr>
          <w:rFonts w:ascii="Times New Roman" w:hAnsi="Times New Roman" w:cs="Times New Roman"/>
          <w:sz w:val="24"/>
          <w:szCs w:val="24"/>
        </w:rPr>
        <w:t>List 1-</w:t>
      </w:r>
      <w:r w:rsidR="00E04374">
        <w:rPr>
          <w:rFonts w:ascii="Times New Roman" w:hAnsi="Times New Roman" w:cs="Times New Roman"/>
          <w:sz w:val="24"/>
          <w:szCs w:val="24"/>
        </w:rPr>
        <w:t xml:space="preserve"> </w:t>
      </w:r>
      <w:r w:rsidR="00E04374" w:rsidRPr="00E04374">
        <w:rPr>
          <w:rFonts w:ascii="Times New Roman" w:hAnsi="Times New Roman" w:cs="Times New Roman"/>
          <w:b/>
          <w:bCs/>
          <w:sz w:val="24"/>
          <w:szCs w:val="24"/>
        </w:rPr>
        <w:t xml:space="preserve">Baseline Parameters for VAT Compliance and </w:t>
      </w:r>
      <w:proofErr w:type="spellStart"/>
      <w:r w:rsidR="00E04374" w:rsidRPr="00E04374">
        <w:rPr>
          <w:rFonts w:ascii="Times New Roman" w:hAnsi="Times New Roman" w:cs="Times New Roman"/>
          <w:b/>
          <w:bCs/>
          <w:sz w:val="24"/>
          <w:szCs w:val="24"/>
        </w:rPr>
        <w:t>Digitalisation</w:t>
      </w:r>
      <w:proofErr w:type="spellEnd"/>
      <w:r w:rsidR="00E04374" w:rsidRPr="00E04374">
        <w:rPr>
          <w:rFonts w:ascii="Times New Roman" w:hAnsi="Times New Roman" w:cs="Times New Roman"/>
          <w:b/>
          <w:bCs/>
          <w:sz w:val="24"/>
          <w:szCs w:val="24"/>
        </w:rPr>
        <w:t xml:space="preserve"> Impact Modelling in Nigeria</w:t>
      </w:r>
      <w:r w:rsidR="00203F6C" w:rsidRPr="00203F6C">
        <w:rPr>
          <w:rFonts w:ascii="Times New Roman" w:hAnsi="Times New Roman" w:cs="Times New Roman"/>
          <w:sz w:val="24"/>
          <w:szCs w:val="24"/>
        </w:rPr>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6"/>
        <w:gridCol w:w="1247"/>
        <w:gridCol w:w="4401"/>
      </w:tblGrid>
      <w:tr w:rsidR="00203F6C" w:rsidRPr="00203F6C" w14:paraId="797B4840" w14:textId="77777777" w:rsidTr="00203F6C">
        <w:trPr>
          <w:tblHeader/>
          <w:tblCellSpacing w:w="15" w:type="dxa"/>
        </w:trPr>
        <w:tc>
          <w:tcPr>
            <w:tcW w:w="0" w:type="auto"/>
            <w:vAlign w:val="center"/>
            <w:hideMark/>
          </w:tcPr>
          <w:p w14:paraId="1CFD5FFD"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Parameter</w:t>
            </w:r>
          </w:p>
        </w:tc>
        <w:tc>
          <w:tcPr>
            <w:tcW w:w="0" w:type="auto"/>
            <w:vAlign w:val="center"/>
            <w:hideMark/>
          </w:tcPr>
          <w:p w14:paraId="3F582DA6"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Value</w:t>
            </w:r>
          </w:p>
        </w:tc>
        <w:tc>
          <w:tcPr>
            <w:tcW w:w="0" w:type="auto"/>
            <w:vAlign w:val="center"/>
            <w:hideMark/>
          </w:tcPr>
          <w:p w14:paraId="34DC10BF"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Rationale</w:t>
            </w:r>
          </w:p>
        </w:tc>
      </w:tr>
      <w:tr w:rsidR="00203F6C" w:rsidRPr="00203F6C" w14:paraId="34CCE725" w14:textId="77777777" w:rsidTr="00203F6C">
        <w:trPr>
          <w:tblCellSpacing w:w="15" w:type="dxa"/>
        </w:trPr>
        <w:tc>
          <w:tcPr>
            <w:tcW w:w="0" w:type="auto"/>
            <w:vAlign w:val="center"/>
            <w:hideMark/>
          </w:tcPr>
          <w:p w14:paraId="098FA96D"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VAT rate (t)</w:t>
            </w:r>
          </w:p>
        </w:tc>
        <w:tc>
          <w:tcPr>
            <w:tcW w:w="0" w:type="auto"/>
            <w:vAlign w:val="center"/>
            <w:hideMark/>
          </w:tcPr>
          <w:p w14:paraId="67637CE8"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7.5%</w:t>
            </w:r>
          </w:p>
        </w:tc>
        <w:tc>
          <w:tcPr>
            <w:tcW w:w="0" w:type="auto"/>
            <w:vAlign w:val="center"/>
            <w:hideMark/>
          </w:tcPr>
          <w:p w14:paraId="6EBBC6F7"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Official statutory rate</w:t>
            </w:r>
          </w:p>
        </w:tc>
      </w:tr>
      <w:tr w:rsidR="00203F6C" w:rsidRPr="00203F6C" w14:paraId="173026E4" w14:textId="77777777" w:rsidTr="00203F6C">
        <w:trPr>
          <w:tblCellSpacing w:w="15" w:type="dxa"/>
        </w:trPr>
        <w:tc>
          <w:tcPr>
            <w:tcW w:w="0" w:type="auto"/>
            <w:vAlign w:val="center"/>
            <w:hideMark/>
          </w:tcPr>
          <w:p w14:paraId="33CC4232"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Mean firm sales (E[Y])</w:t>
            </w:r>
          </w:p>
        </w:tc>
        <w:tc>
          <w:tcPr>
            <w:tcW w:w="0" w:type="auto"/>
            <w:vAlign w:val="center"/>
            <w:hideMark/>
          </w:tcPr>
          <w:p w14:paraId="3E144424"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₦50 million</w:t>
            </w:r>
          </w:p>
        </w:tc>
        <w:tc>
          <w:tcPr>
            <w:tcW w:w="0" w:type="auto"/>
            <w:vAlign w:val="center"/>
            <w:hideMark/>
          </w:tcPr>
          <w:p w14:paraId="2A86F9F6"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Medium enterprise benchmark</w:t>
            </w:r>
          </w:p>
        </w:tc>
      </w:tr>
      <w:tr w:rsidR="00203F6C" w:rsidRPr="00203F6C" w14:paraId="32F5FDC5" w14:textId="77777777" w:rsidTr="00203F6C">
        <w:trPr>
          <w:tblCellSpacing w:w="15" w:type="dxa"/>
        </w:trPr>
        <w:tc>
          <w:tcPr>
            <w:tcW w:w="0" w:type="auto"/>
            <w:vAlign w:val="center"/>
            <w:hideMark/>
          </w:tcPr>
          <w:p w14:paraId="2D50A81C"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Base compliance (p₀)</w:t>
            </w:r>
          </w:p>
        </w:tc>
        <w:tc>
          <w:tcPr>
            <w:tcW w:w="0" w:type="auto"/>
            <w:vAlign w:val="center"/>
            <w:hideMark/>
          </w:tcPr>
          <w:p w14:paraId="0A4E0541"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0.55</w:t>
            </w:r>
          </w:p>
        </w:tc>
        <w:tc>
          <w:tcPr>
            <w:tcW w:w="0" w:type="auto"/>
            <w:vAlign w:val="center"/>
            <w:hideMark/>
          </w:tcPr>
          <w:p w14:paraId="6E2C423D"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Derived from FIRS compliance ratios</w:t>
            </w:r>
          </w:p>
        </w:tc>
      </w:tr>
      <w:tr w:rsidR="00203F6C" w:rsidRPr="00203F6C" w14:paraId="304C8E1D" w14:textId="77777777" w:rsidTr="00203F6C">
        <w:trPr>
          <w:tblCellSpacing w:w="15" w:type="dxa"/>
        </w:trPr>
        <w:tc>
          <w:tcPr>
            <w:tcW w:w="0" w:type="auto"/>
            <w:vAlign w:val="center"/>
            <w:hideMark/>
          </w:tcPr>
          <w:p w14:paraId="22153FB7"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Base detection (q₀)</w:t>
            </w:r>
          </w:p>
        </w:tc>
        <w:tc>
          <w:tcPr>
            <w:tcW w:w="0" w:type="auto"/>
            <w:vAlign w:val="center"/>
            <w:hideMark/>
          </w:tcPr>
          <w:p w14:paraId="243A1E75"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0.07</w:t>
            </w:r>
          </w:p>
        </w:tc>
        <w:tc>
          <w:tcPr>
            <w:tcW w:w="0" w:type="auto"/>
            <w:vAlign w:val="center"/>
            <w:hideMark/>
          </w:tcPr>
          <w:p w14:paraId="64AF3336"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Audit coverage in Nigeria</w:t>
            </w:r>
          </w:p>
        </w:tc>
      </w:tr>
      <w:tr w:rsidR="00203F6C" w:rsidRPr="00203F6C" w14:paraId="0FECDADC" w14:textId="77777777" w:rsidTr="00203F6C">
        <w:trPr>
          <w:tblCellSpacing w:w="15" w:type="dxa"/>
        </w:trPr>
        <w:tc>
          <w:tcPr>
            <w:tcW w:w="0" w:type="auto"/>
            <w:vAlign w:val="center"/>
            <w:hideMark/>
          </w:tcPr>
          <w:p w14:paraId="03F4ACCE"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Under-reporting (u₀)</w:t>
            </w:r>
          </w:p>
        </w:tc>
        <w:tc>
          <w:tcPr>
            <w:tcW w:w="0" w:type="auto"/>
            <w:vAlign w:val="center"/>
            <w:hideMark/>
          </w:tcPr>
          <w:p w14:paraId="5C960C23"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0.35</w:t>
            </w:r>
          </w:p>
        </w:tc>
        <w:tc>
          <w:tcPr>
            <w:tcW w:w="0" w:type="auto"/>
            <w:vAlign w:val="center"/>
            <w:hideMark/>
          </w:tcPr>
          <w:p w14:paraId="035C887D"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Based on OECD (2022)</w:t>
            </w:r>
          </w:p>
        </w:tc>
      </w:tr>
      <w:tr w:rsidR="00203F6C" w:rsidRPr="00203F6C" w14:paraId="6051A994" w14:textId="77777777" w:rsidTr="00203F6C">
        <w:trPr>
          <w:tblCellSpacing w:w="15" w:type="dxa"/>
        </w:trPr>
        <w:tc>
          <w:tcPr>
            <w:tcW w:w="0" w:type="auto"/>
            <w:vAlign w:val="center"/>
            <w:hideMark/>
          </w:tcPr>
          <w:p w14:paraId="0C94ED49"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Blockchain response (α, β)</w:t>
            </w:r>
          </w:p>
        </w:tc>
        <w:tc>
          <w:tcPr>
            <w:tcW w:w="0" w:type="auto"/>
            <w:vAlign w:val="center"/>
            <w:hideMark/>
          </w:tcPr>
          <w:p w14:paraId="485FC84F"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0.25, 0.80</w:t>
            </w:r>
          </w:p>
        </w:tc>
        <w:tc>
          <w:tcPr>
            <w:tcW w:w="0" w:type="auto"/>
            <w:vAlign w:val="center"/>
            <w:hideMark/>
          </w:tcPr>
          <w:p w14:paraId="1D9460C8"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Calibrated from prior digitalization literature</w:t>
            </w:r>
          </w:p>
        </w:tc>
      </w:tr>
    </w:tbl>
    <w:p w14:paraId="5AEA5DCB" w14:textId="77777777" w:rsidR="00203F6C" w:rsidRPr="00203F6C" w:rsidRDefault="00203F6C" w:rsidP="00203F6C">
      <w:pPr>
        <w:rPr>
          <w:rFonts w:ascii="Times New Roman" w:hAnsi="Times New Roman" w:cs="Times New Roman"/>
          <w:sz w:val="24"/>
          <w:szCs w:val="24"/>
        </w:rPr>
      </w:pPr>
    </w:p>
    <w:p w14:paraId="7576C0D6" w14:textId="57225381" w:rsidR="00203F6C" w:rsidRPr="00203F6C" w:rsidRDefault="002E1EC8" w:rsidP="00203F6C">
      <w:pPr>
        <w:rPr>
          <w:rFonts w:ascii="Times New Roman" w:hAnsi="Times New Roman" w:cs="Times New Roman"/>
          <w:sz w:val="24"/>
          <w:szCs w:val="24"/>
        </w:rPr>
      </w:pPr>
      <w:r w:rsidRPr="00203F6C">
        <w:rPr>
          <w:rFonts w:ascii="Times New Roman" w:hAnsi="Times New Roman" w:cs="Times New Roman"/>
          <w:sz w:val="24"/>
          <w:szCs w:val="24"/>
        </w:rPr>
        <w:t xml:space="preserve">3.4 </w:t>
      </w:r>
      <w:r w:rsidR="00203F6C" w:rsidRPr="00203F6C">
        <w:rPr>
          <w:rFonts w:ascii="Times New Roman" w:hAnsi="Times New Roman" w:cs="Times New Roman"/>
          <w:sz w:val="24"/>
          <w:szCs w:val="24"/>
        </w:rPr>
        <w:t>Simulation and Scenarios</w:t>
      </w:r>
    </w:p>
    <w:p w14:paraId="67D0CB46"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Simulations were run for B = {0, 0.25, 0.50, 0.75, 1.00}, representing adoption levels of blockchain from baseline to complete national adoption. Each scenario calculated:</w:t>
      </w:r>
    </w:p>
    <w:p w14:paraId="50132E3F"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 Rate of effective compliance,</w:t>
      </w:r>
    </w:p>
    <w:p w14:paraId="0AE1FD5C"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 Overall VAT revenue,</w:t>
      </w:r>
    </w:p>
    <w:p w14:paraId="1AC15710"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 Reduction in tax gap,</w:t>
      </w:r>
    </w:p>
    <w:p w14:paraId="0635D3D6" w14:textId="410CE512"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 Net fiscal gain (revenue - implementation cost),</w:t>
      </w:r>
    </w:p>
    <w:p w14:paraId="5A0C761B"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 Return on Investment (ROI).</w:t>
      </w:r>
    </w:p>
    <w:p w14:paraId="2B1BE0F2" w14:textId="77777777" w:rsidR="00203F6C" w:rsidRPr="00203F6C" w:rsidRDefault="00203F6C" w:rsidP="00203F6C">
      <w:pPr>
        <w:rPr>
          <w:rFonts w:ascii="Times New Roman" w:hAnsi="Times New Roman" w:cs="Times New Roman"/>
          <w:sz w:val="24"/>
          <w:szCs w:val="24"/>
        </w:rPr>
      </w:pPr>
    </w:p>
    <w:p w14:paraId="67917668"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lastRenderedPageBreak/>
        <w:t>A Monte Carlo simulation (10,000 iterations) added heterogeneity in revenues of companies (lognormal distribution, σ = 0.9).</w:t>
      </w:r>
    </w:p>
    <w:p w14:paraId="52787375" w14:textId="77777777" w:rsidR="00203F6C" w:rsidRPr="00203F6C" w:rsidRDefault="00203F6C" w:rsidP="00203F6C">
      <w:pPr>
        <w:rPr>
          <w:rFonts w:ascii="Times New Roman" w:hAnsi="Times New Roman" w:cs="Times New Roman"/>
          <w:sz w:val="24"/>
          <w:szCs w:val="24"/>
        </w:rPr>
      </w:pPr>
    </w:p>
    <w:p w14:paraId="71F23D1F"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3.5 Statistical Validation</w:t>
      </w:r>
    </w:p>
    <w:p w14:paraId="0BD6E951" w14:textId="751FC47F" w:rsidR="000725C2"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 xml:space="preserve">Paired-samples t-tests between simulated revenues when there is baseline (B=0) and full (B=1) compliance were used to determine statistical significance. Sensitivity analysis considered compliance responsiveness (α </w:t>
      </w:r>
      <w:r w:rsidRPr="00203F6C">
        <w:rPr>
          <w:rFonts w:ascii="Cambria Math" w:hAnsi="Cambria Math" w:cs="Cambria Math"/>
          <w:sz w:val="24"/>
          <w:szCs w:val="24"/>
        </w:rPr>
        <w:t>∈</w:t>
      </w:r>
      <w:r w:rsidRPr="00203F6C">
        <w:rPr>
          <w:rFonts w:ascii="Times New Roman" w:hAnsi="Times New Roman" w:cs="Times New Roman"/>
          <w:sz w:val="24"/>
          <w:szCs w:val="24"/>
        </w:rPr>
        <w:t xml:space="preserve"> [0.1, 0.4]) and fixed cost (Fₑ </w:t>
      </w:r>
      <w:r w:rsidRPr="00203F6C">
        <w:rPr>
          <w:rFonts w:ascii="Cambria Math" w:hAnsi="Cambria Math" w:cs="Cambria Math"/>
          <w:sz w:val="24"/>
          <w:szCs w:val="24"/>
        </w:rPr>
        <w:t>∈</w:t>
      </w:r>
      <w:r w:rsidRPr="00203F6C">
        <w:rPr>
          <w:rFonts w:ascii="Times New Roman" w:hAnsi="Times New Roman" w:cs="Times New Roman"/>
          <w:sz w:val="24"/>
          <w:szCs w:val="24"/>
        </w:rPr>
        <w:t xml:space="preserve"> [₦10B, ₦40B]) to subject net fiscal outcomes to a test of robustness.</w:t>
      </w:r>
    </w:p>
    <w:p w14:paraId="4EC17B9A" w14:textId="77777777" w:rsidR="000725C2" w:rsidRPr="00203F6C" w:rsidRDefault="002E1EC8">
      <w:pPr>
        <w:pStyle w:val="Heading2"/>
        <w:rPr>
          <w:rFonts w:ascii="Times New Roman" w:hAnsi="Times New Roman" w:cs="Times New Roman"/>
          <w:color w:val="000000" w:themeColor="text1"/>
          <w:sz w:val="24"/>
          <w:szCs w:val="24"/>
        </w:rPr>
      </w:pPr>
      <w:r w:rsidRPr="00203F6C">
        <w:rPr>
          <w:rFonts w:ascii="Times New Roman" w:hAnsi="Times New Roman" w:cs="Times New Roman"/>
          <w:color w:val="000000" w:themeColor="text1"/>
          <w:sz w:val="24"/>
          <w:szCs w:val="24"/>
        </w:rPr>
        <w:t>4. Results</w:t>
      </w:r>
    </w:p>
    <w:p w14:paraId="54456458" w14:textId="77777777" w:rsidR="00203F6C" w:rsidRPr="00203F6C" w:rsidRDefault="002E1EC8" w:rsidP="00203F6C">
      <w:pPr>
        <w:rPr>
          <w:rFonts w:ascii="Times New Roman" w:hAnsi="Times New Roman" w:cs="Times New Roman"/>
          <w:sz w:val="24"/>
          <w:szCs w:val="24"/>
        </w:rPr>
      </w:pPr>
      <w:r w:rsidRPr="00203F6C">
        <w:rPr>
          <w:rFonts w:ascii="Times New Roman" w:hAnsi="Times New Roman" w:cs="Times New Roman"/>
          <w:sz w:val="24"/>
          <w:szCs w:val="24"/>
        </w:rPr>
        <w:br/>
        <w:t xml:space="preserve">4.1 </w:t>
      </w:r>
      <w:r w:rsidR="00203F6C" w:rsidRPr="00203F6C">
        <w:rPr>
          <w:rFonts w:ascii="Times New Roman" w:hAnsi="Times New Roman" w:cs="Times New Roman"/>
          <w:sz w:val="24"/>
          <w:szCs w:val="24"/>
        </w:rPr>
        <w:t>Aggregate Fiscal Impacts</w:t>
      </w:r>
    </w:p>
    <w:p w14:paraId="05276275"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The model also predicts significant fiscal benefits arising from the use of blockchain. Compliance rate increases from 55% baseline to 80% in full adoption. Aggregate VAT revenue increases from ₦1.95 trillion to ₦2.48 trillion, or a 25% rise in effective collection of tax.</w:t>
      </w:r>
    </w:p>
    <w:p w14:paraId="2F7DACA0" w14:textId="58E907B5" w:rsid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At 50% take-up, ROI is highest at 16.7, i.e., ₦1 invested earns ₦16.7 in new tax revenue. Gains diminish after 75% take-up as recruitment cost increases and marginal taxpayers yield decreasing returns.</w:t>
      </w:r>
    </w:p>
    <w:p w14:paraId="6CF09018" w14:textId="18D5A3D2" w:rsidR="00F8518D" w:rsidRPr="00E04374" w:rsidRDefault="00F8518D" w:rsidP="00203F6C">
      <w:pPr>
        <w:rPr>
          <w:rFonts w:ascii="Times New Roman" w:hAnsi="Times New Roman" w:cs="Times New Roman"/>
          <w:b/>
          <w:bCs/>
          <w:sz w:val="24"/>
          <w:szCs w:val="24"/>
        </w:rPr>
      </w:pPr>
      <w:r>
        <w:rPr>
          <w:rFonts w:ascii="Times New Roman" w:hAnsi="Times New Roman" w:cs="Times New Roman"/>
          <w:sz w:val="24"/>
          <w:szCs w:val="24"/>
        </w:rPr>
        <w:t>List 2-</w:t>
      </w:r>
      <w:r w:rsidR="00E04374">
        <w:rPr>
          <w:rFonts w:ascii="Times New Roman" w:hAnsi="Times New Roman" w:cs="Times New Roman"/>
          <w:sz w:val="24"/>
          <w:szCs w:val="24"/>
        </w:rPr>
        <w:t xml:space="preserve"> </w:t>
      </w:r>
      <w:r w:rsidR="00E04374" w:rsidRPr="00E04374">
        <w:rPr>
          <w:rFonts w:ascii="Times New Roman" w:hAnsi="Times New Roman" w:cs="Times New Roman"/>
          <w:b/>
          <w:bCs/>
          <w:sz w:val="24"/>
          <w:szCs w:val="24"/>
        </w:rPr>
        <w:t>Projected Impact of Blockchain Adoption on VAT Compliance and Revenue in Nigeria</w:t>
      </w:r>
    </w:p>
    <w:tbl>
      <w:tblPr>
        <w:tblW w:w="7940" w:type="dxa"/>
        <w:tblInd w:w="113" w:type="dxa"/>
        <w:tblLook w:val="04A0" w:firstRow="1" w:lastRow="0" w:firstColumn="1" w:lastColumn="0" w:noHBand="0" w:noVBand="1"/>
      </w:tblPr>
      <w:tblGrid>
        <w:gridCol w:w="1384"/>
        <w:gridCol w:w="1452"/>
        <w:gridCol w:w="1256"/>
        <w:gridCol w:w="1377"/>
        <w:gridCol w:w="1269"/>
        <w:gridCol w:w="1202"/>
      </w:tblGrid>
      <w:tr w:rsidR="00203F6C" w:rsidRPr="00203F6C" w14:paraId="4BC47B6A" w14:textId="77777777" w:rsidTr="00203F6C">
        <w:trPr>
          <w:trHeight w:val="1450"/>
        </w:trPr>
        <w:tc>
          <w:tcPr>
            <w:tcW w:w="1540" w:type="dxa"/>
            <w:tcBorders>
              <w:top w:val="single" w:sz="4" w:space="0" w:color="8EA9DB"/>
              <w:left w:val="single" w:sz="4" w:space="0" w:color="8EA9DB"/>
              <w:bottom w:val="single" w:sz="4" w:space="0" w:color="8EA9DB"/>
              <w:right w:val="nil"/>
            </w:tcBorders>
            <w:shd w:val="clear" w:color="4472C4" w:fill="4472C4"/>
            <w:vAlign w:val="center"/>
            <w:hideMark/>
          </w:tcPr>
          <w:p w14:paraId="5F9987E2" w14:textId="77777777" w:rsidR="00203F6C" w:rsidRPr="00203F6C" w:rsidRDefault="00203F6C" w:rsidP="00203F6C">
            <w:pPr>
              <w:spacing w:after="0" w:line="240" w:lineRule="auto"/>
              <w:jc w:val="right"/>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Adoption Level (B)</w:t>
            </w:r>
          </w:p>
        </w:tc>
        <w:tc>
          <w:tcPr>
            <w:tcW w:w="1460" w:type="dxa"/>
            <w:tcBorders>
              <w:top w:val="single" w:sz="4" w:space="0" w:color="8EA9DB"/>
              <w:left w:val="nil"/>
              <w:bottom w:val="single" w:sz="4" w:space="0" w:color="8EA9DB"/>
              <w:right w:val="nil"/>
            </w:tcBorders>
            <w:shd w:val="clear" w:color="4472C4" w:fill="4472C4"/>
            <w:vAlign w:val="center"/>
            <w:hideMark/>
          </w:tcPr>
          <w:p w14:paraId="1FFEC5DD" w14:textId="77777777" w:rsidR="00203F6C" w:rsidRPr="00203F6C" w:rsidRDefault="00203F6C" w:rsidP="00203F6C">
            <w:pPr>
              <w:spacing w:after="0" w:line="240" w:lineRule="auto"/>
              <w:jc w:val="right"/>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Compliance Rate (%)</w:t>
            </w:r>
          </w:p>
        </w:tc>
        <w:tc>
          <w:tcPr>
            <w:tcW w:w="1180" w:type="dxa"/>
            <w:tcBorders>
              <w:top w:val="single" w:sz="4" w:space="0" w:color="8EA9DB"/>
              <w:left w:val="nil"/>
              <w:bottom w:val="single" w:sz="4" w:space="0" w:color="8EA9DB"/>
              <w:right w:val="nil"/>
            </w:tcBorders>
            <w:shd w:val="clear" w:color="4472C4" w:fill="4472C4"/>
            <w:vAlign w:val="center"/>
            <w:hideMark/>
          </w:tcPr>
          <w:p w14:paraId="0BF9842F" w14:textId="77777777" w:rsidR="00203F6C" w:rsidRPr="00203F6C" w:rsidRDefault="00203F6C" w:rsidP="00203F6C">
            <w:pPr>
              <w:spacing w:after="0" w:line="240" w:lineRule="auto"/>
              <w:jc w:val="right"/>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Under-Reporting (%)</w:t>
            </w:r>
          </w:p>
        </w:tc>
        <w:tc>
          <w:tcPr>
            <w:tcW w:w="1300" w:type="dxa"/>
            <w:tcBorders>
              <w:top w:val="single" w:sz="4" w:space="0" w:color="8EA9DB"/>
              <w:left w:val="nil"/>
              <w:bottom w:val="single" w:sz="4" w:space="0" w:color="8EA9DB"/>
              <w:right w:val="nil"/>
            </w:tcBorders>
            <w:shd w:val="clear" w:color="4472C4" w:fill="4472C4"/>
            <w:vAlign w:val="center"/>
            <w:hideMark/>
          </w:tcPr>
          <w:p w14:paraId="7E50AAD4" w14:textId="77777777" w:rsidR="00203F6C" w:rsidRPr="00203F6C" w:rsidRDefault="00203F6C" w:rsidP="00203F6C">
            <w:pPr>
              <w:spacing w:after="0" w:line="240" w:lineRule="auto"/>
              <w:jc w:val="right"/>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Detection Probability (%)</w:t>
            </w:r>
          </w:p>
        </w:tc>
        <w:tc>
          <w:tcPr>
            <w:tcW w:w="1040" w:type="dxa"/>
            <w:tcBorders>
              <w:top w:val="single" w:sz="4" w:space="0" w:color="8EA9DB"/>
              <w:left w:val="nil"/>
              <w:bottom w:val="single" w:sz="4" w:space="0" w:color="8EA9DB"/>
              <w:right w:val="nil"/>
            </w:tcBorders>
            <w:shd w:val="clear" w:color="4472C4" w:fill="4472C4"/>
            <w:vAlign w:val="center"/>
            <w:hideMark/>
          </w:tcPr>
          <w:p w14:paraId="77B68A36" w14:textId="77777777" w:rsidR="00203F6C" w:rsidRPr="00203F6C" w:rsidRDefault="00203F6C" w:rsidP="00203F6C">
            <w:pPr>
              <w:spacing w:after="0" w:line="240" w:lineRule="auto"/>
              <w:jc w:val="right"/>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Aggregate Revenue (₦ billion)</w:t>
            </w:r>
          </w:p>
        </w:tc>
        <w:tc>
          <w:tcPr>
            <w:tcW w:w="1420" w:type="dxa"/>
            <w:tcBorders>
              <w:top w:val="single" w:sz="4" w:space="0" w:color="8EA9DB"/>
              <w:left w:val="nil"/>
              <w:bottom w:val="single" w:sz="4" w:space="0" w:color="8EA9DB"/>
              <w:right w:val="single" w:sz="4" w:space="0" w:color="8EA9DB"/>
            </w:tcBorders>
            <w:shd w:val="clear" w:color="4472C4" w:fill="4472C4"/>
            <w:vAlign w:val="center"/>
            <w:hideMark/>
          </w:tcPr>
          <w:p w14:paraId="30E13BEB" w14:textId="77777777" w:rsidR="00203F6C" w:rsidRPr="00203F6C" w:rsidRDefault="00203F6C" w:rsidP="00203F6C">
            <w:pPr>
              <w:spacing w:after="0" w:line="240" w:lineRule="auto"/>
              <w:jc w:val="right"/>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Tax Gap (₦ billion)</w:t>
            </w:r>
          </w:p>
        </w:tc>
      </w:tr>
      <w:tr w:rsidR="00203F6C" w:rsidRPr="00203F6C" w14:paraId="31B420C2" w14:textId="77777777" w:rsidTr="00203F6C">
        <w:trPr>
          <w:trHeight w:val="870"/>
        </w:trPr>
        <w:tc>
          <w:tcPr>
            <w:tcW w:w="1540" w:type="dxa"/>
            <w:tcBorders>
              <w:top w:val="single" w:sz="4" w:space="0" w:color="8EA9DB"/>
              <w:left w:val="single" w:sz="4" w:space="0" w:color="8EA9DB"/>
              <w:bottom w:val="single" w:sz="4" w:space="0" w:color="8EA9DB"/>
              <w:right w:val="nil"/>
            </w:tcBorders>
            <w:shd w:val="clear" w:color="D9E1F2" w:fill="D9E1F2"/>
            <w:vAlign w:val="center"/>
            <w:hideMark/>
          </w:tcPr>
          <w:p w14:paraId="4BBF7191"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0.00 (Baseline)</w:t>
            </w:r>
          </w:p>
        </w:tc>
        <w:tc>
          <w:tcPr>
            <w:tcW w:w="1460" w:type="dxa"/>
            <w:tcBorders>
              <w:top w:val="single" w:sz="4" w:space="0" w:color="8EA9DB"/>
              <w:left w:val="nil"/>
              <w:bottom w:val="single" w:sz="4" w:space="0" w:color="8EA9DB"/>
              <w:right w:val="nil"/>
            </w:tcBorders>
            <w:shd w:val="clear" w:color="D9E1F2" w:fill="D9E1F2"/>
            <w:vAlign w:val="center"/>
            <w:hideMark/>
          </w:tcPr>
          <w:p w14:paraId="0A749C46"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55</w:t>
            </w:r>
          </w:p>
        </w:tc>
        <w:tc>
          <w:tcPr>
            <w:tcW w:w="1180" w:type="dxa"/>
            <w:tcBorders>
              <w:top w:val="single" w:sz="4" w:space="0" w:color="8EA9DB"/>
              <w:left w:val="nil"/>
              <w:bottom w:val="single" w:sz="4" w:space="0" w:color="8EA9DB"/>
              <w:right w:val="nil"/>
            </w:tcBorders>
            <w:shd w:val="clear" w:color="D9E1F2" w:fill="D9E1F2"/>
            <w:vAlign w:val="center"/>
            <w:hideMark/>
          </w:tcPr>
          <w:p w14:paraId="369BDFAE"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35</w:t>
            </w:r>
          </w:p>
        </w:tc>
        <w:tc>
          <w:tcPr>
            <w:tcW w:w="1300" w:type="dxa"/>
            <w:tcBorders>
              <w:top w:val="single" w:sz="4" w:space="0" w:color="8EA9DB"/>
              <w:left w:val="nil"/>
              <w:bottom w:val="single" w:sz="4" w:space="0" w:color="8EA9DB"/>
              <w:right w:val="nil"/>
            </w:tcBorders>
            <w:shd w:val="clear" w:color="D9E1F2" w:fill="D9E1F2"/>
            <w:vAlign w:val="center"/>
            <w:hideMark/>
          </w:tcPr>
          <w:p w14:paraId="14E0DD2C"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7</w:t>
            </w:r>
          </w:p>
        </w:tc>
        <w:tc>
          <w:tcPr>
            <w:tcW w:w="1040" w:type="dxa"/>
            <w:tcBorders>
              <w:top w:val="single" w:sz="4" w:space="0" w:color="8EA9DB"/>
              <w:left w:val="nil"/>
              <w:bottom w:val="single" w:sz="4" w:space="0" w:color="8EA9DB"/>
              <w:right w:val="nil"/>
            </w:tcBorders>
            <w:shd w:val="clear" w:color="D9E1F2" w:fill="D9E1F2"/>
            <w:vAlign w:val="center"/>
            <w:hideMark/>
          </w:tcPr>
          <w:p w14:paraId="119194FD"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1,950</w:t>
            </w:r>
          </w:p>
        </w:tc>
        <w:tc>
          <w:tcPr>
            <w:tcW w:w="1420" w:type="dxa"/>
            <w:tcBorders>
              <w:top w:val="single" w:sz="4" w:space="0" w:color="8EA9DB"/>
              <w:left w:val="nil"/>
              <w:bottom w:val="single" w:sz="4" w:space="0" w:color="8EA9DB"/>
              <w:right w:val="single" w:sz="4" w:space="0" w:color="8EA9DB"/>
            </w:tcBorders>
            <w:shd w:val="clear" w:color="D9E1F2" w:fill="D9E1F2"/>
            <w:vAlign w:val="center"/>
            <w:hideMark/>
          </w:tcPr>
          <w:p w14:paraId="190D63A3"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500</w:t>
            </w:r>
          </w:p>
        </w:tc>
      </w:tr>
      <w:tr w:rsidR="00203F6C" w:rsidRPr="00203F6C" w14:paraId="2CEE799F" w14:textId="77777777" w:rsidTr="00203F6C">
        <w:trPr>
          <w:trHeight w:val="290"/>
        </w:trPr>
        <w:tc>
          <w:tcPr>
            <w:tcW w:w="1540" w:type="dxa"/>
            <w:tcBorders>
              <w:top w:val="single" w:sz="4" w:space="0" w:color="8EA9DB"/>
              <w:left w:val="single" w:sz="4" w:space="0" w:color="8EA9DB"/>
              <w:bottom w:val="single" w:sz="4" w:space="0" w:color="8EA9DB"/>
              <w:right w:val="nil"/>
            </w:tcBorders>
            <w:vAlign w:val="center"/>
            <w:hideMark/>
          </w:tcPr>
          <w:p w14:paraId="66598352"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0.25</w:t>
            </w:r>
          </w:p>
        </w:tc>
        <w:tc>
          <w:tcPr>
            <w:tcW w:w="1460" w:type="dxa"/>
            <w:tcBorders>
              <w:top w:val="single" w:sz="4" w:space="0" w:color="8EA9DB"/>
              <w:left w:val="nil"/>
              <w:bottom w:val="single" w:sz="4" w:space="0" w:color="8EA9DB"/>
              <w:right w:val="nil"/>
            </w:tcBorders>
            <w:vAlign w:val="center"/>
            <w:hideMark/>
          </w:tcPr>
          <w:p w14:paraId="130FE09F"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61</w:t>
            </w:r>
          </w:p>
        </w:tc>
        <w:tc>
          <w:tcPr>
            <w:tcW w:w="1180" w:type="dxa"/>
            <w:tcBorders>
              <w:top w:val="single" w:sz="4" w:space="0" w:color="8EA9DB"/>
              <w:left w:val="nil"/>
              <w:bottom w:val="single" w:sz="4" w:space="0" w:color="8EA9DB"/>
              <w:right w:val="nil"/>
            </w:tcBorders>
            <w:vAlign w:val="center"/>
            <w:hideMark/>
          </w:tcPr>
          <w:p w14:paraId="6328E297"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26</w:t>
            </w:r>
          </w:p>
        </w:tc>
        <w:tc>
          <w:tcPr>
            <w:tcW w:w="1300" w:type="dxa"/>
            <w:tcBorders>
              <w:top w:val="single" w:sz="4" w:space="0" w:color="8EA9DB"/>
              <w:left w:val="nil"/>
              <w:bottom w:val="single" w:sz="4" w:space="0" w:color="8EA9DB"/>
              <w:right w:val="nil"/>
            </w:tcBorders>
            <w:vAlign w:val="center"/>
            <w:hideMark/>
          </w:tcPr>
          <w:p w14:paraId="3289A8DA"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26</w:t>
            </w:r>
          </w:p>
        </w:tc>
        <w:tc>
          <w:tcPr>
            <w:tcW w:w="1040" w:type="dxa"/>
            <w:tcBorders>
              <w:top w:val="single" w:sz="4" w:space="0" w:color="8EA9DB"/>
              <w:left w:val="nil"/>
              <w:bottom w:val="single" w:sz="4" w:space="0" w:color="8EA9DB"/>
              <w:right w:val="nil"/>
            </w:tcBorders>
            <w:vAlign w:val="center"/>
            <w:hideMark/>
          </w:tcPr>
          <w:p w14:paraId="661F7F8C"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2,250</w:t>
            </w:r>
          </w:p>
        </w:tc>
        <w:tc>
          <w:tcPr>
            <w:tcW w:w="1420" w:type="dxa"/>
            <w:tcBorders>
              <w:top w:val="single" w:sz="4" w:space="0" w:color="8EA9DB"/>
              <w:left w:val="nil"/>
              <w:bottom w:val="single" w:sz="4" w:space="0" w:color="8EA9DB"/>
              <w:right w:val="single" w:sz="4" w:space="0" w:color="8EA9DB"/>
            </w:tcBorders>
            <w:vAlign w:val="center"/>
            <w:hideMark/>
          </w:tcPr>
          <w:p w14:paraId="616CFB38"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200</w:t>
            </w:r>
          </w:p>
        </w:tc>
      </w:tr>
      <w:tr w:rsidR="00203F6C" w:rsidRPr="00203F6C" w14:paraId="67DAC47F" w14:textId="77777777" w:rsidTr="00203F6C">
        <w:trPr>
          <w:trHeight w:val="290"/>
        </w:trPr>
        <w:tc>
          <w:tcPr>
            <w:tcW w:w="1540" w:type="dxa"/>
            <w:tcBorders>
              <w:top w:val="single" w:sz="4" w:space="0" w:color="8EA9DB"/>
              <w:left w:val="single" w:sz="4" w:space="0" w:color="8EA9DB"/>
              <w:bottom w:val="single" w:sz="4" w:space="0" w:color="8EA9DB"/>
              <w:right w:val="nil"/>
            </w:tcBorders>
            <w:shd w:val="clear" w:color="D9E1F2" w:fill="D9E1F2"/>
            <w:vAlign w:val="center"/>
            <w:hideMark/>
          </w:tcPr>
          <w:p w14:paraId="53BCA047"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0.5</w:t>
            </w:r>
          </w:p>
        </w:tc>
        <w:tc>
          <w:tcPr>
            <w:tcW w:w="1460" w:type="dxa"/>
            <w:tcBorders>
              <w:top w:val="single" w:sz="4" w:space="0" w:color="8EA9DB"/>
              <w:left w:val="nil"/>
              <w:bottom w:val="single" w:sz="4" w:space="0" w:color="8EA9DB"/>
              <w:right w:val="nil"/>
            </w:tcBorders>
            <w:shd w:val="clear" w:color="D9E1F2" w:fill="D9E1F2"/>
            <w:vAlign w:val="center"/>
            <w:hideMark/>
          </w:tcPr>
          <w:p w14:paraId="065DA3A1"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68</w:t>
            </w:r>
          </w:p>
        </w:tc>
        <w:tc>
          <w:tcPr>
            <w:tcW w:w="1180" w:type="dxa"/>
            <w:tcBorders>
              <w:top w:val="single" w:sz="4" w:space="0" w:color="8EA9DB"/>
              <w:left w:val="nil"/>
              <w:bottom w:val="single" w:sz="4" w:space="0" w:color="8EA9DB"/>
              <w:right w:val="nil"/>
            </w:tcBorders>
            <w:shd w:val="clear" w:color="D9E1F2" w:fill="D9E1F2"/>
            <w:vAlign w:val="center"/>
            <w:hideMark/>
          </w:tcPr>
          <w:p w14:paraId="515B172D"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18</w:t>
            </w:r>
          </w:p>
        </w:tc>
        <w:tc>
          <w:tcPr>
            <w:tcW w:w="1300" w:type="dxa"/>
            <w:tcBorders>
              <w:top w:val="single" w:sz="4" w:space="0" w:color="8EA9DB"/>
              <w:left w:val="nil"/>
              <w:bottom w:val="single" w:sz="4" w:space="0" w:color="8EA9DB"/>
              <w:right w:val="nil"/>
            </w:tcBorders>
            <w:shd w:val="clear" w:color="D9E1F2" w:fill="D9E1F2"/>
            <w:vAlign w:val="center"/>
            <w:hideMark/>
          </w:tcPr>
          <w:p w14:paraId="2E950253"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45</w:t>
            </w:r>
          </w:p>
        </w:tc>
        <w:tc>
          <w:tcPr>
            <w:tcW w:w="1040" w:type="dxa"/>
            <w:tcBorders>
              <w:top w:val="single" w:sz="4" w:space="0" w:color="8EA9DB"/>
              <w:left w:val="nil"/>
              <w:bottom w:val="single" w:sz="4" w:space="0" w:color="8EA9DB"/>
              <w:right w:val="nil"/>
            </w:tcBorders>
            <w:shd w:val="clear" w:color="D9E1F2" w:fill="D9E1F2"/>
            <w:vAlign w:val="center"/>
            <w:hideMark/>
          </w:tcPr>
          <w:p w14:paraId="2586EFFD"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2,450</w:t>
            </w:r>
          </w:p>
        </w:tc>
        <w:tc>
          <w:tcPr>
            <w:tcW w:w="1420" w:type="dxa"/>
            <w:tcBorders>
              <w:top w:val="single" w:sz="4" w:space="0" w:color="8EA9DB"/>
              <w:left w:val="nil"/>
              <w:bottom w:val="single" w:sz="4" w:space="0" w:color="8EA9DB"/>
              <w:right w:val="nil"/>
            </w:tcBorders>
            <w:shd w:val="clear" w:color="D9E1F2" w:fill="D9E1F2"/>
            <w:vAlign w:val="center"/>
            <w:hideMark/>
          </w:tcPr>
          <w:p w14:paraId="44B17B7A"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50</w:t>
            </w:r>
          </w:p>
        </w:tc>
      </w:tr>
      <w:tr w:rsidR="00203F6C" w:rsidRPr="00203F6C" w14:paraId="6F288F01" w14:textId="77777777" w:rsidTr="00203F6C">
        <w:trPr>
          <w:trHeight w:val="290"/>
        </w:trPr>
        <w:tc>
          <w:tcPr>
            <w:tcW w:w="1540" w:type="dxa"/>
            <w:tcBorders>
              <w:top w:val="single" w:sz="4" w:space="0" w:color="8EA9DB"/>
              <w:left w:val="single" w:sz="4" w:space="0" w:color="8EA9DB"/>
              <w:bottom w:val="single" w:sz="4" w:space="0" w:color="8EA9DB"/>
              <w:right w:val="nil"/>
            </w:tcBorders>
            <w:vAlign w:val="center"/>
            <w:hideMark/>
          </w:tcPr>
          <w:p w14:paraId="4EB1196C"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0.75</w:t>
            </w:r>
          </w:p>
        </w:tc>
        <w:tc>
          <w:tcPr>
            <w:tcW w:w="1460" w:type="dxa"/>
            <w:tcBorders>
              <w:top w:val="single" w:sz="4" w:space="0" w:color="8EA9DB"/>
              <w:left w:val="nil"/>
              <w:bottom w:val="single" w:sz="4" w:space="0" w:color="8EA9DB"/>
              <w:right w:val="nil"/>
            </w:tcBorders>
            <w:vAlign w:val="center"/>
            <w:hideMark/>
          </w:tcPr>
          <w:p w14:paraId="7B29238A"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74</w:t>
            </w:r>
          </w:p>
        </w:tc>
        <w:tc>
          <w:tcPr>
            <w:tcW w:w="1180" w:type="dxa"/>
            <w:tcBorders>
              <w:top w:val="single" w:sz="4" w:space="0" w:color="8EA9DB"/>
              <w:left w:val="nil"/>
              <w:bottom w:val="single" w:sz="4" w:space="0" w:color="8EA9DB"/>
              <w:right w:val="nil"/>
            </w:tcBorders>
            <w:vAlign w:val="center"/>
            <w:hideMark/>
          </w:tcPr>
          <w:p w14:paraId="74456721"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9</w:t>
            </w:r>
          </w:p>
        </w:tc>
        <w:tc>
          <w:tcPr>
            <w:tcW w:w="1300" w:type="dxa"/>
            <w:tcBorders>
              <w:top w:val="single" w:sz="4" w:space="0" w:color="8EA9DB"/>
              <w:left w:val="nil"/>
              <w:bottom w:val="single" w:sz="4" w:space="0" w:color="8EA9DB"/>
              <w:right w:val="nil"/>
            </w:tcBorders>
            <w:vAlign w:val="center"/>
            <w:hideMark/>
          </w:tcPr>
          <w:p w14:paraId="259262E3"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63</w:t>
            </w:r>
          </w:p>
        </w:tc>
        <w:tc>
          <w:tcPr>
            <w:tcW w:w="1040" w:type="dxa"/>
            <w:tcBorders>
              <w:top w:val="single" w:sz="4" w:space="0" w:color="8EA9DB"/>
              <w:left w:val="nil"/>
              <w:bottom w:val="single" w:sz="4" w:space="0" w:color="8EA9DB"/>
              <w:right w:val="nil"/>
            </w:tcBorders>
            <w:vAlign w:val="center"/>
            <w:hideMark/>
          </w:tcPr>
          <w:p w14:paraId="7BE868B7"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2,500</w:t>
            </w:r>
          </w:p>
        </w:tc>
        <w:tc>
          <w:tcPr>
            <w:tcW w:w="1420" w:type="dxa"/>
            <w:tcBorders>
              <w:top w:val="single" w:sz="4" w:space="0" w:color="8EA9DB"/>
              <w:left w:val="nil"/>
              <w:bottom w:val="single" w:sz="4" w:space="0" w:color="8EA9DB"/>
              <w:right w:val="nil"/>
            </w:tcBorders>
            <w:vAlign w:val="center"/>
            <w:hideMark/>
          </w:tcPr>
          <w:p w14:paraId="1E0634E9"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0</w:t>
            </w:r>
          </w:p>
        </w:tc>
      </w:tr>
      <w:tr w:rsidR="00203F6C" w:rsidRPr="00203F6C" w14:paraId="72C34DC8" w14:textId="77777777" w:rsidTr="00203F6C">
        <w:trPr>
          <w:trHeight w:val="290"/>
        </w:trPr>
        <w:tc>
          <w:tcPr>
            <w:tcW w:w="1540" w:type="dxa"/>
            <w:tcBorders>
              <w:top w:val="single" w:sz="4" w:space="0" w:color="8EA9DB"/>
              <w:left w:val="single" w:sz="4" w:space="0" w:color="8EA9DB"/>
              <w:bottom w:val="single" w:sz="4" w:space="0" w:color="8EA9DB"/>
              <w:right w:val="nil"/>
            </w:tcBorders>
            <w:shd w:val="clear" w:color="D9E1F2" w:fill="D9E1F2"/>
            <w:vAlign w:val="center"/>
            <w:hideMark/>
          </w:tcPr>
          <w:p w14:paraId="02031AB2"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1</w:t>
            </w:r>
          </w:p>
        </w:tc>
        <w:tc>
          <w:tcPr>
            <w:tcW w:w="1460" w:type="dxa"/>
            <w:tcBorders>
              <w:top w:val="single" w:sz="4" w:space="0" w:color="8EA9DB"/>
              <w:left w:val="nil"/>
              <w:bottom w:val="single" w:sz="4" w:space="0" w:color="8EA9DB"/>
              <w:right w:val="nil"/>
            </w:tcBorders>
            <w:shd w:val="clear" w:color="D9E1F2" w:fill="D9E1F2"/>
            <w:vAlign w:val="center"/>
            <w:hideMark/>
          </w:tcPr>
          <w:p w14:paraId="4C23BF8F"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80</w:t>
            </w:r>
          </w:p>
        </w:tc>
        <w:tc>
          <w:tcPr>
            <w:tcW w:w="1180" w:type="dxa"/>
            <w:tcBorders>
              <w:top w:val="single" w:sz="4" w:space="0" w:color="8EA9DB"/>
              <w:left w:val="nil"/>
              <w:bottom w:val="single" w:sz="4" w:space="0" w:color="8EA9DB"/>
              <w:right w:val="nil"/>
            </w:tcBorders>
            <w:shd w:val="clear" w:color="D9E1F2" w:fill="D9E1F2"/>
            <w:vAlign w:val="center"/>
            <w:hideMark/>
          </w:tcPr>
          <w:p w14:paraId="1278A0D4"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0</w:t>
            </w:r>
          </w:p>
        </w:tc>
        <w:tc>
          <w:tcPr>
            <w:tcW w:w="1300" w:type="dxa"/>
            <w:tcBorders>
              <w:top w:val="single" w:sz="4" w:space="0" w:color="8EA9DB"/>
              <w:left w:val="nil"/>
              <w:bottom w:val="single" w:sz="4" w:space="0" w:color="8EA9DB"/>
              <w:right w:val="nil"/>
            </w:tcBorders>
            <w:shd w:val="clear" w:color="D9E1F2" w:fill="D9E1F2"/>
            <w:vAlign w:val="center"/>
            <w:hideMark/>
          </w:tcPr>
          <w:p w14:paraId="38BEA142"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82</w:t>
            </w:r>
          </w:p>
        </w:tc>
        <w:tc>
          <w:tcPr>
            <w:tcW w:w="1040" w:type="dxa"/>
            <w:tcBorders>
              <w:top w:val="single" w:sz="4" w:space="0" w:color="8EA9DB"/>
              <w:left w:val="nil"/>
              <w:bottom w:val="single" w:sz="4" w:space="0" w:color="8EA9DB"/>
              <w:right w:val="nil"/>
            </w:tcBorders>
            <w:shd w:val="clear" w:color="D9E1F2" w:fill="D9E1F2"/>
            <w:vAlign w:val="center"/>
            <w:hideMark/>
          </w:tcPr>
          <w:p w14:paraId="043D3C51"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2,480</w:t>
            </w:r>
          </w:p>
        </w:tc>
        <w:tc>
          <w:tcPr>
            <w:tcW w:w="1420" w:type="dxa"/>
            <w:tcBorders>
              <w:top w:val="single" w:sz="4" w:space="0" w:color="8EA9DB"/>
              <w:left w:val="nil"/>
              <w:bottom w:val="single" w:sz="4" w:space="0" w:color="8EA9DB"/>
              <w:right w:val="nil"/>
            </w:tcBorders>
            <w:shd w:val="clear" w:color="D9E1F2" w:fill="D9E1F2"/>
            <w:vAlign w:val="center"/>
            <w:hideMark/>
          </w:tcPr>
          <w:p w14:paraId="3C3FB303"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0</w:t>
            </w:r>
          </w:p>
        </w:tc>
      </w:tr>
    </w:tbl>
    <w:p w14:paraId="0320C749" w14:textId="77777777" w:rsidR="00203F6C" w:rsidRPr="00203F6C" w:rsidRDefault="00203F6C" w:rsidP="00203F6C">
      <w:pPr>
        <w:rPr>
          <w:rFonts w:ascii="Times New Roman" w:hAnsi="Times New Roman" w:cs="Times New Roman"/>
          <w:sz w:val="24"/>
          <w:szCs w:val="24"/>
        </w:rPr>
      </w:pPr>
    </w:p>
    <w:p w14:paraId="7AE5BFB2" w14:textId="77777777" w:rsidR="00203F6C" w:rsidRPr="00203F6C" w:rsidRDefault="00203F6C" w:rsidP="00203F6C">
      <w:pPr>
        <w:rPr>
          <w:rFonts w:ascii="Times New Roman" w:hAnsi="Times New Roman" w:cs="Times New Roman"/>
          <w:sz w:val="24"/>
          <w:szCs w:val="24"/>
        </w:rPr>
      </w:pPr>
    </w:p>
    <w:p w14:paraId="79B38753" w14:textId="7A5D54B1" w:rsidR="00203F6C" w:rsidRDefault="00203F6C" w:rsidP="00203F6C">
      <w:pPr>
        <w:rPr>
          <w:rFonts w:ascii="Times New Roman" w:hAnsi="Times New Roman" w:cs="Times New Roman"/>
          <w:sz w:val="24"/>
          <w:szCs w:val="24"/>
        </w:rPr>
      </w:pPr>
      <w:r w:rsidRPr="00203F6C">
        <w:rPr>
          <w:rFonts w:ascii="Times New Roman" w:hAnsi="Times New Roman" w:cs="Times New Roman"/>
          <w:noProof/>
          <w:sz w:val="24"/>
          <w:szCs w:val="24"/>
        </w:rPr>
        <w:lastRenderedPageBreak/>
        <w:drawing>
          <wp:inline distT="0" distB="0" distL="0" distR="0" wp14:anchorId="6986FD77" wp14:editId="7AB69F1C">
            <wp:extent cx="4572000" cy="2743200"/>
            <wp:effectExtent l="0" t="0" r="0" b="0"/>
            <wp:docPr id="1312386927" name="Chart 1">
              <a:extLst xmlns:a="http://schemas.openxmlformats.org/drawingml/2006/main">
                <a:ext uri="{FF2B5EF4-FFF2-40B4-BE49-F238E27FC236}">
                  <a16:creationId xmlns:a16="http://schemas.microsoft.com/office/drawing/2014/main" id="{866FFF38-A5FB-314E-0C9E-4058B27508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21B7AF" w14:textId="57CF7AEC" w:rsidR="00F8518D" w:rsidRPr="00203F6C" w:rsidRDefault="00F8518D" w:rsidP="00203F6C">
      <w:pPr>
        <w:rPr>
          <w:rFonts w:ascii="Times New Roman" w:hAnsi="Times New Roman" w:cs="Times New Roman"/>
          <w:sz w:val="24"/>
          <w:szCs w:val="24"/>
        </w:rPr>
      </w:pPr>
      <w:r>
        <w:rPr>
          <w:rFonts w:ascii="Times New Roman" w:hAnsi="Times New Roman" w:cs="Times New Roman"/>
          <w:sz w:val="24"/>
          <w:szCs w:val="24"/>
        </w:rPr>
        <w:t>Fig 1-</w:t>
      </w:r>
      <w:r w:rsidR="00E04374">
        <w:rPr>
          <w:rFonts w:ascii="Times New Roman" w:hAnsi="Times New Roman" w:cs="Times New Roman"/>
          <w:sz w:val="24"/>
          <w:szCs w:val="24"/>
        </w:rPr>
        <w:t xml:space="preserve"> Aggregate Revenue Outcomes</w:t>
      </w:r>
    </w:p>
    <w:p w14:paraId="508A5692" w14:textId="3FB3D1F1"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Decline in Tax Gap</w:t>
      </w:r>
    </w:p>
    <w:p w14:paraId="662805D7"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Country tax gap falls by ₦450 billion (90%) at medium take-up, fully eroded at 75% take-up. First 25% take-up captures 60% of potential fall, reflecting substantial early-stage efficiency.</w:t>
      </w:r>
    </w:p>
    <w:p w14:paraId="56A0C561" w14:textId="58032A9F"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Sectoral Impacts</w:t>
      </w:r>
    </w:p>
    <w:p w14:paraId="35DB0F82" w14:textId="3592AA6C"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The retail and trade sector participates at 30% incremental revenue share because of a highly prevalent rate of informal cash transactions. This is followed by the telecommunications and manufacturing industries (26% and 23% increments respectively) because of established digitalized networks. The oil &amp; gas and financial industries have lower increments, which shows that there are lower blockchain returns on already digitized ventures.</w:t>
      </w:r>
    </w:p>
    <w:p w14:paraId="72FB0E59" w14:textId="0727C9F0"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 xml:space="preserve">Table </w:t>
      </w:r>
      <w:r w:rsidR="00F8518D">
        <w:rPr>
          <w:rFonts w:ascii="Times New Roman" w:hAnsi="Times New Roman" w:cs="Times New Roman"/>
          <w:b/>
          <w:bCs/>
          <w:sz w:val="24"/>
          <w:szCs w:val="24"/>
        </w:rPr>
        <w:t>1</w:t>
      </w:r>
      <w:r w:rsidRPr="00203F6C">
        <w:rPr>
          <w:rFonts w:ascii="Times New Roman" w:hAnsi="Times New Roman" w:cs="Times New Roman"/>
          <w:b/>
          <w:bCs/>
          <w:sz w:val="24"/>
          <w:szCs w:val="24"/>
        </w:rPr>
        <w:t>. Sectoral Simulation Results</w:t>
      </w:r>
    </w:p>
    <w:tbl>
      <w:tblPr>
        <w:tblW w:w="6440" w:type="dxa"/>
        <w:tblInd w:w="113" w:type="dxa"/>
        <w:tblLook w:val="04A0" w:firstRow="1" w:lastRow="0" w:firstColumn="1" w:lastColumn="0" w:noHBand="0" w:noVBand="1"/>
      </w:tblPr>
      <w:tblGrid>
        <w:gridCol w:w="2229"/>
        <w:gridCol w:w="1096"/>
        <w:gridCol w:w="1363"/>
        <w:gridCol w:w="950"/>
        <w:gridCol w:w="1083"/>
      </w:tblGrid>
      <w:tr w:rsidR="00203F6C" w:rsidRPr="00203F6C" w14:paraId="68EF9D7F" w14:textId="77777777" w:rsidTr="00203F6C">
        <w:trPr>
          <w:trHeight w:val="1450"/>
        </w:trPr>
        <w:tc>
          <w:tcPr>
            <w:tcW w:w="1890" w:type="dxa"/>
            <w:tcBorders>
              <w:top w:val="single" w:sz="4" w:space="0" w:color="8EA9DB"/>
              <w:left w:val="single" w:sz="4" w:space="0" w:color="8EA9DB"/>
              <w:bottom w:val="single" w:sz="4" w:space="0" w:color="8EA9DB"/>
              <w:right w:val="nil"/>
            </w:tcBorders>
            <w:shd w:val="clear" w:color="4472C4" w:fill="4472C4"/>
            <w:vAlign w:val="center"/>
            <w:hideMark/>
          </w:tcPr>
          <w:p w14:paraId="01C96F97" w14:textId="77777777" w:rsidR="00203F6C" w:rsidRPr="00203F6C" w:rsidRDefault="00203F6C" w:rsidP="00203F6C">
            <w:pPr>
              <w:spacing w:after="0" w:line="240" w:lineRule="auto"/>
              <w:jc w:val="center"/>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Sector</w:t>
            </w:r>
          </w:p>
        </w:tc>
        <w:tc>
          <w:tcPr>
            <w:tcW w:w="1212" w:type="dxa"/>
            <w:tcBorders>
              <w:top w:val="single" w:sz="4" w:space="0" w:color="8EA9DB"/>
              <w:left w:val="nil"/>
              <w:bottom w:val="single" w:sz="4" w:space="0" w:color="8EA9DB"/>
              <w:right w:val="nil"/>
            </w:tcBorders>
            <w:shd w:val="clear" w:color="4472C4" w:fill="4472C4"/>
            <w:vAlign w:val="center"/>
            <w:hideMark/>
          </w:tcPr>
          <w:p w14:paraId="27CA96A0" w14:textId="77777777" w:rsidR="00203F6C" w:rsidRPr="00203F6C" w:rsidRDefault="00203F6C" w:rsidP="00203F6C">
            <w:pPr>
              <w:spacing w:after="0" w:line="240" w:lineRule="auto"/>
              <w:jc w:val="right"/>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Baseline Revenue (₦ billion)</w:t>
            </w:r>
          </w:p>
        </w:tc>
        <w:tc>
          <w:tcPr>
            <w:tcW w:w="1235" w:type="dxa"/>
            <w:tcBorders>
              <w:top w:val="single" w:sz="4" w:space="0" w:color="8EA9DB"/>
              <w:left w:val="nil"/>
              <w:bottom w:val="single" w:sz="4" w:space="0" w:color="8EA9DB"/>
              <w:right w:val="nil"/>
            </w:tcBorders>
            <w:shd w:val="clear" w:color="4472C4" w:fill="4472C4"/>
            <w:vAlign w:val="center"/>
            <w:hideMark/>
          </w:tcPr>
          <w:p w14:paraId="220141E4" w14:textId="77777777" w:rsidR="00203F6C" w:rsidRPr="00203F6C" w:rsidRDefault="00203F6C" w:rsidP="00203F6C">
            <w:pPr>
              <w:spacing w:after="0" w:line="240" w:lineRule="auto"/>
              <w:jc w:val="right"/>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Blockchain Revenue (₦ billion)</w:t>
            </w:r>
          </w:p>
        </w:tc>
        <w:tc>
          <w:tcPr>
            <w:tcW w:w="1019" w:type="dxa"/>
            <w:tcBorders>
              <w:top w:val="single" w:sz="4" w:space="0" w:color="8EA9DB"/>
              <w:left w:val="nil"/>
              <w:bottom w:val="single" w:sz="4" w:space="0" w:color="8EA9DB"/>
              <w:right w:val="nil"/>
            </w:tcBorders>
            <w:shd w:val="clear" w:color="4472C4" w:fill="4472C4"/>
            <w:vAlign w:val="center"/>
            <w:hideMark/>
          </w:tcPr>
          <w:p w14:paraId="25499724" w14:textId="77777777" w:rsidR="00203F6C" w:rsidRPr="00203F6C" w:rsidRDefault="00203F6C" w:rsidP="00203F6C">
            <w:pPr>
              <w:spacing w:after="0" w:line="240" w:lineRule="auto"/>
              <w:jc w:val="right"/>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Gain (₦ billion)</w:t>
            </w:r>
          </w:p>
        </w:tc>
        <w:tc>
          <w:tcPr>
            <w:tcW w:w="1084" w:type="dxa"/>
            <w:tcBorders>
              <w:top w:val="single" w:sz="4" w:space="0" w:color="8EA9DB"/>
              <w:left w:val="nil"/>
              <w:bottom w:val="single" w:sz="4" w:space="0" w:color="8EA9DB"/>
              <w:right w:val="single" w:sz="4" w:space="0" w:color="8EA9DB"/>
            </w:tcBorders>
            <w:shd w:val="clear" w:color="4472C4" w:fill="4472C4"/>
            <w:vAlign w:val="center"/>
            <w:hideMark/>
          </w:tcPr>
          <w:p w14:paraId="133810F7" w14:textId="77777777" w:rsidR="00203F6C" w:rsidRPr="00203F6C" w:rsidRDefault="00203F6C" w:rsidP="00203F6C">
            <w:pPr>
              <w:spacing w:after="0" w:line="240" w:lineRule="auto"/>
              <w:jc w:val="right"/>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 Increase</w:t>
            </w:r>
          </w:p>
        </w:tc>
      </w:tr>
      <w:tr w:rsidR="00203F6C" w:rsidRPr="00203F6C" w14:paraId="08E82EB1" w14:textId="77777777" w:rsidTr="00203F6C">
        <w:trPr>
          <w:trHeight w:val="290"/>
        </w:trPr>
        <w:tc>
          <w:tcPr>
            <w:tcW w:w="1890" w:type="dxa"/>
            <w:tcBorders>
              <w:top w:val="single" w:sz="4" w:space="0" w:color="8EA9DB"/>
              <w:left w:val="single" w:sz="4" w:space="0" w:color="8EA9DB"/>
              <w:bottom w:val="single" w:sz="4" w:space="0" w:color="8EA9DB"/>
              <w:right w:val="nil"/>
            </w:tcBorders>
            <w:shd w:val="clear" w:color="D9E1F2" w:fill="D9E1F2"/>
            <w:vAlign w:val="center"/>
            <w:hideMark/>
          </w:tcPr>
          <w:p w14:paraId="4B79F773" w14:textId="77777777" w:rsidR="00203F6C" w:rsidRPr="00203F6C" w:rsidRDefault="00203F6C" w:rsidP="00203F6C">
            <w:pPr>
              <w:spacing w:after="0" w:line="240" w:lineRule="auto"/>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Oil &amp; Gas</w:t>
            </w:r>
          </w:p>
        </w:tc>
        <w:tc>
          <w:tcPr>
            <w:tcW w:w="1212" w:type="dxa"/>
            <w:tcBorders>
              <w:top w:val="single" w:sz="4" w:space="0" w:color="8EA9DB"/>
              <w:left w:val="nil"/>
              <w:bottom w:val="single" w:sz="4" w:space="0" w:color="8EA9DB"/>
              <w:right w:val="nil"/>
            </w:tcBorders>
            <w:shd w:val="clear" w:color="D9E1F2" w:fill="D9E1F2"/>
            <w:vAlign w:val="center"/>
            <w:hideMark/>
          </w:tcPr>
          <w:p w14:paraId="2116E4ED"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500</w:t>
            </w:r>
          </w:p>
        </w:tc>
        <w:tc>
          <w:tcPr>
            <w:tcW w:w="1235" w:type="dxa"/>
            <w:tcBorders>
              <w:top w:val="single" w:sz="4" w:space="0" w:color="8EA9DB"/>
              <w:left w:val="nil"/>
              <w:bottom w:val="single" w:sz="4" w:space="0" w:color="8EA9DB"/>
              <w:right w:val="nil"/>
            </w:tcBorders>
            <w:shd w:val="clear" w:color="D9E1F2" w:fill="D9E1F2"/>
            <w:vAlign w:val="center"/>
            <w:hideMark/>
          </w:tcPr>
          <w:p w14:paraId="06590C07"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575</w:t>
            </w:r>
          </w:p>
        </w:tc>
        <w:tc>
          <w:tcPr>
            <w:tcW w:w="1019" w:type="dxa"/>
            <w:tcBorders>
              <w:top w:val="single" w:sz="4" w:space="0" w:color="8EA9DB"/>
              <w:left w:val="nil"/>
              <w:bottom w:val="single" w:sz="4" w:space="0" w:color="8EA9DB"/>
              <w:right w:val="nil"/>
            </w:tcBorders>
            <w:shd w:val="clear" w:color="D9E1F2" w:fill="D9E1F2"/>
            <w:vAlign w:val="center"/>
            <w:hideMark/>
          </w:tcPr>
          <w:p w14:paraId="212F174D"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75</w:t>
            </w:r>
          </w:p>
        </w:tc>
        <w:tc>
          <w:tcPr>
            <w:tcW w:w="1084" w:type="dxa"/>
            <w:tcBorders>
              <w:top w:val="single" w:sz="4" w:space="0" w:color="8EA9DB"/>
              <w:left w:val="nil"/>
              <w:bottom w:val="single" w:sz="4" w:space="0" w:color="8EA9DB"/>
              <w:right w:val="single" w:sz="4" w:space="0" w:color="8EA9DB"/>
            </w:tcBorders>
            <w:shd w:val="clear" w:color="D9E1F2" w:fill="D9E1F2"/>
            <w:vAlign w:val="center"/>
            <w:hideMark/>
          </w:tcPr>
          <w:p w14:paraId="269DA5A3"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15</w:t>
            </w:r>
          </w:p>
        </w:tc>
      </w:tr>
      <w:tr w:rsidR="00203F6C" w:rsidRPr="00203F6C" w14:paraId="66300E61" w14:textId="77777777" w:rsidTr="00203F6C">
        <w:trPr>
          <w:trHeight w:val="580"/>
        </w:trPr>
        <w:tc>
          <w:tcPr>
            <w:tcW w:w="1890" w:type="dxa"/>
            <w:tcBorders>
              <w:top w:val="single" w:sz="4" w:space="0" w:color="8EA9DB"/>
              <w:left w:val="single" w:sz="4" w:space="0" w:color="8EA9DB"/>
              <w:bottom w:val="single" w:sz="4" w:space="0" w:color="8EA9DB"/>
              <w:right w:val="nil"/>
            </w:tcBorders>
            <w:vAlign w:val="center"/>
            <w:hideMark/>
          </w:tcPr>
          <w:p w14:paraId="4E53F2EC" w14:textId="77777777" w:rsidR="00203F6C" w:rsidRPr="00203F6C" w:rsidRDefault="00203F6C" w:rsidP="00203F6C">
            <w:pPr>
              <w:spacing w:after="0" w:line="240" w:lineRule="auto"/>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Manufacturing</w:t>
            </w:r>
          </w:p>
        </w:tc>
        <w:tc>
          <w:tcPr>
            <w:tcW w:w="1212" w:type="dxa"/>
            <w:tcBorders>
              <w:top w:val="single" w:sz="4" w:space="0" w:color="8EA9DB"/>
              <w:left w:val="nil"/>
              <w:bottom w:val="single" w:sz="4" w:space="0" w:color="8EA9DB"/>
              <w:right w:val="nil"/>
            </w:tcBorders>
            <w:vAlign w:val="center"/>
            <w:hideMark/>
          </w:tcPr>
          <w:p w14:paraId="059B3189"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300</w:t>
            </w:r>
          </w:p>
        </w:tc>
        <w:tc>
          <w:tcPr>
            <w:tcW w:w="1235" w:type="dxa"/>
            <w:tcBorders>
              <w:top w:val="single" w:sz="4" w:space="0" w:color="8EA9DB"/>
              <w:left w:val="nil"/>
              <w:bottom w:val="single" w:sz="4" w:space="0" w:color="8EA9DB"/>
              <w:right w:val="nil"/>
            </w:tcBorders>
            <w:vAlign w:val="center"/>
            <w:hideMark/>
          </w:tcPr>
          <w:p w14:paraId="2DC81A87"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370</w:t>
            </w:r>
          </w:p>
        </w:tc>
        <w:tc>
          <w:tcPr>
            <w:tcW w:w="1019" w:type="dxa"/>
            <w:tcBorders>
              <w:top w:val="single" w:sz="4" w:space="0" w:color="8EA9DB"/>
              <w:left w:val="nil"/>
              <w:bottom w:val="single" w:sz="4" w:space="0" w:color="8EA9DB"/>
              <w:right w:val="nil"/>
            </w:tcBorders>
            <w:vAlign w:val="center"/>
            <w:hideMark/>
          </w:tcPr>
          <w:p w14:paraId="70AE8B00"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70</w:t>
            </w:r>
          </w:p>
        </w:tc>
        <w:tc>
          <w:tcPr>
            <w:tcW w:w="1084" w:type="dxa"/>
            <w:tcBorders>
              <w:top w:val="single" w:sz="4" w:space="0" w:color="8EA9DB"/>
              <w:left w:val="nil"/>
              <w:bottom w:val="single" w:sz="4" w:space="0" w:color="8EA9DB"/>
              <w:right w:val="single" w:sz="4" w:space="0" w:color="8EA9DB"/>
            </w:tcBorders>
            <w:vAlign w:val="center"/>
            <w:hideMark/>
          </w:tcPr>
          <w:p w14:paraId="731776A8"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23</w:t>
            </w:r>
          </w:p>
        </w:tc>
      </w:tr>
      <w:tr w:rsidR="00203F6C" w:rsidRPr="00203F6C" w14:paraId="4F9EAA7F" w14:textId="77777777" w:rsidTr="00203F6C">
        <w:trPr>
          <w:trHeight w:val="870"/>
        </w:trPr>
        <w:tc>
          <w:tcPr>
            <w:tcW w:w="1890" w:type="dxa"/>
            <w:tcBorders>
              <w:top w:val="single" w:sz="4" w:space="0" w:color="8EA9DB"/>
              <w:left w:val="single" w:sz="4" w:space="0" w:color="8EA9DB"/>
              <w:bottom w:val="single" w:sz="4" w:space="0" w:color="8EA9DB"/>
              <w:right w:val="nil"/>
            </w:tcBorders>
            <w:shd w:val="clear" w:color="D9E1F2" w:fill="D9E1F2"/>
            <w:vAlign w:val="center"/>
            <w:hideMark/>
          </w:tcPr>
          <w:p w14:paraId="5CA4891C" w14:textId="77777777" w:rsidR="00203F6C" w:rsidRPr="00203F6C" w:rsidRDefault="00203F6C" w:rsidP="00203F6C">
            <w:pPr>
              <w:spacing w:after="0" w:line="240" w:lineRule="auto"/>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lastRenderedPageBreak/>
              <w:t>Telecommunications</w:t>
            </w:r>
          </w:p>
        </w:tc>
        <w:tc>
          <w:tcPr>
            <w:tcW w:w="1212" w:type="dxa"/>
            <w:tcBorders>
              <w:top w:val="single" w:sz="4" w:space="0" w:color="8EA9DB"/>
              <w:left w:val="nil"/>
              <w:bottom w:val="single" w:sz="4" w:space="0" w:color="8EA9DB"/>
              <w:right w:val="nil"/>
            </w:tcBorders>
            <w:shd w:val="clear" w:color="D9E1F2" w:fill="D9E1F2"/>
            <w:vAlign w:val="center"/>
            <w:hideMark/>
          </w:tcPr>
          <w:p w14:paraId="2F2CEA43"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250</w:t>
            </w:r>
          </w:p>
        </w:tc>
        <w:tc>
          <w:tcPr>
            <w:tcW w:w="1235" w:type="dxa"/>
            <w:tcBorders>
              <w:top w:val="single" w:sz="4" w:space="0" w:color="8EA9DB"/>
              <w:left w:val="nil"/>
              <w:bottom w:val="single" w:sz="4" w:space="0" w:color="8EA9DB"/>
              <w:right w:val="nil"/>
            </w:tcBorders>
            <w:shd w:val="clear" w:color="D9E1F2" w:fill="D9E1F2"/>
            <w:vAlign w:val="center"/>
            <w:hideMark/>
          </w:tcPr>
          <w:p w14:paraId="6923E62D"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315</w:t>
            </w:r>
          </w:p>
        </w:tc>
        <w:tc>
          <w:tcPr>
            <w:tcW w:w="1019" w:type="dxa"/>
            <w:tcBorders>
              <w:top w:val="single" w:sz="4" w:space="0" w:color="8EA9DB"/>
              <w:left w:val="nil"/>
              <w:bottom w:val="single" w:sz="4" w:space="0" w:color="8EA9DB"/>
              <w:right w:val="nil"/>
            </w:tcBorders>
            <w:shd w:val="clear" w:color="D9E1F2" w:fill="D9E1F2"/>
            <w:vAlign w:val="center"/>
            <w:hideMark/>
          </w:tcPr>
          <w:p w14:paraId="21424463"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65</w:t>
            </w:r>
          </w:p>
        </w:tc>
        <w:tc>
          <w:tcPr>
            <w:tcW w:w="1084" w:type="dxa"/>
            <w:tcBorders>
              <w:top w:val="single" w:sz="4" w:space="0" w:color="8EA9DB"/>
              <w:left w:val="nil"/>
              <w:bottom w:val="single" w:sz="4" w:space="0" w:color="8EA9DB"/>
              <w:right w:val="single" w:sz="4" w:space="0" w:color="8EA9DB"/>
            </w:tcBorders>
            <w:shd w:val="clear" w:color="D9E1F2" w:fill="D9E1F2"/>
            <w:vAlign w:val="center"/>
            <w:hideMark/>
          </w:tcPr>
          <w:p w14:paraId="06463CFF"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26</w:t>
            </w:r>
          </w:p>
        </w:tc>
      </w:tr>
      <w:tr w:rsidR="00203F6C" w:rsidRPr="00203F6C" w14:paraId="19CB0924" w14:textId="77777777" w:rsidTr="00203F6C">
        <w:trPr>
          <w:trHeight w:val="580"/>
        </w:trPr>
        <w:tc>
          <w:tcPr>
            <w:tcW w:w="1890" w:type="dxa"/>
            <w:tcBorders>
              <w:top w:val="single" w:sz="4" w:space="0" w:color="8EA9DB"/>
              <w:left w:val="single" w:sz="4" w:space="0" w:color="8EA9DB"/>
              <w:bottom w:val="single" w:sz="4" w:space="0" w:color="8EA9DB"/>
              <w:right w:val="nil"/>
            </w:tcBorders>
            <w:vAlign w:val="center"/>
            <w:hideMark/>
          </w:tcPr>
          <w:p w14:paraId="14FFBC41" w14:textId="77777777" w:rsidR="00203F6C" w:rsidRPr="00203F6C" w:rsidRDefault="00203F6C" w:rsidP="00203F6C">
            <w:pPr>
              <w:spacing w:after="0" w:line="240" w:lineRule="auto"/>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Retail &amp; Trade</w:t>
            </w:r>
          </w:p>
        </w:tc>
        <w:tc>
          <w:tcPr>
            <w:tcW w:w="1212" w:type="dxa"/>
            <w:tcBorders>
              <w:top w:val="single" w:sz="4" w:space="0" w:color="8EA9DB"/>
              <w:left w:val="nil"/>
              <w:bottom w:val="single" w:sz="4" w:space="0" w:color="8EA9DB"/>
              <w:right w:val="nil"/>
            </w:tcBorders>
            <w:vAlign w:val="center"/>
            <w:hideMark/>
          </w:tcPr>
          <w:p w14:paraId="31E5D597"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400</w:t>
            </w:r>
          </w:p>
        </w:tc>
        <w:tc>
          <w:tcPr>
            <w:tcW w:w="1235" w:type="dxa"/>
            <w:tcBorders>
              <w:top w:val="single" w:sz="4" w:space="0" w:color="8EA9DB"/>
              <w:left w:val="nil"/>
              <w:bottom w:val="single" w:sz="4" w:space="0" w:color="8EA9DB"/>
              <w:right w:val="nil"/>
            </w:tcBorders>
            <w:vAlign w:val="center"/>
            <w:hideMark/>
          </w:tcPr>
          <w:p w14:paraId="593FE2BD"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520</w:t>
            </w:r>
          </w:p>
        </w:tc>
        <w:tc>
          <w:tcPr>
            <w:tcW w:w="1019" w:type="dxa"/>
            <w:tcBorders>
              <w:top w:val="single" w:sz="4" w:space="0" w:color="8EA9DB"/>
              <w:left w:val="nil"/>
              <w:bottom w:val="single" w:sz="4" w:space="0" w:color="8EA9DB"/>
              <w:right w:val="nil"/>
            </w:tcBorders>
            <w:vAlign w:val="center"/>
            <w:hideMark/>
          </w:tcPr>
          <w:p w14:paraId="02EA412F"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120</w:t>
            </w:r>
          </w:p>
        </w:tc>
        <w:tc>
          <w:tcPr>
            <w:tcW w:w="1084" w:type="dxa"/>
            <w:tcBorders>
              <w:top w:val="single" w:sz="4" w:space="0" w:color="8EA9DB"/>
              <w:left w:val="nil"/>
              <w:bottom w:val="single" w:sz="4" w:space="0" w:color="8EA9DB"/>
              <w:right w:val="single" w:sz="4" w:space="0" w:color="8EA9DB"/>
            </w:tcBorders>
            <w:vAlign w:val="center"/>
            <w:hideMark/>
          </w:tcPr>
          <w:p w14:paraId="6FD3575A"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30</w:t>
            </w:r>
          </w:p>
        </w:tc>
      </w:tr>
      <w:tr w:rsidR="00203F6C" w:rsidRPr="00203F6C" w14:paraId="4C5B1AA6" w14:textId="77777777" w:rsidTr="00203F6C">
        <w:trPr>
          <w:trHeight w:val="580"/>
        </w:trPr>
        <w:tc>
          <w:tcPr>
            <w:tcW w:w="1890" w:type="dxa"/>
            <w:tcBorders>
              <w:top w:val="single" w:sz="4" w:space="0" w:color="8EA9DB"/>
              <w:left w:val="single" w:sz="4" w:space="0" w:color="8EA9DB"/>
              <w:bottom w:val="single" w:sz="4" w:space="0" w:color="8EA9DB"/>
              <w:right w:val="nil"/>
            </w:tcBorders>
            <w:shd w:val="clear" w:color="D9E1F2" w:fill="D9E1F2"/>
            <w:vAlign w:val="center"/>
            <w:hideMark/>
          </w:tcPr>
          <w:p w14:paraId="1D2A74C9" w14:textId="77777777" w:rsidR="00203F6C" w:rsidRPr="00203F6C" w:rsidRDefault="00203F6C" w:rsidP="00203F6C">
            <w:pPr>
              <w:spacing w:after="0" w:line="240" w:lineRule="auto"/>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Financial Services</w:t>
            </w:r>
          </w:p>
        </w:tc>
        <w:tc>
          <w:tcPr>
            <w:tcW w:w="1212" w:type="dxa"/>
            <w:tcBorders>
              <w:top w:val="single" w:sz="4" w:space="0" w:color="8EA9DB"/>
              <w:left w:val="nil"/>
              <w:bottom w:val="single" w:sz="4" w:space="0" w:color="8EA9DB"/>
              <w:right w:val="nil"/>
            </w:tcBorders>
            <w:shd w:val="clear" w:color="D9E1F2" w:fill="D9E1F2"/>
            <w:vAlign w:val="center"/>
            <w:hideMark/>
          </w:tcPr>
          <w:p w14:paraId="00CEFA2C"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200</w:t>
            </w:r>
          </w:p>
        </w:tc>
        <w:tc>
          <w:tcPr>
            <w:tcW w:w="1235" w:type="dxa"/>
            <w:tcBorders>
              <w:top w:val="single" w:sz="4" w:space="0" w:color="8EA9DB"/>
              <w:left w:val="nil"/>
              <w:bottom w:val="single" w:sz="4" w:space="0" w:color="8EA9DB"/>
              <w:right w:val="nil"/>
            </w:tcBorders>
            <w:shd w:val="clear" w:color="D9E1F2" w:fill="D9E1F2"/>
            <w:vAlign w:val="center"/>
            <w:hideMark/>
          </w:tcPr>
          <w:p w14:paraId="1F601179"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235</w:t>
            </w:r>
          </w:p>
        </w:tc>
        <w:tc>
          <w:tcPr>
            <w:tcW w:w="1019" w:type="dxa"/>
            <w:tcBorders>
              <w:top w:val="single" w:sz="4" w:space="0" w:color="8EA9DB"/>
              <w:left w:val="nil"/>
              <w:bottom w:val="single" w:sz="4" w:space="0" w:color="8EA9DB"/>
              <w:right w:val="nil"/>
            </w:tcBorders>
            <w:shd w:val="clear" w:color="D9E1F2" w:fill="D9E1F2"/>
            <w:vAlign w:val="center"/>
            <w:hideMark/>
          </w:tcPr>
          <w:p w14:paraId="438B1E3C"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35</w:t>
            </w:r>
          </w:p>
        </w:tc>
        <w:tc>
          <w:tcPr>
            <w:tcW w:w="1084" w:type="dxa"/>
            <w:tcBorders>
              <w:top w:val="single" w:sz="4" w:space="0" w:color="8EA9DB"/>
              <w:left w:val="nil"/>
              <w:bottom w:val="single" w:sz="4" w:space="0" w:color="8EA9DB"/>
              <w:right w:val="single" w:sz="4" w:space="0" w:color="8EA9DB"/>
            </w:tcBorders>
            <w:shd w:val="clear" w:color="D9E1F2" w:fill="D9E1F2"/>
            <w:vAlign w:val="center"/>
            <w:hideMark/>
          </w:tcPr>
          <w:p w14:paraId="4B13A984"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17.5</w:t>
            </w:r>
          </w:p>
        </w:tc>
      </w:tr>
      <w:tr w:rsidR="00203F6C" w:rsidRPr="00203F6C" w14:paraId="4A2D8B00" w14:textId="77777777" w:rsidTr="00203F6C">
        <w:trPr>
          <w:trHeight w:val="290"/>
        </w:trPr>
        <w:tc>
          <w:tcPr>
            <w:tcW w:w="1890" w:type="dxa"/>
            <w:tcBorders>
              <w:top w:val="single" w:sz="4" w:space="0" w:color="8EA9DB"/>
              <w:left w:val="single" w:sz="4" w:space="0" w:color="8EA9DB"/>
              <w:bottom w:val="single" w:sz="4" w:space="0" w:color="8EA9DB"/>
              <w:right w:val="nil"/>
            </w:tcBorders>
            <w:vAlign w:val="center"/>
            <w:hideMark/>
          </w:tcPr>
          <w:p w14:paraId="5E1A2925" w14:textId="77777777" w:rsidR="00203F6C" w:rsidRPr="00203F6C" w:rsidRDefault="00203F6C" w:rsidP="00203F6C">
            <w:pPr>
              <w:spacing w:after="0" w:line="240" w:lineRule="auto"/>
              <w:rPr>
                <w:rFonts w:ascii="Times New Roman" w:eastAsia="Times New Roman" w:hAnsi="Times New Roman" w:cs="Times New Roman"/>
                <w:b/>
                <w:bCs/>
                <w:color w:val="000000"/>
                <w:sz w:val="24"/>
                <w:szCs w:val="24"/>
              </w:rPr>
            </w:pPr>
            <w:r w:rsidRPr="00203F6C">
              <w:rPr>
                <w:rFonts w:ascii="Times New Roman" w:eastAsia="Times New Roman" w:hAnsi="Times New Roman" w:cs="Times New Roman"/>
                <w:b/>
                <w:bCs/>
                <w:color w:val="000000"/>
                <w:sz w:val="24"/>
                <w:szCs w:val="24"/>
              </w:rPr>
              <w:t>Total</w:t>
            </w:r>
          </w:p>
        </w:tc>
        <w:tc>
          <w:tcPr>
            <w:tcW w:w="1212" w:type="dxa"/>
            <w:tcBorders>
              <w:top w:val="single" w:sz="4" w:space="0" w:color="8EA9DB"/>
              <w:left w:val="nil"/>
              <w:bottom w:val="single" w:sz="4" w:space="0" w:color="8EA9DB"/>
              <w:right w:val="nil"/>
            </w:tcBorders>
            <w:vAlign w:val="center"/>
            <w:hideMark/>
          </w:tcPr>
          <w:p w14:paraId="2CA95E4A" w14:textId="77777777" w:rsidR="00203F6C" w:rsidRPr="00203F6C" w:rsidRDefault="00203F6C" w:rsidP="00203F6C">
            <w:pPr>
              <w:spacing w:after="0" w:line="240" w:lineRule="auto"/>
              <w:jc w:val="right"/>
              <w:rPr>
                <w:rFonts w:ascii="Times New Roman" w:eastAsia="Times New Roman" w:hAnsi="Times New Roman" w:cs="Times New Roman"/>
                <w:b/>
                <w:bCs/>
                <w:color w:val="000000"/>
                <w:sz w:val="24"/>
                <w:szCs w:val="24"/>
              </w:rPr>
            </w:pPr>
            <w:r w:rsidRPr="00203F6C">
              <w:rPr>
                <w:rFonts w:ascii="Times New Roman" w:eastAsia="Times New Roman" w:hAnsi="Times New Roman" w:cs="Times New Roman"/>
                <w:b/>
                <w:bCs/>
                <w:color w:val="000000"/>
                <w:sz w:val="24"/>
                <w:szCs w:val="24"/>
              </w:rPr>
              <w:t>1,650</w:t>
            </w:r>
          </w:p>
        </w:tc>
        <w:tc>
          <w:tcPr>
            <w:tcW w:w="1235" w:type="dxa"/>
            <w:tcBorders>
              <w:top w:val="single" w:sz="4" w:space="0" w:color="8EA9DB"/>
              <w:left w:val="nil"/>
              <w:bottom w:val="single" w:sz="4" w:space="0" w:color="8EA9DB"/>
              <w:right w:val="nil"/>
            </w:tcBorders>
            <w:vAlign w:val="center"/>
            <w:hideMark/>
          </w:tcPr>
          <w:p w14:paraId="7892FB4C" w14:textId="77777777" w:rsidR="00203F6C" w:rsidRPr="00203F6C" w:rsidRDefault="00203F6C" w:rsidP="00203F6C">
            <w:pPr>
              <w:spacing w:after="0" w:line="240" w:lineRule="auto"/>
              <w:jc w:val="right"/>
              <w:rPr>
                <w:rFonts w:ascii="Times New Roman" w:eastAsia="Times New Roman" w:hAnsi="Times New Roman" w:cs="Times New Roman"/>
                <w:b/>
                <w:bCs/>
                <w:color w:val="000000"/>
                <w:sz w:val="24"/>
                <w:szCs w:val="24"/>
              </w:rPr>
            </w:pPr>
            <w:r w:rsidRPr="00203F6C">
              <w:rPr>
                <w:rFonts w:ascii="Times New Roman" w:eastAsia="Times New Roman" w:hAnsi="Times New Roman" w:cs="Times New Roman"/>
                <w:b/>
                <w:bCs/>
                <w:color w:val="000000"/>
                <w:sz w:val="24"/>
                <w:szCs w:val="24"/>
              </w:rPr>
              <w:t>2,015</w:t>
            </w:r>
          </w:p>
        </w:tc>
        <w:tc>
          <w:tcPr>
            <w:tcW w:w="1019" w:type="dxa"/>
            <w:tcBorders>
              <w:top w:val="single" w:sz="4" w:space="0" w:color="8EA9DB"/>
              <w:left w:val="nil"/>
              <w:bottom w:val="single" w:sz="4" w:space="0" w:color="8EA9DB"/>
              <w:right w:val="nil"/>
            </w:tcBorders>
            <w:vAlign w:val="center"/>
            <w:hideMark/>
          </w:tcPr>
          <w:p w14:paraId="39BF7836" w14:textId="77777777" w:rsidR="00203F6C" w:rsidRPr="00203F6C" w:rsidRDefault="00203F6C" w:rsidP="00203F6C">
            <w:pPr>
              <w:spacing w:after="0" w:line="240" w:lineRule="auto"/>
              <w:jc w:val="right"/>
              <w:rPr>
                <w:rFonts w:ascii="Times New Roman" w:eastAsia="Times New Roman" w:hAnsi="Times New Roman" w:cs="Times New Roman"/>
                <w:b/>
                <w:bCs/>
                <w:color w:val="000000"/>
                <w:sz w:val="24"/>
                <w:szCs w:val="24"/>
              </w:rPr>
            </w:pPr>
            <w:r w:rsidRPr="00203F6C">
              <w:rPr>
                <w:rFonts w:ascii="Times New Roman" w:eastAsia="Times New Roman" w:hAnsi="Times New Roman" w:cs="Times New Roman"/>
                <w:b/>
                <w:bCs/>
                <w:color w:val="000000"/>
                <w:sz w:val="24"/>
                <w:szCs w:val="24"/>
              </w:rPr>
              <w:t>365</w:t>
            </w:r>
          </w:p>
        </w:tc>
        <w:tc>
          <w:tcPr>
            <w:tcW w:w="1084" w:type="dxa"/>
            <w:tcBorders>
              <w:top w:val="single" w:sz="4" w:space="0" w:color="8EA9DB"/>
              <w:left w:val="nil"/>
              <w:bottom w:val="single" w:sz="4" w:space="0" w:color="8EA9DB"/>
              <w:right w:val="single" w:sz="4" w:space="0" w:color="8EA9DB"/>
            </w:tcBorders>
            <w:vAlign w:val="center"/>
            <w:hideMark/>
          </w:tcPr>
          <w:p w14:paraId="01739526" w14:textId="77777777" w:rsidR="00203F6C" w:rsidRPr="00203F6C" w:rsidRDefault="00203F6C" w:rsidP="00203F6C">
            <w:pPr>
              <w:spacing w:after="0" w:line="240" w:lineRule="auto"/>
              <w:jc w:val="right"/>
              <w:rPr>
                <w:rFonts w:ascii="Times New Roman" w:eastAsia="Times New Roman" w:hAnsi="Times New Roman" w:cs="Times New Roman"/>
                <w:b/>
                <w:bCs/>
                <w:color w:val="000000"/>
                <w:sz w:val="24"/>
                <w:szCs w:val="24"/>
              </w:rPr>
            </w:pPr>
            <w:r w:rsidRPr="00203F6C">
              <w:rPr>
                <w:rFonts w:ascii="Times New Roman" w:eastAsia="Times New Roman" w:hAnsi="Times New Roman" w:cs="Times New Roman"/>
                <w:b/>
                <w:bCs/>
                <w:color w:val="000000"/>
                <w:sz w:val="24"/>
                <w:szCs w:val="24"/>
              </w:rPr>
              <w:t>22</w:t>
            </w:r>
          </w:p>
        </w:tc>
      </w:tr>
    </w:tbl>
    <w:p w14:paraId="3375E9CE" w14:textId="77777777" w:rsidR="00203F6C" w:rsidRPr="00203F6C" w:rsidRDefault="00203F6C" w:rsidP="00203F6C">
      <w:pPr>
        <w:rPr>
          <w:rFonts w:ascii="Times New Roman" w:hAnsi="Times New Roman" w:cs="Times New Roman"/>
          <w:sz w:val="24"/>
          <w:szCs w:val="24"/>
        </w:rPr>
      </w:pPr>
    </w:p>
    <w:p w14:paraId="43DD3CEA" w14:textId="40DD20A7" w:rsidR="00203F6C" w:rsidRDefault="00203F6C" w:rsidP="00203F6C">
      <w:pPr>
        <w:rPr>
          <w:rFonts w:ascii="Times New Roman" w:hAnsi="Times New Roman" w:cs="Times New Roman"/>
          <w:sz w:val="24"/>
          <w:szCs w:val="24"/>
        </w:rPr>
      </w:pPr>
      <w:r w:rsidRPr="00203F6C">
        <w:rPr>
          <w:rFonts w:ascii="Times New Roman" w:hAnsi="Times New Roman" w:cs="Times New Roman"/>
          <w:noProof/>
          <w:sz w:val="24"/>
          <w:szCs w:val="24"/>
        </w:rPr>
        <w:drawing>
          <wp:inline distT="0" distB="0" distL="0" distR="0" wp14:anchorId="7E3A72F1" wp14:editId="2358844F">
            <wp:extent cx="4572000" cy="2743200"/>
            <wp:effectExtent l="0" t="0" r="0" b="0"/>
            <wp:docPr id="940872421" name="Chart 1">
              <a:extLst xmlns:a="http://schemas.openxmlformats.org/drawingml/2006/main">
                <a:ext uri="{FF2B5EF4-FFF2-40B4-BE49-F238E27FC236}">
                  <a16:creationId xmlns:a16="http://schemas.microsoft.com/office/drawing/2014/main" id="{4BBAF411-4E00-425D-8143-8A00AD5E5A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85F878" w14:textId="3D342E2B" w:rsidR="00F8518D" w:rsidRPr="00203F6C" w:rsidRDefault="00F8518D" w:rsidP="00203F6C">
      <w:pPr>
        <w:rPr>
          <w:rFonts w:ascii="Times New Roman" w:hAnsi="Times New Roman" w:cs="Times New Roman"/>
          <w:sz w:val="24"/>
          <w:szCs w:val="24"/>
        </w:rPr>
      </w:pPr>
      <w:r>
        <w:rPr>
          <w:rFonts w:ascii="Times New Roman" w:hAnsi="Times New Roman" w:cs="Times New Roman"/>
          <w:sz w:val="24"/>
          <w:szCs w:val="24"/>
        </w:rPr>
        <w:t>Fig 2-</w:t>
      </w:r>
      <w:r w:rsidR="00E04374">
        <w:rPr>
          <w:rFonts w:ascii="Times New Roman" w:hAnsi="Times New Roman" w:cs="Times New Roman"/>
          <w:sz w:val="24"/>
          <w:szCs w:val="24"/>
        </w:rPr>
        <w:t xml:space="preserve"> Sectoral Simulation</w:t>
      </w:r>
    </w:p>
    <w:p w14:paraId="750E1666" w14:textId="40EC3E0A"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Regional Effects</w:t>
      </w:r>
    </w:p>
    <w:p w14:paraId="387E3D38"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Regional modeling indicates that Lagos, Abuja, and Rivers as a group generate 53% to additional revenue in line with enhanced transaction density and ICT infrastructure. Regional ROI is worthy of phased rollout starting from states that are technologically advanced.</w:t>
      </w:r>
    </w:p>
    <w:p w14:paraId="6FAF9F1B" w14:textId="0242530F" w:rsidR="000725C2"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 xml:space="preserve">Table </w:t>
      </w:r>
      <w:r w:rsidR="00F8518D">
        <w:rPr>
          <w:rFonts w:ascii="Times New Roman" w:hAnsi="Times New Roman" w:cs="Times New Roman"/>
          <w:b/>
          <w:bCs/>
          <w:sz w:val="24"/>
          <w:szCs w:val="24"/>
        </w:rPr>
        <w:t>2</w:t>
      </w:r>
      <w:r w:rsidRPr="00203F6C">
        <w:rPr>
          <w:rFonts w:ascii="Times New Roman" w:hAnsi="Times New Roman" w:cs="Times New Roman"/>
          <w:b/>
          <w:bCs/>
          <w:sz w:val="24"/>
          <w:szCs w:val="24"/>
        </w:rPr>
        <w:t>. Sensitivity Analysis</w:t>
      </w:r>
    </w:p>
    <w:tbl>
      <w:tblPr>
        <w:tblW w:w="8020" w:type="dxa"/>
        <w:tblInd w:w="113" w:type="dxa"/>
        <w:tblLook w:val="04A0" w:firstRow="1" w:lastRow="0" w:firstColumn="1" w:lastColumn="0" w:noHBand="0" w:noVBand="1"/>
      </w:tblPr>
      <w:tblGrid>
        <w:gridCol w:w="1136"/>
        <w:gridCol w:w="1523"/>
        <w:gridCol w:w="1230"/>
        <w:gridCol w:w="1588"/>
        <w:gridCol w:w="1430"/>
        <w:gridCol w:w="1113"/>
      </w:tblGrid>
      <w:tr w:rsidR="00203F6C" w:rsidRPr="00203F6C" w14:paraId="050E5ECE" w14:textId="77777777" w:rsidTr="00203F6C">
        <w:trPr>
          <w:trHeight w:val="1450"/>
        </w:trPr>
        <w:tc>
          <w:tcPr>
            <w:tcW w:w="1100" w:type="dxa"/>
            <w:tcBorders>
              <w:top w:val="single" w:sz="4" w:space="0" w:color="8EA9DB"/>
              <w:left w:val="single" w:sz="4" w:space="0" w:color="8EA9DB"/>
              <w:bottom w:val="single" w:sz="4" w:space="0" w:color="8EA9DB"/>
              <w:right w:val="nil"/>
            </w:tcBorders>
            <w:shd w:val="clear" w:color="4472C4" w:fill="4472C4"/>
            <w:vAlign w:val="center"/>
            <w:hideMark/>
          </w:tcPr>
          <w:p w14:paraId="440F6B46" w14:textId="77777777" w:rsidR="00203F6C" w:rsidRPr="00203F6C" w:rsidRDefault="00203F6C" w:rsidP="00203F6C">
            <w:pPr>
              <w:spacing w:after="0" w:line="240" w:lineRule="auto"/>
              <w:jc w:val="center"/>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Scenario</w:t>
            </w:r>
          </w:p>
        </w:tc>
        <w:tc>
          <w:tcPr>
            <w:tcW w:w="1420" w:type="dxa"/>
            <w:tcBorders>
              <w:top w:val="single" w:sz="4" w:space="0" w:color="8EA9DB"/>
              <w:left w:val="nil"/>
              <w:bottom w:val="single" w:sz="4" w:space="0" w:color="8EA9DB"/>
              <w:right w:val="nil"/>
            </w:tcBorders>
            <w:shd w:val="clear" w:color="4472C4" w:fill="4472C4"/>
            <w:vAlign w:val="center"/>
            <w:hideMark/>
          </w:tcPr>
          <w:p w14:paraId="1E933153" w14:textId="77777777" w:rsidR="00203F6C" w:rsidRPr="00203F6C" w:rsidRDefault="00203F6C" w:rsidP="00203F6C">
            <w:pPr>
              <w:spacing w:after="0" w:line="240" w:lineRule="auto"/>
              <w:jc w:val="right"/>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α (Compliance Response)</w:t>
            </w:r>
          </w:p>
        </w:tc>
        <w:tc>
          <w:tcPr>
            <w:tcW w:w="1260" w:type="dxa"/>
            <w:tcBorders>
              <w:top w:val="single" w:sz="4" w:space="0" w:color="8EA9DB"/>
              <w:left w:val="nil"/>
              <w:bottom w:val="single" w:sz="4" w:space="0" w:color="8EA9DB"/>
              <w:right w:val="nil"/>
            </w:tcBorders>
            <w:shd w:val="clear" w:color="4472C4" w:fill="4472C4"/>
            <w:vAlign w:val="center"/>
            <w:hideMark/>
          </w:tcPr>
          <w:p w14:paraId="0FD80F47" w14:textId="77777777" w:rsidR="00203F6C" w:rsidRPr="00203F6C" w:rsidRDefault="00203F6C" w:rsidP="00203F6C">
            <w:pPr>
              <w:spacing w:after="0" w:line="240" w:lineRule="auto"/>
              <w:jc w:val="right"/>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Fixed Cost (₦ billion)</w:t>
            </w:r>
          </w:p>
        </w:tc>
        <w:tc>
          <w:tcPr>
            <w:tcW w:w="1600" w:type="dxa"/>
            <w:tcBorders>
              <w:top w:val="single" w:sz="4" w:space="0" w:color="8EA9DB"/>
              <w:left w:val="nil"/>
              <w:bottom w:val="single" w:sz="4" w:space="0" w:color="8EA9DB"/>
              <w:right w:val="nil"/>
            </w:tcBorders>
            <w:shd w:val="clear" w:color="4472C4" w:fill="4472C4"/>
            <w:vAlign w:val="center"/>
            <w:hideMark/>
          </w:tcPr>
          <w:p w14:paraId="6ECECD43" w14:textId="77777777" w:rsidR="00203F6C" w:rsidRPr="00203F6C" w:rsidRDefault="00203F6C" w:rsidP="00203F6C">
            <w:pPr>
              <w:spacing w:after="0" w:line="240" w:lineRule="auto"/>
              <w:jc w:val="right"/>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Incremental Revenue (₦ billion)</w:t>
            </w:r>
          </w:p>
        </w:tc>
        <w:tc>
          <w:tcPr>
            <w:tcW w:w="1480" w:type="dxa"/>
            <w:tcBorders>
              <w:top w:val="single" w:sz="4" w:space="0" w:color="8EA9DB"/>
              <w:left w:val="nil"/>
              <w:bottom w:val="single" w:sz="4" w:space="0" w:color="8EA9DB"/>
              <w:right w:val="nil"/>
            </w:tcBorders>
            <w:shd w:val="clear" w:color="4472C4" w:fill="4472C4"/>
            <w:vAlign w:val="center"/>
            <w:hideMark/>
          </w:tcPr>
          <w:p w14:paraId="0EA58592" w14:textId="77777777" w:rsidR="00203F6C" w:rsidRPr="00203F6C" w:rsidRDefault="00203F6C" w:rsidP="00203F6C">
            <w:pPr>
              <w:spacing w:after="0" w:line="240" w:lineRule="auto"/>
              <w:jc w:val="right"/>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Net Benefit (₦ billion)</w:t>
            </w:r>
          </w:p>
        </w:tc>
        <w:tc>
          <w:tcPr>
            <w:tcW w:w="1160" w:type="dxa"/>
            <w:tcBorders>
              <w:top w:val="single" w:sz="4" w:space="0" w:color="8EA9DB"/>
              <w:left w:val="nil"/>
              <w:bottom w:val="single" w:sz="4" w:space="0" w:color="8EA9DB"/>
              <w:right w:val="single" w:sz="4" w:space="0" w:color="8EA9DB"/>
            </w:tcBorders>
            <w:shd w:val="clear" w:color="4472C4" w:fill="4472C4"/>
            <w:vAlign w:val="center"/>
            <w:hideMark/>
          </w:tcPr>
          <w:p w14:paraId="7F01D9D3" w14:textId="77777777" w:rsidR="00203F6C" w:rsidRPr="00203F6C" w:rsidRDefault="00203F6C" w:rsidP="00203F6C">
            <w:pPr>
              <w:spacing w:after="0" w:line="240" w:lineRule="auto"/>
              <w:jc w:val="right"/>
              <w:rPr>
                <w:rFonts w:ascii="Times New Roman" w:eastAsia="Times New Roman" w:hAnsi="Times New Roman" w:cs="Times New Roman"/>
                <w:b/>
                <w:bCs/>
                <w:color w:val="FFFFFF"/>
                <w:sz w:val="24"/>
                <w:szCs w:val="24"/>
              </w:rPr>
            </w:pPr>
            <w:r w:rsidRPr="00203F6C">
              <w:rPr>
                <w:rFonts w:ascii="Times New Roman" w:eastAsia="Times New Roman" w:hAnsi="Times New Roman" w:cs="Times New Roman"/>
                <w:b/>
                <w:bCs/>
                <w:color w:val="FFFFFF"/>
                <w:sz w:val="24"/>
                <w:szCs w:val="24"/>
              </w:rPr>
              <w:t>ROI</w:t>
            </w:r>
          </w:p>
        </w:tc>
      </w:tr>
      <w:tr w:rsidR="00203F6C" w:rsidRPr="00203F6C" w14:paraId="4C54F44A" w14:textId="77777777" w:rsidTr="00203F6C">
        <w:trPr>
          <w:trHeight w:val="290"/>
        </w:trPr>
        <w:tc>
          <w:tcPr>
            <w:tcW w:w="1100" w:type="dxa"/>
            <w:tcBorders>
              <w:top w:val="single" w:sz="4" w:space="0" w:color="8EA9DB"/>
              <w:left w:val="single" w:sz="4" w:space="0" w:color="8EA9DB"/>
              <w:bottom w:val="single" w:sz="4" w:space="0" w:color="8EA9DB"/>
              <w:right w:val="nil"/>
            </w:tcBorders>
            <w:shd w:val="clear" w:color="D9E1F2" w:fill="D9E1F2"/>
            <w:vAlign w:val="center"/>
            <w:hideMark/>
          </w:tcPr>
          <w:p w14:paraId="1357AEB9" w14:textId="77777777" w:rsidR="00203F6C" w:rsidRPr="00203F6C" w:rsidRDefault="00203F6C" w:rsidP="00203F6C">
            <w:pPr>
              <w:spacing w:after="0" w:line="240" w:lineRule="auto"/>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Baseline</w:t>
            </w:r>
          </w:p>
        </w:tc>
        <w:tc>
          <w:tcPr>
            <w:tcW w:w="1420" w:type="dxa"/>
            <w:tcBorders>
              <w:top w:val="single" w:sz="4" w:space="0" w:color="8EA9DB"/>
              <w:left w:val="nil"/>
              <w:bottom w:val="single" w:sz="4" w:space="0" w:color="8EA9DB"/>
              <w:right w:val="nil"/>
            </w:tcBorders>
            <w:shd w:val="clear" w:color="D9E1F2" w:fill="D9E1F2"/>
            <w:vAlign w:val="center"/>
            <w:hideMark/>
          </w:tcPr>
          <w:p w14:paraId="25D6B74A"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0.25</w:t>
            </w:r>
          </w:p>
        </w:tc>
        <w:tc>
          <w:tcPr>
            <w:tcW w:w="1260" w:type="dxa"/>
            <w:tcBorders>
              <w:top w:val="single" w:sz="4" w:space="0" w:color="8EA9DB"/>
              <w:left w:val="nil"/>
              <w:bottom w:val="single" w:sz="4" w:space="0" w:color="8EA9DB"/>
              <w:right w:val="nil"/>
            </w:tcBorders>
            <w:shd w:val="clear" w:color="D9E1F2" w:fill="D9E1F2"/>
            <w:vAlign w:val="center"/>
            <w:hideMark/>
          </w:tcPr>
          <w:p w14:paraId="394261AF"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20</w:t>
            </w:r>
          </w:p>
        </w:tc>
        <w:tc>
          <w:tcPr>
            <w:tcW w:w="1600" w:type="dxa"/>
            <w:tcBorders>
              <w:top w:val="single" w:sz="4" w:space="0" w:color="8EA9DB"/>
              <w:left w:val="nil"/>
              <w:bottom w:val="single" w:sz="4" w:space="0" w:color="8EA9DB"/>
              <w:right w:val="nil"/>
            </w:tcBorders>
            <w:shd w:val="clear" w:color="D9E1F2" w:fill="D9E1F2"/>
            <w:vAlign w:val="center"/>
            <w:hideMark/>
          </w:tcPr>
          <w:p w14:paraId="42AA3B35"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530</w:t>
            </w:r>
          </w:p>
        </w:tc>
        <w:tc>
          <w:tcPr>
            <w:tcW w:w="1480" w:type="dxa"/>
            <w:tcBorders>
              <w:top w:val="single" w:sz="4" w:space="0" w:color="8EA9DB"/>
              <w:left w:val="nil"/>
              <w:bottom w:val="single" w:sz="4" w:space="0" w:color="8EA9DB"/>
              <w:right w:val="nil"/>
            </w:tcBorders>
            <w:shd w:val="clear" w:color="D9E1F2" w:fill="D9E1F2"/>
            <w:vAlign w:val="center"/>
            <w:hideMark/>
          </w:tcPr>
          <w:p w14:paraId="17AE48C8"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490</w:t>
            </w:r>
          </w:p>
        </w:tc>
        <w:tc>
          <w:tcPr>
            <w:tcW w:w="1160" w:type="dxa"/>
            <w:tcBorders>
              <w:top w:val="single" w:sz="4" w:space="0" w:color="8EA9DB"/>
              <w:left w:val="nil"/>
              <w:bottom w:val="single" w:sz="4" w:space="0" w:color="8EA9DB"/>
              <w:right w:val="single" w:sz="4" w:space="0" w:color="8EA9DB"/>
            </w:tcBorders>
            <w:shd w:val="clear" w:color="D9E1F2" w:fill="D9E1F2"/>
            <w:vAlign w:val="center"/>
            <w:hideMark/>
          </w:tcPr>
          <w:p w14:paraId="142AE30C"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13.3</w:t>
            </w:r>
          </w:p>
        </w:tc>
      </w:tr>
      <w:tr w:rsidR="00203F6C" w:rsidRPr="00203F6C" w14:paraId="14A056F2" w14:textId="77777777" w:rsidTr="00203F6C">
        <w:trPr>
          <w:trHeight w:val="870"/>
        </w:trPr>
        <w:tc>
          <w:tcPr>
            <w:tcW w:w="1100" w:type="dxa"/>
            <w:tcBorders>
              <w:top w:val="single" w:sz="4" w:space="0" w:color="8EA9DB"/>
              <w:left w:val="single" w:sz="4" w:space="0" w:color="8EA9DB"/>
              <w:bottom w:val="single" w:sz="4" w:space="0" w:color="8EA9DB"/>
              <w:right w:val="nil"/>
            </w:tcBorders>
            <w:vAlign w:val="center"/>
            <w:hideMark/>
          </w:tcPr>
          <w:p w14:paraId="722C85CF" w14:textId="77777777" w:rsidR="00203F6C" w:rsidRPr="00203F6C" w:rsidRDefault="00203F6C" w:rsidP="00203F6C">
            <w:pPr>
              <w:spacing w:after="0" w:line="240" w:lineRule="auto"/>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lastRenderedPageBreak/>
              <w:t>Higher Response</w:t>
            </w:r>
          </w:p>
        </w:tc>
        <w:tc>
          <w:tcPr>
            <w:tcW w:w="1420" w:type="dxa"/>
            <w:tcBorders>
              <w:top w:val="single" w:sz="4" w:space="0" w:color="8EA9DB"/>
              <w:left w:val="nil"/>
              <w:bottom w:val="single" w:sz="4" w:space="0" w:color="8EA9DB"/>
              <w:right w:val="nil"/>
            </w:tcBorders>
            <w:vAlign w:val="center"/>
            <w:hideMark/>
          </w:tcPr>
          <w:p w14:paraId="3116489E"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0.4</w:t>
            </w:r>
          </w:p>
        </w:tc>
        <w:tc>
          <w:tcPr>
            <w:tcW w:w="1260" w:type="dxa"/>
            <w:tcBorders>
              <w:top w:val="single" w:sz="4" w:space="0" w:color="8EA9DB"/>
              <w:left w:val="nil"/>
              <w:bottom w:val="single" w:sz="4" w:space="0" w:color="8EA9DB"/>
              <w:right w:val="nil"/>
            </w:tcBorders>
            <w:vAlign w:val="center"/>
            <w:hideMark/>
          </w:tcPr>
          <w:p w14:paraId="3EEC96F6"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20</w:t>
            </w:r>
          </w:p>
        </w:tc>
        <w:tc>
          <w:tcPr>
            <w:tcW w:w="1600" w:type="dxa"/>
            <w:tcBorders>
              <w:top w:val="single" w:sz="4" w:space="0" w:color="8EA9DB"/>
              <w:left w:val="nil"/>
              <w:bottom w:val="single" w:sz="4" w:space="0" w:color="8EA9DB"/>
              <w:right w:val="nil"/>
            </w:tcBorders>
            <w:vAlign w:val="center"/>
            <w:hideMark/>
          </w:tcPr>
          <w:p w14:paraId="156832BD"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650</w:t>
            </w:r>
          </w:p>
        </w:tc>
        <w:tc>
          <w:tcPr>
            <w:tcW w:w="1480" w:type="dxa"/>
            <w:tcBorders>
              <w:top w:val="single" w:sz="4" w:space="0" w:color="8EA9DB"/>
              <w:left w:val="nil"/>
              <w:bottom w:val="single" w:sz="4" w:space="0" w:color="8EA9DB"/>
              <w:right w:val="nil"/>
            </w:tcBorders>
            <w:vAlign w:val="center"/>
            <w:hideMark/>
          </w:tcPr>
          <w:p w14:paraId="596F2831"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610</w:t>
            </w:r>
          </w:p>
        </w:tc>
        <w:tc>
          <w:tcPr>
            <w:tcW w:w="1160" w:type="dxa"/>
            <w:tcBorders>
              <w:top w:val="single" w:sz="4" w:space="0" w:color="8EA9DB"/>
              <w:left w:val="nil"/>
              <w:bottom w:val="single" w:sz="4" w:space="0" w:color="8EA9DB"/>
              <w:right w:val="single" w:sz="4" w:space="0" w:color="8EA9DB"/>
            </w:tcBorders>
            <w:vAlign w:val="center"/>
            <w:hideMark/>
          </w:tcPr>
          <w:p w14:paraId="1865CE19"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16.3</w:t>
            </w:r>
          </w:p>
        </w:tc>
      </w:tr>
      <w:tr w:rsidR="00203F6C" w:rsidRPr="00203F6C" w14:paraId="6A025D43" w14:textId="77777777" w:rsidTr="00203F6C">
        <w:trPr>
          <w:trHeight w:val="870"/>
        </w:trPr>
        <w:tc>
          <w:tcPr>
            <w:tcW w:w="1100" w:type="dxa"/>
            <w:tcBorders>
              <w:top w:val="single" w:sz="4" w:space="0" w:color="8EA9DB"/>
              <w:left w:val="single" w:sz="4" w:space="0" w:color="8EA9DB"/>
              <w:bottom w:val="single" w:sz="4" w:space="0" w:color="8EA9DB"/>
              <w:right w:val="nil"/>
            </w:tcBorders>
            <w:shd w:val="clear" w:color="D9E1F2" w:fill="D9E1F2"/>
            <w:vAlign w:val="center"/>
            <w:hideMark/>
          </w:tcPr>
          <w:p w14:paraId="66344ECA" w14:textId="77777777" w:rsidR="00203F6C" w:rsidRPr="00203F6C" w:rsidRDefault="00203F6C" w:rsidP="00203F6C">
            <w:pPr>
              <w:spacing w:after="0" w:line="240" w:lineRule="auto"/>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Lower Response</w:t>
            </w:r>
          </w:p>
        </w:tc>
        <w:tc>
          <w:tcPr>
            <w:tcW w:w="1420" w:type="dxa"/>
            <w:tcBorders>
              <w:top w:val="single" w:sz="4" w:space="0" w:color="8EA9DB"/>
              <w:left w:val="nil"/>
              <w:bottom w:val="single" w:sz="4" w:space="0" w:color="8EA9DB"/>
              <w:right w:val="nil"/>
            </w:tcBorders>
            <w:shd w:val="clear" w:color="D9E1F2" w:fill="D9E1F2"/>
            <w:vAlign w:val="center"/>
            <w:hideMark/>
          </w:tcPr>
          <w:p w14:paraId="7FBF8328"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0.1</w:t>
            </w:r>
          </w:p>
        </w:tc>
        <w:tc>
          <w:tcPr>
            <w:tcW w:w="1260" w:type="dxa"/>
            <w:tcBorders>
              <w:top w:val="single" w:sz="4" w:space="0" w:color="8EA9DB"/>
              <w:left w:val="nil"/>
              <w:bottom w:val="single" w:sz="4" w:space="0" w:color="8EA9DB"/>
              <w:right w:val="nil"/>
            </w:tcBorders>
            <w:shd w:val="clear" w:color="D9E1F2" w:fill="D9E1F2"/>
            <w:vAlign w:val="center"/>
            <w:hideMark/>
          </w:tcPr>
          <w:p w14:paraId="71178552"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20</w:t>
            </w:r>
          </w:p>
        </w:tc>
        <w:tc>
          <w:tcPr>
            <w:tcW w:w="1600" w:type="dxa"/>
            <w:tcBorders>
              <w:top w:val="single" w:sz="4" w:space="0" w:color="8EA9DB"/>
              <w:left w:val="nil"/>
              <w:bottom w:val="single" w:sz="4" w:space="0" w:color="8EA9DB"/>
              <w:right w:val="nil"/>
            </w:tcBorders>
            <w:shd w:val="clear" w:color="D9E1F2" w:fill="D9E1F2"/>
            <w:vAlign w:val="center"/>
            <w:hideMark/>
          </w:tcPr>
          <w:p w14:paraId="2E629B4B"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250</w:t>
            </w:r>
          </w:p>
        </w:tc>
        <w:tc>
          <w:tcPr>
            <w:tcW w:w="1480" w:type="dxa"/>
            <w:tcBorders>
              <w:top w:val="single" w:sz="4" w:space="0" w:color="8EA9DB"/>
              <w:left w:val="nil"/>
              <w:bottom w:val="single" w:sz="4" w:space="0" w:color="8EA9DB"/>
              <w:right w:val="nil"/>
            </w:tcBorders>
            <w:shd w:val="clear" w:color="D9E1F2" w:fill="D9E1F2"/>
            <w:vAlign w:val="center"/>
            <w:hideMark/>
          </w:tcPr>
          <w:p w14:paraId="17EC5381"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210</w:t>
            </w:r>
          </w:p>
        </w:tc>
        <w:tc>
          <w:tcPr>
            <w:tcW w:w="1160" w:type="dxa"/>
            <w:tcBorders>
              <w:top w:val="single" w:sz="4" w:space="0" w:color="8EA9DB"/>
              <w:left w:val="nil"/>
              <w:bottom w:val="single" w:sz="4" w:space="0" w:color="8EA9DB"/>
              <w:right w:val="single" w:sz="4" w:space="0" w:color="8EA9DB"/>
            </w:tcBorders>
            <w:shd w:val="clear" w:color="D9E1F2" w:fill="D9E1F2"/>
            <w:vAlign w:val="center"/>
            <w:hideMark/>
          </w:tcPr>
          <w:p w14:paraId="604C4BBC"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6.3</w:t>
            </w:r>
          </w:p>
        </w:tc>
      </w:tr>
      <w:tr w:rsidR="00203F6C" w:rsidRPr="00203F6C" w14:paraId="38DAD2AB" w14:textId="77777777" w:rsidTr="00203F6C">
        <w:trPr>
          <w:trHeight w:val="870"/>
        </w:trPr>
        <w:tc>
          <w:tcPr>
            <w:tcW w:w="1100" w:type="dxa"/>
            <w:tcBorders>
              <w:top w:val="single" w:sz="4" w:space="0" w:color="8EA9DB"/>
              <w:left w:val="single" w:sz="4" w:space="0" w:color="8EA9DB"/>
              <w:bottom w:val="single" w:sz="4" w:space="0" w:color="8EA9DB"/>
              <w:right w:val="nil"/>
            </w:tcBorders>
            <w:vAlign w:val="center"/>
            <w:hideMark/>
          </w:tcPr>
          <w:p w14:paraId="77C0B7BE" w14:textId="77777777" w:rsidR="00203F6C" w:rsidRPr="00203F6C" w:rsidRDefault="00203F6C" w:rsidP="00203F6C">
            <w:pPr>
              <w:spacing w:after="0" w:line="240" w:lineRule="auto"/>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Higher Fixed Cost</w:t>
            </w:r>
          </w:p>
        </w:tc>
        <w:tc>
          <w:tcPr>
            <w:tcW w:w="1420" w:type="dxa"/>
            <w:tcBorders>
              <w:top w:val="single" w:sz="4" w:space="0" w:color="8EA9DB"/>
              <w:left w:val="nil"/>
              <w:bottom w:val="single" w:sz="4" w:space="0" w:color="8EA9DB"/>
              <w:right w:val="nil"/>
            </w:tcBorders>
            <w:vAlign w:val="center"/>
            <w:hideMark/>
          </w:tcPr>
          <w:p w14:paraId="3755DD26"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0.25</w:t>
            </w:r>
          </w:p>
        </w:tc>
        <w:tc>
          <w:tcPr>
            <w:tcW w:w="1260" w:type="dxa"/>
            <w:tcBorders>
              <w:top w:val="single" w:sz="4" w:space="0" w:color="8EA9DB"/>
              <w:left w:val="nil"/>
              <w:bottom w:val="single" w:sz="4" w:space="0" w:color="8EA9DB"/>
              <w:right w:val="nil"/>
            </w:tcBorders>
            <w:vAlign w:val="center"/>
            <w:hideMark/>
          </w:tcPr>
          <w:p w14:paraId="7411CEA6"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40</w:t>
            </w:r>
          </w:p>
        </w:tc>
        <w:tc>
          <w:tcPr>
            <w:tcW w:w="1600" w:type="dxa"/>
            <w:tcBorders>
              <w:top w:val="single" w:sz="4" w:space="0" w:color="8EA9DB"/>
              <w:left w:val="nil"/>
              <w:bottom w:val="single" w:sz="4" w:space="0" w:color="8EA9DB"/>
              <w:right w:val="nil"/>
            </w:tcBorders>
            <w:vAlign w:val="center"/>
            <w:hideMark/>
          </w:tcPr>
          <w:p w14:paraId="6A3199F5"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530</w:t>
            </w:r>
          </w:p>
        </w:tc>
        <w:tc>
          <w:tcPr>
            <w:tcW w:w="1480" w:type="dxa"/>
            <w:tcBorders>
              <w:top w:val="single" w:sz="4" w:space="0" w:color="8EA9DB"/>
              <w:left w:val="nil"/>
              <w:bottom w:val="single" w:sz="4" w:space="0" w:color="8EA9DB"/>
              <w:right w:val="nil"/>
            </w:tcBorders>
            <w:vAlign w:val="center"/>
            <w:hideMark/>
          </w:tcPr>
          <w:p w14:paraId="0BEC3C53"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470</w:t>
            </w:r>
          </w:p>
        </w:tc>
        <w:tc>
          <w:tcPr>
            <w:tcW w:w="1160" w:type="dxa"/>
            <w:tcBorders>
              <w:top w:val="single" w:sz="4" w:space="0" w:color="8EA9DB"/>
              <w:left w:val="nil"/>
              <w:bottom w:val="single" w:sz="4" w:space="0" w:color="8EA9DB"/>
              <w:right w:val="single" w:sz="4" w:space="0" w:color="8EA9DB"/>
            </w:tcBorders>
            <w:vAlign w:val="center"/>
            <w:hideMark/>
          </w:tcPr>
          <w:p w14:paraId="00D2FA59"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8.8</w:t>
            </w:r>
          </w:p>
        </w:tc>
      </w:tr>
      <w:tr w:rsidR="00203F6C" w:rsidRPr="00203F6C" w14:paraId="1BDEAA75" w14:textId="77777777" w:rsidTr="00203F6C">
        <w:trPr>
          <w:trHeight w:val="870"/>
        </w:trPr>
        <w:tc>
          <w:tcPr>
            <w:tcW w:w="1100" w:type="dxa"/>
            <w:tcBorders>
              <w:top w:val="single" w:sz="4" w:space="0" w:color="8EA9DB"/>
              <w:left w:val="single" w:sz="4" w:space="0" w:color="8EA9DB"/>
              <w:bottom w:val="single" w:sz="4" w:space="0" w:color="8EA9DB"/>
              <w:right w:val="nil"/>
            </w:tcBorders>
            <w:shd w:val="clear" w:color="D9E1F2" w:fill="D9E1F2"/>
            <w:vAlign w:val="center"/>
            <w:hideMark/>
          </w:tcPr>
          <w:p w14:paraId="3DD0B5A7" w14:textId="77777777" w:rsidR="00203F6C" w:rsidRPr="00203F6C" w:rsidRDefault="00203F6C" w:rsidP="00203F6C">
            <w:pPr>
              <w:spacing w:after="0" w:line="240" w:lineRule="auto"/>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Lower Fixed Cost</w:t>
            </w:r>
          </w:p>
        </w:tc>
        <w:tc>
          <w:tcPr>
            <w:tcW w:w="1420" w:type="dxa"/>
            <w:tcBorders>
              <w:top w:val="single" w:sz="4" w:space="0" w:color="8EA9DB"/>
              <w:left w:val="nil"/>
              <w:bottom w:val="single" w:sz="4" w:space="0" w:color="8EA9DB"/>
              <w:right w:val="nil"/>
            </w:tcBorders>
            <w:shd w:val="clear" w:color="D9E1F2" w:fill="D9E1F2"/>
            <w:vAlign w:val="center"/>
            <w:hideMark/>
          </w:tcPr>
          <w:p w14:paraId="0AD58A35"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0.25</w:t>
            </w:r>
          </w:p>
        </w:tc>
        <w:tc>
          <w:tcPr>
            <w:tcW w:w="1260" w:type="dxa"/>
            <w:tcBorders>
              <w:top w:val="single" w:sz="4" w:space="0" w:color="8EA9DB"/>
              <w:left w:val="nil"/>
              <w:bottom w:val="single" w:sz="4" w:space="0" w:color="8EA9DB"/>
              <w:right w:val="nil"/>
            </w:tcBorders>
            <w:shd w:val="clear" w:color="D9E1F2" w:fill="D9E1F2"/>
            <w:vAlign w:val="center"/>
            <w:hideMark/>
          </w:tcPr>
          <w:p w14:paraId="3D23D21F"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10</w:t>
            </w:r>
          </w:p>
        </w:tc>
        <w:tc>
          <w:tcPr>
            <w:tcW w:w="1600" w:type="dxa"/>
            <w:tcBorders>
              <w:top w:val="single" w:sz="4" w:space="0" w:color="8EA9DB"/>
              <w:left w:val="nil"/>
              <w:bottom w:val="single" w:sz="4" w:space="0" w:color="8EA9DB"/>
              <w:right w:val="nil"/>
            </w:tcBorders>
            <w:shd w:val="clear" w:color="D9E1F2" w:fill="D9E1F2"/>
            <w:vAlign w:val="center"/>
            <w:hideMark/>
          </w:tcPr>
          <w:p w14:paraId="2240B1F3"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530</w:t>
            </w:r>
          </w:p>
        </w:tc>
        <w:tc>
          <w:tcPr>
            <w:tcW w:w="1480" w:type="dxa"/>
            <w:tcBorders>
              <w:top w:val="single" w:sz="4" w:space="0" w:color="8EA9DB"/>
              <w:left w:val="nil"/>
              <w:bottom w:val="single" w:sz="4" w:space="0" w:color="8EA9DB"/>
              <w:right w:val="nil"/>
            </w:tcBorders>
            <w:shd w:val="clear" w:color="D9E1F2" w:fill="D9E1F2"/>
            <w:vAlign w:val="center"/>
            <w:hideMark/>
          </w:tcPr>
          <w:p w14:paraId="26F78415"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500</w:t>
            </w:r>
          </w:p>
        </w:tc>
        <w:tc>
          <w:tcPr>
            <w:tcW w:w="1160" w:type="dxa"/>
            <w:tcBorders>
              <w:top w:val="single" w:sz="4" w:space="0" w:color="8EA9DB"/>
              <w:left w:val="nil"/>
              <w:bottom w:val="single" w:sz="4" w:space="0" w:color="8EA9DB"/>
              <w:right w:val="single" w:sz="4" w:space="0" w:color="8EA9DB"/>
            </w:tcBorders>
            <w:shd w:val="clear" w:color="D9E1F2" w:fill="D9E1F2"/>
            <w:vAlign w:val="center"/>
            <w:hideMark/>
          </w:tcPr>
          <w:p w14:paraId="0092D414" w14:textId="77777777" w:rsidR="00203F6C" w:rsidRPr="00203F6C" w:rsidRDefault="00203F6C" w:rsidP="00203F6C">
            <w:pPr>
              <w:spacing w:after="0" w:line="240" w:lineRule="auto"/>
              <w:jc w:val="right"/>
              <w:rPr>
                <w:rFonts w:ascii="Times New Roman" w:eastAsia="Times New Roman" w:hAnsi="Times New Roman" w:cs="Times New Roman"/>
                <w:color w:val="000000"/>
                <w:sz w:val="24"/>
                <w:szCs w:val="24"/>
              </w:rPr>
            </w:pPr>
            <w:r w:rsidRPr="00203F6C">
              <w:rPr>
                <w:rFonts w:ascii="Times New Roman" w:eastAsia="Times New Roman" w:hAnsi="Times New Roman" w:cs="Times New Roman"/>
                <w:color w:val="000000"/>
                <w:sz w:val="24"/>
                <w:szCs w:val="24"/>
              </w:rPr>
              <w:t>17.7</w:t>
            </w:r>
          </w:p>
        </w:tc>
      </w:tr>
    </w:tbl>
    <w:p w14:paraId="32044FB9" w14:textId="77777777" w:rsidR="00203F6C" w:rsidRPr="00203F6C" w:rsidRDefault="00203F6C" w:rsidP="00203F6C">
      <w:pPr>
        <w:rPr>
          <w:rFonts w:ascii="Times New Roman" w:hAnsi="Times New Roman" w:cs="Times New Roman"/>
          <w:sz w:val="24"/>
          <w:szCs w:val="24"/>
        </w:rPr>
      </w:pPr>
    </w:p>
    <w:p w14:paraId="6F2E7698" w14:textId="680F66C4" w:rsidR="00203F6C" w:rsidRDefault="00203F6C" w:rsidP="00203F6C">
      <w:pPr>
        <w:rPr>
          <w:rFonts w:ascii="Times New Roman" w:hAnsi="Times New Roman" w:cs="Times New Roman"/>
          <w:sz w:val="24"/>
          <w:szCs w:val="24"/>
        </w:rPr>
      </w:pPr>
      <w:r w:rsidRPr="00203F6C">
        <w:rPr>
          <w:rFonts w:ascii="Times New Roman" w:hAnsi="Times New Roman" w:cs="Times New Roman"/>
          <w:noProof/>
          <w:sz w:val="24"/>
          <w:szCs w:val="24"/>
        </w:rPr>
        <w:drawing>
          <wp:inline distT="0" distB="0" distL="0" distR="0" wp14:anchorId="31E65C06" wp14:editId="6D651E74">
            <wp:extent cx="4572000" cy="2743200"/>
            <wp:effectExtent l="0" t="0" r="0" b="0"/>
            <wp:docPr id="456511677" name="Chart 1">
              <a:extLst xmlns:a="http://schemas.openxmlformats.org/drawingml/2006/main">
                <a:ext uri="{FF2B5EF4-FFF2-40B4-BE49-F238E27FC236}">
                  <a16:creationId xmlns:a16="http://schemas.microsoft.com/office/drawing/2014/main" id="{A335C3FC-BD2F-B819-893E-21D6A7D095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1A325D" w14:textId="45594141" w:rsidR="00F8518D" w:rsidRPr="00203F6C" w:rsidRDefault="00F8518D" w:rsidP="00203F6C">
      <w:pPr>
        <w:rPr>
          <w:rFonts w:ascii="Times New Roman" w:hAnsi="Times New Roman" w:cs="Times New Roman"/>
          <w:sz w:val="24"/>
          <w:szCs w:val="24"/>
        </w:rPr>
      </w:pPr>
      <w:r>
        <w:rPr>
          <w:rFonts w:ascii="Times New Roman" w:hAnsi="Times New Roman" w:cs="Times New Roman"/>
          <w:sz w:val="24"/>
          <w:szCs w:val="24"/>
        </w:rPr>
        <w:t>Fig 3-</w:t>
      </w:r>
      <w:r w:rsidR="00E04374">
        <w:rPr>
          <w:rFonts w:ascii="Times New Roman" w:hAnsi="Times New Roman" w:cs="Times New Roman"/>
          <w:sz w:val="24"/>
          <w:szCs w:val="24"/>
        </w:rPr>
        <w:t xml:space="preserve"> Sensitivity Analysis</w:t>
      </w:r>
    </w:p>
    <w:p w14:paraId="36EC8790"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4.5 Statistical and Sensitivity Findings</w:t>
      </w:r>
    </w:p>
    <w:p w14:paraId="2B7B5EB1" w14:textId="2B19824B"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Paired t-test outcomes suggest substantial differences between baseline and blockchain adoption cases (t = 7.42, p &lt; 0.001), affirming robustness. Sensitivity analysis affirms that ROI is positive when responsiveness to compliance (α) &gt; 0.15, ROI decreases below 10 when fixed cost &gt; ₦40 billion, and policy focus on adaptive behavior generates greater fiscal return compared to capital expenditure alone.</w:t>
      </w:r>
    </w:p>
    <w:p w14:paraId="1A60F8E9" w14:textId="51B66CD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 xml:space="preserve">Table </w:t>
      </w:r>
      <w:r w:rsidR="00F8518D">
        <w:rPr>
          <w:rFonts w:ascii="Times New Roman" w:hAnsi="Times New Roman" w:cs="Times New Roman"/>
          <w:b/>
          <w:bCs/>
          <w:sz w:val="24"/>
          <w:szCs w:val="24"/>
        </w:rPr>
        <w:t>3</w:t>
      </w:r>
      <w:r w:rsidRPr="00203F6C">
        <w:rPr>
          <w:rFonts w:ascii="Times New Roman" w:hAnsi="Times New Roman" w:cs="Times New Roman"/>
          <w:b/>
          <w:bCs/>
          <w:sz w:val="24"/>
          <w:szCs w:val="24"/>
        </w:rPr>
        <w:t>. Statistical Validation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9"/>
        <w:gridCol w:w="2532"/>
        <w:gridCol w:w="832"/>
        <w:gridCol w:w="883"/>
        <w:gridCol w:w="2064"/>
      </w:tblGrid>
      <w:tr w:rsidR="00203F6C" w:rsidRPr="00203F6C" w14:paraId="30EE3750" w14:textId="77777777" w:rsidTr="00203F6C">
        <w:trPr>
          <w:tblHeader/>
          <w:tblCellSpacing w:w="15" w:type="dxa"/>
        </w:trPr>
        <w:tc>
          <w:tcPr>
            <w:tcW w:w="0" w:type="auto"/>
            <w:vAlign w:val="center"/>
            <w:hideMark/>
          </w:tcPr>
          <w:p w14:paraId="33A60985"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lastRenderedPageBreak/>
              <w:t>Test</w:t>
            </w:r>
          </w:p>
        </w:tc>
        <w:tc>
          <w:tcPr>
            <w:tcW w:w="0" w:type="auto"/>
            <w:vAlign w:val="center"/>
            <w:hideMark/>
          </w:tcPr>
          <w:p w14:paraId="03C7F329"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Comparison</w:t>
            </w:r>
          </w:p>
        </w:tc>
        <w:tc>
          <w:tcPr>
            <w:tcW w:w="0" w:type="auto"/>
            <w:vAlign w:val="center"/>
            <w:hideMark/>
          </w:tcPr>
          <w:p w14:paraId="28C81615"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t-Value</w:t>
            </w:r>
          </w:p>
        </w:tc>
        <w:tc>
          <w:tcPr>
            <w:tcW w:w="0" w:type="auto"/>
            <w:vAlign w:val="center"/>
            <w:hideMark/>
          </w:tcPr>
          <w:p w14:paraId="1F03E139"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p-Value</w:t>
            </w:r>
          </w:p>
        </w:tc>
        <w:tc>
          <w:tcPr>
            <w:tcW w:w="0" w:type="auto"/>
            <w:vAlign w:val="center"/>
            <w:hideMark/>
          </w:tcPr>
          <w:p w14:paraId="72E40705"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Significance</w:t>
            </w:r>
          </w:p>
        </w:tc>
      </w:tr>
      <w:tr w:rsidR="00203F6C" w:rsidRPr="00203F6C" w14:paraId="019A6D02" w14:textId="77777777" w:rsidTr="00203F6C">
        <w:trPr>
          <w:tblCellSpacing w:w="15" w:type="dxa"/>
        </w:trPr>
        <w:tc>
          <w:tcPr>
            <w:tcW w:w="0" w:type="auto"/>
            <w:vAlign w:val="center"/>
            <w:hideMark/>
          </w:tcPr>
          <w:p w14:paraId="3DCCD280"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Paired t-test</w:t>
            </w:r>
          </w:p>
        </w:tc>
        <w:tc>
          <w:tcPr>
            <w:tcW w:w="0" w:type="auto"/>
            <w:vAlign w:val="center"/>
            <w:hideMark/>
          </w:tcPr>
          <w:p w14:paraId="75B45B8D"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Baseline vs Full Adoption</w:t>
            </w:r>
          </w:p>
        </w:tc>
        <w:tc>
          <w:tcPr>
            <w:tcW w:w="0" w:type="auto"/>
            <w:vAlign w:val="center"/>
            <w:hideMark/>
          </w:tcPr>
          <w:p w14:paraId="2329355F"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7.42</w:t>
            </w:r>
          </w:p>
        </w:tc>
        <w:tc>
          <w:tcPr>
            <w:tcW w:w="0" w:type="auto"/>
            <w:vAlign w:val="center"/>
            <w:hideMark/>
          </w:tcPr>
          <w:p w14:paraId="7EF14ECE"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&lt; 0.001</w:t>
            </w:r>
          </w:p>
        </w:tc>
        <w:tc>
          <w:tcPr>
            <w:tcW w:w="0" w:type="auto"/>
            <w:vAlign w:val="center"/>
            <w:hideMark/>
          </w:tcPr>
          <w:p w14:paraId="0A69381D"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Significant</w:t>
            </w:r>
          </w:p>
        </w:tc>
      </w:tr>
      <w:tr w:rsidR="00203F6C" w:rsidRPr="00203F6C" w14:paraId="41D79B4B" w14:textId="77777777" w:rsidTr="00203F6C">
        <w:trPr>
          <w:tblCellSpacing w:w="15" w:type="dxa"/>
        </w:trPr>
        <w:tc>
          <w:tcPr>
            <w:tcW w:w="0" w:type="auto"/>
            <w:vAlign w:val="center"/>
            <w:hideMark/>
          </w:tcPr>
          <w:p w14:paraId="1C54893F"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Sensitivity (α variation)</w:t>
            </w:r>
          </w:p>
        </w:tc>
        <w:tc>
          <w:tcPr>
            <w:tcW w:w="0" w:type="auto"/>
            <w:vAlign w:val="center"/>
            <w:hideMark/>
          </w:tcPr>
          <w:p w14:paraId="7221ED1B"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0.10–0.40</w:t>
            </w:r>
          </w:p>
        </w:tc>
        <w:tc>
          <w:tcPr>
            <w:tcW w:w="0" w:type="auto"/>
            <w:vAlign w:val="center"/>
            <w:hideMark/>
          </w:tcPr>
          <w:p w14:paraId="1A922B7F"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w:t>
            </w:r>
          </w:p>
        </w:tc>
        <w:tc>
          <w:tcPr>
            <w:tcW w:w="0" w:type="auto"/>
            <w:vAlign w:val="center"/>
            <w:hideMark/>
          </w:tcPr>
          <w:p w14:paraId="749B5A9C"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w:t>
            </w:r>
          </w:p>
        </w:tc>
        <w:tc>
          <w:tcPr>
            <w:tcW w:w="0" w:type="auto"/>
            <w:vAlign w:val="center"/>
            <w:hideMark/>
          </w:tcPr>
          <w:p w14:paraId="06F00AB6"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ROI remains &gt; 0</w:t>
            </w:r>
          </w:p>
        </w:tc>
      </w:tr>
      <w:tr w:rsidR="00203F6C" w:rsidRPr="00203F6C" w14:paraId="51F1B979" w14:textId="77777777" w:rsidTr="00203F6C">
        <w:trPr>
          <w:tblCellSpacing w:w="15" w:type="dxa"/>
        </w:trPr>
        <w:tc>
          <w:tcPr>
            <w:tcW w:w="0" w:type="auto"/>
            <w:vAlign w:val="center"/>
            <w:hideMark/>
          </w:tcPr>
          <w:p w14:paraId="076D6869"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Cost Variation</w:t>
            </w:r>
          </w:p>
        </w:tc>
        <w:tc>
          <w:tcPr>
            <w:tcW w:w="0" w:type="auto"/>
            <w:vAlign w:val="center"/>
            <w:hideMark/>
          </w:tcPr>
          <w:p w14:paraId="0B4B47A9"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 10B–₦ 40B</w:t>
            </w:r>
          </w:p>
        </w:tc>
        <w:tc>
          <w:tcPr>
            <w:tcW w:w="0" w:type="auto"/>
            <w:vAlign w:val="center"/>
            <w:hideMark/>
          </w:tcPr>
          <w:p w14:paraId="6208C4C2"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w:t>
            </w:r>
          </w:p>
        </w:tc>
        <w:tc>
          <w:tcPr>
            <w:tcW w:w="0" w:type="auto"/>
            <w:vAlign w:val="center"/>
            <w:hideMark/>
          </w:tcPr>
          <w:p w14:paraId="05712052"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w:t>
            </w:r>
          </w:p>
        </w:tc>
        <w:tc>
          <w:tcPr>
            <w:tcW w:w="0" w:type="auto"/>
            <w:vAlign w:val="center"/>
            <w:hideMark/>
          </w:tcPr>
          <w:p w14:paraId="5FF19519"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ROI sensitive to cost</w:t>
            </w:r>
          </w:p>
        </w:tc>
      </w:tr>
    </w:tbl>
    <w:p w14:paraId="55D64A19" w14:textId="77777777" w:rsidR="00203F6C" w:rsidRPr="00203F6C" w:rsidRDefault="00203F6C" w:rsidP="00203F6C">
      <w:pPr>
        <w:rPr>
          <w:rFonts w:ascii="Times New Roman" w:hAnsi="Times New Roman" w:cs="Times New Roman"/>
          <w:sz w:val="24"/>
          <w:szCs w:val="24"/>
        </w:rPr>
      </w:pPr>
    </w:p>
    <w:p w14:paraId="3F77B8AF" w14:textId="77777777" w:rsidR="000725C2" w:rsidRPr="00203F6C" w:rsidRDefault="002E1EC8">
      <w:pPr>
        <w:pStyle w:val="Heading2"/>
        <w:rPr>
          <w:rFonts w:ascii="Times New Roman" w:hAnsi="Times New Roman" w:cs="Times New Roman"/>
          <w:color w:val="000000" w:themeColor="text1"/>
          <w:sz w:val="24"/>
          <w:szCs w:val="24"/>
        </w:rPr>
      </w:pPr>
      <w:r w:rsidRPr="00203F6C">
        <w:rPr>
          <w:rFonts w:ascii="Times New Roman" w:hAnsi="Times New Roman" w:cs="Times New Roman"/>
          <w:color w:val="000000" w:themeColor="text1"/>
          <w:sz w:val="24"/>
          <w:szCs w:val="24"/>
        </w:rPr>
        <w:t>5. Discussion</w:t>
      </w:r>
    </w:p>
    <w:p w14:paraId="7422B160" w14:textId="3B6FEFE8" w:rsidR="00203F6C" w:rsidRPr="00203F6C" w:rsidRDefault="002E1EC8" w:rsidP="00203F6C">
      <w:pPr>
        <w:rPr>
          <w:rFonts w:ascii="Times New Roman" w:hAnsi="Times New Roman" w:cs="Times New Roman"/>
          <w:sz w:val="24"/>
          <w:szCs w:val="24"/>
        </w:rPr>
      </w:pPr>
      <w:r w:rsidRPr="00203F6C">
        <w:rPr>
          <w:rFonts w:ascii="Times New Roman" w:hAnsi="Times New Roman" w:cs="Times New Roman"/>
          <w:sz w:val="24"/>
          <w:szCs w:val="24"/>
        </w:rPr>
        <w:br/>
      </w:r>
      <w:r w:rsidR="00203F6C" w:rsidRPr="00203F6C">
        <w:rPr>
          <w:rFonts w:ascii="Times New Roman" w:hAnsi="Times New Roman" w:cs="Times New Roman"/>
          <w:sz w:val="24"/>
          <w:szCs w:val="24"/>
        </w:rPr>
        <w:t>This study's findings have demonstrated the potential of blockchain uptake to revolutionize Nigeria's tax revenue collection by enhancing visibility of compliance, automating audit, and eliminating fraud. The 25% revenue growth and 90% close-out of tax-gap reflect the capability of blockchain as a compliance revolution technology, consistent with empirical global experiences in China, Estonia, and Thailand.</w:t>
      </w:r>
    </w:p>
    <w:p w14:paraId="5BD3D805" w14:textId="302A582B"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Over money incentives, mechanisms of blockchain that build trust real-time transparency, smart contracts, and inalterability are narrowing the taxpayers vs. government credibility gap. To do this, these mechanisms also minimize the tax evader's incentive and maximize voluntary compliance. But scale and cost-effectiveness are important. Though pilot-scale implementation means dramatic ROI, mass implementation can load public budgets without pre-infrastructure and human capital preparedness. This is consistent with research outcomes of Owens &amp; Hodžić (2022) and Rodríguez-Aros (2023), which also suggest that blockchain's fiscal potential is reliant on governance maturity. Institutional preparedness is the most significant challenge facing Nigeria. Disintegrated tax bases, narrow broadband, and low digital capacity hinder mass rollout. The technology will therefore have to be placed within a wider vision of fiscal modernization—connecting blockchain with national identification (NIN/BVN) and interoperability reforms. The outcomes also have behavioral consequences. By allowing taxpayers and authorities to access audit trails, blockchain can redirect compliance standards from enforcement-oriented to transparent-based, the required shift for sustainable digital taxation.</w:t>
      </w:r>
    </w:p>
    <w:p w14:paraId="5E4D6873" w14:textId="77777777"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Conclusion</w:t>
      </w:r>
    </w:p>
    <w:p w14:paraId="34E14685"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 xml:space="preserve">The research explored whether blockchain technology can be an agent of change for the enhancement of tax administration and revenue collection in Nigeria. By employing a </w:t>
      </w:r>
      <w:r w:rsidRPr="00203F6C">
        <w:rPr>
          <w:rFonts w:ascii="Times New Roman" w:hAnsi="Times New Roman" w:cs="Times New Roman"/>
          <w:sz w:val="24"/>
          <w:szCs w:val="24"/>
        </w:rPr>
        <w:lastRenderedPageBreak/>
        <w:t>parameterized behavioral simulation model with data on the Nigerian fiscal, the research quantified the impact of blockchain adoption on the degree of compliance, under-reporting, and total tax collections. The findings point unequivocally to the use of blockchain in tax activities having a profound impact on constraining evasion, raising voluntary compliance, and enhancing the effectiveness of tax collection systems.</w:t>
      </w:r>
    </w:p>
    <w:p w14:paraId="617EC21E"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At moderate adoption levels, the model approximates blockchain would increase compliance from 55% to effectively 70%, close the tax gap by more than 90%, and achieve a return on investment of over 16 times that of implementation cost. All this has much to do with blockchain's inherent properties—immutability, transparency, and automation—which collectively eliminate room for record tampering and yield a trustworthy digital audit trail.</w:t>
      </w:r>
    </w:p>
    <w:p w14:paraId="66544B27"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At the same time, however, the evidence suggests that technology is not sufficient in and of itself to achieve enduring fiscal reform. Blockchain adoption ultimately relies on institutional preparedness, digital literacy, and facilitating governance systems. To the extent that the model does yield significant fiscal dividends, however, these de facto must be supported by complementary policy adjustment, capacity development, and mass citizen engagement. In the absence of such baselines, even the most sophisticated digital systems are likely to remain underused or ill-implemented within prevailing administrative systems.</w:t>
      </w:r>
    </w:p>
    <w:p w14:paraId="443E3872"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 xml:space="preserve">Technically, blockchain can then be viewed not as an alternative to the current systems but as a strategic superstructure that adds credibility, accountability, and efficiency to Nigeria's value chain in taxation. In the proper application, it can serve to assist the Federal Inland Revenue Service (FIRS) and other institutions to minimize administrative bottlenecks, plug revenue leakages, and enhance increased trust between taxpayers and government. </w:t>
      </w:r>
    </w:p>
    <w:p w14:paraId="30B3F088" w14:textId="337867E5"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 xml:space="preserve"> Recommendations</w:t>
      </w:r>
    </w:p>
    <w:p w14:paraId="074E84FF"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Based on policy learning and evidence of this study, the following are prescribed to inform implementation as well as further research:</w:t>
      </w:r>
    </w:p>
    <w:p w14:paraId="3DD2CB44"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Pilot Implementation Prior to Full Rollout</w:t>
      </w:r>
    </w:p>
    <w:p w14:paraId="5ACCCF4F"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The Federal Inland Revenue Service (FIRS) should initiate pilot schemes under experimental conditions on VAT administration in high-value, high-leakage sectors like retail, telecommunications, and manufacturing. Initial pilots can be utilized to fine-tune the technical design and avoid potential risks prior to full-scale rollout nationwide.</w:t>
      </w:r>
    </w:p>
    <w:p w14:paraId="124D4398"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Integration with National Digital Systems</w:t>
      </w:r>
    </w:p>
    <w:p w14:paraId="3926E314"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lastRenderedPageBreak/>
        <w:t>Blockchain systems will have to integrate into current identification and financial records like the National Identification Number (NIN), Bank Verification Number (BVN), and Corporate Affairs Commission (CAC) registry. Integration will allow for effortless verification of taxpayers, avoid duplication, and improve monitoring.</w:t>
      </w:r>
    </w:p>
    <w:p w14:paraId="3BBD9244"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Capacity Building and Digital Training</w:t>
      </w:r>
    </w:p>
    <w:p w14:paraId="72A1131E"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Ongoing professional training of tax administrators is necessary. FIRS officials must be trained on blockchain system administration, auditing of smart contracts, and data analytics. Taxpayers should also be educated by way of outreach on how blockchain enhances transparency and minimizes controversies.</w:t>
      </w:r>
    </w:p>
    <w:p w14:paraId="1DF3712A" w14:textId="77777777"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Legislative and Regulatory Reforms</w:t>
      </w:r>
    </w:p>
    <w:p w14:paraId="42E14BE6" w14:textId="1F492656" w:rsidR="00203F6C" w:rsidRPr="00203F6C" w:rsidRDefault="00203F6C" w:rsidP="00203F6C">
      <w:pPr>
        <w:rPr>
          <w:rFonts w:ascii="Times New Roman" w:hAnsi="Times New Roman" w:cs="Times New Roman"/>
          <w:sz w:val="24"/>
          <w:szCs w:val="24"/>
        </w:rPr>
      </w:pPr>
      <w:r w:rsidRPr="00203F6C">
        <w:rPr>
          <w:rFonts w:ascii="Times New Roman" w:hAnsi="Times New Roman" w:cs="Times New Roman"/>
          <w:sz w:val="24"/>
          <w:szCs w:val="24"/>
        </w:rPr>
        <w:t xml:space="preserve">There should be a well-defined legal framework for the </w:t>
      </w:r>
      <w:proofErr w:type="spellStart"/>
      <w:r w:rsidRPr="00203F6C">
        <w:rPr>
          <w:rFonts w:ascii="Times New Roman" w:hAnsi="Times New Roman" w:cs="Times New Roman"/>
          <w:sz w:val="24"/>
          <w:szCs w:val="24"/>
        </w:rPr>
        <w:t>utilisation</w:t>
      </w:r>
      <w:proofErr w:type="spellEnd"/>
      <w:r w:rsidRPr="00203F6C">
        <w:rPr>
          <w:rFonts w:ascii="Times New Roman" w:hAnsi="Times New Roman" w:cs="Times New Roman"/>
          <w:sz w:val="24"/>
          <w:szCs w:val="24"/>
        </w:rPr>
        <w:t xml:space="preserve"> of blockchain technology in tax management to be put in place by the National Assembly. This would include provisions addressing issues of electronic audit trails, smart contracts, data privacy, and admissibility of blockchain evidence as legal evidence in tax proceedings.</w:t>
      </w:r>
    </w:p>
    <w:p w14:paraId="31EEF129" w14:textId="77777777" w:rsidR="00203F6C" w:rsidRPr="00203F6C" w:rsidRDefault="00203F6C" w:rsidP="00203F6C">
      <w:pPr>
        <w:rPr>
          <w:rFonts w:ascii="Times New Roman" w:hAnsi="Times New Roman" w:cs="Times New Roman"/>
          <w:b/>
          <w:bCs/>
          <w:sz w:val="24"/>
          <w:szCs w:val="24"/>
        </w:rPr>
      </w:pPr>
    </w:p>
    <w:p w14:paraId="7B9DED66" w14:textId="2C4A1AB2" w:rsidR="00203F6C" w:rsidRPr="00203F6C" w:rsidRDefault="00203F6C" w:rsidP="00203F6C">
      <w:pPr>
        <w:rPr>
          <w:rFonts w:ascii="Times New Roman" w:hAnsi="Times New Roman" w:cs="Times New Roman"/>
          <w:b/>
          <w:bCs/>
          <w:sz w:val="24"/>
          <w:szCs w:val="24"/>
        </w:rPr>
      </w:pPr>
      <w:r w:rsidRPr="00203F6C">
        <w:rPr>
          <w:rFonts w:ascii="Times New Roman" w:hAnsi="Times New Roman" w:cs="Times New Roman"/>
          <w:b/>
          <w:bCs/>
          <w:sz w:val="24"/>
          <w:szCs w:val="24"/>
        </w:rPr>
        <w:t>References</w:t>
      </w:r>
    </w:p>
    <w:p w14:paraId="74A9530B"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 xml:space="preserve">Accounting Efficiency and Transformation. </w:t>
      </w:r>
      <w:proofErr w:type="spellStart"/>
      <w:r w:rsidRPr="00203F6C">
        <w:rPr>
          <w:rFonts w:ascii="Times New Roman" w:hAnsi="Times New Roman" w:cs="Times New Roman"/>
          <w:sz w:val="24"/>
          <w:szCs w:val="24"/>
        </w:rPr>
        <w:t>arXiv</w:t>
      </w:r>
      <w:proofErr w:type="spellEnd"/>
      <w:r w:rsidRPr="00203F6C">
        <w:rPr>
          <w:rFonts w:ascii="Times New Roman" w:hAnsi="Times New Roman" w:cs="Times New Roman"/>
          <w:sz w:val="24"/>
          <w:szCs w:val="24"/>
        </w:rPr>
        <w:t xml:space="preserve"> preprint arXiv:2401.15715</w:t>
      </w:r>
    </w:p>
    <w:p w14:paraId="1EE3C9E7"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 xml:space="preserve">Adelakun, B., </w:t>
      </w:r>
      <w:proofErr w:type="spellStart"/>
      <w:r w:rsidRPr="00203F6C">
        <w:rPr>
          <w:rFonts w:ascii="Times New Roman" w:hAnsi="Times New Roman" w:cs="Times New Roman"/>
          <w:sz w:val="24"/>
          <w:szCs w:val="24"/>
        </w:rPr>
        <w:t>Fatogun</w:t>
      </w:r>
      <w:proofErr w:type="spellEnd"/>
      <w:r w:rsidRPr="00203F6C">
        <w:rPr>
          <w:rFonts w:ascii="Times New Roman" w:hAnsi="Times New Roman" w:cs="Times New Roman"/>
          <w:sz w:val="24"/>
          <w:szCs w:val="24"/>
        </w:rPr>
        <w:t>, D. T., Majekodunmi, T. G., &amp; Adediran, G. A. (2024). Integrating machine learning algorithms into audit processes: Benefits and challenges. Finance &amp; Accounting Research Journal, 6(6), 1000–1016. https://doi.org/10.51594/farj.v6i6.1233</w:t>
      </w:r>
    </w:p>
    <w:p w14:paraId="23C574F7"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Alm, J., &amp; Torgler, B. (2011). Do ethics matter? Tax compliance and morality. Journal of Business Ethics, 101(4), 635–651. https://doi.org/10.1007/s10551-011-0761-9</w:t>
      </w:r>
    </w:p>
    <w:p w14:paraId="6924FD99"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 xml:space="preserve">Ayodeji, A. (2024). Artificial intelligence in enhancing regulatory compliance and risk management. [Unpublished manuscript]. University of Gloucestershire. </w:t>
      </w:r>
      <w:hyperlink r:id="rId11" w:history="1">
        <w:r w:rsidRPr="00203F6C">
          <w:rPr>
            <w:rStyle w:val="Hyperlink"/>
            <w:rFonts w:ascii="Times New Roman" w:hAnsi="Times New Roman" w:cs="Times New Roman"/>
            <w:sz w:val="24"/>
            <w:szCs w:val="24"/>
          </w:rPr>
          <w:t>https://doi.org/10.13140/RG.2.2.20915.44326</w:t>
        </w:r>
      </w:hyperlink>
    </w:p>
    <w:p w14:paraId="4B21B691"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Beck, R., Müller-Bloch, C., &amp; King, J. L. (2018). Governance in the blockchain economy: A framework and research agenda. Journal of the Association for Information Systems, 19(10), 1020–1034. https://doi.org/10.17705/1jais.00518</w:t>
      </w:r>
    </w:p>
    <w:p w14:paraId="6765A64D"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 xml:space="preserve">Dai, J., &amp; </w:t>
      </w:r>
      <w:proofErr w:type="spellStart"/>
      <w:r w:rsidRPr="00203F6C">
        <w:rPr>
          <w:rFonts w:ascii="Times New Roman" w:hAnsi="Times New Roman" w:cs="Times New Roman"/>
          <w:sz w:val="24"/>
          <w:szCs w:val="24"/>
        </w:rPr>
        <w:t>Vasarhelyi</w:t>
      </w:r>
      <w:proofErr w:type="spellEnd"/>
      <w:r w:rsidRPr="00203F6C">
        <w:rPr>
          <w:rFonts w:ascii="Times New Roman" w:hAnsi="Times New Roman" w:cs="Times New Roman"/>
          <w:sz w:val="24"/>
          <w:szCs w:val="24"/>
        </w:rPr>
        <w:t>, M. A. (2017). Toward blockchain-based accounting and assurance. Journal of Information Systems, 31(3), 5–21. https://doi.org/10.2308/isys-51804</w:t>
      </w:r>
    </w:p>
    <w:p w14:paraId="41A9B8B5"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lastRenderedPageBreak/>
        <w:t xml:space="preserve">expectation gap: A critical perspective. Accounting Horizons, 37(1), 43-69. </w:t>
      </w:r>
    </w:p>
    <w:p w14:paraId="271FBE57" w14:textId="77777777" w:rsidR="00203F6C" w:rsidRPr="00203F6C" w:rsidRDefault="00203F6C" w:rsidP="00203F6C">
      <w:pPr>
        <w:ind w:left="360"/>
        <w:rPr>
          <w:rFonts w:ascii="Times New Roman" w:hAnsi="Times New Roman" w:cs="Times New Roman"/>
          <w:sz w:val="24"/>
          <w:szCs w:val="24"/>
        </w:rPr>
      </w:pPr>
      <w:proofErr w:type="spellStart"/>
      <w:r w:rsidRPr="00203F6C">
        <w:rPr>
          <w:rFonts w:ascii="Times New Roman" w:hAnsi="Times New Roman" w:cs="Times New Roman"/>
          <w:sz w:val="24"/>
          <w:szCs w:val="24"/>
        </w:rPr>
        <w:t>Fotoh</w:t>
      </w:r>
      <w:proofErr w:type="spellEnd"/>
      <w:r w:rsidRPr="00203F6C">
        <w:rPr>
          <w:rFonts w:ascii="Times New Roman" w:hAnsi="Times New Roman" w:cs="Times New Roman"/>
          <w:sz w:val="24"/>
          <w:szCs w:val="24"/>
        </w:rPr>
        <w:t xml:space="preserve">, L. E., &amp; </w:t>
      </w:r>
      <w:proofErr w:type="spellStart"/>
      <w:r w:rsidRPr="00203F6C">
        <w:rPr>
          <w:rFonts w:ascii="Times New Roman" w:hAnsi="Times New Roman" w:cs="Times New Roman"/>
          <w:sz w:val="24"/>
          <w:szCs w:val="24"/>
        </w:rPr>
        <w:t>Lorentzon</w:t>
      </w:r>
      <w:proofErr w:type="spellEnd"/>
      <w:r w:rsidRPr="00203F6C">
        <w:rPr>
          <w:rFonts w:ascii="Times New Roman" w:hAnsi="Times New Roman" w:cs="Times New Roman"/>
          <w:sz w:val="24"/>
          <w:szCs w:val="24"/>
        </w:rPr>
        <w:t xml:space="preserve">, J. I. (2023). Audit digitalization and its consequences on the audit </w:t>
      </w:r>
    </w:p>
    <w:p w14:paraId="07D5C722"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 xml:space="preserve">Georgiou, I., </w:t>
      </w:r>
      <w:proofErr w:type="spellStart"/>
      <w:r w:rsidRPr="00203F6C">
        <w:rPr>
          <w:rFonts w:ascii="Times New Roman" w:hAnsi="Times New Roman" w:cs="Times New Roman"/>
          <w:sz w:val="24"/>
          <w:szCs w:val="24"/>
        </w:rPr>
        <w:t>Sapuric</w:t>
      </w:r>
      <w:proofErr w:type="spellEnd"/>
      <w:r w:rsidRPr="00203F6C">
        <w:rPr>
          <w:rFonts w:ascii="Times New Roman" w:hAnsi="Times New Roman" w:cs="Times New Roman"/>
          <w:sz w:val="24"/>
          <w:szCs w:val="24"/>
        </w:rPr>
        <w:t xml:space="preserve">, S., Lois, P., </w:t>
      </w:r>
      <w:proofErr w:type="spellStart"/>
      <w:r w:rsidRPr="00203F6C">
        <w:rPr>
          <w:rFonts w:ascii="Times New Roman" w:hAnsi="Times New Roman" w:cs="Times New Roman"/>
          <w:sz w:val="24"/>
          <w:szCs w:val="24"/>
        </w:rPr>
        <w:t>Thrassou</w:t>
      </w:r>
      <w:proofErr w:type="spellEnd"/>
      <w:r w:rsidRPr="00203F6C">
        <w:rPr>
          <w:rFonts w:ascii="Times New Roman" w:hAnsi="Times New Roman" w:cs="Times New Roman"/>
          <w:sz w:val="24"/>
          <w:szCs w:val="24"/>
        </w:rPr>
        <w:t xml:space="preserve">, A., &amp; </w:t>
      </w:r>
      <w:proofErr w:type="spellStart"/>
      <w:r w:rsidRPr="00203F6C">
        <w:rPr>
          <w:rFonts w:ascii="Times New Roman" w:hAnsi="Times New Roman" w:cs="Times New Roman"/>
          <w:sz w:val="24"/>
          <w:szCs w:val="24"/>
        </w:rPr>
        <w:t>Vrontis</w:t>
      </w:r>
      <w:proofErr w:type="spellEnd"/>
      <w:r w:rsidRPr="00203F6C">
        <w:rPr>
          <w:rFonts w:ascii="Times New Roman" w:hAnsi="Times New Roman" w:cs="Times New Roman"/>
          <w:sz w:val="24"/>
          <w:szCs w:val="24"/>
        </w:rPr>
        <w:t>, D. (2024). Blockchain for accounting and auditing Accounting and auditing for cryptocurrencies: A systematic literature review and future research directions. Journal of Risk and Financial Management, 17(7), 276. https://doi.org/10.3390/jrfm17070276</w:t>
      </w:r>
    </w:p>
    <w:p w14:paraId="2F450752" w14:textId="77777777" w:rsidR="00203F6C" w:rsidRPr="00203F6C" w:rsidRDefault="00203F6C" w:rsidP="00203F6C">
      <w:pPr>
        <w:ind w:left="360"/>
        <w:rPr>
          <w:rFonts w:ascii="Times New Roman" w:hAnsi="Times New Roman" w:cs="Times New Roman"/>
          <w:sz w:val="24"/>
          <w:szCs w:val="24"/>
        </w:rPr>
      </w:pPr>
      <w:proofErr w:type="spellStart"/>
      <w:r w:rsidRPr="00203F6C">
        <w:rPr>
          <w:rFonts w:ascii="Times New Roman" w:hAnsi="Times New Roman" w:cs="Times New Roman"/>
          <w:sz w:val="24"/>
          <w:szCs w:val="24"/>
        </w:rPr>
        <w:t>Gwaindepi</w:t>
      </w:r>
      <w:proofErr w:type="spellEnd"/>
      <w:r w:rsidRPr="00203F6C">
        <w:rPr>
          <w:rFonts w:ascii="Times New Roman" w:hAnsi="Times New Roman" w:cs="Times New Roman"/>
          <w:sz w:val="24"/>
          <w:szCs w:val="24"/>
        </w:rPr>
        <w:t xml:space="preserve">, A. (2024). Taxation in the context of high informality: Conceptual challenges and evidence from Sub-Saharan Africa. Review of Development Economics, 28(4), 1635–1651. </w:t>
      </w:r>
      <w:hyperlink r:id="rId12" w:tgtFrame="_new" w:history="1">
        <w:r w:rsidRPr="00203F6C">
          <w:rPr>
            <w:rStyle w:val="Hyperlink"/>
            <w:rFonts w:ascii="Times New Roman" w:hAnsi="Times New Roman" w:cs="Times New Roman"/>
            <w:sz w:val="24"/>
            <w:szCs w:val="24"/>
          </w:rPr>
          <w:t>https://doi.org/10.1111/rode.13163</w:t>
        </w:r>
      </w:hyperlink>
    </w:p>
    <w:p w14:paraId="06368F76"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 xml:space="preserve">Habib, G., Sharma, S., Ibrahim, S., Ahmad, I., Qureshi, S., &amp; Ishfaq, M. (2022). Blockchain technology: Benefits, challenges, applications, and integration of blockchain technology with cloud computing. Future Internet, 14(11), 341. </w:t>
      </w:r>
      <w:hyperlink r:id="rId13" w:tgtFrame="_new" w:history="1">
        <w:r w:rsidRPr="00203F6C">
          <w:rPr>
            <w:rStyle w:val="Hyperlink"/>
            <w:rFonts w:ascii="Times New Roman" w:hAnsi="Times New Roman" w:cs="Times New Roman"/>
            <w:sz w:val="24"/>
            <w:szCs w:val="24"/>
          </w:rPr>
          <w:t>https://doi.org/10.3390/fi14110341</w:t>
        </w:r>
      </w:hyperlink>
    </w:p>
    <w:p w14:paraId="762A5DF5"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 xml:space="preserve">Han, H., Shiwakoti, R. K., Jarvis, R., Mordi, C., &amp; Botchie, D. (2022). Accounting and auditing with blockchain technology and artificial Intelligence: A literature review. International Journal of Accounting Information Systems, 48, Article 100598. </w:t>
      </w:r>
      <w:hyperlink r:id="rId14" w:tgtFrame="_new" w:history="1">
        <w:r w:rsidRPr="00203F6C">
          <w:rPr>
            <w:rStyle w:val="Hyperlink"/>
            <w:rFonts w:ascii="Times New Roman" w:hAnsi="Times New Roman" w:cs="Times New Roman"/>
            <w:sz w:val="24"/>
            <w:szCs w:val="24"/>
          </w:rPr>
          <w:t>https://doi.org/10.1016/j.accinf.2022.100598</w:t>
        </w:r>
      </w:hyperlink>
    </w:p>
    <w:p w14:paraId="526373C4"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Hussain, M. T. A. (2020). How blockchain-based smart-contracts can improve invoicing accuracy (Master’s thesis). University of Applied Sciences Europe.</w:t>
      </w:r>
    </w:p>
    <w:p w14:paraId="4C5D1878" w14:textId="77777777" w:rsidR="00203F6C" w:rsidRPr="00203F6C" w:rsidRDefault="00203F6C" w:rsidP="00203F6C">
      <w:pPr>
        <w:ind w:left="360"/>
        <w:rPr>
          <w:rFonts w:ascii="Times New Roman" w:hAnsi="Times New Roman" w:cs="Times New Roman"/>
          <w:sz w:val="24"/>
          <w:szCs w:val="24"/>
        </w:rPr>
      </w:pPr>
      <w:proofErr w:type="spellStart"/>
      <w:r w:rsidRPr="00203F6C">
        <w:rPr>
          <w:rFonts w:ascii="Times New Roman" w:hAnsi="Times New Roman" w:cs="Times New Roman"/>
          <w:sz w:val="24"/>
          <w:szCs w:val="24"/>
        </w:rPr>
        <w:t>Imoniana</w:t>
      </w:r>
      <w:proofErr w:type="spellEnd"/>
      <w:r w:rsidRPr="00203F6C">
        <w:rPr>
          <w:rFonts w:ascii="Times New Roman" w:hAnsi="Times New Roman" w:cs="Times New Roman"/>
          <w:sz w:val="24"/>
          <w:szCs w:val="24"/>
        </w:rPr>
        <w:t xml:space="preserve">, J. O., Cornacchione, E.  B., Reginato, L., &amp; Benetti, C.  (2023).  Impact of </w:t>
      </w:r>
    </w:p>
    <w:p w14:paraId="2A808D82" w14:textId="77777777" w:rsidR="00203F6C" w:rsidRPr="00203F6C" w:rsidRDefault="00203F6C" w:rsidP="00203F6C">
      <w:pPr>
        <w:ind w:left="360"/>
        <w:rPr>
          <w:rFonts w:ascii="Times New Roman" w:hAnsi="Times New Roman" w:cs="Times New Roman"/>
          <w:sz w:val="24"/>
          <w:szCs w:val="24"/>
        </w:rPr>
      </w:pPr>
      <w:proofErr w:type="spellStart"/>
      <w:r w:rsidRPr="00203F6C">
        <w:rPr>
          <w:rFonts w:ascii="Times New Roman" w:hAnsi="Times New Roman" w:cs="Times New Roman"/>
          <w:sz w:val="24"/>
          <w:szCs w:val="24"/>
        </w:rPr>
        <w:t>Kanaparthi</w:t>
      </w:r>
      <w:proofErr w:type="spellEnd"/>
      <w:r w:rsidRPr="00203F6C">
        <w:rPr>
          <w:rFonts w:ascii="Times New Roman" w:hAnsi="Times New Roman" w:cs="Times New Roman"/>
          <w:sz w:val="24"/>
          <w:szCs w:val="24"/>
        </w:rPr>
        <w:t xml:space="preserve">, V.  (2024). Exploring the Impact of Blockchain, AI, and ML on Financial </w:t>
      </w:r>
    </w:p>
    <w:p w14:paraId="20C18CDE"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 xml:space="preserve">Khan, B., &amp; Syed, T. Q. (2019, November). Recent progress in blockchain in public finance and taxation. In 2019 8th International Conference on Information and Communication Technologies (ICICT) (pp. 1–6). IEEE. </w:t>
      </w:r>
      <w:hyperlink r:id="rId15" w:history="1">
        <w:r w:rsidRPr="00203F6C">
          <w:rPr>
            <w:rStyle w:val="Hyperlink"/>
            <w:rFonts w:ascii="Times New Roman" w:hAnsi="Times New Roman" w:cs="Times New Roman"/>
            <w:sz w:val="24"/>
            <w:szCs w:val="24"/>
          </w:rPr>
          <w:t>https://doi.org/10.1109/ICICT47744.2019.9001998</w:t>
        </w:r>
      </w:hyperlink>
    </w:p>
    <w:p w14:paraId="3C45F5EB" w14:textId="77777777" w:rsidR="00203F6C" w:rsidRPr="00203F6C" w:rsidRDefault="00203F6C" w:rsidP="00203F6C">
      <w:pPr>
        <w:pStyle w:val="NormalWeb"/>
        <w:ind w:left="360"/>
      </w:pPr>
      <w:r w:rsidRPr="00203F6C">
        <w:t xml:space="preserve">Li, J., Wang, S., &amp; Chen, X. (2019). Blockchain in public finance: A case study of China’s blockchain-based tax invoices. </w:t>
      </w:r>
      <w:r w:rsidRPr="00203F6C">
        <w:rPr>
          <w:rStyle w:val="Emphasis"/>
          <w:rFonts w:eastAsiaTheme="majorEastAsia"/>
          <w:i w:val="0"/>
          <w:iCs w:val="0"/>
        </w:rPr>
        <w:t>Government Information Quarterly, 36</w:t>
      </w:r>
      <w:r w:rsidRPr="00203F6C">
        <w:t>(4), 101410. https://doi.org/10.1016/j.giq.2019.05.010</w:t>
      </w:r>
    </w:p>
    <w:p w14:paraId="62F806F8"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 xml:space="preserve">Martinez-Vazquez, J., &amp; Bird, R. M. (2014). Taxation and development: The weakest link? Essays in honor of Roy Bahl. Edward Elgar Publishing. </w:t>
      </w:r>
      <w:hyperlink r:id="rId16" w:history="1">
        <w:r w:rsidRPr="00203F6C">
          <w:rPr>
            <w:rStyle w:val="Hyperlink"/>
            <w:rFonts w:ascii="Times New Roman" w:hAnsi="Times New Roman" w:cs="Times New Roman"/>
            <w:sz w:val="24"/>
            <w:szCs w:val="24"/>
          </w:rPr>
          <w:t>https://doi.org/10.4337/9781783474332</w:t>
        </w:r>
      </w:hyperlink>
    </w:p>
    <w:p w14:paraId="603046B0"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lastRenderedPageBreak/>
        <w:t>Mascagni, G. (2017). From the lab to the field: A review of tax experiments. Journal of Economic Surveys, 32(2), 273–301. https://doi.org/10.1111/joes.12201</w:t>
      </w:r>
    </w:p>
    <w:p w14:paraId="3714ABAC"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Moore, M. (2020). What is wrong with African tax administration? ICTD Working Paper 111. Institute of Development Studies. https://doi.org/10.19088/ICTD.2020.002</w:t>
      </w:r>
    </w:p>
    <w:p w14:paraId="2F0AC83E"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 xml:space="preserve">Nose, M., &amp; Mengistu, A. (2023, December 11). Exploring the adoption of selected digital technologies in tax administration: A cross-country perspective. </w:t>
      </w:r>
    </w:p>
    <w:p w14:paraId="4BB0B56F" w14:textId="77777777" w:rsidR="00203F6C" w:rsidRPr="00203F6C" w:rsidRDefault="00203F6C" w:rsidP="00203F6C">
      <w:pPr>
        <w:ind w:left="360"/>
        <w:rPr>
          <w:rFonts w:ascii="Times New Roman" w:hAnsi="Times New Roman" w:cs="Times New Roman"/>
          <w:sz w:val="24"/>
          <w:szCs w:val="24"/>
        </w:rPr>
      </w:pPr>
      <w:proofErr w:type="spellStart"/>
      <w:r w:rsidRPr="00203F6C">
        <w:rPr>
          <w:rFonts w:ascii="Times New Roman" w:hAnsi="Times New Roman" w:cs="Times New Roman"/>
          <w:sz w:val="24"/>
          <w:szCs w:val="24"/>
        </w:rPr>
        <w:t>Nwariaku</w:t>
      </w:r>
      <w:proofErr w:type="spellEnd"/>
      <w:r w:rsidRPr="00203F6C">
        <w:rPr>
          <w:rFonts w:ascii="Times New Roman" w:hAnsi="Times New Roman" w:cs="Times New Roman"/>
          <w:sz w:val="24"/>
          <w:szCs w:val="24"/>
        </w:rPr>
        <w:t xml:space="preserve">, H., </w:t>
      </w:r>
      <w:proofErr w:type="spellStart"/>
      <w:r w:rsidRPr="00203F6C">
        <w:rPr>
          <w:rFonts w:ascii="Times New Roman" w:hAnsi="Times New Roman" w:cs="Times New Roman"/>
          <w:sz w:val="24"/>
          <w:szCs w:val="24"/>
        </w:rPr>
        <w:t>Fadojutimi</w:t>
      </w:r>
      <w:proofErr w:type="spellEnd"/>
      <w:r w:rsidRPr="00203F6C">
        <w:rPr>
          <w:rFonts w:ascii="Times New Roman" w:hAnsi="Times New Roman" w:cs="Times New Roman"/>
          <w:sz w:val="24"/>
          <w:szCs w:val="24"/>
        </w:rPr>
        <w:t xml:space="preserve">, B., Gertrude, L., Lawson, L., </w:t>
      </w:r>
      <w:proofErr w:type="spellStart"/>
      <w:r w:rsidRPr="00203F6C">
        <w:rPr>
          <w:rFonts w:ascii="Times New Roman" w:hAnsi="Times New Roman" w:cs="Times New Roman"/>
          <w:sz w:val="24"/>
          <w:szCs w:val="24"/>
        </w:rPr>
        <w:t>Agbelusi</w:t>
      </w:r>
      <w:proofErr w:type="spellEnd"/>
      <w:r w:rsidRPr="00203F6C">
        <w:rPr>
          <w:rFonts w:ascii="Times New Roman" w:hAnsi="Times New Roman" w:cs="Times New Roman"/>
          <w:sz w:val="24"/>
          <w:szCs w:val="24"/>
        </w:rPr>
        <w:t xml:space="preserve">, J., Adigun, O. A., &amp; Udom, J. A. (2024, August). Blockchain technology as an enabler of transparency and efficiency in sustainable supply chains. Electronic Research Archive, 12(2), Article 1454. </w:t>
      </w:r>
      <w:hyperlink r:id="rId17" w:history="1">
        <w:r w:rsidRPr="00203F6C">
          <w:rPr>
            <w:rStyle w:val="Hyperlink"/>
            <w:rFonts w:ascii="Times New Roman" w:hAnsi="Times New Roman" w:cs="Times New Roman"/>
            <w:sz w:val="24"/>
            <w:szCs w:val="24"/>
          </w:rPr>
          <w:t>https://doi.org/10.30574/ijsra.2024.12.2.1454</w:t>
        </w:r>
      </w:hyperlink>
    </w:p>
    <w:p w14:paraId="552D4508"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OECD. (2022). Revenue Statistics in Africa 2022. OECD Publishing. https://doi.org/10.1787/1a99f4e3-en</w:t>
      </w:r>
    </w:p>
    <w:p w14:paraId="44BE185A" w14:textId="77777777" w:rsidR="00203F6C" w:rsidRPr="00203F6C" w:rsidRDefault="00203F6C" w:rsidP="00203F6C">
      <w:pPr>
        <w:ind w:left="360"/>
        <w:rPr>
          <w:rFonts w:ascii="Times New Roman" w:hAnsi="Times New Roman" w:cs="Times New Roman"/>
          <w:sz w:val="24"/>
          <w:szCs w:val="24"/>
        </w:rPr>
      </w:pPr>
      <w:proofErr w:type="spellStart"/>
      <w:r w:rsidRPr="00203F6C">
        <w:rPr>
          <w:rFonts w:ascii="Times New Roman" w:hAnsi="Times New Roman" w:cs="Times New Roman"/>
          <w:sz w:val="24"/>
          <w:szCs w:val="24"/>
        </w:rPr>
        <w:t>Ohemeng</w:t>
      </w:r>
      <w:proofErr w:type="spellEnd"/>
      <w:r w:rsidRPr="00203F6C">
        <w:rPr>
          <w:rFonts w:ascii="Times New Roman" w:hAnsi="Times New Roman" w:cs="Times New Roman"/>
          <w:sz w:val="24"/>
          <w:szCs w:val="24"/>
        </w:rPr>
        <w:t xml:space="preserve">, F., &amp; Mohiuddin, F. (2022). The enigma of the central–local government relationship and its impact on property tax administration in developing countries. Institute of Development Studies. </w:t>
      </w:r>
      <w:hyperlink r:id="rId18" w:history="1">
        <w:r w:rsidRPr="00203F6C">
          <w:rPr>
            <w:rStyle w:val="Hyperlink"/>
            <w:rFonts w:ascii="Times New Roman" w:hAnsi="Times New Roman" w:cs="Times New Roman"/>
            <w:sz w:val="24"/>
            <w:szCs w:val="24"/>
          </w:rPr>
          <w:t>https://doi.org/10.19088/ICTD.2022.018</w:t>
        </w:r>
      </w:hyperlink>
    </w:p>
    <w:p w14:paraId="4BB9035F"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 xml:space="preserve">Owens, P., &amp; Hodžić, A. (2022). Blockchain technology: Potential for digital tax administration. </w:t>
      </w:r>
      <w:proofErr w:type="spellStart"/>
      <w:r w:rsidRPr="00203F6C">
        <w:rPr>
          <w:rFonts w:ascii="Times New Roman" w:hAnsi="Times New Roman" w:cs="Times New Roman"/>
          <w:sz w:val="24"/>
          <w:szCs w:val="24"/>
        </w:rPr>
        <w:t>Intertax</w:t>
      </w:r>
      <w:proofErr w:type="spellEnd"/>
      <w:r w:rsidRPr="00203F6C">
        <w:rPr>
          <w:rFonts w:ascii="Times New Roman" w:hAnsi="Times New Roman" w:cs="Times New Roman"/>
          <w:sz w:val="24"/>
          <w:szCs w:val="24"/>
        </w:rPr>
        <w:t>, 50(11), 907–915. https://doi.org/10.54648/taxi2022056</w:t>
      </w:r>
    </w:p>
    <w:p w14:paraId="13C322B7"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 xml:space="preserve">Rodríguez-Aros, M. L. (2023). Blockchain implementation in taxation: A case study of EU VAT. Journal of Enterprise Information Management, 36(5), 1120–1137. </w:t>
      </w:r>
    </w:p>
    <w:p w14:paraId="401779BB" w14:textId="77777777" w:rsidR="00203F6C" w:rsidRPr="00203F6C" w:rsidRDefault="00203F6C" w:rsidP="00203F6C">
      <w:pPr>
        <w:ind w:left="360"/>
        <w:rPr>
          <w:rFonts w:ascii="Times New Roman" w:hAnsi="Times New Roman" w:cs="Times New Roman"/>
          <w:sz w:val="24"/>
          <w:szCs w:val="24"/>
        </w:rPr>
      </w:pPr>
      <w:proofErr w:type="spellStart"/>
      <w:r w:rsidRPr="00203F6C">
        <w:rPr>
          <w:rFonts w:ascii="Times New Roman" w:hAnsi="Times New Roman" w:cs="Times New Roman"/>
          <w:sz w:val="24"/>
          <w:szCs w:val="24"/>
        </w:rPr>
        <w:t>Saptono</w:t>
      </w:r>
      <w:proofErr w:type="spellEnd"/>
      <w:r w:rsidRPr="00203F6C">
        <w:rPr>
          <w:rFonts w:ascii="Times New Roman" w:hAnsi="Times New Roman" w:cs="Times New Roman"/>
          <w:sz w:val="24"/>
          <w:szCs w:val="24"/>
        </w:rPr>
        <w:t xml:space="preserve">, P. B., Mahmud, G., Salleh, F., Pratiwi, I., Purwanto, D., &amp; </w:t>
      </w:r>
      <w:proofErr w:type="spellStart"/>
      <w:r w:rsidRPr="00203F6C">
        <w:rPr>
          <w:rFonts w:ascii="Times New Roman" w:hAnsi="Times New Roman" w:cs="Times New Roman"/>
          <w:sz w:val="24"/>
          <w:szCs w:val="24"/>
        </w:rPr>
        <w:t>Khozen</w:t>
      </w:r>
      <w:proofErr w:type="spellEnd"/>
      <w:r w:rsidRPr="00203F6C">
        <w:rPr>
          <w:rFonts w:ascii="Times New Roman" w:hAnsi="Times New Roman" w:cs="Times New Roman"/>
          <w:sz w:val="24"/>
          <w:szCs w:val="24"/>
        </w:rPr>
        <w:t xml:space="preserve">, I. (2024). Tax complexity and firm tax evasion: A cross-country investigation. Economies, 12(5), 97. </w:t>
      </w:r>
      <w:hyperlink r:id="rId19" w:tgtFrame="_new" w:history="1">
        <w:r w:rsidRPr="00203F6C">
          <w:rPr>
            <w:rStyle w:val="Hyperlink"/>
            <w:rFonts w:ascii="Times New Roman" w:hAnsi="Times New Roman" w:cs="Times New Roman"/>
            <w:sz w:val="24"/>
            <w:szCs w:val="24"/>
          </w:rPr>
          <w:t>https://doi.org/10.3390/economies12050097</w:t>
        </w:r>
      </w:hyperlink>
    </w:p>
    <w:p w14:paraId="5FA5DE10"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Schletz, M. C. (2021). Radical innovation for the Paris Agreement – A blockchain technology adoption perspective.</w:t>
      </w:r>
    </w:p>
    <w:p w14:paraId="7944F190"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Schmitz, J., &amp; Leoni, G. (2019). Accounting and auditing at the time of blockchain technology: A research agenda. Australian Accounting Review, 29(2), 331–342. https://doi.org/10.1111/auar.12286</w:t>
      </w:r>
    </w:p>
    <w:p w14:paraId="64F414C6" w14:textId="77777777" w:rsidR="00203F6C" w:rsidRPr="00203F6C" w:rsidRDefault="00203F6C" w:rsidP="00203F6C">
      <w:pPr>
        <w:ind w:left="360"/>
        <w:rPr>
          <w:rFonts w:ascii="Times New Roman" w:hAnsi="Times New Roman" w:cs="Times New Roman"/>
          <w:sz w:val="24"/>
          <w:szCs w:val="24"/>
        </w:rPr>
      </w:pPr>
      <w:proofErr w:type="spellStart"/>
      <w:r w:rsidRPr="00203F6C">
        <w:rPr>
          <w:rFonts w:ascii="Times New Roman" w:hAnsi="Times New Roman" w:cs="Times New Roman"/>
          <w:sz w:val="24"/>
          <w:szCs w:val="24"/>
        </w:rPr>
        <w:t>Semenzin</w:t>
      </w:r>
      <w:proofErr w:type="spellEnd"/>
      <w:r w:rsidRPr="00203F6C">
        <w:rPr>
          <w:rFonts w:ascii="Times New Roman" w:hAnsi="Times New Roman" w:cs="Times New Roman"/>
          <w:sz w:val="24"/>
          <w:szCs w:val="24"/>
        </w:rPr>
        <w:t>, S., Rozas, D., &amp; Hassan, S. (2022). Blockchain-based application at a governmental level: Disruption or illusion? The case of Estonia. Policy &amp; Society, 41(4), 540–555. https://doi.org/10.1093/polsoc/puac014</w:t>
      </w:r>
    </w:p>
    <w:p w14:paraId="02CDECB0" w14:textId="77777777" w:rsidR="00203F6C" w:rsidRPr="00203F6C" w:rsidRDefault="00203F6C" w:rsidP="00203F6C">
      <w:pPr>
        <w:ind w:left="360"/>
        <w:rPr>
          <w:rFonts w:ascii="Times New Roman" w:hAnsi="Times New Roman" w:cs="Times New Roman"/>
          <w:sz w:val="24"/>
          <w:szCs w:val="24"/>
        </w:rPr>
      </w:pPr>
      <w:proofErr w:type="spellStart"/>
      <w:r w:rsidRPr="00203F6C">
        <w:rPr>
          <w:rFonts w:ascii="Times New Roman" w:hAnsi="Times New Roman" w:cs="Times New Roman"/>
          <w:sz w:val="24"/>
          <w:szCs w:val="24"/>
        </w:rPr>
        <w:t>Slemrod</w:t>
      </w:r>
      <w:proofErr w:type="spellEnd"/>
      <w:r w:rsidRPr="00203F6C">
        <w:rPr>
          <w:rFonts w:ascii="Times New Roman" w:hAnsi="Times New Roman" w:cs="Times New Roman"/>
          <w:sz w:val="24"/>
          <w:szCs w:val="24"/>
        </w:rPr>
        <w:t>, J. (2019). Tax compliance and enforcement. Journal of Economic Literature, 57(4), 904–954. https://doi.org/10.1257/jel.20181437</w:t>
      </w:r>
    </w:p>
    <w:p w14:paraId="30FDDFF9" w14:textId="77777777" w:rsidR="00203F6C" w:rsidRPr="00203F6C" w:rsidRDefault="00203F6C" w:rsidP="00203F6C">
      <w:pPr>
        <w:ind w:left="360"/>
        <w:rPr>
          <w:rFonts w:ascii="Times New Roman" w:hAnsi="Times New Roman" w:cs="Times New Roman"/>
          <w:sz w:val="24"/>
          <w:szCs w:val="24"/>
        </w:rPr>
      </w:pPr>
      <w:proofErr w:type="spellStart"/>
      <w:r w:rsidRPr="00203F6C">
        <w:rPr>
          <w:rFonts w:ascii="Times New Roman" w:hAnsi="Times New Roman" w:cs="Times New Roman"/>
          <w:sz w:val="24"/>
          <w:szCs w:val="24"/>
        </w:rPr>
        <w:lastRenderedPageBreak/>
        <w:t>Slemrod</w:t>
      </w:r>
      <w:proofErr w:type="spellEnd"/>
      <w:r w:rsidRPr="00203F6C">
        <w:rPr>
          <w:rFonts w:ascii="Times New Roman" w:hAnsi="Times New Roman" w:cs="Times New Roman"/>
          <w:sz w:val="24"/>
          <w:szCs w:val="24"/>
        </w:rPr>
        <w:t>, J. (2019). Tax compliance and enforcement. Journal of Economic Literature, 57(4), 904–954. https://doi.org/10.1257/jel.20181437</w:t>
      </w:r>
    </w:p>
    <w:p w14:paraId="16862A9B"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 xml:space="preserve">technological advancements on auditing of financial statements. </w:t>
      </w:r>
    </w:p>
    <w:p w14:paraId="341D29F1"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 xml:space="preserve">Wołowiec, T. (2018). The concept of real estate taxation based on the ad valorem principle. International Journal of New Economics and Social Sciences, 8(2), 81-108. </w:t>
      </w:r>
      <w:hyperlink r:id="rId20" w:tgtFrame="_blank" w:history="1">
        <w:r w:rsidRPr="00203F6C">
          <w:rPr>
            <w:rStyle w:val="Hyperlink"/>
            <w:rFonts w:ascii="Times New Roman" w:hAnsi="Times New Roman" w:cs="Times New Roman"/>
            <w:sz w:val="24"/>
            <w:szCs w:val="24"/>
          </w:rPr>
          <w:t>CEJSH</w:t>
        </w:r>
      </w:hyperlink>
    </w:p>
    <w:p w14:paraId="5DDECDC7"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Xu, M., Chen, X., &amp; Kou, G. (2019). A systematic review of blockchain. Financial Innovation, 5(27), 1–14. https://doi.org/10.1186/s40854-019-0147-z</w:t>
      </w:r>
    </w:p>
    <w:p w14:paraId="47893338"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Xu, Y., &amp; Zhang, Z. (2022). Blockchain and its implications for tax administration in the People’s Republic of China. In G. M. Mintz &amp; P. J. Melville (Eds.), Taxation in the digital economy (pp. 128–149). Routledge. https://doi.org/10.4324/9781003196020-9</w:t>
      </w:r>
    </w:p>
    <w:p w14:paraId="757EC2B5" w14:textId="77777777" w:rsidR="00203F6C" w:rsidRPr="00203F6C" w:rsidRDefault="00203F6C" w:rsidP="00203F6C">
      <w:pPr>
        <w:ind w:left="360"/>
        <w:rPr>
          <w:rFonts w:ascii="Times New Roman" w:hAnsi="Times New Roman" w:cs="Times New Roman"/>
          <w:sz w:val="24"/>
          <w:szCs w:val="24"/>
        </w:rPr>
      </w:pPr>
      <w:r w:rsidRPr="00203F6C">
        <w:rPr>
          <w:rFonts w:ascii="Times New Roman" w:hAnsi="Times New Roman" w:cs="Times New Roman"/>
          <w:sz w:val="24"/>
          <w:szCs w:val="24"/>
        </w:rPr>
        <w:t>Yermack, D. (2017). Corporate governance and blockchains. Review of Finance, 21(1), 7–31. https://doi.org/10.1093/rof/rfw074</w:t>
      </w:r>
    </w:p>
    <w:p w14:paraId="1B009204" w14:textId="77777777" w:rsidR="00203F6C" w:rsidRPr="00203F6C" w:rsidRDefault="00203F6C" w:rsidP="00203F6C">
      <w:pPr>
        <w:pStyle w:val="NormalWeb"/>
        <w:ind w:left="360"/>
      </w:pPr>
      <w:r w:rsidRPr="00203F6C">
        <w:t xml:space="preserve">Georgiou, I., Sapuric, S., Lois, P., Thrassou, A., &amp; Vrontis, D. (2024). Blockchain for accounting and auditing Accounting and auditing for cryptocurrencies: A systematic literature review and future research directions. </w:t>
      </w:r>
      <w:r w:rsidRPr="00203F6C">
        <w:rPr>
          <w:rStyle w:val="Emphasis"/>
          <w:rFonts w:eastAsiaTheme="majorEastAsia"/>
          <w:i w:val="0"/>
          <w:iCs w:val="0"/>
        </w:rPr>
        <w:t>Journal of Risk and Financial Management, 17</w:t>
      </w:r>
      <w:r w:rsidRPr="00203F6C">
        <w:t>(7), 276. https://doi.org/10.3390/jrfm17070276</w:t>
      </w:r>
    </w:p>
    <w:p w14:paraId="7FEE6B75" w14:textId="77777777" w:rsidR="00203F6C" w:rsidRPr="00203F6C" w:rsidRDefault="00203F6C" w:rsidP="00203F6C">
      <w:pPr>
        <w:pStyle w:val="NormalWeb"/>
        <w:ind w:left="360"/>
      </w:pPr>
      <w:r w:rsidRPr="00203F6C">
        <w:t>Nakamoto, S. (2008). Bitcoin: A peer-to-peer electronic cash system. Retrieved from https://bitcoin.org/bitcoin.pdf</w:t>
      </w:r>
    </w:p>
    <w:p w14:paraId="789D56B2" w14:textId="77777777" w:rsidR="00203F6C" w:rsidRPr="00203F6C" w:rsidRDefault="00203F6C" w:rsidP="00203F6C">
      <w:pPr>
        <w:pStyle w:val="NormalWeb"/>
        <w:ind w:left="360"/>
      </w:pPr>
      <w:r w:rsidRPr="00203F6C">
        <w:t xml:space="preserve">Pimentel, E., &amp; Boulianne, E. (2020). Blockchain in accounting research: Current trends and emerging topics. </w:t>
      </w:r>
      <w:r w:rsidRPr="00203F6C">
        <w:rPr>
          <w:rStyle w:val="Emphasis"/>
          <w:rFonts w:eastAsiaTheme="majorEastAsia"/>
          <w:i w:val="0"/>
          <w:iCs w:val="0"/>
        </w:rPr>
        <w:t>Accounting Perspectives, 19</w:t>
      </w:r>
      <w:r w:rsidRPr="00203F6C">
        <w:t>(3), 325–361. https://doi.org/10.1111/1911-3838.12239</w:t>
      </w:r>
    </w:p>
    <w:p w14:paraId="4713D9C8" w14:textId="77777777" w:rsidR="00203F6C" w:rsidRPr="00203F6C" w:rsidRDefault="00203F6C" w:rsidP="00203F6C">
      <w:pPr>
        <w:pStyle w:val="NormalWeb"/>
        <w:ind w:left="360"/>
      </w:pPr>
      <w:r w:rsidRPr="00203F6C">
        <w:t xml:space="preserve">Rodríguez-Aros, M. L. (2023). Blockchain implementation in taxation: A case study of EU VAT. </w:t>
      </w:r>
      <w:r w:rsidRPr="00203F6C">
        <w:rPr>
          <w:rStyle w:val="Emphasis"/>
          <w:rFonts w:eastAsiaTheme="majorEastAsia"/>
          <w:i w:val="0"/>
          <w:iCs w:val="0"/>
        </w:rPr>
        <w:t>Journal of Enterprise Information Management, 36</w:t>
      </w:r>
      <w:r w:rsidRPr="00203F6C">
        <w:t xml:space="preserve">(5), 1120–1137. </w:t>
      </w:r>
    </w:p>
    <w:p w14:paraId="5F96B5E1" w14:textId="77777777" w:rsidR="00203F6C" w:rsidRPr="00203F6C" w:rsidRDefault="00203F6C" w:rsidP="00203F6C">
      <w:pPr>
        <w:pStyle w:val="NormalWeb"/>
        <w:ind w:left="360"/>
      </w:pPr>
      <w:r w:rsidRPr="00203F6C">
        <w:t xml:space="preserve">Semenzin, S., Rozas, D., &amp; Hassan, S. (2022). Blockchain-based application at a governmental level: Disruption or illusion? The case of Estonia. </w:t>
      </w:r>
      <w:r w:rsidRPr="00203F6C">
        <w:rPr>
          <w:rStyle w:val="Emphasis"/>
          <w:rFonts w:eastAsiaTheme="majorEastAsia"/>
          <w:i w:val="0"/>
          <w:iCs w:val="0"/>
        </w:rPr>
        <w:t>Policy &amp; Society, 41</w:t>
      </w:r>
      <w:r w:rsidRPr="00203F6C">
        <w:t>(4), 540–555. https://doi.org/10.1093/polsoc/puac014</w:t>
      </w:r>
    </w:p>
    <w:p w14:paraId="33CC6BFB" w14:textId="77777777" w:rsidR="00203F6C" w:rsidRPr="00203F6C" w:rsidRDefault="00203F6C" w:rsidP="00203F6C">
      <w:pPr>
        <w:pStyle w:val="NormalWeb"/>
        <w:ind w:left="360"/>
      </w:pPr>
      <w:r w:rsidRPr="00203F6C">
        <w:t xml:space="preserve">Tapscott, D., &amp; Tapscott, A. (2016). </w:t>
      </w:r>
      <w:r w:rsidRPr="00203F6C">
        <w:rPr>
          <w:rStyle w:val="Emphasis"/>
          <w:rFonts w:eastAsiaTheme="majorEastAsia"/>
          <w:i w:val="0"/>
          <w:iCs w:val="0"/>
        </w:rPr>
        <w:t>Blockchain revolution: How the technology behind bitcoin and other cryptocurrencies is changing the world.</w:t>
      </w:r>
      <w:r w:rsidRPr="00203F6C">
        <w:t xml:space="preserve"> New York: Penguin.</w:t>
      </w:r>
    </w:p>
    <w:p w14:paraId="44573D99" w14:textId="77777777" w:rsidR="00203F6C" w:rsidRPr="00203F6C" w:rsidRDefault="00203F6C" w:rsidP="00203F6C">
      <w:pPr>
        <w:pStyle w:val="NormalWeb"/>
        <w:ind w:left="360"/>
      </w:pPr>
      <w:r w:rsidRPr="00203F6C">
        <w:t xml:space="preserve">Treleaven, P., Brown, R. G., &amp; Yang, D. (2017). Blockchain technology in finance: The risk and opportunities. </w:t>
      </w:r>
      <w:r w:rsidRPr="00203F6C">
        <w:rPr>
          <w:rStyle w:val="Emphasis"/>
          <w:rFonts w:eastAsiaTheme="majorEastAsia"/>
          <w:i w:val="0"/>
          <w:iCs w:val="0"/>
        </w:rPr>
        <w:t>Computer, 50</w:t>
      </w:r>
      <w:r w:rsidRPr="00203F6C">
        <w:t>(9), 14–17. https://doi.org/10.1109/MC.2017.3571047</w:t>
      </w:r>
    </w:p>
    <w:p w14:paraId="61E2E003" w14:textId="77777777" w:rsidR="00203F6C" w:rsidRPr="00203F6C" w:rsidRDefault="00203F6C" w:rsidP="00203F6C">
      <w:pPr>
        <w:pStyle w:val="NormalWeb"/>
        <w:ind w:left="360"/>
      </w:pPr>
      <w:r w:rsidRPr="00203F6C">
        <w:lastRenderedPageBreak/>
        <w:t xml:space="preserve">Yermack, D. (2017). Corporate governance and blockchains. </w:t>
      </w:r>
      <w:r w:rsidRPr="00203F6C">
        <w:rPr>
          <w:rStyle w:val="Emphasis"/>
          <w:rFonts w:eastAsiaTheme="majorEastAsia"/>
          <w:i w:val="0"/>
          <w:iCs w:val="0"/>
        </w:rPr>
        <w:t>Review of Finance, 21</w:t>
      </w:r>
      <w:r w:rsidRPr="00203F6C">
        <w:t>(1), 7–31. https://doi.org/10.1093/rof/rfw074</w:t>
      </w:r>
    </w:p>
    <w:p w14:paraId="20E49111" w14:textId="77777777" w:rsidR="00203F6C" w:rsidRPr="00203F6C" w:rsidRDefault="00203F6C" w:rsidP="00203F6C">
      <w:pPr>
        <w:rPr>
          <w:rFonts w:ascii="Times New Roman" w:hAnsi="Times New Roman" w:cs="Times New Roman"/>
          <w:sz w:val="24"/>
          <w:szCs w:val="24"/>
        </w:rPr>
      </w:pPr>
    </w:p>
    <w:sectPr w:rsidR="00203F6C" w:rsidRPr="00203F6C" w:rsidSect="00034616">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4B10C" w14:textId="77777777" w:rsidR="002E1EC8" w:rsidRDefault="002E1EC8" w:rsidP="00602220">
      <w:pPr>
        <w:spacing w:after="0" w:line="240" w:lineRule="auto"/>
      </w:pPr>
      <w:r>
        <w:separator/>
      </w:r>
    </w:p>
  </w:endnote>
  <w:endnote w:type="continuationSeparator" w:id="0">
    <w:p w14:paraId="0EFCE484" w14:textId="77777777" w:rsidR="002E1EC8" w:rsidRDefault="002E1EC8" w:rsidP="0060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37188" w14:textId="77777777" w:rsidR="00602220" w:rsidRDefault="00602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2C4CC" w14:textId="77777777" w:rsidR="00602220" w:rsidRDefault="00602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70C6B" w14:textId="77777777" w:rsidR="00602220" w:rsidRDefault="00602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FB6AA" w14:textId="77777777" w:rsidR="002E1EC8" w:rsidRDefault="002E1EC8" w:rsidP="00602220">
      <w:pPr>
        <w:spacing w:after="0" w:line="240" w:lineRule="auto"/>
      </w:pPr>
      <w:r>
        <w:separator/>
      </w:r>
    </w:p>
  </w:footnote>
  <w:footnote w:type="continuationSeparator" w:id="0">
    <w:p w14:paraId="5DA052FA" w14:textId="77777777" w:rsidR="002E1EC8" w:rsidRDefault="002E1EC8" w:rsidP="00602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BA6E9" w14:textId="0F2E70DA" w:rsidR="00602220" w:rsidRDefault="00602220">
    <w:pPr>
      <w:pStyle w:val="Header"/>
    </w:pPr>
    <w:r>
      <w:rPr>
        <w:noProof/>
      </w:rPr>
      <w:pict w14:anchorId="60754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98745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8F4DC" w14:textId="623949CA" w:rsidR="00602220" w:rsidRDefault="00602220">
    <w:pPr>
      <w:pStyle w:val="Header"/>
    </w:pPr>
    <w:r>
      <w:rPr>
        <w:noProof/>
      </w:rPr>
      <w:pict w14:anchorId="2BB88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98745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17C9" w14:textId="2D353773" w:rsidR="00602220" w:rsidRDefault="00602220">
    <w:pPr>
      <w:pStyle w:val="Header"/>
    </w:pPr>
    <w:r>
      <w:rPr>
        <w:noProof/>
      </w:rPr>
      <w:pict w14:anchorId="6DC4A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98745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624521"/>
    <w:multiLevelType w:val="hybridMultilevel"/>
    <w:tmpl w:val="7B7480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31A4D89"/>
    <w:multiLevelType w:val="hybridMultilevel"/>
    <w:tmpl w:val="794A6DB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8B31B79"/>
    <w:multiLevelType w:val="hybridMultilevel"/>
    <w:tmpl w:val="B61A7518"/>
    <w:lvl w:ilvl="0" w:tplc="E49A7CD6">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C062A6D"/>
    <w:multiLevelType w:val="hybridMultilevel"/>
    <w:tmpl w:val="9334CC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7C666A"/>
    <w:multiLevelType w:val="hybridMultilevel"/>
    <w:tmpl w:val="7270D19A"/>
    <w:lvl w:ilvl="0" w:tplc="20000001">
      <w:start w:val="1"/>
      <w:numFmt w:val="bullet"/>
      <w:lvlText w:val=""/>
      <w:lvlJc w:val="left"/>
      <w:pPr>
        <w:ind w:left="720" w:hanging="360"/>
      </w:pPr>
      <w:rPr>
        <w:rFonts w:ascii="Symbol" w:hAnsi="Symbol" w:hint="default"/>
      </w:rPr>
    </w:lvl>
    <w:lvl w:ilvl="1" w:tplc="932095DC">
      <w:numFmt w:val="bullet"/>
      <w:lvlText w:val="-"/>
      <w:lvlJc w:val="left"/>
      <w:pPr>
        <w:ind w:left="1440" w:hanging="360"/>
      </w:pPr>
      <w:rPr>
        <w:rFonts w:ascii="Times New Roman" w:eastAsiaTheme="minorEastAsia"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8361328"/>
    <w:multiLevelType w:val="hybridMultilevel"/>
    <w:tmpl w:val="29DAFC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1F6605A"/>
    <w:multiLevelType w:val="hybridMultilevel"/>
    <w:tmpl w:val="3F1A3A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36604C7"/>
    <w:multiLevelType w:val="hybridMultilevel"/>
    <w:tmpl w:val="E2B4BA9C"/>
    <w:lvl w:ilvl="0" w:tplc="E49A7CD6">
      <w:numFmt w:val="bullet"/>
      <w:lvlText w:val="-"/>
      <w:lvlJc w:val="left"/>
      <w:pPr>
        <w:ind w:left="1080" w:hanging="360"/>
      </w:pPr>
      <w:rPr>
        <w:rFonts w:ascii="Times New Roman" w:eastAsiaTheme="minorEastAsia"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15:restartNumberingAfterBreak="0">
    <w:nsid w:val="6D9C3599"/>
    <w:multiLevelType w:val="hybridMultilevel"/>
    <w:tmpl w:val="D8ACE3CE"/>
    <w:lvl w:ilvl="0" w:tplc="E49A7CD6">
      <w:numFmt w:val="bullet"/>
      <w:lvlText w:val="-"/>
      <w:lvlJc w:val="left"/>
      <w:pPr>
        <w:ind w:left="1080" w:hanging="360"/>
      </w:pPr>
      <w:rPr>
        <w:rFonts w:ascii="Times New Roman" w:eastAsiaTheme="minorEastAsia"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0"/>
  </w:num>
  <w:num w:numId="12">
    <w:abstractNumId w:val="12"/>
  </w:num>
  <w:num w:numId="13">
    <w:abstractNumId w:val="9"/>
  </w:num>
  <w:num w:numId="14">
    <w:abstractNumId w:val="14"/>
  </w:num>
  <w:num w:numId="15">
    <w:abstractNumId w:val="11"/>
  </w:num>
  <w:num w:numId="16">
    <w:abstractNumId w:val="17"/>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0NLK0NDI2sbQwMjdR0lEKTi0uzszPAykwrAUA2OxTaywAAAA="/>
  </w:docVars>
  <w:rsids>
    <w:rsidRoot w:val="00B47730"/>
    <w:rsid w:val="00034616"/>
    <w:rsid w:val="0006063C"/>
    <w:rsid w:val="000725C2"/>
    <w:rsid w:val="00091DED"/>
    <w:rsid w:val="0015074B"/>
    <w:rsid w:val="00203F6C"/>
    <w:rsid w:val="0024586C"/>
    <w:rsid w:val="0029639D"/>
    <w:rsid w:val="002E1EC8"/>
    <w:rsid w:val="00326F90"/>
    <w:rsid w:val="0045513A"/>
    <w:rsid w:val="00602220"/>
    <w:rsid w:val="00AA1D8D"/>
    <w:rsid w:val="00B25836"/>
    <w:rsid w:val="00B47730"/>
    <w:rsid w:val="00CB0664"/>
    <w:rsid w:val="00E04374"/>
    <w:rsid w:val="00F851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1EDC408"/>
  <w14:defaultImageDpi w14:val="300"/>
  <w15:docId w15:val="{7C59AC35-83BE-4D46-9B90-0C8854C6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03F6C"/>
    <w:rPr>
      <w:color w:val="0000FF" w:themeColor="hyperlink"/>
      <w:u w:val="single"/>
    </w:rPr>
  </w:style>
  <w:style w:type="paragraph" w:styleId="NormalWeb">
    <w:name w:val="Normal (Web)"/>
    <w:basedOn w:val="Normal"/>
    <w:uiPriority w:val="99"/>
    <w:semiHidden/>
    <w:unhideWhenUsed/>
    <w:rsid w:val="00203F6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2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fi14110341" TargetMode="External"/><Relationship Id="rId18" Type="http://schemas.openxmlformats.org/officeDocument/2006/relationships/hyperlink" Target="https://doi.org/10.19088/ICTD.2022.01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111/rode.13163" TargetMode="External"/><Relationship Id="rId17" Type="http://schemas.openxmlformats.org/officeDocument/2006/relationships/hyperlink" Target="https://doi.org/10.30574/ijsra.2024.12.2.1454"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4337/9781783474332" TargetMode="External"/><Relationship Id="rId20" Type="http://schemas.openxmlformats.org/officeDocument/2006/relationships/hyperlink" Target="https://cejsh.icm.edu.pl/cejsh/element/bwmeta1.element.desklight-ddd87304-6692-4ff6-8eb7-481cd4db616a?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140/RG.2.2.20915.44326"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09/ICICT47744.2019.900199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oi.org/10.3390/economies12050097"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accinf.2022.100598"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 Aggregate Revenue Outcomes</a:t>
            </a:r>
          </a:p>
        </c:rich>
      </c:tx>
      <c:overlay val="0"/>
      <c:spPr>
        <a:noFill/>
        <a:ln>
          <a:solidFill>
            <a:schemeClr val="bg1"/>
          </a:solid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scatterChart>
        <c:scatterStyle val="lineMarker"/>
        <c:varyColors val="0"/>
        <c:ser>
          <c:idx val="0"/>
          <c:order val="0"/>
          <c:tx>
            <c:strRef>
              <c:f>Sheet1!$A$2</c:f>
              <c:strCache>
                <c:ptCount val="1"/>
                <c:pt idx="0">
                  <c:v>Adoption Level (B)</c:v>
                </c:pt>
              </c:strCache>
            </c:strRef>
          </c:tx>
          <c:spPr>
            <a:ln w="22225" cap="rnd">
              <a:solidFill>
                <a:schemeClr val="accent1"/>
              </a:solidFill>
            </a:ln>
            <a:effectLst>
              <a:glow rad="139700">
                <a:schemeClr val="accent1">
                  <a:satMod val="175000"/>
                  <a:alpha val="14000"/>
                </a:schemeClr>
              </a:glow>
            </a:effectLst>
          </c:spPr>
          <c:marker>
            <c:symbol val="circle"/>
            <c:size val="3"/>
            <c:spPr>
              <a:solidFill>
                <a:schemeClr val="accent1">
                  <a:lumMod val="60000"/>
                  <a:lumOff val="40000"/>
                </a:schemeClr>
              </a:solidFill>
              <a:ln>
                <a:noFill/>
              </a:ln>
              <a:effectLst>
                <a:glow rad="63500">
                  <a:schemeClr val="accent1">
                    <a:satMod val="175000"/>
                    <a:alpha val="25000"/>
                  </a:schemeClr>
                </a:glow>
              </a:effectLst>
            </c:spPr>
          </c:marker>
          <c:yVal>
            <c:numRef>
              <c:f>Sheet1!$A$3:$A$7</c:f>
              <c:numCache>
                <c:formatCode>General</c:formatCode>
                <c:ptCount val="5"/>
                <c:pt idx="0">
                  <c:v>0</c:v>
                </c:pt>
                <c:pt idx="1">
                  <c:v>0.25</c:v>
                </c:pt>
                <c:pt idx="2">
                  <c:v>0.5</c:v>
                </c:pt>
                <c:pt idx="3">
                  <c:v>0.75</c:v>
                </c:pt>
                <c:pt idx="4">
                  <c:v>1</c:v>
                </c:pt>
              </c:numCache>
            </c:numRef>
          </c:yVal>
          <c:smooth val="0"/>
          <c:extLst>
            <c:ext xmlns:c16="http://schemas.microsoft.com/office/drawing/2014/chart" uri="{C3380CC4-5D6E-409C-BE32-E72D297353CC}">
              <c16:uniqueId val="{00000000-470F-4E82-A499-DBCC7FD653A1}"/>
            </c:ext>
          </c:extLst>
        </c:ser>
        <c:ser>
          <c:idx val="1"/>
          <c:order val="1"/>
          <c:tx>
            <c:strRef>
              <c:f>Sheet1!$B$2</c:f>
              <c:strCache>
                <c:ptCount val="1"/>
                <c:pt idx="0">
                  <c:v>Compliance Rate (%)</c:v>
                </c:pt>
              </c:strCache>
            </c:strRef>
          </c:tx>
          <c:spPr>
            <a:ln w="22225" cap="rnd">
              <a:solidFill>
                <a:schemeClr val="accent2"/>
              </a:solidFill>
            </a:ln>
            <a:effectLst>
              <a:glow rad="139700">
                <a:schemeClr val="accent2">
                  <a:satMod val="175000"/>
                  <a:alpha val="14000"/>
                </a:schemeClr>
              </a:glow>
            </a:effectLst>
          </c:spPr>
          <c:marker>
            <c:symbol val="circle"/>
            <c:size val="3"/>
            <c:spPr>
              <a:solidFill>
                <a:schemeClr val="accent2">
                  <a:lumMod val="60000"/>
                  <a:lumOff val="40000"/>
                </a:schemeClr>
              </a:solidFill>
              <a:ln>
                <a:noFill/>
              </a:ln>
              <a:effectLst>
                <a:glow rad="63500">
                  <a:schemeClr val="accent2">
                    <a:satMod val="175000"/>
                    <a:alpha val="25000"/>
                  </a:schemeClr>
                </a:glow>
              </a:effectLst>
            </c:spPr>
          </c:marker>
          <c:yVal>
            <c:numRef>
              <c:f>Sheet1!$B$3:$B$7</c:f>
              <c:numCache>
                <c:formatCode>General</c:formatCode>
                <c:ptCount val="5"/>
                <c:pt idx="0">
                  <c:v>55</c:v>
                </c:pt>
                <c:pt idx="1">
                  <c:v>61</c:v>
                </c:pt>
                <c:pt idx="2">
                  <c:v>68</c:v>
                </c:pt>
                <c:pt idx="3">
                  <c:v>74</c:v>
                </c:pt>
                <c:pt idx="4">
                  <c:v>80</c:v>
                </c:pt>
              </c:numCache>
            </c:numRef>
          </c:yVal>
          <c:smooth val="0"/>
          <c:extLst>
            <c:ext xmlns:c16="http://schemas.microsoft.com/office/drawing/2014/chart" uri="{C3380CC4-5D6E-409C-BE32-E72D297353CC}">
              <c16:uniqueId val="{00000001-470F-4E82-A499-DBCC7FD653A1}"/>
            </c:ext>
          </c:extLst>
        </c:ser>
        <c:ser>
          <c:idx val="2"/>
          <c:order val="2"/>
          <c:tx>
            <c:strRef>
              <c:f>Sheet1!$C$2</c:f>
              <c:strCache>
                <c:ptCount val="1"/>
                <c:pt idx="0">
                  <c:v>Under-Reporting (%)</c:v>
                </c:pt>
              </c:strCache>
            </c:strRef>
          </c:tx>
          <c:spPr>
            <a:ln w="22225" cap="rnd">
              <a:solidFill>
                <a:schemeClr val="accent3"/>
              </a:solidFill>
            </a:ln>
            <a:effectLst>
              <a:glow rad="139700">
                <a:schemeClr val="accent3">
                  <a:satMod val="175000"/>
                  <a:alpha val="14000"/>
                </a:schemeClr>
              </a:glow>
            </a:effectLst>
          </c:spPr>
          <c:marker>
            <c:symbol val="circle"/>
            <c:size val="3"/>
            <c:spPr>
              <a:solidFill>
                <a:schemeClr val="accent3">
                  <a:lumMod val="60000"/>
                  <a:lumOff val="40000"/>
                </a:schemeClr>
              </a:solidFill>
              <a:ln>
                <a:noFill/>
              </a:ln>
              <a:effectLst>
                <a:glow rad="63500">
                  <a:schemeClr val="accent3">
                    <a:satMod val="175000"/>
                    <a:alpha val="25000"/>
                  </a:schemeClr>
                </a:glow>
              </a:effectLst>
            </c:spPr>
          </c:marker>
          <c:yVal>
            <c:numRef>
              <c:f>Sheet1!$C$3:$C$7</c:f>
              <c:numCache>
                <c:formatCode>General</c:formatCode>
                <c:ptCount val="5"/>
                <c:pt idx="0">
                  <c:v>35</c:v>
                </c:pt>
                <c:pt idx="1">
                  <c:v>26</c:v>
                </c:pt>
                <c:pt idx="2">
                  <c:v>18</c:v>
                </c:pt>
                <c:pt idx="3">
                  <c:v>9</c:v>
                </c:pt>
                <c:pt idx="4">
                  <c:v>0</c:v>
                </c:pt>
              </c:numCache>
            </c:numRef>
          </c:yVal>
          <c:smooth val="0"/>
          <c:extLst>
            <c:ext xmlns:c16="http://schemas.microsoft.com/office/drawing/2014/chart" uri="{C3380CC4-5D6E-409C-BE32-E72D297353CC}">
              <c16:uniqueId val="{00000002-470F-4E82-A499-DBCC7FD653A1}"/>
            </c:ext>
          </c:extLst>
        </c:ser>
        <c:ser>
          <c:idx val="3"/>
          <c:order val="3"/>
          <c:tx>
            <c:strRef>
              <c:f>Sheet1!$D$2</c:f>
              <c:strCache>
                <c:ptCount val="1"/>
                <c:pt idx="0">
                  <c:v>Detection Probability (%)</c:v>
                </c:pt>
              </c:strCache>
            </c:strRef>
          </c:tx>
          <c:spPr>
            <a:ln w="22225" cap="rnd">
              <a:solidFill>
                <a:schemeClr val="accent4"/>
              </a:solidFill>
            </a:ln>
            <a:effectLst>
              <a:glow rad="139700">
                <a:schemeClr val="accent4">
                  <a:satMod val="175000"/>
                  <a:alpha val="14000"/>
                </a:schemeClr>
              </a:glow>
            </a:effectLst>
          </c:spPr>
          <c:marker>
            <c:symbol val="circle"/>
            <c:size val="3"/>
            <c:spPr>
              <a:solidFill>
                <a:schemeClr val="accent4">
                  <a:lumMod val="60000"/>
                  <a:lumOff val="40000"/>
                </a:schemeClr>
              </a:solidFill>
              <a:ln>
                <a:noFill/>
              </a:ln>
              <a:effectLst>
                <a:glow rad="63500">
                  <a:schemeClr val="accent4">
                    <a:satMod val="175000"/>
                    <a:alpha val="25000"/>
                  </a:schemeClr>
                </a:glow>
              </a:effectLst>
            </c:spPr>
          </c:marker>
          <c:yVal>
            <c:numRef>
              <c:f>Sheet1!$D$3:$D$7</c:f>
              <c:numCache>
                <c:formatCode>General</c:formatCode>
                <c:ptCount val="5"/>
                <c:pt idx="0">
                  <c:v>7</c:v>
                </c:pt>
                <c:pt idx="1">
                  <c:v>26</c:v>
                </c:pt>
                <c:pt idx="2">
                  <c:v>45</c:v>
                </c:pt>
                <c:pt idx="3">
                  <c:v>63</c:v>
                </c:pt>
                <c:pt idx="4">
                  <c:v>82</c:v>
                </c:pt>
              </c:numCache>
            </c:numRef>
          </c:yVal>
          <c:smooth val="0"/>
          <c:extLst>
            <c:ext xmlns:c16="http://schemas.microsoft.com/office/drawing/2014/chart" uri="{C3380CC4-5D6E-409C-BE32-E72D297353CC}">
              <c16:uniqueId val="{00000003-470F-4E82-A499-DBCC7FD653A1}"/>
            </c:ext>
          </c:extLst>
        </c:ser>
        <c:ser>
          <c:idx val="4"/>
          <c:order val="4"/>
          <c:tx>
            <c:strRef>
              <c:f>Sheet1!$E$2</c:f>
              <c:strCache>
                <c:ptCount val="1"/>
                <c:pt idx="0">
                  <c:v>Aggregate Revenue (₦ billion)</c:v>
                </c:pt>
              </c:strCache>
            </c:strRef>
          </c:tx>
          <c:spPr>
            <a:ln w="22225" cap="rnd">
              <a:solidFill>
                <a:schemeClr val="accent5"/>
              </a:solidFill>
            </a:ln>
            <a:effectLst>
              <a:glow rad="139700">
                <a:schemeClr val="accent5">
                  <a:satMod val="175000"/>
                  <a:alpha val="14000"/>
                </a:schemeClr>
              </a:glow>
            </a:effectLst>
          </c:spPr>
          <c:marker>
            <c:symbol val="circle"/>
            <c:size val="3"/>
            <c:spPr>
              <a:solidFill>
                <a:schemeClr val="accent5">
                  <a:lumMod val="60000"/>
                  <a:lumOff val="40000"/>
                </a:schemeClr>
              </a:solidFill>
              <a:ln>
                <a:noFill/>
              </a:ln>
              <a:effectLst>
                <a:glow rad="63500">
                  <a:schemeClr val="accent5">
                    <a:satMod val="175000"/>
                    <a:alpha val="25000"/>
                  </a:schemeClr>
                </a:glow>
              </a:effectLst>
            </c:spPr>
          </c:marker>
          <c:yVal>
            <c:numRef>
              <c:f>Sheet1!$E$3:$E$7</c:f>
              <c:numCache>
                <c:formatCode>#,##0</c:formatCode>
                <c:ptCount val="5"/>
                <c:pt idx="0">
                  <c:v>1950</c:v>
                </c:pt>
                <c:pt idx="1">
                  <c:v>2250</c:v>
                </c:pt>
                <c:pt idx="2">
                  <c:v>2450</c:v>
                </c:pt>
                <c:pt idx="3">
                  <c:v>2500</c:v>
                </c:pt>
                <c:pt idx="4">
                  <c:v>2480</c:v>
                </c:pt>
              </c:numCache>
            </c:numRef>
          </c:yVal>
          <c:smooth val="0"/>
          <c:extLst>
            <c:ext xmlns:c16="http://schemas.microsoft.com/office/drawing/2014/chart" uri="{C3380CC4-5D6E-409C-BE32-E72D297353CC}">
              <c16:uniqueId val="{00000004-470F-4E82-A499-DBCC7FD653A1}"/>
            </c:ext>
          </c:extLst>
        </c:ser>
        <c:ser>
          <c:idx val="5"/>
          <c:order val="5"/>
          <c:tx>
            <c:strRef>
              <c:f>Sheet1!$F$2</c:f>
              <c:strCache>
                <c:ptCount val="1"/>
                <c:pt idx="0">
                  <c:v>Tax Gap (₦ billion)</c:v>
                </c:pt>
              </c:strCache>
            </c:strRef>
          </c:tx>
          <c:spPr>
            <a:ln w="22225" cap="rnd">
              <a:solidFill>
                <a:schemeClr val="accent6"/>
              </a:solidFill>
            </a:ln>
            <a:effectLst>
              <a:glow rad="139700">
                <a:schemeClr val="accent6">
                  <a:satMod val="175000"/>
                  <a:alpha val="14000"/>
                </a:schemeClr>
              </a:glow>
            </a:effectLst>
          </c:spPr>
          <c:marker>
            <c:symbol val="circle"/>
            <c:size val="3"/>
            <c:spPr>
              <a:solidFill>
                <a:schemeClr val="accent6">
                  <a:lumMod val="60000"/>
                  <a:lumOff val="40000"/>
                </a:schemeClr>
              </a:solidFill>
              <a:ln>
                <a:noFill/>
              </a:ln>
              <a:effectLst>
                <a:glow rad="63500">
                  <a:schemeClr val="accent6">
                    <a:satMod val="175000"/>
                    <a:alpha val="25000"/>
                  </a:schemeClr>
                </a:glow>
              </a:effectLst>
            </c:spPr>
          </c:marker>
          <c:yVal>
            <c:numRef>
              <c:f>Sheet1!$F$3:$F$7</c:f>
              <c:numCache>
                <c:formatCode>General</c:formatCode>
                <c:ptCount val="5"/>
                <c:pt idx="0">
                  <c:v>500</c:v>
                </c:pt>
                <c:pt idx="1">
                  <c:v>200</c:v>
                </c:pt>
                <c:pt idx="2">
                  <c:v>50</c:v>
                </c:pt>
                <c:pt idx="3">
                  <c:v>0</c:v>
                </c:pt>
                <c:pt idx="4">
                  <c:v>0</c:v>
                </c:pt>
              </c:numCache>
            </c:numRef>
          </c:yVal>
          <c:smooth val="0"/>
          <c:extLst>
            <c:ext xmlns:c16="http://schemas.microsoft.com/office/drawing/2014/chart" uri="{C3380CC4-5D6E-409C-BE32-E72D297353CC}">
              <c16:uniqueId val="{00000005-470F-4E82-A499-DBCC7FD653A1}"/>
            </c:ext>
          </c:extLst>
        </c:ser>
        <c:dLbls>
          <c:showLegendKey val="0"/>
          <c:showVal val="0"/>
          <c:showCatName val="0"/>
          <c:showSerName val="0"/>
          <c:showPercent val="0"/>
          <c:showBubbleSize val="0"/>
        </c:dLbls>
        <c:axId val="1219242208"/>
        <c:axId val="1219245088"/>
      </c:scatterChart>
      <c:valAx>
        <c:axId val="1219242208"/>
        <c:scaling>
          <c:orientation val="minMax"/>
        </c:scaling>
        <c:delete val="0"/>
        <c:axPos val="b"/>
        <c:majorGridlines>
          <c:spPr>
            <a:ln w="9525" cap="flat" cmpd="sng" algn="ctr">
              <a:solidFill>
                <a:schemeClr val="dk1">
                  <a:lumMod val="65000"/>
                  <a:lumOff val="35000"/>
                  <a:alpha val="75000"/>
                </a:schemeClr>
              </a:solidFill>
              <a:round/>
            </a:ln>
            <a:effectLst/>
          </c:spPr>
        </c:majorGridlines>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219245088"/>
        <c:crosses val="autoZero"/>
        <c:crossBetween val="midCat"/>
      </c:valAx>
      <c:valAx>
        <c:axId val="1219245088"/>
        <c:scaling>
          <c:orientation val="minMax"/>
        </c:scaling>
        <c:delete val="0"/>
        <c:axPos val="l"/>
        <c:majorGridlines>
          <c:spPr>
            <a:ln w="9525" cap="flat" cmpd="sng" algn="ctr">
              <a:solidFill>
                <a:schemeClr val="dk1">
                  <a:lumMod val="65000"/>
                  <a:lumOff val="35000"/>
                  <a:alpha val="75000"/>
                </a:schemeClr>
              </a:solidFill>
              <a:round/>
            </a:ln>
            <a:effectLst/>
          </c:spPr>
        </c:majorGridlines>
        <c:numFmt formatCode="General"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219242208"/>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600" b="1" i="0" u="none" strike="noStrike" baseline="0">
                <a:effectLst>
                  <a:outerShdw blurRad="50800" dist="38100" dir="5400000" algn="t" rotWithShape="0">
                    <a:prstClr val="black">
                      <a:alpha val="40000"/>
                    </a:prstClr>
                  </a:outerShdw>
                </a:effectLst>
              </a:rPr>
              <a:t>Sectoral Simulation</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Sheet2!$A$2:$A$7</c:f>
              <c:strCache>
                <c:ptCount val="6"/>
                <c:pt idx="0">
                  <c:v>Oil &amp; Gas</c:v>
                </c:pt>
                <c:pt idx="1">
                  <c:v>Manufacturing</c:v>
                </c:pt>
                <c:pt idx="2">
                  <c:v>Telecommunications</c:v>
                </c:pt>
                <c:pt idx="3">
                  <c:v>Retail &amp; Trade</c:v>
                </c:pt>
                <c:pt idx="4">
                  <c:v>Financial Services</c:v>
                </c:pt>
                <c:pt idx="5">
                  <c:v>Total</c:v>
                </c:pt>
              </c:strCache>
            </c:strRef>
          </c:cat>
          <c:val>
            <c:numRef>
              <c:f>Sheet2!$B$2:$B$7</c:f>
              <c:numCache>
                <c:formatCode>General</c:formatCode>
                <c:ptCount val="6"/>
                <c:pt idx="0">
                  <c:v>500</c:v>
                </c:pt>
                <c:pt idx="1">
                  <c:v>300</c:v>
                </c:pt>
                <c:pt idx="2">
                  <c:v>250</c:v>
                </c:pt>
                <c:pt idx="3">
                  <c:v>400</c:v>
                </c:pt>
                <c:pt idx="4">
                  <c:v>200</c:v>
                </c:pt>
                <c:pt idx="5" formatCode="#,##0">
                  <c:v>1650</c:v>
                </c:pt>
              </c:numCache>
            </c:numRef>
          </c:val>
          <c:extLst>
            <c:ext xmlns:c16="http://schemas.microsoft.com/office/drawing/2014/chart" uri="{C3380CC4-5D6E-409C-BE32-E72D297353CC}">
              <c16:uniqueId val="{00000000-1F18-4A85-B948-12650E27EF4D}"/>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Sheet2!$A$2:$A$7</c:f>
              <c:strCache>
                <c:ptCount val="6"/>
                <c:pt idx="0">
                  <c:v>Oil &amp; Gas</c:v>
                </c:pt>
                <c:pt idx="1">
                  <c:v>Manufacturing</c:v>
                </c:pt>
                <c:pt idx="2">
                  <c:v>Telecommunications</c:v>
                </c:pt>
                <c:pt idx="3">
                  <c:v>Retail &amp; Trade</c:v>
                </c:pt>
                <c:pt idx="4">
                  <c:v>Financial Services</c:v>
                </c:pt>
                <c:pt idx="5">
                  <c:v>Total</c:v>
                </c:pt>
              </c:strCache>
            </c:strRef>
          </c:cat>
          <c:val>
            <c:numRef>
              <c:f>Sheet2!$C$2:$C$7</c:f>
              <c:numCache>
                <c:formatCode>General</c:formatCode>
                <c:ptCount val="6"/>
                <c:pt idx="0">
                  <c:v>575</c:v>
                </c:pt>
                <c:pt idx="1">
                  <c:v>370</c:v>
                </c:pt>
                <c:pt idx="2">
                  <c:v>315</c:v>
                </c:pt>
                <c:pt idx="3">
                  <c:v>520</c:v>
                </c:pt>
                <c:pt idx="4">
                  <c:v>235</c:v>
                </c:pt>
                <c:pt idx="5" formatCode="#,##0">
                  <c:v>2015</c:v>
                </c:pt>
              </c:numCache>
            </c:numRef>
          </c:val>
          <c:extLst>
            <c:ext xmlns:c16="http://schemas.microsoft.com/office/drawing/2014/chart" uri="{C3380CC4-5D6E-409C-BE32-E72D297353CC}">
              <c16:uniqueId val="{00000001-1F18-4A85-B948-12650E27EF4D}"/>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Sheet2!$A$2:$A$7</c:f>
              <c:strCache>
                <c:ptCount val="6"/>
                <c:pt idx="0">
                  <c:v>Oil &amp; Gas</c:v>
                </c:pt>
                <c:pt idx="1">
                  <c:v>Manufacturing</c:v>
                </c:pt>
                <c:pt idx="2">
                  <c:v>Telecommunications</c:v>
                </c:pt>
                <c:pt idx="3">
                  <c:v>Retail &amp; Trade</c:v>
                </c:pt>
                <c:pt idx="4">
                  <c:v>Financial Services</c:v>
                </c:pt>
                <c:pt idx="5">
                  <c:v>Total</c:v>
                </c:pt>
              </c:strCache>
            </c:strRef>
          </c:cat>
          <c:val>
            <c:numRef>
              <c:f>Sheet2!$D$2:$D$7</c:f>
              <c:numCache>
                <c:formatCode>General</c:formatCode>
                <c:ptCount val="6"/>
                <c:pt idx="0">
                  <c:v>75</c:v>
                </c:pt>
                <c:pt idx="1">
                  <c:v>70</c:v>
                </c:pt>
                <c:pt idx="2">
                  <c:v>65</c:v>
                </c:pt>
                <c:pt idx="3">
                  <c:v>120</c:v>
                </c:pt>
                <c:pt idx="4">
                  <c:v>35</c:v>
                </c:pt>
                <c:pt idx="5">
                  <c:v>365</c:v>
                </c:pt>
              </c:numCache>
            </c:numRef>
          </c:val>
          <c:extLst>
            <c:ext xmlns:c16="http://schemas.microsoft.com/office/drawing/2014/chart" uri="{C3380CC4-5D6E-409C-BE32-E72D297353CC}">
              <c16:uniqueId val="{00000002-1F18-4A85-B948-12650E27EF4D}"/>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Sheet2!$A$2:$A$7</c:f>
              <c:strCache>
                <c:ptCount val="6"/>
                <c:pt idx="0">
                  <c:v>Oil &amp; Gas</c:v>
                </c:pt>
                <c:pt idx="1">
                  <c:v>Manufacturing</c:v>
                </c:pt>
                <c:pt idx="2">
                  <c:v>Telecommunications</c:v>
                </c:pt>
                <c:pt idx="3">
                  <c:v>Retail &amp; Trade</c:v>
                </c:pt>
                <c:pt idx="4">
                  <c:v>Financial Services</c:v>
                </c:pt>
                <c:pt idx="5">
                  <c:v>Total</c:v>
                </c:pt>
              </c:strCache>
            </c:strRef>
          </c:cat>
          <c:val>
            <c:numRef>
              <c:f>Sheet2!$E$2:$E$7</c:f>
              <c:numCache>
                <c:formatCode>General</c:formatCode>
                <c:ptCount val="6"/>
                <c:pt idx="0">
                  <c:v>15</c:v>
                </c:pt>
                <c:pt idx="1">
                  <c:v>23</c:v>
                </c:pt>
                <c:pt idx="2">
                  <c:v>26</c:v>
                </c:pt>
                <c:pt idx="3">
                  <c:v>30</c:v>
                </c:pt>
                <c:pt idx="4">
                  <c:v>17.5</c:v>
                </c:pt>
                <c:pt idx="5">
                  <c:v>22</c:v>
                </c:pt>
              </c:numCache>
            </c:numRef>
          </c:val>
          <c:extLst>
            <c:ext xmlns:c16="http://schemas.microsoft.com/office/drawing/2014/chart" uri="{C3380CC4-5D6E-409C-BE32-E72D297353CC}">
              <c16:uniqueId val="{00000003-1F18-4A85-B948-12650E27EF4D}"/>
            </c:ext>
          </c:extLst>
        </c:ser>
        <c:dLbls>
          <c:showLegendKey val="0"/>
          <c:showVal val="0"/>
          <c:showCatName val="0"/>
          <c:showSerName val="0"/>
          <c:showPercent val="0"/>
          <c:showBubbleSize val="0"/>
        </c:dLbls>
        <c:gapWidth val="150"/>
        <c:overlap val="100"/>
        <c:axId val="1201213952"/>
        <c:axId val="1201214432"/>
      </c:barChart>
      <c:catAx>
        <c:axId val="1201213952"/>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201214432"/>
        <c:crosses val="autoZero"/>
        <c:auto val="1"/>
        <c:lblAlgn val="ctr"/>
        <c:lblOffset val="100"/>
        <c:noMultiLvlLbl val="0"/>
      </c:catAx>
      <c:valAx>
        <c:axId val="1201214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201213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sz="1400" b="1" i="0" u="none" strike="noStrike" cap="none" baseline="0"/>
              <a:t>Sensitivity Analysis</a:t>
            </a:r>
            <a:endParaRPr lang="en-US"/>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lineChart>
        <c:grouping val="standard"/>
        <c:varyColors val="0"/>
        <c:ser>
          <c:idx val="0"/>
          <c:order val="0"/>
          <c:tx>
            <c:strRef>
              <c:f>Sheet3!$B$1</c:f>
              <c:strCache>
                <c:ptCount val="1"/>
                <c:pt idx="0">
                  <c:v>α (Compliance Response)</c:v>
                </c:pt>
              </c:strCache>
            </c:strRef>
          </c:tx>
          <c:spPr>
            <a:ln w="22225" cap="rnd">
              <a:solidFill>
                <a:schemeClr val="accent1"/>
              </a:solidFill>
            </a:ln>
            <a:effectLst>
              <a:glow rad="139700">
                <a:schemeClr val="accent1">
                  <a:satMod val="175000"/>
                  <a:alpha val="14000"/>
                </a:schemeClr>
              </a:glow>
            </a:effectLst>
          </c:spPr>
          <c:marker>
            <c:symbol val="none"/>
          </c:marker>
          <c:cat>
            <c:strRef>
              <c:f>Sheet3!$A$2:$A$6</c:f>
              <c:strCache>
                <c:ptCount val="5"/>
                <c:pt idx="0">
                  <c:v>Baseline</c:v>
                </c:pt>
                <c:pt idx="1">
                  <c:v>Higher Response</c:v>
                </c:pt>
                <c:pt idx="2">
                  <c:v>Lower Response</c:v>
                </c:pt>
                <c:pt idx="3">
                  <c:v>Higher Fixed Cost</c:v>
                </c:pt>
                <c:pt idx="4">
                  <c:v>Lower Fixed Cost</c:v>
                </c:pt>
              </c:strCache>
            </c:strRef>
          </c:cat>
          <c:val>
            <c:numRef>
              <c:f>Sheet3!$B$2:$B$6</c:f>
              <c:numCache>
                <c:formatCode>General</c:formatCode>
                <c:ptCount val="5"/>
                <c:pt idx="0">
                  <c:v>0.25</c:v>
                </c:pt>
                <c:pt idx="1">
                  <c:v>0.4</c:v>
                </c:pt>
                <c:pt idx="2">
                  <c:v>0.1</c:v>
                </c:pt>
                <c:pt idx="3">
                  <c:v>0.25</c:v>
                </c:pt>
                <c:pt idx="4">
                  <c:v>0.25</c:v>
                </c:pt>
              </c:numCache>
            </c:numRef>
          </c:val>
          <c:smooth val="0"/>
          <c:extLst>
            <c:ext xmlns:c16="http://schemas.microsoft.com/office/drawing/2014/chart" uri="{C3380CC4-5D6E-409C-BE32-E72D297353CC}">
              <c16:uniqueId val="{00000000-D6A6-455E-BF31-9AAC14974A35}"/>
            </c:ext>
          </c:extLst>
        </c:ser>
        <c:ser>
          <c:idx val="1"/>
          <c:order val="1"/>
          <c:tx>
            <c:strRef>
              <c:f>Sheet3!$C$1</c:f>
              <c:strCache>
                <c:ptCount val="1"/>
                <c:pt idx="0">
                  <c:v>Fixed Cost (₦ billion)</c:v>
                </c:pt>
              </c:strCache>
            </c:strRef>
          </c:tx>
          <c:spPr>
            <a:ln w="22225" cap="rnd">
              <a:solidFill>
                <a:schemeClr val="accent2"/>
              </a:solidFill>
            </a:ln>
            <a:effectLst>
              <a:glow rad="139700">
                <a:schemeClr val="accent2">
                  <a:satMod val="175000"/>
                  <a:alpha val="14000"/>
                </a:schemeClr>
              </a:glow>
            </a:effectLst>
          </c:spPr>
          <c:marker>
            <c:symbol val="none"/>
          </c:marker>
          <c:cat>
            <c:strRef>
              <c:f>Sheet3!$A$2:$A$6</c:f>
              <c:strCache>
                <c:ptCount val="5"/>
                <c:pt idx="0">
                  <c:v>Baseline</c:v>
                </c:pt>
                <c:pt idx="1">
                  <c:v>Higher Response</c:v>
                </c:pt>
                <c:pt idx="2">
                  <c:v>Lower Response</c:v>
                </c:pt>
                <c:pt idx="3">
                  <c:v>Higher Fixed Cost</c:v>
                </c:pt>
                <c:pt idx="4">
                  <c:v>Lower Fixed Cost</c:v>
                </c:pt>
              </c:strCache>
            </c:strRef>
          </c:cat>
          <c:val>
            <c:numRef>
              <c:f>Sheet3!$C$2:$C$6</c:f>
              <c:numCache>
                <c:formatCode>General</c:formatCode>
                <c:ptCount val="5"/>
                <c:pt idx="0">
                  <c:v>20</c:v>
                </c:pt>
                <c:pt idx="1">
                  <c:v>20</c:v>
                </c:pt>
                <c:pt idx="2">
                  <c:v>20</c:v>
                </c:pt>
                <c:pt idx="3">
                  <c:v>40</c:v>
                </c:pt>
                <c:pt idx="4">
                  <c:v>10</c:v>
                </c:pt>
              </c:numCache>
            </c:numRef>
          </c:val>
          <c:smooth val="0"/>
          <c:extLst>
            <c:ext xmlns:c16="http://schemas.microsoft.com/office/drawing/2014/chart" uri="{C3380CC4-5D6E-409C-BE32-E72D297353CC}">
              <c16:uniqueId val="{00000001-D6A6-455E-BF31-9AAC14974A35}"/>
            </c:ext>
          </c:extLst>
        </c:ser>
        <c:ser>
          <c:idx val="2"/>
          <c:order val="2"/>
          <c:tx>
            <c:strRef>
              <c:f>Sheet3!$D$1</c:f>
              <c:strCache>
                <c:ptCount val="1"/>
                <c:pt idx="0">
                  <c:v>Incremental Revenue (₦ billion)</c:v>
                </c:pt>
              </c:strCache>
            </c:strRef>
          </c:tx>
          <c:spPr>
            <a:ln w="22225" cap="rnd">
              <a:solidFill>
                <a:schemeClr val="accent3"/>
              </a:solidFill>
            </a:ln>
            <a:effectLst>
              <a:glow rad="139700">
                <a:schemeClr val="accent3">
                  <a:satMod val="175000"/>
                  <a:alpha val="14000"/>
                </a:schemeClr>
              </a:glow>
            </a:effectLst>
          </c:spPr>
          <c:marker>
            <c:symbol val="none"/>
          </c:marker>
          <c:cat>
            <c:strRef>
              <c:f>Sheet3!$A$2:$A$6</c:f>
              <c:strCache>
                <c:ptCount val="5"/>
                <c:pt idx="0">
                  <c:v>Baseline</c:v>
                </c:pt>
                <c:pt idx="1">
                  <c:v>Higher Response</c:v>
                </c:pt>
                <c:pt idx="2">
                  <c:v>Lower Response</c:v>
                </c:pt>
                <c:pt idx="3">
                  <c:v>Higher Fixed Cost</c:v>
                </c:pt>
                <c:pt idx="4">
                  <c:v>Lower Fixed Cost</c:v>
                </c:pt>
              </c:strCache>
            </c:strRef>
          </c:cat>
          <c:val>
            <c:numRef>
              <c:f>Sheet3!$D$2:$D$6</c:f>
              <c:numCache>
                <c:formatCode>General</c:formatCode>
                <c:ptCount val="5"/>
                <c:pt idx="0">
                  <c:v>530</c:v>
                </c:pt>
                <c:pt idx="1">
                  <c:v>650</c:v>
                </c:pt>
                <c:pt idx="2">
                  <c:v>250</c:v>
                </c:pt>
                <c:pt idx="3">
                  <c:v>530</c:v>
                </c:pt>
                <c:pt idx="4">
                  <c:v>530</c:v>
                </c:pt>
              </c:numCache>
            </c:numRef>
          </c:val>
          <c:smooth val="0"/>
          <c:extLst>
            <c:ext xmlns:c16="http://schemas.microsoft.com/office/drawing/2014/chart" uri="{C3380CC4-5D6E-409C-BE32-E72D297353CC}">
              <c16:uniqueId val="{00000002-D6A6-455E-BF31-9AAC14974A35}"/>
            </c:ext>
          </c:extLst>
        </c:ser>
        <c:ser>
          <c:idx val="3"/>
          <c:order val="3"/>
          <c:tx>
            <c:strRef>
              <c:f>Sheet3!$E$1</c:f>
              <c:strCache>
                <c:ptCount val="1"/>
                <c:pt idx="0">
                  <c:v>Net Benefit (₦ billion)</c:v>
                </c:pt>
              </c:strCache>
            </c:strRef>
          </c:tx>
          <c:spPr>
            <a:ln w="22225" cap="rnd">
              <a:solidFill>
                <a:schemeClr val="accent4"/>
              </a:solidFill>
            </a:ln>
            <a:effectLst>
              <a:glow rad="139700">
                <a:schemeClr val="accent4">
                  <a:satMod val="175000"/>
                  <a:alpha val="14000"/>
                </a:schemeClr>
              </a:glow>
            </a:effectLst>
          </c:spPr>
          <c:marker>
            <c:symbol val="none"/>
          </c:marker>
          <c:cat>
            <c:strRef>
              <c:f>Sheet3!$A$2:$A$6</c:f>
              <c:strCache>
                <c:ptCount val="5"/>
                <c:pt idx="0">
                  <c:v>Baseline</c:v>
                </c:pt>
                <c:pt idx="1">
                  <c:v>Higher Response</c:v>
                </c:pt>
                <c:pt idx="2">
                  <c:v>Lower Response</c:v>
                </c:pt>
                <c:pt idx="3">
                  <c:v>Higher Fixed Cost</c:v>
                </c:pt>
                <c:pt idx="4">
                  <c:v>Lower Fixed Cost</c:v>
                </c:pt>
              </c:strCache>
            </c:strRef>
          </c:cat>
          <c:val>
            <c:numRef>
              <c:f>Sheet3!$E$2:$E$6</c:f>
              <c:numCache>
                <c:formatCode>General</c:formatCode>
                <c:ptCount val="5"/>
                <c:pt idx="0">
                  <c:v>490</c:v>
                </c:pt>
                <c:pt idx="1">
                  <c:v>610</c:v>
                </c:pt>
                <c:pt idx="2">
                  <c:v>210</c:v>
                </c:pt>
                <c:pt idx="3">
                  <c:v>470</c:v>
                </c:pt>
                <c:pt idx="4">
                  <c:v>500</c:v>
                </c:pt>
              </c:numCache>
            </c:numRef>
          </c:val>
          <c:smooth val="0"/>
          <c:extLst>
            <c:ext xmlns:c16="http://schemas.microsoft.com/office/drawing/2014/chart" uri="{C3380CC4-5D6E-409C-BE32-E72D297353CC}">
              <c16:uniqueId val="{00000003-D6A6-455E-BF31-9AAC14974A35}"/>
            </c:ext>
          </c:extLst>
        </c:ser>
        <c:ser>
          <c:idx val="4"/>
          <c:order val="4"/>
          <c:tx>
            <c:strRef>
              <c:f>Sheet3!$F$1</c:f>
              <c:strCache>
                <c:ptCount val="1"/>
                <c:pt idx="0">
                  <c:v>ROI</c:v>
                </c:pt>
              </c:strCache>
            </c:strRef>
          </c:tx>
          <c:spPr>
            <a:ln w="22225" cap="rnd">
              <a:solidFill>
                <a:schemeClr val="accent5"/>
              </a:solidFill>
            </a:ln>
            <a:effectLst>
              <a:glow rad="139700">
                <a:schemeClr val="accent5">
                  <a:satMod val="175000"/>
                  <a:alpha val="14000"/>
                </a:schemeClr>
              </a:glow>
            </a:effectLst>
          </c:spPr>
          <c:marker>
            <c:symbol val="none"/>
          </c:marker>
          <c:cat>
            <c:strRef>
              <c:f>Sheet3!$A$2:$A$6</c:f>
              <c:strCache>
                <c:ptCount val="5"/>
                <c:pt idx="0">
                  <c:v>Baseline</c:v>
                </c:pt>
                <c:pt idx="1">
                  <c:v>Higher Response</c:v>
                </c:pt>
                <c:pt idx="2">
                  <c:v>Lower Response</c:v>
                </c:pt>
                <c:pt idx="3">
                  <c:v>Higher Fixed Cost</c:v>
                </c:pt>
                <c:pt idx="4">
                  <c:v>Lower Fixed Cost</c:v>
                </c:pt>
              </c:strCache>
            </c:strRef>
          </c:cat>
          <c:val>
            <c:numRef>
              <c:f>Sheet3!$F$2:$F$6</c:f>
              <c:numCache>
                <c:formatCode>General</c:formatCode>
                <c:ptCount val="5"/>
                <c:pt idx="0">
                  <c:v>13.3</c:v>
                </c:pt>
                <c:pt idx="1">
                  <c:v>16.3</c:v>
                </c:pt>
                <c:pt idx="2">
                  <c:v>6.3</c:v>
                </c:pt>
                <c:pt idx="3">
                  <c:v>8.8000000000000007</c:v>
                </c:pt>
                <c:pt idx="4">
                  <c:v>17.7</c:v>
                </c:pt>
              </c:numCache>
            </c:numRef>
          </c:val>
          <c:smooth val="0"/>
          <c:extLst>
            <c:ext xmlns:c16="http://schemas.microsoft.com/office/drawing/2014/chart" uri="{C3380CC4-5D6E-409C-BE32-E72D297353CC}">
              <c16:uniqueId val="{00000004-D6A6-455E-BF31-9AAC14974A35}"/>
            </c:ext>
          </c:extLst>
        </c:ser>
        <c:dLbls>
          <c:showLegendKey val="0"/>
          <c:showVal val="0"/>
          <c:showCatName val="0"/>
          <c:showSerName val="0"/>
          <c:showPercent val="0"/>
          <c:showBubbleSize val="0"/>
        </c:dLbls>
        <c:smooth val="0"/>
        <c:axId val="1507540336"/>
        <c:axId val="1507532176"/>
      </c:lineChart>
      <c:catAx>
        <c:axId val="15075403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507532176"/>
        <c:crosses val="autoZero"/>
        <c:auto val="1"/>
        <c:lblAlgn val="ctr"/>
        <c:lblOffset val="100"/>
        <c:noMultiLvlLbl val="0"/>
      </c:catAx>
      <c:valAx>
        <c:axId val="1507532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507540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5">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3"/>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dk1">
            <a:lumMod val="65000"/>
            <a:lumOff val="35000"/>
            <a:alpha val="75000"/>
          </a:schemeClr>
        </a:solidFill>
        <a:round/>
      </a:ln>
    </cs:spPr>
  </cs:gridlineMajor>
  <cs:gridlineMinor>
    <cs:lnRef idx="0"/>
    <cs:fillRef idx="0"/>
    <cs:effectRef idx="0"/>
    <cs:fontRef idx="minor">
      <a:schemeClr val="tx1"/>
    </cs:fontRef>
    <cs:spPr>
      <a:ln w="9525" cap="flat" cmpd="sng" algn="ctr">
        <a:solidFill>
          <a:schemeClr val="dk1">
            <a:lumMod val="65000"/>
            <a:lumOff val="35000"/>
            <a:alpha val="25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spPr>
      <a:ln w="9525" cap="flat" cmpd="sng" algn="ctr">
        <a:solidFill>
          <a:schemeClr val="lt1">
            <a:lumMod val="50000"/>
          </a:schemeClr>
        </a:solidFill>
        <a:round/>
      </a:ln>
    </cs:spPr>
    <cs:defRPr sz="900" kern="1200"/>
    <cs:bodyPr/>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ED47F-053D-4831-AC06-2C77FABF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5782</Words>
  <Characters>32960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6</cp:revision>
  <dcterms:created xsi:type="dcterms:W3CDTF">2025-10-13T16:36:00Z</dcterms:created>
  <dcterms:modified xsi:type="dcterms:W3CDTF">2025-10-14T12:44:00Z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2ac5c2ef-c4cc-4338-af8c-e51d73a91c4c</vt:lpwstr>
  </property>
</Properties>
</file>