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E58FFA" w14:textId="5F96A5D9" w:rsidR="004A581E" w:rsidRDefault="0011606B" w:rsidP="001807C1">
      <w:pPr>
        <w:spacing w:after="160" w:line="259" w:lineRule="auto"/>
        <w:jc w:val="both"/>
        <w:rPr>
          <w:rFonts w:ascii="Arial" w:hAnsi="Arial" w:cs="Arial"/>
          <w:bCs/>
          <w:iCs/>
          <w:kern w:val="28"/>
          <w:sz w:val="36"/>
        </w:rPr>
      </w:pPr>
      <w:r w:rsidRPr="0011606B">
        <w:rPr>
          <w:rFonts w:ascii="Arial" w:hAnsi="Arial" w:cs="Arial"/>
          <w:bCs/>
          <w:iCs/>
          <w:kern w:val="28"/>
          <w:sz w:val="36"/>
        </w:rPr>
        <w:t>Case study</w:t>
      </w:r>
    </w:p>
    <w:p w14:paraId="0DDBD6AE" w14:textId="77777777" w:rsidR="004A581E" w:rsidRDefault="004A581E" w:rsidP="001807C1">
      <w:pPr>
        <w:spacing w:after="160" w:line="259" w:lineRule="auto"/>
        <w:jc w:val="both"/>
        <w:rPr>
          <w:rFonts w:ascii="Arial" w:hAnsi="Arial" w:cs="Arial"/>
          <w:bCs/>
          <w:iCs/>
          <w:kern w:val="28"/>
          <w:sz w:val="36"/>
        </w:rPr>
      </w:pPr>
    </w:p>
    <w:p w14:paraId="6DECF99B" w14:textId="1DD448D5" w:rsidR="00C7155D" w:rsidRDefault="009C1C52" w:rsidP="001807C1">
      <w:pPr>
        <w:spacing w:after="160" w:line="259" w:lineRule="auto"/>
        <w:jc w:val="both"/>
        <w:rPr>
          <w:rFonts w:ascii="Arial" w:hAnsi="Arial" w:cs="Arial"/>
          <w:bCs/>
          <w:iCs/>
          <w:kern w:val="28"/>
          <w:sz w:val="36"/>
        </w:rPr>
      </w:pPr>
      <w:r w:rsidRPr="00E16339">
        <w:rPr>
          <w:rFonts w:ascii="Arial" w:hAnsi="Arial" w:cs="Arial"/>
          <w:bCs/>
          <w:iCs/>
          <w:kern w:val="28"/>
          <w:sz w:val="36"/>
        </w:rPr>
        <w:t>Mortality and Morbidity in Extremely Preterm Infants: A Retrospective Case Series and Review of the Literature</w:t>
      </w:r>
    </w:p>
    <w:p w14:paraId="079E3F82" w14:textId="77777777" w:rsidR="00154322" w:rsidRPr="00E16339" w:rsidRDefault="00154322" w:rsidP="001807C1">
      <w:pPr>
        <w:spacing w:after="160" w:line="259" w:lineRule="auto"/>
        <w:jc w:val="both"/>
        <w:rPr>
          <w:rFonts w:ascii="Arial" w:hAnsi="Arial" w:cs="Arial"/>
          <w:bCs/>
          <w:iCs/>
          <w:kern w:val="28"/>
          <w:sz w:val="36"/>
        </w:rPr>
      </w:pPr>
    </w:p>
    <w:p w14:paraId="7E09220C" w14:textId="77777777" w:rsidR="002C57D2" w:rsidRPr="00E16339" w:rsidRDefault="002C57D2" w:rsidP="00441B6F">
      <w:pPr>
        <w:pStyle w:val="Affiliation"/>
        <w:spacing w:after="0" w:line="240" w:lineRule="auto"/>
        <w:jc w:val="both"/>
        <w:rPr>
          <w:rFonts w:ascii="Arial" w:hAnsi="Arial" w:cs="Arial"/>
        </w:rPr>
      </w:pPr>
    </w:p>
    <w:p w14:paraId="3F6C1CF9" w14:textId="47BC37DB" w:rsidR="00B01FCD" w:rsidRPr="00E16339" w:rsidRDefault="007A2ED0" w:rsidP="00441B6F">
      <w:pPr>
        <w:pStyle w:val="Copyright"/>
        <w:spacing w:after="0" w:line="240" w:lineRule="auto"/>
        <w:jc w:val="both"/>
        <w:rPr>
          <w:rFonts w:ascii="Arial" w:hAnsi="Arial" w:cs="Arial"/>
        </w:rPr>
        <w:sectPr w:rsidR="00B01FCD" w:rsidRPr="00E16339" w:rsidSect="006D119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E16339">
        <w:rPr>
          <w:rFonts w:ascii="Arial" w:hAnsi="Arial" w:cs="Arial"/>
          <w:noProof/>
          <w:lang w:val="en-IN" w:eastAsia="en-IN"/>
        </w:rPr>
        <mc:AlternateContent>
          <mc:Choice Requires="wps">
            <w:drawing>
              <wp:inline distT="0" distB="0" distL="0" distR="0" wp14:anchorId="2366FAD7" wp14:editId="7BECD534">
                <wp:extent cx="5303520" cy="635"/>
                <wp:effectExtent l="11430" t="10795" r="9525" b="17780"/>
                <wp:docPr id="355544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4AED480"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E16339">
        <w:rPr>
          <w:rFonts w:ascii="Arial" w:hAnsi="Arial" w:cs="Arial"/>
        </w:rPr>
        <w:t>.</w:t>
      </w:r>
    </w:p>
    <w:p w14:paraId="31A0449D" w14:textId="3E8151C8" w:rsidR="00B01FCD" w:rsidRPr="00E16339" w:rsidRDefault="00B01FCD" w:rsidP="00441B6F">
      <w:pPr>
        <w:pStyle w:val="AbstHead"/>
        <w:spacing w:after="0"/>
        <w:jc w:val="both"/>
        <w:rPr>
          <w:rFonts w:ascii="Arial" w:hAnsi="Arial" w:cs="Arial"/>
        </w:rPr>
      </w:pPr>
      <w:r w:rsidRPr="00E16339">
        <w:rPr>
          <w:rFonts w:ascii="Arial" w:hAnsi="Arial" w:cs="Arial"/>
        </w:rPr>
        <w:t>ABSTRACT</w:t>
      </w:r>
      <w:r w:rsidR="0066510A" w:rsidRPr="00E16339">
        <w:rPr>
          <w:rFonts w:ascii="Arial" w:hAnsi="Arial" w:cs="Arial"/>
        </w:rPr>
        <w:t xml:space="preserve"> </w:t>
      </w:r>
    </w:p>
    <w:p w14:paraId="6C7511CD" w14:textId="77777777" w:rsidR="00790ADA" w:rsidRPr="00E16339" w:rsidRDefault="00790ADA" w:rsidP="007A19D0">
      <w:pPr>
        <w:pStyle w:val="AbstHead"/>
        <w:spacing w:after="0"/>
        <w:jc w:val="both"/>
        <w:rPr>
          <w:b w:val="0"/>
          <w:caps w:val="0"/>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E16339" w14:paraId="710BDB2B" w14:textId="77777777" w:rsidTr="00CC440B">
        <w:tc>
          <w:tcPr>
            <w:tcW w:w="9576" w:type="dxa"/>
            <w:shd w:val="clear" w:color="auto" w:fill="F2F2F2"/>
          </w:tcPr>
          <w:p w14:paraId="136C34DB" w14:textId="7F2148BD" w:rsidR="007C00D0" w:rsidRPr="00E16339" w:rsidRDefault="007C00D0" w:rsidP="007C00D0">
            <w:pPr>
              <w:spacing w:after="160" w:line="259" w:lineRule="auto"/>
              <w:rPr>
                <w:rFonts w:ascii="Arial" w:hAnsi="Arial" w:cs="Arial"/>
              </w:rPr>
            </w:pPr>
            <w:r w:rsidRPr="00E16339">
              <w:rPr>
                <w:rFonts w:ascii="Arial" w:hAnsi="Arial" w:cs="Arial"/>
                <w:b/>
                <w:bCs/>
              </w:rPr>
              <w:t>Aims:</w:t>
            </w:r>
            <w:r w:rsidRPr="00E16339">
              <w:rPr>
                <w:rFonts w:ascii="Arial" w:hAnsi="Arial" w:cs="Arial"/>
              </w:rPr>
              <w:t xml:space="preserve"> To describe neonatal mortality and morbidity among extremely preterm infants admitted to the Mohammed V Military Teaching Hospital (HMIMV), Rabat, Morocco, through a retrospective case series, and to contextualize findings with published international literature.</w:t>
            </w:r>
            <w:r w:rsidRPr="00E16339">
              <w:rPr>
                <w:rFonts w:ascii="Arial" w:hAnsi="Arial" w:cs="Arial"/>
              </w:rPr>
              <w:br/>
            </w:r>
            <w:r w:rsidRPr="00E16339">
              <w:rPr>
                <w:rFonts w:ascii="Arial" w:hAnsi="Arial" w:cs="Arial"/>
                <w:b/>
                <w:bCs/>
              </w:rPr>
              <w:t>Study Design:</w:t>
            </w:r>
            <w:r w:rsidRPr="00E16339">
              <w:rPr>
                <w:rFonts w:ascii="Arial" w:hAnsi="Arial" w:cs="Arial"/>
              </w:rPr>
              <w:t xml:space="preserve"> Retrospective case series and literature review.</w:t>
            </w:r>
            <w:r w:rsidRPr="00E16339">
              <w:rPr>
                <w:rFonts w:ascii="Arial" w:hAnsi="Arial" w:cs="Arial"/>
              </w:rPr>
              <w:br/>
            </w:r>
            <w:r w:rsidRPr="00E16339">
              <w:rPr>
                <w:rFonts w:ascii="Arial" w:hAnsi="Arial" w:cs="Arial"/>
                <w:b/>
                <w:bCs/>
              </w:rPr>
              <w:t xml:space="preserve">Place and Duration of Study: </w:t>
            </w:r>
            <w:r w:rsidRPr="00E16339">
              <w:rPr>
                <w:rFonts w:ascii="Arial" w:hAnsi="Arial" w:cs="Arial"/>
              </w:rPr>
              <w:t>Neonatology Department, HMIMV, Rabat, Morocco, 2019–2025.</w:t>
            </w:r>
            <w:r w:rsidRPr="00E16339">
              <w:rPr>
                <w:rFonts w:ascii="Arial" w:hAnsi="Arial" w:cs="Arial"/>
              </w:rPr>
              <w:br/>
            </w:r>
            <w:r w:rsidRPr="00E16339">
              <w:rPr>
                <w:rFonts w:ascii="Arial" w:hAnsi="Arial" w:cs="Arial"/>
                <w:b/>
                <w:bCs/>
              </w:rPr>
              <w:t>Methodology:</w:t>
            </w:r>
            <w:r w:rsidRPr="00E16339">
              <w:rPr>
                <w:rFonts w:ascii="Arial" w:hAnsi="Arial" w:cs="Arial"/>
              </w:rPr>
              <w:t xml:space="preserve"> We retrospectively reviewed 14 cases of neonatal deaths among preterm infants. Data collected included gestational age, birth weight, maternal characteristics, cause of preterm birth, complications, and age at death. Maternal variables included age, obstetric history, history of prematurity, medical complications such as hypertension or preeclampsia, and mode of delivery. Neonatal variables included gestational age, birth weight, Apgar score, complications (respiratory distress syndrome, sepsis, necrotizing enterocolitis, intraventricular hemorrhage, congenital anomalies, and metabolic disorders), and timing of death. Cases were analyzed descriptively. Findings were compared with published cohorts from Ethiopia, Tunisia, Ghana, Trinidad and Tobago, and high-income countries to highlight similarities and differences. Ethical approval was waived due to the retrospective and anonymized nature of the study.</w:t>
            </w:r>
            <w:r w:rsidRPr="00E16339">
              <w:rPr>
                <w:rFonts w:ascii="Arial" w:hAnsi="Arial" w:cs="Arial"/>
              </w:rPr>
              <w:br/>
            </w:r>
            <w:r w:rsidRPr="00E16339">
              <w:rPr>
                <w:rFonts w:ascii="Arial" w:hAnsi="Arial" w:cs="Arial"/>
                <w:b/>
                <w:bCs/>
              </w:rPr>
              <w:t>Results:</w:t>
            </w:r>
            <w:r w:rsidRPr="00E16339">
              <w:rPr>
                <w:rFonts w:ascii="Arial" w:hAnsi="Arial" w:cs="Arial"/>
              </w:rPr>
              <w:t xml:space="preserve"> Among 14 preterm neonates, respiratory distress (57%), infections (42%), and congenital anomalies (21%) were the main causes of death. Most deaths occurred within the first week of life, while late neonatal deaths were mainly associated with nosocomial infections and necrotizing enterocolitis. Advanced maternal age (≥35 years) was associated with lower gestational ages at birth. Graphical analysis confirmed the etiological shift from respiratory to infectious causes as gestational maturity increased.</w:t>
            </w:r>
          </w:p>
          <w:p w14:paraId="0AA4D855" w14:textId="03384C95" w:rsidR="007C00D0" w:rsidRPr="00E16339" w:rsidRDefault="007C00D0" w:rsidP="007C00D0">
            <w:pPr>
              <w:spacing w:after="160" w:line="259" w:lineRule="auto"/>
              <w:rPr>
                <w:rFonts w:ascii="Arial" w:hAnsi="Arial" w:cs="Arial"/>
              </w:rPr>
            </w:pPr>
            <w:r w:rsidRPr="00E16339">
              <w:rPr>
                <w:rFonts w:ascii="Arial" w:hAnsi="Arial" w:cs="Arial"/>
                <w:b/>
                <w:bCs/>
              </w:rPr>
              <w:t>Conclusion:</w:t>
            </w:r>
            <w:r w:rsidRPr="00E16339">
              <w:rPr>
                <w:rFonts w:ascii="Arial" w:hAnsi="Arial" w:cs="Arial"/>
              </w:rPr>
              <w:t xml:space="preserve"> Neonatal mortality among extremely preterm infants remains high, especially for very low birth weight neonates. Respiratory distress, infections, and congenital anomalies are the leading causes of death. Expanding access to antenatal corticosteroids, Kangaroo Mother Care, breastfeeding, and infection prevention are crucial to reduce mortality.</w:t>
            </w:r>
          </w:p>
        </w:tc>
      </w:tr>
    </w:tbl>
    <w:p w14:paraId="6EE3EA7C" w14:textId="77777777" w:rsidR="00636EB2" w:rsidRPr="00E16339" w:rsidRDefault="00636EB2" w:rsidP="00441B6F">
      <w:pPr>
        <w:pStyle w:val="Body"/>
        <w:spacing w:after="0"/>
        <w:rPr>
          <w:rFonts w:ascii="Arial" w:hAnsi="Arial" w:cs="Arial"/>
          <w:i/>
        </w:rPr>
      </w:pPr>
    </w:p>
    <w:p w14:paraId="5EBABB92" w14:textId="5F53FA0E" w:rsidR="001F0B3A" w:rsidRPr="00E16339" w:rsidRDefault="00A24E7E" w:rsidP="00253381">
      <w:pPr>
        <w:spacing w:after="160" w:line="259" w:lineRule="auto"/>
        <w:jc w:val="both"/>
        <w:rPr>
          <w:rFonts w:ascii="Arial" w:hAnsi="Arial" w:cs="Arial"/>
          <w:i/>
        </w:rPr>
      </w:pPr>
      <w:r w:rsidRPr="00E16339">
        <w:rPr>
          <w:rFonts w:ascii="Arial" w:hAnsi="Arial" w:cs="Arial"/>
          <w:i/>
        </w:rPr>
        <w:lastRenderedPageBreak/>
        <w:t xml:space="preserve">Keywords: </w:t>
      </w:r>
      <w:r w:rsidR="007A19D0" w:rsidRPr="00E16339">
        <w:rPr>
          <w:rFonts w:ascii="Arial" w:hAnsi="Arial" w:cs="Arial"/>
          <w:i/>
        </w:rPr>
        <w:t>Neonatal mortality, preterm birth, very low birth weight, respiratory distress syndrome, sepsis, congenital anomalies, Kangaroo Mother Care, case series, literature review.</w:t>
      </w:r>
    </w:p>
    <w:p w14:paraId="38A77AED" w14:textId="3CBAC9A6" w:rsidR="00A24E7E" w:rsidRPr="00E16339" w:rsidRDefault="00A24E7E" w:rsidP="00F460D0">
      <w:pPr>
        <w:pStyle w:val="Body"/>
        <w:spacing w:after="0"/>
        <w:rPr>
          <w:rFonts w:ascii="Arial" w:hAnsi="Arial" w:cs="Arial"/>
          <w:i/>
        </w:rPr>
      </w:pPr>
    </w:p>
    <w:p w14:paraId="10B807FE" w14:textId="77777777" w:rsidR="0024282C" w:rsidRPr="00E16339" w:rsidRDefault="0024282C" w:rsidP="00441B6F">
      <w:pPr>
        <w:pStyle w:val="Body"/>
        <w:spacing w:after="0"/>
        <w:rPr>
          <w:rFonts w:ascii="Arial" w:hAnsi="Arial" w:cs="Arial"/>
          <w:i/>
          <w:sz w:val="18"/>
        </w:rPr>
      </w:pPr>
    </w:p>
    <w:p w14:paraId="7F175604" w14:textId="77777777" w:rsidR="00505F06" w:rsidRPr="00E16339" w:rsidRDefault="00505F06" w:rsidP="00441B6F">
      <w:pPr>
        <w:pStyle w:val="Body"/>
        <w:spacing w:after="0"/>
        <w:rPr>
          <w:rFonts w:ascii="Arial" w:hAnsi="Arial" w:cs="Arial"/>
          <w:i/>
        </w:rPr>
      </w:pPr>
    </w:p>
    <w:p w14:paraId="7B3EA54D" w14:textId="56361C41" w:rsidR="00253381" w:rsidRPr="00E16339" w:rsidRDefault="00902823" w:rsidP="00CC440B">
      <w:pPr>
        <w:pStyle w:val="AbstHead"/>
        <w:spacing w:after="0"/>
        <w:jc w:val="both"/>
        <w:rPr>
          <w:rFonts w:ascii="Arial" w:hAnsi="Arial" w:cs="Arial"/>
        </w:rPr>
      </w:pPr>
      <w:r w:rsidRPr="00E16339">
        <w:rPr>
          <w:rFonts w:ascii="Arial" w:hAnsi="Arial" w:cs="Arial"/>
        </w:rPr>
        <w:t xml:space="preserve">1. </w:t>
      </w:r>
      <w:r w:rsidR="00B01FCD" w:rsidRPr="00E16339">
        <w:rPr>
          <w:rFonts w:ascii="Arial" w:hAnsi="Arial" w:cs="Arial"/>
        </w:rPr>
        <w:t>INTRODUCTION</w:t>
      </w:r>
      <w:r w:rsidR="007F7B32" w:rsidRPr="00E16339">
        <w:rPr>
          <w:rFonts w:ascii="Arial" w:hAnsi="Arial" w:cs="Arial"/>
        </w:rPr>
        <w:t xml:space="preserve"> </w:t>
      </w:r>
    </w:p>
    <w:p w14:paraId="22031E7B" w14:textId="671416BA" w:rsidR="007C00D0" w:rsidRPr="00E16339" w:rsidRDefault="007C00D0" w:rsidP="007C00D0">
      <w:pPr>
        <w:spacing w:after="160" w:line="259" w:lineRule="auto"/>
        <w:jc w:val="both"/>
        <w:rPr>
          <w:rFonts w:ascii="Arial" w:hAnsi="Arial" w:cs="Arial"/>
        </w:rPr>
      </w:pPr>
      <w:r w:rsidRPr="00E16339">
        <w:rPr>
          <w:rFonts w:ascii="Arial" w:hAnsi="Arial" w:cs="Arial"/>
        </w:rPr>
        <w:br/>
        <w:t>Neonatal mortality in preterm infants remains a major global health challenge, accounting for nearly one million deaths each year [1]. Preterm birth, defined as delivery before 37 weeks of gestation, affects about 13 million infants annually, with extremely preterm and very low birth weight neonates carrying the highest risk [2,3]. Prognosis is closely related to gestational age and birth weight, with survival exceeding 80% at 25 weeks in high-income countries but remaining below 40% in many low- and middle-income settings [4,5].</w:t>
      </w:r>
    </w:p>
    <w:p w14:paraId="6CB51FAF" w14:textId="77777777" w:rsidR="007C00D0" w:rsidRPr="00E16339" w:rsidRDefault="007C00D0" w:rsidP="007C00D0">
      <w:pPr>
        <w:spacing w:after="160" w:line="259" w:lineRule="auto"/>
        <w:jc w:val="both"/>
        <w:rPr>
          <w:rFonts w:ascii="Arial" w:hAnsi="Arial" w:cs="Arial"/>
        </w:rPr>
      </w:pPr>
      <w:r w:rsidRPr="00E16339">
        <w:rPr>
          <w:rFonts w:ascii="Arial" w:hAnsi="Arial" w:cs="Arial"/>
        </w:rPr>
        <w:t>The leading causes of death include respiratory distress syndrome, sepsis, necrotizing enterocolitis, intraventricular hemorrhage, and congenital anomalies [6–8]. Despite advances in neonatal intensive care, wide disparities persist. Interventions such as antenatal corticosteroids, Kangaroo Mother Care, early breastfeeding, and infection prevention have proven effective [9–11].</w:t>
      </w:r>
    </w:p>
    <w:p w14:paraId="7B8D75F4" w14:textId="77777777" w:rsidR="007C00D0" w:rsidRPr="00E16339" w:rsidRDefault="007C00D0" w:rsidP="007C00D0">
      <w:pPr>
        <w:spacing w:after="160" w:line="259" w:lineRule="auto"/>
        <w:jc w:val="both"/>
        <w:rPr>
          <w:rFonts w:ascii="Arial" w:hAnsi="Arial" w:cs="Arial"/>
        </w:rPr>
      </w:pPr>
      <w:r w:rsidRPr="00E16339">
        <w:rPr>
          <w:rFonts w:ascii="Arial" w:hAnsi="Arial" w:cs="Arial"/>
        </w:rPr>
        <w:t>This study reports a 14-case series of neonatal deaths among preterm infants admitted to a tertiary hospital in Morocco and discusses the findings in light of current literature [12–15].</w:t>
      </w:r>
    </w:p>
    <w:p w14:paraId="714696C5" w14:textId="77777777" w:rsidR="001F0B3A" w:rsidRPr="00E16339" w:rsidRDefault="001F0B3A" w:rsidP="0010059A">
      <w:pPr>
        <w:pStyle w:val="Body"/>
        <w:spacing w:after="0"/>
        <w:rPr>
          <w:rFonts w:ascii="Arial" w:hAnsi="Arial" w:cs="Arial"/>
        </w:rPr>
      </w:pPr>
    </w:p>
    <w:p w14:paraId="18535F5A" w14:textId="77777777" w:rsidR="00790ADA" w:rsidRPr="00E16339" w:rsidRDefault="00790ADA" w:rsidP="00441B6F">
      <w:pPr>
        <w:pStyle w:val="Body"/>
        <w:spacing w:after="0"/>
        <w:rPr>
          <w:rFonts w:ascii="Arial" w:hAnsi="Arial" w:cs="Arial"/>
        </w:rPr>
      </w:pPr>
    </w:p>
    <w:p w14:paraId="517DAB9A" w14:textId="088E725A" w:rsidR="007F7B32" w:rsidRPr="00E16339" w:rsidRDefault="00902823" w:rsidP="00441B6F">
      <w:pPr>
        <w:pStyle w:val="AbstHead"/>
        <w:spacing w:after="0"/>
        <w:jc w:val="both"/>
        <w:rPr>
          <w:rFonts w:ascii="Arial" w:hAnsi="Arial" w:cs="Arial"/>
        </w:rPr>
      </w:pPr>
      <w:r w:rsidRPr="00E16339">
        <w:t>2. MATERIAL AND METHODS</w:t>
      </w:r>
    </w:p>
    <w:p w14:paraId="5BEC058D" w14:textId="5C261C00" w:rsidR="007C00D0" w:rsidRPr="00E16339" w:rsidRDefault="007C00D0" w:rsidP="007C00D0">
      <w:pPr>
        <w:spacing w:after="160" w:line="259" w:lineRule="auto"/>
        <w:jc w:val="both"/>
        <w:rPr>
          <w:rFonts w:ascii="Arial" w:hAnsi="Arial" w:cs="Arial"/>
        </w:rPr>
      </w:pPr>
      <w:r w:rsidRPr="00E16339">
        <w:rPr>
          <w:rFonts w:ascii="Arial" w:hAnsi="Arial" w:cs="Arial"/>
        </w:rPr>
        <w:br/>
        <w:t>This was a retrospective descriptive study conducted at the Neonatology Department of HMIMV, Rabat, Morocco, between January 2019 and March 2025. Fourteen cases of neonatal deaths among preterm infants were identified from hospital records.</w:t>
      </w:r>
    </w:p>
    <w:p w14:paraId="089DD069" w14:textId="77777777" w:rsidR="007C00D0" w:rsidRPr="00E16339" w:rsidRDefault="007C00D0" w:rsidP="007C00D0">
      <w:pPr>
        <w:spacing w:after="160" w:line="259" w:lineRule="auto"/>
        <w:jc w:val="both"/>
        <w:rPr>
          <w:rFonts w:ascii="Arial" w:hAnsi="Arial" w:cs="Arial"/>
        </w:rPr>
      </w:pPr>
      <w:r w:rsidRPr="00E16339">
        <w:rPr>
          <w:rFonts w:ascii="Arial" w:hAnsi="Arial" w:cs="Arial"/>
        </w:rPr>
        <w:t>For each case, maternal and neonatal data were collected, including maternal age, parity, history of abortions, prior preterm birth, preeclampsia, hypertension, and infections. Mode of delivery (vaginal vs cesarean) and indication were recorded. Neonatal data included gestational age (weeks of amenorrhea), birth weight, anthropometric measures, and Apgar scores at 1 and 5 minutes. Neonatal complications considered were respiratory distress syndrome (RDS), sepsis, necrotizing enterocolitis (NEC), intraventricular hemorrhage (IVH), congenital anomalies, and metabolic disorders. Timing of death was categorized as early (&lt;7 days) vs late (≥7 days).</w:t>
      </w:r>
    </w:p>
    <w:p w14:paraId="2F1386A3" w14:textId="5C723AD4" w:rsidR="00CC440B" w:rsidRPr="00E16339" w:rsidRDefault="007C00D0" w:rsidP="007C00D0">
      <w:pPr>
        <w:spacing w:after="160" w:line="259" w:lineRule="auto"/>
        <w:jc w:val="both"/>
        <w:rPr>
          <w:rFonts w:ascii="Arial" w:hAnsi="Arial" w:cs="Arial"/>
        </w:rPr>
      </w:pPr>
      <w:r w:rsidRPr="00E16339">
        <w:rPr>
          <w:rFonts w:ascii="Arial" w:hAnsi="Arial" w:cs="Arial"/>
        </w:rPr>
        <w:t>The study focused on both descriptive and analytical analyses. Results were compared with published series from Ethiopia, Tunisia, Ghana, Trinidad and Tobago, and high-income countries to highlight similarities and differences in mortality patterns and risk factors. Ethical approval was waived by the local institutional review board due to the retrospective and anonymized nature of the data.</w:t>
      </w:r>
    </w:p>
    <w:p w14:paraId="6E3F7290" w14:textId="77777777" w:rsidR="00253381" w:rsidRDefault="00253381" w:rsidP="00441B6F">
      <w:pPr>
        <w:pStyle w:val="Body"/>
        <w:spacing w:after="0"/>
        <w:rPr>
          <w:rFonts w:ascii="Arial" w:hAnsi="Arial" w:cs="Arial"/>
        </w:rPr>
      </w:pPr>
    </w:p>
    <w:p w14:paraId="308060A9" w14:textId="77777777" w:rsidR="00202CE6" w:rsidRDefault="00202CE6" w:rsidP="00441B6F">
      <w:pPr>
        <w:pStyle w:val="Body"/>
        <w:spacing w:after="0"/>
        <w:rPr>
          <w:rFonts w:ascii="Arial" w:hAnsi="Arial" w:cs="Arial"/>
        </w:rPr>
      </w:pPr>
    </w:p>
    <w:p w14:paraId="77220E30" w14:textId="77777777" w:rsidR="00202CE6" w:rsidRDefault="00202CE6" w:rsidP="00441B6F">
      <w:pPr>
        <w:pStyle w:val="Body"/>
        <w:spacing w:after="0"/>
        <w:rPr>
          <w:rFonts w:ascii="Arial" w:hAnsi="Arial" w:cs="Arial"/>
        </w:rPr>
      </w:pPr>
    </w:p>
    <w:p w14:paraId="7793E7A7" w14:textId="77777777" w:rsidR="00202CE6" w:rsidRPr="00E16339" w:rsidRDefault="00202CE6" w:rsidP="00441B6F">
      <w:pPr>
        <w:pStyle w:val="Body"/>
        <w:spacing w:after="0"/>
        <w:rPr>
          <w:rFonts w:ascii="Arial" w:hAnsi="Arial" w:cs="Arial"/>
        </w:rPr>
      </w:pPr>
    </w:p>
    <w:p w14:paraId="374047A7" w14:textId="22096F89" w:rsidR="00902823" w:rsidRPr="00E16339" w:rsidRDefault="00000F8F" w:rsidP="00441B6F">
      <w:pPr>
        <w:pStyle w:val="Head1"/>
        <w:spacing w:after="0"/>
        <w:jc w:val="both"/>
        <w:rPr>
          <w:rFonts w:ascii="Arial" w:hAnsi="Arial" w:cs="Arial"/>
        </w:rPr>
      </w:pPr>
      <w:r w:rsidRPr="00E16339">
        <w:lastRenderedPageBreak/>
        <w:t xml:space="preserve">3. RESULTS </w:t>
      </w:r>
    </w:p>
    <w:p w14:paraId="32E97D50" w14:textId="77777777" w:rsidR="00253381" w:rsidRPr="00E16339" w:rsidRDefault="00253381" w:rsidP="00253381">
      <w:pPr>
        <w:spacing w:after="160" w:line="259" w:lineRule="auto"/>
      </w:pPr>
    </w:p>
    <w:p w14:paraId="165DBE90" w14:textId="1670B1E0" w:rsidR="007C00D0" w:rsidRPr="00E16339" w:rsidRDefault="007C00D0" w:rsidP="007C00D0">
      <w:pPr>
        <w:spacing w:after="160" w:line="259" w:lineRule="auto"/>
        <w:jc w:val="both"/>
        <w:rPr>
          <w:rFonts w:ascii="Arial" w:hAnsi="Arial" w:cs="Arial"/>
        </w:rPr>
      </w:pPr>
      <w:bookmarkStart w:id="0" w:name="baseline-characteristics"/>
      <w:r w:rsidRPr="00E16339">
        <w:rPr>
          <w:rFonts w:ascii="Arial" w:hAnsi="Arial" w:cs="Arial"/>
        </w:rPr>
        <w:t xml:space="preserve">Baseline </w:t>
      </w:r>
      <w:proofErr w:type="gramStart"/>
      <w:r w:rsidRPr="00E16339">
        <w:rPr>
          <w:rFonts w:ascii="Arial" w:hAnsi="Arial" w:cs="Arial"/>
        </w:rPr>
        <w:t>Characteristics :</w:t>
      </w:r>
      <w:proofErr w:type="gramEnd"/>
      <w:r w:rsidRPr="00E16339">
        <w:rPr>
          <w:rFonts w:ascii="Arial" w:hAnsi="Arial" w:cs="Arial"/>
        </w:rPr>
        <w:t xml:space="preserve"> A total of 14 preterm infants were included. The mean gestational age at birth was 29.4 weeks (range: 27–33). More than one-third (36%) were extremely preterm (&lt;28 weeks), and 64% had a very low birth weight (&lt;1500 g). The mean birth weight was 1350 g (range: 900–1900). The sex ratio was balanced. Regarding maternal characteristics, 29% of mothers were ≥35 years old (Table 1).</w:t>
      </w:r>
    </w:p>
    <w:p w14:paraId="142E6E60" w14:textId="03343635" w:rsidR="007C00D0" w:rsidRPr="00E16339" w:rsidRDefault="007C00D0" w:rsidP="007C00D0">
      <w:pPr>
        <w:spacing w:after="160" w:line="259" w:lineRule="auto"/>
        <w:jc w:val="both"/>
        <w:rPr>
          <w:rFonts w:ascii="Arial" w:hAnsi="Arial" w:cs="Arial"/>
        </w:rPr>
      </w:pPr>
      <w:bookmarkStart w:id="1" w:name="causes-of-death"/>
      <w:bookmarkEnd w:id="0"/>
      <w:r w:rsidRPr="00E16339">
        <w:rPr>
          <w:rFonts w:ascii="Arial" w:hAnsi="Arial" w:cs="Arial"/>
        </w:rPr>
        <w:t xml:space="preserve">Causes of </w:t>
      </w:r>
      <w:proofErr w:type="gramStart"/>
      <w:r w:rsidRPr="00E16339">
        <w:rPr>
          <w:rFonts w:ascii="Arial" w:hAnsi="Arial" w:cs="Arial"/>
        </w:rPr>
        <w:t>Death :</w:t>
      </w:r>
      <w:proofErr w:type="gramEnd"/>
      <w:r w:rsidRPr="00E16339">
        <w:rPr>
          <w:rFonts w:ascii="Arial" w:hAnsi="Arial" w:cs="Arial"/>
        </w:rPr>
        <w:t xml:space="preserve"> The main causes of death were RDS (57%), infections (42%), and congenital anomalies (21%). Other contributing factors included NEC (14%) and IVH (7%). Several infants had multiple complications (Table 2).</w:t>
      </w:r>
    </w:p>
    <w:p w14:paraId="2E46A32F" w14:textId="61DCEA61" w:rsidR="007C00D0" w:rsidRPr="00E16339" w:rsidRDefault="007C00D0" w:rsidP="007C00D0">
      <w:pPr>
        <w:spacing w:after="160" w:line="259" w:lineRule="auto"/>
        <w:jc w:val="both"/>
        <w:rPr>
          <w:rFonts w:ascii="Arial" w:hAnsi="Arial" w:cs="Arial"/>
        </w:rPr>
      </w:pPr>
      <w:bookmarkStart w:id="2" w:name="timing-of-death"/>
      <w:bookmarkEnd w:id="1"/>
      <w:r w:rsidRPr="00E16339">
        <w:rPr>
          <w:rFonts w:ascii="Arial" w:hAnsi="Arial" w:cs="Arial"/>
        </w:rPr>
        <w:t xml:space="preserve">Timing of </w:t>
      </w:r>
      <w:proofErr w:type="gramStart"/>
      <w:r w:rsidRPr="00E16339">
        <w:rPr>
          <w:rFonts w:ascii="Arial" w:hAnsi="Arial" w:cs="Arial"/>
        </w:rPr>
        <w:t>Death :</w:t>
      </w:r>
      <w:proofErr w:type="gramEnd"/>
      <w:r w:rsidRPr="00E16339">
        <w:rPr>
          <w:rFonts w:ascii="Arial" w:hAnsi="Arial" w:cs="Arial"/>
        </w:rPr>
        <w:t xml:space="preserve"> Distinct mortality patterns were identified (Table 3): - All RDS-related deaths occurred early (&lt;7 days). - All infection-related deaths occurred late (≥7 days). - Congenital anomalies were also associated with late deaths.</w:t>
      </w:r>
    </w:p>
    <w:bookmarkEnd w:id="2"/>
    <w:p w14:paraId="7AD5B6CB" w14:textId="5B5F0F31" w:rsidR="007C00D0" w:rsidRPr="00E16339" w:rsidRDefault="007C00D0" w:rsidP="007C00D0">
      <w:pPr>
        <w:spacing w:after="160" w:line="259" w:lineRule="auto"/>
        <w:jc w:val="both"/>
        <w:rPr>
          <w:rFonts w:ascii="Arial" w:hAnsi="Arial" w:cs="Arial"/>
        </w:rPr>
      </w:pPr>
      <w:r w:rsidRPr="00E16339">
        <w:rPr>
          <w:rFonts w:ascii="Arial" w:hAnsi="Arial" w:cs="Arial"/>
        </w:rPr>
        <w:t xml:space="preserve">Graphical </w:t>
      </w:r>
      <w:proofErr w:type="gramStart"/>
      <w:r w:rsidRPr="00E16339">
        <w:rPr>
          <w:rFonts w:ascii="Arial" w:hAnsi="Arial" w:cs="Arial"/>
        </w:rPr>
        <w:t>Analysis :</w:t>
      </w:r>
      <w:proofErr w:type="gramEnd"/>
      <w:r w:rsidRPr="00E16339">
        <w:rPr>
          <w:rFonts w:ascii="Arial" w:hAnsi="Arial" w:cs="Arial"/>
        </w:rPr>
        <w:t xml:space="preserve"> The scatterplot (Figure 1) shows the relationship between gestational age, birth weight, and cause of death. RDS clustered among the lowest GA/weight infants, infections predominated in moderately preterm infants (≈30–32 weeks), and anomalies were distributed across gestational ages.</w:t>
      </w:r>
    </w:p>
    <w:p w14:paraId="73D282FA" w14:textId="77777777" w:rsidR="007C00D0" w:rsidRPr="00E16339" w:rsidRDefault="007C00D0" w:rsidP="007C00D0">
      <w:pPr>
        <w:spacing w:after="160" w:line="259" w:lineRule="auto"/>
        <w:jc w:val="both"/>
        <w:rPr>
          <w:rFonts w:ascii="Arial" w:hAnsi="Arial" w:cs="Arial"/>
        </w:rPr>
      </w:pPr>
      <w:r w:rsidRPr="00E16339">
        <w:rPr>
          <w:rFonts w:ascii="Arial" w:hAnsi="Arial" w:cs="Arial"/>
        </w:rPr>
        <w:t>The boxplot (Figure 2) highlights the influence of maternal age: infants of mothers ≥35 years were delivered at lower gestational ages compared to those of younger mothers.</w:t>
      </w:r>
    </w:p>
    <w:p w14:paraId="58704F18" w14:textId="77777777" w:rsidR="00E16339" w:rsidRPr="00E16339" w:rsidRDefault="00E16339" w:rsidP="00E16339">
      <w:pPr>
        <w:spacing w:after="160" w:line="259" w:lineRule="auto"/>
        <w:jc w:val="both"/>
        <w:rPr>
          <w:rFonts w:ascii="Arial" w:hAnsi="Arial" w:cs="Arial"/>
          <w:b/>
          <w:bCs/>
        </w:rPr>
      </w:pPr>
    </w:p>
    <w:p w14:paraId="5DCCE367" w14:textId="77777777" w:rsidR="006D1190" w:rsidRDefault="006D1190" w:rsidP="007C00D0">
      <w:pPr>
        <w:spacing w:after="160" w:line="259" w:lineRule="auto"/>
        <w:jc w:val="both"/>
        <w:rPr>
          <w:rFonts w:ascii="Arial" w:hAnsi="Arial" w:cs="Arial"/>
        </w:rPr>
      </w:pPr>
    </w:p>
    <w:p w14:paraId="690FAEFD" w14:textId="1B5D1A76" w:rsidR="007C00D0" w:rsidRPr="00E16339" w:rsidRDefault="007C00D0" w:rsidP="007C00D0">
      <w:pPr>
        <w:spacing w:after="160" w:line="259" w:lineRule="auto"/>
        <w:jc w:val="both"/>
        <w:rPr>
          <w:rFonts w:ascii="Arial" w:hAnsi="Arial" w:cs="Arial"/>
        </w:rPr>
      </w:pPr>
      <w:bookmarkStart w:id="3" w:name="_GoBack"/>
      <w:bookmarkEnd w:id="3"/>
      <w:r w:rsidRPr="00E16339">
        <w:rPr>
          <w:rFonts w:ascii="Arial" w:hAnsi="Arial" w:cs="Arial"/>
        </w:rPr>
        <w:t>Figure 1. Relationship between gestational age, birth weight, and cause of death (n=14). Each point represents a preterm infant. Colors indicate main cause: RDS, infections, or anomalies.</w:t>
      </w:r>
    </w:p>
    <w:p w14:paraId="789F5077" w14:textId="7D723F56" w:rsidR="00E16339" w:rsidRDefault="00E16339" w:rsidP="00E16339">
      <w:pPr>
        <w:spacing w:after="160" w:line="259" w:lineRule="auto"/>
        <w:jc w:val="center"/>
        <w:rPr>
          <w:rFonts w:ascii="Arial" w:hAnsi="Arial" w:cs="Arial"/>
        </w:rPr>
      </w:pPr>
      <w:r w:rsidRPr="00E16339">
        <w:rPr>
          <w:noProof/>
          <w:lang w:val="en-IN" w:eastAsia="en-IN"/>
        </w:rPr>
        <w:drawing>
          <wp:inline distT="0" distB="0" distL="0" distR="0" wp14:anchorId="64503C1C" wp14:editId="72A8B591">
            <wp:extent cx="3439886" cy="2656189"/>
            <wp:effectExtent l="0" t="0" r="8255" b="0"/>
            <wp:docPr id="61910367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86732" cy="2692362"/>
                    </a:xfrm>
                    <a:prstGeom prst="rect">
                      <a:avLst/>
                    </a:prstGeom>
                    <a:noFill/>
                    <a:ln>
                      <a:noFill/>
                    </a:ln>
                  </pic:spPr>
                </pic:pic>
              </a:graphicData>
            </a:graphic>
          </wp:inline>
        </w:drawing>
      </w:r>
    </w:p>
    <w:p w14:paraId="5A3A7401" w14:textId="77777777" w:rsidR="00202CE6" w:rsidRPr="00E16339" w:rsidRDefault="00202CE6" w:rsidP="00E16339">
      <w:pPr>
        <w:spacing w:after="160" w:line="259" w:lineRule="auto"/>
        <w:jc w:val="center"/>
        <w:rPr>
          <w:rFonts w:ascii="Arial" w:hAnsi="Arial" w:cs="Arial"/>
        </w:rPr>
      </w:pPr>
    </w:p>
    <w:p w14:paraId="19B91613" w14:textId="5AAEA290" w:rsidR="007C00D0" w:rsidRPr="00E16339" w:rsidRDefault="007C00D0" w:rsidP="007C00D0">
      <w:pPr>
        <w:spacing w:after="160" w:line="259" w:lineRule="auto"/>
        <w:jc w:val="both"/>
        <w:rPr>
          <w:rFonts w:ascii="Arial" w:hAnsi="Arial" w:cs="Arial"/>
        </w:rPr>
      </w:pPr>
      <w:r w:rsidRPr="00E16339">
        <w:rPr>
          <w:rFonts w:ascii="Arial" w:hAnsi="Arial" w:cs="Arial"/>
        </w:rPr>
        <w:lastRenderedPageBreak/>
        <w:t>Figure 2. Gestational age by maternal age category. Boxplot showing lower GA at birth in infants of mothers ≥35 years.</w:t>
      </w:r>
    </w:p>
    <w:p w14:paraId="40D433F8" w14:textId="0528E07E" w:rsidR="007C00D0" w:rsidRPr="00E16339" w:rsidRDefault="00E16339" w:rsidP="00E16339">
      <w:pPr>
        <w:spacing w:after="160" w:line="259" w:lineRule="auto"/>
        <w:jc w:val="center"/>
      </w:pPr>
      <w:r w:rsidRPr="00E16339">
        <w:rPr>
          <w:noProof/>
          <w:lang w:val="en-IN" w:eastAsia="en-IN"/>
        </w:rPr>
        <w:drawing>
          <wp:inline distT="0" distB="0" distL="0" distR="0" wp14:anchorId="1F7033E1" wp14:editId="11512FF0">
            <wp:extent cx="3592286" cy="3379147"/>
            <wp:effectExtent l="0" t="0" r="8255" b="0"/>
            <wp:docPr id="55651530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21366" cy="3406502"/>
                    </a:xfrm>
                    <a:prstGeom prst="rect">
                      <a:avLst/>
                    </a:prstGeom>
                    <a:noFill/>
                    <a:ln>
                      <a:noFill/>
                    </a:ln>
                  </pic:spPr>
                </pic:pic>
              </a:graphicData>
            </a:graphic>
          </wp:inline>
        </w:drawing>
      </w:r>
    </w:p>
    <w:p w14:paraId="11B4322C" w14:textId="77777777" w:rsidR="007C00D0" w:rsidRPr="00E16339" w:rsidRDefault="007C00D0" w:rsidP="007C00D0">
      <w:pPr>
        <w:spacing w:after="160" w:line="259" w:lineRule="auto"/>
        <w:jc w:val="both"/>
        <w:rPr>
          <w:rFonts w:ascii="Arial" w:hAnsi="Arial" w:cs="Arial"/>
        </w:rPr>
      </w:pPr>
      <w:bookmarkStart w:id="4" w:name="tables"/>
      <w:r w:rsidRPr="00E16339">
        <w:rPr>
          <w:rFonts w:ascii="Arial" w:hAnsi="Arial" w:cs="Arial"/>
        </w:rPr>
        <w:t>Table 1. Baseline characteristics of preterm infants (n=14).</w:t>
      </w:r>
    </w:p>
    <w:tbl>
      <w:tblPr>
        <w:tblStyle w:val="ListTable1Light-Accent3"/>
        <w:tblW w:w="0" w:type="auto"/>
        <w:jc w:val="center"/>
        <w:tblLook w:val="0020" w:firstRow="1" w:lastRow="0" w:firstColumn="0" w:lastColumn="0" w:noHBand="0" w:noVBand="0"/>
      </w:tblPr>
      <w:tblGrid>
        <w:gridCol w:w="3173"/>
        <w:gridCol w:w="2363"/>
      </w:tblGrid>
      <w:tr w:rsidR="007C00D0" w:rsidRPr="00E16339" w14:paraId="39C16DDD" w14:textId="77777777" w:rsidTr="00E16339">
        <w:trPr>
          <w:cnfStyle w:val="100000000000" w:firstRow="1" w:lastRow="0" w:firstColumn="0" w:lastColumn="0" w:oddVBand="0" w:evenVBand="0" w:oddHBand="0"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0" w:type="auto"/>
          </w:tcPr>
          <w:p w14:paraId="48F56C52" w14:textId="77777777" w:rsidR="007C00D0" w:rsidRPr="00E16339" w:rsidRDefault="007C00D0" w:rsidP="00F86E46">
            <w:pPr>
              <w:spacing w:after="160" w:line="259" w:lineRule="auto"/>
              <w:jc w:val="both"/>
              <w:rPr>
                <w:rFonts w:ascii="Arial" w:hAnsi="Arial" w:cs="Arial"/>
              </w:rPr>
            </w:pPr>
            <w:r w:rsidRPr="00E16339">
              <w:rPr>
                <w:rFonts w:ascii="Arial" w:hAnsi="Arial" w:cs="Arial"/>
              </w:rPr>
              <w:t>Variable</w:t>
            </w:r>
          </w:p>
        </w:tc>
        <w:tc>
          <w:tcPr>
            <w:tcW w:w="0" w:type="auto"/>
          </w:tcPr>
          <w:p w14:paraId="0A495152" w14:textId="77777777" w:rsidR="007C00D0" w:rsidRPr="00E16339" w:rsidRDefault="007C00D0" w:rsidP="00F86E46">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E16339">
              <w:rPr>
                <w:rFonts w:ascii="Arial" w:hAnsi="Arial" w:cs="Arial"/>
              </w:rPr>
              <w:t>Findings</w:t>
            </w:r>
          </w:p>
        </w:tc>
      </w:tr>
      <w:tr w:rsidR="007C00D0" w:rsidRPr="00E16339" w14:paraId="765478A8" w14:textId="77777777" w:rsidTr="00E16339">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0" w:type="auto"/>
          </w:tcPr>
          <w:p w14:paraId="4CA07E2B" w14:textId="77777777" w:rsidR="007C00D0" w:rsidRPr="00E16339" w:rsidRDefault="007C00D0" w:rsidP="00F86E46">
            <w:pPr>
              <w:spacing w:after="160" w:line="259" w:lineRule="auto"/>
              <w:jc w:val="both"/>
              <w:rPr>
                <w:rFonts w:ascii="Arial" w:hAnsi="Arial" w:cs="Arial"/>
              </w:rPr>
            </w:pPr>
            <w:r w:rsidRPr="00E16339">
              <w:rPr>
                <w:rFonts w:ascii="Arial" w:hAnsi="Arial" w:cs="Arial"/>
              </w:rPr>
              <w:t>Mean gestational age (weeks)</w:t>
            </w:r>
          </w:p>
        </w:tc>
        <w:tc>
          <w:tcPr>
            <w:tcW w:w="0" w:type="auto"/>
          </w:tcPr>
          <w:p w14:paraId="44150B04" w14:textId="77777777" w:rsidR="007C00D0" w:rsidRPr="00E16339" w:rsidRDefault="007C00D0" w:rsidP="00F86E46">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E16339">
              <w:rPr>
                <w:rFonts w:ascii="Arial" w:hAnsi="Arial" w:cs="Arial"/>
              </w:rPr>
              <w:t>29.4 (range: 27–33)</w:t>
            </w:r>
          </w:p>
        </w:tc>
      </w:tr>
      <w:tr w:rsidR="007C00D0" w:rsidRPr="00E16339" w14:paraId="6F48902B" w14:textId="77777777" w:rsidTr="00E16339">
        <w:trPr>
          <w:jc w:val="center"/>
        </w:trPr>
        <w:tc>
          <w:tcPr>
            <w:cnfStyle w:val="000010000000" w:firstRow="0" w:lastRow="0" w:firstColumn="0" w:lastColumn="0" w:oddVBand="1" w:evenVBand="0" w:oddHBand="0" w:evenHBand="0" w:firstRowFirstColumn="0" w:firstRowLastColumn="0" w:lastRowFirstColumn="0" w:lastRowLastColumn="0"/>
            <w:tcW w:w="0" w:type="auto"/>
          </w:tcPr>
          <w:p w14:paraId="21A5CDED" w14:textId="77777777" w:rsidR="007C00D0" w:rsidRPr="00E16339" w:rsidRDefault="007C00D0" w:rsidP="00F86E46">
            <w:pPr>
              <w:spacing w:after="160" w:line="259" w:lineRule="auto"/>
              <w:jc w:val="both"/>
              <w:rPr>
                <w:rFonts w:ascii="Arial" w:hAnsi="Arial" w:cs="Arial"/>
              </w:rPr>
            </w:pPr>
            <w:r w:rsidRPr="00E16339">
              <w:rPr>
                <w:rFonts w:ascii="Arial" w:hAnsi="Arial" w:cs="Arial"/>
              </w:rPr>
              <w:t>Extremely preterm (&lt;28 weeks)</w:t>
            </w:r>
          </w:p>
        </w:tc>
        <w:tc>
          <w:tcPr>
            <w:tcW w:w="0" w:type="auto"/>
          </w:tcPr>
          <w:p w14:paraId="70D9D18A" w14:textId="77777777" w:rsidR="007C00D0" w:rsidRPr="00E16339" w:rsidRDefault="007C00D0" w:rsidP="00F86E46">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E16339">
              <w:rPr>
                <w:rFonts w:ascii="Arial" w:hAnsi="Arial" w:cs="Arial"/>
              </w:rPr>
              <w:t>5 (36%)</w:t>
            </w:r>
          </w:p>
        </w:tc>
      </w:tr>
      <w:tr w:rsidR="007C00D0" w:rsidRPr="00E16339" w14:paraId="3CFA79B8" w14:textId="77777777" w:rsidTr="00E16339">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0" w:type="auto"/>
          </w:tcPr>
          <w:p w14:paraId="4DCFB755" w14:textId="77777777" w:rsidR="007C00D0" w:rsidRPr="00E16339" w:rsidRDefault="007C00D0" w:rsidP="00F86E46">
            <w:pPr>
              <w:spacing w:after="160" w:line="259" w:lineRule="auto"/>
              <w:jc w:val="both"/>
              <w:rPr>
                <w:rFonts w:ascii="Arial" w:hAnsi="Arial" w:cs="Arial"/>
              </w:rPr>
            </w:pPr>
            <w:r w:rsidRPr="00E16339">
              <w:rPr>
                <w:rFonts w:ascii="Arial" w:hAnsi="Arial" w:cs="Arial"/>
              </w:rPr>
              <w:t>Very preterm (28–31 weeks)</w:t>
            </w:r>
          </w:p>
        </w:tc>
        <w:tc>
          <w:tcPr>
            <w:tcW w:w="0" w:type="auto"/>
          </w:tcPr>
          <w:p w14:paraId="34B91F81" w14:textId="77777777" w:rsidR="007C00D0" w:rsidRPr="00E16339" w:rsidRDefault="007C00D0" w:rsidP="00F86E46">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E16339">
              <w:rPr>
                <w:rFonts w:ascii="Arial" w:hAnsi="Arial" w:cs="Arial"/>
              </w:rPr>
              <w:t>7 (50%)</w:t>
            </w:r>
          </w:p>
        </w:tc>
      </w:tr>
      <w:tr w:rsidR="007C00D0" w:rsidRPr="00E16339" w14:paraId="382799D0" w14:textId="77777777" w:rsidTr="00E16339">
        <w:trPr>
          <w:jc w:val="center"/>
        </w:trPr>
        <w:tc>
          <w:tcPr>
            <w:cnfStyle w:val="000010000000" w:firstRow="0" w:lastRow="0" w:firstColumn="0" w:lastColumn="0" w:oddVBand="1" w:evenVBand="0" w:oddHBand="0" w:evenHBand="0" w:firstRowFirstColumn="0" w:firstRowLastColumn="0" w:lastRowFirstColumn="0" w:lastRowLastColumn="0"/>
            <w:tcW w:w="0" w:type="auto"/>
          </w:tcPr>
          <w:p w14:paraId="701C6A39" w14:textId="77777777" w:rsidR="007C00D0" w:rsidRPr="00E16339" w:rsidRDefault="007C00D0" w:rsidP="00F86E46">
            <w:pPr>
              <w:spacing w:after="160" w:line="259" w:lineRule="auto"/>
              <w:jc w:val="both"/>
              <w:rPr>
                <w:rFonts w:ascii="Arial" w:hAnsi="Arial" w:cs="Arial"/>
              </w:rPr>
            </w:pPr>
            <w:r w:rsidRPr="00E16339">
              <w:rPr>
                <w:rFonts w:ascii="Arial" w:hAnsi="Arial" w:cs="Arial"/>
              </w:rPr>
              <w:t>Moderate preterm (32–34 weeks)</w:t>
            </w:r>
          </w:p>
        </w:tc>
        <w:tc>
          <w:tcPr>
            <w:tcW w:w="0" w:type="auto"/>
          </w:tcPr>
          <w:p w14:paraId="0D23F982" w14:textId="77777777" w:rsidR="007C00D0" w:rsidRPr="00E16339" w:rsidRDefault="007C00D0" w:rsidP="00F86E46">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E16339">
              <w:rPr>
                <w:rFonts w:ascii="Arial" w:hAnsi="Arial" w:cs="Arial"/>
              </w:rPr>
              <w:t>2 (14%)</w:t>
            </w:r>
          </w:p>
        </w:tc>
      </w:tr>
      <w:tr w:rsidR="007C00D0" w:rsidRPr="00E16339" w14:paraId="10DAB35B" w14:textId="77777777" w:rsidTr="00E16339">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0" w:type="auto"/>
          </w:tcPr>
          <w:p w14:paraId="62449322" w14:textId="77777777" w:rsidR="007C00D0" w:rsidRPr="00E16339" w:rsidRDefault="007C00D0" w:rsidP="00F86E46">
            <w:pPr>
              <w:spacing w:after="160" w:line="259" w:lineRule="auto"/>
              <w:jc w:val="both"/>
              <w:rPr>
                <w:rFonts w:ascii="Arial" w:hAnsi="Arial" w:cs="Arial"/>
              </w:rPr>
            </w:pPr>
            <w:r w:rsidRPr="00E16339">
              <w:rPr>
                <w:rFonts w:ascii="Arial" w:hAnsi="Arial" w:cs="Arial"/>
              </w:rPr>
              <w:t>Mean birth weight (g)</w:t>
            </w:r>
          </w:p>
        </w:tc>
        <w:tc>
          <w:tcPr>
            <w:tcW w:w="0" w:type="auto"/>
          </w:tcPr>
          <w:p w14:paraId="7BCD5FA2" w14:textId="77777777" w:rsidR="007C00D0" w:rsidRPr="00E16339" w:rsidRDefault="007C00D0" w:rsidP="00F86E46">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E16339">
              <w:rPr>
                <w:rFonts w:ascii="Arial" w:hAnsi="Arial" w:cs="Arial"/>
              </w:rPr>
              <w:t>1350 (range: 900–1900)</w:t>
            </w:r>
          </w:p>
        </w:tc>
      </w:tr>
      <w:tr w:rsidR="007C00D0" w:rsidRPr="00E16339" w14:paraId="6285306F" w14:textId="77777777" w:rsidTr="00E16339">
        <w:trPr>
          <w:jc w:val="center"/>
        </w:trPr>
        <w:tc>
          <w:tcPr>
            <w:cnfStyle w:val="000010000000" w:firstRow="0" w:lastRow="0" w:firstColumn="0" w:lastColumn="0" w:oddVBand="1" w:evenVBand="0" w:oddHBand="0" w:evenHBand="0" w:firstRowFirstColumn="0" w:firstRowLastColumn="0" w:lastRowFirstColumn="0" w:lastRowLastColumn="0"/>
            <w:tcW w:w="0" w:type="auto"/>
          </w:tcPr>
          <w:p w14:paraId="311F53F2" w14:textId="77777777" w:rsidR="007C00D0" w:rsidRPr="00E16339" w:rsidRDefault="007C00D0" w:rsidP="00F86E46">
            <w:pPr>
              <w:spacing w:after="160" w:line="259" w:lineRule="auto"/>
              <w:jc w:val="both"/>
              <w:rPr>
                <w:rFonts w:ascii="Arial" w:hAnsi="Arial" w:cs="Arial"/>
              </w:rPr>
            </w:pPr>
            <w:r w:rsidRPr="00E16339">
              <w:rPr>
                <w:rFonts w:ascii="Arial" w:hAnsi="Arial" w:cs="Arial"/>
              </w:rPr>
              <w:t>VLBW (&lt;1500 g)</w:t>
            </w:r>
          </w:p>
        </w:tc>
        <w:tc>
          <w:tcPr>
            <w:tcW w:w="0" w:type="auto"/>
          </w:tcPr>
          <w:p w14:paraId="19E432FF" w14:textId="77777777" w:rsidR="007C00D0" w:rsidRPr="00E16339" w:rsidRDefault="007C00D0" w:rsidP="00F86E46">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E16339">
              <w:rPr>
                <w:rFonts w:ascii="Arial" w:hAnsi="Arial" w:cs="Arial"/>
              </w:rPr>
              <w:t>9 (64%)</w:t>
            </w:r>
          </w:p>
        </w:tc>
      </w:tr>
      <w:tr w:rsidR="007C00D0" w:rsidRPr="00E16339" w14:paraId="0912B4D1" w14:textId="77777777" w:rsidTr="00E16339">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0" w:type="auto"/>
          </w:tcPr>
          <w:p w14:paraId="2A9FFD53" w14:textId="77777777" w:rsidR="007C00D0" w:rsidRPr="00E16339" w:rsidRDefault="007C00D0" w:rsidP="00F86E46">
            <w:pPr>
              <w:spacing w:after="160" w:line="259" w:lineRule="auto"/>
              <w:jc w:val="both"/>
              <w:rPr>
                <w:rFonts w:ascii="Arial" w:hAnsi="Arial" w:cs="Arial"/>
              </w:rPr>
            </w:pPr>
            <w:r w:rsidRPr="00E16339">
              <w:rPr>
                <w:rFonts w:ascii="Arial" w:hAnsi="Arial" w:cs="Arial"/>
              </w:rPr>
              <w:t>Male : Female</w:t>
            </w:r>
          </w:p>
        </w:tc>
        <w:tc>
          <w:tcPr>
            <w:tcW w:w="0" w:type="auto"/>
          </w:tcPr>
          <w:p w14:paraId="56C61B50" w14:textId="77777777" w:rsidR="007C00D0" w:rsidRPr="00E16339" w:rsidRDefault="007C00D0" w:rsidP="00F86E46">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E16339">
              <w:rPr>
                <w:rFonts w:ascii="Arial" w:hAnsi="Arial" w:cs="Arial"/>
              </w:rPr>
              <w:t>≈ 1 : 1</w:t>
            </w:r>
          </w:p>
        </w:tc>
      </w:tr>
      <w:tr w:rsidR="007C00D0" w:rsidRPr="00E16339" w14:paraId="36DE4977" w14:textId="77777777" w:rsidTr="00E16339">
        <w:trPr>
          <w:jc w:val="center"/>
        </w:trPr>
        <w:tc>
          <w:tcPr>
            <w:cnfStyle w:val="000010000000" w:firstRow="0" w:lastRow="0" w:firstColumn="0" w:lastColumn="0" w:oddVBand="1" w:evenVBand="0" w:oddHBand="0" w:evenHBand="0" w:firstRowFirstColumn="0" w:firstRowLastColumn="0" w:lastRowFirstColumn="0" w:lastRowLastColumn="0"/>
            <w:tcW w:w="0" w:type="auto"/>
          </w:tcPr>
          <w:p w14:paraId="2DAF66DB" w14:textId="77777777" w:rsidR="007C00D0" w:rsidRPr="00E16339" w:rsidRDefault="007C00D0" w:rsidP="00F86E46">
            <w:pPr>
              <w:spacing w:after="160" w:line="259" w:lineRule="auto"/>
              <w:jc w:val="both"/>
              <w:rPr>
                <w:rFonts w:ascii="Arial" w:hAnsi="Arial" w:cs="Arial"/>
              </w:rPr>
            </w:pPr>
            <w:r w:rsidRPr="00E16339">
              <w:rPr>
                <w:rFonts w:ascii="Arial" w:hAnsi="Arial" w:cs="Arial"/>
              </w:rPr>
              <w:t>Maternal age ≥35 years</w:t>
            </w:r>
          </w:p>
        </w:tc>
        <w:tc>
          <w:tcPr>
            <w:tcW w:w="0" w:type="auto"/>
          </w:tcPr>
          <w:p w14:paraId="3D09AA7D" w14:textId="77777777" w:rsidR="007C00D0" w:rsidRPr="00E16339" w:rsidRDefault="007C00D0" w:rsidP="00F86E46">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E16339">
              <w:rPr>
                <w:rFonts w:ascii="Arial" w:hAnsi="Arial" w:cs="Arial"/>
              </w:rPr>
              <w:t>4 (29%)</w:t>
            </w:r>
          </w:p>
        </w:tc>
      </w:tr>
    </w:tbl>
    <w:p w14:paraId="20C2409E" w14:textId="77777777" w:rsidR="007C00D0" w:rsidRPr="00E16339" w:rsidRDefault="007C00D0" w:rsidP="007C00D0">
      <w:pPr>
        <w:spacing w:after="160" w:line="259" w:lineRule="auto"/>
        <w:jc w:val="both"/>
        <w:rPr>
          <w:rFonts w:ascii="Arial" w:hAnsi="Arial" w:cs="Arial"/>
        </w:rPr>
      </w:pPr>
    </w:p>
    <w:p w14:paraId="23268407" w14:textId="77777777" w:rsidR="00E16339" w:rsidRPr="00E16339" w:rsidRDefault="00E16339" w:rsidP="007C00D0">
      <w:pPr>
        <w:spacing w:after="160" w:line="259" w:lineRule="auto"/>
        <w:jc w:val="both"/>
        <w:rPr>
          <w:rFonts w:ascii="Arial" w:hAnsi="Arial" w:cs="Arial"/>
        </w:rPr>
      </w:pPr>
    </w:p>
    <w:p w14:paraId="7AF68DAA" w14:textId="14D7DD1C" w:rsidR="00E16339" w:rsidRDefault="00E16339" w:rsidP="007C00D0">
      <w:pPr>
        <w:spacing w:after="160" w:line="259" w:lineRule="auto"/>
        <w:jc w:val="both"/>
        <w:rPr>
          <w:rFonts w:ascii="Arial" w:hAnsi="Arial" w:cs="Arial"/>
        </w:rPr>
      </w:pPr>
    </w:p>
    <w:p w14:paraId="384A4474" w14:textId="1430E258" w:rsidR="006D1190" w:rsidRDefault="006D1190" w:rsidP="007C00D0">
      <w:pPr>
        <w:spacing w:after="160" w:line="259" w:lineRule="auto"/>
        <w:jc w:val="both"/>
        <w:rPr>
          <w:rFonts w:ascii="Arial" w:hAnsi="Arial" w:cs="Arial"/>
        </w:rPr>
      </w:pPr>
    </w:p>
    <w:p w14:paraId="32681965" w14:textId="5EA2FFD9" w:rsidR="006D1190" w:rsidRDefault="006D1190" w:rsidP="007C00D0">
      <w:pPr>
        <w:spacing w:after="160" w:line="259" w:lineRule="auto"/>
        <w:jc w:val="both"/>
        <w:rPr>
          <w:rFonts w:ascii="Arial" w:hAnsi="Arial" w:cs="Arial"/>
        </w:rPr>
      </w:pPr>
    </w:p>
    <w:p w14:paraId="2E3DFE9A" w14:textId="77777777" w:rsidR="006D1190" w:rsidRPr="00E16339" w:rsidRDefault="006D1190" w:rsidP="007C00D0">
      <w:pPr>
        <w:spacing w:after="160" w:line="259" w:lineRule="auto"/>
        <w:jc w:val="both"/>
        <w:rPr>
          <w:rFonts w:ascii="Arial" w:hAnsi="Arial" w:cs="Arial"/>
        </w:rPr>
      </w:pPr>
    </w:p>
    <w:p w14:paraId="731870AB" w14:textId="77777777" w:rsidR="00E16339" w:rsidRPr="00E16339" w:rsidRDefault="00E16339" w:rsidP="007C00D0">
      <w:pPr>
        <w:spacing w:after="160" w:line="259" w:lineRule="auto"/>
        <w:jc w:val="both"/>
        <w:rPr>
          <w:rFonts w:ascii="Arial" w:hAnsi="Arial" w:cs="Arial"/>
        </w:rPr>
      </w:pPr>
    </w:p>
    <w:p w14:paraId="08B51BB9" w14:textId="3EF038DD" w:rsidR="007C00D0" w:rsidRPr="00E16339" w:rsidRDefault="007C00D0" w:rsidP="007C00D0">
      <w:pPr>
        <w:spacing w:after="160" w:line="259" w:lineRule="auto"/>
        <w:jc w:val="both"/>
        <w:rPr>
          <w:rFonts w:ascii="Arial" w:hAnsi="Arial" w:cs="Arial"/>
        </w:rPr>
      </w:pPr>
      <w:r w:rsidRPr="00E16339">
        <w:rPr>
          <w:rFonts w:ascii="Arial" w:hAnsi="Arial" w:cs="Arial"/>
        </w:rPr>
        <w:t>Table 2. Main causes of death.</w:t>
      </w:r>
    </w:p>
    <w:tbl>
      <w:tblPr>
        <w:tblStyle w:val="ListTable1Light-Accent2"/>
        <w:tblW w:w="0" w:type="auto"/>
        <w:jc w:val="center"/>
        <w:tblLook w:val="0020" w:firstRow="1" w:lastRow="0" w:firstColumn="0" w:lastColumn="0" w:noHBand="0" w:noVBand="0"/>
      </w:tblPr>
      <w:tblGrid>
        <w:gridCol w:w="2951"/>
        <w:gridCol w:w="917"/>
      </w:tblGrid>
      <w:tr w:rsidR="007C00D0" w:rsidRPr="00E16339" w14:paraId="25597E0E" w14:textId="77777777" w:rsidTr="00E16339">
        <w:trPr>
          <w:cnfStyle w:val="100000000000" w:firstRow="1" w:lastRow="0" w:firstColumn="0" w:lastColumn="0" w:oddVBand="0" w:evenVBand="0" w:oddHBand="0"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0" w:type="auto"/>
          </w:tcPr>
          <w:p w14:paraId="26F5323E" w14:textId="77777777" w:rsidR="007C00D0" w:rsidRPr="00E16339" w:rsidRDefault="007C00D0" w:rsidP="00F86E46">
            <w:pPr>
              <w:spacing w:after="160" w:line="259" w:lineRule="auto"/>
              <w:jc w:val="both"/>
              <w:rPr>
                <w:rFonts w:ascii="Arial" w:hAnsi="Arial" w:cs="Arial"/>
              </w:rPr>
            </w:pPr>
            <w:r w:rsidRPr="00E16339">
              <w:rPr>
                <w:rFonts w:ascii="Arial" w:hAnsi="Arial" w:cs="Arial"/>
              </w:rPr>
              <w:t>Cause</w:t>
            </w:r>
          </w:p>
        </w:tc>
        <w:tc>
          <w:tcPr>
            <w:tcW w:w="0" w:type="auto"/>
          </w:tcPr>
          <w:p w14:paraId="27954A8B" w14:textId="77777777" w:rsidR="007C00D0" w:rsidRPr="00E16339" w:rsidRDefault="007C00D0" w:rsidP="00F86E46">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E16339">
              <w:rPr>
                <w:rFonts w:ascii="Arial" w:hAnsi="Arial" w:cs="Arial"/>
              </w:rPr>
              <w:t>n (%)</w:t>
            </w:r>
          </w:p>
        </w:tc>
      </w:tr>
      <w:tr w:rsidR="007C00D0" w:rsidRPr="00E16339" w14:paraId="63D5CBE1" w14:textId="77777777" w:rsidTr="00E16339">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0" w:type="auto"/>
          </w:tcPr>
          <w:p w14:paraId="7545A477" w14:textId="77777777" w:rsidR="007C00D0" w:rsidRPr="00E16339" w:rsidRDefault="007C00D0" w:rsidP="00F86E46">
            <w:pPr>
              <w:spacing w:after="160" w:line="259" w:lineRule="auto"/>
              <w:jc w:val="both"/>
              <w:rPr>
                <w:rFonts w:ascii="Arial" w:hAnsi="Arial" w:cs="Arial"/>
              </w:rPr>
            </w:pPr>
            <w:r w:rsidRPr="00E16339">
              <w:rPr>
                <w:rFonts w:ascii="Arial" w:hAnsi="Arial" w:cs="Arial"/>
              </w:rPr>
              <w:t>Respiratory distress syndrome</w:t>
            </w:r>
          </w:p>
        </w:tc>
        <w:tc>
          <w:tcPr>
            <w:tcW w:w="0" w:type="auto"/>
          </w:tcPr>
          <w:p w14:paraId="0BC37114" w14:textId="77777777" w:rsidR="007C00D0" w:rsidRPr="00E16339" w:rsidRDefault="007C00D0" w:rsidP="00F86E46">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E16339">
              <w:rPr>
                <w:rFonts w:ascii="Arial" w:hAnsi="Arial" w:cs="Arial"/>
              </w:rPr>
              <w:t>8 (57%)</w:t>
            </w:r>
          </w:p>
        </w:tc>
      </w:tr>
      <w:tr w:rsidR="007C00D0" w:rsidRPr="00E16339" w14:paraId="4F0B2B29" w14:textId="77777777" w:rsidTr="00E16339">
        <w:trPr>
          <w:jc w:val="center"/>
        </w:trPr>
        <w:tc>
          <w:tcPr>
            <w:cnfStyle w:val="000010000000" w:firstRow="0" w:lastRow="0" w:firstColumn="0" w:lastColumn="0" w:oddVBand="1" w:evenVBand="0" w:oddHBand="0" w:evenHBand="0" w:firstRowFirstColumn="0" w:firstRowLastColumn="0" w:lastRowFirstColumn="0" w:lastRowLastColumn="0"/>
            <w:tcW w:w="0" w:type="auto"/>
          </w:tcPr>
          <w:p w14:paraId="1BFB58BF" w14:textId="77777777" w:rsidR="007C00D0" w:rsidRPr="00E16339" w:rsidRDefault="007C00D0" w:rsidP="00F86E46">
            <w:pPr>
              <w:spacing w:after="160" w:line="259" w:lineRule="auto"/>
              <w:jc w:val="both"/>
              <w:rPr>
                <w:rFonts w:ascii="Arial" w:hAnsi="Arial" w:cs="Arial"/>
              </w:rPr>
            </w:pPr>
            <w:r w:rsidRPr="00E16339">
              <w:rPr>
                <w:rFonts w:ascii="Arial" w:hAnsi="Arial" w:cs="Arial"/>
              </w:rPr>
              <w:t>Infections (sepsis, nosocomial)</w:t>
            </w:r>
          </w:p>
        </w:tc>
        <w:tc>
          <w:tcPr>
            <w:tcW w:w="0" w:type="auto"/>
          </w:tcPr>
          <w:p w14:paraId="14886158" w14:textId="77777777" w:rsidR="007C00D0" w:rsidRPr="00E16339" w:rsidRDefault="007C00D0" w:rsidP="00F86E46">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E16339">
              <w:rPr>
                <w:rFonts w:ascii="Arial" w:hAnsi="Arial" w:cs="Arial"/>
              </w:rPr>
              <w:t>6 (42%)</w:t>
            </w:r>
          </w:p>
        </w:tc>
      </w:tr>
      <w:tr w:rsidR="007C00D0" w:rsidRPr="00E16339" w14:paraId="0054BAD4" w14:textId="77777777" w:rsidTr="00E16339">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0" w:type="auto"/>
          </w:tcPr>
          <w:p w14:paraId="7A839497" w14:textId="77777777" w:rsidR="007C00D0" w:rsidRPr="00E16339" w:rsidRDefault="007C00D0" w:rsidP="00F86E46">
            <w:pPr>
              <w:spacing w:after="160" w:line="259" w:lineRule="auto"/>
              <w:jc w:val="both"/>
              <w:rPr>
                <w:rFonts w:ascii="Arial" w:hAnsi="Arial" w:cs="Arial"/>
              </w:rPr>
            </w:pPr>
            <w:r w:rsidRPr="00E16339">
              <w:rPr>
                <w:rFonts w:ascii="Arial" w:hAnsi="Arial" w:cs="Arial"/>
              </w:rPr>
              <w:t>Congenital anomalies</w:t>
            </w:r>
          </w:p>
        </w:tc>
        <w:tc>
          <w:tcPr>
            <w:tcW w:w="0" w:type="auto"/>
          </w:tcPr>
          <w:p w14:paraId="24E856C0" w14:textId="77777777" w:rsidR="007C00D0" w:rsidRPr="00E16339" w:rsidRDefault="007C00D0" w:rsidP="00F86E46">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E16339">
              <w:rPr>
                <w:rFonts w:ascii="Arial" w:hAnsi="Arial" w:cs="Arial"/>
              </w:rPr>
              <w:t>3 (21%)</w:t>
            </w:r>
          </w:p>
        </w:tc>
      </w:tr>
      <w:tr w:rsidR="007C00D0" w:rsidRPr="00E16339" w14:paraId="621737DA" w14:textId="77777777" w:rsidTr="00E16339">
        <w:trPr>
          <w:jc w:val="center"/>
        </w:trPr>
        <w:tc>
          <w:tcPr>
            <w:cnfStyle w:val="000010000000" w:firstRow="0" w:lastRow="0" w:firstColumn="0" w:lastColumn="0" w:oddVBand="1" w:evenVBand="0" w:oddHBand="0" w:evenHBand="0" w:firstRowFirstColumn="0" w:firstRowLastColumn="0" w:lastRowFirstColumn="0" w:lastRowLastColumn="0"/>
            <w:tcW w:w="0" w:type="auto"/>
          </w:tcPr>
          <w:p w14:paraId="4D8FF789" w14:textId="77777777" w:rsidR="007C00D0" w:rsidRPr="00E16339" w:rsidRDefault="007C00D0" w:rsidP="00F86E46">
            <w:pPr>
              <w:spacing w:after="160" w:line="259" w:lineRule="auto"/>
              <w:jc w:val="both"/>
              <w:rPr>
                <w:rFonts w:ascii="Arial" w:hAnsi="Arial" w:cs="Arial"/>
              </w:rPr>
            </w:pPr>
            <w:r w:rsidRPr="00E16339">
              <w:rPr>
                <w:rFonts w:ascii="Arial" w:hAnsi="Arial" w:cs="Arial"/>
              </w:rPr>
              <w:t>NEC</w:t>
            </w:r>
          </w:p>
        </w:tc>
        <w:tc>
          <w:tcPr>
            <w:tcW w:w="0" w:type="auto"/>
          </w:tcPr>
          <w:p w14:paraId="2718162B" w14:textId="77777777" w:rsidR="007C00D0" w:rsidRPr="00E16339" w:rsidRDefault="007C00D0" w:rsidP="00F86E46">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E16339">
              <w:rPr>
                <w:rFonts w:ascii="Arial" w:hAnsi="Arial" w:cs="Arial"/>
              </w:rPr>
              <w:t>2 (14%)</w:t>
            </w:r>
          </w:p>
        </w:tc>
      </w:tr>
      <w:tr w:rsidR="007C00D0" w:rsidRPr="00E16339" w14:paraId="7F3A3B40" w14:textId="77777777" w:rsidTr="00E16339">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0" w:type="auto"/>
          </w:tcPr>
          <w:p w14:paraId="2FC683EF" w14:textId="77777777" w:rsidR="007C00D0" w:rsidRPr="00E16339" w:rsidRDefault="007C00D0" w:rsidP="00F86E46">
            <w:pPr>
              <w:spacing w:after="160" w:line="259" w:lineRule="auto"/>
              <w:jc w:val="both"/>
              <w:rPr>
                <w:rFonts w:ascii="Arial" w:hAnsi="Arial" w:cs="Arial"/>
              </w:rPr>
            </w:pPr>
            <w:r w:rsidRPr="00E16339">
              <w:rPr>
                <w:rFonts w:ascii="Arial" w:hAnsi="Arial" w:cs="Arial"/>
              </w:rPr>
              <w:t>IVH</w:t>
            </w:r>
          </w:p>
        </w:tc>
        <w:tc>
          <w:tcPr>
            <w:tcW w:w="0" w:type="auto"/>
          </w:tcPr>
          <w:p w14:paraId="6DC02437" w14:textId="77777777" w:rsidR="007C00D0" w:rsidRPr="00E16339" w:rsidRDefault="007C00D0" w:rsidP="00F86E46">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E16339">
              <w:rPr>
                <w:rFonts w:ascii="Arial" w:hAnsi="Arial" w:cs="Arial"/>
              </w:rPr>
              <w:t>1 (7%)</w:t>
            </w:r>
          </w:p>
        </w:tc>
      </w:tr>
      <w:tr w:rsidR="007C00D0" w:rsidRPr="00E16339" w14:paraId="5053FA4F" w14:textId="77777777" w:rsidTr="00E16339">
        <w:trPr>
          <w:jc w:val="center"/>
        </w:trPr>
        <w:tc>
          <w:tcPr>
            <w:cnfStyle w:val="000010000000" w:firstRow="0" w:lastRow="0" w:firstColumn="0" w:lastColumn="0" w:oddVBand="1" w:evenVBand="0" w:oddHBand="0" w:evenHBand="0" w:firstRowFirstColumn="0" w:firstRowLastColumn="0" w:lastRowFirstColumn="0" w:lastRowLastColumn="0"/>
            <w:tcW w:w="0" w:type="auto"/>
          </w:tcPr>
          <w:p w14:paraId="78000E64" w14:textId="77777777" w:rsidR="007C00D0" w:rsidRPr="00E16339" w:rsidRDefault="007C00D0" w:rsidP="00F86E46">
            <w:pPr>
              <w:spacing w:after="160" w:line="259" w:lineRule="auto"/>
              <w:jc w:val="both"/>
              <w:rPr>
                <w:rFonts w:ascii="Arial" w:hAnsi="Arial" w:cs="Arial"/>
              </w:rPr>
            </w:pPr>
            <w:r w:rsidRPr="00E16339">
              <w:rPr>
                <w:rFonts w:ascii="Arial" w:hAnsi="Arial" w:cs="Arial"/>
              </w:rPr>
              <w:t>Metabolic complications</w:t>
            </w:r>
          </w:p>
        </w:tc>
        <w:tc>
          <w:tcPr>
            <w:tcW w:w="0" w:type="auto"/>
          </w:tcPr>
          <w:p w14:paraId="3535142E" w14:textId="77777777" w:rsidR="007C00D0" w:rsidRPr="00E16339" w:rsidRDefault="007C00D0" w:rsidP="00F86E46">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E16339">
              <w:rPr>
                <w:rFonts w:ascii="Arial" w:hAnsi="Arial" w:cs="Arial"/>
              </w:rPr>
              <w:t>1 (7%)</w:t>
            </w:r>
          </w:p>
        </w:tc>
      </w:tr>
    </w:tbl>
    <w:p w14:paraId="40B67B1F" w14:textId="77777777" w:rsidR="007C00D0" w:rsidRPr="00E16339" w:rsidRDefault="007C00D0" w:rsidP="007C00D0">
      <w:pPr>
        <w:spacing w:after="160" w:line="259" w:lineRule="auto"/>
        <w:jc w:val="both"/>
        <w:rPr>
          <w:rFonts w:ascii="Arial" w:hAnsi="Arial" w:cs="Arial"/>
        </w:rPr>
      </w:pPr>
      <w:r w:rsidRPr="00E16339">
        <w:rPr>
          <w:rFonts w:ascii="Arial" w:hAnsi="Arial" w:cs="Arial"/>
        </w:rPr>
        <w:t>Table 3. Timing of death by cause.</w:t>
      </w:r>
    </w:p>
    <w:tbl>
      <w:tblPr>
        <w:tblStyle w:val="ListTable2-Accent4"/>
        <w:tblW w:w="5000" w:type="pct"/>
        <w:tblLayout w:type="fixed"/>
        <w:tblLook w:val="0020" w:firstRow="1" w:lastRow="0" w:firstColumn="0" w:lastColumn="0" w:noHBand="0" w:noVBand="0"/>
      </w:tblPr>
      <w:tblGrid>
        <w:gridCol w:w="3699"/>
        <w:gridCol w:w="1850"/>
        <w:gridCol w:w="1850"/>
        <w:gridCol w:w="809"/>
      </w:tblGrid>
      <w:tr w:rsidR="007C00D0" w:rsidRPr="00E16339" w14:paraId="12704707" w14:textId="77777777" w:rsidTr="00E16339">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69" w:type="dxa"/>
          </w:tcPr>
          <w:p w14:paraId="339E269C" w14:textId="77777777" w:rsidR="007C00D0" w:rsidRPr="00E16339" w:rsidRDefault="007C00D0" w:rsidP="00F86E46">
            <w:pPr>
              <w:spacing w:after="160" w:line="259" w:lineRule="auto"/>
              <w:jc w:val="both"/>
              <w:rPr>
                <w:rFonts w:ascii="Arial" w:hAnsi="Arial" w:cs="Arial"/>
              </w:rPr>
            </w:pPr>
            <w:r w:rsidRPr="00E16339">
              <w:rPr>
                <w:rFonts w:ascii="Arial" w:hAnsi="Arial" w:cs="Arial"/>
              </w:rPr>
              <w:t>Cause of death</w:t>
            </w:r>
          </w:p>
        </w:tc>
        <w:tc>
          <w:tcPr>
            <w:tcW w:w="1784" w:type="dxa"/>
          </w:tcPr>
          <w:p w14:paraId="553BFA0C" w14:textId="77777777" w:rsidR="007C00D0" w:rsidRPr="00E16339" w:rsidRDefault="007C00D0" w:rsidP="00F86E46">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E16339">
              <w:rPr>
                <w:rFonts w:ascii="Arial" w:hAnsi="Arial" w:cs="Arial"/>
              </w:rPr>
              <w:t>Early (&lt;7 days)</w:t>
            </w:r>
          </w:p>
        </w:tc>
        <w:tc>
          <w:tcPr>
            <w:cnfStyle w:val="000010000000" w:firstRow="0" w:lastRow="0" w:firstColumn="0" w:lastColumn="0" w:oddVBand="1" w:evenVBand="0" w:oddHBand="0" w:evenHBand="0" w:firstRowFirstColumn="0" w:firstRowLastColumn="0" w:lastRowFirstColumn="0" w:lastRowLastColumn="0"/>
            <w:tcW w:w="1784" w:type="dxa"/>
          </w:tcPr>
          <w:p w14:paraId="78F49438" w14:textId="77777777" w:rsidR="007C00D0" w:rsidRPr="00E16339" w:rsidRDefault="007C00D0" w:rsidP="00F86E46">
            <w:pPr>
              <w:spacing w:after="160" w:line="259" w:lineRule="auto"/>
              <w:jc w:val="both"/>
              <w:rPr>
                <w:rFonts w:ascii="Arial" w:hAnsi="Arial" w:cs="Arial"/>
              </w:rPr>
            </w:pPr>
            <w:r w:rsidRPr="00E16339">
              <w:rPr>
                <w:rFonts w:ascii="Arial" w:hAnsi="Arial" w:cs="Arial"/>
              </w:rPr>
              <w:t>Late (≥7 days)</w:t>
            </w:r>
          </w:p>
        </w:tc>
        <w:tc>
          <w:tcPr>
            <w:tcW w:w="780" w:type="dxa"/>
          </w:tcPr>
          <w:p w14:paraId="59E71DD4" w14:textId="77777777" w:rsidR="007C00D0" w:rsidRPr="00E16339" w:rsidRDefault="007C00D0" w:rsidP="00F86E46">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E16339">
              <w:rPr>
                <w:rFonts w:ascii="Arial" w:hAnsi="Arial" w:cs="Arial"/>
              </w:rPr>
              <w:t>Total</w:t>
            </w:r>
          </w:p>
        </w:tc>
      </w:tr>
      <w:tr w:rsidR="007C00D0" w:rsidRPr="00E16339" w14:paraId="12C2D1B9" w14:textId="77777777" w:rsidTr="00E1633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69" w:type="dxa"/>
          </w:tcPr>
          <w:p w14:paraId="7861986E" w14:textId="77777777" w:rsidR="007C00D0" w:rsidRPr="00E16339" w:rsidRDefault="007C00D0" w:rsidP="00F86E46">
            <w:pPr>
              <w:spacing w:after="160" w:line="259" w:lineRule="auto"/>
              <w:jc w:val="both"/>
              <w:rPr>
                <w:rFonts w:ascii="Arial" w:hAnsi="Arial" w:cs="Arial"/>
              </w:rPr>
            </w:pPr>
            <w:r w:rsidRPr="00E16339">
              <w:rPr>
                <w:rFonts w:ascii="Arial" w:hAnsi="Arial" w:cs="Arial"/>
              </w:rPr>
              <w:t>RDS</w:t>
            </w:r>
          </w:p>
        </w:tc>
        <w:tc>
          <w:tcPr>
            <w:tcW w:w="1784" w:type="dxa"/>
          </w:tcPr>
          <w:p w14:paraId="53219957" w14:textId="77777777" w:rsidR="007C00D0" w:rsidRPr="00E16339" w:rsidRDefault="007C00D0" w:rsidP="00F86E46">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E16339">
              <w:rPr>
                <w:rFonts w:ascii="Arial" w:hAnsi="Arial" w:cs="Arial"/>
              </w:rPr>
              <w:t>3</w:t>
            </w:r>
          </w:p>
        </w:tc>
        <w:tc>
          <w:tcPr>
            <w:cnfStyle w:val="000010000000" w:firstRow="0" w:lastRow="0" w:firstColumn="0" w:lastColumn="0" w:oddVBand="1" w:evenVBand="0" w:oddHBand="0" w:evenHBand="0" w:firstRowFirstColumn="0" w:firstRowLastColumn="0" w:lastRowFirstColumn="0" w:lastRowLastColumn="0"/>
            <w:tcW w:w="1784" w:type="dxa"/>
          </w:tcPr>
          <w:p w14:paraId="4B046F4E" w14:textId="77777777" w:rsidR="007C00D0" w:rsidRPr="00E16339" w:rsidRDefault="007C00D0" w:rsidP="00F86E46">
            <w:pPr>
              <w:spacing w:after="160" w:line="259" w:lineRule="auto"/>
              <w:jc w:val="both"/>
              <w:rPr>
                <w:rFonts w:ascii="Arial" w:hAnsi="Arial" w:cs="Arial"/>
              </w:rPr>
            </w:pPr>
            <w:r w:rsidRPr="00E16339">
              <w:rPr>
                <w:rFonts w:ascii="Arial" w:hAnsi="Arial" w:cs="Arial"/>
              </w:rPr>
              <w:t>0</w:t>
            </w:r>
          </w:p>
        </w:tc>
        <w:tc>
          <w:tcPr>
            <w:tcW w:w="780" w:type="dxa"/>
          </w:tcPr>
          <w:p w14:paraId="042ECEDE" w14:textId="77777777" w:rsidR="007C00D0" w:rsidRPr="00E16339" w:rsidRDefault="007C00D0" w:rsidP="00F86E46">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E16339">
              <w:rPr>
                <w:rFonts w:ascii="Arial" w:hAnsi="Arial" w:cs="Arial"/>
              </w:rPr>
              <w:t>3</w:t>
            </w:r>
          </w:p>
        </w:tc>
      </w:tr>
      <w:tr w:rsidR="007C00D0" w:rsidRPr="00E16339" w14:paraId="1800D424" w14:textId="77777777" w:rsidTr="00E16339">
        <w:tc>
          <w:tcPr>
            <w:cnfStyle w:val="000010000000" w:firstRow="0" w:lastRow="0" w:firstColumn="0" w:lastColumn="0" w:oddVBand="1" w:evenVBand="0" w:oddHBand="0" w:evenHBand="0" w:firstRowFirstColumn="0" w:firstRowLastColumn="0" w:lastRowFirstColumn="0" w:lastRowLastColumn="0"/>
            <w:tcW w:w="3569" w:type="dxa"/>
          </w:tcPr>
          <w:p w14:paraId="56F46D17" w14:textId="77777777" w:rsidR="007C00D0" w:rsidRPr="00E16339" w:rsidRDefault="007C00D0" w:rsidP="00F86E46">
            <w:pPr>
              <w:spacing w:after="160" w:line="259" w:lineRule="auto"/>
              <w:jc w:val="both"/>
              <w:rPr>
                <w:rFonts w:ascii="Arial" w:hAnsi="Arial" w:cs="Arial"/>
              </w:rPr>
            </w:pPr>
            <w:r w:rsidRPr="00E16339">
              <w:rPr>
                <w:rFonts w:ascii="Arial" w:hAnsi="Arial" w:cs="Arial"/>
              </w:rPr>
              <w:t>Infections</w:t>
            </w:r>
          </w:p>
        </w:tc>
        <w:tc>
          <w:tcPr>
            <w:tcW w:w="1784" w:type="dxa"/>
          </w:tcPr>
          <w:p w14:paraId="7A09DEBF" w14:textId="77777777" w:rsidR="007C00D0" w:rsidRPr="00E16339" w:rsidRDefault="007C00D0" w:rsidP="00F86E46">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E16339">
              <w:rPr>
                <w:rFonts w:ascii="Arial" w:hAnsi="Arial" w:cs="Arial"/>
              </w:rPr>
              <w:t>0</w:t>
            </w:r>
          </w:p>
        </w:tc>
        <w:tc>
          <w:tcPr>
            <w:cnfStyle w:val="000010000000" w:firstRow="0" w:lastRow="0" w:firstColumn="0" w:lastColumn="0" w:oddVBand="1" w:evenVBand="0" w:oddHBand="0" w:evenHBand="0" w:firstRowFirstColumn="0" w:firstRowLastColumn="0" w:lastRowFirstColumn="0" w:lastRowLastColumn="0"/>
            <w:tcW w:w="1784" w:type="dxa"/>
          </w:tcPr>
          <w:p w14:paraId="67B34BF5" w14:textId="77777777" w:rsidR="007C00D0" w:rsidRPr="00E16339" w:rsidRDefault="007C00D0" w:rsidP="00F86E46">
            <w:pPr>
              <w:spacing w:after="160" w:line="259" w:lineRule="auto"/>
              <w:jc w:val="both"/>
              <w:rPr>
                <w:rFonts w:ascii="Arial" w:hAnsi="Arial" w:cs="Arial"/>
              </w:rPr>
            </w:pPr>
            <w:r w:rsidRPr="00E16339">
              <w:rPr>
                <w:rFonts w:ascii="Arial" w:hAnsi="Arial" w:cs="Arial"/>
              </w:rPr>
              <w:t>8</w:t>
            </w:r>
          </w:p>
        </w:tc>
        <w:tc>
          <w:tcPr>
            <w:tcW w:w="780" w:type="dxa"/>
          </w:tcPr>
          <w:p w14:paraId="6475D888" w14:textId="77777777" w:rsidR="007C00D0" w:rsidRPr="00E16339" w:rsidRDefault="007C00D0" w:rsidP="00F86E46">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E16339">
              <w:rPr>
                <w:rFonts w:ascii="Arial" w:hAnsi="Arial" w:cs="Arial"/>
              </w:rPr>
              <w:t>8</w:t>
            </w:r>
          </w:p>
        </w:tc>
      </w:tr>
      <w:tr w:rsidR="007C00D0" w:rsidRPr="00E16339" w14:paraId="14D2E642" w14:textId="77777777" w:rsidTr="00E1633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69" w:type="dxa"/>
          </w:tcPr>
          <w:p w14:paraId="72D730C8" w14:textId="77777777" w:rsidR="007C00D0" w:rsidRPr="00E16339" w:rsidRDefault="007C00D0" w:rsidP="00F86E46">
            <w:pPr>
              <w:spacing w:after="160" w:line="259" w:lineRule="auto"/>
              <w:jc w:val="both"/>
              <w:rPr>
                <w:rFonts w:ascii="Arial" w:hAnsi="Arial" w:cs="Arial"/>
              </w:rPr>
            </w:pPr>
            <w:r w:rsidRPr="00E16339">
              <w:rPr>
                <w:rFonts w:ascii="Arial" w:hAnsi="Arial" w:cs="Arial"/>
              </w:rPr>
              <w:t>Congenital anomalies</w:t>
            </w:r>
          </w:p>
        </w:tc>
        <w:tc>
          <w:tcPr>
            <w:tcW w:w="1784" w:type="dxa"/>
          </w:tcPr>
          <w:p w14:paraId="44776257" w14:textId="77777777" w:rsidR="007C00D0" w:rsidRPr="00E16339" w:rsidRDefault="007C00D0" w:rsidP="00F86E46">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E16339">
              <w:rPr>
                <w:rFonts w:ascii="Arial" w:hAnsi="Arial" w:cs="Arial"/>
              </w:rPr>
              <w:t>0</w:t>
            </w:r>
          </w:p>
        </w:tc>
        <w:tc>
          <w:tcPr>
            <w:cnfStyle w:val="000010000000" w:firstRow="0" w:lastRow="0" w:firstColumn="0" w:lastColumn="0" w:oddVBand="1" w:evenVBand="0" w:oddHBand="0" w:evenHBand="0" w:firstRowFirstColumn="0" w:firstRowLastColumn="0" w:lastRowFirstColumn="0" w:lastRowLastColumn="0"/>
            <w:tcW w:w="1784" w:type="dxa"/>
          </w:tcPr>
          <w:p w14:paraId="33047CD9" w14:textId="77777777" w:rsidR="007C00D0" w:rsidRPr="00E16339" w:rsidRDefault="007C00D0" w:rsidP="00F86E46">
            <w:pPr>
              <w:spacing w:after="160" w:line="259" w:lineRule="auto"/>
              <w:jc w:val="both"/>
              <w:rPr>
                <w:rFonts w:ascii="Arial" w:hAnsi="Arial" w:cs="Arial"/>
              </w:rPr>
            </w:pPr>
            <w:r w:rsidRPr="00E16339">
              <w:rPr>
                <w:rFonts w:ascii="Arial" w:hAnsi="Arial" w:cs="Arial"/>
              </w:rPr>
              <w:t>3</w:t>
            </w:r>
          </w:p>
        </w:tc>
        <w:tc>
          <w:tcPr>
            <w:tcW w:w="780" w:type="dxa"/>
          </w:tcPr>
          <w:p w14:paraId="4E36511F" w14:textId="77777777" w:rsidR="007C00D0" w:rsidRPr="00E16339" w:rsidRDefault="007C00D0" w:rsidP="00F86E46">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E16339">
              <w:rPr>
                <w:rFonts w:ascii="Arial" w:hAnsi="Arial" w:cs="Arial"/>
              </w:rPr>
              <w:t>3</w:t>
            </w:r>
          </w:p>
        </w:tc>
      </w:tr>
      <w:tr w:rsidR="007C00D0" w:rsidRPr="00E16339" w14:paraId="7CD08821" w14:textId="77777777" w:rsidTr="00E16339">
        <w:tc>
          <w:tcPr>
            <w:cnfStyle w:val="000010000000" w:firstRow="0" w:lastRow="0" w:firstColumn="0" w:lastColumn="0" w:oddVBand="1" w:evenVBand="0" w:oddHBand="0" w:evenHBand="0" w:firstRowFirstColumn="0" w:firstRowLastColumn="0" w:lastRowFirstColumn="0" w:lastRowLastColumn="0"/>
            <w:tcW w:w="3569" w:type="dxa"/>
          </w:tcPr>
          <w:p w14:paraId="79D83D34" w14:textId="77777777" w:rsidR="007C00D0" w:rsidRPr="00E16339" w:rsidRDefault="007C00D0" w:rsidP="00F86E46">
            <w:pPr>
              <w:spacing w:after="160" w:line="259" w:lineRule="auto"/>
              <w:jc w:val="both"/>
              <w:rPr>
                <w:rFonts w:ascii="Arial" w:hAnsi="Arial" w:cs="Arial"/>
              </w:rPr>
            </w:pPr>
            <w:r w:rsidRPr="00E16339">
              <w:rPr>
                <w:rFonts w:ascii="Arial" w:hAnsi="Arial" w:cs="Arial"/>
              </w:rPr>
              <w:t>Total</w:t>
            </w:r>
          </w:p>
        </w:tc>
        <w:tc>
          <w:tcPr>
            <w:tcW w:w="1784" w:type="dxa"/>
          </w:tcPr>
          <w:p w14:paraId="77B0DBD0" w14:textId="77777777" w:rsidR="007C00D0" w:rsidRPr="00E16339" w:rsidRDefault="007C00D0" w:rsidP="00F86E46">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E16339">
              <w:rPr>
                <w:rFonts w:ascii="Arial" w:hAnsi="Arial" w:cs="Arial"/>
              </w:rPr>
              <w:t>3</w:t>
            </w:r>
          </w:p>
        </w:tc>
        <w:tc>
          <w:tcPr>
            <w:cnfStyle w:val="000010000000" w:firstRow="0" w:lastRow="0" w:firstColumn="0" w:lastColumn="0" w:oddVBand="1" w:evenVBand="0" w:oddHBand="0" w:evenHBand="0" w:firstRowFirstColumn="0" w:firstRowLastColumn="0" w:lastRowFirstColumn="0" w:lastRowLastColumn="0"/>
            <w:tcW w:w="1784" w:type="dxa"/>
          </w:tcPr>
          <w:p w14:paraId="56EDB85E" w14:textId="77777777" w:rsidR="007C00D0" w:rsidRPr="00E16339" w:rsidRDefault="007C00D0" w:rsidP="00F86E46">
            <w:pPr>
              <w:spacing w:after="160" w:line="259" w:lineRule="auto"/>
              <w:jc w:val="both"/>
              <w:rPr>
                <w:rFonts w:ascii="Arial" w:hAnsi="Arial" w:cs="Arial"/>
              </w:rPr>
            </w:pPr>
            <w:r w:rsidRPr="00E16339">
              <w:rPr>
                <w:rFonts w:ascii="Arial" w:hAnsi="Arial" w:cs="Arial"/>
              </w:rPr>
              <w:t>11</w:t>
            </w:r>
          </w:p>
        </w:tc>
        <w:tc>
          <w:tcPr>
            <w:tcW w:w="780" w:type="dxa"/>
          </w:tcPr>
          <w:p w14:paraId="78C6C716" w14:textId="77777777" w:rsidR="007C00D0" w:rsidRPr="00E16339" w:rsidRDefault="007C00D0" w:rsidP="00F86E46">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E16339">
              <w:rPr>
                <w:rFonts w:ascii="Arial" w:hAnsi="Arial" w:cs="Arial"/>
              </w:rPr>
              <w:t>14</w:t>
            </w:r>
          </w:p>
        </w:tc>
      </w:tr>
    </w:tbl>
    <w:p w14:paraId="670364FA" w14:textId="77777777" w:rsidR="007C00D0" w:rsidRPr="00E16339" w:rsidRDefault="000A44A6" w:rsidP="007C00D0">
      <w:pPr>
        <w:spacing w:after="160" w:line="259" w:lineRule="auto"/>
        <w:jc w:val="both"/>
        <w:rPr>
          <w:rFonts w:ascii="Arial" w:hAnsi="Arial" w:cs="Arial"/>
        </w:rPr>
      </w:pPr>
      <w:r>
        <w:rPr>
          <w:rFonts w:ascii="Arial" w:hAnsi="Arial" w:cs="Arial"/>
        </w:rPr>
        <w:pict w14:anchorId="348980B1">
          <v:rect id="_x0000_i1025" style="width:0;height:1.5pt" o:hralign="center" o:hrstd="t" o:hr="t"/>
        </w:pict>
      </w:r>
    </w:p>
    <w:bookmarkEnd w:id="4"/>
    <w:p w14:paraId="1CD63076" w14:textId="4FB0498C" w:rsidR="007C00D0" w:rsidRPr="00E16339" w:rsidRDefault="00053DF3" w:rsidP="00053DF3">
      <w:pPr>
        <w:pStyle w:val="Head1"/>
        <w:spacing w:after="0"/>
        <w:jc w:val="both"/>
      </w:pPr>
      <w:r w:rsidRPr="00E16339">
        <w:t xml:space="preserve">4. </w:t>
      </w:r>
      <w:r w:rsidR="007C00D0" w:rsidRPr="00E16339">
        <w:t>Discussion</w:t>
      </w:r>
    </w:p>
    <w:p w14:paraId="3193FBBC" w14:textId="213FC6B6" w:rsidR="002877A6" w:rsidRPr="00E16339" w:rsidRDefault="002877A6" w:rsidP="00362DA6">
      <w:pPr>
        <w:pStyle w:val="Body"/>
        <w:spacing w:after="0"/>
        <w:rPr>
          <w:rFonts w:ascii="Arial" w:hAnsi="Arial" w:cs="Arial"/>
        </w:rPr>
      </w:pPr>
    </w:p>
    <w:p w14:paraId="13EAA1B8" w14:textId="77777777" w:rsidR="007C00D0" w:rsidRPr="00E16339" w:rsidRDefault="007C00D0" w:rsidP="007C00D0">
      <w:pPr>
        <w:spacing w:after="160" w:line="259" w:lineRule="auto"/>
        <w:jc w:val="both"/>
        <w:rPr>
          <w:rFonts w:ascii="Arial" w:hAnsi="Arial" w:cs="Arial"/>
        </w:rPr>
      </w:pPr>
      <w:r w:rsidRPr="00E16339">
        <w:rPr>
          <w:rFonts w:ascii="Arial" w:hAnsi="Arial" w:cs="Arial"/>
        </w:rPr>
        <w:t>This retrospective case series provides insights into the mortality and morbidity associated with extreme prematurity. In our cohort, the majority were born before 30 weeks and weighed &lt;1500 g (Table 1), confirming immaturity and very low birth weight as major predictors of neonatal death [3,5].</w:t>
      </w:r>
    </w:p>
    <w:p w14:paraId="2B4ADAB3" w14:textId="77777777" w:rsidR="007C00D0" w:rsidRPr="00E16339" w:rsidRDefault="007C00D0" w:rsidP="007C00D0">
      <w:pPr>
        <w:spacing w:after="160" w:line="259" w:lineRule="auto"/>
        <w:jc w:val="both"/>
        <w:rPr>
          <w:rFonts w:ascii="Arial" w:hAnsi="Arial" w:cs="Arial"/>
        </w:rPr>
      </w:pPr>
      <w:bookmarkStart w:id="5" w:name="etiology-of-death-and-timing"/>
      <w:r w:rsidRPr="00E16339">
        <w:rPr>
          <w:rFonts w:ascii="Arial" w:hAnsi="Arial" w:cs="Arial"/>
        </w:rPr>
        <w:t>Etiology of Death and Timing</w:t>
      </w:r>
    </w:p>
    <w:p w14:paraId="71B4CA1C" w14:textId="77777777" w:rsidR="007C00D0" w:rsidRPr="00E16339" w:rsidRDefault="007C00D0" w:rsidP="007C00D0">
      <w:pPr>
        <w:spacing w:after="160" w:line="259" w:lineRule="auto"/>
        <w:jc w:val="both"/>
        <w:rPr>
          <w:rFonts w:ascii="Arial" w:hAnsi="Arial" w:cs="Arial"/>
        </w:rPr>
      </w:pPr>
      <w:r w:rsidRPr="00E16339">
        <w:rPr>
          <w:rFonts w:ascii="Arial" w:hAnsi="Arial" w:cs="Arial"/>
        </w:rPr>
        <w:t>The causes of death reflect a dual burden. RDS predominated at the lowest gestational ages and weights, infections occurred later in moderately preterm infants, and anomalies contributed across ages (Tables 2–3). Figure 1 confirms the etiological shift: RDS in the most immature, infections in those who survived longer, anomalies across groups. These findings are consistent with Ethiopia (RDS and asphyxia as predictors [5]), Tunisia (nosocomial infections in late deaths [7]), and HICs (&gt;80% survival at 25 weeks with antenatal corticosteroids and surfactant [3,9]).</w:t>
      </w:r>
    </w:p>
    <w:p w14:paraId="3FBA8025" w14:textId="77777777" w:rsidR="007C00D0" w:rsidRPr="00E16339" w:rsidRDefault="007C00D0" w:rsidP="007C00D0">
      <w:pPr>
        <w:spacing w:after="160" w:line="259" w:lineRule="auto"/>
        <w:jc w:val="both"/>
        <w:rPr>
          <w:rFonts w:ascii="Arial" w:hAnsi="Arial" w:cs="Arial"/>
        </w:rPr>
      </w:pPr>
      <w:bookmarkStart w:id="6" w:name="maternal-risk-factors"/>
      <w:bookmarkEnd w:id="5"/>
      <w:r w:rsidRPr="00E16339">
        <w:rPr>
          <w:rFonts w:ascii="Arial" w:hAnsi="Arial" w:cs="Arial"/>
        </w:rPr>
        <w:t>Maternal Risk Factors</w:t>
      </w:r>
    </w:p>
    <w:p w14:paraId="70D2DB89" w14:textId="77777777" w:rsidR="007C00D0" w:rsidRPr="00E16339" w:rsidRDefault="007C00D0" w:rsidP="007C00D0">
      <w:pPr>
        <w:spacing w:after="160" w:line="259" w:lineRule="auto"/>
        <w:jc w:val="both"/>
        <w:rPr>
          <w:rFonts w:ascii="Arial" w:hAnsi="Arial" w:cs="Arial"/>
        </w:rPr>
      </w:pPr>
      <w:r w:rsidRPr="00E16339">
        <w:rPr>
          <w:rFonts w:ascii="Arial" w:hAnsi="Arial" w:cs="Arial"/>
        </w:rPr>
        <w:t xml:space="preserve">Maternal age was an important determinant. In our series, 29% of mothers were ≥35 years (Table 1). Figure 2 shows their infants had lower gestational ages, likely linked to hypertensive disorders, preeclampsia, and placental abnormalities. This matches previous studies reporting </w:t>
      </w:r>
      <w:r w:rsidRPr="00E16339">
        <w:rPr>
          <w:rFonts w:ascii="Arial" w:hAnsi="Arial" w:cs="Arial"/>
        </w:rPr>
        <w:lastRenderedPageBreak/>
        <w:t>increased prematurity risk in mothers &gt;40 and &lt;17 years [6,7]. Limited antenatal care and socio-economic factors also play key roles in LMICs [8].</w:t>
      </w:r>
    </w:p>
    <w:bookmarkEnd w:id="6"/>
    <w:p w14:paraId="643D1DA3" w14:textId="77777777" w:rsidR="007C00D0" w:rsidRPr="00E16339" w:rsidRDefault="007C00D0" w:rsidP="007C00D0">
      <w:pPr>
        <w:spacing w:after="160" w:line="259" w:lineRule="auto"/>
        <w:jc w:val="both"/>
        <w:rPr>
          <w:rFonts w:ascii="Arial" w:hAnsi="Arial" w:cs="Arial"/>
        </w:rPr>
      </w:pPr>
      <w:r w:rsidRPr="00E16339">
        <w:rPr>
          <w:rFonts w:ascii="Arial" w:hAnsi="Arial" w:cs="Arial"/>
        </w:rPr>
        <w:t>Clinical and Public Health Implications</w:t>
      </w:r>
    </w:p>
    <w:p w14:paraId="17A6F49F" w14:textId="77777777" w:rsidR="007C00D0" w:rsidRPr="00E16339" w:rsidRDefault="007C00D0" w:rsidP="007C00D0">
      <w:pPr>
        <w:spacing w:after="160" w:line="259" w:lineRule="auto"/>
        <w:jc w:val="both"/>
        <w:rPr>
          <w:rFonts w:ascii="Arial" w:hAnsi="Arial" w:cs="Arial"/>
        </w:rPr>
      </w:pPr>
      <w:r w:rsidRPr="00E16339">
        <w:rPr>
          <w:rFonts w:ascii="Arial" w:hAnsi="Arial" w:cs="Arial"/>
        </w:rPr>
        <w:t>Our findings highlight that early deaths are mostly due to immaturity, while late deaths are preventable. Priorities include antenatal corticosteroids, early non-invasive ventilation, Kangaroo Mother Care, breastfeeding, and infection prevention [9,11,12]. Strengthening perinatal networks and access to evidence-based interventions is essential to reduce mortality gaps between low- and high-resource settings.</w:t>
      </w:r>
    </w:p>
    <w:p w14:paraId="04875461" w14:textId="77777777" w:rsidR="00E053D0" w:rsidRPr="00E16339" w:rsidRDefault="00E053D0" w:rsidP="00441B6F">
      <w:pPr>
        <w:pStyle w:val="Body"/>
        <w:spacing w:after="0"/>
        <w:rPr>
          <w:rFonts w:ascii="Arial" w:hAnsi="Arial" w:cs="Arial"/>
        </w:rPr>
      </w:pPr>
    </w:p>
    <w:p w14:paraId="56BCBBB1" w14:textId="77777777" w:rsidR="00790ADA" w:rsidRPr="00E16339" w:rsidRDefault="00790ADA" w:rsidP="00441B6F">
      <w:pPr>
        <w:pStyle w:val="Body"/>
        <w:spacing w:after="0"/>
        <w:rPr>
          <w:rFonts w:ascii="Arial" w:hAnsi="Arial" w:cs="Arial"/>
        </w:rPr>
      </w:pPr>
    </w:p>
    <w:p w14:paraId="217966D2" w14:textId="204A14BB" w:rsidR="00B01FCD" w:rsidRPr="00E16339" w:rsidRDefault="00053DF3" w:rsidP="00441B6F">
      <w:pPr>
        <w:pStyle w:val="ConcHead"/>
        <w:spacing w:after="0"/>
        <w:jc w:val="both"/>
        <w:rPr>
          <w:rFonts w:ascii="Arial" w:hAnsi="Arial" w:cs="Arial"/>
        </w:rPr>
      </w:pPr>
      <w:r w:rsidRPr="00E16339">
        <w:t>5</w:t>
      </w:r>
      <w:r w:rsidR="00000F8F" w:rsidRPr="00E16339">
        <w:t>. CONCLUSION</w:t>
      </w:r>
    </w:p>
    <w:p w14:paraId="0C47F998" w14:textId="2C1A25F5" w:rsidR="00B01FCD" w:rsidRPr="00E16339" w:rsidRDefault="00B01FCD" w:rsidP="00441B6F">
      <w:pPr>
        <w:pStyle w:val="Body"/>
        <w:spacing w:after="0"/>
        <w:rPr>
          <w:rFonts w:ascii="Arial" w:hAnsi="Arial" w:cs="Arial"/>
        </w:rPr>
      </w:pPr>
    </w:p>
    <w:p w14:paraId="70733D71" w14:textId="77777777" w:rsidR="00253381" w:rsidRPr="00E16339" w:rsidRDefault="00253381" w:rsidP="00253381">
      <w:pPr>
        <w:spacing w:after="160" w:line="259" w:lineRule="auto"/>
        <w:jc w:val="both"/>
        <w:rPr>
          <w:rFonts w:ascii="Arial" w:hAnsi="Arial" w:cs="Arial"/>
        </w:rPr>
      </w:pPr>
      <w:r w:rsidRPr="00E16339">
        <w:rPr>
          <w:rFonts w:ascii="Arial" w:hAnsi="Arial" w:cs="Arial"/>
        </w:rPr>
        <w:t>Neonatal mortality among preterm infants remains a major challenge, particularly in low- and middle-income countries where access to advanced neonatal intensive care is limited [2,5,7]. Our 14-case series confirms the predominance of respiratory distress, infections, and congenital anomalies as leading causes of death. Early neonatal deaths were mainly due to respiratory and neurological immaturity, whereas late deaths reflected the burden of nosocomial infections and necrotizing enterocolitis.</w:t>
      </w:r>
    </w:p>
    <w:p w14:paraId="10090AB2" w14:textId="77777777" w:rsidR="00253381" w:rsidRPr="00E16339" w:rsidRDefault="00253381" w:rsidP="00253381">
      <w:pPr>
        <w:spacing w:after="160" w:line="259" w:lineRule="auto"/>
        <w:jc w:val="both"/>
        <w:rPr>
          <w:rFonts w:ascii="Arial" w:hAnsi="Arial" w:cs="Arial"/>
        </w:rPr>
      </w:pPr>
      <w:r w:rsidRPr="00E16339">
        <w:rPr>
          <w:rFonts w:ascii="Arial" w:hAnsi="Arial" w:cs="Arial"/>
        </w:rPr>
        <w:t>Improving survival requires the systematic use of antenatal corticosteroids, promotion of Kangaroo Mother Care, early initiation of breastfeeding, and strengthened infection control practices [6,9,12]. Context-adapted strategies are essential to reduce preventable deaths and to narrow the survival gap between high- and low-resource settings.</w:t>
      </w:r>
    </w:p>
    <w:p w14:paraId="2A47F3EE" w14:textId="77777777" w:rsidR="002877A6" w:rsidRPr="00E16339" w:rsidRDefault="002877A6" w:rsidP="002877A6">
      <w:pPr>
        <w:pStyle w:val="Body"/>
        <w:spacing w:after="0"/>
        <w:rPr>
          <w:rFonts w:ascii="Arial" w:hAnsi="Arial" w:cs="Arial"/>
        </w:rPr>
      </w:pPr>
    </w:p>
    <w:p w14:paraId="403EE761" w14:textId="77777777" w:rsidR="00790ADA" w:rsidRPr="00E16339" w:rsidRDefault="00790ADA" w:rsidP="00441B6F">
      <w:pPr>
        <w:pStyle w:val="Body"/>
        <w:spacing w:after="0"/>
        <w:rPr>
          <w:rFonts w:ascii="Arial" w:hAnsi="Arial" w:cs="Arial"/>
        </w:rPr>
      </w:pPr>
    </w:p>
    <w:p w14:paraId="76B151EC" w14:textId="57708277" w:rsidR="002B685A" w:rsidRPr="00E16339" w:rsidRDefault="002B685A" w:rsidP="00441B6F">
      <w:pPr>
        <w:pStyle w:val="ReferHead"/>
        <w:spacing w:after="0"/>
        <w:jc w:val="both"/>
        <w:rPr>
          <w:rFonts w:ascii="Arial" w:hAnsi="Arial" w:cs="Arial"/>
          <w:bCs/>
        </w:rPr>
      </w:pPr>
      <w:r w:rsidRPr="00E16339">
        <w:rPr>
          <w:rFonts w:ascii="Arial" w:hAnsi="Arial" w:cs="Arial"/>
          <w:bCs/>
        </w:rPr>
        <w:t xml:space="preserve">Consent </w:t>
      </w:r>
    </w:p>
    <w:p w14:paraId="02A41273" w14:textId="77777777" w:rsidR="00A347C0" w:rsidRPr="00E16339" w:rsidRDefault="00A347C0" w:rsidP="00441B6F">
      <w:pPr>
        <w:pStyle w:val="ReferHead"/>
        <w:spacing w:after="0"/>
        <w:jc w:val="both"/>
        <w:rPr>
          <w:rFonts w:ascii="Arial" w:hAnsi="Arial" w:cs="Arial"/>
          <w:b w:val="0"/>
          <w:caps w:val="0"/>
          <w:sz w:val="20"/>
        </w:rPr>
      </w:pPr>
    </w:p>
    <w:p w14:paraId="041AA918" w14:textId="4963CD5D" w:rsidR="001A29D8" w:rsidRPr="00E16339" w:rsidRDefault="00595E84" w:rsidP="00441B6F">
      <w:pPr>
        <w:pStyle w:val="ReferHead"/>
        <w:spacing w:after="0"/>
        <w:jc w:val="both"/>
        <w:rPr>
          <w:rFonts w:ascii="Arial" w:hAnsi="Arial" w:cs="Arial"/>
          <w:b w:val="0"/>
          <w:caps w:val="0"/>
          <w:sz w:val="20"/>
        </w:rPr>
      </w:pPr>
      <w:r w:rsidRPr="00E16339">
        <w:rPr>
          <w:rFonts w:ascii="Arial" w:hAnsi="Arial" w:cs="Arial"/>
          <w:b w:val="0"/>
          <w:caps w:val="0"/>
          <w:sz w:val="20"/>
        </w:rPr>
        <w:t>Not applicable. Individual consent was not required as data were collected retrospectively and anonymized.</w:t>
      </w:r>
    </w:p>
    <w:p w14:paraId="0DD5B9E4" w14:textId="77777777" w:rsidR="005C784C" w:rsidRPr="00E16339" w:rsidRDefault="005C784C" w:rsidP="00441B6F">
      <w:pPr>
        <w:pStyle w:val="ReferHead"/>
        <w:spacing w:after="0"/>
        <w:jc w:val="both"/>
        <w:rPr>
          <w:rFonts w:ascii="Arial" w:hAnsi="Arial" w:cs="Arial"/>
          <w:b w:val="0"/>
          <w:caps w:val="0"/>
          <w:sz w:val="20"/>
        </w:rPr>
      </w:pPr>
    </w:p>
    <w:p w14:paraId="41BA3CED" w14:textId="524DB7C1" w:rsidR="009B7F54" w:rsidRPr="00E16339" w:rsidRDefault="005C784C" w:rsidP="00851E95">
      <w:pPr>
        <w:pStyle w:val="ReferHead"/>
        <w:spacing w:after="0"/>
        <w:jc w:val="both"/>
        <w:rPr>
          <w:rFonts w:ascii="Arial" w:hAnsi="Arial" w:cs="Arial"/>
          <w:bCs/>
        </w:rPr>
      </w:pPr>
      <w:r w:rsidRPr="00E16339">
        <w:rPr>
          <w:rFonts w:ascii="Arial" w:hAnsi="Arial" w:cs="Arial"/>
          <w:bCs/>
        </w:rPr>
        <w:t>Ethical approval</w:t>
      </w:r>
    </w:p>
    <w:p w14:paraId="4302F18A" w14:textId="77777777" w:rsidR="00851E95" w:rsidRPr="00E16339" w:rsidRDefault="00851E95" w:rsidP="00851E95">
      <w:pPr>
        <w:pStyle w:val="ReferHead"/>
        <w:spacing w:after="0"/>
        <w:jc w:val="both"/>
        <w:rPr>
          <w:rFonts w:ascii="Arial" w:hAnsi="Arial" w:cs="Arial"/>
          <w:bCs/>
        </w:rPr>
      </w:pPr>
    </w:p>
    <w:p w14:paraId="5B3F7414" w14:textId="734A5447" w:rsidR="00851E95" w:rsidRDefault="00851E95" w:rsidP="009B7F54">
      <w:pPr>
        <w:pStyle w:val="ReferHead"/>
        <w:spacing w:after="0"/>
        <w:jc w:val="both"/>
        <w:rPr>
          <w:rFonts w:ascii="Arial" w:hAnsi="Arial" w:cs="Arial"/>
          <w:b w:val="0"/>
          <w:caps w:val="0"/>
          <w:sz w:val="20"/>
        </w:rPr>
      </w:pPr>
      <w:r w:rsidRPr="00E16339">
        <w:rPr>
          <w:rFonts w:ascii="Arial" w:hAnsi="Arial" w:cs="Arial"/>
          <w:b w:val="0"/>
          <w:caps w:val="0"/>
          <w:sz w:val="20"/>
        </w:rPr>
        <w:t>Ethical approval: waived by the local Institutional Review Board (IRB) for retrospective anonymized chart review. Individual consent was not required.</w:t>
      </w:r>
    </w:p>
    <w:p w14:paraId="492BFF7E" w14:textId="77777777" w:rsidR="00535DF9" w:rsidRDefault="00535DF9" w:rsidP="009B7F54">
      <w:pPr>
        <w:pStyle w:val="ReferHead"/>
        <w:spacing w:after="0"/>
        <w:jc w:val="both"/>
        <w:rPr>
          <w:rFonts w:ascii="Arial" w:hAnsi="Arial" w:cs="Arial"/>
          <w:b w:val="0"/>
          <w:caps w:val="0"/>
          <w:sz w:val="20"/>
        </w:rPr>
      </w:pPr>
    </w:p>
    <w:p w14:paraId="7F88B482" w14:textId="77777777" w:rsidR="00535DF9" w:rsidRDefault="00535DF9" w:rsidP="009B7F54">
      <w:pPr>
        <w:pStyle w:val="ReferHead"/>
        <w:spacing w:after="0"/>
        <w:jc w:val="both"/>
        <w:rPr>
          <w:rFonts w:ascii="Arial" w:hAnsi="Arial" w:cs="Arial"/>
          <w:b w:val="0"/>
          <w:caps w:val="0"/>
          <w:sz w:val="20"/>
        </w:rPr>
      </w:pPr>
    </w:p>
    <w:p w14:paraId="3893851B" w14:textId="77777777" w:rsidR="00535DF9" w:rsidRPr="00E16339" w:rsidRDefault="00535DF9" w:rsidP="00535DF9">
      <w:pPr>
        <w:pStyle w:val="DefAcrHead"/>
        <w:spacing w:after="0"/>
        <w:jc w:val="both"/>
        <w:rPr>
          <w:rFonts w:ascii="Arial" w:hAnsi="Arial" w:cs="Arial"/>
        </w:rPr>
      </w:pPr>
      <w:r w:rsidRPr="00E16339">
        <w:rPr>
          <w:rFonts w:ascii="Arial" w:hAnsi="Arial" w:cs="Arial"/>
        </w:rPr>
        <w:t>Definitions, Acronyms, Abbreviations</w:t>
      </w:r>
    </w:p>
    <w:p w14:paraId="0E662ABD" w14:textId="77777777" w:rsidR="00535DF9" w:rsidRPr="00E16339" w:rsidRDefault="00535DF9" w:rsidP="00535DF9">
      <w:pPr>
        <w:pStyle w:val="Body"/>
        <w:spacing w:after="0"/>
        <w:jc w:val="left"/>
        <w:rPr>
          <w:rFonts w:ascii="Arial" w:hAnsi="Arial" w:cs="Arial"/>
          <w:b/>
          <w:bCs/>
        </w:rPr>
      </w:pPr>
      <w:r w:rsidRPr="00E16339">
        <w:rPr>
          <w:rFonts w:ascii="Arial" w:hAnsi="Arial" w:cs="Arial"/>
          <w:b/>
          <w:bCs/>
        </w:rPr>
        <w:t xml:space="preserve">GA: </w:t>
      </w:r>
      <w:r w:rsidRPr="00E16339">
        <w:rPr>
          <w:rFonts w:ascii="Arial" w:hAnsi="Arial" w:cs="Arial"/>
        </w:rPr>
        <w:t>Gestational Age</w:t>
      </w:r>
    </w:p>
    <w:p w14:paraId="0082448B" w14:textId="77777777" w:rsidR="00535DF9" w:rsidRPr="00E16339" w:rsidRDefault="00535DF9" w:rsidP="00535DF9">
      <w:pPr>
        <w:pStyle w:val="Body"/>
        <w:spacing w:after="0"/>
        <w:jc w:val="left"/>
        <w:rPr>
          <w:rFonts w:ascii="Arial" w:hAnsi="Arial" w:cs="Arial"/>
        </w:rPr>
      </w:pPr>
      <w:r w:rsidRPr="00E16339">
        <w:rPr>
          <w:rFonts w:ascii="Arial" w:hAnsi="Arial" w:cs="Arial"/>
          <w:b/>
          <w:bCs/>
        </w:rPr>
        <w:t xml:space="preserve">BW: </w:t>
      </w:r>
      <w:r w:rsidRPr="00E16339">
        <w:rPr>
          <w:rFonts w:ascii="Arial" w:hAnsi="Arial" w:cs="Arial"/>
        </w:rPr>
        <w:t>Birth Weight</w:t>
      </w:r>
    </w:p>
    <w:p w14:paraId="208C3E99" w14:textId="77777777" w:rsidR="00535DF9" w:rsidRPr="00E16339" w:rsidRDefault="00535DF9" w:rsidP="00535DF9">
      <w:pPr>
        <w:pStyle w:val="Body"/>
        <w:spacing w:after="0"/>
        <w:jc w:val="left"/>
        <w:rPr>
          <w:rFonts w:ascii="Arial" w:hAnsi="Arial" w:cs="Arial"/>
        </w:rPr>
      </w:pPr>
      <w:r w:rsidRPr="00E16339">
        <w:rPr>
          <w:rFonts w:ascii="Arial" w:hAnsi="Arial" w:cs="Arial"/>
          <w:b/>
          <w:bCs/>
        </w:rPr>
        <w:t xml:space="preserve">VLBW: </w:t>
      </w:r>
      <w:r w:rsidRPr="00E16339">
        <w:rPr>
          <w:rFonts w:ascii="Arial" w:hAnsi="Arial" w:cs="Arial"/>
        </w:rPr>
        <w:t>Very Low Birth Weight (&lt;1500 g)</w:t>
      </w:r>
    </w:p>
    <w:p w14:paraId="3F4A2C9B" w14:textId="77777777" w:rsidR="00535DF9" w:rsidRPr="00E16339" w:rsidRDefault="00535DF9" w:rsidP="00535DF9">
      <w:pPr>
        <w:pStyle w:val="Body"/>
        <w:spacing w:after="0"/>
        <w:jc w:val="left"/>
        <w:rPr>
          <w:rFonts w:ascii="Arial" w:hAnsi="Arial" w:cs="Arial"/>
        </w:rPr>
      </w:pPr>
      <w:r w:rsidRPr="00E16339">
        <w:rPr>
          <w:rFonts w:ascii="Arial" w:hAnsi="Arial" w:cs="Arial"/>
          <w:b/>
          <w:bCs/>
        </w:rPr>
        <w:t xml:space="preserve">ELBW: </w:t>
      </w:r>
      <w:r w:rsidRPr="00E16339">
        <w:rPr>
          <w:rFonts w:ascii="Arial" w:hAnsi="Arial" w:cs="Arial"/>
        </w:rPr>
        <w:t>Extremely Low Birth Weight (&lt;1000 g)</w:t>
      </w:r>
    </w:p>
    <w:p w14:paraId="1B9DFE0E" w14:textId="77777777" w:rsidR="00535DF9" w:rsidRPr="00E16339" w:rsidRDefault="00535DF9" w:rsidP="00535DF9">
      <w:pPr>
        <w:pStyle w:val="Body"/>
        <w:spacing w:after="0"/>
        <w:jc w:val="left"/>
        <w:rPr>
          <w:rFonts w:ascii="Arial" w:hAnsi="Arial" w:cs="Arial"/>
        </w:rPr>
      </w:pPr>
      <w:r w:rsidRPr="00E16339">
        <w:rPr>
          <w:rFonts w:ascii="Arial" w:hAnsi="Arial" w:cs="Arial"/>
          <w:b/>
          <w:bCs/>
        </w:rPr>
        <w:t xml:space="preserve">RDS: </w:t>
      </w:r>
      <w:r w:rsidRPr="00E16339">
        <w:rPr>
          <w:rFonts w:ascii="Arial" w:hAnsi="Arial" w:cs="Arial"/>
        </w:rPr>
        <w:t>Respiratory Distress Syndrome</w:t>
      </w:r>
    </w:p>
    <w:p w14:paraId="172822AD" w14:textId="77777777" w:rsidR="00535DF9" w:rsidRPr="00E16339" w:rsidRDefault="00535DF9" w:rsidP="00535DF9">
      <w:pPr>
        <w:pStyle w:val="Body"/>
        <w:spacing w:after="0"/>
        <w:jc w:val="left"/>
        <w:rPr>
          <w:rFonts w:ascii="Arial" w:hAnsi="Arial" w:cs="Arial"/>
        </w:rPr>
      </w:pPr>
      <w:r w:rsidRPr="00E16339">
        <w:rPr>
          <w:rFonts w:ascii="Arial" w:hAnsi="Arial" w:cs="Arial"/>
          <w:b/>
          <w:bCs/>
        </w:rPr>
        <w:t xml:space="preserve">NEC: </w:t>
      </w:r>
      <w:r w:rsidRPr="00E16339">
        <w:rPr>
          <w:rFonts w:ascii="Arial" w:hAnsi="Arial" w:cs="Arial"/>
        </w:rPr>
        <w:t>Necrotizing Enterocolitis</w:t>
      </w:r>
    </w:p>
    <w:p w14:paraId="79C6F42D" w14:textId="77777777" w:rsidR="00535DF9" w:rsidRPr="00E16339" w:rsidRDefault="00535DF9" w:rsidP="00535DF9">
      <w:pPr>
        <w:pStyle w:val="Body"/>
        <w:spacing w:after="0"/>
        <w:jc w:val="left"/>
        <w:rPr>
          <w:rFonts w:ascii="Arial" w:hAnsi="Arial" w:cs="Arial"/>
        </w:rPr>
      </w:pPr>
      <w:r w:rsidRPr="00E16339">
        <w:rPr>
          <w:rFonts w:ascii="Arial" w:hAnsi="Arial" w:cs="Arial"/>
          <w:b/>
          <w:bCs/>
        </w:rPr>
        <w:t xml:space="preserve">IVH: </w:t>
      </w:r>
      <w:r w:rsidRPr="00E16339">
        <w:rPr>
          <w:rFonts w:ascii="Arial" w:hAnsi="Arial" w:cs="Arial"/>
        </w:rPr>
        <w:t>Intraventricular Hemorrhage</w:t>
      </w:r>
    </w:p>
    <w:p w14:paraId="60925E6D" w14:textId="77777777" w:rsidR="00535DF9" w:rsidRPr="00E16339" w:rsidRDefault="00535DF9" w:rsidP="00535DF9">
      <w:pPr>
        <w:pStyle w:val="Body"/>
        <w:spacing w:after="0"/>
        <w:jc w:val="left"/>
        <w:rPr>
          <w:rFonts w:ascii="Arial" w:hAnsi="Arial" w:cs="Arial"/>
        </w:rPr>
      </w:pPr>
      <w:r w:rsidRPr="00E16339">
        <w:rPr>
          <w:rFonts w:ascii="Arial" w:hAnsi="Arial" w:cs="Arial"/>
          <w:b/>
          <w:bCs/>
        </w:rPr>
        <w:t xml:space="preserve">KMC: </w:t>
      </w:r>
      <w:r w:rsidRPr="00E16339">
        <w:rPr>
          <w:rFonts w:ascii="Arial" w:hAnsi="Arial" w:cs="Arial"/>
        </w:rPr>
        <w:t>Kangaroo Mother Care</w:t>
      </w:r>
    </w:p>
    <w:p w14:paraId="6A3D7401" w14:textId="77777777" w:rsidR="00535DF9" w:rsidRPr="003108CB" w:rsidRDefault="00535DF9" w:rsidP="00535DF9">
      <w:pPr>
        <w:pStyle w:val="Body"/>
        <w:spacing w:after="0"/>
        <w:jc w:val="left"/>
        <w:rPr>
          <w:rFonts w:ascii="Arial" w:hAnsi="Arial" w:cs="Arial"/>
          <w:b/>
          <w:bCs/>
        </w:rPr>
      </w:pPr>
      <w:r w:rsidRPr="00E16339">
        <w:rPr>
          <w:rFonts w:ascii="Arial" w:hAnsi="Arial" w:cs="Arial"/>
          <w:b/>
          <w:bCs/>
        </w:rPr>
        <w:t xml:space="preserve">NICU: </w:t>
      </w:r>
      <w:r w:rsidRPr="00E16339">
        <w:rPr>
          <w:rFonts w:ascii="Arial" w:hAnsi="Arial" w:cs="Arial"/>
        </w:rPr>
        <w:t>Neonatal Intensive Care Unit</w:t>
      </w:r>
    </w:p>
    <w:p w14:paraId="496F6DE7" w14:textId="77777777" w:rsidR="00535DF9" w:rsidRPr="00E16339" w:rsidRDefault="00535DF9" w:rsidP="009B7F54">
      <w:pPr>
        <w:pStyle w:val="ReferHead"/>
        <w:spacing w:after="0"/>
        <w:jc w:val="both"/>
        <w:rPr>
          <w:rFonts w:ascii="Arial" w:hAnsi="Arial" w:cs="Arial"/>
          <w:b w:val="0"/>
          <w:caps w:val="0"/>
          <w:sz w:val="20"/>
        </w:rPr>
      </w:pPr>
    </w:p>
    <w:p w14:paraId="5C61C463" w14:textId="77777777" w:rsidR="00860000" w:rsidRPr="00E16339" w:rsidRDefault="00860000" w:rsidP="00441B6F">
      <w:pPr>
        <w:pStyle w:val="ReferHead"/>
        <w:spacing w:after="0"/>
        <w:jc w:val="both"/>
        <w:rPr>
          <w:rFonts w:ascii="Arial" w:hAnsi="Arial" w:cs="Arial"/>
        </w:rPr>
      </w:pPr>
    </w:p>
    <w:p w14:paraId="1FABEE78" w14:textId="77777777" w:rsidR="003108CB" w:rsidRPr="00E16339" w:rsidRDefault="003108CB" w:rsidP="00441B6F">
      <w:pPr>
        <w:pStyle w:val="ReferHead"/>
        <w:spacing w:after="0"/>
        <w:jc w:val="both"/>
        <w:rPr>
          <w:rFonts w:ascii="Arial" w:hAnsi="Arial" w:cs="Arial"/>
        </w:rPr>
      </w:pPr>
    </w:p>
    <w:p w14:paraId="6D2C2568" w14:textId="77777777" w:rsidR="003108CB" w:rsidRPr="00E16339" w:rsidRDefault="003108CB" w:rsidP="00441B6F">
      <w:pPr>
        <w:pStyle w:val="ReferHead"/>
        <w:spacing w:after="0"/>
        <w:jc w:val="both"/>
        <w:rPr>
          <w:rFonts w:ascii="Arial" w:hAnsi="Arial" w:cs="Arial"/>
        </w:rPr>
      </w:pPr>
    </w:p>
    <w:p w14:paraId="12D09FB8" w14:textId="582AAEBA" w:rsidR="003108CB" w:rsidRPr="00E16339" w:rsidRDefault="00B01FCD" w:rsidP="00FC6F5C">
      <w:pPr>
        <w:pStyle w:val="ReferHead"/>
        <w:spacing w:after="0"/>
        <w:jc w:val="both"/>
        <w:rPr>
          <w:rFonts w:ascii="Arial" w:hAnsi="Arial" w:cs="Arial"/>
        </w:rPr>
      </w:pPr>
      <w:r w:rsidRPr="00E16339">
        <w:rPr>
          <w:rFonts w:ascii="Arial" w:hAnsi="Arial" w:cs="Arial"/>
        </w:rPr>
        <w:t>References</w:t>
      </w:r>
    </w:p>
    <w:p w14:paraId="046A0C95" w14:textId="77777777" w:rsidR="007C00D0" w:rsidRPr="00E16339" w:rsidRDefault="007C00D0" w:rsidP="007C00D0">
      <w:pPr>
        <w:pStyle w:val="Body"/>
        <w:rPr>
          <w:rFonts w:ascii="Arial" w:hAnsi="Arial" w:cs="Arial"/>
        </w:rPr>
      </w:pPr>
    </w:p>
    <w:p w14:paraId="3F554CC9" w14:textId="77777777" w:rsidR="00053DF3" w:rsidRPr="00E16339" w:rsidRDefault="007C00D0" w:rsidP="00053DF3">
      <w:pPr>
        <w:pStyle w:val="Body"/>
        <w:numPr>
          <w:ilvl w:val="0"/>
          <w:numId w:val="38"/>
        </w:numPr>
        <w:ind w:left="284" w:hanging="284"/>
        <w:rPr>
          <w:rFonts w:ascii="Arial" w:hAnsi="Arial" w:cs="Arial"/>
        </w:rPr>
      </w:pPr>
      <w:r w:rsidRPr="007C00D0">
        <w:rPr>
          <w:rFonts w:ascii="Arial" w:hAnsi="Arial" w:cs="Arial"/>
        </w:rPr>
        <w:t xml:space="preserve">United Nations Inter-agency Group for Child Mortality Estimation (UN IGME). </w:t>
      </w:r>
      <w:r w:rsidRPr="00E01FB5">
        <w:rPr>
          <w:rFonts w:ascii="Arial" w:hAnsi="Arial" w:cs="Arial"/>
        </w:rPr>
        <w:t xml:space="preserve">Levels and Trends in Child Mortality 2023. New York: UNICEF; 2024. </w:t>
      </w:r>
      <w:r w:rsidRPr="007C00D0">
        <w:rPr>
          <w:rFonts w:ascii="Arial" w:hAnsi="Arial" w:cs="Arial"/>
        </w:rPr>
        <w:t xml:space="preserve">Available from: </w:t>
      </w:r>
      <w:hyperlink r:id="rId16" w:tgtFrame="_new" w:history="1">
        <w:r w:rsidRPr="007C00D0">
          <w:t>https://data.unicef.org/resources/levels-and-trends-in-child-mortality-2023/</w:t>
        </w:r>
      </w:hyperlink>
    </w:p>
    <w:p w14:paraId="13B90A66" w14:textId="77777777" w:rsidR="00053DF3" w:rsidRPr="00E16339" w:rsidRDefault="007C00D0" w:rsidP="00053DF3">
      <w:pPr>
        <w:pStyle w:val="Body"/>
        <w:numPr>
          <w:ilvl w:val="0"/>
          <w:numId w:val="38"/>
        </w:numPr>
        <w:ind w:left="284" w:hanging="284"/>
        <w:rPr>
          <w:rFonts w:ascii="Arial" w:hAnsi="Arial" w:cs="Arial"/>
        </w:rPr>
      </w:pPr>
      <w:r w:rsidRPr="007C00D0">
        <w:rPr>
          <w:rFonts w:ascii="Arial" w:hAnsi="Arial" w:cs="Arial"/>
        </w:rPr>
        <w:t xml:space="preserve">World Health Organization. Preterm birth – Fact sheet. Geneva: WHO; 2023 May 10. Available from: </w:t>
      </w:r>
      <w:hyperlink r:id="rId17" w:tgtFrame="_new" w:history="1">
        <w:r w:rsidRPr="007C00D0">
          <w:rPr>
            <w:rFonts w:ascii="Arial" w:hAnsi="Arial" w:cs="Arial"/>
          </w:rPr>
          <w:t>https://www.who.int/news-room/fact-sheets/detail/preterm-birth</w:t>
        </w:r>
      </w:hyperlink>
    </w:p>
    <w:p w14:paraId="5030DBBD" w14:textId="77777777" w:rsidR="00053DF3" w:rsidRPr="00E16339" w:rsidRDefault="007C00D0" w:rsidP="00053DF3">
      <w:pPr>
        <w:pStyle w:val="Body"/>
        <w:numPr>
          <w:ilvl w:val="0"/>
          <w:numId w:val="38"/>
        </w:numPr>
        <w:ind w:left="284" w:hanging="284"/>
        <w:rPr>
          <w:rFonts w:ascii="Arial" w:hAnsi="Arial" w:cs="Arial"/>
        </w:rPr>
      </w:pPr>
      <w:r w:rsidRPr="00E01FB5">
        <w:rPr>
          <w:rFonts w:ascii="Arial" w:hAnsi="Arial" w:cs="Arial"/>
          <w:lang w:val="fr-MA"/>
        </w:rPr>
        <w:t xml:space="preserve">Stoll BJ, Hansen NI, Bell EF, et al. </w:t>
      </w:r>
      <w:r w:rsidRPr="007C00D0">
        <w:rPr>
          <w:rFonts w:ascii="Arial" w:hAnsi="Arial" w:cs="Arial"/>
        </w:rPr>
        <w:t>Neonatal outcomes of extremely preterm infants from the NICHD Neonatal Research Network. Pediatrics. 2010;126(3):443-56. doi:10.1542/peds.2009-2959</w:t>
      </w:r>
    </w:p>
    <w:p w14:paraId="58CC6B76" w14:textId="77777777" w:rsidR="00053DF3" w:rsidRPr="00E16339" w:rsidRDefault="007C00D0" w:rsidP="00053DF3">
      <w:pPr>
        <w:pStyle w:val="Body"/>
        <w:numPr>
          <w:ilvl w:val="0"/>
          <w:numId w:val="38"/>
        </w:numPr>
        <w:ind w:left="284" w:hanging="284"/>
        <w:rPr>
          <w:rFonts w:ascii="Arial" w:hAnsi="Arial" w:cs="Arial"/>
        </w:rPr>
      </w:pPr>
      <w:r w:rsidRPr="007C00D0">
        <w:rPr>
          <w:rFonts w:ascii="Arial" w:hAnsi="Arial" w:cs="Arial"/>
        </w:rPr>
        <w:t xml:space="preserve">Edwards EM, Ehret DEY, Soll RF, </w:t>
      </w:r>
      <w:proofErr w:type="spellStart"/>
      <w:r w:rsidRPr="007C00D0">
        <w:rPr>
          <w:rFonts w:ascii="Arial" w:hAnsi="Arial" w:cs="Arial"/>
        </w:rPr>
        <w:t>Horbar</w:t>
      </w:r>
      <w:proofErr w:type="spellEnd"/>
      <w:r w:rsidRPr="007C00D0">
        <w:rPr>
          <w:rFonts w:ascii="Arial" w:hAnsi="Arial" w:cs="Arial"/>
        </w:rPr>
        <w:t xml:space="preserve"> JD, et al. Survival of infants born at 22 to 25 weeks’ gestation receiving care in the NICU: 2020–2022. Pediatrics. 2024;154(4</w:t>
      </w:r>
      <w:proofErr w:type="gramStart"/>
      <w:r w:rsidRPr="007C00D0">
        <w:rPr>
          <w:rFonts w:ascii="Arial" w:hAnsi="Arial" w:cs="Arial"/>
        </w:rPr>
        <w:t>):e</w:t>
      </w:r>
      <w:proofErr w:type="gramEnd"/>
      <w:r w:rsidRPr="007C00D0">
        <w:rPr>
          <w:rFonts w:ascii="Arial" w:hAnsi="Arial" w:cs="Arial"/>
        </w:rPr>
        <w:t>2024065963. doi:10.1542/peds.2024-065963</w:t>
      </w:r>
    </w:p>
    <w:p w14:paraId="2D983D96" w14:textId="77777777" w:rsidR="00053DF3" w:rsidRPr="00E16339" w:rsidRDefault="007C00D0" w:rsidP="00053DF3">
      <w:pPr>
        <w:pStyle w:val="Body"/>
        <w:numPr>
          <w:ilvl w:val="0"/>
          <w:numId w:val="38"/>
        </w:numPr>
        <w:ind w:left="284" w:hanging="284"/>
        <w:rPr>
          <w:rFonts w:ascii="Arial" w:hAnsi="Arial" w:cs="Arial"/>
        </w:rPr>
      </w:pPr>
      <w:r w:rsidRPr="007C00D0">
        <w:rPr>
          <w:rFonts w:ascii="Arial" w:hAnsi="Arial" w:cs="Arial"/>
        </w:rPr>
        <w:t xml:space="preserve">Girma B, Tsegaye B, Alemayehu T, Wondimu M. Survival and predictors of mortality among preterm neonates: a 5-year cohort study in Northern Ethiopia. Front </w:t>
      </w:r>
      <w:proofErr w:type="spellStart"/>
      <w:r w:rsidRPr="007C00D0">
        <w:rPr>
          <w:rFonts w:ascii="Arial" w:hAnsi="Arial" w:cs="Arial"/>
        </w:rPr>
        <w:t>Pediatr</w:t>
      </w:r>
      <w:proofErr w:type="spellEnd"/>
      <w:r w:rsidRPr="007C00D0">
        <w:rPr>
          <w:rFonts w:ascii="Arial" w:hAnsi="Arial" w:cs="Arial"/>
        </w:rPr>
        <w:t xml:space="preserve">. </w:t>
      </w:r>
      <w:proofErr w:type="gramStart"/>
      <w:r w:rsidRPr="007C00D0">
        <w:rPr>
          <w:rFonts w:ascii="Arial" w:hAnsi="Arial" w:cs="Arial"/>
        </w:rPr>
        <w:t>2023;10:1083749</w:t>
      </w:r>
      <w:proofErr w:type="gramEnd"/>
      <w:r w:rsidRPr="007C00D0">
        <w:rPr>
          <w:rFonts w:ascii="Arial" w:hAnsi="Arial" w:cs="Arial"/>
        </w:rPr>
        <w:t>. doi:10.3389/fped.2022.1083749</w:t>
      </w:r>
    </w:p>
    <w:p w14:paraId="52448666" w14:textId="77777777" w:rsidR="00053DF3" w:rsidRPr="00E16339" w:rsidRDefault="007C00D0" w:rsidP="00053DF3">
      <w:pPr>
        <w:pStyle w:val="Body"/>
        <w:numPr>
          <w:ilvl w:val="0"/>
          <w:numId w:val="38"/>
        </w:numPr>
        <w:ind w:left="284" w:hanging="284"/>
        <w:rPr>
          <w:rFonts w:ascii="Arial" w:hAnsi="Arial" w:cs="Arial"/>
        </w:rPr>
      </w:pPr>
      <w:proofErr w:type="spellStart"/>
      <w:r w:rsidRPr="007C00D0">
        <w:rPr>
          <w:rFonts w:ascii="Arial" w:hAnsi="Arial" w:cs="Arial"/>
        </w:rPr>
        <w:t>Tirore</w:t>
      </w:r>
      <w:proofErr w:type="spellEnd"/>
      <w:r w:rsidRPr="007C00D0">
        <w:rPr>
          <w:rFonts w:ascii="Arial" w:hAnsi="Arial" w:cs="Arial"/>
        </w:rPr>
        <w:t xml:space="preserve"> LL, Abate AT, Tesfaye Z, et al. Incidence of mortality and its predictors among preterm neonates admitted to the NICU of NEMMCSH. BMC </w:t>
      </w:r>
      <w:proofErr w:type="spellStart"/>
      <w:r w:rsidRPr="007C00D0">
        <w:rPr>
          <w:rFonts w:ascii="Arial" w:hAnsi="Arial" w:cs="Arial"/>
        </w:rPr>
        <w:t>Pediatr</w:t>
      </w:r>
      <w:proofErr w:type="spellEnd"/>
      <w:r w:rsidRPr="007C00D0">
        <w:rPr>
          <w:rFonts w:ascii="Arial" w:hAnsi="Arial" w:cs="Arial"/>
        </w:rPr>
        <w:t xml:space="preserve">. </w:t>
      </w:r>
      <w:proofErr w:type="gramStart"/>
      <w:r w:rsidRPr="007C00D0">
        <w:rPr>
          <w:rFonts w:ascii="Arial" w:hAnsi="Arial" w:cs="Arial"/>
        </w:rPr>
        <w:t>2024;24:92</w:t>
      </w:r>
      <w:proofErr w:type="gramEnd"/>
      <w:r w:rsidRPr="007C00D0">
        <w:rPr>
          <w:rFonts w:ascii="Arial" w:hAnsi="Arial" w:cs="Arial"/>
        </w:rPr>
        <w:t>. doi:10.1186/s12887-024-04992-9</w:t>
      </w:r>
    </w:p>
    <w:p w14:paraId="45BC4EB6" w14:textId="77777777" w:rsidR="00053DF3" w:rsidRPr="00E16339" w:rsidRDefault="007C00D0" w:rsidP="00053DF3">
      <w:pPr>
        <w:pStyle w:val="Body"/>
        <w:numPr>
          <w:ilvl w:val="0"/>
          <w:numId w:val="38"/>
        </w:numPr>
        <w:ind w:left="284" w:hanging="284"/>
        <w:rPr>
          <w:rFonts w:ascii="Arial" w:hAnsi="Arial" w:cs="Arial"/>
        </w:rPr>
      </w:pPr>
      <w:proofErr w:type="spellStart"/>
      <w:r w:rsidRPr="007C00D0">
        <w:rPr>
          <w:rFonts w:ascii="Arial" w:hAnsi="Arial" w:cs="Arial"/>
        </w:rPr>
        <w:t>Chioukh</w:t>
      </w:r>
      <w:proofErr w:type="spellEnd"/>
      <w:r w:rsidRPr="007C00D0">
        <w:rPr>
          <w:rFonts w:ascii="Arial" w:hAnsi="Arial" w:cs="Arial"/>
        </w:rPr>
        <w:t xml:space="preserve"> FZ, Ben </w:t>
      </w:r>
      <w:proofErr w:type="spellStart"/>
      <w:r w:rsidRPr="007C00D0">
        <w:rPr>
          <w:rFonts w:ascii="Arial" w:hAnsi="Arial" w:cs="Arial"/>
        </w:rPr>
        <w:t>Ameur</w:t>
      </w:r>
      <w:proofErr w:type="spellEnd"/>
      <w:r w:rsidRPr="007C00D0">
        <w:rPr>
          <w:rFonts w:ascii="Arial" w:hAnsi="Arial" w:cs="Arial"/>
        </w:rPr>
        <w:t xml:space="preserve"> K, Ben Miled N, et al. Extremely preterm infants in Tunisia: Where are we now? Tunis Med. 2018;96(8-9):510-3. PMID: 30430530. Available from: </w:t>
      </w:r>
      <w:hyperlink r:id="rId18" w:tgtFrame="_new" w:history="1">
        <w:r w:rsidRPr="007C00D0">
          <w:rPr>
            <w:rFonts w:ascii="Arial" w:hAnsi="Arial" w:cs="Arial"/>
          </w:rPr>
          <w:t>https://latunisiemedicale.com/index.php/tunismed/article/view/3434</w:t>
        </w:r>
      </w:hyperlink>
    </w:p>
    <w:p w14:paraId="0D184EB1" w14:textId="5DACB583" w:rsidR="007C00D0" w:rsidRPr="007C00D0" w:rsidRDefault="007C00D0" w:rsidP="00053DF3">
      <w:pPr>
        <w:pStyle w:val="Body"/>
        <w:numPr>
          <w:ilvl w:val="0"/>
          <w:numId w:val="38"/>
        </w:numPr>
        <w:ind w:left="284" w:hanging="284"/>
        <w:rPr>
          <w:rFonts w:ascii="Arial" w:hAnsi="Arial" w:cs="Arial"/>
        </w:rPr>
      </w:pPr>
      <w:proofErr w:type="spellStart"/>
      <w:r w:rsidRPr="00E01FB5">
        <w:rPr>
          <w:rFonts w:ascii="Arial" w:hAnsi="Arial" w:cs="Arial"/>
          <w:lang w:val="fr-MA"/>
        </w:rPr>
        <w:t>Agbeno</w:t>
      </w:r>
      <w:proofErr w:type="spellEnd"/>
      <w:r w:rsidRPr="00E01FB5">
        <w:rPr>
          <w:rFonts w:ascii="Arial" w:hAnsi="Arial" w:cs="Arial"/>
          <w:lang w:val="fr-MA"/>
        </w:rPr>
        <w:t xml:space="preserve"> EK, </w:t>
      </w:r>
      <w:proofErr w:type="spellStart"/>
      <w:r w:rsidRPr="00E01FB5">
        <w:rPr>
          <w:rFonts w:ascii="Arial" w:hAnsi="Arial" w:cs="Arial"/>
          <w:lang w:val="fr-MA"/>
        </w:rPr>
        <w:t>Osarfo</w:t>
      </w:r>
      <w:proofErr w:type="spellEnd"/>
      <w:r w:rsidRPr="00E01FB5">
        <w:rPr>
          <w:rFonts w:ascii="Arial" w:hAnsi="Arial" w:cs="Arial"/>
          <w:lang w:val="fr-MA"/>
        </w:rPr>
        <w:t xml:space="preserve"> J, </w:t>
      </w:r>
      <w:proofErr w:type="spellStart"/>
      <w:r w:rsidRPr="00E01FB5">
        <w:rPr>
          <w:rFonts w:ascii="Arial" w:hAnsi="Arial" w:cs="Arial"/>
          <w:lang w:val="fr-MA"/>
        </w:rPr>
        <w:t>Ashong</w:t>
      </w:r>
      <w:proofErr w:type="spellEnd"/>
      <w:r w:rsidRPr="00E01FB5">
        <w:rPr>
          <w:rFonts w:ascii="Arial" w:hAnsi="Arial" w:cs="Arial"/>
          <w:lang w:val="fr-MA"/>
        </w:rPr>
        <w:t xml:space="preserve"> J, et al. </w:t>
      </w:r>
      <w:r w:rsidRPr="007C00D0">
        <w:rPr>
          <w:rFonts w:ascii="Arial" w:hAnsi="Arial" w:cs="Arial"/>
        </w:rPr>
        <w:t xml:space="preserve">Determinants of preterm survival in a tertiary hospital in Ghana: a ten-year review. </w:t>
      </w:r>
      <w:proofErr w:type="spellStart"/>
      <w:r w:rsidRPr="007C00D0">
        <w:rPr>
          <w:rFonts w:ascii="Arial" w:hAnsi="Arial" w:cs="Arial"/>
        </w:rPr>
        <w:t>PLoS</w:t>
      </w:r>
      <w:proofErr w:type="spellEnd"/>
      <w:r w:rsidRPr="007C00D0">
        <w:rPr>
          <w:rFonts w:ascii="Arial" w:hAnsi="Arial" w:cs="Arial"/>
        </w:rPr>
        <w:t xml:space="preserve"> One. 2021;16(1</w:t>
      </w:r>
      <w:proofErr w:type="gramStart"/>
      <w:r w:rsidRPr="007C00D0">
        <w:rPr>
          <w:rFonts w:ascii="Arial" w:hAnsi="Arial" w:cs="Arial"/>
        </w:rPr>
        <w:t>):e</w:t>
      </w:r>
      <w:proofErr w:type="gramEnd"/>
      <w:r w:rsidRPr="007C00D0">
        <w:rPr>
          <w:rFonts w:ascii="Arial" w:hAnsi="Arial" w:cs="Arial"/>
        </w:rPr>
        <w:t>0246005. doi:10.1371/journal.pone.0246005</w:t>
      </w:r>
    </w:p>
    <w:p w14:paraId="788F8642" w14:textId="7D1E37E6" w:rsidR="007C00D0" w:rsidRPr="007C00D0" w:rsidRDefault="007C00D0" w:rsidP="00053DF3">
      <w:pPr>
        <w:pStyle w:val="Body"/>
        <w:numPr>
          <w:ilvl w:val="0"/>
          <w:numId w:val="38"/>
        </w:numPr>
        <w:ind w:left="284" w:hanging="284"/>
        <w:rPr>
          <w:rFonts w:ascii="Arial" w:hAnsi="Arial" w:cs="Arial"/>
        </w:rPr>
      </w:pPr>
      <w:r w:rsidRPr="00E01FB5">
        <w:rPr>
          <w:rFonts w:ascii="Arial" w:hAnsi="Arial" w:cs="Arial"/>
          <w:lang w:val="fr-MA"/>
        </w:rPr>
        <w:t xml:space="preserve">Sweet DG, </w:t>
      </w:r>
      <w:proofErr w:type="spellStart"/>
      <w:r w:rsidRPr="00E01FB5">
        <w:rPr>
          <w:rFonts w:ascii="Arial" w:hAnsi="Arial" w:cs="Arial"/>
          <w:lang w:val="fr-MA"/>
        </w:rPr>
        <w:t>Carnielli</w:t>
      </w:r>
      <w:proofErr w:type="spellEnd"/>
      <w:r w:rsidRPr="00E01FB5">
        <w:rPr>
          <w:rFonts w:ascii="Arial" w:hAnsi="Arial" w:cs="Arial"/>
          <w:lang w:val="fr-MA"/>
        </w:rPr>
        <w:t xml:space="preserve"> V, </w:t>
      </w:r>
      <w:proofErr w:type="spellStart"/>
      <w:r w:rsidRPr="00E01FB5">
        <w:rPr>
          <w:rFonts w:ascii="Arial" w:hAnsi="Arial" w:cs="Arial"/>
          <w:lang w:val="fr-MA"/>
        </w:rPr>
        <w:t>Greisen</w:t>
      </w:r>
      <w:proofErr w:type="spellEnd"/>
      <w:r w:rsidRPr="00E01FB5">
        <w:rPr>
          <w:rFonts w:ascii="Arial" w:hAnsi="Arial" w:cs="Arial"/>
          <w:lang w:val="fr-MA"/>
        </w:rPr>
        <w:t xml:space="preserve"> G, et al. </w:t>
      </w:r>
      <w:r w:rsidRPr="007C00D0">
        <w:rPr>
          <w:rFonts w:ascii="Arial" w:hAnsi="Arial" w:cs="Arial"/>
        </w:rPr>
        <w:t>European Consensus Guidelines on the Management of Respiratory Distress Syndrome—2019 Update. Neonatology. 2019;115(4):432-50. doi:10.1159/000499361</w:t>
      </w:r>
    </w:p>
    <w:p w14:paraId="351E8764" w14:textId="0B537F46" w:rsidR="007C00D0" w:rsidRPr="007C00D0" w:rsidRDefault="007C00D0" w:rsidP="00053DF3">
      <w:pPr>
        <w:pStyle w:val="Body"/>
        <w:numPr>
          <w:ilvl w:val="0"/>
          <w:numId w:val="38"/>
        </w:numPr>
        <w:ind w:left="284" w:hanging="284"/>
        <w:rPr>
          <w:rFonts w:ascii="Arial" w:hAnsi="Arial" w:cs="Arial"/>
        </w:rPr>
      </w:pPr>
      <w:r w:rsidRPr="007C00D0">
        <w:rPr>
          <w:rFonts w:ascii="Arial" w:hAnsi="Arial" w:cs="Arial"/>
        </w:rPr>
        <w:t>Shane AL, Sánchez PJ, Stoll BJ. Neonatal sepsis. Lancet. 2017;390(10104):1770-80. doi:10.1016/S0140-6736(17)31002-4</w:t>
      </w:r>
    </w:p>
    <w:p w14:paraId="6F3CD314" w14:textId="1D4658B4" w:rsidR="007C00D0" w:rsidRPr="007C00D0" w:rsidRDefault="007C00D0" w:rsidP="00053DF3">
      <w:pPr>
        <w:pStyle w:val="Body"/>
        <w:numPr>
          <w:ilvl w:val="0"/>
          <w:numId w:val="38"/>
        </w:numPr>
        <w:ind w:left="284" w:hanging="284"/>
        <w:rPr>
          <w:rFonts w:ascii="Arial" w:hAnsi="Arial" w:cs="Arial"/>
        </w:rPr>
      </w:pPr>
      <w:r w:rsidRPr="007C00D0">
        <w:rPr>
          <w:rFonts w:ascii="Arial" w:hAnsi="Arial" w:cs="Arial"/>
        </w:rPr>
        <w:t>Roberts D, Brown J, Medley N, Dalziel SR. Antenatal corticosteroids for accelerating fetal lung maturation for women at risk of preterm birth. Cochrane Database Syst Rev. 2017;(3):CD004454. doi:10.1002/14651858.CD004454.pub3</w:t>
      </w:r>
    </w:p>
    <w:p w14:paraId="0B7A989C" w14:textId="2EC5B4AD" w:rsidR="007C00D0" w:rsidRPr="007C00D0" w:rsidRDefault="007C00D0" w:rsidP="00053DF3">
      <w:pPr>
        <w:pStyle w:val="Body"/>
        <w:numPr>
          <w:ilvl w:val="0"/>
          <w:numId w:val="38"/>
        </w:numPr>
        <w:ind w:left="284" w:hanging="284"/>
        <w:rPr>
          <w:rFonts w:ascii="Arial" w:hAnsi="Arial" w:cs="Arial"/>
        </w:rPr>
      </w:pPr>
      <w:r w:rsidRPr="007C00D0">
        <w:rPr>
          <w:rFonts w:ascii="Arial" w:hAnsi="Arial" w:cs="Arial"/>
        </w:rPr>
        <w:t>Conde-Agudelo A, Díaz-Rossello JL. Kangaroo Mother Care to reduce morbidity and mortality in low birthweight infants. Cochrane Database Syst Rev. 2016;(8):CD002771. doi:10.1002/14651858.CD002771.pub4</w:t>
      </w:r>
    </w:p>
    <w:p w14:paraId="793D5356" w14:textId="71B12F08" w:rsidR="007C00D0" w:rsidRPr="007C00D0" w:rsidRDefault="007C00D0" w:rsidP="00053DF3">
      <w:pPr>
        <w:pStyle w:val="Body"/>
        <w:numPr>
          <w:ilvl w:val="0"/>
          <w:numId w:val="38"/>
        </w:numPr>
        <w:ind w:left="284" w:hanging="284"/>
        <w:rPr>
          <w:rFonts w:ascii="Arial" w:hAnsi="Arial" w:cs="Arial"/>
        </w:rPr>
      </w:pPr>
      <w:r w:rsidRPr="00E01FB5">
        <w:rPr>
          <w:rFonts w:ascii="Arial" w:hAnsi="Arial" w:cs="Arial"/>
          <w:lang w:val="fr-MA"/>
        </w:rPr>
        <w:lastRenderedPageBreak/>
        <w:t xml:space="preserve">Ancel PY, Goffinet F, Kuhn P, et al. </w:t>
      </w:r>
      <w:r w:rsidRPr="007C00D0">
        <w:rPr>
          <w:rFonts w:ascii="Arial" w:hAnsi="Arial" w:cs="Arial"/>
        </w:rPr>
        <w:t xml:space="preserve">Survival and morbidity of preterm children born at 22 through 34 weeks’ gestation in France in 2011: results of the EPIPAGE-2 cohort study. JAMA </w:t>
      </w:r>
      <w:proofErr w:type="spellStart"/>
      <w:r w:rsidRPr="007C00D0">
        <w:rPr>
          <w:rFonts w:ascii="Arial" w:hAnsi="Arial" w:cs="Arial"/>
        </w:rPr>
        <w:t>Pediatr</w:t>
      </w:r>
      <w:proofErr w:type="spellEnd"/>
      <w:r w:rsidRPr="007C00D0">
        <w:rPr>
          <w:rFonts w:ascii="Arial" w:hAnsi="Arial" w:cs="Arial"/>
        </w:rPr>
        <w:t>. 2015;169(3):230-8. doi:10.1001/jamapediatrics.2014.3351</w:t>
      </w:r>
    </w:p>
    <w:p w14:paraId="40B31310" w14:textId="35662C1C" w:rsidR="007C00D0" w:rsidRPr="007C00D0" w:rsidRDefault="007C00D0" w:rsidP="00053DF3">
      <w:pPr>
        <w:pStyle w:val="Body"/>
        <w:numPr>
          <w:ilvl w:val="0"/>
          <w:numId w:val="38"/>
        </w:numPr>
        <w:ind w:left="284" w:hanging="284"/>
        <w:rPr>
          <w:rFonts w:ascii="Arial" w:hAnsi="Arial" w:cs="Arial"/>
        </w:rPr>
      </w:pPr>
      <w:proofErr w:type="spellStart"/>
      <w:r w:rsidRPr="007C00D0">
        <w:rPr>
          <w:rFonts w:ascii="Arial" w:hAnsi="Arial" w:cs="Arial"/>
        </w:rPr>
        <w:t>Cupen</w:t>
      </w:r>
      <w:proofErr w:type="spellEnd"/>
      <w:r w:rsidRPr="007C00D0">
        <w:rPr>
          <w:rFonts w:ascii="Arial" w:hAnsi="Arial" w:cs="Arial"/>
        </w:rPr>
        <w:t xml:space="preserve"> K, </w:t>
      </w:r>
      <w:proofErr w:type="spellStart"/>
      <w:r w:rsidRPr="007C00D0">
        <w:rPr>
          <w:rFonts w:ascii="Arial" w:hAnsi="Arial" w:cs="Arial"/>
        </w:rPr>
        <w:t>Barran</w:t>
      </w:r>
      <w:proofErr w:type="spellEnd"/>
      <w:r w:rsidRPr="007C00D0">
        <w:rPr>
          <w:rFonts w:ascii="Arial" w:hAnsi="Arial" w:cs="Arial"/>
        </w:rPr>
        <w:t xml:space="preserve"> A, Singh V, </w:t>
      </w:r>
      <w:proofErr w:type="spellStart"/>
      <w:r w:rsidRPr="007C00D0">
        <w:rPr>
          <w:rFonts w:ascii="Arial" w:hAnsi="Arial" w:cs="Arial"/>
        </w:rPr>
        <w:t>Dialsingh</w:t>
      </w:r>
      <w:proofErr w:type="spellEnd"/>
      <w:r w:rsidRPr="007C00D0">
        <w:rPr>
          <w:rFonts w:ascii="Arial" w:hAnsi="Arial" w:cs="Arial"/>
        </w:rPr>
        <w:t xml:space="preserve"> I. Risk factors associated with preterm neonatal mortality: a case study using data from Mt. Hope Women’s Hospital in Trinidad and Tobago. Children (Basel). 2017;4(12):108. doi:10.3390/children4120108</w:t>
      </w:r>
    </w:p>
    <w:p w14:paraId="4AC71E4A" w14:textId="77777777" w:rsidR="007C00D0" w:rsidRPr="00E16339" w:rsidRDefault="007C00D0" w:rsidP="007C00D0">
      <w:pPr>
        <w:pStyle w:val="Body"/>
        <w:rPr>
          <w:rFonts w:ascii="Arial" w:hAnsi="Arial" w:cs="Arial"/>
        </w:rPr>
      </w:pPr>
    </w:p>
    <w:p w14:paraId="57D1387C" w14:textId="77777777" w:rsidR="003108CB" w:rsidRPr="00362DA6" w:rsidRDefault="003108CB" w:rsidP="00362DA6">
      <w:pPr>
        <w:pStyle w:val="Body"/>
        <w:spacing w:after="0"/>
        <w:jc w:val="left"/>
        <w:rPr>
          <w:rFonts w:ascii="Arial" w:hAnsi="Arial" w:cs="Arial"/>
          <w:b/>
          <w:bCs/>
        </w:rPr>
      </w:pPr>
    </w:p>
    <w:p w14:paraId="2DD54A3C" w14:textId="77777777" w:rsidR="00362DA6" w:rsidRPr="00FB3A86" w:rsidRDefault="00362DA6" w:rsidP="00441B6F">
      <w:pPr>
        <w:pStyle w:val="Body"/>
        <w:spacing w:after="0"/>
        <w:rPr>
          <w:rFonts w:ascii="Arial" w:hAnsi="Arial" w:cs="Arial"/>
        </w:rPr>
      </w:pPr>
    </w:p>
    <w:p w14:paraId="24AD415F" w14:textId="77777777" w:rsidR="00E63270" w:rsidRDefault="00E63270" w:rsidP="00441B6F">
      <w:pPr>
        <w:pStyle w:val="Appendix"/>
        <w:spacing w:after="0"/>
        <w:jc w:val="both"/>
        <w:rPr>
          <w:rFonts w:ascii="Arial" w:hAnsi="Arial" w:cs="Arial"/>
        </w:rPr>
      </w:pPr>
    </w:p>
    <w:p w14:paraId="2C0CDC25" w14:textId="77777777" w:rsidR="00E63270" w:rsidRDefault="00E63270" w:rsidP="00441B6F">
      <w:pPr>
        <w:pStyle w:val="Appendix"/>
        <w:spacing w:after="0"/>
        <w:jc w:val="both"/>
        <w:rPr>
          <w:rFonts w:ascii="Arial" w:hAnsi="Arial" w:cs="Arial"/>
        </w:rPr>
      </w:pPr>
    </w:p>
    <w:p w14:paraId="56CCF63D" w14:textId="77777777" w:rsidR="00E63270" w:rsidRPr="00FB3A86" w:rsidRDefault="00E63270" w:rsidP="00441B6F">
      <w:pPr>
        <w:pStyle w:val="Appendix"/>
        <w:spacing w:after="0"/>
        <w:jc w:val="both"/>
        <w:rPr>
          <w:rFonts w:ascii="Arial" w:hAnsi="Arial" w:cs="Arial"/>
          <w:b w:val="0"/>
        </w:rPr>
        <w:sectPr w:rsidR="00E63270" w:rsidRPr="00FB3A86" w:rsidSect="006D1190">
          <w:headerReference w:type="even" r:id="rId19"/>
          <w:headerReference w:type="default" r:id="rId20"/>
          <w:footerReference w:type="default" r:id="rId21"/>
          <w:headerReference w:type="first" r:id="rId22"/>
          <w:type w:val="continuous"/>
          <w:pgSz w:w="12240" w:h="15840"/>
          <w:pgMar w:top="1440" w:right="2016" w:bottom="2016" w:left="2016" w:header="720" w:footer="1123" w:gutter="0"/>
          <w:cols w:space="720"/>
          <w:docGrid w:linePitch="272"/>
        </w:sectPr>
      </w:pPr>
    </w:p>
    <w:p w14:paraId="100F71F5" w14:textId="77777777" w:rsidR="00B01FCD" w:rsidRPr="00FB3A86" w:rsidRDefault="00B01FCD" w:rsidP="00441B6F">
      <w:pPr>
        <w:pStyle w:val="Appendix"/>
        <w:spacing w:after="0"/>
        <w:jc w:val="both"/>
        <w:rPr>
          <w:rFonts w:ascii="Arial" w:hAnsi="Arial" w:cs="Arial"/>
          <w:b w:val="0"/>
        </w:rPr>
      </w:pPr>
    </w:p>
    <w:sectPr w:rsidR="00B01FCD" w:rsidRPr="00FB3A86" w:rsidSect="006D119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DE11EB" w14:textId="77777777" w:rsidR="000A44A6" w:rsidRDefault="000A44A6" w:rsidP="00C37E61">
      <w:r>
        <w:separator/>
      </w:r>
    </w:p>
  </w:endnote>
  <w:endnote w:type="continuationSeparator" w:id="0">
    <w:p w14:paraId="4EEB0FEF" w14:textId="77777777" w:rsidR="000A44A6" w:rsidRDefault="000A44A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85756" w14:textId="77777777" w:rsidR="006D1190" w:rsidRDefault="006D11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85628" w14:textId="77777777" w:rsidR="006D1190" w:rsidRDefault="006D11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259DB" w14:textId="77777777" w:rsidR="009E048A" w:rsidRDefault="009E048A">
    <w:pPr>
      <w:pStyle w:val="Footer"/>
      <w:rPr>
        <w:rFonts w:ascii="Arial" w:hAnsi="Arial" w:cs="Arial"/>
        <w:sz w:val="16"/>
      </w:rPr>
    </w:pPr>
  </w:p>
  <w:p w14:paraId="02DDFFE1"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9ADFBA2" w14:textId="77777777" w:rsidR="009E048A" w:rsidRDefault="009E048A">
    <w:pPr>
      <w:pStyle w:val="Footer"/>
      <w:rPr>
        <w:rFonts w:ascii="Arial" w:hAnsi="Arial" w:cs="Arial"/>
        <w:sz w:val="16"/>
      </w:rPr>
    </w:pPr>
  </w:p>
  <w:p w14:paraId="429B45BA"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840A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264043" w14:textId="77777777" w:rsidR="000A44A6" w:rsidRDefault="000A44A6" w:rsidP="00C37E61">
      <w:r>
        <w:separator/>
      </w:r>
    </w:p>
  </w:footnote>
  <w:footnote w:type="continuationSeparator" w:id="0">
    <w:p w14:paraId="0998E97B" w14:textId="77777777" w:rsidR="000A44A6" w:rsidRDefault="000A44A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84BC9" w14:textId="2E67006B" w:rsidR="006D1190" w:rsidRDefault="006D1190">
    <w:pPr>
      <w:pStyle w:val="Header"/>
    </w:pPr>
    <w:r>
      <w:rPr>
        <w:noProof/>
      </w:rPr>
      <w:pict w14:anchorId="005DED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217546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7EBF7" w14:textId="5C86B2D2" w:rsidR="006D1190" w:rsidRDefault="006D1190">
    <w:pPr>
      <w:pStyle w:val="Header"/>
    </w:pPr>
    <w:r>
      <w:rPr>
        <w:noProof/>
      </w:rPr>
      <w:pict w14:anchorId="423DEB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217547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893FB" w14:textId="4FDCC156" w:rsidR="00296529" w:rsidRPr="00296529" w:rsidRDefault="006D1190" w:rsidP="00296529">
    <w:pPr>
      <w:ind w:left="2160"/>
      <w:jc w:val="center"/>
      <w:rPr>
        <w:rFonts w:ascii="Times New Roman" w:eastAsia="Calibri" w:hAnsi="Times New Roman"/>
        <w:i/>
        <w:sz w:val="18"/>
        <w:szCs w:val="22"/>
      </w:rPr>
    </w:pPr>
    <w:r>
      <w:rPr>
        <w:noProof/>
      </w:rPr>
      <w:pict w14:anchorId="0D534D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217546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6B1BA4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B443B8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3ACFFB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EDBD0F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1EDB0A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69F1E0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30CDB" w14:textId="6D8AD8FE" w:rsidR="006D1190" w:rsidRDefault="006D1190">
    <w:pPr>
      <w:pStyle w:val="Header"/>
    </w:pPr>
    <w:r>
      <w:rPr>
        <w:noProof/>
      </w:rPr>
      <w:pict w14:anchorId="2A3C7C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217547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B6B2D" w14:textId="2D68497C" w:rsidR="006D1190" w:rsidRDefault="006D1190">
    <w:pPr>
      <w:pStyle w:val="Header"/>
    </w:pPr>
    <w:r>
      <w:rPr>
        <w:noProof/>
      </w:rPr>
      <w:pict w14:anchorId="56F5C3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217547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BF9AC" w14:textId="05F091C4" w:rsidR="006D1190" w:rsidRDefault="006D1190">
    <w:pPr>
      <w:pStyle w:val="Header"/>
    </w:pPr>
    <w:r>
      <w:rPr>
        <w:noProof/>
      </w:rPr>
      <w:pict w14:anchorId="3A3B09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217547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00A7A64"/>
    <w:multiLevelType w:val="hybridMultilevel"/>
    <w:tmpl w:val="A8622B44"/>
    <w:lvl w:ilvl="0" w:tplc="380C000F">
      <w:start w:val="1"/>
      <w:numFmt w:val="decimal"/>
      <w:lvlText w:val="%1."/>
      <w:lvlJc w:val="left"/>
      <w:pPr>
        <w:ind w:left="720" w:hanging="360"/>
      </w:pPr>
    </w:lvl>
    <w:lvl w:ilvl="1" w:tplc="20802E5A">
      <w:numFmt w:val="bullet"/>
      <w:lvlText w:val=""/>
      <w:lvlJc w:val="left"/>
      <w:pPr>
        <w:ind w:left="1440" w:hanging="360"/>
      </w:pPr>
      <w:rPr>
        <w:rFonts w:ascii="Arial" w:eastAsia="Times New Roman" w:hAnsi="Arial" w:cs="Arial" w:hint="default"/>
      </w:r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9B2A0F"/>
    <w:multiLevelType w:val="multilevel"/>
    <w:tmpl w:val="61C40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4B7622A1"/>
    <w:multiLevelType w:val="hybridMultilevel"/>
    <w:tmpl w:val="86D62970"/>
    <w:lvl w:ilvl="0" w:tplc="380C000F">
      <w:start w:val="1"/>
      <w:numFmt w:val="decimal"/>
      <w:lvlText w:val="%1."/>
      <w:lvlJc w:val="left"/>
      <w:pPr>
        <w:ind w:left="720" w:hanging="360"/>
      </w:pPr>
    </w:lvl>
    <w:lvl w:ilvl="1" w:tplc="380C0019">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78457A"/>
    <w:multiLevelType w:val="hybridMultilevel"/>
    <w:tmpl w:val="3844ECAA"/>
    <w:lvl w:ilvl="0" w:tplc="380C000F">
      <w:start w:val="1"/>
      <w:numFmt w:val="decimal"/>
      <w:lvlText w:val="%1."/>
      <w:lvlJc w:val="left"/>
      <w:pPr>
        <w:ind w:left="720" w:hanging="360"/>
      </w:p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1390B0D"/>
    <w:multiLevelType w:val="multilevel"/>
    <w:tmpl w:val="3A1C8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D5138E"/>
    <w:multiLevelType w:val="hybridMultilevel"/>
    <w:tmpl w:val="DAF8F836"/>
    <w:lvl w:ilvl="0" w:tplc="380C0001">
      <w:start w:val="1"/>
      <w:numFmt w:val="bullet"/>
      <w:lvlText w:val=""/>
      <w:lvlJc w:val="left"/>
      <w:pPr>
        <w:ind w:left="720" w:hanging="360"/>
      </w:pPr>
      <w:rPr>
        <w:rFonts w:ascii="Symbol" w:hAnsi="Symbol" w:hint="default"/>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6A5476EF"/>
    <w:multiLevelType w:val="multilevel"/>
    <w:tmpl w:val="11F43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B847076"/>
    <w:multiLevelType w:val="hybridMultilevel"/>
    <w:tmpl w:val="414C9558"/>
    <w:lvl w:ilvl="0" w:tplc="380C000F">
      <w:start w:val="1"/>
      <w:numFmt w:val="decimal"/>
      <w:lvlText w:val="%1."/>
      <w:lvlJc w:val="left"/>
      <w:pPr>
        <w:ind w:left="720" w:hanging="360"/>
      </w:pPr>
    </w:lvl>
    <w:lvl w:ilvl="1" w:tplc="380C0019">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27"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8"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0"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2" w15:restartNumberingAfterBreak="0">
    <w:nsid w:val="772068D0"/>
    <w:multiLevelType w:val="hybridMultilevel"/>
    <w:tmpl w:val="9F32B79A"/>
    <w:lvl w:ilvl="0" w:tplc="380C0001">
      <w:start w:val="1"/>
      <w:numFmt w:val="bullet"/>
      <w:lvlText w:val=""/>
      <w:lvlJc w:val="left"/>
      <w:pPr>
        <w:ind w:left="1080" w:hanging="360"/>
      </w:pPr>
      <w:rPr>
        <w:rFonts w:ascii="Symbol" w:hAnsi="Symbol" w:hint="default"/>
      </w:rPr>
    </w:lvl>
    <w:lvl w:ilvl="1" w:tplc="380C0003" w:tentative="1">
      <w:start w:val="1"/>
      <w:numFmt w:val="bullet"/>
      <w:lvlText w:val="o"/>
      <w:lvlJc w:val="left"/>
      <w:pPr>
        <w:ind w:left="1800" w:hanging="360"/>
      </w:pPr>
      <w:rPr>
        <w:rFonts w:ascii="Courier New" w:hAnsi="Courier New" w:cs="Courier New" w:hint="default"/>
      </w:rPr>
    </w:lvl>
    <w:lvl w:ilvl="2" w:tplc="380C0005" w:tentative="1">
      <w:start w:val="1"/>
      <w:numFmt w:val="bullet"/>
      <w:lvlText w:val=""/>
      <w:lvlJc w:val="left"/>
      <w:pPr>
        <w:ind w:left="2520" w:hanging="360"/>
      </w:pPr>
      <w:rPr>
        <w:rFonts w:ascii="Wingdings" w:hAnsi="Wingdings" w:hint="default"/>
      </w:rPr>
    </w:lvl>
    <w:lvl w:ilvl="3" w:tplc="380C0001" w:tentative="1">
      <w:start w:val="1"/>
      <w:numFmt w:val="bullet"/>
      <w:lvlText w:val=""/>
      <w:lvlJc w:val="left"/>
      <w:pPr>
        <w:ind w:left="3240" w:hanging="360"/>
      </w:pPr>
      <w:rPr>
        <w:rFonts w:ascii="Symbol" w:hAnsi="Symbol" w:hint="default"/>
      </w:rPr>
    </w:lvl>
    <w:lvl w:ilvl="4" w:tplc="380C0003" w:tentative="1">
      <w:start w:val="1"/>
      <w:numFmt w:val="bullet"/>
      <w:lvlText w:val="o"/>
      <w:lvlJc w:val="left"/>
      <w:pPr>
        <w:ind w:left="3960" w:hanging="360"/>
      </w:pPr>
      <w:rPr>
        <w:rFonts w:ascii="Courier New" w:hAnsi="Courier New" w:cs="Courier New" w:hint="default"/>
      </w:rPr>
    </w:lvl>
    <w:lvl w:ilvl="5" w:tplc="380C0005" w:tentative="1">
      <w:start w:val="1"/>
      <w:numFmt w:val="bullet"/>
      <w:lvlText w:val=""/>
      <w:lvlJc w:val="left"/>
      <w:pPr>
        <w:ind w:left="4680" w:hanging="360"/>
      </w:pPr>
      <w:rPr>
        <w:rFonts w:ascii="Wingdings" w:hAnsi="Wingdings" w:hint="default"/>
      </w:rPr>
    </w:lvl>
    <w:lvl w:ilvl="6" w:tplc="380C0001" w:tentative="1">
      <w:start w:val="1"/>
      <w:numFmt w:val="bullet"/>
      <w:lvlText w:val=""/>
      <w:lvlJc w:val="left"/>
      <w:pPr>
        <w:ind w:left="5400" w:hanging="360"/>
      </w:pPr>
      <w:rPr>
        <w:rFonts w:ascii="Symbol" w:hAnsi="Symbol" w:hint="default"/>
      </w:rPr>
    </w:lvl>
    <w:lvl w:ilvl="7" w:tplc="380C0003" w:tentative="1">
      <w:start w:val="1"/>
      <w:numFmt w:val="bullet"/>
      <w:lvlText w:val="o"/>
      <w:lvlJc w:val="left"/>
      <w:pPr>
        <w:ind w:left="6120" w:hanging="360"/>
      </w:pPr>
      <w:rPr>
        <w:rFonts w:ascii="Courier New" w:hAnsi="Courier New" w:cs="Courier New" w:hint="default"/>
      </w:rPr>
    </w:lvl>
    <w:lvl w:ilvl="8" w:tplc="380C0005" w:tentative="1">
      <w:start w:val="1"/>
      <w:numFmt w:val="bullet"/>
      <w:lvlText w:val=""/>
      <w:lvlJc w:val="left"/>
      <w:pPr>
        <w:ind w:left="6840" w:hanging="360"/>
      </w:pPr>
      <w:rPr>
        <w:rFonts w:ascii="Wingdings" w:hAnsi="Wingdings" w:hint="default"/>
      </w:rPr>
    </w:lvl>
  </w:abstractNum>
  <w:abstractNum w:abstractNumId="33"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31"/>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34"/>
  </w:num>
  <w:num w:numId="10">
    <w:abstractNumId w:val="2"/>
  </w:num>
  <w:num w:numId="11">
    <w:abstractNumId w:val="24"/>
  </w:num>
  <w:num w:numId="12">
    <w:abstractNumId w:val="3"/>
  </w:num>
  <w:num w:numId="13">
    <w:abstractNumId w:val="21"/>
  </w:num>
  <w:num w:numId="14">
    <w:abstractNumId w:val="9"/>
  </w:num>
  <w:num w:numId="15">
    <w:abstractNumId w:val="29"/>
  </w:num>
  <w:num w:numId="16">
    <w:abstractNumId w:val="5"/>
  </w:num>
  <w:num w:numId="17">
    <w:abstractNumId w:val="30"/>
  </w:num>
  <w:num w:numId="18">
    <w:abstractNumId w:val="16"/>
  </w:num>
  <w:num w:numId="19">
    <w:abstractNumId w:val="37"/>
  </w:num>
  <w:num w:numId="20">
    <w:abstractNumId w:val="12"/>
  </w:num>
  <w:num w:numId="21">
    <w:abstractNumId w:val="10"/>
  </w:num>
  <w:num w:numId="22">
    <w:abstractNumId w:val="15"/>
  </w:num>
  <w:num w:numId="23">
    <w:abstractNumId w:val="27"/>
  </w:num>
  <w:num w:numId="24">
    <w:abstractNumId w:val="35"/>
  </w:num>
  <w:num w:numId="25">
    <w:abstractNumId w:val="4"/>
  </w:num>
  <w:num w:numId="26">
    <w:abstractNumId w:val="19"/>
  </w:num>
  <w:num w:numId="27">
    <w:abstractNumId w:val="28"/>
  </w:num>
  <w:num w:numId="28">
    <w:abstractNumId w:val="36"/>
  </w:num>
  <w:num w:numId="29">
    <w:abstractNumId w:val="33"/>
  </w:num>
  <w:num w:numId="30">
    <w:abstractNumId w:val="11"/>
  </w:num>
  <w:num w:numId="31">
    <w:abstractNumId w:val="22"/>
  </w:num>
  <w:num w:numId="32">
    <w:abstractNumId w:val="23"/>
  </w:num>
  <w:num w:numId="33">
    <w:abstractNumId w:val="14"/>
  </w:num>
  <w:num w:numId="34">
    <w:abstractNumId w:val="20"/>
  </w:num>
  <w:num w:numId="35">
    <w:abstractNumId w:val="25"/>
  </w:num>
  <w:num w:numId="36">
    <w:abstractNumId w:val="7"/>
  </w:num>
  <w:num w:numId="37">
    <w:abstractNumId w:val="18"/>
  </w:num>
  <w:num w:numId="38">
    <w:abstractNumId w:val="26"/>
  </w:num>
  <w:num w:numId="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59D"/>
    <w:rsid w:val="00000F8F"/>
    <w:rsid w:val="000064C4"/>
    <w:rsid w:val="000130B1"/>
    <w:rsid w:val="00030174"/>
    <w:rsid w:val="0003752C"/>
    <w:rsid w:val="0004148D"/>
    <w:rsid w:val="0004579C"/>
    <w:rsid w:val="00053DF3"/>
    <w:rsid w:val="000A44A6"/>
    <w:rsid w:val="000A47FA"/>
    <w:rsid w:val="000A65D3"/>
    <w:rsid w:val="000B1E33"/>
    <w:rsid w:val="000C285C"/>
    <w:rsid w:val="000C79AB"/>
    <w:rsid w:val="000D689F"/>
    <w:rsid w:val="000E7B7B"/>
    <w:rsid w:val="000E7D62"/>
    <w:rsid w:val="0010059A"/>
    <w:rsid w:val="00103357"/>
    <w:rsid w:val="00114664"/>
    <w:rsid w:val="0011606B"/>
    <w:rsid w:val="001203B4"/>
    <w:rsid w:val="00123C9F"/>
    <w:rsid w:val="00126190"/>
    <w:rsid w:val="00130F17"/>
    <w:rsid w:val="001320BF"/>
    <w:rsid w:val="00142D25"/>
    <w:rsid w:val="00154322"/>
    <w:rsid w:val="00163BC4"/>
    <w:rsid w:val="001807C1"/>
    <w:rsid w:val="0018611C"/>
    <w:rsid w:val="00191062"/>
    <w:rsid w:val="00192B72"/>
    <w:rsid w:val="001A29D8"/>
    <w:rsid w:val="001A5CAA"/>
    <w:rsid w:val="001B0427"/>
    <w:rsid w:val="001D3A51"/>
    <w:rsid w:val="001D5017"/>
    <w:rsid w:val="001E10D2"/>
    <w:rsid w:val="001E254B"/>
    <w:rsid w:val="001E25B4"/>
    <w:rsid w:val="001E44FE"/>
    <w:rsid w:val="001F0B3A"/>
    <w:rsid w:val="00200595"/>
    <w:rsid w:val="00202CE6"/>
    <w:rsid w:val="00204835"/>
    <w:rsid w:val="00226812"/>
    <w:rsid w:val="00231920"/>
    <w:rsid w:val="0023195C"/>
    <w:rsid w:val="0024282C"/>
    <w:rsid w:val="002460DC"/>
    <w:rsid w:val="00247169"/>
    <w:rsid w:val="00250985"/>
    <w:rsid w:val="00253381"/>
    <w:rsid w:val="002556F6"/>
    <w:rsid w:val="00283105"/>
    <w:rsid w:val="00284C4C"/>
    <w:rsid w:val="002877A6"/>
    <w:rsid w:val="00287E68"/>
    <w:rsid w:val="00296529"/>
    <w:rsid w:val="002B27FB"/>
    <w:rsid w:val="002B685A"/>
    <w:rsid w:val="002C57D2"/>
    <w:rsid w:val="002D3A38"/>
    <w:rsid w:val="002E0D56"/>
    <w:rsid w:val="003108CB"/>
    <w:rsid w:val="00315186"/>
    <w:rsid w:val="0033343E"/>
    <w:rsid w:val="003512C2"/>
    <w:rsid w:val="00362DA6"/>
    <w:rsid w:val="00371FB6"/>
    <w:rsid w:val="003763C1"/>
    <w:rsid w:val="00376BBE"/>
    <w:rsid w:val="0039224F"/>
    <w:rsid w:val="003A43A4"/>
    <w:rsid w:val="003A4939"/>
    <w:rsid w:val="003A7E18"/>
    <w:rsid w:val="003C4C86"/>
    <w:rsid w:val="003C6258"/>
    <w:rsid w:val="003E2904"/>
    <w:rsid w:val="003E4E56"/>
    <w:rsid w:val="003E5BC2"/>
    <w:rsid w:val="00401927"/>
    <w:rsid w:val="0040411F"/>
    <w:rsid w:val="0041027F"/>
    <w:rsid w:val="00412475"/>
    <w:rsid w:val="00423789"/>
    <w:rsid w:val="004246AB"/>
    <w:rsid w:val="00440F43"/>
    <w:rsid w:val="00441B6F"/>
    <w:rsid w:val="00446221"/>
    <w:rsid w:val="00450E62"/>
    <w:rsid w:val="004539DB"/>
    <w:rsid w:val="004617AA"/>
    <w:rsid w:val="00466675"/>
    <w:rsid w:val="00471A80"/>
    <w:rsid w:val="00476AC8"/>
    <w:rsid w:val="004A581E"/>
    <w:rsid w:val="004A5990"/>
    <w:rsid w:val="004D305E"/>
    <w:rsid w:val="004D4277"/>
    <w:rsid w:val="004F3894"/>
    <w:rsid w:val="00502516"/>
    <w:rsid w:val="00505F06"/>
    <w:rsid w:val="00506828"/>
    <w:rsid w:val="0053056E"/>
    <w:rsid w:val="00530D71"/>
    <w:rsid w:val="00535DF9"/>
    <w:rsid w:val="00547CAC"/>
    <w:rsid w:val="00554FDA"/>
    <w:rsid w:val="005652B8"/>
    <w:rsid w:val="005669C0"/>
    <w:rsid w:val="00584193"/>
    <w:rsid w:val="00591B0E"/>
    <w:rsid w:val="00595E84"/>
    <w:rsid w:val="005C784C"/>
    <w:rsid w:val="005D17F6"/>
    <w:rsid w:val="005E5539"/>
    <w:rsid w:val="00602BF5"/>
    <w:rsid w:val="00606B01"/>
    <w:rsid w:val="00617FDD"/>
    <w:rsid w:val="00633614"/>
    <w:rsid w:val="00633F68"/>
    <w:rsid w:val="00636EB2"/>
    <w:rsid w:val="006375B8"/>
    <w:rsid w:val="0066510A"/>
    <w:rsid w:val="00673F9F"/>
    <w:rsid w:val="00682F0E"/>
    <w:rsid w:val="00686953"/>
    <w:rsid w:val="00687DEA"/>
    <w:rsid w:val="00687E67"/>
    <w:rsid w:val="006967F7"/>
    <w:rsid w:val="006A250C"/>
    <w:rsid w:val="006A3039"/>
    <w:rsid w:val="006B21D3"/>
    <w:rsid w:val="006B2E60"/>
    <w:rsid w:val="006B57D0"/>
    <w:rsid w:val="006C2F60"/>
    <w:rsid w:val="006D011D"/>
    <w:rsid w:val="006D1190"/>
    <w:rsid w:val="006D30FF"/>
    <w:rsid w:val="006D6940"/>
    <w:rsid w:val="006D73E6"/>
    <w:rsid w:val="006F11EC"/>
    <w:rsid w:val="006F75A0"/>
    <w:rsid w:val="0070082C"/>
    <w:rsid w:val="00706EEF"/>
    <w:rsid w:val="00720D23"/>
    <w:rsid w:val="007359FE"/>
    <w:rsid w:val="007369E6"/>
    <w:rsid w:val="00737583"/>
    <w:rsid w:val="0074369A"/>
    <w:rsid w:val="00744E02"/>
    <w:rsid w:val="00746E59"/>
    <w:rsid w:val="00754C9A"/>
    <w:rsid w:val="0075599A"/>
    <w:rsid w:val="00761D52"/>
    <w:rsid w:val="0077749E"/>
    <w:rsid w:val="00790ADA"/>
    <w:rsid w:val="007A19D0"/>
    <w:rsid w:val="007A2ED0"/>
    <w:rsid w:val="007B00C2"/>
    <w:rsid w:val="007C00D0"/>
    <w:rsid w:val="007D2288"/>
    <w:rsid w:val="007E088F"/>
    <w:rsid w:val="007E17AE"/>
    <w:rsid w:val="007E447E"/>
    <w:rsid w:val="007F2FF3"/>
    <w:rsid w:val="007F7B32"/>
    <w:rsid w:val="00804BC2"/>
    <w:rsid w:val="0081431A"/>
    <w:rsid w:val="00822AAF"/>
    <w:rsid w:val="008277F2"/>
    <w:rsid w:val="0083216F"/>
    <w:rsid w:val="00833C5D"/>
    <w:rsid w:val="00841881"/>
    <w:rsid w:val="008465A1"/>
    <w:rsid w:val="00851E95"/>
    <w:rsid w:val="00860000"/>
    <w:rsid w:val="00862026"/>
    <w:rsid w:val="008625ED"/>
    <w:rsid w:val="00863BD3"/>
    <w:rsid w:val="008641ED"/>
    <w:rsid w:val="00866D66"/>
    <w:rsid w:val="008671C6"/>
    <w:rsid w:val="00875803"/>
    <w:rsid w:val="0088194C"/>
    <w:rsid w:val="008958D4"/>
    <w:rsid w:val="008B459E"/>
    <w:rsid w:val="008B67D8"/>
    <w:rsid w:val="008C0297"/>
    <w:rsid w:val="008E13AE"/>
    <w:rsid w:val="008E1506"/>
    <w:rsid w:val="008E710C"/>
    <w:rsid w:val="008F69D6"/>
    <w:rsid w:val="00902823"/>
    <w:rsid w:val="00915CA6"/>
    <w:rsid w:val="00927834"/>
    <w:rsid w:val="009328E4"/>
    <w:rsid w:val="00943A29"/>
    <w:rsid w:val="009500A6"/>
    <w:rsid w:val="00957C18"/>
    <w:rsid w:val="009659BA"/>
    <w:rsid w:val="00983040"/>
    <w:rsid w:val="009B3FB9"/>
    <w:rsid w:val="009B7F54"/>
    <w:rsid w:val="009C1C52"/>
    <w:rsid w:val="009C2465"/>
    <w:rsid w:val="009D35A0"/>
    <w:rsid w:val="009D7EB7"/>
    <w:rsid w:val="009E048A"/>
    <w:rsid w:val="009E08E9"/>
    <w:rsid w:val="009E3DB9"/>
    <w:rsid w:val="009E6E35"/>
    <w:rsid w:val="009F0EDA"/>
    <w:rsid w:val="009F2905"/>
    <w:rsid w:val="00A02C70"/>
    <w:rsid w:val="00A03B96"/>
    <w:rsid w:val="00A05B19"/>
    <w:rsid w:val="00A1134E"/>
    <w:rsid w:val="00A24E7E"/>
    <w:rsid w:val="00A258C3"/>
    <w:rsid w:val="00A347C0"/>
    <w:rsid w:val="00A42CB5"/>
    <w:rsid w:val="00A51431"/>
    <w:rsid w:val="00A539AD"/>
    <w:rsid w:val="00A91243"/>
    <w:rsid w:val="00A9300E"/>
    <w:rsid w:val="00A94063"/>
    <w:rsid w:val="00AA6219"/>
    <w:rsid w:val="00AA74E0"/>
    <w:rsid w:val="00AB703F"/>
    <w:rsid w:val="00AC6BB8"/>
    <w:rsid w:val="00AD72D3"/>
    <w:rsid w:val="00AE008F"/>
    <w:rsid w:val="00B01FCD"/>
    <w:rsid w:val="00B1776C"/>
    <w:rsid w:val="00B23998"/>
    <w:rsid w:val="00B34749"/>
    <w:rsid w:val="00B37A25"/>
    <w:rsid w:val="00B42975"/>
    <w:rsid w:val="00B52583"/>
    <w:rsid w:val="00B52896"/>
    <w:rsid w:val="00B53AF9"/>
    <w:rsid w:val="00B80239"/>
    <w:rsid w:val="00B95236"/>
    <w:rsid w:val="00B96BD9"/>
    <w:rsid w:val="00BA1B01"/>
    <w:rsid w:val="00BA2641"/>
    <w:rsid w:val="00BB37AA"/>
    <w:rsid w:val="00BC53A0"/>
    <w:rsid w:val="00BE29EA"/>
    <w:rsid w:val="00BE62AD"/>
    <w:rsid w:val="00BF121F"/>
    <w:rsid w:val="00BF1F80"/>
    <w:rsid w:val="00C16260"/>
    <w:rsid w:val="00C166EF"/>
    <w:rsid w:val="00C17EB0"/>
    <w:rsid w:val="00C27F5F"/>
    <w:rsid w:val="00C30A0F"/>
    <w:rsid w:val="00C37E61"/>
    <w:rsid w:val="00C70F1B"/>
    <w:rsid w:val="00C7155D"/>
    <w:rsid w:val="00C71A47"/>
    <w:rsid w:val="00C7464C"/>
    <w:rsid w:val="00C7607D"/>
    <w:rsid w:val="00C85588"/>
    <w:rsid w:val="00CB7C03"/>
    <w:rsid w:val="00CC440B"/>
    <w:rsid w:val="00CD6755"/>
    <w:rsid w:val="00CD6856"/>
    <w:rsid w:val="00CE0089"/>
    <w:rsid w:val="00CE793C"/>
    <w:rsid w:val="00CF193C"/>
    <w:rsid w:val="00D173F1"/>
    <w:rsid w:val="00D23ED0"/>
    <w:rsid w:val="00D52413"/>
    <w:rsid w:val="00D713F6"/>
    <w:rsid w:val="00D74CB0"/>
    <w:rsid w:val="00D8295D"/>
    <w:rsid w:val="00D91E11"/>
    <w:rsid w:val="00DA59D9"/>
    <w:rsid w:val="00DB4BFE"/>
    <w:rsid w:val="00DC2A65"/>
    <w:rsid w:val="00DE15F0"/>
    <w:rsid w:val="00DE5663"/>
    <w:rsid w:val="00DE78AA"/>
    <w:rsid w:val="00E01FB5"/>
    <w:rsid w:val="00E053D0"/>
    <w:rsid w:val="00E15994"/>
    <w:rsid w:val="00E16339"/>
    <w:rsid w:val="00E3114E"/>
    <w:rsid w:val="00E31A70"/>
    <w:rsid w:val="00E33AFF"/>
    <w:rsid w:val="00E35B02"/>
    <w:rsid w:val="00E62907"/>
    <w:rsid w:val="00E63270"/>
    <w:rsid w:val="00E66496"/>
    <w:rsid w:val="00E66B35"/>
    <w:rsid w:val="00E66E10"/>
    <w:rsid w:val="00E769F6"/>
    <w:rsid w:val="00E8407C"/>
    <w:rsid w:val="00E84F3C"/>
    <w:rsid w:val="00E95CCF"/>
    <w:rsid w:val="00EA012C"/>
    <w:rsid w:val="00EB22F0"/>
    <w:rsid w:val="00EC660A"/>
    <w:rsid w:val="00EC6A55"/>
    <w:rsid w:val="00ED0288"/>
    <w:rsid w:val="00EE52CB"/>
    <w:rsid w:val="00EF581D"/>
    <w:rsid w:val="00EF7FD8"/>
    <w:rsid w:val="00F06F59"/>
    <w:rsid w:val="00F17988"/>
    <w:rsid w:val="00F435BE"/>
    <w:rsid w:val="00F460D0"/>
    <w:rsid w:val="00F469F0"/>
    <w:rsid w:val="00F53273"/>
    <w:rsid w:val="00F71C15"/>
    <w:rsid w:val="00F73B85"/>
    <w:rsid w:val="00F755E4"/>
    <w:rsid w:val="00F77D02"/>
    <w:rsid w:val="00FA3282"/>
    <w:rsid w:val="00FB3A86"/>
    <w:rsid w:val="00FC6F5C"/>
    <w:rsid w:val="00FD36C8"/>
    <w:rsid w:val="00FF2A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E1CBBE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semiHidden/>
    <w:unhideWhenUsed/>
    <w:rsid w:val="00720D23"/>
    <w:rPr>
      <w:rFonts w:ascii="Times New Roman" w:hAnsi="Times New Roman"/>
      <w:sz w:val="24"/>
      <w:szCs w:val="24"/>
    </w:rPr>
  </w:style>
  <w:style w:type="paragraph" w:styleId="ListParagraph">
    <w:name w:val="List Paragraph"/>
    <w:basedOn w:val="Normal"/>
    <w:uiPriority w:val="34"/>
    <w:qFormat/>
    <w:rsid w:val="003108CB"/>
    <w:pPr>
      <w:ind w:left="720"/>
      <w:contextualSpacing/>
    </w:pPr>
  </w:style>
  <w:style w:type="character" w:customStyle="1" w:styleId="FooterChar">
    <w:name w:val="Footer Char"/>
    <w:basedOn w:val="DefaultParagraphFont"/>
    <w:link w:val="Footer"/>
    <w:rsid w:val="00C7155D"/>
    <w:rPr>
      <w:rFonts w:ascii="Helvetica" w:hAnsi="Helvetica"/>
    </w:rPr>
  </w:style>
  <w:style w:type="paragraph" w:styleId="BodyText">
    <w:name w:val="Body Text"/>
    <w:basedOn w:val="Normal"/>
    <w:link w:val="BodyTextChar"/>
    <w:semiHidden/>
    <w:unhideWhenUsed/>
    <w:rsid w:val="009C1C52"/>
    <w:pPr>
      <w:spacing w:after="120"/>
    </w:pPr>
  </w:style>
  <w:style w:type="character" w:customStyle="1" w:styleId="BodyTextChar">
    <w:name w:val="Body Text Char"/>
    <w:basedOn w:val="DefaultParagraphFont"/>
    <w:link w:val="BodyText"/>
    <w:semiHidden/>
    <w:rsid w:val="009C1C52"/>
    <w:rPr>
      <w:rFonts w:ascii="Helvetica" w:hAnsi="Helvetica"/>
    </w:rPr>
  </w:style>
  <w:style w:type="paragraph" w:customStyle="1" w:styleId="FirstParagraph">
    <w:name w:val="First Paragraph"/>
    <w:basedOn w:val="BodyText"/>
    <w:next w:val="BodyText"/>
    <w:qFormat/>
    <w:rsid w:val="009C1C52"/>
    <w:pPr>
      <w:spacing w:before="180" w:after="180"/>
    </w:pPr>
    <w:rPr>
      <w:rFonts w:asciiTheme="minorHAnsi" w:eastAsiaTheme="minorHAnsi" w:hAnsiTheme="minorHAnsi" w:cstheme="minorBidi"/>
      <w:sz w:val="24"/>
      <w:szCs w:val="24"/>
    </w:rPr>
  </w:style>
  <w:style w:type="table" w:customStyle="1" w:styleId="Table">
    <w:name w:val="Table"/>
    <w:semiHidden/>
    <w:unhideWhenUsed/>
    <w:qFormat/>
    <w:rsid w:val="007C00D0"/>
    <w:pPr>
      <w:spacing w:after="200"/>
    </w:pPr>
    <w:rPr>
      <w:rFonts w:asciiTheme="minorHAnsi" w:eastAsiaTheme="minorHAnsi" w:hAnsiTheme="minorHAnsi" w:cstheme="minorBidi"/>
      <w:sz w:val="24"/>
      <w:szCs w:val="24"/>
      <w:lang w:val="fr-MA" w:eastAsia="fr-MA"/>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styleId="TableGridLight">
    <w:name w:val="Grid Table Light"/>
    <w:basedOn w:val="TableNormal"/>
    <w:uiPriority w:val="40"/>
    <w:rsid w:val="007C00D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rsid w:val="007C00D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7C00D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4-Accent1">
    <w:name w:val="Grid Table 4 Accent 1"/>
    <w:basedOn w:val="TableNormal"/>
    <w:uiPriority w:val="49"/>
    <w:rsid w:val="00E1633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6">
    <w:name w:val="Grid Table 4 Accent 6"/>
    <w:basedOn w:val="TableNormal"/>
    <w:uiPriority w:val="49"/>
    <w:rsid w:val="00E1633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1Light-Accent3">
    <w:name w:val="List Table 1 Light Accent 3"/>
    <w:basedOn w:val="TableNormal"/>
    <w:uiPriority w:val="46"/>
    <w:rsid w:val="00E16339"/>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2">
    <w:name w:val="List Table 1 Light Accent 2"/>
    <w:basedOn w:val="TableNormal"/>
    <w:uiPriority w:val="46"/>
    <w:rsid w:val="00E16339"/>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4">
    <w:name w:val="List Table 2 Accent 4"/>
    <w:basedOn w:val="TableNormal"/>
    <w:uiPriority w:val="47"/>
    <w:rsid w:val="00E16339"/>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6277500">
      <w:bodyDiv w:val="1"/>
      <w:marLeft w:val="0"/>
      <w:marRight w:val="0"/>
      <w:marTop w:val="0"/>
      <w:marBottom w:val="0"/>
      <w:divBdr>
        <w:top w:val="none" w:sz="0" w:space="0" w:color="auto"/>
        <w:left w:val="none" w:sz="0" w:space="0" w:color="auto"/>
        <w:bottom w:val="none" w:sz="0" w:space="0" w:color="auto"/>
        <w:right w:val="none" w:sz="0" w:space="0" w:color="auto"/>
      </w:divBdr>
    </w:div>
    <w:div w:id="40329951">
      <w:bodyDiv w:val="1"/>
      <w:marLeft w:val="0"/>
      <w:marRight w:val="0"/>
      <w:marTop w:val="0"/>
      <w:marBottom w:val="0"/>
      <w:divBdr>
        <w:top w:val="none" w:sz="0" w:space="0" w:color="auto"/>
        <w:left w:val="none" w:sz="0" w:space="0" w:color="auto"/>
        <w:bottom w:val="none" w:sz="0" w:space="0" w:color="auto"/>
        <w:right w:val="none" w:sz="0" w:space="0" w:color="auto"/>
      </w:divBdr>
    </w:div>
    <w:div w:id="41566874">
      <w:bodyDiv w:val="1"/>
      <w:marLeft w:val="0"/>
      <w:marRight w:val="0"/>
      <w:marTop w:val="0"/>
      <w:marBottom w:val="0"/>
      <w:divBdr>
        <w:top w:val="none" w:sz="0" w:space="0" w:color="auto"/>
        <w:left w:val="none" w:sz="0" w:space="0" w:color="auto"/>
        <w:bottom w:val="none" w:sz="0" w:space="0" w:color="auto"/>
        <w:right w:val="none" w:sz="0" w:space="0" w:color="auto"/>
      </w:divBdr>
    </w:div>
    <w:div w:id="43532171">
      <w:bodyDiv w:val="1"/>
      <w:marLeft w:val="0"/>
      <w:marRight w:val="0"/>
      <w:marTop w:val="0"/>
      <w:marBottom w:val="0"/>
      <w:divBdr>
        <w:top w:val="none" w:sz="0" w:space="0" w:color="auto"/>
        <w:left w:val="none" w:sz="0" w:space="0" w:color="auto"/>
        <w:bottom w:val="none" w:sz="0" w:space="0" w:color="auto"/>
        <w:right w:val="none" w:sz="0" w:space="0" w:color="auto"/>
      </w:divBdr>
    </w:div>
    <w:div w:id="51005103">
      <w:bodyDiv w:val="1"/>
      <w:marLeft w:val="0"/>
      <w:marRight w:val="0"/>
      <w:marTop w:val="0"/>
      <w:marBottom w:val="0"/>
      <w:divBdr>
        <w:top w:val="none" w:sz="0" w:space="0" w:color="auto"/>
        <w:left w:val="none" w:sz="0" w:space="0" w:color="auto"/>
        <w:bottom w:val="none" w:sz="0" w:space="0" w:color="auto"/>
        <w:right w:val="none" w:sz="0" w:space="0" w:color="auto"/>
      </w:divBdr>
    </w:div>
    <w:div w:id="103616610">
      <w:bodyDiv w:val="1"/>
      <w:marLeft w:val="0"/>
      <w:marRight w:val="0"/>
      <w:marTop w:val="0"/>
      <w:marBottom w:val="0"/>
      <w:divBdr>
        <w:top w:val="none" w:sz="0" w:space="0" w:color="auto"/>
        <w:left w:val="none" w:sz="0" w:space="0" w:color="auto"/>
        <w:bottom w:val="none" w:sz="0" w:space="0" w:color="auto"/>
        <w:right w:val="none" w:sz="0" w:space="0" w:color="auto"/>
      </w:divBdr>
    </w:div>
    <w:div w:id="112670962">
      <w:bodyDiv w:val="1"/>
      <w:marLeft w:val="0"/>
      <w:marRight w:val="0"/>
      <w:marTop w:val="0"/>
      <w:marBottom w:val="0"/>
      <w:divBdr>
        <w:top w:val="none" w:sz="0" w:space="0" w:color="auto"/>
        <w:left w:val="none" w:sz="0" w:space="0" w:color="auto"/>
        <w:bottom w:val="none" w:sz="0" w:space="0" w:color="auto"/>
        <w:right w:val="none" w:sz="0" w:space="0" w:color="auto"/>
      </w:divBdr>
    </w:div>
    <w:div w:id="119425024">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94973831">
      <w:bodyDiv w:val="1"/>
      <w:marLeft w:val="0"/>
      <w:marRight w:val="0"/>
      <w:marTop w:val="0"/>
      <w:marBottom w:val="0"/>
      <w:divBdr>
        <w:top w:val="none" w:sz="0" w:space="0" w:color="auto"/>
        <w:left w:val="none" w:sz="0" w:space="0" w:color="auto"/>
        <w:bottom w:val="none" w:sz="0" w:space="0" w:color="auto"/>
        <w:right w:val="none" w:sz="0" w:space="0" w:color="auto"/>
      </w:divBdr>
    </w:div>
    <w:div w:id="218443203">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50356365">
      <w:bodyDiv w:val="1"/>
      <w:marLeft w:val="0"/>
      <w:marRight w:val="0"/>
      <w:marTop w:val="0"/>
      <w:marBottom w:val="0"/>
      <w:divBdr>
        <w:top w:val="none" w:sz="0" w:space="0" w:color="auto"/>
        <w:left w:val="none" w:sz="0" w:space="0" w:color="auto"/>
        <w:bottom w:val="none" w:sz="0" w:space="0" w:color="auto"/>
        <w:right w:val="none" w:sz="0" w:space="0" w:color="auto"/>
      </w:divBdr>
    </w:div>
    <w:div w:id="394473620">
      <w:bodyDiv w:val="1"/>
      <w:marLeft w:val="0"/>
      <w:marRight w:val="0"/>
      <w:marTop w:val="0"/>
      <w:marBottom w:val="0"/>
      <w:divBdr>
        <w:top w:val="none" w:sz="0" w:space="0" w:color="auto"/>
        <w:left w:val="none" w:sz="0" w:space="0" w:color="auto"/>
        <w:bottom w:val="none" w:sz="0" w:space="0" w:color="auto"/>
        <w:right w:val="none" w:sz="0" w:space="0" w:color="auto"/>
      </w:divBdr>
    </w:div>
    <w:div w:id="473717715">
      <w:bodyDiv w:val="1"/>
      <w:marLeft w:val="0"/>
      <w:marRight w:val="0"/>
      <w:marTop w:val="0"/>
      <w:marBottom w:val="0"/>
      <w:divBdr>
        <w:top w:val="none" w:sz="0" w:space="0" w:color="auto"/>
        <w:left w:val="none" w:sz="0" w:space="0" w:color="auto"/>
        <w:bottom w:val="none" w:sz="0" w:space="0" w:color="auto"/>
        <w:right w:val="none" w:sz="0" w:space="0" w:color="auto"/>
      </w:divBdr>
    </w:div>
    <w:div w:id="502014474">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44549749">
      <w:bodyDiv w:val="1"/>
      <w:marLeft w:val="0"/>
      <w:marRight w:val="0"/>
      <w:marTop w:val="0"/>
      <w:marBottom w:val="0"/>
      <w:divBdr>
        <w:top w:val="none" w:sz="0" w:space="0" w:color="auto"/>
        <w:left w:val="none" w:sz="0" w:space="0" w:color="auto"/>
        <w:bottom w:val="none" w:sz="0" w:space="0" w:color="auto"/>
        <w:right w:val="none" w:sz="0" w:space="0" w:color="auto"/>
      </w:divBdr>
    </w:div>
    <w:div w:id="676806653">
      <w:bodyDiv w:val="1"/>
      <w:marLeft w:val="0"/>
      <w:marRight w:val="0"/>
      <w:marTop w:val="0"/>
      <w:marBottom w:val="0"/>
      <w:divBdr>
        <w:top w:val="none" w:sz="0" w:space="0" w:color="auto"/>
        <w:left w:val="none" w:sz="0" w:space="0" w:color="auto"/>
        <w:bottom w:val="none" w:sz="0" w:space="0" w:color="auto"/>
        <w:right w:val="none" w:sz="0" w:space="0" w:color="auto"/>
      </w:divBdr>
    </w:div>
    <w:div w:id="702556452">
      <w:bodyDiv w:val="1"/>
      <w:marLeft w:val="0"/>
      <w:marRight w:val="0"/>
      <w:marTop w:val="0"/>
      <w:marBottom w:val="0"/>
      <w:divBdr>
        <w:top w:val="none" w:sz="0" w:space="0" w:color="auto"/>
        <w:left w:val="none" w:sz="0" w:space="0" w:color="auto"/>
        <w:bottom w:val="none" w:sz="0" w:space="0" w:color="auto"/>
        <w:right w:val="none" w:sz="0" w:space="0" w:color="auto"/>
      </w:divBdr>
    </w:div>
    <w:div w:id="703749150">
      <w:bodyDiv w:val="1"/>
      <w:marLeft w:val="0"/>
      <w:marRight w:val="0"/>
      <w:marTop w:val="0"/>
      <w:marBottom w:val="0"/>
      <w:divBdr>
        <w:top w:val="none" w:sz="0" w:space="0" w:color="auto"/>
        <w:left w:val="none" w:sz="0" w:space="0" w:color="auto"/>
        <w:bottom w:val="none" w:sz="0" w:space="0" w:color="auto"/>
        <w:right w:val="none" w:sz="0" w:space="0" w:color="auto"/>
      </w:divBdr>
    </w:div>
    <w:div w:id="793711740">
      <w:bodyDiv w:val="1"/>
      <w:marLeft w:val="0"/>
      <w:marRight w:val="0"/>
      <w:marTop w:val="0"/>
      <w:marBottom w:val="0"/>
      <w:divBdr>
        <w:top w:val="none" w:sz="0" w:space="0" w:color="auto"/>
        <w:left w:val="none" w:sz="0" w:space="0" w:color="auto"/>
        <w:bottom w:val="none" w:sz="0" w:space="0" w:color="auto"/>
        <w:right w:val="none" w:sz="0" w:space="0" w:color="auto"/>
      </w:divBdr>
    </w:div>
    <w:div w:id="895359958">
      <w:bodyDiv w:val="1"/>
      <w:marLeft w:val="0"/>
      <w:marRight w:val="0"/>
      <w:marTop w:val="0"/>
      <w:marBottom w:val="0"/>
      <w:divBdr>
        <w:top w:val="none" w:sz="0" w:space="0" w:color="auto"/>
        <w:left w:val="none" w:sz="0" w:space="0" w:color="auto"/>
        <w:bottom w:val="none" w:sz="0" w:space="0" w:color="auto"/>
        <w:right w:val="none" w:sz="0" w:space="0" w:color="auto"/>
      </w:divBdr>
    </w:div>
    <w:div w:id="925109837">
      <w:bodyDiv w:val="1"/>
      <w:marLeft w:val="0"/>
      <w:marRight w:val="0"/>
      <w:marTop w:val="0"/>
      <w:marBottom w:val="0"/>
      <w:divBdr>
        <w:top w:val="none" w:sz="0" w:space="0" w:color="auto"/>
        <w:left w:val="none" w:sz="0" w:space="0" w:color="auto"/>
        <w:bottom w:val="none" w:sz="0" w:space="0" w:color="auto"/>
        <w:right w:val="none" w:sz="0" w:space="0" w:color="auto"/>
      </w:divBdr>
    </w:div>
    <w:div w:id="955864817">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15809708">
      <w:bodyDiv w:val="1"/>
      <w:marLeft w:val="0"/>
      <w:marRight w:val="0"/>
      <w:marTop w:val="0"/>
      <w:marBottom w:val="0"/>
      <w:divBdr>
        <w:top w:val="none" w:sz="0" w:space="0" w:color="auto"/>
        <w:left w:val="none" w:sz="0" w:space="0" w:color="auto"/>
        <w:bottom w:val="none" w:sz="0" w:space="0" w:color="auto"/>
        <w:right w:val="none" w:sz="0" w:space="0" w:color="auto"/>
      </w:divBdr>
    </w:div>
    <w:div w:id="1017195087">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38955453">
      <w:bodyDiv w:val="1"/>
      <w:marLeft w:val="0"/>
      <w:marRight w:val="0"/>
      <w:marTop w:val="0"/>
      <w:marBottom w:val="0"/>
      <w:divBdr>
        <w:top w:val="none" w:sz="0" w:space="0" w:color="auto"/>
        <w:left w:val="none" w:sz="0" w:space="0" w:color="auto"/>
        <w:bottom w:val="none" w:sz="0" w:space="0" w:color="auto"/>
        <w:right w:val="none" w:sz="0" w:space="0" w:color="auto"/>
      </w:divBdr>
    </w:div>
    <w:div w:id="1146356912">
      <w:bodyDiv w:val="1"/>
      <w:marLeft w:val="0"/>
      <w:marRight w:val="0"/>
      <w:marTop w:val="0"/>
      <w:marBottom w:val="0"/>
      <w:divBdr>
        <w:top w:val="none" w:sz="0" w:space="0" w:color="auto"/>
        <w:left w:val="none" w:sz="0" w:space="0" w:color="auto"/>
        <w:bottom w:val="none" w:sz="0" w:space="0" w:color="auto"/>
        <w:right w:val="none" w:sz="0" w:space="0" w:color="auto"/>
      </w:divBdr>
    </w:div>
    <w:div w:id="1177306310">
      <w:bodyDiv w:val="1"/>
      <w:marLeft w:val="0"/>
      <w:marRight w:val="0"/>
      <w:marTop w:val="0"/>
      <w:marBottom w:val="0"/>
      <w:divBdr>
        <w:top w:val="none" w:sz="0" w:space="0" w:color="auto"/>
        <w:left w:val="none" w:sz="0" w:space="0" w:color="auto"/>
        <w:bottom w:val="none" w:sz="0" w:space="0" w:color="auto"/>
        <w:right w:val="none" w:sz="0" w:space="0" w:color="auto"/>
      </w:divBdr>
    </w:div>
    <w:div w:id="1237134509">
      <w:bodyDiv w:val="1"/>
      <w:marLeft w:val="0"/>
      <w:marRight w:val="0"/>
      <w:marTop w:val="0"/>
      <w:marBottom w:val="0"/>
      <w:divBdr>
        <w:top w:val="none" w:sz="0" w:space="0" w:color="auto"/>
        <w:left w:val="none" w:sz="0" w:space="0" w:color="auto"/>
        <w:bottom w:val="none" w:sz="0" w:space="0" w:color="auto"/>
        <w:right w:val="none" w:sz="0" w:space="0" w:color="auto"/>
      </w:divBdr>
    </w:div>
    <w:div w:id="1256130684">
      <w:bodyDiv w:val="1"/>
      <w:marLeft w:val="0"/>
      <w:marRight w:val="0"/>
      <w:marTop w:val="0"/>
      <w:marBottom w:val="0"/>
      <w:divBdr>
        <w:top w:val="none" w:sz="0" w:space="0" w:color="auto"/>
        <w:left w:val="none" w:sz="0" w:space="0" w:color="auto"/>
        <w:bottom w:val="none" w:sz="0" w:space="0" w:color="auto"/>
        <w:right w:val="none" w:sz="0" w:space="0" w:color="auto"/>
      </w:divBdr>
    </w:div>
    <w:div w:id="1276908629">
      <w:bodyDiv w:val="1"/>
      <w:marLeft w:val="0"/>
      <w:marRight w:val="0"/>
      <w:marTop w:val="0"/>
      <w:marBottom w:val="0"/>
      <w:divBdr>
        <w:top w:val="none" w:sz="0" w:space="0" w:color="auto"/>
        <w:left w:val="none" w:sz="0" w:space="0" w:color="auto"/>
        <w:bottom w:val="none" w:sz="0" w:space="0" w:color="auto"/>
        <w:right w:val="none" w:sz="0" w:space="0" w:color="auto"/>
      </w:divBdr>
    </w:div>
    <w:div w:id="1320227820">
      <w:bodyDiv w:val="1"/>
      <w:marLeft w:val="0"/>
      <w:marRight w:val="0"/>
      <w:marTop w:val="0"/>
      <w:marBottom w:val="0"/>
      <w:divBdr>
        <w:top w:val="none" w:sz="0" w:space="0" w:color="auto"/>
        <w:left w:val="none" w:sz="0" w:space="0" w:color="auto"/>
        <w:bottom w:val="none" w:sz="0" w:space="0" w:color="auto"/>
        <w:right w:val="none" w:sz="0" w:space="0" w:color="auto"/>
      </w:divBdr>
    </w:div>
    <w:div w:id="1327783729">
      <w:bodyDiv w:val="1"/>
      <w:marLeft w:val="0"/>
      <w:marRight w:val="0"/>
      <w:marTop w:val="0"/>
      <w:marBottom w:val="0"/>
      <w:divBdr>
        <w:top w:val="none" w:sz="0" w:space="0" w:color="auto"/>
        <w:left w:val="none" w:sz="0" w:space="0" w:color="auto"/>
        <w:bottom w:val="none" w:sz="0" w:space="0" w:color="auto"/>
        <w:right w:val="none" w:sz="0" w:space="0" w:color="auto"/>
      </w:divBdr>
    </w:div>
    <w:div w:id="1335114202">
      <w:bodyDiv w:val="1"/>
      <w:marLeft w:val="0"/>
      <w:marRight w:val="0"/>
      <w:marTop w:val="0"/>
      <w:marBottom w:val="0"/>
      <w:divBdr>
        <w:top w:val="none" w:sz="0" w:space="0" w:color="auto"/>
        <w:left w:val="none" w:sz="0" w:space="0" w:color="auto"/>
        <w:bottom w:val="none" w:sz="0" w:space="0" w:color="auto"/>
        <w:right w:val="none" w:sz="0" w:space="0" w:color="auto"/>
      </w:divBdr>
    </w:div>
    <w:div w:id="1449661900">
      <w:bodyDiv w:val="1"/>
      <w:marLeft w:val="0"/>
      <w:marRight w:val="0"/>
      <w:marTop w:val="0"/>
      <w:marBottom w:val="0"/>
      <w:divBdr>
        <w:top w:val="none" w:sz="0" w:space="0" w:color="auto"/>
        <w:left w:val="none" w:sz="0" w:space="0" w:color="auto"/>
        <w:bottom w:val="none" w:sz="0" w:space="0" w:color="auto"/>
        <w:right w:val="none" w:sz="0" w:space="0" w:color="auto"/>
      </w:divBdr>
    </w:div>
    <w:div w:id="1558321881">
      <w:bodyDiv w:val="1"/>
      <w:marLeft w:val="0"/>
      <w:marRight w:val="0"/>
      <w:marTop w:val="0"/>
      <w:marBottom w:val="0"/>
      <w:divBdr>
        <w:top w:val="none" w:sz="0" w:space="0" w:color="auto"/>
        <w:left w:val="none" w:sz="0" w:space="0" w:color="auto"/>
        <w:bottom w:val="none" w:sz="0" w:space="0" w:color="auto"/>
        <w:right w:val="none" w:sz="0" w:space="0" w:color="auto"/>
      </w:divBdr>
    </w:div>
    <w:div w:id="1569804146">
      <w:bodyDiv w:val="1"/>
      <w:marLeft w:val="0"/>
      <w:marRight w:val="0"/>
      <w:marTop w:val="0"/>
      <w:marBottom w:val="0"/>
      <w:divBdr>
        <w:top w:val="none" w:sz="0" w:space="0" w:color="auto"/>
        <w:left w:val="none" w:sz="0" w:space="0" w:color="auto"/>
        <w:bottom w:val="none" w:sz="0" w:space="0" w:color="auto"/>
        <w:right w:val="none" w:sz="0" w:space="0" w:color="auto"/>
      </w:divBdr>
    </w:div>
    <w:div w:id="1570311042">
      <w:bodyDiv w:val="1"/>
      <w:marLeft w:val="0"/>
      <w:marRight w:val="0"/>
      <w:marTop w:val="0"/>
      <w:marBottom w:val="0"/>
      <w:divBdr>
        <w:top w:val="none" w:sz="0" w:space="0" w:color="auto"/>
        <w:left w:val="none" w:sz="0" w:space="0" w:color="auto"/>
        <w:bottom w:val="none" w:sz="0" w:space="0" w:color="auto"/>
        <w:right w:val="none" w:sz="0" w:space="0" w:color="auto"/>
      </w:divBdr>
    </w:div>
    <w:div w:id="1584870716">
      <w:bodyDiv w:val="1"/>
      <w:marLeft w:val="0"/>
      <w:marRight w:val="0"/>
      <w:marTop w:val="0"/>
      <w:marBottom w:val="0"/>
      <w:divBdr>
        <w:top w:val="none" w:sz="0" w:space="0" w:color="auto"/>
        <w:left w:val="none" w:sz="0" w:space="0" w:color="auto"/>
        <w:bottom w:val="none" w:sz="0" w:space="0" w:color="auto"/>
        <w:right w:val="none" w:sz="0" w:space="0" w:color="auto"/>
      </w:divBdr>
    </w:div>
    <w:div w:id="1670676258">
      <w:bodyDiv w:val="1"/>
      <w:marLeft w:val="0"/>
      <w:marRight w:val="0"/>
      <w:marTop w:val="0"/>
      <w:marBottom w:val="0"/>
      <w:divBdr>
        <w:top w:val="none" w:sz="0" w:space="0" w:color="auto"/>
        <w:left w:val="none" w:sz="0" w:space="0" w:color="auto"/>
        <w:bottom w:val="none" w:sz="0" w:space="0" w:color="auto"/>
        <w:right w:val="none" w:sz="0" w:space="0" w:color="auto"/>
      </w:divBdr>
    </w:div>
    <w:div w:id="1711298778">
      <w:bodyDiv w:val="1"/>
      <w:marLeft w:val="0"/>
      <w:marRight w:val="0"/>
      <w:marTop w:val="0"/>
      <w:marBottom w:val="0"/>
      <w:divBdr>
        <w:top w:val="none" w:sz="0" w:space="0" w:color="auto"/>
        <w:left w:val="none" w:sz="0" w:space="0" w:color="auto"/>
        <w:bottom w:val="none" w:sz="0" w:space="0" w:color="auto"/>
        <w:right w:val="none" w:sz="0" w:space="0" w:color="auto"/>
      </w:divBdr>
    </w:div>
    <w:div w:id="1731270050">
      <w:bodyDiv w:val="1"/>
      <w:marLeft w:val="0"/>
      <w:marRight w:val="0"/>
      <w:marTop w:val="0"/>
      <w:marBottom w:val="0"/>
      <w:divBdr>
        <w:top w:val="none" w:sz="0" w:space="0" w:color="auto"/>
        <w:left w:val="none" w:sz="0" w:space="0" w:color="auto"/>
        <w:bottom w:val="none" w:sz="0" w:space="0" w:color="auto"/>
        <w:right w:val="none" w:sz="0" w:space="0" w:color="auto"/>
      </w:divBdr>
    </w:div>
    <w:div w:id="1731419419">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60101139">
      <w:bodyDiv w:val="1"/>
      <w:marLeft w:val="0"/>
      <w:marRight w:val="0"/>
      <w:marTop w:val="0"/>
      <w:marBottom w:val="0"/>
      <w:divBdr>
        <w:top w:val="none" w:sz="0" w:space="0" w:color="auto"/>
        <w:left w:val="none" w:sz="0" w:space="0" w:color="auto"/>
        <w:bottom w:val="none" w:sz="0" w:space="0" w:color="auto"/>
        <w:right w:val="none" w:sz="0" w:space="0" w:color="auto"/>
      </w:divBdr>
    </w:div>
    <w:div w:id="1820535267">
      <w:bodyDiv w:val="1"/>
      <w:marLeft w:val="0"/>
      <w:marRight w:val="0"/>
      <w:marTop w:val="0"/>
      <w:marBottom w:val="0"/>
      <w:divBdr>
        <w:top w:val="none" w:sz="0" w:space="0" w:color="auto"/>
        <w:left w:val="none" w:sz="0" w:space="0" w:color="auto"/>
        <w:bottom w:val="none" w:sz="0" w:space="0" w:color="auto"/>
        <w:right w:val="none" w:sz="0" w:space="0" w:color="auto"/>
      </w:divBdr>
    </w:div>
    <w:div w:id="1841431265">
      <w:bodyDiv w:val="1"/>
      <w:marLeft w:val="0"/>
      <w:marRight w:val="0"/>
      <w:marTop w:val="0"/>
      <w:marBottom w:val="0"/>
      <w:divBdr>
        <w:top w:val="none" w:sz="0" w:space="0" w:color="auto"/>
        <w:left w:val="none" w:sz="0" w:space="0" w:color="auto"/>
        <w:bottom w:val="none" w:sz="0" w:space="0" w:color="auto"/>
        <w:right w:val="none" w:sz="0" w:space="0" w:color="auto"/>
      </w:divBdr>
    </w:div>
    <w:div w:id="1894149740">
      <w:bodyDiv w:val="1"/>
      <w:marLeft w:val="0"/>
      <w:marRight w:val="0"/>
      <w:marTop w:val="0"/>
      <w:marBottom w:val="0"/>
      <w:divBdr>
        <w:top w:val="none" w:sz="0" w:space="0" w:color="auto"/>
        <w:left w:val="none" w:sz="0" w:space="0" w:color="auto"/>
        <w:bottom w:val="none" w:sz="0" w:space="0" w:color="auto"/>
        <w:right w:val="none" w:sz="0" w:space="0" w:color="auto"/>
      </w:divBdr>
    </w:div>
    <w:div w:id="1918856799">
      <w:bodyDiv w:val="1"/>
      <w:marLeft w:val="0"/>
      <w:marRight w:val="0"/>
      <w:marTop w:val="0"/>
      <w:marBottom w:val="0"/>
      <w:divBdr>
        <w:top w:val="none" w:sz="0" w:space="0" w:color="auto"/>
        <w:left w:val="none" w:sz="0" w:space="0" w:color="auto"/>
        <w:bottom w:val="none" w:sz="0" w:space="0" w:color="auto"/>
        <w:right w:val="none" w:sz="0" w:space="0" w:color="auto"/>
      </w:divBdr>
    </w:div>
    <w:div w:id="1951165404">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72591211">
      <w:bodyDiv w:val="1"/>
      <w:marLeft w:val="0"/>
      <w:marRight w:val="0"/>
      <w:marTop w:val="0"/>
      <w:marBottom w:val="0"/>
      <w:divBdr>
        <w:top w:val="none" w:sz="0" w:space="0" w:color="auto"/>
        <w:left w:val="none" w:sz="0" w:space="0" w:color="auto"/>
        <w:bottom w:val="none" w:sz="0" w:space="0" w:color="auto"/>
        <w:right w:val="none" w:sz="0" w:space="0" w:color="auto"/>
      </w:divBdr>
    </w:div>
    <w:div w:id="212534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latunisiemedicale.com/index.php/tunismed/article/view/3434"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who.int/news-room/fact-sheets/detail/preterm-birth" TargetMode="External"/><Relationship Id="rId2" Type="http://schemas.openxmlformats.org/officeDocument/2006/relationships/numbering" Target="numbering.xml"/><Relationship Id="rId16" Type="http://schemas.openxmlformats.org/officeDocument/2006/relationships/hyperlink" Target="https://data.unicef.org/resources/levels-and-trends-in-child-mortality-2023/"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2B631-36C6-4A6B-BE0B-966B001A7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245</TotalTime>
  <Pages>8</Pages>
  <Words>2065</Words>
  <Characters>11771</Characters>
  <Application>Microsoft Office Word</Application>
  <DocSecurity>0</DocSecurity>
  <Lines>98</Lines>
  <Paragraphs>27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13809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32</cp:revision>
  <cp:lastPrinted>2025-09-20T00:35:00Z</cp:lastPrinted>
  <dcterms:created xsi:type="dcterms:W3CDTF">2025-09-23T22:40:00Z</dcterms:created>
  <dcterms:modified xsi:type="dcterms:W3CDTF">2025-10-06T05:07:00Z</dcterms:modified>
</cp:coreProperties>
</file>