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EDAC7" w14:textId="2D468537" w:rsidR="00754C9A" w:rsidRDefault="00287076" w:rsidP="006D73E6">
      <w:pPr>
        <w:pStyle w:val="Author"/>
        <w:spacing w:line="240" w:lineRule="auto"/>
        <w:rPr>
          <w:rFonts w:ascii="Arial" w:hAnsi="Arial" w:cs="Arial"/>
        </w:rPr>
      </w:pPr>
      <w:r w:rsidRPr="00287076">
        <w:rPr>
          <w:rFonts w:ascii="Arial" w:hAnsi="Arial" w:cs="Arial"/>
        </w:rPr>
        <w:t>Case report</w:t>
      </w:r>
    </w:p>
    <w:p w14:paraId="27ABFE9B" w14:textId="77777777" w:rsidR="00287076" w:rsidRDefault="00287076" w:rsidP="006D73E6">
      <w:pPr>
        <w:pStyle w:val="Author"/>
        <w:spacing w:line="240" w:lineRule="auto"/>
        <w:rPr>
          <w:rFonts w:ascii="Arial" w:hAnsi="Arial" w:cs="Arial"/>
        </w:rPr>
      </w:pPr>
    </w:p>
    <w:p w14:paraId="140BA7E3" w14:textId="0D9CA7E0" w:rsidR="00163BC4" w:rsidRPr="00882830" w:rsidRDefault="00A54776" w:rsidP="00A54776">
      <w:pPr>
        <w:pStyle w:val="Author"/>
        <w:spacing w:line="240" w:lineRule="auto"/>
        <w:jc w:val="both"/>
        <w:rPr>
          <w:rFonts w:ascii="Arial" w:hAnsi="Arial" w:cs="Arial"/>
          <w:bCs/>
          <w:iCs/>
          <w:kern w:val="28"/>
          <w:sz w:val="36"/>
        </w:rPr>
      </w:pPr>
      <w:bookmarkStart w:id="0" w:name="_Hlk207273077"/>
      <w:r w:rsidRPr="00882830">
        <w:rPr>
          <w:rFonts w:ascii="Arial" w:hAnsi="Arial" w:cs="Arial"/>
          <w:bCs/>
          <w:iCs/>
          <w:kern w:val="28"/>
          <w:sz w:val="36"/>
        </w:rPr>
        <w:t>Intracardiac Thrombi in Children: A Five-Case Series and Literature Review</w:t>
      </w:r>
      <w:bookmarkEnd w:id="0"/>
      <w:r w:rsidR="00C16260" w:rsidRPr="00882830">
        <w:rPr>
          <w:rFonts w:ascii="Arial" w:hAnsi="Arial" w:cs="Arial"/>
          <w:bCs/>
          <w:iCs/>
          <w:kern w:val="28"/>
          <w:sz w:val="36"/>
        </w:rPr>
        <w:t xml:space="preserve"> </w:t>
      </w:r>
    </w:p>
    <w:p w14:paraId="1E346DA8" w14:textId="4ABBD551" w:rsidR="00A258C3" w:rsidRPr="00882830" w:rsidRDefault="00C16260" w:rsidP="00C16260">
      <w:pPr>
        <w:pStyle w:val="Author"/>
        <w:tabs>
          <w:tab w:val="left" w:pos="4789"/>
        </w:tabs>
        <w:spacing w:line="240" w:lineRule="auto"/>
        <w:jc w:val="both"/>
        <w:rPr>
          <w:rFonts w:ascii="Arial" w:hAnsi="Arial" w:cs="Arial"/>
          <w:sz w:val="36"/>
        </w:rPr>
      </w:pPr>
      <w:r w:rsidRPr="00882830">
        <w:rPr>
          <w:rFonts w:ascii="Arial" w:hAnsi="Arial" w:cs="Arial"/>
          <w:sz w:val="36"/>
        </w:rPr>
        <w:tab/>
      </w:r>
    </w:p>
    <w:p w14:paraId="1717DD53" w14:textId="77777777" w:rsidR="009773E6" w:rsidRPr="00882830" w:rsidRDefault="009773E6" w:rsidP="00D47729">
      <w:pPr>
        <w:pStyle w:val="Affiliation"/>
        <w:spacing w:after="0" w:line="240" w:lineRule="auto"/>
        <w:rPr>
          <w:rFonts w:ascii="Arial" w:hAnsi="Arial" w:cs="Arial"/>
          <w:i/>
        </w:rPr>
      </w:pPr>
    </w:p>
    <w:p w14:paraId="6320D7F1" w14:textId="77777777" w:rsidR="00790ADA" w:rsidRPr="00882830" w:rsidRDefault="00790ADA" w:rsidP="00441B6F">
      <w:pPr>
        <w:pStyle w:val="Affiliation"/>
        <w:spacing w:after="0" w:line="240" w:lineRule="auto"/>
        <w:jc w:val="both"/>
        <w:rPr>
          <w:rFonts w:ascii="Arial" w:hAnsi="Arial" w:cs="Arial"/>
        </w:rPr>
      </w:pPr>
    </w:p>
    <w:p w14:paraId="7E09220C" w14:textId="77777777" w:rsidR="002C57D2" w:rsidRPr="00882830" w:rsidRDefault="002C57D2" w:rsidP="00441B6F">
      <w:pPr>
        <w:pStyle w:val="Affiliation"/>
        <w:spacing w:after="0" w:line="240" w:lineRule="auto"/>
        <w:jc w:val="both"/>
        <w:rPr>
          <w:rFonts w:ascii="Arial" w:hAnsi="Arial" w:cs="Arial"/>
        </w:rPr>
      </w:pPr>
    </w:p>
    <w:p w14:paraId="3F6C1CF9" w14:textId="47BC37DB" w:rsidR="00B01FCD" w:rsidRPr="00882830" w:rsidRDefault="007A2ED0" w:rsidP="00441B6F">
      <w:pPr>
        <w:pStyle w:val="Copyright"/>
        <w:spacing w:after="0" w:line="240" w:lineRule="auto"/>
        <w:jc w:val="both"/>
        <w:rPr>
          <w:rFonts w:ascii="Arial" w:hAnsi="Arial" w:cs="Arial"/>
        </w:rPr>
        <w:sectPr w:rsidR="00B01FCD" w:rsidRPr="00882830" w:rsidSect="00800BB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82830">
        <w:rPr>
          <w:rFonts w:ascii="Arial" w:hAnsi="Arial" w:cs="Arial"/>
          <w:noProof/>
        </w:rPr>
        <mc:AlternateContent>
          <mc:Choice Requires="wps">
            <w:drawing>
              <wp:inline distT="0" distB="0" distL="0" distR="0" wp14:anchorId="2366FAD7" wp14:editId="7BECD534">
                <wp:extent cx="5303520" cy="635"/>
                <wp:effectExtent l="11430" t="10795" r="9525" b="17780"/>
                <wp:docPr id="355544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AED48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82830">
        <w:rPr>
          <w:rFonts w:ascii="Arial" w:hAnsi="Arial" w:cs="Arial"/>
        </w:rPr>
        <w:t>.</w:t>
      </w:r>
    </w:p>
    <w:p w14:paraId="31A0449D" w14:textId="3E8151C8" w:rsidR="00B01FCD" w:rsidRPr="00882830" w:rsidRDefault="00B01FCD" w:rsidP="00441B6F">
      <w:pPr>
        <w:pStyle w:val="AbstHead"/>
        <w:spacing w:after="0"/>
        <w:jc w:val="both"/>
        <w:rPr>
          <w:rFonts w:ascii="Arial" w:hAnsi="Arial" w:cs="Arial"/>
        </w:rPr>
      </w:pPr>
      <w:r w:rsidRPr="00882830">
        <w:rPr>
          <w:rFonts w:ascii="Arial" w:hAnsi="Arial" w:cs="Arial"/>
        </w:rPr>
        <w:t>ABSTRACT</w:t>
      </w:r>
      <w:r w:rsidR="0066510A" w:rsidRPr="00882830">
        <w:rPr>
          <w:rFonts w:ascii="Arial" w:hAnsi="Arial" w:cs="Arial"/>
        </w:rPr>
        <w:t xml:space="preserve"> </w:t>
      </w:r>
    </w:p>
    <w:p w14:paraId="6C7511CD" w14:textId="77777777" w:rsidR="00790ADA" w:rsidRPr="0088283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82830" w14:paraId="710BDB2B" w14:textId="77777777" w:rsidTr="001E44FE">
        <w:tc>
          <w:tcPr>
            <w:tcW w:w="9576" w:type="dxa"/>
            <w:shd w:val="clear" w:color="auto" w:fill="F2F2F2"/>
          </w:tcPr>
          <w:p w14:paraId="27AFB403" w14:textId="77777777" w:rsidR="00A54776" w:rsidRPr="00882830" w:rsidRDefault="00A54776" w:rsidP="00A54776">
            <w:pPr>
              <w:pStyle w:val="Body"/>
              <w:spacing w:after="0"/>
              <w:rPr>
                <w:rFonts w:ascii="Arial" w:eastAsia="Calibri" w:hAnsi="Arial" w:cs="Arial"/>
                <w:szCs w:val="22"/>
              </w:rPr>
            </w:pPr>
            <w:r w:rsidRPr="00882830">
              <w:rPr>
                <w:rFonts w:ascii="Arial" w:eastAsia="Calibri" w:hAnsi="Arial" w:cs="Arial"/>
                <w:b/>
                <w:bCs/>
                <w:szCs w:val="22"/>
              </w:rPr>
              <w:t>Aims:</w:t>
            </w:r>
            <w:r w:rsidRPr="00882830">
              <w:rPr>
                <w:rFonts w:ascii="Arial" w:eastAsia="Calibri" w:hAnsi="Arial" w:cs="Arial"/>
                <w:szCs w:val="22"/>
              </w:rPr>
              <w:t xml:space="preserve"> To report a pediatric series of intracardiac thrombi and to discuss their clinical, diagnostic, and therapeutic aspects in the light of current literature.</w:t>
            </w:r>
          </w:p>
          <w:p w14:paraId="1A99A671" w14:textId="77777777" w:rsidR="00A54776" w:rsidRPr="00882830" w:rsidRDefault="00A54776" w:rsidP="00A54776">
            <w:pPr>
              <w:pStyle w:val="Body"/>
              <w:spacing w:after="0"/>
              <w:rPr>
                <w:rFonts w:ascii="Arial" w:eastAsia="Calibri" w:hAnsi="Arial" w:cs="Arial"/>
                <w:szCs w:val="22"/>
              </w:rPr>
            </w:pPr>
            <w:r w:rsidRPr="00882830">
              <w:rPr>
                <w:rFonts w:ascii="Arial" w:eastAsia="Calibri" w:hAnsi="Arial" w:cs="Arial"/>
                <w:b/>
                <w:bCs/>
                <w:szCs w:val="22"/>
              </w:rPr>
              <w:t>Study Design:</w:t>
            </w:r>
            <w:r w:rsidRPr="00882830">
              <w:rPr>
                <w:rFonts w:ascii="Arial" w:eastAsia="Calibri" w:hAnsi="Arial" w:cs="Arial"/>
                <w:szCs w:val="22"/>
              </w:rPr>
              <w:t xml:space="preserve"> Case series and literature review.</w:t>
            </w:r>
          </w:p>
          <w:p w14:paraId="1392FE3E" w14:textId="77777777" w:rsidR="00A54776" w:rsidRPr="00882830" w:rsidRDefault="00A54776" w:rsidP="00A54776">
            <w:pPr>
              <w:pStyle w:val="Body"/>
              <w:spacing w:after="0"/>
              <w:rPr>
                <w:rFonts w:ascii="Arial" w:eastAsia="Calibri" w:hAnsi="Arial" w:cs="Arial"/>
                <w:szCs w:val="22"/>
              </w:rPr>
            </w:pPr>
            <w:r w:rsidRPr="00882830">
              <w:rPr>
                <w:rFonts w:ascii="Arial" w:eastAsia="Calibri" w:hAnsi="Arial" w:cs="Arial"/>
                <w:b/>
                <w:bCs/>
                <w:szCs w:val="22"/>
              </w:rPr>
              <w:t>Place and Duration of Study:</w:t>
            </w:r>
            <w:r w:rsidRPr="00882830">
              <w:rPr>
                <w:rFonts w:ascii="Arial" w:eastAsia="Calibri" w:hAnsi="Arial" w:cs="Arial"/>
                <w:szCs w:val="22"/>
              </w:rPr>
              <w:t xml:space="preserve"> Department of Pediatrics, Children’s Hospital, Rabat, Morocco, 2023–2024.</w:t>
            </w:r>
          </w:p>
          <w:p w14:paraId="0930450D" w14:textId="77777777" w:rsidR="00A54776" w:rsidRPr="00882830" w:rsidRDefault="00A54776" w:rsidP="00A54776">
            <w:pPr>
              <w:pStyle w:val="Body"/>
              <w:spacing w:after="0"/>
              <w:rPr>
                <w:rFonts w:ascii="Arial" w:eastAsia="Calibri" w:hAnsi="Arial" w:cs="Arial"/>
                <w:szCs w:val="22"/>
              </w:rPr>
            </w:pPr>
            <w:r w:rsidRPr="00882830">
              <w:rPr>
                <w:rFonts w:ascii="Arial" w:eastAsia="Calibri" w:hAnsi="Arial" w:cs="Arial"/>
                <w:b/>
                <w:bCs/>
                <w:szCs w:val="22"/>
              </w:rPr>
              <w:t>Methodology:</w:t>
            </w:r>
            <w:r w:rsidRPr="00882830">
              <w:rPr>
                <w:rFonts w:ascii="Arial" w:eastAsia="Calibri" w:hAnsi="Arial" w:cs="Arial"/>
                <w:szCs w:val="22"/>
              </w:rPr>
              <w:t xml:space="preserve"> We retrospectively analyzed five pediatric patients aged 3 months to 13 years who were diagnosed with intracardiac thrombi of various etiologies. Clinical data, laboratory tests, imaging results, therapeutic strategies, and outcomes were collected from medical records.</w:t>
            </w:r>
          </w:p>
          <w:p w14:paraId="1BD5C3DD" w14:textId="77777777" w:rsidR="00A54776" w:rsidRPr="00882830" w:rsidRDefault="00A54776" w:rsidP="00A54776">
            <w:pPr>
              <w:pStyle w:val="Body"/>
              <w:spacing w:after="0"/>
              <w:rPr>
                <w:rFonts w:ascii="Arial" w:eastAsia="Calibri" w:hAnsi="Arial" w:cs="Arial"/>
                <w:szCs w:val="22"/>
              </w:rPr>
            </w:pPr>
            <w:r w:rsidRPr="00882830">
              <w:rPr>
                <w:rFonts w:ascii="Arial" w:eastAsia="Calibri" w:hAnsi="Arial" w:cs="Arial"/>
                <w:b/>
                <w:bCs/>
                <w:szCs w:val="22"/>
              </w:rPr>
              <w:t>Results:</w:t>
            </w:r>
            <w:r w:rsidRPr="00882830">
              <w:rPr>
                <w:rFonts w:ascii="Arial" w:eastAsia="Calibri" w:hAnsi="Arial" w:cs="Arial"/>
                <w:szCs w:val="22"/>
              </w:rPr>
              <w:t xml:space="preserve"> The series included five children: one adolescent with </w:t>
            </w:r>
            <w:proofErr w:type="spellStart"/>
            <w:r w:rsidRPr="00882830">
              <w:rPr>
                <w:rFonts w:ascii="Arial" w:eastAsia="Calibri" w:hAnsi="Arial" w:cs="Arial"/>
                <w:szCs w:val="22"/>
              </w:rPr>
              <w:t>hyperhomocysteinemia</w:t>
            </w:r>
            <w:proofErr w:type="spellEnd"/>
            <w:r w:rsidRPr="00882830">
              <w:rPr>
                <w:rFonts w:ascii="Arial" w:eastAsia="Calibri" w:hAnsi="Arial" w:cs="Arial"/>
                <w:szCs w:val="22"/>
              </w:rPr>
              <w:t xml:space="preserve"> complicated by a left ventricular thrombus, a premature infant with a central venous catheter and right atrial thrombus, a 7-month-old with severe heart failure and left ventricular thrombus, a teenager with Behçet’s disease and right ventricular thrombus, and an infant with protein C/S deficiency and left ventricular thrombus. Management relied mainly on anticoagulation with low-molecular-weight heparin and vitamin K antagonists, alongside etiological treatments when indicated. Outcomes were variable: two patients died, two showed favorable recovery, and one was lost to follow-up.</w:t>
            </w:r>
          </w:p>
          <w:p w14:paraId="72C7BB57" w14:textId="77777777" w:rsidR="00A54776" w:rsidRPr="00882830" w:rsidRDefault="00A54776" w:rsidP="00A54776">
            <w:pPr>
              <w:pStyle w:val="Body"/>
              <w:spacing w:after="0"/>
              <w:rPr>
                <w:rFonts w:ascii="Arial" w:eastAsia="Calibri" w:hAnsi="Arial" w:cs="Arial"/>
                <w:szCs w:val="22"/>
              </w:rPr>
            </w:pPr>
            <w:r w:rsidRPr="00882830">
              <w:rPr>
                <w:rFonts w:ascii="Arial" w:eastAsia="Calibri" w:hAnsi="Arial" w:cs="Arial"/>
                <w:b/>
                <w:bCs/>
                <w:szCs w:val="22"/>
              </w:rPr>
              <w:t>Conclusion:</w:t>
            </w:r>
            <w:r w:rsidRPr="00882830">
              <w:rPr>
                <w:rFonts w:ascii="Arial" w:eastAsia="Calibri" w:hAnsi="Arial" w:cs="Arial"/>
                <w:szCs w:val="22"/>
              </w:rPr>
              <w:t xml:space="preserve"> Intracardiac thrombi in children are rare but potentially fatal conditions. Early recognition using echocardiography and timely initiation of anticoagulation are essential to prevent embolic complications. Prognosis depends on underlying pathology and rapid multidisciplinary management. Preventive strategies should address modifiable risk factors such as catheterization and uncorrected coagulation disorders.</w:t>
            </w:r>
          </w:p>
          <w:p w14:paraId="0AA4D855" w14:textId="2386E472" w:rsidR="00505F06" w:rsidRPr="00882830" w:rsidRDefault="00505F06" w:rsidP="00441B6F">
            <w:pPr>
              <w:pStyle w:val="Body"/>
              <w:spacing w:after="0"/>
              <w:rPr>
                <w:rFonts w:ascii="Arial" w:eastAsia="Calibri" w:hAnsi="Arial" w:cs="Arial"/>
                <w:szCs w:val="22"/>
              </w:rPr>
            </w:pPr>
          </w:p>
        </w:tc>
      </w:tr>
    </w:tbl>
    <w:p w14:paraId="6EE3EA7C" w14:textId="77777777" w:rsidR="00636EB2" w:rsidRPr="00882830" w:rsidRDefault="00636EB2" w:rsidP="00441B6F">
      <w:pPr>
        <w:pStyle w:val="Body"/>
        <w:spacing w:after="0"/>
        <w:rPr>
          <w:rFonts w:ascii="Arial" w:hAnsi="Arial" w:cs="Arial"/>
          <w:i/>
        </w:rPr>
      </w:pPr>
    </w:p>
    <w:p w14:paraId="13B85649" w14:textId="77777777" w:rsidR="00A54776" w:rsidRPr="00882830" w:rsidRDefault="00A54776" w:rsidP="00A54776">
      <w:pPr>
        <w:pStyle w:val="Body"/>
        <w:spacing w:after="0"/>
        <w:rPr>
          <w:rFonts w:ascii="Arial" w:hAnsi="Arial" w:cs="Arial"/>
          <w:i/>
        </w:rPr>
      </w:pPr>
      <w:r w:rsidRPr="00882830">
        <w:rPr>
          <w:rFonts w:ascii="Arial" w:hAnsi="Arial" w:cs="Arial"/>
          <w:i/>
        </w:rPr>
        <w:t>Keywords: Intracardiac thrombus; children; anticoagulation; echocardiography; hypercoagulability; congenital disorders; case series.</w:t>
      </w:r>
    </w:p>
    <w:p w14:paraId="10B807FE" w14:textId="77777777" w:rsidR="0024282C" w:rsidRPr="00882830" w:rsidRDefault="0024282C" w:rsidP="00441B6F">
      <w:pPr>
        <w:pStyle w:val="Body"/>
        <w:spacing w:after="0"/>
        <w:rPr>
          <w:rFonts w:ascii="Arial" w:hAnsi="Arial" w:cs="Arial"/>
          <w:i/>
          <w:sz w:val="18"/>
        </w:rPr>
      </w:pPr>
    </w:p>
    <w:p w14:paraId="7F175604" w14:textId="77777777" w:rsidR="00505F06" w:rsidRPr="00882830" w:rsidRDefault="00505F06" w:rsidP="00441B6F">
      <w:pPr>
        <w:pStyle w:val="Body"/>
        <w:spacing w:after="0"/>
        <w:rPr>
          <w:rFonts w:ascii="Arial" w:hAnsi="Arial" w:cs="Arial"/>
          <w:i/>
        </w:rPr>
      </w:pPr>
    </w:p>
    <w:p w14:paraId="3D4BC0E1" w14:textId="0EEFB292" w:rsidR="007F7B32" w:rsidRPr="00882830" w:rsidRDefault="00902823" w:rsidP="00441B6F">
      <w:pPr>
        <w:pStyle w:val="AbstHead"/>
        <w:spacing w:after="0"/>
        <w:jc w:val="both"/>
        <w:rPr>
          <w:rFonts w:ascii="Arial" w:hAnsi="Arial" w:cs="Arial"/>
        </w:rPr>
      </w:pPr>
      <w:r w:rsidRPr="00882830">
        <w:rPr>
          <w:rFonts w:ascii="Arial" w:hAnsi="Arial" w:cs="Arial"/>
        </w:rPr>
        <w:t xml:space="preserve">1. </w:t>
      </w:r>
      <w:r w:rsidR="00B01FCD" w:rsidRPr="00882830">
        <w:rPr>
          <w:rFonts w:ascii="Arial" w:hAnsi="Arial" w:cs="Arial"/>
        </w:rPr>
        <w:t>INTRODUCTION</w:t>
      </w:r>
      <w:r w:rsidR="007F7B32" w:rsidRPr="00882830">
        <w:rPr>
          <w:rFonts w:ascii="Arial" w:hAnsi="Arial" w:cs="Arial"/>
        </w:rPr>
        <w:t xml:space="preserve"> </w:t>
      </w:r>
    </w:p>
    <w:p w14:paraId="1E334118" w14:textId="77777777" w:rsidR="00790ADA" w:rsidRPr="00882830" w:rsidRDefault="00790ADA" w:rsidP="00441B6F">
      <w:pPr>
        <w:pStyle w:val="AbstHead"/>
        <w:spacing w:after="0"/>
        <w:jc w:val="both"/>
        <w:rPr>
          <w:rFonts w:ascii="Arial" w:hAnsi="Arial" w:cs="Arial"/>
        </w:rPr>
      </w:pPr>
    </w:p>
    <w:p w14:paraId="33DAFC69" w14:textId="77777777" w:rsidR="00A54776" w:rsidRPr="00882830" w:rsidRDefault="00A54776" w:rsidP="00A54776">
      <w:pPr>
        <w:pStyle w:val="Body"/>
        <w:spacing w:after="0"/>
      </w:pPr>
      <w:r w:rsidRPr="00882830">
        <w:t>Intracardiac thrombi are rare but serious conditions in the pediatric population, with potentially life-threatening consequences due to systemic or pulmonary embolism [1–3]. Their true prevalence remains difficult to establish, as most data come from adult cohorts and pediatric cases are reported mainly as isolated observations or small series [4,5]. Nevertheless, improvements in echocardiography and cardiac magnetic resonance imaging have enhanced the recognition of these thrombi in children [6,7].</w:t>
      </w:r>
    </w:p>
    <w:p w14:paraId="731218B1" w14:textId="77777777" w:rsidR="00A54776" w:rsidRPr="00882830" w:rsidRDefault="00A54776" w:rsidP="00A54776">
      <w:pPr>
        <w:pStyle w:val="Body"/>
        <w:spacing w:after="0"/>
      </w:pPr>
      <w:r w:rsidRPr="00882830">
        <w:t xml:space="preserve">The pathogenesis is explained by Virchow’s triad, which combines endothelial injury, blood stasis, and hypercoagulability [8,9]. In children, several predisposing factors have been identified, including congenital heart disease, dilated cardiomyopathy, systemic inflammatory </w:t>
      </w:r>
      <w:r w:rsidRPr="00882830">
        <w:lastRenderedPageBreak/>
        <w:t xml:space="preserve">disorders such as Behçet’s disease, and hematological abnormalities like protein C or S deficiency or </w:t>
      </w:r>
      <w:proofErr w:type="spellStart"/>
      <w:r w:rsidRPr="00882830">
        <w:t>hyperhomocysteinemia</w:t>
      </w:r>
      <w:proofErr w:type="spellEnd"/>
      <w:r w:rsidRPr="00882830">
        <w:t xml:space="preserve"> [10–13]. Iatrogenic causes, particularly central venous catheters, are also major contributors in neonates and infants [14,15].</w:t>
      </w:r>
    </w:p>
    <w:p w14:paraId="184A2242" w14:textId="77777777" w:rsidR="00A54776" w:rsidRPr="00882830" w:rsidRDefault="00A54776" w:rsidP="00A54776">
      <w:pPr>
        <w:pStyle w:val="Body"/>
        <w:spacing w:after="0"/>
      </w:pPr>
      <w:r w:rsidRPr="00882830">
        <w:t>Diagnostic confirmation relies primarily on transthoracic echocardiography, which is widely available and non-invasive [16]. Transesophageal echocardiography and cardiac MRI provide additional accuracy in evaluating thrombus size, mobility, and risk of embolization [17,18].</w:t>
      </w:r>
    </w:p>
    <w:p w14:paraId="6F10FD70" w14:textId="77777777" w:rsidR="00A54776" w:rsidRPr="00882830" w:rsidRDefault="00A54776" w:rsidP="00A54776">
      <w:pPr>
        <w:pStyle w:val="Body"/>
        <w:spacing w:after="0"/>
      </w:pPr>
      <w:r w:rsidRPr="00882830">
        <w:t>Management is not standardized in pediatrics and is often extrapolated from adult guidelines. Anticoagulation with unfractionated heparin, low-molecular-weight heparin, or vitamin K antagonists remains the mainstay of therapy [19,20]. Surgical thrombectomy may be considered in selected cases with large, mobile, or refractory thrombi [21]. Despite these measures, prognosis remains guarded, and mortality is high in infants with severe underlying disease [22,23].</w:t>
      </w:r>
    </w:p>
    <w:p w14:paraId="79D7AC1E" w14:textId="77777777" w:rsidR="00A54776" w:rsidRPr="00882830" w:rsidRDefault="00A54776" w:rsidP="00A54776">
      <w:pPr>
        <w:pStyle w:val="Body"/>
        <w:spacing w:after="0"/>
      </w:pPr>
      <w:r w:rsidRPr="00882830">
        <w:t>Recent reviews stress the importance of early recognition and multidisciplinary management to improve outcomes [24–26]. The aim of this article is to present five pediatric cases of intracardiac thrombi of diverse etiologies and to discuss their clinical, diagnostic, and therapeutic implications in the light of current literature.</w:t>
      </w:r>
    </w:p>
    <w:p w14:paraId="61F2F39B" w14:textId="77777777" w:rsidR="00A54776" w:rsidRPr="00882830" w:rsidRDefault="00A54776" w:rsidP="00A54776">
      <w:pPr>
        <w:pStyle w:val="Body"/>
        <w:spacing w:after="0"/>
      </w:pPr>
    </w:p>
    <w:p w14:paraId="3EE57F12" w14:textId="77777777" w:rsidR="009A102C" w:rsidRPr="00882830" w:rsidRDefault="009A102C" w:rsidP="009A102C">
      <w:pPr>
        <w:pStyle w:val="Body"/>
        <w:spacing w:after="0"/>
        <w:rPr>
          <w:rFonts w:ascii="Arial" w:hAnsi="Arial" w:cs="Arial"/>
        </w:rPr>
      </w:pPr>
    </w:p>
    <w:p w14:paraId="18535F5A" w14:textId="77777777" w:rsidR="00790ADA" w:rsidRPr="00882830" w:rsidRDefault="00790ADA" w:rsidP="00441B6F">
      <w:pPr>
        <w:pStyle w:val="Body"/>
        <w:spacing w:after="0"/>
        <w:rPr>
          <w:rFonts w:ascii="Arial" w:hAnsi="Arial" w:cs="Arial"/>
        </w:rPr>
      </w:pPr>
    </w:p>
    <w:p w14:paraId="5E4D6665" w14:textId="0D780F2C" w:rsidR="009A102C" w:rsidRPr="00882830" w:rsidRDefault="00902823" w:rsidP="00A54776">
      <w:pPr>
        <w:pStyle w:val="AbstHead"/>
        <w:spacing w:after="0"/>
        <w:jc w:val="both"/>
        <w:rPr>
          <w:rFonts w:ascii="Arial" w:hAnsi="Arial" w:cs="Arial"/>
        </w:rPr>
      </w:pPr>
      <w:r w:rsidRPr="00882830">
        <w:rPr>
          <w:rFonts w:ascii="Arial" w:hAnsi="Arial" w:cs="Arial"/>
        </w:rPr>
        <w:t xml:space="preserve">2. </w:t>
      </w:r>
      <w:r w:rsidR="00A54776" w:rsidRPr="00882830">
        <w:rPr>
          <w:rFonts w:ascii="Arial" w:hAnsi="Arial" w:cs="Arial"/>
        </w:rPr>
        <w:t>CASE PRESENTATION</w:t>
      </w:r>
    </w:p>
    <w:p w14:paraId="3A41B239" w14:textId="77777777" w:rsidR="00A54776" w:rsidRPr="00882830" w:rsidRDefault="00A54776" w:rsidP="00A54776">
      <w:pPr>
        <w:pStyle w:val="AbstHead"/>
        <w:spacing w:after="0"/>
        <w:jc w:val="both"/>
        <w:rPr>
          <w:rFonts w:ascii="Arial" w:hAnsi="Arial" w:cs="Arial"/>
        </w:rPr>
      </w:pPr>
    </w:p>
    <w:p w14:paraId="28370CCB" w14:textId="77777777" w:rsidR="00A54776" w:rsidRPr="00882830" w:rsidRDefault="00A54776" w:rsidP="00A54776">
      <w:pPr>
        <w:pStyle w:val="Body"/>
        <w:spacing w:after="0"/>
      </w:pPr>
      <w:r w:rsidRPr="00882830">
        <w:rPr>
          <w:b/>
          <w:bCs/>
        </w:rPr>
        <w:t>Case 1.</w:t>
      </w:r>
      <w:r w:rsidRPr="00882830">
        <w:t xml:space="preserve"> A 13-year-old boy with no significant perinatal or surgical history was referred for evaluation of asthenia, exertional dyspnea, and abdominal pain. Physical examination revealed hepatomegaly without signs of heart failure. Laboratory investigations showed elevated homocysteine (15.8 µmol/L) with normal protein C, protein S, and antithrombin III. Transthoracic echocardiography demonstrated left ventricular dysfunction with global hypokinesia and a large intraventricular thrombus. He was treated with low-molecular-weight heparin, heart failure therapy, and metabolic correction with folate and vitamins. Follow-up echocardiography after one year confirmed complete thrombus resolution.</w:t>
      </w:r>
    </w:p>
    <w:p w14:paraId="0881053B" w14:textId="77777777" w:rsidR="007929CB" w:rsidRPr="00882830" w:rsidRDefault="007929CB" w:rsidP="00A54776">
      <w:pPr>
        <w:pStyle w:val="Body"/>
        <w:spacing w:after="0"/>
      </w:pPr>
    </w:p>
    <w:p w14:paraId="726906DC" w14:textId="5C58D77C" w:rsidR="007929CB" w:rsidRPr="00882830" w:rsidRDefault="0094310C" w:rsidP="0094310C">
      <w:pPr>
        <w:pStyle w:val="Body"/>
        <w:spacing w:after="0"/>
        <w:jc w:val="center"/>
      </w:pPr>
      <w:r w:rsidRPr="00882830">
        <w:rPr>
          <w:noProof/>
        </w:rPr>
        <w:drawing>
          <wp:inline distT="0" distB="0" distL="0" distR="0" wp14:anchorId="0F17A4AF" wp14:editId="4EFB1EFB">
            <wp:extent cx="2743200" cy="2575012"/>
            <wp:effectExtent l="0" t="0" r="0" b="0"/>
            <wp:docPr id="18601726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2275" cy="2583530"/>
                    </a:xfrm>
                    <a:prstGeom prst="rect">
                      <a:avLst/>
                    </a:prstGeom>
                    <a:noFill/>
                    <a:ln>
                      <a:noFill/>
                    </a:ln>
                  </pic:spPr>
                </pic:pic>
              </a:graphicData>
            </a:graphic>
          </wp:inline>
        </w:drawing>
      </w:r>
    </w:p>
    <w:p w14:paraId="2E0063E6" w14:textId="17B5DEF5" w:rsidR="0094310C" w:rsidRPr="00882830" w:rsidRDefault="0094310C" w:rsidP="0094310C">
      <w:pPr>
        <w:pStyle w:val="Body"/>
        <w:spacing w:after="0"/>
        <w:rPr>
          <w:rFonts w:ascii="Arial" w:hAnsi="Arial" w:cs="Arial"/>
        </w:rPr>
      </w:pPr>
      <w:r w:rsidRPr="00882830">
        <w:rPr>
          <w:rFonts w:ascii="Arial" w:hAnsi="Arial" w:cs="Arial"/>
          <w:i/>
          <w:iCs/>
        </w:rPr>
        <w:t>Figure 1.</w:t>
      </w:r>
      <w:r w:rsidRPr="00882830">
        <w:rPr>
          <w:rFonts w:ascii="Arial" w:hAnsi="Arial" w:cs="Arial"/>
        </w:rPr>
        <w:t xml:space="preserve"> </w:t>
      </w:r>
      <w:r w:rsidRPr="00882830">
        <w:t xml:space="preserve">Transthoracic echocardiography (parasternal view) in </w:t>
      </w:r>
      <w:r w:rsidRPr="00882830">
        <w:rPr>
          <w:b/>
          <w:bCs/>
        </w:rPr>
        <w:t>Case 1</w:t>
      </w:r>
      <w:r w:rsidRPr="00882830">
        <w:t xml:space="preserve"> (13-year-old boy with </w:t>
      </w:r>
      <w:proofErr w:type="spellStart"/>
      <w:r w:rsidRPr="00882830">
        <w:t>hyperhomocysteinemia</w:t>
      </w:r>
      <w:proofErr w:type="spellEnd"/>
      <w:r w:rsidRPr="00882830">
        <w:t xml:space="preserve">) showing a well-defined echogenic intracavitary mass in the left ventricle (measured at 12 mm), consistent with a </w:t>
      </w:r>
      <w:proofErr w:type="gramStart"/>
      <w:r w:rsidRPr="00882830">
        <w:t>thrombus.</w:t>
      </w:r>
      <w:r w:rsidRPr="00882830">
        <w:rPr>
          <w:rFonts w:ascii="Arial" w:hAnsi="Arial" w:cs="Arial"/>
        </w:rPr>
        <w:t>.</w:t>
      </w:r>
      <w:proofErr w:type="gramEnd"/>
    </w:p>
    <w:p w14:paraId="65CA827A" w14:textId="77777777" w:rsidR="007929CB" w:rsidRPr="00882830" w:rsidRDefault="007929CB" w:rsidP="00A54776">
      <w:pPr>
        <w:pStyle w:val="Body"/>
        <w:spacing w:after="0"/>
      </w:pPr>
    </w:p>
    <w:p w14:paraId="304E66EE" w14:textId="77777777" w:rsidR="007929CB" w:rsidRPr="00882830" w:rsidRDefault="007929CB" w:rsidP="00A54776">
      <w:pPr>
        <w:pStyle w:val="Body"/>
        <w:spacing w:after="0"/>
      </w:pPr>
    </w:p>
    <w:p w14:paraId="62F27E5E" w14:textId="77777777" w:rsidR="00A54776" w:rsidRPr="00882830" w:rsidRDefault="00A54776" w:rsidP="00A54776">
      <w:pPr>
        <w:pStyle w:val="Body"/>
        <w:spacing w:after="0"/>
      </w:pPr>
      <w:r w:rsidRPr="00882830">
        <w:rPr>
          <w:b/>
          <w:bCs/>
        </w:rPr>
        <w:lastRenderedPageBreak/>
        <w:t>Case 2.</w:t>
      </w:r>
      <w:r w:rsidRPr="00882830">
        <w:t xml:space="preserve"> A 3-month-old premature infant with a history of central venous catheterization was admitted for respiratory distress and poor feeding. On examination, she was in cardiogenic shock with hypoxemia and hepatomegaly. Laboratory tests revealed leukocytosis and elevated inflammatory markers. Echocardiography confirmed a right atrial thrombus associated with dilated cardiomyopathy. Despite anticoagulation and supportive care, the patient’s condition worsened and she died.</w:t>
      </w:r>
    </w:p>
    <w:p w14:paraId="0BE6C5F3" w14:textId="77777777" w:rsidR="00A54776" w:rsidRPr="00882830" w:rsidRDefault="00A54776" w:rsidP="00A54776">
      <w:pPr>
        <w:pStyle w:val="Body"/>
        <w:spacing w:after="0"/>
      </w:pPr>
      <w:r w:rsidRPr="00882830">
        <w:rPr>
          <w:b/>
          <w:bCs/>
        </w:rPr>
        <w:t>Case 3.</w:t>
      </w:r>
      <w:r w:rsidRPr="00882830">
        <w:t xml:space="preserve"> A 7-month-old boy, born to consanguineous parents, presented with fever, hemoptysis, and signs of heart failure. Examination revealed pulmonary congestion, gallop rhythm, and systemic hypoperfusion. D-dimer levels were elevated, while thrombophilia screening was negative. Echocardiography identified a large left ventricular thrombus with severe systolic dysfunction. He was managed with diuretics, digoxin, and low-molecular-weight heparin. Despite initial stabilization, the infant developed refractory cardiac failure and died.</w:t>
      </w:r>
    </w:p>
    <w:p w14:paraId="6CECE4BE" w14:textId="6F55C852" w:rsidR="0094310C" w:rsidRPr="00882830" w:rsidRDefault="0094310C" w:rsidP="0094310C">
      <w:pPr>
        <w:pStyle w:val="Body"/>
        <w:spacing w:after="0"/>
        <w:jc w:val="center"/>
      </w:pPr>
      <w:r w:rsidRPr="00882830">
        <w:rPr>
          <w:noProof/>
        </w:rPr>
        <w:drawing>
          <wp:inline distT="0" distB="0" distL="0" distR="0" wp14:anchorId="48F2E242" wp14:editId="434E4267">
            <wp:extent cx="2762250" cy="1742590"/>
            <wp:effectExtent l="0" t="0" r="0" b="0"/>
            <wp:docPr id="179974147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8681" cy="1752956"/>
                    </a:xfrm>
                    <a:prstGeom prst="rect">
                      <a:avLst/>
                    </a:prstGeom>
                    <a:noFill/>
                    <a:ln>
                      <a:noFill/>
                    </a:ln>
                  </pic:spPr>
                </pic:pic>
              </a:graphicData>
            </a:graphic>
          </wp:inline>
        </w:drawing>
      </w:r>
    </w:p>
    <w:p w14:paraId="563B6342" w14:textId="77777777" w:rsidR="0094310C" w:rsidRPr="00882830" w:rsidRDefault="0094310C" w:rsidP="00A54776">
      <w:pPr>
        <w:pStyle w:val="Body"/>
        <w:spacing w:after="0"/>
      </w:pPr>
    </w:p>
    <w:p w14:paraId="0AEC77B8" w14:textId="56B0C6FC" w:rsidR="0094310C" w:rsidRPr="00882830" w:rsidRDefault="0094310C" w:rsidP="0094310C">
      <w:pPr>
        <w:pStyle w:val="Body"/>
        <w:spacing w:after="0"/>
        <w:rPr>
          <w:rFonts w:ascii="Arial" w:hAnsi="Arial" w:cs="Arial"/>
        </w:rPr>
      </w:pPr>
      <w:r w:rsidRPr="00882830">
        <w:rPr>
          <w:rFonts w:ascii="Arial" w:hAnsi="Arial" w:cs="Arial"/>
          <w:i/>
          <w:iCs/>
        </w:rPr>
        <w:t>Figure 2.</w:t>
      </w:r>
      <w:r w:rsidRPr="00882830">
        <w:rPr>
          <w:rFonts w:ascii="Arial" w:hAnsi="Arial" w:cs="Arial"/>
        </w:rPr>
        <w:t xml:space="preserve"> </w:t>
      </w:r>
      <w:r w:rsidRPr="00882830">
        <w:t xml:space="preserve">Transthoracic echocardiography (M-mode) in </w:t>
      </w:r>
      <w:r w:rsidRPr="00882830">
        <w:rPr>
          <w:b/>
          <w:bCs/>
        </w:rPr>
        <w:t>Case 3</w:t>
      </w:r>
      <w:r w:rsidRPr="00882830">
        <w:t xml:space="preserve"> (7-month-old infant with severe heart failure) showing left ventricular dilatation and impaired systolic function, providing a substrate for thrombus formation.</w:t>
      </w:r>
    </w:p>
    <w:p w14:paraId="1A51AA72" w14:textId="77777777" w:rsidR="0094310C" w:rsidRPr="00882830" w:rsidRDefault="0094310C" w:rsidP="00A54776">
      <w:pPr>
        <w:pStyle w:val="Body"/>
        <w:spacing w:after="0"/>
      </w:pPr>
    </w:p>
    <w:p w14:paraId="1D1A7860" w14:textId="68B37935" w:rsidR="0094310C" w:rsidRPr="00882830" w:rsidRDefault="0094310C" w:rsidP="0094310C">
      <w:pPr>
        <w:pStyle w:val="Body"/>
        <w:spacing w:after="0"/>
        <w:jc w:val="center"/>
      </w:pPr>
      <w:r w:rsidRPr="00882830">
        <w:rPr>
          <w:noProof/>
        </w:rPr>
        <w:drawing>
          <wp:inline distT="0" distB="0" distL="0" distR="0" wp14:anchorId="483DDE70" wp14:editId="49E12059">
            <wp:extent cx="2667000" cy="2354192"/>
            <wp:effectExtent l="0" t="0" r="0" b="8255"/>
            <wp:docPr id="56193161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4054" cy="2369246"/>
                    </a:xfrm>
                    <a:prstGeom prst="rect">
                      <a:avLst/>
                    </a:prstGeom>
                    <a:noFill/>
                    <a:ln>
                      <a:noFill/>
                    </a:ln>
                  </pic:spPr>
                </pic:pic>
              </a:graphicData>
            </a:graphic>
          </wp:inline>
        </w:drawing>
      </w:r>
    </w:p>
    <w:p w14:paraId="3B2D47E6" w14:textId="77777777" w:rsidR="0094310C" w:rsidRPr="00882830" w:rsidRDefault="0094310C" w:rsidP="0094310C">
      <w:pPr>
        <w:pStyle w:val="Body"/>
        <w:spacing w:after="0"/>
        <w:ind w:left="142"/>
        <w:rPr>
          <w:rFonts w:ascii="Arial" w:hAnsi="Arial" w:cs="Arial"/>
        </w:rPr>
      </w:pPr>
      <w:r w:rsidRPr="00882830">
        <w:rPr>
          <w:rFonts w:ascii="Arial" w:hAnsi="Arial" w:cs="Arial"/>
          <w:i/>
          <w:iCs/>
        </w:rPr>
        <w:t>Figure 3</w:t>
      </w:r>
      <w:proofErr w:type="gramStart"/>
      <w:r w:rsidRPr="00882830">
        <w:rPr>
          <w:rFonts w:ascii="Arial" w:hAnsi="Arial" w:cs="Arial"/>
          <w:i/>
          <w:iCs/>
        </w:rPr>
        <w:t>.</w:t>
      </w:r>
      <w:r w:rsidRPr="00882830">
        <w:rPr>
          <w:rFonts w:ascii="Arial" w:hAnsi="Arial" w:cs="Arial"/>
        </w:rPr>
        <w:t xml:space="preserve"> </w:t>
      </w:r>
      <w:r w:rsidRPr="00882830">
        <w:rPr>
          <w:b/>
          <w:bCs/>
        </w:rPr>
        <w:t>.</w:t>
      </w:r>
      <w:proofErr w:type="gramEnd"/>
      <w:r w:rsidRPr="00882830">
        <w:t xml:space="preserve"> Transthoracic echocardiography (apical four-chamber view) in </w:t>
      </w:r>
      <w:r w:rsidRPr="00882830">
        <w:rPr>
          <w:b/>
          <w:bCs/>
        </w:rPr>
        <w:t>Case 3</w:t>
      </w:r>
      <w:r w:rsidRPr="00882830">
        <w:t xml:space="preserve"> showing an echogenic intracavitary mass consistent with a left ventricular </w:t>
      </w:r>
      <w:proofErr w:type="gramStart"/>
      <w:r w:rsidRPr="00882830">
        <w:t>thrombus.</w:t>
      </w:r>
      <w:r w:rsidRPr="00882830">
        <w:rPr>
          <w:rFonts w:ascii="Arial" w:hAnsi="Arial" w:cs="Arial"/>
        </w:rPr>
        <w:t>.</w:t>
      </w:r>
      <w:proofErr w:type="gramEnd"/>
    </w:p>
    <w:p w14:paraId="4C8D2EEB" w14:textId="77777777" w:rsidR="0094310C" w:rsidRPr="00882830" w:rsidRDefault="0094310C" w:rsidP="00A54776">
      <w:pPr>
        <w:pStyle w:val="Body"/>
        <w:spacing w:after="0"/>
        <w:rPr>
          <w:b/>
          <w:bCs/>
        </w:rPr>
      </w:pPr>
    </w:p>
    <w:p w14:paraId="7A334C96" w14:textId="77777777" w:rsidR="0094310C" w:rsidRPr="00882830" w:rsidRDefault="0094310C" w:rsidP="00A54776">
      <w:pPr>
        <w:pStyle w:val="Body"/>
        <w:spacing w:after="0"/>
        <w:rPr>
          <w:b/>
          <w:bCs/>
        </w:rPr>
      </w:pPr>
    </w:p>
    <w:p w14:paraId="2F44C109" w14:textId="7378BE8E" w:rsidR="00A54776" w:rsidRPr="00882830" w:rsidRDefault="00A54776" w:rsidP="00A54776">
      <w:pPr>
        <w:pStyle w:val="Body"/>
        <w:spacing w:after="0"/>
      </w:pPr>
      <w:r w:rsidRPr="00882830">
        <w:rPr>
          <w:b/>
          <w:bCs/>
        </w:rPr>
        <w:t>Case 4.</w:t>
      </w:r>
      <w:r w:rsidRPr="00882830">
        <w:t xml:space="preserve"> A 13-year-old boy with a history of Behçet’s disease and poor treatment adherence presented with chest pain and bronchorrhea. Physical examination showed diminished breath sounds on the left side, while inflammatory markers were elevated. Chest CT revealed </w:t>
      </w:r>
      <w:r w:rsidRPr="00882830">
        <w:lastRenderedPageBreak/>
        <w:t>emphysema with ipsilateral collapse. Echocardiography demonstrated a right ventricular thrombus. The patient was treated with anticoagulation and immunosuppressive therapy, along with respiratory physiotherapy. Clinical condition improved with partial thrombus regression on follow-up imaging.</w:t>
      </w:r>
    </w:p>
    <w:p w14:paraId="7BAE543A" w14:textId="77777777" w:rsidR="00A54776" w:rsidRPr="00882830" w:rsidRDefault="00A54776" w:rsidP="00A54776">
      <w:pPr>
        <w:pStyle w:val="Body"/>
        <w:spacing w:after="0"/>
      </w:pPr>
      <w:r w:rsidRPr="00882830">
        <w:rPr>
          <w:b/>
          <w:bCs/>
        </w:rPr>
        <w:t>Case 5.</w:t>
      </w:r>
      <w:r w:rsidRPr="00882830">
        <w:t xml:space="preserve"> A 13-month-old girl with no family history of consanguinity presented with fever, wheezing, and recurrent respiratory infections. Laboratory evaluation demonstrated decreased protein C (62%) and protein S (62%) levels with normal antithrombin III, consistent with thrombophilia. Echocardiography revealed a left ventricular thrombus. She was treated with low-molecular-weight heparin and supportive respiratory therapy. Clinical improvement was observed, but the thrombus persisted on follow-up echocardiography. The patient was subsequently lost to follow-up.</w:t>
      </w:r>
    </w:p>
    <w:p w14:paraId="69E22CBB" w14:textId="77777777" w:rsidR="00A54776" w:rsidRPr="00882830" w:rsidRDefault="00A54776" w:rsidP="00A54776">
      <w:pPr>
        <w:pStyle w:val="Body"/>
        <w:spacing w:after="0"/>
      </w:pPr>
    </w:p>
    <w:p w14:paraId="24DADEEC" w14:textId="77777777" w:rsidR="00A54776" w:rsidRPr="00882830" w:rsidRDefault="00A54776" w:rsidP="00A54776">
      <w:pPr>
        <w:pStyle w:val="Body"/>
        <w:spacing w:after="0"/>
      </w:pPr>
      <w:r w:rsidRPr="00882830">
        <w:t>Written informed consent was obtained from the parents of all patients.</w:t>
      </w:r>
    </w:p>
    <w:p w14:paraId="7BA6C72B" w14:textId="77777777" w:rsidR="00A54776" w:rsidRPr="00882830" w:rsidRDefault="00A54776" w:rsidP="00A54776"/>
    <w:p w14:paraId="5F69DA9C" w14:textId="77777777" w:rsidR="00841881" w:rsidRPr="00882830" w:rsidRDefault="00841881" w:rsidP="00441B6F">
      <w:pPr>
        <w:pStyle w:val="Body"/>
        <w:spacing w:after="0"/>
        <w:rPr>
          <w:rFonts w:ascii="Arial" w:eastAsia="Calibri" w:hAnsi="Arial" w:cs="Arial"/>
          <w:color w:val="FF0000"/>
          <w:szCs w:val="22"/>
        </w:rPr>
      </w:pPr>
    </w:p>
    <w:p w14:paraId="611E9394" w14:textId="77777777" w:rsidR="00841881" w:rsidRPr="00882830" w:rsidRDefault="00841881" w:rsidP="00441B6F">
      <w:pPr>
        <w:pStyle w:val="Body"/>
        <w:spacing w:after="0"/>
        <w:rPr>
          <w:rFonts w:ascii="Arial" w:hAnsi="Arial" w:cs="Arial"/>
        </w:rPr>
      </w:pPr>
    </w:p>
    <w:p w14:paraId="374047A7" w14:textId="6B8AD573" w:rsidR="00902823" w:rsidRPr="00882830" w:rsidRDefault="00000F8F" w:rsidP="00441B6F">
      <w:pPr>
        <w:pStyle w:val="Head1"/>
        <w:spacing w:after="0"/>
        <w:jc w:val="both"/>
        <w:rPr>
          <w:rFonts w:ascii="Arial" w:hAnsi="Arial" w:cs="Arial"/>
        </w:rPr>
      </w:pPr>
      <w:r w:rsidRPr="00882830">
        <w:rPr>
          <w:rFonts w:ascii="Arial" w:hAnsi="Arial" w:cs="Arial"/>
        </w:rPr>
        <w:t>3</w:t>
      </w:r>
      <w:r w:rsidR="00902823" w:rsidRPr="00882830">
        <w:rPr>
          <w:rFonts w:ascii="Arial" w:hAnsi="Arial" w:cs="Arial"/>
        </w:rPr>
        <w:t xml:space="preserve">. </w:t>
      </w:r>
      <w:r w:rsidRPr="00882830">
        <w:rPr>
          <w:rFonts w:ascii="Arial" w:hAnsi="Arial" w:cs="Arial"/>
        </w:rPr>
        <w:t>discussion</w:t>
      </w:r>
    </w:p>
    <w:p w14:paraId="0A508B6C" w14:textId="77777777" w:rsidR="009A102C" w:rsidRPr="00882830" w:rsidRDefault="009A102C" w:rsidP="002877A6">
      <w:pPr>
        <w:pStyle w:val="Body"/>
        <w:spacing w:after="0"/>
        <w:rPr>
          <w:rFonts w:ascii="Arial" w:hAnsi="Arial" w:cs="Arial"/>
        </w:rPr>
      </w:pPr>
    </w:p>
    <w:p w14:paraId="4334979C" w14:textId="77777777" w:rsidR="00A54776" w:rsidRPr="00882830" w:rsidRDefault="00A54776" w:rsidP="00A54776">
      <w:pPr>
        <w:pStyle w:val="Body"/>
        <w:spacing w:after="0"/>
      </w:pPr>
      <w:r w:rsidRPr="00882830">
        <w:t>The five cases presented in our series illustrate the main clinical and etiological settings of intracardiac thrombi in children. The most frequent predisposing factors include coagulation disorders (</w:t>
      </w:r>
      <w:proofErr w:type="spellStart"/>
      <w:r w:rsidRPr="00882830">
        <w:t>hyperhomocysteinemia</w:t>
      </w:r>
      <w:proofErr w:type="spellEnd"/>
      <w:r w:rsidRPr="00882830">
        <w:t>, protein C and S deficiency), systemic inflammatory disease (Behçet’s disease), structural or functional cardiac abnormalities (dilated cardiomyopathy, severe heart failure), and iatrogenic causes such as central venous catheterization in premature infants [1–4]. These risk factors are consistent with those described in previous pediatric cohorts, confirming the importance of Virchow’s triad—endothelial injury, stasis, and hypercoagulability—in the pathogenesis of pediatric intracardiac thrombosis [5,6].</w:t>
      </w:r>
    </w:p>
    <w:p w14:paraId="53A909BF" w14:textId="77777777" w:rsidR="00A54776" w:rsidRPr="00882830" w:rsidRDefault="00A54776" w:rsidP="00A54776">
      <w:pPr>
        <w:pStyle w:val="Body"/>
        <w:spacing w:after="0"/>
      </w:pPr>
      <w:r w:rsidRPr="00882830">
        <w:t>Clinical presentation was nonspecific in our patients, ranging from respiratory distress and poor feeding in infants to chest pain or dyspnea in adolescents. Such variability has been highlighted in the literature, where intracardiac thrombi often remain clinically silent until complications such as systemic embolism or pulmonary embolism occur [7,8]. In our series, echocardiography was the cornerstone of diagnosis, allowing detection of thrombi in both atrial and ventricular locations. Transthoracic echocardiography is usually sufficient, but transesophageal echocardiography and cardiac MRI can provide additional information regarding size, mobility, and risk of embolization [9–11].</w:t>
      </w:r>
    </w:p>
    <w:p w14:paraId="16E7C892" w14:textId="77777777" w:rsidR="00A54776" w:rsidRPr="00882830" w:rsidRDefault="00A54776" w:rsidP="00A54776">
      <w:pPr>
        <w:pStyle w:val="Body"/>
        <w:spacing w:after="0"/>
      </w:pPr>
      <w:r w:rsidRPr="00882830">
        <w:t>Management remains challenging in pediatrics and is largely extrapolated from adult guidelines. All our patients received anticoagulation with low-molecular-weight heparin, with or without additional supportive or disease-specific therapy. Anticoagulation is the mainstay of treatment, though vitamin K antagonists or, more recently, direct oral anticoagulants have been reported in older children [12,13]. Surgical thrombectomy has been described in cases of large, mobile, or refractory thrombi, but this option remains exceptional in children due to high operative risks [14]. In our series, outcomes were variable, with two deaths in infants, two favorable recoveries, and one patient lost to follow-up. These results reflect the severity of intracardiac thrombosis in young patients, especially when associated with hemodynamic compromise or underlying systemic disease [15,16].</w:t>
      </w:r>
    </w:p>
    <w:p w14:paraId="550636E5" w14:textId="77777777" w:rsidR="00A54776" w:rsidRPr="00882830" w:rsidRDefault="00A54776" w:rsidP="00A54776">
      <w:pPr>
        <w:pStyle w:val="Body"/>
        <w:spacing w:after="0"/>
      </w:pPr>
      <w:r w:rsidRPr="00882830">
        <w:t>Preventive strategies are essential, particularly in neonates and infants requiring central venous catheters, where careful monitoring and early removal can reduce thrombotic risk [17]. In older children, systematic screening for inherited thrombophilia should be considered when intracardiac thrombi occur in the absence of structural heart disease.</w:t>
      </w:r>
    </w:p>
    <w:p w14:paraId="6A74CF52" w14:textId="77777777" w:rsidR="00A54776" w:rsidRPr="00882830" w:rsidRDefault="00A54776" w:rsidP="00A54776">
      <w:pPr>
        <w:pStyle w:val="Body"/>
        <w:spacing w:after="0"/>
      </w:pPr>
      <w:r w:rsidRPr="00882830">
        <w:t xml:space="preserve">Our series adds to the limited pediatric literature by highlighting diverse etiologies and outcomes. It emphasizes the need for early diagnosis through echocardiography, systematic evaluation of underlying risk factors, and prompt initiation of anticoagulation. Multidisciplinary </w:t>
      </w:r>
      <w:r w:rsidRPr="00882830">
        <w:lastRenderedPageBreak/>
        <w:t>management involving pediatric cardiology, hematology, and critical care teams is crucial to improving prognosis.</w:t>
      </w:r>
    </w:p>
    <w:p w14:paraId="04875461" w14:textId="77777777" w:rsidR="00E053D0" w:rsidRPr="00882830" w:rsidRDefault="00E053D0" w:rsidP="00441B6F">
      <w:pPr>
        <w:pStyle w:val="Body"/>
        <w:spacing w:after="0"/>
        <w:rPr>
          <w:rFonts w:ascii="Arial" w:hAnsi="Arial" w:cs="Arial"/>
        </w:rPr>
      </w:pPr>
    </w:p>
    <w:p w14:paraId="56BCBBB1" w14:textId="77777777" w:rsidR="00790ADA" w:rsidRPr="00882830" w:rsidRDefault="00790ADA" w:rsidP="00441B6F">
      <w:pPr>
        <w:pStyle w:val="Body"/>
        <w:spacing w:after="0"/>
        <w:rPr>
          <w:rFonts w:ascii="Arial" w:hAnsi="Arial" w:cs="Arial"/>
        </w:rPr>
      </w:pPr>
    </w:p>
    <w:p w14:paraId="217966D2" w14:textId="77777777" w:rsidR="00B01FCD" w:rsidRPr="00882830" w:rsidRDefault="00000F8F" w:rsidP="00441B6F">
      <w:pPr>
        <w:pStyle w:val="ConcHead"/>
        <w:spacing w:after="0"/>
        <w:jc w:val="both"/>
        <w:rPr>
          <w:rFonts w:ascii="Arial" w:hAnsi="Arial" w:cs="Arial"/>
        </w:rPr>
      </w:pPr>
      <w:r w:rsidRPr="00882830">
        <w:rPr>
          <w:rFonts w:ascii="Arial" w:hAnsi="Arial" w:cs="Arial"/>
        </w:rPr>
        <w:t xml:space="preserve">4. </w:t>
      </w:r>
      <w:r w:rsidR="00B01FCD" w:rsidRPr="00882830">
        <w:rPr>
          <w:rFonts w:ascii="Arial" w:hAnsi="Arial" w:cs="Arial"/>
        </w:rPr>
        <w:t>Conclusion</w:t>
      </w:r>
    </w:p>
    <w:p w14:paraId="13EAE15D" w14:textId="77777777" w:rsidR="009A102C" w:rsidRPr="00882830" w:rsidRDefault="009A102C" w:rsidP="002877A6">
      <w:pPr>
        <w:pStyle w:val="Body"/>
        <w:spacing w:after="0"/>
        <w:rPr>
          <w:rFonts w:ascii="Arial" w:hAnsi="Arial" w:cs="Arial"/>
        </w:rPr>
      </w:pPr>
    </w:p>
    <w:p w14:paraId="53085FD9" w14:textId="77777777" w:rsidR="00A54776" w:rsidRPr="00882830" w:rsidRDefault="00A54776" w:rsidP="00A54776">
      <w:pPr>
        <w:pStyle w:val="Body"/>
        <w:spacing w:after="0"/>
      </w:pPr>
      <w:r w:rsidRPr="00882830">
        <w:t>Intracardiac thrombi in children are rare but potentially life-threatening. Echocardiography remains the cornerstone of diagnosis, particularly in settings where advanced imaging is limited. Early recognition and identification of underlying risk factors allow timely anticoagulation and targeted management. A multidisciplinary approach is essential to reduce morbidity and improve prognosis.</w:t>
      </w:r>
    </w:p>
    <w:p w14:paraId="2A47F3EE" w14:textId="77777777" w:rsidR="002877A6" w:rsidRPr="00882830" w:rsidRDefault="002877A6" w:rsidP="002877A6">
      <w:pPr>
        <w:pStyle w:val="Body"/>
        <w:spacing w:after="0"/>
        <w:rPr>
          <w:rFonts w:ascii="Arial" w:hAnsi="Arial" w:cs="Arial"/>
        </w:rPr>
      </w:pPr>
    </w:p>
    <w:p w14:paraId="403EE761" w14:textId="77777777" w:rsidR="00790ADA" w:rsidRPr="00882830" w:rsidRDefault="00790ADA" w:rsidP="00441B6F">
      <w:pPr>
        <w:pStyle w:val="Body"/>
        <w:spacing w:after="0"/>
        <w:rPr>
          <w:rFonts w:ascii="Arial" w:hAnsi="Arial" w:cs="Arial"/>
        </w:rPr>
      </w:pPr>
    </w:p>
    <w:p w14:paraId="4748115E" w14:textId="77777777" w:rsidR="002877A6" w:rsidRPr="00882830" w:rsidRDefault="002877A6" w:rsidP="00441B6F">
      <w:pPr>
        <w:pStyle w:val="ReferHead"/>
        <w:spacing w:after="0"/>
        <w:jc w:val="both"/>
        <w:rPr>
          <w:rFonts w:ascii="Arial" w:hAnsi="Arial" w:cs="Arial"/>
          <w:b w:val="0"/>
          <w:caps w:val="0"/>
          <w:sz w:val="20"/>
          <w:u w:val="single"/>
        </w:rPr>
      </w:pPr>
    </w:p>
    <w:p w14:paraId="3E665400" w14:textId="77777777" w:rsidR="002B685A" w:rsidRPr="00882830" w:rsidRDefault="002B685A" w:rsidP="00441B6F">
      <w:pPr>
        <w:pStyle w:val="ReferHead"/>
        <w:spacing w:after="0"/>
        <w:jc w:val="both"/>
        <w:rPr>
          <w:rFonts w:ascii="Arial" w:hAnsi="Arial" w:cs="Arial"/>
          <w:b w:val="0"/>
          <w:caps w:val="0"/>
          <w:sz w:val="20"/>
        </w:rPr>
      </w:pPr>
    </w:p>
    <w:p w14:paraId="76B151EC" w14:textId="6FB66908" w:rsidR="002B685A" w:rsidRPr="00882830" w:rsidRDefault="002B685A" w:rsidP="00441B6F">
      <w:pPr>
        <w:pStyle w:val="ReferHead"/>
        <w:spacing w:after="0"/>
        <w:jc w:val="both"/>
        <w:rPr>
          <w:rFonts w:ascii="Arial" w:hAnsi="Arial" w:cs="Arial"/>
          <w:bCs/>
        </w:rPr>
      </w:pPr>
      <w:r w:rsidRPr="00882830">
        <w:rPr>
          <w:rFonts w:ascii="Arial" w:hAnsi="Arial" w:cs="Arial"/>
          <w:bCs/>
        </w:rPr>
        <w:t xml:space="preserve">Consent </w:t>
      </w:r>
    </w:p>
    <w:p w14:paraId="02A41273" w14:textId="77777777" w:rsidR="00A347C0" w:rsidRPr="00882830" w:rsidRDefault="00A347C0" w:rsidP="00441B6F">
      <w:pPr>
        <w:pStyle w:val="ReferHead"/>
        <w:spacing w:after="0"/>
        <w:jc w:val="both"/>
        <w:rPr>
          <w:rFonts w:ascii="Arial" w:hAnsi="Arial" w:cs="Arial"/>
          <w:b w:val="0"/>
          <w:caps w:val="0"/>
          <w:sz w:val="20"/>
        </w:rPr>
      </w:pPr>
    </w:p>
    <w:p w14:paraId="2E0624D4" w14:textId="77777777" w:rsidR="00943A29" w:rsidRPr="00882830" w:rsidRDefault="00943A29" w:rsidP="00943A29">
      <w:pPr>
        <w:pStyle w:val="ReferHead"/>
        <w:spacing w:after="0"/>
        <w:jc w:val="both"/>
        <w:rPr>
          <w:rFonts w:ascii="Arial" w:hAnsi="Arial" w:cs="Arial"/>
          <w:b w:val="0"/>
          <w:caps w:val="0"/>
          <w:sz w:val="20"/>
        </w:rPr>
      </w:pPr>
      <w:r w:rsidRPr="00882830">
        <w:rPr>
          <w:rFonts w:ascii="Arial" w:hAnsi="Arial" w:cs="Arial"/>
          <w:b w:val="0"/>
          <w:caps w:val="0"/>
          <w:sz w:val="20"/>
        </w:rPr>
        <w:t>Written informed consent was obtained from the patient’s parents for the publication of this case report and any accompanying images. A copy of the written consent is available for review by the Editorial Office/Chief Editor/Editorial Board members of this journal.</w:t>
      </w:r>
    </w:p>
    <w:p w14:paraId="041AA918" w14:textId="77777777" w:rsidR="001A29D8" w:rsidRPr="00882830" w:rsidRDefault="001A29D8" w:rsidP="00441B6F">
      <w:pPr>
        <w:pStyle w:val="ReferHead"/>
        <w:spacing w:after="0"/>
        <w:jc w:val="both"/>
        <w:rPr>
          <w:rFonts w:ascii="Arial" w:hAnsi="Arial" w:cs="Arial"/>
          <w:b w:val="0"/>
          <w:caps w:val="0"/>
          <w:sz w:val="20"/>
        </w:rPr>
      </w:pPr>
    </w:p>
    <w:p w14:paraId="0DD5B9E4" w14:textId="77777777" w:rsidR="005C784C" w:rsidRPr="00882830" w:rsidRDefault="005C784C" w:rsidP="00441B6F">
      <w:pPr>
        <w:pStyle w:val="ReferHead"/>
        <w:spacing w:after="0"/>
        <w:jc w:val="both"/>
        <w:rPr>
          <w:rFonts w:ascii="Arial" w:hAnsi="Arial" w:cs="Arial"/>
          <w:b w:val="0"/>
          <w:caps w:val="0"/>
          <w:sz w:val="20"/>
        </w:rPr>
      </w:pPr>
    </w:p>
    <w:p w14:paraId="5B490DD5" w14:textId="6A375090" w:rsidR="005C784C" w:rsidRPr="00882830" w:rsidRDefault="005C784C" w:rsidP="00441B6F">
      <w:pPr>
        <w:pStyle w:val="ReferHead"/>
        <w:spacing w:after="0"/>
        <w:jc w:val="both"/>
        <w:rPr>
          <w:rFonts w:ascii="Arial" w:hAnsi="Arial" w:cs="Arial"/>
          <w:bCs/>
        </w:rPr>
      </w:pPr>
      <w:r w:rsidRPr="00882830">
        <w:rPr>
          <w:rFonts w:ascii="Arial" w:hAnsi="Arial" w:cs="Arial"/>
          <w:bCs/>
        </w:rPr>
        <w:t xml:space="preserve">Ethical approval </w:t>
      </w:r>
    </w:p>
    <w:p w14:paraId="41BA3CED" w14:textId="60E86259" w:rsidR="009B7F54" w:rsidRDefault="009B7F54" w:rsidP="009B7F54">
      <w:pPr>
        <w:pStyle w:val="ReferHead"/>
        <w:spacing w:after="0"/>
        <w:jc w:val="both"/>
        <w:rPr>
          <w:rFonts w:ascii="Arial" w:hAnsi="Arial" w:cs="Arial"/>
          <w:b w:val="0"/>
          <w:caps w:val="0"/>
          <w:sz w:val="20"/>
        </w:rPr>
      </w:pPr>
      <w:r w:rsidRPr="00882830">
        <w:rPr>
          <w:rFonts w:ascii="Arial" w:hAnsi="Arial" w:cs="Arial"/>
          <w:b w:val="0"/>
          <w:caps w:val="0"/>
          <w:sz w:val="20"/>
        </w:rPr>
        <w:br/>
        <w:t>Not applicable. Written informed consent for publication was obtained from the patient’s parents.</w:t>
      </w:r>
    </w:p>
    <w:p w14:paraId="7DD94B06" w14:textId="77777777" w:rsidR="00013858" w:rsidRDefault="00013858" w:rsidP="009B7F54">
      <w:pPr>
        <w:pStyle w:val="ReferHead"/>
        <w:spacing w:after="0"/>
        <w:jc w:val="both"/>
        <w:rPr>
          <w:rFonts w:ascii="Arial" w:hAnsi="Arial" w:cs="Arial"/>
          <w:b w:val="0"/>
          <w:caps w:val="0"/>
          <w:sz w:val="20"/>
        </w:rPr>
      </w:pPr>
    </w:p>
    <w:p w14:paraId="6FA50993" w14:textId="77777777" w:rsidR="00013858" w:rsidRPr="00882830" w:rsidRDefault="00013858" w:rsidP="00013858">
      <w:pPr>
        <w:pStyle w:val="DefAcrHead"/>
        <w:spacing w:after="0"/>
        <w:jc w:val="both"/>
        <w:rPr>
          <w:rFonts w:ascii="Arial" w:hAnsi="Arial" w:cs="Arial"/>
        </w:rPr>
      </w:pPr>
      <w:r w:rsidRPr="00882830">
        <w:rPr>
          <w:rFonts w:ascii="Arial" w:hAnsi="Arial" w:cs="Arial"/>
        </w:rPr>
        <w:t>Definitions, Acronyms, Abbreviations</w:t>
      </w:r>
    </w:p>
    <w:p w14:paraId="296D46E9" w14:textId="77777777" w:rsidR="00013858" w:rsidRPr="00882830" w:rsidRDefault="00013858" w:rsidP="00013858">
      <w:pPr>
        <w:pStyle w:val="Body"/>
        <w:spacing w:after="0"/>
        <w:jc w:val="left"/>
        <w:rPr>
          <w:rFonts w:ascii="Arial" w:hAnsi="Arial" w:cs="Arial"/>
          <w:b/>
          <w:bCs/>
        </w:rPr>
      </w:pPr>
    </w:p>
    <w:p w14:paraId="604631E2" w14:textId="77777777" w:rsidR="00013858" w:rsidRPr="00882830" w:rsidRDefault="00013858" w:rsidP="00013858">
      <w:pPr>
        <w:pStyle w:val="Body"/>
        <w:spacing w:after="0"/>
        <w:jc w:val="left"/>
        <w:rPr>
          <w:rFonts w:ascii="Arial" w:hAnsi="Arial" w:cs="Arial"/>
        </w:rPr>
      </w:pPr>
      <w:r w:rsidRPr="00882830">
        <w:rPr>
          <w:rFonts w:ascii="Arial" w:hAnsi="Arial" w:cs="Arial"/>
          <w:b/>
          <w:bCs/>
        </w:rPr>
        <w:t xml:space="preserve">CVC: </w:t>
      </w:r>
      <w:r w:rsidRPr="00882830">
        <w:rPr>
          <w:rFonts w:ascii="Arial" w:hAnsi="Arial" w:cs="Arial"/>
        </w:rPr>
        <w:t>Central Venous Catheter</w:t>
      </w:r>
      <w:r w:rsidRPr="00882830">
        <w:rPr>
          <w:rFonts w:ascii="Arial" w:hAnsi="Arial" w:cs="Arial"/>
          <w:b/>
          <w:bCs/>
        </w:rPr>
        <w:br/>
        <w:t xml:space="preserve">ETT: </w:t>
      </w:r>
      <w:r w:rsidRPr="00882830">
        <w:rPr>
          <w:rFonts w:ascii="Arial" w:hAnsi="Arial" w:cs="Arial"/>
        </w:rPr>
        <w:t>Transthoracic Echocardiography</w:t>
      </w:r>
      <w:r w:rsidRPr="00882830">
        <w:rPr>
          <w:rFonts w:ascii="Arial" w:hAnsi="Arial" w:cs="Arial"/>
          <w:b/>
          <w:bCs/>
        </w:rPr>
        <w:br/>
        <w:t xml:space="preserve">ETO: </w:t>
      </w:r>
      <w:r w:rsidRPr="00882830">
        <w:rPr>
          <w:rFonts w:ascii="Arial" w:hAnsi="Arial" w:cs="Arial"/>
        </w:rPr>
        <w:t>Transesophageal Echocardiography</w:t>
      </w:r>
      <w:r w:rsidRPr="00882830">
        <w:rPr>
          <w:rFonts w:ascii="Arial" w:hAnsi="Arial" w:cs="Arial"/>
          <w:b/>
          <w:bCs/>
        </w:rPr>
        <w:br/>
        <w:t xml:space="preserve">HBPM / LMWH: </w:t>
      </w:r>
      <w:r w:rsidRPr="00882830">
        <w:rPr>
          <w:rFonts w:ascii="Arial" w:hAnsi="Arial" w:cs="Arial"/>
        </w:rPr>
        <w:t>Low-Molecular-Weight Heparin</w:t>
      </w:r>
      <w:r w:rsidRPr="00882830">
        <w:rPr>
          <w:rFonts w:ascii="Arial" w:hAnsi="Arial" w:cs="Arial"/>
        </w:rPr>
        <w:br/>
      </w:r>
      <w:r w:rsidRPr="00882830">
        <w:rPr>
          <w:rFonts w:ascii="Arial" w:hAnsi="Arial" w:cs="Arial"/>
          <w:b/>
          <w:bCs/>
        </w:rPr>
        <w:t xml:space="preserve">HTAP / PH: </w:t>
      </w:r>
      <w:r w:rsidRPr="00882830">
        <w:rPr>
          <w:rFonts w:ascii="Arial" w:hAnsi="Arial" w:cs="Arial"/>
        </w:rPr>
        <w:t>Pulmonary Hypertension</w:t>
      </w:r>
      <w:r w:rsidRPr="00882830">
        <w:rPr>
          <w:rFonts w:ascii="Arial" w:hAnsi="Arial" w:cs="Arial"/>
          <w:b/>
          <w:bCs/>
        </w:rPr>
        <w:br/>
        <w:t xml:space="preserve">INR: </w:t>
      </w:r>
      <w:r w:rsidRPr="00882830">
        <w:rPr>
          <w:rFonts w:ascii="Arial" w:hAnsi="Arial" w:cs="Arial"/>
        </w:rPr>
        <w:t>International Normalized Ratio</w:t>
      </w:r>
      <w:r w:rsidRPr="00882830">
        <w:rPr>
          <w:rFonts w:ascii="Arial" w:hAnsi="Arial" w:cs="Arial"/>
          <w:b/>
          <w:bCs/>
        </w:rPr>
        <w:br/>
        <w:t xml:space="preserve">IT: </w:t>
      </w:r>
      <w:r w:rsidRPr="00882830">
        <w:rPr>
          <w:rFonts w:ascii="Arial" w:hAnsi="Arial" w:cs="Arial"/>
        </w:rPr>
        <w:t>Tricuspid Insufficiency</w:t>
      </w:r>
      <w:r w:rsidRPr="00882830">
        <w:rPr>
          <w:rFonts w:ascii="Arial" w:hAnsi="Arial" w:cs="Arial"/>
          <w:b/>
          <w:bCs/>
        </w:rPr>
        <w:br/>
        <w:t xml:space="preserve">IM: </w:t>
      </w:r>
      <w:r w:rsidRPr="00882830">
        <w:rPr>
          <w:rFonts w:ascii="Arial" w:hAnsi="Arial" w:cs="Arial"/>
        </w:rPr>
        <w:t>Mitral Insufficiency</w:t>
      </w:r>
      <w:r w:rsidRPr="00882830">
        <w:rPr>
          <w:rFonts w:ascii="Arial" w:hAnsi="Arial" w:cs="Arial"/>
          <w:b/>
          <w:bCs/>
        </w:rPr>
        <w:br/>
        <w:t xml:space="preserve">MRI: </w:t>
      </w:r>
      <w:r w:rsidRPr="00882830">
        <w:rPr>
          <w:rFonts w:ascii="Arial" w:hAnsi="Arial" w:cs="Arial"/>
        </w:rPr>
        <w:t>Magnetic Resonance Imaging</w:t>
      </w:r>
      <w:r w:rsidRPr="00882830">
        <w:rPr>
          <w:rFonts w:ascii="Arial" w:hAnsi="Arial" w:cs="Arial"/>
          <w:b/>
          <w:bCs/>
        </w:rPr>
        <w:br/>
        <w:t xml:space="preserve">RCF: </w:t>
      </w:r>
      <w:r w:rsidRPr="00882830">
        <w:rPr>
          <w:rFonts w:ascii="Arial" w:hAnsi="Arial" w:cs="Arial"/>
        </w:rPr>
        <w:t>Fetal Heart Rate (</w:t>
      </w:r>
      <w:proofErr w:type="spellStart"/>
      <w:r w:rsidRPr="00882830">
        <w:rPr>
          <w:rFonts w:ascii="Arial" w:hAnsi="Arial" w:cs="Arial"/>
        </w:rPr>
        <w:t>Rythme</w:t>
      </w:r>
      <w:proofErr w:type="spellEnd"/>
      <w:r w:rsidRPr="00882830">
        <w:rPr>
          <w:rFonts w:ascii="Arial" w:hAnsi="Arial" w:cs="Arial"/>
        </w:rPr>
        <w:t xml:space="preserve"> </w:t>
      </w:r>
      <w:proofErr w:type="spellStart"/>
      <w:r w:rsidRPr="00882830">
        <w:rPr>
          <w:rFonts w:ascii="Arial" w:hAnsi="Arial" w:cs="Arial"/>
        </w:rPr>
        <w:t>Cardiaque</w:t>
      </w:r>
      <w:proofErr w:type="spellEnd"/>
      <w:r w:rsidRPr="00882830">
        <w:rPr>
          <w:rFonts w:ascii="Arial" w:hAnsi="Arial" w:cs="Arial"/>
        </w:rPr>
        <w:t xml:space="preserve"> </w:t>
      </w:r>
      <w:proofErr w:type="spellStart"/>
      <w:r w:rsidRPr="00882830">
        <w:rPr>
          <w:rFonts w:ascii="Arial" w:hAnsi="Arial" w:cs="Arial"/>
        </w:rPr>
        <w:t>Fœtal</w:t>
      </w:r>
      <w:proofErr w:type="spellEnd"/>
      <w:r w:rsidRPr="00882830">
        <w:rPr>
          <w:rFonts w:ascii="Arial" w:hAnsi="Arial" w:cs="Arial"/>
        </w:rPr>
        <w:t>)</w:t>
      </w:r>
      <w:r w:rsidRPr="00882830">
        <w:rPr>
          <w:rFonts w:ascii="Arial" w:hAnsi="Arial" w:cs="Arial"/>
          <w:b/>
          <w:bCs/>
        </w:rPr>
        <w:br/>
        <w:t xml:space="preserve">SD: </w:t>
      </w:r>
      <w:r w:rsidRPr="00882830">
        <w:rPr>
          <w:rFonts w:ascii="Arial" w:hAnsi="Arial" w:cs="Arial"/>
        </w:rPr>
        <w:t>Standard Deviation</w:t>
      </w:r>
      <w:r w:rsidRPr="00882830">
        <w:rPr>
          <w:rFonts w:ascii="Arial" w:hAnsi="Arial" w:cs="Arial"/>
          <w:b/>
          <w:bCs/>
        </w:rPr>
        <w:br/>
        <w:t xml:space="preserve">VKA: </w:t>
      </w:r>
      <w:r w:rsidRPr="00882830">
        <w:rPr>
          <w:rFonts w:ascii="Arial" w:hAnsi="Arial" w:cs="Arial"/>
        </w:rPr>
        <w:t>Vitamin K Antagonist</w:t>
      </w:r>
    </w:p>
    <w:p w14:paraId="7FF491C0" w14:textId="77777777" w:rsidR="00013858" w:rsidRPr="00882830" w:rsidRDefault="00013858" w:rsidP="00013858">
      <w:pPr>
        <w:pStyle w:val="Body"/>
        <w:spacing w:after="0"/>
        <w:rPr>
          <w:rFonts w:ascii="Arial" w:hAnsi="Arial" w:cs="Arial"/>
        </w:rPr>
      </w:pPr>
    </w:p>
    <w:p w14:paraId="64886D1B" w14:textId="77777777" w:rsidR="00013858" w:rsidRPr="00882830" w:rsidRDefault="00013858" w:rsidP="00013858">
      <w:pPr>
        <w:rPr>
          <w:b/>
          <w:bCs/>
        </w:rPr>
      </w:pPr>
    </w:p>
    <w:p w14:paraId="60CE9679" w14:textId="77777777" w:rsidR="00013858" w:rsidRPr="00882830" w:rsidRDefault="00013858" w:rsidP="00013858">
      <w:pPr>
        <w:rPr>
          <w:b/>
          <w:bCs/>
        </w:rPr>
      </w:pPr>
      <w:r w:rsidRPr="00882830">
        <w:rPr>
          <w:b/>
          <w:bCs/>
        </w:rPr>
        <w:t>Disclaimer (Artificial intelligence)</w:t>
      </w:r>
    </w:p>
    <w:p w14:paraId="706F8ED9" w14:textId="77777777" w:rsidR="00013858" w:rsidRPr="00882830" w:rsidRDefault="00013858" w:rsidP="00013858"/>
    <w:p w14:paraId="02C81472" w14:textId="77777777" w:rsidR="00013858" w:rsidRPr="00882830" w:rsidRDefault="00013858" w:rsidP="00013858">
      <w:r w:rsidRPr="00882830">
        <w:t xml:space="preserve">Author(s) hereby declare that NO generative AI technologies such as Large Language Models (ChatGPT, COPILOT, etc.) and text-to-image generators have been used during the writing or editing of this manuscript. </w:t>
      </w:r>
    </w:p>
    <w:p w14:paraId="316CE570" w14:textId="77777777" w:rsidR="00013858" w:rsidRPr="00882830" w:rsidRDefault="00013858" w:rsidP="00013858">
      <w:pPr>
        <w:pStyle w:val="Body"/>
        <w:spacing w:after="0"/>
        <w:rPr>
          <w:rFonts w:ascii="Arial" w:hAnsi="Arial" w:cs="Arial"/>
        </w:rPr>
      </w:pPr>
    </w:p>
    <w:p w14:paraId="5C61C463" w14:textId="77777777" w:rsidR="00860000" w:rsidRPr="00882830" w:rsidRDefault="00860000" w:rsidP="00441B6F">
      <w:pPr>
        <w:pStyle w:val="ReferHead"/>
        <w:spacing w:after="0"/>
        <w:jc w:val="both"/>
        <w:rPr>
          <w:rFonts w:ascii="Arial" w:hAnsi="Arial" w:cs="Arial"/>
        </w:rPr>
      </w:pPr>
    </w:p>
    <w:p w14:paraId="0288A910" w14:textId="3976796F" w:rsidR="00790ADA" w:rsidRPr="00882830" w:rsidRDefault="00B01FCD" w:rsidP="00A42CB5">
      <w:pPr>
        <w:pStyle w:val="ReferHead"/>
        <w:spacing w:after="0"/>
        <w:jc w:val="both"/>
        <w:rPr>
          <w:rFonts w:ascii="Arial" w:hAnsi="Arial" w:cs="Arial"/>
        </w:rPr>
      </w:pPr>
      <w:r w:rsidRPr="00882830">
        <w:rPr>
          <w:rFonts w:ascii="Arial" w:hAnsi="Arial" w:cs="Arial"/>
        </w:rPr>
        <w:t>References</w:t>
      </w:r>
    </w:p>
    <w:p w14:paraId="32D8AD78" w14:textId="77777777" w:rsidR="005669C0" w:rsidRPr="00882830" w:rsidRDefault="005669C0" w:rsidP="005669C0">
      <w:pPr>
        <w:pStyle w:val="Body"/>
        <w:spacing w:after="0"/>
        <w:rPr>
          <w:rFonts w:ascii="Arial" w:hAnsi="Arial" w:cs="Arial"/>
        </w:rPr>
      </w:pPr>
    </w:p>
    <w:p w14:paraId="3A60E2C7" w14:textId="77777777" w:rsidR="007C6865" w:rsidRPr="00882830" w:rsidRDefault="007C6865" w:rsidP="007C6865">
      <w:pPr>
        <w:pStyle w:val="Body"/>
        <w:spacing w:after="0"/>
        <w:rPr>
          <w:rFonts w:ascii="Arial" w:hAnsi="Arial" w:cs="Arial"/>
        </w:rPr>
      </w:pPr>
    </w:p>
    <w:p w14:paraId="31E8BD11" w14:textId="77777777" w:rsidR="007C6865" w:rsidRPr="00882830" w:rsidRDefault="007C6865" w:rsidP="007C6865">
      <w:pPr>
        <w:numPr>
          <w:ilvl w:val="0"/>
          <w:numId w:val="33"/>
        </w:numPr>
        <w:spacing w:after="160" w:line="259" w:lineRule="auto"/>
        <w:jc w:val="both"/>
      </w:pPr>
      <w:r w:rsidRPr="00882830">
        <w:lastRenderedPageBreak/>
        <w:t xml:space="preserve">Nield LE, Silverman ED, </w:t>
      </w:r>
      <w:proofErr w:type="spellStart"/>
      <w:r w:rsidRPr="00882830">
        <w:t>Smallhorn</w:t>
      </w:r>
      <w:proofErr w:type="spellEnd"/>
      <w:r w:rsidRPr="00882830">
        <w:t xml:space="preserve"> JF, Taylor GP, Benson LN, Freedom RM. Endocardial fibroelastosis and intracardiac thrombosis in children with dilated cardiomyopathy. Am J </w:t>
      </w:r>
      <w:proofErr w:type="spellStart"/>
      <w:r w:rsidRPr="00882830">
        <w:t>Cardiol</w:t>
      </w:r>
      <w:proofErr w:type="spellEnd"/>
      <w:r w:rsidRPr="00882830">
        <w:t>. 1993;72(7):521-524.</w:t>
      </w:r>
    </w:p>
    <w:p w14:paraId="48AA07AC" w14:textId="77777777" w:rsidR="007C6865" w:rsidRPr="00882830" w:rsidRDefault="007C6865" w:rsidP="007C6865">
      <w:pPr>
        <w:numPr>
          <w:ilvl w:val="0"/>
          <w:numId w:val="33"/>
        </w:numPr>
        <w:spacing w:after="160" w:line="259" w:lineRule="auto"/>
        <w:jc w:val="both"/>
      </w:pPr>
      <w:r w:rsidRPr="00882830">
        <w:t>Cheung YF, Chan GC, Ha SY. Venous and arterial thromboembolism in children with acute lymphoblastic leukemia. Br J Haematol. 2000;111(3):817-823.</w:t>
      </w:r>
    </w:p>
    <w:p w14:paraId="3DF52ACD" w14:textId="77777777" w:rsidR="007C6865" w:rsidRPr="00882830" w:rsidRDefault="007C6865" w:rsidP="007C6865">
      <w:pPr>
        <w:numPr>
          <w:ilvl w:val="0"/>
          <w:numId w:val="33"/>
        </w:numPr>
        <w:spacing w:after="160" w:line="259" w:lineRule="auto"/>
        <w:jc w:val="both"/>
      </w:pPr>
      <w:r w:rsidRPr="00882830">
        <w:t>Andrew M, David M, Adams M, Ali K, Anderson R, Barnard D, et al. Venous thromboembolic complications in children: first analyses of the Canadian registry of venous thromboembolic complications. Blood. 1994;83(5):1251-1257.</w:t>
      </w:r>
    </w:p>
    <w:p w14:paraId="0177C1BC" w14:textId="77777777" w:rsidR="007C6865" w:rsidRPr="00882830" w:rsidRDefault="007C6865" w:rsidP="007C6865">
      <w:pPr>
        <w:numPr>
          <w:ilvl w:val="0"/>
          <w:numId w:val="33"/>
        </w:numPr>
        <w:spacing w:after="160" w:line="259" w:lineRule="auto"/>
        <w:jc w:val="both"/>
      </w:pPr>
      <w:r w:rsidRPr="00882830">
        <w:t>Van Ommen CH, Peters M. Venous thromboembolism in childhood: state of the art. Br J Haematol. 2006;132(4):503-516.</w:t>
      </w:r>
    </w:p>
    <w:p w14:paraId="6A4FF2CE" w14:textId="77777777" w:rsidR="007C6865" w:rsidRPr="00882830" w:rsidRDefault="007C6865" w:rsidP="007C6865">
      <w:pPr>
        <w:numPr>
          <w:ilvl w:val="0"/>
          <w:numId w:val="33"/>
        </w:numPr>
        <w:spacing w:after="160" w:line="259" w:lineRule="auto"/>
        <w:jc w:val="both"/>
      </w:pPr>
      <w:r w:rsidRPr="00882830">
        <w:t xml:space="preserve">Monagle P, Adams M, Mahoney M, Ali K, Barnard D, Bernstein M, et al. Outcome of pediatric thromboembolic disease: a report from the Canadian Childhood Thrombophilia Registry. </w:t>
      </w:r>
      <w:proofErr w:type="spellStart"/>
      <w:r w:rsidRPr="00882830">
        <w:t>Pediatr</w:t>
      </w:r>
      <w:proofErr w:type="spellEnd"/>
      <w:r w:rsidRPr="00882830">
        <w:t xml:space="preserve"> Res. 2000;47(6):763-766.</w:t>
      </w:r>
    </w:p>
    <w:p w14:paraId="1822BACE" w14:textId="77777777" w:rsidR="007C6865" w:rsidRPr="00882830" w:rsidRDefault="007C6865" w:rsidP="007C6865">
      <w:pPr>
        <w:numPr>
          <w:ilvl w:val="0"/>
          <w:numId w:val="33"/>
        </w:numPr>
        <w:spacing w:after="160" w:line="259" w:lineRule="auto"/>
        <w:jc w:val="both"/>
      </w:pPr>
      <w:r w:rsidRPr="00882830">
        <w:t xml:space="preserve">Goldenberg NA, Bernard TJ, Fullerton HJ, Gordon A, </w:t>
      </w:r>
      <w:proofErr w:type="spellStart"/>
      <w:r w:rsidRPr="00882830">
        <w:t>DeVeber</w:t>
      </w:r>
      <w:proofErr w:type="spellEnd"/>
      <w:r w:rsidRPr="00882830">
        <w:t xml:space="preserve"> G. Antithrombotic treatments, outcomes, and prognostic factors in childhood cerebral </w:t>
      </w:r>
      <w:proofErr w:type="spellStart"/>
      <w:r w:rsidRPr="00882830">
        <w:t>sinovenous</w:t>
      </w:r>
      <w:proofErr w:type="spellEnd"/>
      <w:r w:rsidRPr="00882830">
        <w:t xml:space="preserve"> thrombosis. Blood. 2009;114(24):5143-5150.</w:t>
      </w:r>
    </w:p>
    <w:p w14:paraId="07653A58" w14:textId="77777777" w:rsidR="007C6865" w:rsidRPr="00882830" w:rsidRDefault="007C6865" w:rsidP="007C6865">
      <w:pPr>
        <w:numPr>
          <w:ilvl w:val="0"/>
          <w:numId w:val="33"/>
        </w:numPr>
        <w:spacing w:after="160" w:line="259" w:lineRule="auto"/>
        <w:jc w:val="both"/>
      </w:pPr>
      <w:r w:rsidRPr="00882830">
        <w:t xml:space="preserve">Monagle P, Chalmers E, Chan A, </w:t>
      </w:r>
      <w:proofErr w:type="spellStart"/>
      <w:r w:rsidRPr="00882830">
        <w:t>DeVeber</w:t>
      </w:r>
      <w:proofErr w:type="spellEnd"/>
      <w:r w:rsidRPr="00882830">
        <w:t xml:space="preserve"> G, Kirkham F, Massicotte P, et al. Antithrombotic therapy in neonates and children: American College of Chest Physicians Evidence-Based Clinical Practice Guidelines (9th Edition). Chest. 2012;141(2 Suppl</w:t>
      </w:r>
      <w:proofErr w:type="gramStart"/>
      <w:r w:rsidRPr="00882830">
        <w:t>):e</w:t>
      </w:r>
      <w:proofErr w:type="gramEnd"/>
      <w:r w:rsidRPr="00882830">
        <w:t>737S-801S.</w:t>
      </w:r>
    </w:p>
    <w:p w14:paraId="517BFCB6" w14:textId="77777777" w:rsidR="007C6865" w:rsidRPr="00882830" w:rsidRDefault="007C6865" w:rsidP="007C6865">
      <w:pPr>
        <w:numPr>
          <w:ilvl w:val="0"/>
          <w:numId w:val="33"/>
        </w:numPr>
        <w:spacing w:after="160" w:line="259" w:lineRule="auto"/>
        <w:jc w:val="both"/>
      </w:pPr>
      <w:proofErr w:type="spellStart"/>
      <w:r w:rsidRPr="00882830">
        <w:t>Albisetti</w:t>
      </w:r>
      <w:proofErr w:type="spellEnd"/>
      <w:r w:rsidRPr="00882830">
        <w:t xml:space="preserve"> M. Thrombosis in children: new developments. </w:t>
      </w:r>
      <w:proofErr w:type="spellStart"/>
      <w:r w:rsidRPr="00882830">
        <w:t>Curr</w:t>
      </w:r>
      <w:proofErr w:type="spellEnd"/>
      <w:r w:rsidRPr="00882830">
        <w:t xml:space="preserve"> </w:t>
      </w:r>
      <w:proofErr w:type="spellStart"/>
      <w:r w:rsidRPr="00882830">
        <w:t>Opin</w:t>
      </w:r>
      <w:proofErr w:type="spellEnd"/>
      <w:r w:rsidRPr="00882830">
        <w:t xml:space="preserve"> </w:t>
      </w:r>
      <w:proofErr w:type="spellStart"/>
      <w:r w:rsidRPr="00882830">
        <w:t>Hematol</w:t>
      </w:r>
      <w:proofErr w:type="spellEnd"/>
      <w:r w:rsidRPr="00882830">
        <w:t>. 2007;14(5):476-482.</w:t>
      </w:r>
    </w:p>
    <w:p w14:paraId="1C9ABB8B" w14:textId="77777777" w:rsidR="007C6865" w:rsidRPr="00882830" w:rsidRDefault="007C6865" w:rsidP="007C6865">
      <w:pPr>
        <w:numPr>
          <w:ilvl w:val="0"/>
          <w:numId w:val="33"/>
        </w:numPr>
        <w:spacing w:after="160" w:line="259" w:lineRule="auto"/>
        <w:jc w:val="both"/>
      </w:pPr>
      <w:proofErr w:type="spellStart"/>
      <w:r w:rsidRPr="00882830">
        <w:rPr>
          <w:lang w:val="fr-MA"/>
        </w:rPr>
        <w:t>Dabbous</w:t>
      </w:r>
      <w:proofErr w:type="spellEnd"/>
      <w:r w:rsidRPr="00882830">
        <w:rPr>
          <w:lang w:val="fr-MA"/>
        </w:rPr>
        <w:t xml:space="preserve"> IA, </w:t>
      </w:r>
      <w:proofErr w:type="spellStart"/>
      <w:r w:rsidRPr="00882830">
        <w:rPr>
          <w:lang w:val="fr-MA"/>
        </w:rPr>
        <w:t>Sakr</w:t>
      </w:r>
      <w:proofErr w:type="spellEnd"/>
      <w:r w:rsidRPr="00882830">
        <w:rPr>
          <w:lang w:val="fr-MA"/>
        </w:rPr>
        <w:t xml:space="preserve"> FR, </w:t>
      </w:r>
      <w:proofErr w:type="spellStart"/>
      <w:r w:rsidRPr="00882830">
        <w:rPr>
          <w:lang w:val="fr-MA"/>
        </w:rPr>
        <w:t>Chehab</w:t>
      </w:r>
      <w:proofErr w:type="spellEnd"/>
      <w:r w:rsidRPr="00882830">
        <w:rPr>
          <w:lang w:val="fr-MA"/>
        </w:rPr>
        <w:t xml:space="preserve"> H, et al. </w:t>
      </w:r>
      <w:r w:rsidRPr="00882830">
        <w:t xml:space="preserve">Intracardiac thrombus in a child with dilated cardiomyopathy: a case report and review of the literature. </w:t>
      </w:r>
      <w:proofErr w:type="spellStart"/>
      <w:r w:rsidRPr="00882830">
        <w:t>Pediatr</w:t>
      </w:r>
      <w:proofErr w:type="spellEnd"/>
      <w:r w:rsidRPr="00882830">
        <w:t xml:space="preserve"> </w:t>
      </w:r>
      <w:proofErr w:type="spellStart"/>
      <w:r w:rsidRPr="00882830">
        <w:t>Cardiol</w:t>
      </w:r>
      <w:proofErr w:type="spellEnd"/>
      <w:r w:rsidRPr="00882830">
        <w:t>. 2013;34(7):1758-1761.</w:t>
      </w:r>
    </w:p>
    <w:p w14:paraId="77198CC6" w14:textId="77777777" w:rsidR="007C6865" w:rsidRPr="00882830" w:rsidRDefault="007C6865" w:rsidP="007C6865">
      <w:pPr>
        <w:numPr>
          <w:ilvl w:val="0"/>
          <w:numId w:val="33"/>
        </w:numPr>
        <w:spacing w:after="160" w:line="259" w:lineRule="auto"/>
        <w:jc w:val="both"/>
      </w:pPr>
      <w:r w:rsidRPr="00882830">
        <w:t xml:space="preserve">Van </w:t>
      </w:r>
      <w:proofErr w:type="spellStart"/>
      <w:r w:rsidRPr="00882830">
        <w:t>Ommen</w:t>
      </w:r>
      <w:proofErr w:type="spellEnd"/>
      <w:r w:rsidRPr="00882830">
        <w:t xml:space="preserve"> CH, </w:t>
      </w:r>
      <w:proofErr w:type="spellStart"/>
      <w:r w:rsidRPr="00882830">
        <w:t>Heijboer</w:t>
      </w:r>
      <w:proofErr w:type="spellEnd"/>
      <w:r w:rsidRPr="00882830">
        <w:t xml:space="preserve"> H, </w:t>
      </w:r>
      <w:proofErr w:type="spellStart"/>
      <w:r w:rsidRPr="00882830">
        <w:t>Büller</w:t>
      </w:r>
      <w:proofErr w:type="spellEnd"/>
      <w:r w:rsidRPr="00882830">
        <w:t xml:space="preserve"> HR, </w:t>
      </w:r>
      <w:proofErr w:type="spellStart"/>
      <w:r w:rsidRPr="00882830">
        <w:t>Hirasing</w:t>
      </w:r>
      <w:proofErr w:type="spellEnd"/>
      <w:r w:rsidRPr="00882830">
        <w:t xml:space="preserve"> RA, </w:t>
      </w:r>
      <w:proofErr w:type="spellStart"/>
      <w:r w:rsidRPr="00882830">
        <w:t>Heijmans</w:t>
      </w:r>
      <w:proofErr w:type="spellEnd"/>
      <w:r w:rsidRPr="00882830">
        <w:t xml:space="preserve"> HS, Peters M. Venous thromboembolism in childhood: a prospective two-year registry in The Netherlands. J Pediatr. 2001;139(5):676-681.</w:t>
      </w:r>
    </w:p>
    <w:p w14:paraId="2A3A7A7F" w14:textId="77777777" w:rsidR="007C6865" w:rsidRPr="00882830" w:rsidRDefault="007C6865" w:rsidP="007C6865">
      <w:pPr>
        <w:numPr>
          <w:ilvl w:val="0"/>
          <w:numId w:val="33"/>
        </w:numPr>
        <w:spacing w:after="160" w:line="259" w:lineRule="auto"/>
        <w:jc w:val="both"/>
      </w:pPr>
      <w:r w:rsidRPr="00882830">
        <w:t xml:space="preserve">Nowak-Göttl U, von Kries R, Göbel U. Neonatal symptomatic thromboembolism in Germany: </w:t>
      </w:r>
      <w:proofErr w:type="gramStart"/>
      <w:r w:rsidRPr="00882830">
        <w:t>two year</w:t>
      </w:r>
      <w:proofErr w:type="gramEnd"/>
      <w:r w:rsidRPr="00882830">
        <w:t xml:space="preserve"> survey. Arch Dis Child Fetal Neonatal Ed. 1997;76(3</w:t>
      </w:r>
      <w:proofErr w:type="gramStart"/>
      <w:r w:rsidRPr="00882830">
        <w:t>):F</w:t>
      </w:r>
      <w:proofErr w:type="gramEnd"/>
      <w:r w:rsidRPr="00882830">
        <w:t>163-167.</w:t>
      </w:r>
    </w:p>
    <w:p w14:paraId="207A29A3" w14:textId="77777777" w:rsidR="007C6865" w:rsidRPr="00882830" w:rsidRDefault="007C6865" w:rsidP="007C6865">
      <w:pPr>
        <w:numPr>
          <w:ilvl w:val="0"/>
          <w:numId w:val="33"/>
        </w:numPr>
        <w:spacing w:after="160" w:line="259" w:lineRule="auto"/>
        <w:jc w:val="both"/>
      </w:pPr>
      <w:proofErr w:type="spellStart"/>
      <w:r w:rsidRPr="00882830">
        <w:t>Rajpurkar</w:t>
      </w:r>
      <w:proofErr w:type="spellEnd"/>
      <w:r w:rsidRPr="00882830">
        <w:t xml:space="preserve"> M, </w:t>
      </w:r>
      <w:proofErr w:type="spellStart"/>
      <w:r w:rsidRPr="00882830">
        <w:t>Warrier</w:t>
      </w:r>
      <w:proofErr w:type="spellEnd"/>
      <w:r w:rsidRPr="00882830">
        <w:t xml:space="preserve"> I, </w:t>
      </w:r>
      <w:proofErr w:type="spellStart"/>
      <w:r w:rsidRPr="00882830">
        <w:t>Chitlur</w:t>
      </w:r>
      <w:proofErr w:type="spellEnd"/>
      <w:r w:rsidRPr="00882830">
        <w:t xml:space="preserve"> M, Lusher JM. Thrombosis in children: current perspectives. </w:t>
      </w:r>
      <w:proofErr w:type="spellStart"/>
      <w:r w:rsidRPr="00882830">
        <w:t>Haemophilia</w:t>
      </w:r>
      <w:proofErr w:type="spellEnd"/>
      <w:r w:rsidRPr="00882830">
        <w:t>. 2002;8(1):125-135.</w:t>
      </w:r>
    </w:p>
    <w:p w14:paraId="099C2158" w14:textId="77777777" w:rsidR="007C6865" w:rsidRPr="00882830" w:rsidRDefault="007C6865" w:rsidP="007C6865">
      <w:pPr>
        <w:numPr>
          <w:ilvl w:val="0"/>
          <w:numId w:val="33"/>
        </w:numPr>
        <w:spacing w:after="160" w:line="259" w:lineRule="auto"/>
        <w:jc w:val="both"/>
      </w:pPr>
      <w:r w:rsidRPr="00882830">
        <w:t xml:space="preserve">Bauman ME, Massicotte MP, Barnard D. Investigational antithrombotic agents in children: a review of the current literature. </w:t>
      </w:r>
      <w:proofErr w:type="spellStart"/>
      <w:r w:rsidRPr="00882830">
        <w:t>Thromb</w:t>
      </w:r>
      <w:proofErr w:type="spellEnd"/>
      <w:r w:rsidRPr="00882830">
        <w:t xml:space="preserve"> Res. 2006;118(1):95-103.</w:t>
      </w:r>
    </w:p>
    <w:p w14:paraId="45B7D940" w14:textId="77777777" w:rsidR="007C6865" w:rsidRPr="00882830" w:rsidRDefault="007C6865" w:rsidP="007C6865">
      <w:pPr>
        <w:numPr>
          <w:ilvl w:val="0"/>
          <w:numId w:val="33"/>
        </w:numPr>
        <w:spacing w:after="160" w:line="259" w:lineRule="auto"/>
        <w:jc w:val="both"/>
      </w:pPr>
      <w:r w:rsidRPr="00882830">
        <w:t xml:space="preserve">Monagle P, Newall F. Management of thrombosis in children and neonates: practical use of anticoagulants in children. </w:t>
      </w:r>
      <w:proofErr w:type="spellStart"/>
      <w:r w:rsidRPr="00882830">
        <w:t>Thromb</w:t>
      </w:r>
      <w:proofErr w:type="spellEnd"/>
      <w:r w:rsidRPr="00882830">
        <w:t xml:space="preserve"> Res. 2006;118(1):95-103.</w:t>
      </w:r>
    </w:p>
    <w:p w14:paraId="39165380" w14:textId="77777777" w:rsidR="007C6865" w:rsidRPr="00882830" w:rsidRDefault="007C6865" w:rsidP="007C6865">
      <w:pPr>
        <w:numPr>
          <w:ilvl w:val="0"/>
          <w:numId w:val="33"/>
        </w:numPr>
        <w:spacing w:after="160" w:line="259" w:lineRule="auto"/>
        <w:jc w:val="both"/>
      </w:pPr>
      <w:r w:rsidRPr="00882830">
        <w:t xml:space="preserve">Ramaswamy P, </w:t>
      </w:r>
      <w:proofErr w:type="spellStart"/>
      <w:r w:rsidRPr="00882830">
        <w:t>Lytrivi</w:t>
      </w:r>
      <w:proofErr w:type="spellEnd"/>
      <w:r w:rsidRPr="00882830">
        <w:t xml:space="preserve"> ID, </w:t>
      </w:r>
      <w:proofErr w:type="spellStart"/>
      <w:r w:rsidRPr="00882830">
        <w:t>Yau</w:t>
      </w:r>
      <w:proofErr w:type="spellEnd"/>
      <w:r w:rsidRPr="00882830">
        <w:t xml:space="preserve"> J, Pass RH, Ko HH, Nappo L, et al. Intracardiac thrombus in children: recognition, management and clinical outcome. J Am Coll </w:t>
      </w:r>
      <w:proofErr w:type="spellStart"/>
      <w:r w:rsidRPr="00882830">
        <w:t>Cardiol</w:t>
      </w:r>
      <w:proofErr w:type="spellEnd"/>
      <w:r w:rsidRPr="00882830">
        <w:t>. 2006;47(2):240-245.</w:t>
      </w:r>
    </w:p>
    <w:p w14:paraId="288E3AE1" w14:textId="77777777" w:rsidR="007C6865" w:rsidRPr="00882830" w:rsidRDefault="007C6865" w:rsidP="007C6865">
      <w:pPr>
        <w:numPr>
          <w:ilvl w:val="0"/>
          <w:numId w:val="33"/>
        </w:numPr>
        <w:spacing w:after="160" w:line="259" w:lineRule="auto"/>
        <w:jc w:val="both"/>
      </w:pPr>
      <w:r w:rsidRPr="00882830">
        <w:lastRenderedPageBreak/>
        <w:t>Goldenberg NA, Knapp-Clevenger R, Manco-Johnson MJ. Elevated plasma factor VIII and D-dimer levels as predictors of poor outcomes of thrombosis in children. N Engl J Med. 2004;351(11):1081-1088.</w:t>
      </w:r>
    </w:p>
    <w:p w14:paraId="73759A5C" w14:textId="77777777" w:rsidR="007C6865" w:rsidRPr="00882830" w:rsidRDefault="007C6865" w:rsidP="007C6865">
      <w:pPr>
        <w:numPr>
          <w:ilvl w:val="0"/>
          <w:numId w:val="33"/>
        </w:numPr>
        <w:spacing w:after="160" w:line="259" w:lineRule="auto"/>
        <w:jc w:val="both"/>
      </w:pPr>
      <w:r w:rsidRPr="00882830">
        <w:rPr>
          <w:lang w:val="fr-MA"/>
        </w:rPr>
        <w:t xml:space="preserve">Bhat R, Kumar R, Rao KL, et al. </w:t>
      </w:r>
      <w:r w:rsidRPr="00882830">
        <w:t>Right atrial thrombus in a neonate: successful management with low molecular weight heparin. Indian J Pediatr. 2009;76(7):747-749.</w:t>
      </w:r>
    </w:p>
    <w:p w14:paraId="075D2A5D" w14:textId="77777777" w:rsidR="007C6865" w:rsidRPr="00882830" w:rsidRDefault="007C6865" w:rsidP="005669C0">
      <w:pPr>
        <w:pStyle w:val="Body"/>
        <w:spacing w:after="0"/>
        <w:rPr>
          <w:rFonts w:ascii="Arial" w:hAnsi="Arial" w:cs="Arial"/>
        </w:rPr>
      </w:pPr>
    </w:p>
    <w:p w14:paraId="244C1383" w14:textId="77777777" w:rsidR="007C6865" w:rsidRPr="00882830" w:rsidRDefault="007C6865" w:rsidP="005669C0">
      <w:pPr>
        <w:pStyle w:val="Body"/>
        <w:spacing w:after="0"/>
        <w:rPr>
          <w:rFonts w:ascii="Arial" w:hAnsi="Arial" w:cs="Arial"/>
        </w:rPr>
      </w:pPr>
    </w:p>
    <w:p w14:paraId="118C9455" w14:textId="77777777" w:rsidR="00013858" w:rsidRPr="00882830" w:rsidRDefault="00013858" w:rsidP="00013858">
      <w:pPr>
        <w:pStyle w:val="ReferHead"/>
        <w:spacing w:after="0"/>
        <w:jc w:val="both"/>
        <w:rPr>
          <w:rFonts w:ascii="Arial" w:hAnsi="Arial" w:cs="Arial"/>
          <w:b w:val="0"/>
          <w:caps w:val="0"/>
          <w:sz w:val="20"/>
        </w:rPr>
      </w:pPr>
    </w:p>
    <w:p w14:paraId="4ED7DC9E" w14:textId="77777777" w:rsidR="00441B6F" w:rsidRPr="00882830" w:rsidRDefault="00441B6F" w:rsidP="00441B6F">
      <w:pPr>
        <w:pStyle w:val="Body"/>
        <w:spacing w:after="0"/>
        <w:jc w:val="left"/>
      </w:pPr>
    </w:p>
    <w:p w14:paraId="4A378153" w14:textId="77777777" w:rsidR="00441B6F" w:rsidRPr="00882830" w:rsidRDefault="00441B6F" w:rsidP="00441B6F">
      <w:pPr>
        <w:pStyle w:val="Body"/>
        <w:spacing w:after="0"/>
        <w:jc w:val="left"/>
        <w:rPr>
          <w:rFonts w:ascii="Arial" w:hAnsi="Arial" w:cs="Arial"/>
        </w:rPr>
      </w:pPr>
    </w:p>
    <w:p w14:paraId="4E692485" w14:textId="77777777" w:rsidR="00B01FCD" w:rsidRPr="00882830" w:rsidRDefault="00B01FCD" w:rsidP="00441B6F">
      <w:pPr>
        <w:pStyle w:val="Reference"/>
        <w:numPr>
          <w:ilvl w:val="0"/>
          <w:numId w:val="0"/>
        </w:numPr>
        <w:spacing w:line="240" w:lineRule="auto"/>
        <w:rPr>
          <w:rFonts w:ascii="Arial" w:hAnsi="Arial" w:cs="Arial"/>
        </w:rPr>
      </w:pPr>
    </w:p>
    <w:p w14:paraId="4E0F7FD8" w14:textId="77777777" w:rsidR="007C6865" w:rsidRDefault="007C6865" w:rsidP="00441B6F">
      <w:pPr>
        <w:pStyle w:val="Appendix"/>
        <w:spacing w:after="0"/>
        <w:jc w:val="both"/>
        <w:rPr>
          <w:rFonts w:ascii="Arial" w:hAnsi="Arial" w:cs="Arial"/>
        </w:rPr>
      </w:pPr>
    </w:p>
    <w:p w14:paraId="33DEE166" w14:textId="77777777" w:rsidR="007C6865" w:rsidRDefault="007C6865" w:rsidP="00441B6F">
      <w:pPr>
        <w:pStyle w:val="Appendix"/>
        <w:spacing w:after="0"/>
        <w:jc w:val="both"/>
        <w:rPr>
          <w:rFonts w:ascii="Arial" w:hAnsi="Arial" w:cs="Arial"/>
        </w:rPr>
      </w:pPr>
    </w:p>
    <w:p w14:paraId="56CCF63D" w14:textId="77777777" w:rsidR="007C6865" w:rsidRPr="00FB3A86" w:rsidRDefault="007C6865" w:rsidP="00441B6F">
      <w:pPr>
        <w:pStyle w:val="Appendix"/>
        <w:spacing w:after="0"/>
        <w:jc w:val="both"/>
        <w:rPr>
          <w:rFonts w:ascii="Arial" w:hAnsi="Arial" w:cs="Arial"/>
          <w:b w:val="0"/>
        </w:rPr>
        <w:sectPr w:rsidR="007C6865" w:rsidRPr="00FB3A86" w:rsidSect="00800BB5">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00F71F5" w14:textId="77777777" w:rsidR="00B01FCD" w:rsidRPr="00FB3A86" w:rsidRDefault="00B01FCD" w:rsidP="00441B6F">
      <w:pPr>
        <w:pStyle w:val="Appendix"/>
        <w:spacing w:after="0"/>
        <w:jc w:val="both"/>
        <w:rPr>
          <w:rFonts w:ascii="Arial" w:hAnsi="Arial" w:cs="Arial"/>
          <w:b w:val="0"/>
        </w:rPr>
      </w:pPr>
    </w:p>
    <w:sectPr w:rsidR="00B01FCD" w:rsidRPr="00FB3A86" w:rsidSect="00800B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79A13" w14:textId="77777777" w:rsidR="00EA7F51" w:rsidRDefault="00EA7F51" w:rsidP="00C37E61">
      <w:r>
        <w:separator/>
      </w:r>
    </w:p>
  </w:endnote>
  <w:endnote w:type="continuationSeparator" w:id="0">
    <w:p w14:paraId="1AB26252" w14:textId="77777777" w:rsidR="00EA7F51" w:rsidRDefault="00EA7F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DE209" w14:textId="77777777" w:rsidR="00800BB5" w:rsidRDefault="00800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E9C67" w14:textId="77777777" w:rsidR="00800BB5" w:rsidRDefault="00800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45BA" w14:textId="193E1ED4" w:rsidR="00754C9A" w:rsidRPr="00800BB5" w:rsidRDefault="00754C9A" w:rsidP="00800BB5">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40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A51C6" w14:textId="77777777" w:rsidR="00EA7F51" w:rsidRDefault="00EA7F51" w:rsidP="00C37E61">
      <w:r>
        <w:separator/>
      </w:r>
    </w:p>
  </w:footnote>
  <w:footnote w:type="continuationSeparator" w:id="0">
    <w:p w14:paraId="18ED6EC3" w14:textId="77777777" w:rsidR="00EA7F51" w:rsidRDefault="00EA7F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3FA25" w14:textId="3FF48637" w:rsidR="00800BB5" w:rsidRDefault="00800BB5">
    <w:pPr>
      <w:pStyle w:val="Header"/>
    </w:pPr>
    <w:r>
      <w:rPr>
        <w:noProof/>
      </w:rPr>
      <w:pict w14:anchorId="0C7A0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DE45" w14:textId="48AC37AF" w:rsidR="00800BB5" w:rsidRDefault="00800BB5">
    <w:pPr>
      <w:pStyle w:val="Header"/>
    </w:pPr>
    <w:r>
      <w:rPr>
        <w:noProof/>
      </w:rPr>
      <w:pict w14:anchorId="05592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93FB" w14:textId="0482B75A" w:rsidR="00296529" w:rsidRPr="00296529" w:rsidRDefault="00800BB5" w:rsidP="00296529">
    <w:pPr>
      <w:ind w:left="2160"/>
      <w:jc w:val="center"/>
      <w:rPr>
        <w:rFonts w:ascii="Times New Roman" w:eastAsia="Calibri" w:hAnsi="Times New Roman"/>
        <w:i/>
        <w:sz w:val="18"/>
        <w:szCs w:val="22"/>
      </w:rPr>
    </w:pPr>
    <w:r>
      <w:rPr>
        <w:noProof/>
      </w:rPr>
      <w:pict w14:anchorId="0330D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B1BA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3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CFF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DBD0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EDB0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9F1E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BC82E" w14:textId="6215CDCD" w:rsidR="00800BB5" w:rsidRDefault="00800BB5">
    <w:pPr>
      <w:pStyle w:val="Header"/>
    </w:pPr>
    <w:r>
      <w:rPr>
        <w:noProof/>
      </w:rPr>
      <w:pict w14:anchorId="1716D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7CFDD" w14:textId="7AF0728D" w:rsidR="00800BB5" w:rsidRDefault="00800BB5">
    <w:pPr>
      <w:pStyle w:val="Header"/>
    </w:pPr>
    <w:r>
      <w:rPr>
        <w:noProof/>
      </w:rPr>
      <w:pict w14:anchorId="2B807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9E9E" w14:textId="3CAF0919" w:rsidR="00800BB5" w:rsidRDefault="00800BB5">
    <w:pPr>
      <w:pStyle w:val="Header"/>
    </w:pPr>
    <w:r>
      <w:rPr>
        <w:noProof/>
      </w:rPr>
      <w:pict w14:anchorId="58E3F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3777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862AFE"/>
    <w:multiLevelType w:val="multilevel"/>
    <w:tmpl w:val="264A3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1390B0D"/>
    <w:multiLevelType w:val="multilevel"/>
    <w:tmpl w:val="3A1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D5138E"/>
    <w:multiLevelType w:val="hybridMultilevel"/>
    <w:tmpl w:val="DAF8F83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5CA0CE2"/>
    <w:multiLevelType w:val="hybridMultilevel"/>
    <w:tmpl w:val="E2EE6B30"/>
    <w:lvl w:ilvl="0" w:tplc="380C0001">
      <w:start w:val="1"/>
      <w:numFmt w:val="bullet"/>
      <w:lvlText w:val=""/>
      <w:lvlJc w:val="left"/>
      <w:pPr>
        <w:ind w:left="1440" w:hanging="360"/>
      </w:pPr>
      <w:rPr>
        <w:rFonts w:ascii="Symbol" w:hAnsi="Symbol" w:hint="default"/>
      </w:rPr>
    </w:lvl>
    <w:lvl w:ilvl="1" w:tplc="380C0003" w:tentative="1">
      <w:start w:val="1"/>
      <w:numFmt w:val="bullet"/>
      <w:lvlText w:val="o"/>
      <w:lvlJc w:val="left"/>
      <w:pPr>
        <w:ind w:left="2160" w:hanging="360"/>
      </w:pPr>
      <w:rPr>
        <w:rFonts w:ascii="Courier New" w:hAnsi="Courier New" w:cs="Courier New" w:hint="default"/>
      </w:rPr>
    </w:lvl>
    <w:lvl w:ilvl="2" w:tplc="380C0005" w:tentative="1">
      <w:start w:val="1"/>
      <w:numFmt w:val="bullet"/>
      <w:lvlText w:val=""/>
      <w:lvlJc w:val="left"/>
      <w:pPr>
        <w:ind w:left="2880" w:hanging="360"/>
      </w:pPr>
      <w:rPr>
        <w:rFonts w:ascii="Wingdings" w:hAnsi="Wingdings" w:hint="default"/>
      </w:rPr>
    </w:lvl>
    <w:lvl w:ilvl="3" w:tplc="380C0001" w:tentative="1">
      <w:start w:val="1"/>
      <w:numFmt w:val="bullet"/>
      <w:lvlText w:val=""/>
      <w:lvlJc w:val="left"/>
      <w:pPr>
        <w:ind w:left="3600" w:hanging="360"/>
      </w:pPr>
      <w:rPr>
        <w:rFonts w:ascii="Symbol" w:hAnsi="Symbol" w:hint="default"/>
      </w:rPr>
    </w:lvl>
    <w:lvl w:ilvl="4" w:tplc="380C0003" w:tentative="1">
      <w:start w:val="1"/>
      <w:numFmt w:val="bullet"/>
      <w:lvlText w:val="o"/>
      <w:lvlJc w:val="left"/>
      <w:pPr>
        <w:ind w:left="4320" w:hanging="360"/>
      </w:pPr>
      <w:rPr>
        <w:rFonts w:ascii="Courier New" w:hAnsi="Courier New" w:cs="Courier New" w:hint="default"/>
      </w:rPr>
    </w:lvl>
    <w:lvl w:ilvl="5" w:tplc="380C0005" w:tentative="1">
      <w:start w:val="1"/>
      <w:numFmt w:val="bullet"/>
      <w:lvlText w:val=""/>
      <w:lvlJc w:val="left"/>
      <w:pPr>
        <w:ind w:left="5040" w:hanging="360"/>
      </w:pPr>
      <w:rPr>
        <w:rFonts w:ascii="Wingdings" w:hAnsi="Wingdings" w:hint="default"/>
      </w:rPr>
    </w:lvl>
    <w:lvl w:ilvl="6" w:tplc="380C0001" w:tentative="1">
      <w:start w:val="1"/>
      <w:numFmt w:val="bullet"/>
      <w:lvlText w:val=""/>
      <w:lvlJc w:val="left"/>
      <w:pPr>
        <w:ind w:left="5760" w:hanging="360"/>
      </w:pPr>
      <w:rPr>
        <w:rFonts w:ascii="Symbol" w:hAnsi="Symbol" w:hint="default"/>
      </w:rPr>
    </w:lvl>
    <w:lvl w:ilvl="7" w:tplc="380C0003" w:tentative="1">
      <w:start w:val="1"/>
      <w:numFmt w:val="bullet"/>
      <w:lvlText w:val="o"/>
      <w:lvlJc w:val="left"/>
      <w:pPr>
        <w:ind w:left="6480" w:hanging="360"/>
      </w:pPr>
      <w:rPr>
        <w:rFonts w:ascii="Courier New" w:hAnsi="Courier New" w:cs="Courier New" w:hint="default"/>
      </w:rPr>
    </w:lvl>
    <w:lvl w:ilvl="8" w:tplc="380C0005" w:tentative="1">
      <w:start w:val="1"/>
      <w:numFmt w:val="bullet"/>
      <w:lvlText w:val=""/>
      <w:lvlJc w:val="left"/>
      <w:pPr>
        <w:ind w:left="7200" w:hanging="360"/>
      </w:pPr>
      <w:rPr>
        <w:rFonts w:ascii="Wingdings" w:hAnsi="Wingdings" w:hint="default"/>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30"/>
  </w:num>
  <w:num w:numId="25">
    <w:abstractNumId w:val="4"/>
  </w:num>
  <w:num w:numId="26">
    <w:abstractNumId w:val="17"/>
  </w:num>
  <w:num w:numId="27">
    <w:abstractNumId w:val="23"/>
  </w:num>
  <w:num w:numId="28">
    <w:abstractNumId w:val="31"/>
  </w:num>
  <w:num w:numId="29">
    <w:abstractNumId w:val="28"/>
  </w:num>
  <w:num w:numId="30">
    <w:abstractNumId w:val="10"/>
  </w:num>
  <w:num w:numId="31">
    <w:abstractNumId w:val="19"/>
  </w:num>
  <w:num w:numId="32">
    <w:abstractNumId w:val="20"/>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858"/>
    <w:rsid w:val="00030174"/>
    <w:rsid w:val="0004579C"/>
    <w:rsid w:val="000A47FA"/>
    <w:rsid w:val="000A65D3"/>
    <w:rsid w:val="000B1E33"/>
    <w:rsid w:val="000D689F"/>
    <w:rsid w:val="000E7B7B"/>
    <w:rsid w:val="000E7D62"/>
    <w:rsid w:val="0010059A"/>
    <w:rsid w:val="00103357"/>
    <w:rsid w:val="001203B4"/>
    <w:rsid w:val="00123C9F"/>
    <w:rsid w:val="00126190"/>
    <w:rsid w:val="00130F17"/>
    <w:rsid w:val="001320BF"/>
    <w:rsid w:val="001439EA"/>
    <w:rsid w:val="00150F50"/>
    <w:rsid w:val="00163BC4"/>
    <w:rsid w:val="00191062"/>
    <w:rsid w:val="00192B72"/>
    <w:rsid w:val="001A29D8"/>
    <w:rsid w:val="001A5CAA"/>
    <w:rsid w:val="001B0427"/>
    <w:rsid w:val="001B6678"/>
    <w:rsid w:val="001D3A51"/>
    <w:rsid w:val="001E10D2"/>
    <w:rsid w:val="001E25B4"/>
    <w:rsid w:val="001E44FE"/>
    <w:rsid w:val="00200595"/>
    <w:rsid w:val="00204835"/>
    <w:rsid w:val="00231920"/>
    <w:rsid w:val="0023195C"/>
    <w:rsid w:val="0024282C"/>
    <w:rsid w:val="002460DC"/>
    <w:rsid w:val="00247169"/>
    <w:rsid w:val="00250985"/>
    <w:rsid w:val="002556F6"/>
    <w:rsid w:val="002719E9"/>
    <w:rsid w:val="0027743A"/>
    <w:rsid w:val="00281656"/>
    <w:rsid w:val="00283105"/>
    <w:rsid w:val="00284C4C"/>
    <w:rsid w:val="00287076"/>
    <w:rsid w:val="002877A6"/>
    <w:rsid w:val="00287E68"/>
    <w:rsid w:val="00296529"/>
    <w:rsid w:val="002B27FB"/>
    <w:rsid w:val="002B685A"/>
    <w:rsid w:val="002C57D2"/>
    <w:rsid w:val="002E0D56"/>
    <w:rsid w:val="00315186"/>
    <w:rsid w:val="00320964"/>
    <w:rsid w:val="003217B1"/>
    <w:rsid w:val="0033343E"/>
    <w:rsid w:val="003512C2"/>
    <w:rsid w:val="00356CDA"/>
    <w:rsid w:val="00371FB6"/>
    <w:rsid w:val="003763C1"/>
    <w:rsid w:val="00376BBE"/>
    <w:rsid w:val="0039224F"/>
    <w:rsid w:val="0039647C"/>
    <w:rsid w:val="003A43A4"/>
    <w:rsid w:val="003A7E18"/>
    <w:rsid w:val="003C4C86"/>
    <w:rsid w:val="003C6258"/>
    <w:rsid w:val="003E2904"/>
    <w:rsid w:val="00401927"/>
    <w:rsid w:val="0041027F"/>
    <w:rsid w:val="00412475"/>
    <w:rsid w:val="0042285A"/>
    <w:rsid w:val="00423789"/>
    <w:rsid w:val="00440F43"/>
    <w:rsid w:val="00441B6F"/>
    <w:rsid w:val="00446221"/>
    <w:rsid w:val="00450E62"/>
    <w:rsid w:val="004539DB"/>
    <w:rsid w:val="00471A80"/>
    <w:rsid w:val="00473680"/>
    <w:rsid w:val="004A0FB3"/>
    <w:rsid w:val="004A5990"/>
    <w:rsid w:val="004D305E"/>
    <w:rsid w:val="004D4277"/>
    <w:rsid w:val="00502516"/>
    <w:rsid w:val="00505F06"/>
    <w:rsid w:val="00506828"/>
    <w:rsid w:val="0053056E"/>
    <w:rsid w:val="00547CAC"/>
    <w:rsid w:val="00554FDA"/>
    <w:rsid w:val="00561D56"/>
    <w:rsid w:val="005669C0"/>
    <w:rsid w:val="005A555D"/>
    <w:rsid w:val="005B19F6"/>
    <w:rsid w:val="005C784C"/>
    <w:rsid w:val="005D17F6"/>
    <w:rsid w:val="005D28F5"/>
    <w:rsid w:val="005E5539"/>
    <w:rsid w:val="00602BF5"/>
    <w:rsid w:val="00606B01"/>
    <w:rsid w:val="00617FDD"/>
    <w:rsid w:val="00633614"/>
    <w:rsid w:val="00633F68"/>
    <w:rsid w:val="00636EB2"/>
    <w:rsid w:val="006375B8"/>
    <w:rsid w:val="0066510A"/>
    <w:rsid w:val="00673F9F"/>
    <w:rsid w:val="00686953"/>
    <w:rsid w:val="00687DEA"/>
    <w:rsid w:val="00687E67"/>
    <w:rsid w:val="0069439F"/>
    <w:rsid w:val="006967F7"/>
    <w:rsid w:val="006A250C"/>
    <w:rsid w:val="006B19FF"/>
    <w:rsid w:val="006B21D3"/>
    <w:rsid w:val="006B57D0"/>
    <w:rsid w:val="006C2F60"/>
    <w:rsid w:val="006D30FF"/>
    <w:rsid w:val="006D6940"/>
    <w:rsid w:val="006D73E6"/>
    <w:rsid w:val="006F11EC"/>
    <w:rsid w:val="0070082C"/>
    <w:rsid w:val="00705CAF"/>
    <w:rsid w:val="00720D23"/>
    <w:rsid w:val="007303DF"/>
    <w:rsid w:val="007369E6"/>
    <w:rsid w:val="00746E59"/>
    <w:rsid w:val="00754C9A"/>
    <w:rsid w:val="0075599A"/>
    <w:rsid w:val="00761D52"/>
    <w:rsid w:val="0077749E"/>
    <w:rsid w:val="00790ADA"/>
    <w:rsid w:val="007929CB"/>
    <w:rsid w:val="007A2ED0"/>
    <w:rsid w:val="007C6865"/>
    <w:rsid w:val="007D2288"/>
    <w:rsid w:val="007D359F"/>
    <w:rsid w:val="007E088F"/>
    <w:rsid w:val="007E17AE"/>
    <w:rsid w:val="007F7B32"/>
    <w:rsid w:val="00800BB5"/>
    <w:rsid w:val="00804BC2"/>
    <w:rsid w:val="008142D2"/>
    <w:rsid w:val="0081431A"/>
    <w:rsid w:val="0083216F"/>
    <w:rsid w:val="00841881"/>
    <w:rsid w:val="00860000"/>
    <w:rsid w:val="00863BD3"/>
    <w:rsid w:val="008641ED"/>
    <w:rsid w:val="00866D66"/>
    <w:rsid w:val="008671C6"/>
    <w:rsid w:val="00875803"/>
    <w:rsid w:val="00876C0F"/>
    <w:rsid w:val="0088194C"/>
    <w:rsid w:val="00882830"/>
    <w:rsid w:val="008B459E"/>
    <w:rsid w:val="008E13AE"/>
    <w:rsid w:val="008E1506"/>
    <w:rsid w:val="008E710C"/>
    <w:rsid w:val="008F69D6"/>
    <w:rsid w:val="00902823"/>
    <w:rsid w:val="00915CA6"/>
    <w:rsid w:val="00927834"/>
    <w:rsid w:val="0094310C"/>
    <w:rsid w:val="00943A29"/>
    <w:rsid w:val="009500A6"/>
    <w:rsid w:val="00957C18"/>
    <w:rsid w:val="009659BA"/>
    <w:rsid w:val="009773E6"/>
    <w:rsid w:val="00983040"/>
    <w:rsid w:val="009A102C"/>
    <w:rsid w:val="009B3FB9"/>
    <w:rsid w:val="009B7F54"/>
    <w:rsid w:val="009C2465"/>
    <w:rsid w:val="009D35A0"/>
    <w:rsid w:val="009D7EB7"/>
    <w:rsid w:val="009E048A"/>
    <w:rsid w:val="009E08E9"/>
    <w:rsid w:val="009E3DB9"/>
    <w:rsid w:val="009E6E35"/>
    <w:rsid w:val="009F0EDA"/>
    <w:rsid w:val="009F1FF4"/>
    <w:rsid w:val="00A03B96"/>
    <w:rsid w:val="00A05B19"/>
    <w:rsid w:val="00A1134E"/>
    <w:rsid w:val="00A24E7E"/>
    <w:rsid w:val="00A258C3"/>
    <w:rsid w:val="00A347C0"/>
    <w:rsid w:val="00A42CB5"/>
    <w:rsid w:val="00A51431"/>
    <w:rsid w:val="00A539AD"/>
    <w:rsid w:val="00A54776"/>
    <w:rsid w:val="00A94063"/>
    <w:rsid w:val="00AA6219"/>
    <w:rsid w:val="00AA74E0"/>
    <w:rsid w:val="00AB703F"/>
    <w:rsid w:val="00AC2F92"/>
    <w:rsid w:val="00AC6BB8"/>
    <w:rsid w:val="00AC6CCE"/>
    <w:rsid w:val="00AE008F"/>
    <w:rsid w:val="00AF39D5"/>
    <w:rsid w:val="00B01FCD"/>
    <w:rsid w:val="00B1776C"/>
    <w:rsid w:val="00B34749"/>
    <w:rsid w:val="00B52583"/>
    <w:rsid w:val="00B52896"/>
    <w:rsid w:val="00B53AF9"/>
    <w:rsid w:val="00B95236"/>
    <w:rsid w:val="00B96BD9"/>
    <w:rsid w:val="00BA1B01"/>
    <w:rsid w:val="00BA2641"/>
    <w:rsid w:val="00BB37AA"/>
    <w:rsid w:val="00BB4A5E"/>
    <w:rsid w:val="00BC53A0"/>
    <w:rsid w:val="00BE62AD"/>
    <w:rsid w:val="00BF121F"/>
    <w:rsid w:val="00BF1F80"/>
    <w:rsid w:val="00BF54AD"/>
    <w:rsid w:val="00BF7CCA"/>
    <w:rsid w:val="00C1626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190F"/>
    <w:rsid w:val="00D23ED0"/>
    <w:rsid w:val="00D47729"/>
    <w:rsid w:val="00D74CB0"/>
    <w:rsid w:val="00D8295D"/>
    <w:rsid w:val="00D85F6C"/>
    <w:rsid w:val="00D86F79"/>
    <w:rsid w:val="00DA3342"/>
    <w:rsid w:val="00DC2A65"/>
    <w:rsid w:val="00DE15F0"/>
    <w:rsid w:val="00DE5663"/>
    <w:rsid w:val="00DE78AA"/>
    <w:rsid w:val="00E053D0"/>
    <w:rsid w:val="00E15994"/>
    <w:rsid w:val="00E3114E"/>
    <w:rsid w:val="00E31A70"/>
    <w:rsid w:val="00E35B02"/>
    <w:rsid w:val="00E44A5B"/>
    <w:rsid w:val="00E66496"/>
    <w:rsid w:val="00E66B35"/>
    <w:rsid w:val="00E66E10"/>
    <w:rsid w:val="00E758AA"/>
    <w:rsid w:val="00E769F6"/>
    <w:rsid w:val="00E8407C"/>
    <w:rsid w:val="00E84F3C"/>
    <w:rsid w:val="00EA012C"/>
    <w:rsid w:val="00EA7F51"/>
    <w:rsid w:val="00EC6A55"/>
    <w:rsid w:val="00ED0288"/>
    <w:rsid w:val="00EE4408"/>
    <w:rsid w:val="00EE52CB"/>
    <w:rsid w:val="00EE5DB7"/>
    <w:rsid w:val="00EF581D"/>
    <w:rsid w:val="00EF7FD8"/>
    <w:rsid w:val="00F06F59"/>
    <w:rsid w:val="00F17988"/>
    <w:rsid w:val="00F460D0"/>
    <w:rsid w:val="00F469F0"/>
    <w:rsid w:val="00F53273"/>
    <w:rsid w:val="00F755E4"/>
    <w:rsid w:val="00F77D02"/>
    <w:rsid w:val="00F94DA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1CBB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0D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277500">
      <w:bodyDiv w:val="1"/>
      <w:marLeft w:val="0"/>
      <w:marRight w:val="0"/>
      <w:marTop w:val="0"/>
      <w:marBottom w:val="0"/>
      <w:divBdr>
        <w:top w:val="none" w:sz="0" w:space="0" w:color="auto"/>
        <w:left w:val="none" w:sz="0" w:space="0" w:color="auto"/>
        <w:bottom w:val="none" w:sz="0" w:space="0" w:color="auto"/>
        <w:right w:val="none" w:sz="0" w:space="0" w:color="auto"/>
      </w:divBdr>
    </w:div>
    <w:div w:id="40329951">
      <w:bodyDiv w:val="1"/>
      <w:marLeft w:val="0"/>
      <w:marRight w:val="0"/>
      <w:marTop w:val="0"/>
      <w:marBottom w:val="0"/>
      <w:divBdr>
        <w:top w:val="none" w:sz="0" w:space="0" w:color="auto"/>
        <w:left w:val="none" w:sz="0" w:space="0" w:color="auto"/>
        <w:bottom w:val="none" w:sz="0" w:space="0" w:color="auto"/>
        <w:right w:val="none" w:sz="0" w:space="0" w:color="auto"/>
      </w:divBdr>
    </w:div>
    <w:div w:id="41566874">
      <w:bodyDiv w:val="1"/>
      <w:marLeft w:val="0"/>
      <w:marRight w:val="0"/>
      <w:marTop w:val="0"/>
      <w:marBottom w:val="0"/>
      <w:divBdr>
        <w:top w:val="none" w:sz="0" w:space="0" w:color="auto"/>
        <w:left w:val="none" w:sz="0" w:space="0" w:color="auto"/>
        <w:bottom w:val="none" w:sz="0" w:space="0" w:color="auto"/>
        <w:right w:val="none" w:sz="0" w:space="0" w:color="auto"/>
      </w:divBdr>
    </w:div>
    <w:div w:id="51005103">
      <w:bodyDiv w:val="1"/>
      <w:marLeft w:val="0"/>
      <w:marRight w:val="0"/>
      <w:marTop w:val="0"/>
      <w:marBottom w:val="0"/>
      <w:divBdr>
        <w:top w:val="none" w:sz="0" w:space="0" w:color="auto"/>
        <w:left w:val="none" w:sz="0" w:space="0" w:color="auto"/>
        <w:bottom w:val="none" w:sz="0" w:space="0" w:color="auto"/>
        <w:right w:val="none" w:sz="0" w:space="0" w:color="auto"/>
      </w:divBdr>
    </w:div>
    <w:div w:id="103616610">
      <w:bodyDiv w:val="1"/>
      <w:marLeft w:val="0"/>
      <w:marRight w:val="0"/>
      <w:marTop w:val="0"/>
      <w:marBottom w:val="0"/>
      <w:divBdr>
        <w:top w:val="none" w:sz="0" w:space="0" w:color="auto"/>
        <w:left w:val="none" w:sz="0" w:space="0" w:color="auto"/>
        <w:bottom w:val="none" w:sz="0" w:space="0" w:color="auto"/>
        <w:right w:val="none" w:sz="0" w:space="0" w:color="auto"/>
      </w:divBdr>
    </w:div>
    <w:div w:id="112670962">
      <w:bodyDiv w:val="1"/>
      <w:marLeft w:val="0"/>
      <w:marRight w:val="0"/>
      <w:marTop w:val="0"/>
      <w:marBottom w:val="0"/>
      <w:divBdr>
        <w:top w:val="none" w:sz="0" w:space="0" w:color="auto"/>
        <w:left w:val="none" w:sz="0" w:space="0" w:color="auto"/>
        <w:bottom w:val="none" w:sz="0" w:space="0" w:color="auto"/>
        <w:right w:val="none" w:sz="0" w:space="0" w:color="auto"/>
      </w:divBdr>
    </w:div>
    <w:div w:id="119425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2184432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356365">
      <w:bodyDiv w:val="1"/>
      <w:marLeft w:val="0"/>
      <w:marRight w:val="0"/>
      <w:marTop w:val="0"/>
      <w:marBottom w:val="0"/>
      <w:divBdr>
        <w:top w:val="none" w:sz="0" w:space="0" w:color="auto"/>
        <w:left w:val="none" w:sz="0" w:space="0" w:color="auto"/>
        <w:bottom w:val="none" w:sz="0" w:space="0" w:color="auto"/>
        <w:right w:val="none" w:sz="0" w:space="0" w:color="auto"/>
      </w:divBdr>
    </w:div>
    <w:div w:id="282464763">
      <w:bodyDiv w:val="1"/>
      <w:marLeft w:val="0"/>
      <w:marRight w:val="0"/>
      <w:marTop w:val="0"/>
      <w:marBottom w:val="0"/>
      <w:divBdr>
        <w:top w:val="none" w:sz="0" w:space="0" w:color="auto"/>
        <w:left w:val="none" w:sz="0" w:space="0" w:color="auto"/>
        <w:bottom w:val="none" w:sz="0" w:space="0" w:color="auto"/>
        <w:right w:val="none" w:sz="0" w:space="0" w:color="auto"/>
      </w:divBdr>
    </w:div>
    <w:div w:id="400836691">
      <w:bodyDiv w:val="1"/>
      <w:marLeft w:val="0"/>
      <w:marRight w:val="0"/>
      <w:marTop w:val="0"/>
      <w:marBottom w:val="0"/>
      <w:divBdr>
        <w:top w:val="none" w:sz="0" w:space="0" w:color="auto"/>
        <w:left w:val="none" w:sz="0" w:space="0" w:color="auto"/>
        <w:bottom w:val="none" w:sz="0" w:space="0" w:color="auto"/>
        <w:right w:val="none" w:sz="0" w:space="0" w:color="auto"/>
      </w:divBdr>
    </w:div>
    <w:div w:id="473717715">
      <w:bodyDiv w:val="1"/>
      <w:marLeft w:val="0"/>
      <w:marRight w:val="0"/>
      <w:marTop w:val="0"/>
      <w:marBottom w:val="0"/>
      <w:divBdr>
        <w:top w:val="none" w:sz="0" w:space="0" w:color="auto"/>
        <w:left w:val="none" w:sz="0" w:space="0" w:color="auto"/>
        <w:bottom w:val="none" w:sz="0" w:space="0" w:color="auto"/>
        <w:right w:val="none" w:sz="0" w:space="0" w:color="auto"/>
      </w:divBdr>
    </w:div>
    <w:div w:id="502014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806653">
      <w:bodyDiv w:val="1"/>
      <w:marLeft w:val="0"/>
      <w:marRight w:val="0"/>
      <w:marTop w:val="0"/>
      <w:marBottom w:val="0"/>
      <w:divBdr>
        <w:top w:val="none" w:sz="0" w:space="0" w:color="auto"/>
        <w:left w:val="none" w:sz="0" w:space="0" w:color="auto"/>
        <w:bottom w:val="none" w:sz="0" w:space="0" w:color="auto"/>
        <w:right w:val="none" w:sz="0" w:space="0" w:color="auto"/>
      </w:divBdr>
    </w:div>
    <w:div w:id="702556452">
      <w:bodyDiv w:val="1"/>
      <w:marLeft w:val="0"/>
      <w:marRight w:val="0"/>
      <w:marTop w:val="0"/>
      <w:marBottom w:val="0"/>
      <w:divBdr>
        <w:top w:val="none" w:sz="0" w:space="0" w:color="auto"/>
        <w:left w:val="none" w:sz="0" w:space="0" w:color="auto"/>
        <w:bottom w:val="none" w:sz="0" w:space="0" w:color="auto"/>
        <w:right w:val="none" w:sz="0" w:space="0" w:color="auto"/>
      </w:divBdr>
    </w:div>
    <w:div w:id="703749150">
      <w:bodyDiv w:val="1"/>
      <w:marLeft w:val="0"/>
      <w:marRight w:val="0"/>
      <w:marTop w:val="0"/>
      <w:marBottom w:val="0"/>
      <w:divBdr>
        <w:top w:val="none" w:sz="0" w:space="0" w:color="auto"/>
        <w:left w:val="none" w:sz="0" w:space="0" w:color="auto"/>
        <w:bottom w:val="none" w:sz="0" w:space="0" w:color="auto"/>
        <w:right w:val="none" w:sz="0" w:space="0" w:color="auto"/>
      </w:divBdr>
    </w:div>
    <w:div w:id="793711740">
      <w:bodyDiv w:val="1"/>
      <w:marLeft w:val="0"/>
      <w:marRight w:val="0"/>
      <w:marTop w:val="0"/>
      <w:marBottom w:val="0"/>
      <w:divBdr>
        <w:top w:val="none" w:sz="0" w:space="0" w:color="auto"/>
        <w:left w:val="none" w:sz="0" w:space="0" w:color="auto"/>
        <w:bottom w:val="none" w:sz="0" w:space="0" w:color="auto"/>
        <w:right w:val="none" w:sz="0" w:space="0" w:color="auto"/>
      </w:divBdr>
    </w:div>
    <w:div w:id="878710355">
      <w:bodyDiv w:val="1"/>
      <w:marLeft w:val="0"/>
      <w:marRight w:val="0"/>
      <w:marTop w:val="0"/>
      <w:marBottom w:val="0"/>
      <w:divBdr>
        <w:top w:val="none" w:sz="0" w:space="0" w:color="auto"/>
        <w:left w:val="none" w:sz="0" w:space="0" w:color="auto"/>
        <w:bottom w:val="none" w:sz="0" w:space="0" w:color="auto"/>
        <w:right w:val="none" w:sz="0" w:space="0" w:color="auto"/>
      </w:divBdr>
    </w:div>
    <w:div w:id="895359958">
      <w:bodyDiv w:val="1"/>
      <w:marLeft w:val="0"/>
      <w:marRight w:val="0"/>
      <w:marTop w:val="0"/>
      <w:marBottom w:val="0"/>
      <w:divBdr>
        <w:top w:val="none" w:sz="0" w:space="0" w:color="auto"/>
        <w:left w:val="none" w:sz="0" w:space="0" w:color="auto"/>
        <w:bottom w:val="none" w:sz="0" w:space="0" w:color="auto"/>
        <w:right w:val="none" w:sz="0" w:space="0" w:color="auto"/>
      </w:divBdr>
    </w:div>
    <w:div w:id="92510983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809708">
      <w:bodyDiv w:val="1"/>
      <w:marLeft w:val="0"/>
      <w:marRight w:val="0"/>
      <w:marTop w:val="0"/>
      <w:marBottom w:val="0"/>
      <w:divBdr>
        <w:top w:val="none" w:sz="0" w:space="0" w:color="auto"/>
        <w:left w:val="none" w:sz="0" w:space="0" w:color="auto"/>
        <w:bottom w:val="none" w:sz="0" w:space="0" w:color="auto"/>
        <w:right w:val="none" w:sz="0" w:space="0" w:color="auto"/>
      </w:divBdr>
    </w:div>
    <w:div w:id="1017195087">
      <w:bodyDiv w:val="1"/>
      <w:marLeft w:val="0"/>
      <w:marRight w:val="0"/>
      <w:marTop w:val="0"/>
      <w:marBottom w:val="0"/>
      <w:divBdr>
        <w:top w:val="none" w:sz="0" w:space="0" w:color="auto"/>
        <w:left w:val="none" w:sz="0" w:space="0" w:color="auto"/>
        <w:bottom w:val="none" w:sz="0" w:space="0" w:color="auto"/>
        <w:right w:val="none" w:sz="0" w:space="0" w:color="auto"/>
      </w:divBdr>
    </w:div>
    <w:div w:id="101911700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955453">
      <w:bodyDiv w:val="1"/>
      <w:marLeft w:val="0"/>
      <w:marRight w:val="0"/>
      <w:marTop w:val="0"/>
      <w:marBottom w:val="0"/>
      <w:divBdr>
        <w:top w:val="none" w:sz="0" w:space="0" w:color="auto"/>
        <w:left w:val="none" w:sz="0" w:space="0" w:color="auto"/>
        <w:bottom w:val="none" w:sz="0" w:space="0" w:color="auto"/>
        <w:right w:val="none" w:sz="0" w:space="0" w:color="auto"/>
      </w:divBdr>
    </w:div>
    <w:div w:id="1177306310">
      <w:bodyDiv w:val="1"/>
      <w:marLeft w:val="0"/>
      <w:marRight w:val="0"/>
      <w:marTop w:val="0"/>
      <w:marBottom w:val="0"/>
      <w:divBdr>
        <w:top w:val="none" w:sz="0" w:space="0" w:color="auto"/>
        <w:left w:val="none" w:sz="0" w:space="0" w:color="auto"/>
        <w:bottom w:val="none" w:sz="0" w:space="0" w:color="auto"/>
        <w:right w:val="none" w:sz="0" w:space="0" w:color="auto"/>
      </w:divBdr>
    </w:div>
    <w:div w:id="1237134509">
      <w:bodyDiv w:val="1"/>
      <w:marLeft w:val="0"/>
      <w:marRight w:val="0"/>
      <w:marTop w:val="0"/>
      <w:marBottom w:val="0"/>
      <w:divBdr>
        <w:top w:val="none" w:sz="0" w:space="0" w:color="auto"/>
        <w:left w:val="none" w:sz="0" w:space="0" w:color="auto"/>
        <w:bottom w:val="none" w:sz="0" w:space="0" w:color="auto"/>
        <w:right w:val="none" w:sz="0" w:space="0" w:color="auto"/>
      </w:divBdr>
    </w:div>
    <w:div w:id="1256130684">
      <w:bodyDiv w:val="1"/>
      <w:marLeft w:val="0"/>
      <w:marRight w:val="0"/>
      <w:marTop w:val="0"/>
      <w:marBottom w:val="0"/>
      <w:divBdr>
        <w:top w:val="none" w:sz="0" w:space="0" w:color="auto"/>
        <w:left w:val="none" w:sz="0" w:space="0" w:color="auto"/>
        <w:bottom w:val="none" w:sz="0" w:space="0" w:color="auto"/>
        <w:right w:val="none" w:sz="0" w:space="0" w:color="auto"/>
      </w:divBdr>
    </w:div>
    <w:div w:id="1276908629">
      <w:bodyDiv w:val="1"/>
      <w:marLeft w:val="0"/>
      <w:marRight w:val="0"/>
      <w:marTop w:val="0"/>
      <w:marBottom w:val="0"/>
      <w:divBdr>
        <w:top w:val="none" w:sz="0" w:space="0" w:color="auto"/>
        <w:left w:val="none" w:sz="0" w:space="0" w:color="auto"/>
        <w:bottom w:val="none" w:sz="0" w:space="0" w:color="auto"/>
        <w:right w:val="none" w:sz="0" w:space="0" w:color="auto"/>
      </w:divBdr>
    </w:div>
    <w:div w:id="1320227820">
      <w:bodyDiv w:val="1"/>
      <w:marLeft w:val="0"/>
      <w:marRight w:val="0"/>
      <w:marTop w:val="0"/>
      <w:marBottom w:val="0"/>
      <w:divBdr>
        <w:top w:val="none" w:sz="0" w:space="0" w:color="auto"/>
        <w:left w:val="none" w:sz="0" w:space="0" w:color="auto"/>
        <w:bottom w:val="none" w:sz="0" w:space="0" w:color="auto"/>
        <w:right w:val="none" w:sz="0" w:space="0" w:color="auto"/>
      </w:divBdr>
    </w:div>
    <w:div w:id="1327783729">
      <w:bodyDiv w:val="1"/>
      <w:marLeft w:val="0"/>
      <w:marRight w:val="0"/>
      <w:marTop w:val="0"/>
      <w:marBottom w:val="0"/>
      <w:divBdr>
        <w:top w:val="none" w:sz="0" w:space="0" w:color="auto"/>
        <w:left w:val="none" w:sz="0" w:space="0" w:color="auto"/>
        <w:bottom w:val="none" w:sz="0" w:space="0" w:color="auto"/>
        <w:right w:val="none" w:sz="0" w:space="0" w:color="auto"/>
      </w:divBdr>
    </w:div>
    <w:div w:id="1335114202">
      <w:bodyDiv w:val="1"/>
      <w:marLeft w:val="0"/>
      <w:marRight w:val="0"/>
      <w:marTop w:val="0"/>
      <w:marBottom w:val="0"/>
      <w:divBdr>
        <w:top w:val="none" w:sz="0" w:space="0" w:color="auto"/>
        <w:left w:val="none" w:sz="0" w:space="0" w:color="auto"/>
        <w:bottom w:val="none" w:sz="0" w:space="0" w:color="auto"/>
        <w:right w:val="none" w:sz="0" w:space="0" w:color="auto"/>
      </w:divBdr>
    </w:div>
    <w:div w:id="1348600907">
      <w:bodyDiv w:val="1"/>
      <w:marLeft w:val="0"/>
      <w:marRight w:val="0"/>
      <w:marTop w:val="0"/>
      <w:marBottom w:val="0"/>
      <w:divBdr>
        <w:top w:val="none" w:sz="0" w:space="0" w:color="auto"/>
        <w:left w:val="none" w:sz="0" w:space="0" w:color="auto"/>
        <w:bottom w:val="none" w:sz="0" w:space="0" w:color="auto"/>
        <w:right w:val="none" w:sz="0" w:space="0" w:color="auto"/>
      </w:divBdr>
    </w:div>
    <w:div w:id="1449661900">
      <w:bodyDiv w:val="1"/>
      <w:marLeft w:val="0"/>
      <w:marRight w:val="0"/>
      <w:marTop w:val="0"/>
      <w:marBottom w:val="0"/>
      <w:divBdr>
        <w:top w:val="none" w:sz="0" w:space="0" w:color="auto"/>
        <w:left w:val="none" w:sz="0" w:space="0" w:color="auto"/>
        <w:bottom w:val="none" w:sz="0" w:space="0" w:color="auto"/>
        <w:right w:val="none" w:sz="0" w:space="0" w:color="auto"/>
      </w:divBdr>
    </w:div>
    <w:div w:id="1558321881">
      <w:bodyDiv w:val="1"/>
      <w:marLeft w:val="0"/>
      <w:marRight w:val="0"/>
      <w:marTop w:val="0"/>
      <w:marBottom w:val="0"/>
      <w:divBdr>
        <w:top w:val="none" w:sz="0" w:space="0" w:color="auto"/>
        <w:left w:val="none" w:sz="0" w:space="0" w:color="auto"/>
        <w:bottom w:val="none" w:sz="0" w:space="0" w:color="auto"/>
        <w:right w:val="none" w:sz="0" w:space="0" w:color="auto"/>
      </w:divBdr>
    </w:div>
    <w:div w:id="1569804146">
      <w:bodyDiv w:val="1"/>
      <w:marLeft w:val="0"/>
      <w:marRight w:val="0"/>
      <w:marTop w:val="0"/>
      <w:marBottom w:val="0"/>
      <w:divBdr>
        <w:top w:val="none" w:sz="0" w:space="0" w:color="auto"/>
        <w:left w:val="none" w:sz="0" w:space="0" w:color="auto"/>
        <w:bottom w:val="none" w:sz="0" w:space="0" w:color="auto"/>
        <w:right w:val="none" w:sz="0" w:space="0" w:color="auto"/>
      </w:divBdr>
    </w:div>
    <w:div w:id="1570311042">
      <w:bodyDiv w:val="1"/>
      <w:marLeft w:val="0"/>
      <w:marRight w:val="0"/>
      <w:marTop w:val="0"/>
      <w:marBottom w:val="0"/>
      <w:divBdr>
        <w:top w:val="none" w:sz="0" w:space="0" w:color="auto"/>
        <w:left w:val="none" w:sz="0" w:space="0" w:color="auto"/>
        <w:bottom w:val="none" w:sz="0" w:space="0" w:color="auto"/>
        <w:right w:val="none" w:sz="0" w:space="0" w:color="auto"/>
      </w:divBdr>
    </w:div>
    <w:div w:id="1584870716">
      <w:bodyDiv w:val="1"/>
      <w:marLeft w:val="0"/>
      <w:marRight w:val="0"/>
      <w:marTop w:val="0"/>
      <w:marBottom w:val="0"/>
      <w:divBdr>
        <w:top w:val="none" w:sz="0" w:space="0" w:color="auto"/>
        <w:left w:val="none" w:sz="0" w:space="0" w:color="auto"/>
        <w:bottom w:val="none" w:sz="0" w:space="0" w:color="auto"/>
        <w:right w:val="none" w:sz="0" w:space="0" w:color="auto"/>
      </w:divBdr>
    </w:div>
    <w:div w:id="1670676258">
      <w:bodyDiv w:val="1"/>
      <w:marLeft w:val="0"/>
      <w:marRight w:val="0"/>
      <w:marTop w:val="0"/>
      <w:marBottom w:val="0"/>
      <w:divBdr>
        <w:top w:val="none" w:sz="0" w:space="0" w:color="auto"/>
        <w:left w:val="none" w:sz="0" w:space="0" w:color="auto"/>
        <w:bottom w:val="none" w:sz="0" w:space="0" w:color="auto"/>
        <w:right w:val="none" w:sz="0" w:space="0" w:color="auto"/>
      </w:divBdr>
    </w:div>
    <w:div w:id="1711298778">
      <w:bodyDiv w:val="1"/>
      <w:marLeft w:val="0"/>
      <w:marRight w:val="0"/>
      <w:marTop w:val="0"/>
      <w:marBottom w:val="0"/>
      <w:divBdr>
        <w:top w:val="none" w:sz="0" w:space="0" w:color="auto"/>
        <w:left w:val="none" w:sz="0" w:space="0" w:color="auto"/>
        <w:bottom w:val="none" w:sz="0" w:space="0" w:color="auto"/>
        <w:right w:val="none" w:sz="0" w:space="0" w:color="auto"/>
      </w:divBdr>
    </w:div>
    <w:div w:id="1731270050">
      <w:bodyDiv w:val="1"/>
      <w:marLeft w:val="0"/>
      <w:marRight w:val="0"/>
      <w:marTop w:val="0"/>
      <w:marBottom w:val="0"/>
      <w:divBdr>
        <w:top w:val="none" w:sz="0" w:space="0" w:color="auto"/>
        <w:left w:val="none" w:sz="0" w:space="0" w:color="auto"/>
        <w:bottom w:val="none" w:sz="0" w:space="0" w:color="auto"/>
        <w:right w:val="none" w:sz="0" w:space="0" w:color="auto"/>
      </w:divBdr>
    </w:div>
    <w:div w:id="17314194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101139">
      <w:bodyDiv w:val="1"/>
      <w:marLeft w:val="0"/>
      <w:marRight w:val="0"/>
      <w:marTop w:val="0"/>
      <w:marBottom w:val="0"/>
      <w:divBdr>
        <w:top w:val="none" w:sz="0" w:space="0" w:color="auto"/>
        <w:left w:val="none" w:sz="0" w:space="0" w:color="auto"/>
        <w:bottom w:val="none" w:sz="0" w:space="0" w:color="auto"/>
        <w:right w:val="none" w:sz="0" w:space="0" w:color="auto"/>
      </w:divBdr>
    </w:div>
    <w:div w:id="1820535267">
      <w:bodyDiv w:val="1"/>
      <w:marLeft w:val="0"/>
      <w:marRight w:val="0"/>
      <w:marTop w:val="0"/>
      <w:marBottom w:val="0"/>
      <w:divBdr>
        <w:top w:val="none" w:sz="0" w:space="0" w:color="auto"/>
        <w:left w:val="none" w:sz="0" w:space="0" w:color="auto"/>
        <w:bottom w:val="none" w:sz="0" w:space="0" w:color="auto"/>
        <w:right w:val="none" w:sz="0" w:space="0" w:color="auto"/>
      </w:divBdr>
    </w:div>
    <w:div w:id="1821649710">
      <w:bodyDiv w:val="1"/>
      <w:marLeft w:val="0"/>
      <w:marRight w:val="0"/>
      <w:marTop w:val="0"/>
      <w:marBottom w:val="0"/>
      <w:divBdr>
        <w:top w:val="none" w:sz="0" w:space="0" w:color="auto"/>
        <w:left w:val="none" w:sz="0" w:space="0" w:color="auto"/>
        <w:bottom w:val="none" w:sz="0" w:space="0" w:color="auto"/>
        <w:right w:val="none" w:sz="0" w:space="0" w:color="auto"/>
      </w:divBdr>
    </w:div>
    <w:div w:id="1841431265">
      <w:bodyDiv w:val="1"/>
      <w:marLeft w:val="0"/>
      <w:marRight w:val="0"/>
      <w:marTop w:val="0"/>
      <w:marBottom w:val="0"/>
      <w:divBdr>
        <w:top w:val="none" w:sz="0" w:space="0" w:color="auto"/>
        <w:left w:val="none" w:sz="0" w:space="0" w:color="auto"/>
        <w:bottom w:val="none" w:sz="0" w:space="0" w:color="auto"/>
        <w:right w:val="none" w:sz="0" w:space="0" w:color="auto"/>
      </w:divBdr>
    </w:div>
    <w:div w:id="1894149740">
      <w:bodyDiv w:val="1"/>
      <w:marLeft w:val="0"/>
      <w:marRight w:val="0"/>
      <w:marTop w:val="0"/>
      <w:marBottom w:val="0"/>
      <w:divBdr>
        <w:top w:val="none" w:sz="0" w:space="0" w:color="auto"/>
        <w:left w:val="none" w:sz="0" w:space="0" w:color="auto"/>
        <w:bottom w:val="none" w:sz="0" w:space="0" w:color="auto"/>
        <w:right w:val="none" w:sz="0" w:space="0" w:color="auto"/>
      </w:divBdr>
    </w:div>
    <w:div w:id="1951165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1211">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4D84E-3C7B-4386-8184-A8BF0FF1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149</TotalTime>
  <Pages>7</Pages>
  <Words>2266</Words>
  <Characters>12918</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15154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2025-09-11T16:12:00Z</dcterms:created>
  <dcterms:modified xsi:type="dcterms:W3CDTF">2025-09-13T12:26:00Z</dcterms:modified>
</cp:coreProperties>
</file>