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69A86" w14:textId="77777777" w:rsidR="009D5564" w:rsidRPr="009D5564" w:rsidRDefault="009D5564" w:rsidP="009D5564">
      <w:pPr>
        <w:pStyle w:val="Author"/>
        <w:spacing w:line="240" w:lineRule="auto"/>
        <w:rPr>
          <w:rFonts w:ascii="Arial" w:hAnsi="Arial" w:cs="Arial"/>
          <w:bCs/>
          <w:iCs/>
          <w:kern w:val="28"/>
          <w:sz w:val="36"/>
        </w:rPr>
      </w:pPr>
      <w:r w:rsidRPr="009D5564">
        <w:rPr>
          <w:rFonts w:ascii="Arial" w:hAnsi="Arial" w:cs="Arial"/>
          <w:bCs/>
          <w:iCs/>
          <w:kern w:val="28"/>
          <w:sz w:val="36"/>
        </w:rPr>
        <w:t xml:space="preserve">Re-evaluation of Vehicular Heavy Metal Deposits on Roadside Soil in </w:t>
      </w:r>
      <w:proofErr w:type="spellStart"/>
      <w:r w:rsidRPr="009D5564">
        <w:rPr>
          <w:rFonts w:ascii="Arial" w:hAnsi="Arial" w:cs="Arial"/>
          <w:bCs/>
          <w:iCs/>
          <w:kern w:val="28"/>
          <w:sz w:val="36"/>
        </w:rPr>
        <w:t>Eket</w:t>
      </w:r>
      <w:proofErr w:type="spellEnd"/>
      <w:r w:rsidRPr="009D5564">
        <w:rPr>
          <w:rFonts w:ascii="Arial" w:hAnsi="Arial" w:cs="Arial"/>
          <w:bCs/>
          <w:iCs/>
          <w:kern w:val="28"/>
          <w:sz w:val="36"/>
        </w:rPr>
        <w:t xml:space="preserve">, </w:t>
      </w:r>
      <w:proofErr w:type="spellStart"/>
      <w:r w:rsidRPr="009D5564">
        <w:rPr>
          <w:rFonts w:ascii="Arial" w:hAnsi="Arial" w:cs="Arial"/>
          <w:bCs/>
          <w:iCs/>
          <w:kern w:val="28"/>
          <w:sz w:val="36"/>
        </w:rPr>
        <w:t>Akwa</w:t>
      </w:r>
      <w:proofErr w:type="spellEnd"/>
      <w:r>
        <w:rPr>
          <w:rFonts w:ascii="Arial" w:hAnsi="Arial" w:cs="Arial"/>
          <w:bCs/>
          <w:iCs/>
          <w:kern w:val="28"/>
          <w:sz w:val="36"/>
        </w:rPr>
        <w:t xml:space="preserve"> Ibom</w:t>
      </w:r>
      <w:r w:rsidRPr="009D5564">
        <w:rPr>
          <w:rFonts w:ascii="Arial" w:hAnsi="Arial" w:cs="Arial"/>
          <w:bCs/>
          <w:iCs/>
          <w:kern w:val="28"/>
          <w:sz w:val="36"/>
        </w:rPr>
        <w:t xml:space="preserve"> State</w:t>
      </w:r>
      <w:r w:rsidR="00C55E38">
        <w:rPr>
          <w:rFonts w:ascii="Arial" w:hAnsi="Arial" w:cs="Arial"/>
          <w:bCs/>
          <w:iCs/>
          <w:kern w:val="28"/>
          <w:sz w:val="36"/>
        </w:rPr>
        <w:t>,</w:t>
      </w:r>
      <w:r w:rsidRPr="009D5564">
        <w:rPr>
          <w:rFonts w:ascii="Arial" w:hAnsi="Arial" w:cs="Arial"/>
          <w:bCs/>
          <w:iCs/>
          <w:kern w:val="28"/>
          <w:sz w:val="36"/>
        </w:rPr>
        <w:t xml:space="preserve"> Nigeria</w:t>
      </w:r>
    </w:p>
    <w:p w14:paraId="78E2E217" w14:textId="77777777" w:rsidR="00A258C3" w:rsidRPr="00790ADA" w:rsidRDefault="00A258C3" w:rsidP="00441B6F">
      <w:pPr>
        <w:pStyle w:val="Author"/>
        <w:spacing w:line="240" w:lineRule="auto"/>
        <w:jc w:val="both"/>
        <w:rPr>
          <w:rFonts w:ascii="Arial" w:hAnsi="Arial" w:cs="Arial"/>
          <w:sz w:val="36"/>
        </w:rPr>
      </w:pPr>
    </w:p>
    <w:p w14:paraId="6E30133F" w14:textId="77777777" w:rsidR="00B01FCD" w:rsidRPr="00FB3A86" w:rsidRDefault="0001423A" w:rsidP="00441B6F">
      <w:pPr>
        <w:pStyle w:val="Copyright"/>
        <w:spacing w:after="0" w:line="240" w:lineRule="auto"/>
        <w:jc w:val="both"/>
        <w:rPr>
          <w:rFonts w:ascii="Arial" w:hAnsi="Arial" w:cs="Arial"/>
        </w:rPr>
        <w:sectPr w:rsidR="00B01FCD" w:rsidRPr="00FB3A86" w:rsidSect="001411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15FBBA" wp14:editId="2466EB1C">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89C5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55F4F8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7B8A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31B9ED3" w14:textId="77777777" w:rsidTr="001E44FE">
        <w:tc>
          <w:tcPr>
            <w:tcW w:w="9576" w:type="dxa"/>
            <w:shd w:val="clear" w:color="auto" w:fill="F2F2F2"/>
          </w:tcPr>
          <w:p w14:paraId="428A6A45" w14:textId="77777777" w:rsidR="00505F06" w:rsidRPr="00CF02E3" w:rsidRDefault="00CF02E3" w:rsidP="003C7B2C">
            <w:pPr>
              <w:pStyle w:val="Body"/>
              <w:spacing w:after="0"/>
              <w:rPr>
                <w:rFonts w:ascii="Arial" w:eastAsia="Calibri" w:hAnsi="Arial" w:cs="Arial"/>
                <w:bCs/>
                <w:szCs w:val="22"/>
              </w:rPr>
            </w:pPr>
            <w:r w:rsidRPr="00CF02E3">
              <w:rPr>
                <w:rFonts w:ascii="Arial" w:eastAsia="Calibri" w:hAnsi="Arial" w:cs="Arial"/>
                <w:bCs/>
                <w:szCs w:val="22"/>
              </w:rPr>
              <w:t>This study assessed the level of contamination of selected heavy metals (HMs), including Cd,</w:t>
            </w:r>
            <w:r w:rsidR="00A74E4C">
              <w:rPr>
                <w:rFonts w:ascii="Arial" w:eastAsia="Calibri" w:hAnsi="Arial" w:cs="Arial"/>
                <w:bCs/>
                <w:szCs w:val="22"/>
              </w:rPr>
              <w:t xml:space="preserve"> Cr, Cu, Fe, Mn, Ni, Pb, and Zn at </w:t>
            </w:r>
            <w:r w:rsidR="00753DC1">
              <w:rPr>
                <w:rFonts w:ascii="Arial" w:eastAsia="Calibri" w:hAnsi="Arial" w:cs="Arial"/>
                <w:bCs/>
                <w:szCs w:val="22"/>
              </w:rPr>
              <w:t xml:space="preserve">four </w:t>
            </w:r>
            <w:r w:rsidR="00384B85">
              <w:rPr>
                <w:rFonts w:ascii="Arial" w:eastAsia="Calibri" w:hAnsi="Arial" w:cs="Arial"/>
                <w:bCs/>
                <w:szCs w:val="22"/>
              </w:rPr>
              <w:t>designated</w:t>
            </w:r>
            <w:r w:rsidR="00753DC1">
              <w:rPr>
                <w:rFonts w:ascii="Arial" w:eastAsia="Calibri" w:hAnsi="Arial" w:cs="Arial"/>
                <w:bCs/>
                <w:szCs w:val="22"/>
              </w:rPr>
              <w:t xml:space="preserve"> sampling</w:t>
            </w:r>
            <w:r w:rsidR="00A74E4C">
              <w:rPr>
                <w:rFonts w:ascii="Arial" w:eastAsia="Calibri" w:hAnsi="Arial" w:cs="Arial"/>
                <w:bCs/>
                <w:szCs w:val="22"/>
              </w:rPr>
              <w:t xml:space="preserve"> locations </w:t>
            </w:r>
            <w:r w:rsidR="00E33AF3" w:rsidRPr="00E33AF3">
              <w:rPr>
                <w:rFonts w:ascii="Arial" w:eastAsia="Calibri" w:hAnsi="Arial" w:cs="Arial"/>
                <w:bCs/>
                <w:szCs w:val="22"/>
              </w:rPr>
              <w:t>SP1, SP2, SP3 and SP4</w:t>
            </w:r>
            <w:r w:rsidRPr="00CF02E3">
              <w:rPr>
                <w:rFonts w:ascii="Arial" w:eastAsia="Calibri" w:hAnsi="Arial" w:cs="Arial"/>
                <w:bCs/>
                <w:szCs w:val="22"/>
              </w:rPr>
              <w:t xml:space="preserve"> in </w:t>
            </w:r>
            <w:proofErr w:type="spellStart"/>
            <w:r w:rsidRPr="00CF02E3">
              <w:rPr>
                <w:rFonts w:ascii="Arial" w:eastAsia="Calibri" w:hAnsi="Arial" w:cs="Arial"/>
                <w:bCs/>
                <w:szCs w:val="22"/>
              </w:rPr>
              <w:t>Eket</w:t>
            </w:r>
            <w:proofErr w:type="spellEnd"/>
            <w:r w:rsidRPr="00CF02E3">
              <w:rPr>
                <w:rFonts w:ascii="Arial" w:eastAsia="Calibri" w:hAnsi="Arial" w:cs="Arial"/>
                <w:bCs/>
                <w:szCs w:val="22"/>
              </w:rPr>
              <w:t>, a city in Akwa Ibom State of Nigeria. Roads</w:t>
            </w:r>
            <w:r w:rsidR="004F00E4">
              <w:rPr>
                <w:rFonts w:ascii="Arial" w:eastAsia="Calibri" w:hAnsi="Arial" w:cs="Arial"/>
                <w:bCs/>
                <w:szCs w:val="22"/>
              </w:rPr>
              <w:t>ide soil specimens were</w:t>
            </w:r>
            <w:r w:rsidRPr="00CF02E3">
              <w:rPr>
                <w:rFonts w:ascii="Arial" w:eastAsia="Calibri" w:hAnsi="Arial" w:cs="Arial"/>
                <w:bCs/>
                <w:szCs w:val="22"/>
              </w:rPr>
              <w:t xml:space="preserve"> gathered from these sites to form a composite sample. Standard method was used to analyze each soil sample while the contamination levels of individual and combined HMs in soils were assessed by contamination factor (CF), geo-accumulation index (</w:t>
            </w:r>
            <w:proofErr w:type="spellStart"/>
            <w:r w:rsidRPr="00CF02E3">
              <w:rPr>
                <w:rFonts w:ascii="Arial" w:eastAsia="Calibri" w:hAnsi="Arial" w:cs="Arial"/>
                <w:bCs/>
                <w:szCs w:val="22"/>
              </w:rPr>
              <w:t>Igeo</w:t>
            </w:r>
            <w:proofErr w:type="spellEnd"/>
            <w:r w:rsidRPr="00CF02E3">
              <w:rPr>
                <w:rFonts w:ascii="Arial" w:eastAsia="Calibri" w:hAnsi="Arial" w:cs="Arial"/>
                <w:bCs/>
                <w:szCs w:val="22"/>
              </w:rPr>
              <w:t xml:space="preserve">), degree of contamination index (CDI), and pollution load index (PLI). The results revealed that all the HMs except Cd did not pose any environmental risk at all the sites, as CF and </w:t>
            </w:r>
            <w:proofErr w:type="spellStart"/>
            <w:r w:rsidRPr="00CF02E3">
              <w:rPr>
                <w:rFonts w:ascii="Arial" w:eastAsia="Calibri" w:hAnsi="Arial" w:cs="Arial"/>
                <w:bCs/>
                <w:szCs w:val="22"/>
              </w:rPr>
              <w:t>Igeo</w:t>
            </w:r>
            <w:proofErr w:type="spellEnd"/>
            <w:r w:rsidRPr="00CF02E3">
              <w:rPr>
                <w:rFonts w:ascii="Arial" w:eastAsia="Calibri" w:hAnsi="Arial" w:cs="Arial"/>
                <w:bCs/>
                <w:szCs w:val="22"/>
              </w:rPr>
              <w:t xml:space="preserve"> values for these metals were less than one (</w:t>
            </w:r>
            <m:oMath>
              <m:r>
                <w:rPr>
                  <w:rFonts w:ascii="Cambria Math" w:eastAsia="Calibri" w:hAnsi="Cambria Math" w:cs="Arial"/>
                  <w:szCs w:val="22"/>
                </w:rPr>
                <m:t xml:space="preserve"> CF&lt;1</m:t>
              </m:r>
            </m:oMath>
            <w:r w:rsidRPr="00CF02E3">
              <w:rPr>
                <w:rFonts w:ascii="Arial" w:eastAsia="Calibri" w:hAnsi="Arial" w:cs="Arial"/>
                <w:bCs/>
                <w:szCs w:val="22"/>
              </w:rPr>
              <w:t>) and zero (</w:t>
            </w:r>
            <m:oMath>
              <m:r>
                <w:rPr>
                  <w:rFonts w:ascii="Cambria Math" w:eastAsia="Calibri" w:hAnsi="Cambria Math" w:cs="Arial"/>
                  <w:szCs w:val="22"/>
                </w:rPr>
                <m:t>Igeo&lt;0</m:t>
              </m:r>
            </m:oMath>
            <w:r w:rsidRPr="00CF02E3">
              <w:rPr>
                <w:rFonts w:ascii="Arial" w:eastAsia="Calibri" w:hAnsi="Arial" w:cs="Arial"/>
                <w:bCs/>
                <w:szCs w:val="22"/>
              </w:rPr>
              <w:t>) respectively. However, Cd showed varying degrees of contamination across the sites with a m</w:t>
            </w:r>
            <w:r w:rsidR="00F31077">
              <w:rPr>
                <w:rFonts w:ascii="Arial" w:eastAsia="Calibri" w:hAnsi="Arial" w:cs="Arial"/>
                <w:bCs/>
                <w:szCs w:val="22"/>
              </w:rPr>
              <w:t>oderate environmental risk at SP2</w:t>
            </w:r>
            <w:r w:rsidR="00B970BF">
              <w:rPr>
                <w:rFonts w:ascii="Arial" w:eastAsia="Calibri" w:hAnsi="Arial" w:cs="Arial"/>
                <w:bCs/>
                <w:szCs w:val="22"/>
              </w:rPr>
              <w:t xml:space="preserve"> and SP4</w:t>
            </w:r>
            <w:r w:rsidRPr="00CF02E3">
              <w:rPr>
                <w:rFonts w:ascii="Arial" w:eastAsia="Calibri" w:hAnsi="Arial" w:cs="Arial"/>
                <w:bCs/>
                <w:szCs w:val="22"/>
              </w:rPr>
              <w:t xml:space="preserve"> (</w:t>
            </w:r>
            <m:oMath>
              <m:r>
                <w:rPr>
                  <w:rFonts w:ascii="Cambria Math" w:eastAsia="Calibri" w:hAnsi="Cambria Math" w:cs="Arial"/>
                  <w:szCs w:val="22"/>
                </w:rPr>
                <m:t>3&lt;CF&lt;6</m:t>
              </m:r>
            </m:oMath>
            <w:r w:rsidRPr="00CF02E3">
              <w:rPr>
                <w:rFonts w:ascii="Arial" w:eastAsia="Calibri" w:hAnsi="Arial" w:cs="Arial"/>
                <w:bCs/>
                <w:szCs w:val="22"/>
              </w:rPr>
              <w:t>,</w:t>
            </w:r>
            <w:r w:rsidR="00C515B1">
              <w:rPr>
                <w:rFonts w:ascii="Arial" w:eastAsia="Calibri" w:hAnsi="Arial" w:cs="Arial"/>
                <w:bCs/>
                <w:szCs w:val="22"/>
              </w:rPr>
              <w:t xml:space="preserve"> </w:t>
            </w:r>
            <m:oMath>
              <m:r>
                <w:rPr>
                  <w:rFonts w:ascii="Cambria Math" w:eastAsia="Calibri" w:hAnsi="Cambria Math" w:cs="Arial"/>
                  <w:szCs w:val="22"/>
                </w:rPr>
                <m:t>1&lt;Igeo&lt;2</m:t>
              </m:r>
            </m:oMath>
            <w:r w:rsidRPr="00CF02E3">
              <w:rPr>
                <w:rFonts w:ascii="Arial" w:eastAsia="Calibri" w:hAnsi="Arial" w:cs="Arial"/>
                <w:bCs/>
                <w:szCs w:val="22"/>
              </w:rPr>
              <w:t xml:space="preserve">) and a very strong environmental risk at </w:t>
            </w:r>
            <w:r w:rsidR="003C7B2C">
              <w:rPr>
                <w:rFonts w:ascii="Arial" w:eastAsia="Calibri" w:hAnsi="Arial" w:cs="Arial"/>
                <w:bCs/>
                <w:szCs w:val="22"/>
              </w:rPr>
              <w:t>SP1</w:t>
            </w:r>
            <w:r w:rsidRPr="00CF02E3">
              <w:rPr>
                <w:rFonts w:ascii="Arial" w:eastAsia="Calibri" w:hAnsi="Arial" w:cs="Arial"/>
                <w:bCs/>
                <w:szCs w:val="22"/>
              </w:rPr>
              <w:t xml:space="preserve"> and </w:t>
            </w:r>
            <w:r w:rsidR="003C7B2C">
              <w:rPr>
                <w:rFonts w:ascii="Arial" w:eastAsia="Calibri" w:hAnsi="Arial" w:cs="Arial"/>
                <w:bCs/>
                <w:szCs w:val="22"/>
              </w:rPr>
              <w:t>SP4</w:t>
            </w:r>
            <w:r w:rsidRPr="00CF02E3">
              <w:rPr>
                <w:rFonts w:ascii="Arial" w:eastAsia="Calibri" w:hAnsi="Arial" w:cs="Arial"/>
                <w:bCs/>
                <w:szCs w:val="22"/>
              </w:rPr>
              <w:t xml:space="preserve"> (</w:t>
            </w:r>
            <m:oMath>
              <m:r>
                <w:rPr>
                  <w:rFonts w:ascii="Cambria Math" w:eastAsia="Calibri" w:hAnsi="Cambria Math" w:cs="Arial"/>
                  <w:szCs w:val="22"/>
                </w:rPr>
                <m:t>CF&gt;6</m:t>
              </m:r>
            </m:oMath>
            <w:r w:rsidRPr="00CF02E3">
              <w:rPr>
                <w:rFonts w:ascii="Arial" w:eastAsia="Calibri" w:hAnsi="Arial" w:cs="Arial"/>
                <w:bCs/>
                <w:szCs w:val="22"/>
              </w:rPr>
              <w:t xml:space="preserve">, </w:t>
            </w:r>
            <m:oMath>
              <m:r>
                <w:rPr>
                  <w:rFonts w:ascii="Cambria Math" w:eastAsia="Calibri" w:hAnsi="Cambria Math" w:cs="Arial"/>
                  <w:szCs w:val="22"/>
                </w:rPr>
                <m:t>2&lt;Igeo&lt;3</m:t>
              </m:r>
            </m:oMath>
            <w:r w:rsidRPr="00CF02E3">
              <w:rPr>
                <w:rFonts w:ascii="Arial" w:eastAsia="Calibri" w:hAnsi="Arial" w:cs="Arial"/>
                <w:bCs/>
                <w:szCs w:val="22"/>
              </w:rPr>
              <w:t xml:space="preserve">). The combined effect of the HMs, as assessed by the CDI and PLI showed differences, while CF and Igeo values for individual HMs were similar. The overall contamination at the sites based on CDI ranked as </w:t>
            </w:r>
            <m:oMath>
              <m:r>
                <w:rPr>
                  <w:rFonts w:ascii="Cambria Math" w:eastAsia="Calibri" w:hAnsi="Cambria Math" w:cs="Arial"/>
                  <w:szCs w:val="22"/>
                </w:rPr>
                <m:t xml:space="preserve">SP4&lt;SP2&lt;SP1&lt; </m:t>
              </m:r>
            </m:oMath>
            <w:r w:rsidR="00BB0EA3">
              <w:rPr>
                <w:rFonts w:ascii="Arial" w:eastAsia="Calibri" w:hAnsi="Arial" w:cs="Arial"/>
                <w:bCs/>
                <w:szCs w:val="22"/>
              </w:rPr>
              <w:t>SP3</w:t>
            </w:r>
            <w:r w:rsidRPr="00CF02E3">
              <w:rPr>
                <w:rFonts w:ascii="Arial" w:eastAsia="Calibri" w:hAnsi="Arial" w:cs="Arial"/>
                <w:bCs/>
                <w:szCs w:val="22"/>
              </w:rPr>
              <w:t>. The results suggest possible health risks for the populace in these vicinities due to Cd exposure and recommend further study into the health risks associated with Cd in the region.</w:t>
            </w:r>
            <w:r w:rsidR="006336C5" w:rsidRPr="00CF02E3">
              <w:rPr>
                <w:rFonts w:ascii="Arial" w:eastAsia="Calibri" w:hAnsi="Arial" w:cs="Arial"/>
                <w:bCs/>
                <w:szCs w:val="22"/>
                <w:lang w:val="en-GB"/>
              </w:rPr>
              <w:t xml:space="preserve">                  </w:t>
            </w:r>
          </w:p>
        </w:tc>
      </w:tr>
    </w:tbl>
    <w:p w14:paraId="65A8E29C" w14:textId="77777777" w:rsidR="00636EB2" w:rsidRDefault="00636EB2" w:rsidP="00441B6F">
      <w:pPr>
        <w:pStyle w:val="Body"/>
        <w:spacing w:after="0"/>
        <w:rPr>
          <w:rFonts w:ascii="Arial" w:hAnsi="Arial" w:cs="Arial"/>
          <w:i/>
        </w:rPr>
      </w:pPr>
    </w:p>
    <w:p w14:paraId="1B0A7256" w14:textId="77777777" w:rsidR="00301B45" w:rsidRDefault="00A24E7E" w:rsidP="00441B6F">
      <w:pPr>
        <w:pStyle w:val="Body"/>
        <w:spacing w:after="0"/>
        <w:rPr>
          <w:rFonts w:ascii="Arial" w:hAnsi="Arial" w:cs="Arial"/>
          <w:i/>
        </w:rPr>
      </w:pPr>
      <w:r>
        <w:rPr>
          <w:rFonts w:ascii="Arial" w:hAnsi="Arial" w:cs="Arial"/>
          <w:i/>
        </w:rPr>
        <w:t xml:space="preserve">Keywords: </w:t>
      </w:r>
      <w:r w:rsidR="00CA52D9" w:rsidRPr="00CA52D9">
        <w:rPr>
          <w:rFonts w:ascii="Arial" w:hAnsi="Arial" w:cs="Arial"/>
          <w:i/>
        </w:rPr>
        <w:t>Contamination Indices; Heavy Metals; Roadside Soil; Vehicular Emissions</w:t>
      </w:r>
    </w:p>
    <w:p w14:paraId="7AD103C9" w14:textId="77777777" w:rsidR="00790ADA" w:rsidRDefault="00CA52D9" w:rsidP="00441B6F">
      <w:pPr>
        <w:pStyle w:val="Body"/>
        <w:spacing w:after="0"/>
        <w:rPr>
          <w:rFonts w:ascii="Arial" w:hAnsi="Arial" w:cs="Arial"/>
          <w:i/>
        </w:rPr>
      </w:pPr>
      <w:r w:rsidRPr="00CA52D9">
        <w:rPr>
          <w:rFonts w:ascii="Arial" w:hAnsi="Arial" w:cs="Arial"/>
          <w:i/>
        </w:rPr>
        <w:t xml:space="preserve"> </w:t>
      </w:r>
    </w:p>
    <w:p w14:paraId="3F8B3F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D1D82">
        <w:rPr>
          <w:rFonts w:ascii="Arial" w:hAnsi="Arial" w:cs="Arial"/>
        </w:rPr>
        <w:t xml:space="preserve"> </w:t>
      </w:r>
    </w:p>
    <w:p w14:paraId="5C04EAEF" w14:textId="77777777" w:rsidR="005544BB" w:rsidRPr="005544BB" w:rsidRDefault="005544BB" w:rsidP="005544BB">
      <w:pPr>
        <w:pStyle w:val="Body"/>
        <w:spacing w:after="0"/>
        <w:rPr>
          <w:rFonts w:ascii="Arial" w:eastAsia="Calibri" w:hAnsi="Arial" w:cs="Arial"/>
          <w:szCs w:val="22"/>
        </w:rPr>
      </w:pPr>
      <w:r w:rsidRPr="005544BB">
        <w:rPr>
          <w:rFonts w:ascii="Arial" w:eastAsia="Calibri" w:hAnsi="Arial" w:cs="Arial"/>
          <w:szCs w:val="22"/>
        </w:rPr>
        <w:t>Roadside soil pollution sources may be natural or anthropogenic. Natural sources may include increased dust storms as the wind blows dust into the environment. While anthropogenic sources include road construction and automobile activities, including leaks from car lubricants as well as wear and corrosion of vehicle components. Pollutants from road construction and automobile are more detrimental than pollutants from industries because of the high concentrations of contaminants and close proximity between c</w:t>
      </w:r>
      <w:r w:rsidR="00361D4D">
        <w:rPr>
          <w:rFonts w:ascii="Arial" w:eastAsia="Calibri" w:hAnsi="Arial" w:cs="Arial"/>
          <w:szCs w:val="22"/>
        </w:rPr>
        <w:t>ontaminant site and population (</w:t>
      </w:r>
      <w:r w:rsidR="00361D4D" w:rsidRPr="00361D4D">
        <w:rPr>
          <w:rFonts w:ascii="Arial" w:eastAsia="Calibri" w:hAnsi="Arial" w:cs="Arial"/>
          <w:szCs w:val="22"/>
          <w:lang w:val="en-GB"/>
        </w:rPr>
        <w:t>Bartkowiak</w:t>
      </w:r>
      <w:r w:rsidR="00361D4D">
        <w:rPr>
          <w:rFonts w:ascii="Arial" w:eastAsia="Calibri" w:hAnsi="Arial" w:cs="Arial"/>
          <w:szCs w:val="22"/>
          <w:lang w:val="en-GB"/>
        </w:rPr>
        <w:t xml:space="preserve"> </w:t>
      </w:r>
      <w:r w:rsidR="00361D4D" w:rsidRPr="00AC6223">
        <w:rPr>
          <w:rFonts w:ascii="Arial" w:eastAsia="Calibri" w:hAnsi="Arial" w:cs="Arial"/>
          <w:i/>
          <w:szCs w:val="22"/>
          <w:lang w:val="en-GB"/>
        </w:rPr>
        <w:t>et al</w:t>
      </w:r>
      <w:r w:rsidR="00361D4D">
        <w:rPr>
          <w:rFonts w:ascii="Arial" w:eastAsia="Calibri" w:hAnsi="Arial" w:cs="Arial"/>
          <w:szCs w:val="22"/>
          <w:lang w:val="en-GB"/>
        </w:rPr>
        <w:t>., 2024)</w:t>
      </w:r>
      <w:r w:rsidRPr="005544BB">
        <w:rPr>
          <w:rFonts w:ascii="Arial" w:eastAsia="Calibri" w:hAnsi="Arial" w:cs="Arial"/>
          <w:szCs w:val="22"/>
        </w:rPr>
        <w:t xml:space="preserve">.  A major determinant factor of economic advancement is the presence of quality roadway system. There is a linear relation between the economic growth of any </w:t>
      </w:r>
      <w:r w:rsidR="00CE4692">
        <w:rPr>
          <w:rFonts w:ascii="Arial" w:eastAsia="Calibri" w:hAnsi="Arial" w:cs="Arial"/>
          <w:szCs w:val="22"/>
        </w:rPr>
        <w:t>nation and road infrastructure (</w:t>
      </w:r>
      <w:r w:rsidR="00CE4692" w:rsidRPr="00CE4692">
        <w:rPr>
          <w:rFonts w:ascii="Arial" w:eastAsia="Calibri" w:hAnsi="Arial" w:cs="Arial"/>
          <w:szCs w:val="22"/>
          <w:lang w:val="en-GB"/>
        </w:rPr>
        <w:t>Ng,</w:t>
      </w:r>
      <w:r w:rsidR="00CE4692">
        <w:rPr>
          <w:rFonts w:ascii="Arial" w:eastAsia="Calibri" w:hAnsi="Arial" w:cs="Arial"/>
          <w:szCs w:val="22"/>
          <w:lang w:val="en-GB"/>
        </w:rPr>
        <w:t xml:space="preserve"> </w:t>
      </w:r>
      <w:r w:rsidR="00CE4692" w:rsidRPr="00CE4692">
        <w:rPr>
          <w:rFonts w:ascii="Arial" w:eastAsia="Calibri" w:hAnsi="Arial" w:cs="Arial"/>
          <w:i/>
          <w:szCs w:val="22"/>
          <w:lang w:val="en-GB"/>
        </w:rPr>
        <w:t>et al</w:t>
      </w:r>
      <w:r w:rsidR="00CE4692">
        <w:rPr>
          <w:rFonts w:ascii="Arial" w:eastAsia="Calibri" w:hAnsi="Arial" w:cs="Arial"/>
          <w:szCs w:val="22"/>
          <w:lang w:val="en-GB"/>
        </w:rPr>
        <w:t>., 2019)</w:t>
      </w:r>
      <w:r w:rsidRPr="005544BB">
        <w:rPr>
          <w:rFonts w:ascii="Arial" w:eastAsia="Calibri" w:hAnsi="Arial" w:cs="Arial"/>
          <w:szCs w:val="22"/>
        </w:rPr>
        <w:t xml:space="preserve">. This is because the presence of quality road network enhances the movement of people, goods and services; market and social services accessibility; and the provision of supportive employment encompassing services such as auto maintenance and repairs and various other roles that facilitates vehicular transportation. </w:t>
      </w:r>
    </w:p>
    <w:p w14:paraId="43B5B761" w14:textId="77777777" w:rsidR="005544BB" w:rsidRPr="005544BB" w:rsidRDefault="005544BB" w:rsidP="005544BB">
      <w:pPr>
        <w:pStyle w:val="Body"/>
        <w:spacing w:after="0"/>
        <w:rPr>
          <w:rFonts w:ascii="Arial" w:eastAsia="Calibri" w:hAnsi="Arial" w:cs="Arial"/>
          <w:szCs w:val="22"/>
        </w:rPr>
      </w:pPr>
      <w:r w:rsidRPr="005544BB">
        <w:rPr>
          <w:rFonts w:ascii="Arial" w:eastAsia="Calibri" w:hAnsi="Arial" w:cs="Arial"/>
          <w:szCs w:val="22"/>
        </w:rPr>
        <w:t>One common pollutant of</w:t>
      </w:r>
      <w:r w:rsidR="006409F0">
        <w:rPr>
          <w:rFonts w:ascii="Arial" w:eastAsia="Calibri" w:hAnsi="Arial" w:cs="Arial"/>
          <w:szCs w:val="22"/>
        </w:rPr>
        <w:t xml:space="preserve"> great concern is heavy metals (</w:t>
      </w:r>
      <w:r w:rsidR="00531D77">
        <w:rPr>
          <w:rFonts w:ascii="Arial" w:eastAsia="Calibri" w:hAnsi="Arial" w:cs="Arial"/>
          <w:szCs w:val="22"/>
        </w:rPr>
        <w:t>Duong and</w:t>
      </w:r>
      <w:r w:rsidR="00531D77" w:rsidRPr="00531D77">
        <w:rPr>
          <w:rFonts w:ascii="Arial" w:eastAsia="Calibri" w:hAnsi="Arial" w:cs="Arial"/>
          <w:szCs w:val="22"/>
        </w:rPr>
        <w:t xml:space="preserve"> Lee</w:t>
      </w:r>
      <w:r w:rsidR="00531D77">
        <w:rPr>
          <w:rFonts w:ascii="Arial" w:eastAsia="Calibri" w:hAnsi="Arial" w:cs="Arial"/>
          <w:szCs w:val="22"/>
        </w:rPr>
        <w:t xml:space="preserve"> </w:t>
      </w:r>
      <w:r w:rsidR="00531D77" w:rsidRPr="00531D77">
        <w:rPr>
          <w:rFonts w:ascii="Arial" w:eastAsia="Calibri" w:hAnsi="Arial" w:cs="Arial"/>
          <w:szCs w:val="22"/>
        </w:rPr>
        <w:t>2010</w:t>
      </w:r>
      <w:r w:rsidR="00531D77">
        <w:rPr>
          <w:rFonts w:ascii="Arial" w:eastAsia="Calibri" w:hAnsi="Arial" w:cs="Arial"/>
          <w:szCs w:val="22"/>
        </w:rPr>
        <w:t>;</w:t>
      </w:r>
      <w:r w:rsidR="00F62254">
        <w:rPr>
          <w:rFonts w:ascii="Arial" w:eastAsia="Calibri" w:hAnsi="Arial" w:cs="Arial"/>
          <w:szCs w:val="22"/>
        </w:rPr>
        <w:t xml:space="preserve"> </w:t>
      </w:r>
      <w:r w:rsidR="00F62254" w:rsidRPr="00F62254">
        <w:rPr>
          <w:rFonts w:ascii="Arial" w:eastAsia="Calibri" w:hAnsi="Arial" w:cs="Arial"/>
          <w:szCs w:val="22"/>
        </w:rPr>
        <w:t>Khan</w:t>
      </w:r>
      <w:r w:rsidR="00F62254">
        <w:rPr>
          <w:rFonts w:ascii="Arial" w:eastAsia="Calibri" w:hAnsi="Arial" w:cs="Arial"/>
          <w:szCs w:val="22"/>
        </w:rPr>
        <w:t xml:space="preserve"> and</w:t>
      </w:r>
      <w:r w:rsidR="00F62254" w:rsidRPr="00F62254">
        <w:rPr>
          <w:rFonts w:ascii="Arial" w:eastAsia="Calibri" w:hAnsi="Arial" w:cs="Arial"/>
          <w:szCs w:val="22"/>
        </w:rPr>
        <w:t xml:space="preserve"> Kathi</w:t>
      </w:r>
      <w:r w:rsidR="00F62254">
        <w:rPr>
          <w:rFonts w:ascii="Arial" w:eastAsia="Calibri" w:hAnsi="Arial" w:cs="Arial"/>
          <w:szCs w:val="22"/>
        </w:rPr>
        <w:t xml:space="preserve"> </w:t>
      </w:r>
      <w:r w:rsidR="00F62254" w:rsidRPr="00F62254">
        <w:rPr>
          <w:rFonts w:ascii="Arial" w:eastAsia="Calibri" w:hAnsi="Arial" w:cs="Arial"/>
          <w:szCs w:val="22"/>
        </w:rPr>
        <w:t>2014</w:t>
      </w:r>
      <w:r w:rsidR="00312861">
        <w:rPr>
          <w:rFonts w:ascii="Arial" w:eastAsia="Calibri" w:hAnsi="Arial" w:cs="Arial"/>
          <w:szCs w:val="22"/>
        </w:rPr>
        <w:t xml:space="preserve">; </w:t>
      </w:r>
      <w:r w:rsidR="00175F99">
        <w:rPr>
          <w:rFonts w:ascii="Arial" w:eastAsia="Calibri" w:hAnsi="Arial" w:cs="Arial"/>
          <w:szCs w:val="22"/>
        </w:rPr>
        <w:t xml:space="preserve">Liu </w:t>
      </w:r>
      <w:r w:rsidR="00175F99" w:rsidRPr="00175F99">
        <w:rPr>
          <w:rFonts w:ascii="Arial" w:eastAsia="Calibri" w:hAnsi="Arial" w:cs="Arial"/>
          <w:i/>
          <w:szCs w:val="22"/>
        </w:rPr>
        <w:t>et al</w:t>
      </w:r>
      <w:r w:rsidR="00175F99">
        <w:rPr>
          <w:rFonts w:ascii="Arial" w:eastAsia="Calibri" w:hAnsi="Arial" w:cs="Arial"/>
          <w:szCs w:val="22"/>
        </w:rPr>
        <w:t xml:space="preserve">., </w:t>
      </w:r>
      <w:r w:rsidR="00175F99" w:rsidRPr="00175F99">
        <w:rPr>
          <w:rFonts w:ascii="Arial" w:eastAsia="Calibri" w:hAnsi="Arial" w:cs="Arial"/>
          <w:szCs w:val="22"/>
        </w:rPr>
        <w:t>2014).</w:t>
      </w:r>
      <w:r w:rsidR="00175F99">
        <w:rPr>
          <w:rFonts w:ascii="Arial" w:eastAsia="Calibri" w:hAnsi="Arial" w:cs="Arial"/>
          <w:szCs w:val="22"/>
        </w:rPr>
        <w:t xml:space="preserve"> </w:t>
      </w:r>
      <w:r w:rsidRPr="005544BB">
        <w:rPr>
          <w:rFonts w:ascii="Arial" w:eastAsia="Calibri" w:hAnsi="Arial" w:cs="Arial"/>
          <w:szCs w:val="22"/>
        </w:rPr>
        <w:t>Heavy meta</w:t>
      </w:r>
      <w:r w:rsidR="005D384C">
        <w:rPr>
          <w:rFonts w:ascii="Arial" w:eastAsia="Calibri" w:hAnsi="Arial" w:cs="Arial"/>
          <w:szCs w:val="22"/>
        </w:rPr>
        <w:t>ls pose threat to human health</w:t>
      </w:r>
      <w:r w:rsidR="005D384C" w:rsidRPr="005D384C">
        <w:rPr>
          <w:rFonts w:ascii="Arial" w:eastAsia="Calibri" w:hAnsi="Arial" w:cs="Arial"/>
          <w:szCs w:val="22"/>
          <w:lang w:val="en-GB"/>
        </w:rPr>
        <w:t xml:space="preserve"> </w:t>
      </w:r>
      <w:r w:rsidR="005D384C">
        <w:rPr>
          <w:rFonts w:ascii="Arial" w:eastAsia="Calibri" w:hAnsi="Arial" w:cs="Arial"/>
          <w:szCs w:val="22"/>
          <w:lang w:val="en-GB"/>
        </w:rPr>
        <w:t>(</w:t>
      </w:r>
      <w:proofErr w:type="spellStart"/>
      <w:r w:rsidR="005D384C" w:rsidRPr="005D384C">
        <w:rPr>
          <w:rFonts w:ascii="Arial" w:eastAsia="Calibri" w:hAnsi="Arial" w:cs="Arial"/>
          <w:szCs w:val="22"/>
          <w:lang w:val="en-GB"/>
        </w:rPr>
        <w:t>Censi</w:t>
      </w:r>
      <w:proofErr w:type="spellEnd"/>
      <w:r w:rsidR="005D384C" w:rsidRPr="005D384C">
        <w:rPr>
          <w:rFonts w:ascii="Arial" w:eastAsia="Calibri" w:hAnsi="Arial" w:cs="Arial"/>
          <w:szCs w:val="22"/>
        </w:rPr>
        <w:t xml:space="preserve"> </w:t>
      </w:r>
      <w:r w:rsidR="005D384C" w:rsidRPr="005D384C">
        <w:rPr>
          <w:rFonts w:ascii="Arial" w:eastAsia="Calibri" w:hAnsi="Arial" w:cs="Arial"/>
          <w:i/>
          <w:szCs w:val="22"/>
        </w:rPr>
        <w:t>et al</w:t>
      </w:r>
      <w:r w:rsidR="005D384C">
        <w:rPr>
          <w:rFonts w:ascii="Arial" w:eastAsia="Calibri" w:hAnsi="Arial" w:cs="Arial"/>
          <w:szCs w:val="22"/>
        </w:rPr>
        <w:t>., 2006)</w:t>
      </w:r>
      <w:r w:rsidRPr="005544BB">
        <w:rPr>
          <w:rFonts w:ascii="Arial" w:eastAsia="Calibri" w:hAnsi="Arial" w:cs="Arial"/>
          <w:szCs w:val="22"/>
        </w:rPr>
        <w:t xml:space="preserve"> as they are bio-accumulative and toxic, and their concentrations in the environment are constantly on the increase. Heavy metals concentration varies with sites </w:t>
      </w:r>
      <w:r w:rsidR="006A333B">
        <w:rPr>
          <w:rFonts w:ascii="Arial" w:eastAsia="Calibri" w:hAnsi="Arial" w:cs="Arial"/>
          <w:szCs w:val="22"/>
        </w:rPr>
        <w:t>(Taofeek and</w:t>
      </w:r>
      <w:r w:rsidR="006A333B" w:rsidRPr="006A333B">
        <w:rPr>
          <w:rFonts w:ascii="Arial" w:eastAsia="Calibri" w:hAnsi="Arial" w:cs="Arial"/>
          <w:szCs w:val="22"/>
        </w:rPr>
        <w:t xml:space="preserve"> </w:t>
      </w:r>
      <w:proofErr w:type="spellStart"/>
      <w:r w:rsidR="006A333B" w:rsidRPr="006A333B">
        <w:rPr>
          <w:rFonts w:ascii="Arial" w:eastAsia="Calibri" w:hAnsi="Arial" w:cs="Arial"/>
          <w:szCs w:val="22"/>
        </w:rPr>
        <w:t>Tolulope</w:t>
      </w:r>
      <w:proofErr w:type="spellEnd"/>
      <w:r w:rsidR="006A333B">
        <w:rPr>
          <w:rFonts w:ascii="Arial" w:eastAsia="Calibri" w:hAnsi="Arial" w:cs="Arial"/>
          <w:szCs w:val="22"/>
        </w:rPr>
        <w:t xml:space="preserve"> </w:t>
      </w:r>
      <w:r w:rsidR="006A333B" w:rsidRPr="006A333B">
        <w:rPr>
          <w:rFonts w:ascii="Arial" w:eastAsia="Calibri" w:hAnsi="Arial" w:cs="Arial"/>
          <w:szCs w:val="22"/>
        </w:rPr>
        <w:t>2012</w:t>
      </w:r>
      <w:r w:rsidR="003D6781">
        <w:rPr>
          <w:rFonts w:ascii="Arial" w:eastAsia="Calibri" w:hAnsi="Arial" w:cs="Arial"/>
          <w:szCs w:val="22"/>
        </w:rPr>
        <w:t>;</w:t>
      </w:r>
      <w:r w:rsidR="003D6781" w:rsidRPr="003D6781">
        <w:rPr>
          <w:rFonts w:ascii="Arial" w:eastAsia="Calibri" w:hAnsi="Arial" w:cs="Arial"/>
          <w:szCs w:val="22"/>
        </w:rPr>
        <w:t xml:space="preserve"> </w:t>
      </w:r>
      <w:proofErr w:type="spellStart"/>
      <w:r w:rsidR="003D6781" w:rsidRPr="003D6781">
        <w:rPr>
          <w:rFonts w:ascii="Arial" w:eastAsia="Calibri" w:hAnsi="Arial" w:cs="Arial"/>
          <w:szCs w:val="22"/>
        </w:rPr>
        <w:t>Mafuyai</w:t>
      </w:r>
      <w:proofErr w:type="spellEnd"/>
      <w:r w:rsidR="003D6781">
        <w:rPr>
          <w:rFonts w:ascii="Arial" w:eastAsia="Calibri" w:hAnsi="Arial" w:cs="Arial"/>
          <w:szCs w:val="22"/>
        </w:rPr>
        <w:t xml:space="preserve"> </w:t>
      </w:r>
      <w:r w:rsidR="003D6781" w:rsidRPr="0048608A">
        <w:rPr>
          <w:rFonts w:ascii="Arial" w:eastAsia="Calibri" w:hAnsi="Arial" w:cs="Arial"/>
          <w:i/>
          <w:szCs w:val="22"/>
        </w:rPr>
        <w:t>et al</w:t>
      </w:r>
      <w:r w:rsidR="003D6781">
        <w:rPr>
          <w:rFonts w:ascii="Arial" w:eastAsia="Calibri" w:hAnsi="Arial" w:cs="Arial"/>
          <w:szCs w:val="22"/>
        </w:rPr>
        <w:t>., 2015</w:t>
      </w:r>
      <w:r w:rsidR="009D2BA1">
        <w:rPr>
          <w:rFonts w:ascii="Arial" w:eastAsia="Calibri" w:hAnsi="Arial" w:cs="Arial"/>
          <w:szCs w:val="22"/>
        </w:rPr>
        <w:t xml:space="preserve">; </w:t>
      </w:r>
      <w:proofErr w:type="spellStart"/>
      <w:r w:rsidR="009D2BA1">
        <w:rPr>
          <w:rFonts w:ascii="Arial" w:eastAsia="Calibri" w:hAnsi="Arial" w:cs="Arial"/>
          <w:szCs w:val="22"/>
        </w:rPr>
        <w:t>Nta</w:t>
      </w:r>
      <w:proofErr w:type="spellEnd"/>
      <w:r w:rsidR="009D2BA1">
        <w:rPr>
          <w:rFonts w:ascii="Arial" w:eastAsia="Calibri" w:hAnsi="Arial" w:cs="Arial"/>
          <w:szCs w:val="22"/>
        </w:rPr>
        <w:t>.</w:t>
      </w:r>
      <w:r w:rsidR="00F66E15">
        <w:rPr>
          <w:rFonts w:ascii="Arial" w:eastAsia="Calibri" w:hAnsi="Arial" w:cs="Arial"/>
          <w:szCs w:val="22"/>
        </w:rPr>
        <w:t xml:space="preserve">, </w:t>
      </w:r>
      <w:r w:rsidR="009D2BA1" w:rsidRPr="00F66E15">
        <w:rPr>
          <w:rFonts w:ascii="Arial" w:eastAsia="Calibri" w:hAnsi="Arial" w:cs="Arial"/>
          <w:i/>
          <w:szCs w:val="22"/>
        </w:rPr>
        <w:t>et al</w:t>
      </w:r>
      <w:r w:rsidR="009D2BA1">
        <w:rPr>
          <w:rFonts w:ascii="Arial" w:eastAsia="Calibri" w:hAnsi="Arial" w:cs="Arial"/>
          <w:szCs w:val="22"/>
        </w:rPr>
        <w:t>., 2021)</w:t>
      </w:r>
      <w:r w:rsidRPr="005544BB">
        <w:rPr>
          <w:rFonts w:ascii="Arial" w:eastAsia="Calibri" w:hAnsi="Arial" w:cs="Arial"/>
          <w:szCs w:val="22"/>
        </w:rPr>
        <w:t xml:space="preserve">. They are therefore useful indicators for soil and sediment health conditions. </w:t>
      </w:r>
    </w:p>
    <w:p w14:paraId="2D48D4F0" w14:textId="77777777" w:rsidR="005544BB" w:rsidRPr="005544BB" w:rsidRDefault="005544BB" w:rsidP="005544BB">
      <w:pPr>
        <w:pStyle w:val="Body"/>
        <w:spacing w:after="0"/>
        <w:rPr>
          <w:rFonts w:ascii="Arial" w:eastAsia="Calibri" w:hAnsi="Arial" w:cs="Arial"/>
          <w:szCs w:val="22"/>
        </w:rPr>
      </w:pPr>
      <w:r w:rsidRPr="005544BB">
        <w:rPr>
          <w:rFonts w:ascii="Arial" w:eastAsia="Calibri" w:hAnsi="Arial" w:cs="Arial"/>
          <w:szCs w:val="22"/>
        </w:rPr>
        <w:t>Several factors influence the diversity in roadside soil pollutant concentrations. Some of these factors include road age, volume of vehicles, traffic congestion, condition of automobiles, use of winter salts and stabilizers. In China, concentrations of heavy metals in roadside soil increased re</w:t>
      </w:r>
      <w:r w:rsidR="00EE6302">
        <w:rPr>
          <w:rFonts w:ascii="Arial" w:eastAsia="Calibri" w:hAnsi="Arial" w:cs="Arial"/>
          <w:szCs w:val="22"/>
        </w:rPr>
        <w:t>markably over an 8-year period (</w:t>
      </w:r>
      <w:r w:rsidR="00EE6302" w:rsidRPr="00EE6302">
        <w:rPr>
          <w:rFonts w:ascii="Arial" w:eastAsia="Calibri" w:hAnsi="Arial" w:cs="Arial"/>
          <w:szCs w:val="22"/>
        </w:rPr>
        <w:t xml:space="preserve">Hui, </w:t>
      </w:r>
      <w:r w:rsidR="00EE6302" w:rsidRPr="00EE6302">
        <w:rPr>
          <w:rFonts w:ascii="Arial" w:eastAsia="Calibri" w:hAnsi="Arial" w:cs="Arial"/>
          <w:i/>
          <w:szCs w:val="22"/>
        </w:rPr>
        <w:t>et al</w:t>
      </w:r>
      <w:r w:rsidR="00EE6302">
        <w:rPr>
          <w:rFonts w:ascii="Arial" w:eastAsia="Calibri" w:hAnsi="Arial" w:cs="Arial"/>
          <w:szCs w:val="22"/>
        </w:rPr>
        <w:t>., 2017)</w:t>
      </w:r>
      <w:r w:rsidRPr="005544BB">
        <w:rPr>
          <w:rFonts w:ascii="Arial" w:eastAsia="Calibri" w:hAnsi="Arial" w:cs="Arial"/>
          <w:szCs w:val="22"/>
        </w:rPr>
        <w:t>. The application of winter salts on road increased the release of hea</w:t>
      </w:r>
      <w:r w:rsidR="0028266E">
        <w:rPr>
          <w:rFonts w:ascii="Arial" w:eastAsia="Calibri" w:hAnsi="Arial" w:cs="Arial"/>
          <w:szCs w:val="22"/>
        </w:rPr>
        <w:t>vy metals by greater than 50%</w:t>
      </w:r>
      <w:r w:rsidR="0028266E" w:rsidRPr="0028266E">
        <w:rPr>
          <w:rFonts w:ascii="Times New Roman" w:hAnsi="Times New Roman"/>
          <w:sz w:val="24"/>
          <w:szCs w:val="24"/>
        </w:rPr>
        <w:t xml:space="preserve"> </w:t>
      </w:r>
      <w:r w:rsidR="0028266E">
        <w:rPr>
          <w:rFonts w:ascii="Times New Roman" w:hAnsi="Times New Roman"/>
          <w:sz w:val="24"/>
          <w:szCs w:val="24"/>
        </w:rPr>
        <w:t>(</w:t>
      </w:r>
      <w:r w:rsidR="0028266E" w:rsidRPr="0028266E">
        <w:rPr>
          <w:rFonts w:ascii="Arial" w:eastAsia="Calibri" w:hAnsi="Arial" w:cs="Arial"/>
          <w:szCs w:val="22"/>
        </w:rPr>
        <w:t>Nelson,</w:t>
      </w:r>
      <w:r w:rsidR="0028266E">
        <w:rPr>
          <w:rFonts w:ascii="Arial" w:eastAsia="Calibri" w:hAnsi="Arial" w:cs="Arial"/>
          <w:szCs w:val="22"/>
        </w:rPr>
        <w:t xml:space="preserve"> </w:t>
      </w:r>
      <w:r w:rsidR="0028266E" w:rsidRPr="0028266E">
        <w:rPr>
          <w:rFonts w:ascii="Arial" w:eastAsia="Calibri" w:hAnsi="Arial" w:cs="Arial"/>
          <w:i/>
          <w:szCs w:val="22"/>
        </w:rPr>
        <w:t>et al</w:t>
      </w:r>
      <w:r w:rsidR="0028266E">
        <w:rPr>
          <w:rFonts w:ascii="Arial" w:eastAsia="Calibri" w:hAnsi="Arial" w:cs="Arial"/>
          <w:szCs w:val="22"/>
        </w:rPr>
        <w:t>., 2009)</w:t>
      </w:r>
      <w:r w:rsidRPr="005544BB">
        <w:rPr>
          <w:rFonts w:ascii="Arial" w:eastAsia="Calibri" w:hAnsi="Arial" w:cs="Arial"/>
          <w:szCs w:val="22"/>
        </w:rPr>
        <w:t xml:space="preserve">. Some soil stabilizers have been reported to release heavy metals into roadside soil </w:t>
      </w:r>
      <w:r w:rsidR="00D54E33">
        <w:rPr>
          <w:rFonts w:ascii="Arial" w:eastAsia="Calibri" w:hAnsi="Arial" w:cs="Arial"/>
          <w:szCs w:val="22"/>
        </w:rPr>
        <w:t>(</w:t>
      </w:r>
      <w:r w:rsidR="00D54E33" w:rsidRPr="00D54E33">
        <w:rPr>
          <w:rFonts w:ascii="Arial" w:eastAsia="Calibri" w:hAnsi="Arial" w:cs="Arial"/>
          <w:szCs w:val="22"/>
        </w:rPr>
        <w:t>Fiala</w:t>
      </w:r>
      <w:r w:rsidR="00D54E33">
        <w:rPr>
          <w:rFonts w:ascii="Arial" w:eastAsia="Calibri" w:hAnsi="Arial" w:cs="Arial"/>
          <w:szCs w:val="22"/>
        </w:rPr>
        <w:t xml:space="preserve"> and Hwang </w:t>
      </w:r>
      <w:r w:rsidR="00D54E33" w:rsidRPr="00D54E33">
        <w:rPr>
          <w:rFonts w:ascii="Arial" w:eastAsia="Calibri" w:hAnsi="Arial" w:cs="Arial"/>
          <w:szCs w:val="22"/>
        </w:rPr>
        <w:t xml:space="preserve">2021). </w:t>
      </w:r>
      <w:r w:rsidRPr="005544BB">
        <w:rPr>
          <w:rFonts w:ascii="Arial" w:eastAsia="Calibri" w:hAnsi="Arial" w:cs="Arial"/>
          <w:szCs w:val="22"/>
        </w:rPr>
        <w:t>The use of stabilizers in road construction helps the stability and safety of the road especially in areas with poor soil condition</w:t>
      </w:r>
      <w:r w:rsidR="00334C14">
        <w:rPr>
          <w:rFonts w:ascii="Arial" w:eastAsia="Calibri" w:hAnsi="Arial" w:cs="Arial"/>
          <w:szCs w:val="22"/>
        </w:rPr>
        <w:t>s such as the southern Nigeria (</w:t>
      </w:r>
      <w:r w:rsidR="00334C14" w:rsidRPr="00334C14">
        <w:rPr>
          <w:rFonts w:ascii="Arial" w:eastAsia="Calibri" w:hAnsi="Arial" w:cs="Arial"/>
          <w:szCs w:val="22"/>
        </w:rPr>
        <w:t>Abam,</w:t>
      </w:r>
      <w:r w:rsidR="00E40FE5">
        <w:rPr>
          <w:rFonts w:ascii="Arial" w:eastAsia="Calibri" w:hAnsi="Arial" w:cs="Arial"/>
          <w:szCs w:val="22"/>
        </w:rPr>
        <w:t xml:space="preserve"> </w:t>
      </w:r>
      <w:r w:rsidR="00E40FE5" w:rsidRPr="00E40FE5">
        <w:rPr>
          <w:rFonts w:ascii="Arial" w:eastAsia="Calibri" w:hAnsi="Arial" w:cs="Arial"/>
          <w:i/>
          <w:szCs w:val="22"/>
        </w:rPr>
        <w:t>et al</w:t>
      </w:r>
      <w:r w:rsidR="00E40FE5">
        <w:rPr>
          <w:rFonts w:ascii="Arial" w:eastAsia="Calibri" w:hAnsi="Arial" w:cs="Arial"/>
          <w:szCs w:val="22"/>
        </w:rPr>
        <w:t xml:space="preserve">., </w:t>
      </w:r>
      <w:r w:rsidR="00334C14" w:rsidRPr="00334C14">
        <w:rPr>
          <w:rFonts w:ascii="Arial" w:eastAsia="Calibri" w:hAnsi="Arial" w:cs="Arial"/>
          <w:szCs w:val="22"/>
        </w:rPr>
        <w:t>2024)</w:t>
      </w:r>
      <w:r w:rsidRPr="005544BB">
        <w:rPr>
          <w:rFonts w:ascii="Arial" w:eastAsia="Calibri" w:hAnsi="Arial" w:cs="Arial"/>
          <w:szCs w:val="22"/>
        </w:rPr>
        <w:t xml:space="preserve">. There is a need for evaluation of roadside soils, especially for newly developing cities. This study aimed to evaluate the extent of heavy metal contamination in roadside soil in one of the emerging cities of southern Nigeria using contamination indices. </w:t>
      </w:r>
    </w:p>
    <w:p w14:paraId="5E1DC6B7" w14:textId="77777777" w:rsidR="00790ADA" w:rsidRPr="00FB3A86" w:rsidRDefault="00790ADA" w:rsidP="00441B6F">
      <w:pPr>
        <w:pStyle w:val="Body"/>
        <w:spacing w:after="0"/>
        <w:rPr>
          <w:rFonts w:ascii="Arial" w:hAnsi="Arial" w:cs="Arial"/>
        </w:rPr>
      </w:pPr>
    </w:p>
    <w:p w14:paraId="375D37EB"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E36F942" w14:textId="77777777" w:rsidR="0018237C" w:rsidRDefault="0018237C" w:rsidP="00090CC6">
      <w:pPr>
        <w:pStyle w:val="Body"/>
        <w:spacing w:after="0"/>
        <w:rPr>
          <w:rFonts w:ascii="Arial" w:eastAsia="Calibri" w:hAnsi="Arial" w:cs="Arial"/>
          <w:b/>
          <w:i/>
          <w:iCs/>
          <w:szCs w:val="22"/>
        </w:rPr>
      </w:pPr>
    </w:p>
    <w:p w14:paraId="6E050602" w14:textId="77777777" w:rsidR="00090CC6" w:rsidRPr="00090CC6" w:rsidRDefault="00090CC6" w:rsidP="00090CC6">
      <w:pPr>
        <w:pStyle w:val="Body"/>
        <w:spacing w:after="0"/>
        <w:rPr>
          <w:rFonts w:ascii="Arial" w:eastAsia="Calibri" w:hAnsi="Arial" w:cs="Arial"/>
          <w:b/>
          <w:i/>
          <w:iCs/>
          <w:szCs w:val="22"/>
        </w:rPr>
      </w:pPr>
      <w:r w:rsidRPr="00090CC6">
        <w:rPr>
          <w:rFonts w:ascii="Arial" w:eastAsia="Calibri" w:hAnsi="Arial" w:cs="Arial"/>
          <w:b/>
          <w:i/>
          <w:iCs/>
          <w:szCs w:val="22"/>
        </w:rPr>
        <w:t xml:space="preserve">2.1 Study Area </w:t>
      </w:r>
    </w:p>
    <w:p w14:paraId="51C45AEF" w14:textId="77777777" w:rsidR="00090CC6" w:rsidRPr="00090CC6" w:rsidRDefault="00090CC6" w:rsidP="00090CC6">
      <w:pPr>
        <w:pStyle w:val="Body"/>
        <w:spacing w:after="0"/>
        <w:rPr>
          <w:rFonts w:ascii="Arial" w:eastAsia="Calibri" w:hAnsi="Arial" w:cs="Arial"/>
          <w:szCs w:val="22"/>
        </w:rPr>
      </w:pPr>
      <w:r w:rsidRPr="00090CC6">
        <w:rPr>
          <w:rFonts w:ascii="Arial" w:eastAsia="Calibri" w:hAnsi="Arial" w:cs="Arial"/>
          <w:szCs w:val="22"/>
        </w:rPr>
        <w:t xml:space="preserve">The study area was </w:t>
      </w:r>
      <w:proofErr w:type="spellStart"/>
      <w:r w:rsidRPr="00090CC6">
        <w:rPr>
          <w:rFonts w:ascii="Arial" w:eastAsia="Calibri" w:hAnsi="Arial" w:cs="Arial"/>
          <w:szCs w:val="22"/>
        </w:rPr>
        <w:t>Eket</w:t>
      </w:r>
      <w:proofErr w:type="spellEnd"/>
      <w:r w:rsidRPr="00090CC6">
        <w:rPr>
          <w:rFonts w:ascii="Arial" w:eastAsia="Calibri" w:hAnsi="Arial" w:cs="Arial"/>
          <w:szCs w:val="22"/>
        </w:rPr>
        <w:t xml:space="preserve">, an emerging city in Akwa Ibom State, Nigeria. </w:t>
      </w:r>
      <w:proofErr w:type="spellStart"/>
      <w:r w:rsidRPr="00090CC6">
        <w:rPr>
          <w:rFonts w:ascii="Arial" w:eastAsia="Calibri" w:hAnsi="Arial" w:cs="Arial"/>
          <w:szCs w:val="22"/>
        </w:rPr>
        <w:t>Eket</w:t>
      </w:r>
      <w:proofErr w:type="spellEnd"/>
      <w:r w:rsidRPr="00090CC6">
        <w:rPr>
          <w:rFonts w:ascii="Arial" w:eastAsia="Calibri" w:hAnsi="Arial" w:cs="Arial"/>
          <w:szCs w:val="22"/>
        </w:rPr>
        <w:t xml:space="preserve"> is situated between latitudes 4 33’ and 4 45’ and eastwards between longitudes 7 52’ and 5 02’. </w:t>
      </w:r>
      <w:proofErr w:type="spellStart"/>
      <w:r w:rsidRPr="00090CC6">
        <w:rPr>
          <w:rFonts w:ascii="Arial" w:eastAsia="Calibri" w:hAnsi="Arial" w:cs="Arial"/>
          <w:szCs w:val="22"/>
        </w:rPr>
        <w:t>Eket’s</w:t>
      </w:r>
      <w:proofErr w:type="spellEnd"/>
      <w:r w:rsidRPr="00090CC6">
        <w:rPr>
          <w:rFonts w:ascii="Arial" w:eastAsia="Calibri" w:hAnsi="Arial" w:cs="Arial"/>
          <w:szCs w:val="22"/>
        </w:rPr>
        <w:t xml:space="preserve"> temperature ranges from </w:t>
      </w:r>
      <m:oMath>
        <m:r>
          <w:rPr>
            <w:rFonts w:ascii="Cambria Math" w:eastAsia="Calibri" w:hAnsi="Cambria Math" w:cs="Arial"/>
            <w:szCs w:val="22"/>
            <w:lang w:val="en-GB"/>
          </w:rPr>
          <m:t>23-31℃</m:t>
        </m:r>
      </m:oMath>
      <w:r w:rsidRPr="00090CC6">
        <w:rPr>
          <w:rFonts w:ascii="Arial" w:eastAsia="Calibri" w:hAnsi="Arial" w:cs="Arial"/>
          <w:szCs w:val="22"/>
          <w:lang w:val="en-GB"/>
        </w:rPr>
        <w:t xml:space="preserve"> </w:t>
      </w:r>
      <w:r w:rsidRPr="00090CC6">
        <w:rPr>
          <w:rFonts w:ascii="Arial" w:eastAsia="Calibri" w:hAnsi="Arial" w:cs="Arial"/>
          <w:szCs w:val="22"/>
        </w:rPr>
        <w:t xml:space="preserve">whiles its average precipitation is 3044 mm. </w:t>
      </w:r>
    </w:p>
    <w:p w14:paraId="74E1655A" w14:textId="77777777" w:rsidR="00090CC6" w:rsidRDefault="00090CC6" w:rsidP="00F673A1">
      <w:pPr>
        <w:pStyle w:val="Body"/>
        <w:spacing w:after="0"/>
        <w:rPr>
          <w:rFonts w:ascii="Arial" w:eastAsia="Calibri" w:hAnsi="Arial" w:cs="Arial"/>
          <w:b/>
          <w:szCs w:val="22"/>
        </w:rPr>
      </w:pPr>
    </w:p>
    <w:p w14:paraId="05FA286F" w14:textId="77777777" w:rsidR="000367A8" w:rsidRPr="000367A8" w:rsidRDefault="000367A8" w:rsidP="000367A8">
      <w:pPr>
        <w:pStyle w:val="Body"/>
        <w:spacing w:after="0"/>
        <w:rPr>
          <w:rFonts w:ascii="Arial" w:eastAsia="Calibri" w:hAnsi="Arial" w:cs="Arial"/>
          <w:b/>
          <w:szCs w:val="22"/>
        </w:rPr>
      </w:pPr>
      <w:r w:rsidRPr="000367A8">
        <w:rPr>
          <w:rFonts w:ascii="Arial" w:eastAsia="Calibri" w:hAnsi="Arial" w:cs="Arial"/>
          <w:b/>
          <w:i/>
          <w:iCs/>
          <w:szCs w:val="22"/>
        </w:rPr>
        <w:t>2.2 Sample Collection and Analysis</w:t>
      </w:r>
    </w:p>
    <w:p w14:paraId="68EDCBD1" w14:textId="77777777" w:rsidR="000367A8" w:rsidRPr="000367A8" w:rsidRDefault="000367A8" w:rsidP="000367A8">
      <w:pPr>
        <w:pStyle w:val="Body"/>
        <w:spacing w:after="0"/>
        <w:rPr>
          <w:rFonts w:ascii="Arial" w:eastAsia="Calibri" w:hAnsi="Arial" w:cs="Arial"/>
          <w:szCs w:val="22"/>
        </w:rPr>
      </w:pPr>
      <w:r w:rsidRPr="000367A8">
        <w:rPr>
          <w:rFonts w:ascii="Arial" w:eastAsia="Calibri" w:hAnsi="Arial" w:cs="Arial"/>
          <w:szCs w:val="22"/>
        </w:rPr>
        <w:t>Soil samples were collec</w:t>
      </w:r>
      <w:r w:rsidR="0087407A">
        <w:rPr>
          <w:rFonts w:ascii="Arial" w:eastAsia="Calibri" w:hAnsi="Arial" w:cs="Arial"/>
          <w:szCs w:val="22"/>
        </w:rPr>
        <w:t xml:space="preserve">ted in polythene bags from </w:t>
      </w:r>
      <w:r w:rsidR="0087407A" w:rsidRPr="0087407A">
        <w:rPr>
          <w:rFonts w:ascii="Arial" w:eastAsia="Calibri" w:hAnsi="Arial" w:cs="Arial"/>
          <w:bCs/>
          <w:szCs w:val="22"/>
        </w:rPr>
        <w:t>four designated sampling locations SP1, SP2, SP3 and SP4</w:t>
      </w:r>
      <w:r w:rsidR="0087407A">
        <w:rPr>
          <w:rFonts w:ascii="Arial" w:eastAsia="Calibri" w:hAnsi="Arial" w:cs="Arial"/>
          <w:bCs/>
          <w:szCs w:val="22"/>
        </w:rPr>
        <w:t xml:space="preserve"> </w:t>
      </w:r>
      <w:proofErr w:type="spellStart"/>
      <w:r w:rsidR="00F82647">
        <w:rPr>
          <w:rFonts w:ascii="Arial" w:eastAsia="Calibri" w:hAnsi="Arial" w:cs="Arial"/>
          <w:szCs w:val="22"/>
        </w:rPr>
        <w:t>Eket</w:t>
      </w:r>
      <w:proofErr w:type="spellEnd"/>
      <w:r w:rsidR="00F82647">
        <w:rPr>
          <w:rFonts w:ascii="Arial" w:eastAsia="Calibri" w:hAnsi="Arial" w:cs="Arial"/>
          <w:szCs w:val="22"/>
        </w:rPr>
        <w:t xml:space="preserve"> City</w:t>
      </w:r>
      <w:r w:rsidRPr="000367A8">
        <w:rPr>
          <w:rFonts w:ascii="Arial" w:eastAsia="Calibri" w:hAnsi="Arial" w:cs="Arial"/>
          <w:szCs w:val="22"/>
        </w:rPr>
        <w:t xml:space="preserve">. Atomic absorption spectrophotometer was used to measure metal concentrations including Cd, </w:t>
      </w:r>
      <w:r>
        <w:rPr>
          <w:rFonts w:ascii="Arial" w:eastAsia="Calibri" w:hAnsi="Arial" w:cs="Arial"/>
          <w:szCs w:val="22"/>
        </w:rPr>
        <w:t>Cr, Cu, Fe, Mn, Ni, Pb, and Zn.</w:t>
      </w:r>
      <w:r w:rsidRPr="000367A8">
        <w:rPr>
          <w:rFonts w:ascii="Arial" w:eastAsia="Calibri" w:hAnsi="Arial" w:cs="Arial"/>
          <w:szCs w:val="22"/>
        </w:rPr>
        <w:t xml:space="preserve"> </w:t>
      </w:r>
    </w:p>
    <w:p w14:paraId="05B0F230" w14:textId="77777777" w:rsidR="0072382A" w:rsidRDefault="0072382A" w:rsidP="00F673A1">
      <w:pPr>
        <w:pStyle w:val="Body"/>
        <w:spacing w:after="0"/>
        <w:rPr>
          <w:rFonts w:ascii="Arial" w:eastAsia="Calibri" w:hAnsi="Arial" w:cs="Arial"/>
          <w:b/>
          <w:szCs w:val="22"/>
        </w:rPr>
      </w:pPr>
    </w:p>
    <w:p w14:paraId="7047C612" w14:textId="77777777" w:rsidR="00DB2D09" w:rsidRPr="00DB2D09" w:rsidRDefault="00DB2D09" w:rsidP="00DB2D09">
      <w:pPr>
        <w:spacing w:after="200"/>
        <w:jc w:val="both"/>
        <w:rPr>
          <w:rFonts w:ascii="Times New Roman" w:eastAsia="Calibri" w:hAnsi="Times New Roman"/>
          <w:b/>
          <w:iCs/>
          <w:noProof/>
          <w:sz w:val="24"/>
          <w:szCs w:val="24"/>
        </w:rPr>
      </w:pPr>
      <w:r w:rsidRPr="00DB2D09">
        <w:rPr>
          <w:rFonts w:ascii="Times New Roman" w:eastAsia="Calibri" w:hAnsi="Times New Roman"/>
          <w:b/>
          <w:iCs/>
          <w:noProof/>
          <w:sz w:val="24"/>
          <w:szCs w:val="24"/>
        </w:rPr>
        <w:t xml:space="preserve">2.3 Heavy Metal Contamination Assessment </w:t>
      </w:r>
    </w:p>
    <w:p w14:paraId="0C8687F2" w14:textId="77777777" w:rsidR="00DB2D09" w:rsidRPr="00DB2D09" w:rsidRDefault="00DB2D09" w:rsidP="00DB2D09">
      <w:pPr>
        <w:spacing w:after="200"/>
        <w:jc w:val="both"/>
        <w:rPr>
          <w:rFonts w:ascii="Times New Roman" w:eastAsia="Calibri" w:hAnsi="Times New Roman"/>
          <w:noProof/>
          <w:sz w:val="24"/>
          <w:szCs w:val="24"/>
        </w:rPr>
      </w:pPr>
      <w:r w:rsidRPr="00DB2D09">
        <w:rPr>
          <w:rFonts w:ascii="Times New Roman" w:eastAsia="Calibri" w:hAnsi="Times New Roman"/>
          <w:noProof/>
          <w:sz w:val="24"/>
          <w:szCs w:val="24"/>
        </w:rPr>
        <w:t xml:space="preserve">Table 1 describes the measure of soil contamination level of selected indices. </w:t>
      </w:r>
      <w:bookmarkStart w:id="1" w:name="_Hlk162888570"/>
    </w:p>
    <w:p w14:paraId="2019F581" w14:textId="77777777" w:rsidR="00DB2D09" w:rsidRPr="00DB2D09" w:rsidRDefault="00DB2D09" w:rsidP="00DB2D09">
      <w:pPr>
        <w:jc w:val="center"/>
        <w:rPr>
          <w:rFonts w:ascii="Times New Roman" w:eastAsia="Calibri" w:hAnsi="Times New Roman"/>
          <w:noProof/>
          <w:sz w:val="24"/>
          <w:szCs w:val="24"/>
          <w:shd w:val="clear" w:color="auto" w:fill="FFFFFF"/>
          <w:lang w:val="en-GB"/>
        </w:rPr>
      </w:pPr>
      <w:r w:rsidRPr="00DB2D09">
        <w:rPr>
          <w:rFonts w:ascii="Times New Roman" w:eastAsia="Calibri" w:hAnsi="Times New Roman"/>
          <w:b/>
          <w:noProof/>
          <w:sz w:val="24"/>
          <w:szCs w:val="24"/>
          <w:shd w:val="clear" w:color="auto" w:fill="FFFFFF"/>
          <w:lang w:val="en-GB"/>
        </w:rPr>
        <w:t>Table 1:</w:t>
      </w:r>
      <w:r w:rsidRPr="00DB2D09">
        <w:rPr>
          <w:rFonts w:ascii="Times New Roman" w:eastAsia="Calibri" w:hAnsi="Times New Roman"/>
          <w:noProof/>
          <w:sz w:val="24"/>
          <w:szCs w:val="24"/>
          <w:shd w:val="clear" w:color="auto" w:fill="FFFFFF"/>
          <w:lang w:val="en-GB"/>
        </w:rPr>
        <w:t xml:space="preserve"> Contamination Models and Description of Models</w:t>
      </w:r>
      <w:bookmarkEnd w:id="1"/>
    </w:p>
    <w:tbl>
      <w:tblPr>
        <w:tblStyle w:val="TableGrid1"/>
        <w:tblW w:w="873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60"/>
        <w:gridCol w:w="1980"/>
        <w:gridCol w:w="1800"/>
        <w:gridCol w:w="2790"/>
      </w:tblGrid>
      <w:tr w:rsidR="00DB2D09" w:rsidRPr="00DB2D09" w14:paraId="0E74A7AE" w14:textId="77777777" w:rsidTr="00DB2D09">
        <w:trPr>
          <w:trHeight w:val="548"/>
          <w:jc w:val="center"/>
        </w:trPr>
        <w:tc>
          <w:tcPr>
            <w:tcW w:w="2160" w:type="dxa"/>
            <w:tcBorders>
              <w:top w:val="single" w:sz="4" w:space="0" w:color="auto"/>
              <w:left w:val="nil"/>
              <w:bottom w:val="single" w:sz="4" w:space="0" w:color="auto"/>
              <w:right w:val="nil"/>
            </w:tcBorders>
            <w:hideMark/>
          </w:tcPr>
          <w:p w14:paraId="1EEC1E3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 Contamination indices (CI)</w:t>
            </w:r>
          </w:p>
        </w:tc>
        <w:tc>
          <w:tcPr>
            <w:tcW w:w="1980" w:type="dxa"/>
            <w:tcBorders>
              <w:top w:val="single" w:sz="4" w:space="0" w:color="auto"/>
              <w:left w:val="nil"/>
              <w:bottom w:val="single" w:sz="4" w:space="0" w:color="auto"/>
              <w:right w:val="nil"/>
            </w:tcBorders>
            <w:hideMark/>
          </w:tcPr>
          <w:p w14:paraId="63511C3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Models</w:t>
            </w:r>
          </w:p>
        </w:tc>
        <w:tc>
          <w:tcPr>
            <w:tcW w:w="1800" w:type="dxa"/>
            <w:tcBorders>
              <w:top w:val="single" w:sz="4" w:space="0" w:color="auto"/>
              <w:left w:val="nil"/>
              <w:bottom w:val="single" w:sz="4" w:space="0" w:color="auto"/>
              <w:right w:val="nil"/>
            </w:tcBorders>
            <w:hideMark/>
          </w:tcPr>
          <w:p w14:paraId="39B384AE"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Values</w:t>
            </w:r>
          </w:p>
        </w:tc>
        <w:tc>
          <w:tcPr>
            <w:tcW w:w="2790" w:type="dxa"/>
            <w:tcBorders>
              <w:top w:val="single" w:sz="4" w:space="0" w:color="auto"/>
              <w:left w:val="nil"/>
              <w:bottom w:val="single" w:sz="4" w:space="0" w:color="auto"/>
              <w:right w:val="nil"/>
            </w:tcBorders>
            <w:hideMark/>
          </w:tcPr>
          <w:p w14:paraId="36F5CAD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Degree of Contamination</w:t>
            </w:r>
          </w:p>
        </w:tc>
      </w:tr>
      <w:tr w:rsidR="00DB2D09" w:rsidRPr="00DB2D09" w14:paraId="20C0E0E4" w14:textId="77777777" w:rsidTr="00DB2D09">
        <w:trPr>
          <w:trHeight w:val="1077"/>
          <w:jc w:val="center"/>
        </w:trPr>
        <w:tc>
          <w:tcPr>
            <w:tcW w:w="2160" w:type="dxa"/>
            <w:tcBorders>
              <w:top w:val="single" w:sz="4" w:space="0" w:color="auto"/>
              <w:left w:val="nil"/>
              <w:bottom w:val="single" w:sz="4" w:space="0" w:color="auto"/>
              <w:right w:val="nil"/>
            </w:tcBorders>
            <w:hideMark/>
          </w:tcPr>
          <w:p w14:paraId="2C516972" w14:textId="77777777" w:rsidR="00DB2D09" w:rsidRPr="00DB2D09" w:rsidRDefault="00DB2D09" w:rsidP="00DB2D09">
            <w:pPr>
              <w:jc w:val="both"/>
              <w:rPr>
                <w:rFonts w:ascii="Times New Roman" w:hAnsi="Times New Roman"/>
                <w:noProof/>
                <w:szCs w:val="24"/>
                <w:shd w:val="clear" w:color="auto" w:fill="FFFFFF"/>
                <w:lang w:val="en-GB"/>
              </w:rPr>
            </w:pPr>
            <w:bookmarkStart w:id="2" w:name="_Hlk166342864"/>
            <w:r w:rsidRPr="00DB2D09">
              <w:rPr>
                <w:rFonts w:ascii="Times New Roman" w:hAnsi="Times New Roman"/>
                <w:noProof/>
                <w:szCs w:val="24"/>
                <w:shd w:val="clear" w:color="auto" w:fill="FFFFFF"/>
                <w:lang w:val="en-GB"/>
              </w:rPr>
              <w:t xml:space="preserve"> Contamination Factor (CF)</w:t>
            </w:r>
          </w:p>
        </w:tc>
        <w:tc>
          <w:tcPr>
            <w:tcW w:w="1980" w:type="dxa"/>
            <w:tcBorders>
              <w:top w:val="single" w:sz="4" w:space="0" w:color="auto"/>
              <w:left w:val="nil"/>
              <w:bottom w:val="single" w:sz="4" w:space="0" w:color="auto"/>
              <w:right w:val="nil"/>
            </w:tcBorders>
          </w:tcPr>
          <w:p w14:paraId="4A470CD6"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CF=</m:t>
                </m:r>
                <m:f>
                  <m:fPr>
                    <m:ctrlPr>
                      <w:rPr>
                        <w:rFonts w:ascii="Cambria Math" w:hAnsi="Cambria Math"/>
                        <w:i/>
                        <w:noProof/>
                        <w:szCs w:val="24"/>
                        <w:shd w:val="clear" w:color="auto" w:fill="FFFFFF"/>
                        <w:lang w:val="en-GB"/>
                      </w:rPr>
                    </m:ctrlPr>
                  </m:fPr>
                  <m:num>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m</m:t>
                        </m:r>
                      </m:sub>
                    </m:sSub>
                  </m:num>
                  <m:den>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b</m:t>
                        </m:r>
                      </m:sub>
                    </m:sSub>
                  </m:den>
                </m:f>
              </m:oMath>
            </m:oMathPara>
          </w:p>
          <w:p w14:paraId="22C44017" w14:textId="77777777" w:rsidR="00DB2D09" w:rsidRPr="00DB2D09" w:rsidRDefault="00DB2D09" w:rsidP="00DB2D09">
            <w:pPr>
              <w:jc w:val="both"/>
              <w:rPr>
                <w:rFonts w:ascii="Times New Roman" w:hAnsi="Times New Roman"/>
                <w:noProof/>
                <w:szCs w:val="24"/>
                <w:shd w:val="clear" w:color="auto" w:fill="FFFFFF"/>
                <w:lang w:val="en-GB"/>
              </w:rPr>
            </w:pPr>
          </w:p>
        </w:tc>
        <w:tc>
          <w:tcPr>
            <w:tcW w:w="1800" w:type="dxa"/>
            <w:tcBorders>
              <w:top w:val="single" w:sz="4" w:space="0" w:color="auto"/>
              <w:left w:val="nil"/>
              <w:bottom w:val="single" w:sz="4" w:space="0" w:color="auto"/>
              <w:right w:val="nil"/>
            </w:tcBorders>
            <w:hideMark/>
          </w:tcPr>
          <w:p w14:paraId="5DDB7DBB"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CF&lt;1</m:t>
              </m:r>
            </m:oMath>
            <w:r w:rsidRPr="00DB2D09">
              <w:rPr>
                <w:rFonts w:ascii="Times New Roman" w:hAnsi="Times New Roman"/>
                <w:noProof/>
                <w:szCs w:val="24"/>
                <w:shd w:val="clear" w:color="auto" w:fill="FFFFFF"/>
                <w:lang w:val="en-GB"/>
              </w:rPr>
              <w:t xml:space="preserve">                      </w:t>
            </w:r>
          </w:p>
          <w:p w14:paraId="487364CC"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1&lt;CF&lt;3</m:t>
              </m:r>
            </m:oMath>
            <w:r w:rsidRPr="00DB2D09">
              <w:rPr>
                <w:rFonts w:ascii="Times New Roman" w:hAnsi="Times New Roman"/>
                <w:noProof/>
                <w:szCs w:val="24"/>
                <w:shd w:val="clear" w:color="auto" w:fill="FFFFFF"/>
                <w:lang w:val="en-GB"/>
              </w:rPr>
              <w:t xml:space="preserve">               </w:t>
            </w:r>
          </w:p>
          <w:p w14:paraId="0DEEB53D"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3&lt;CF&lt;6</m:t>
              </m:r>
            </m:oMath>
            <w:r w:rsidRPr="00DB2D09">
              <w:rPr>
                <w:rFonts w:ascii="Times New Roman" w:hAnsi="Times New Roman"/>
                <w:noProof/>
                <w:szCs w:val="24"/>
                <w:shd w:val="clear" w:color="auto" w:fill="FFFFFF"/>
                <w:lang w:val="en-GB"/>
              </w:rPr>
              <w:t xml:space="preserve">              </w:t>
            </w:r>
          </w:p>
          <w:p w14:paraId="19AB9172"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CF&gt;6</m:t>
              </m:r>
            </m:oMath>
            <w:r w:rsidRPr="00DB2D09">
              <w:rPr>
                <w:rFonts w:ascii="Times New Roman" w:hAnsi="Times New Roman"/>
                <w:noProof/>
                <w:szCs w:val="24"/>
                <w:shd w:val="clear" w:color="auto" w:fill="FFFFFF"/>
                <w:lang w:val="en-GB"/>
              </w:rPr>
              <w:t xml:space="preserve">     </w:t>
            </w:r>
          </w:p>
        </w:tc>
        <w:tc>
          <w:tcPr>
            <w:tcW w:w="2790" w:type="dxa"/>
            <w:tcBorders>
              <w:top w:val="single" w:sz="4" w:space="0" w:color="auto"/>
              <w:left w:val="nil"/>
              <w:bottom w:val="single" w:sz="4" w:space="0" w:color="auto"/>
              <w:right w:val="nil"/>
            </w:tcBorders>
            <w:hideMark/>
          </w:tcPr>
          <w:p w14:paraId="65F7834D"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Low</w:t>
            </w:r>
          </w:p>
          <w:p w14:paraId="6375065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w:t>
            </w:r>
          </w:p>
          <w:p w14:paraId="1B817B5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Considerable </w:t>
            </w:r>
          </w:p>
          <w:p w14:paraId="5164BD5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Very high</w:t>
            </w:r>
          </w:p>
        </w:tc>
        <w:bookmarkEnd w:id="2"/>
      </w:tr>
      <w:tr w:rsidR="00DB2D09" w:rsidRPr="00DB2D09" w14:paraId="2C09754C" w14:textId="77777777" w:rsidTr="00DB2D09">
        <w:trPr>
          <w:trHeight w:val="1095"/>
          <w:jc w:val="center"/>
        </w:trPr>
        <w:tc>
          <w:tcPr>
            <w:tcW w:w="2160" w:type="dxa"/>
            <w:tcBorders>
              <w:top w:val="single" w:sz="4" w:space="0" w:color="auto"/>
              <w:left w:val="nil"/>
              <w:bottom w:val="single" w:sz="4" w:space="0" w:color="auto"/>
              <w:right w:val="nil"/>
            </w:tcBorders>
            <w:hideMark/>
          </w:tcPr>
          <w:p w14:paraId="22805156" w14:textId="77777777" w:rsidR="00DB2D09" w:rsidRPr="00DB2D09" w:rsidRDefault="00DB2D09" w:rsidP="00DB2D09">
            <w:pPr>
              <w:jc w:val="both"/>
              <w:rPr>
                <w:rFonts w:ascii="Times New Roman" w:hAnsi="Times New Roman"/>
                <w:noProof/>
                <w:szCs w:val="24"/>
                <w:shd w:val="clear" w:color="auto" w:fill="FFFFFF"/>
                <w:lang w:val="en-GB"/>
              </w:rPr>
            </w:pPr>
            <w:bookmarkStart w:id="3" w:name="_Hlk166347295"/>
            <w:r w:rsidRPr="00DB2D09">
              <w:rPr>
                <w:rFonts w:ascii="Times New Roman" w:hAnsi="Times New Roman"/>
                <w:noProof/>
                <w:szCs w:val="24"/>
                <w:shd w:val="clear" w:color="auto" w:fill="FFFFFF"/>
                <w:lang w:val="en-GB"/>
              </w:rPr>
              <w:t>Degree of contamination index (CDI)</w:t>
            </w:r>
          </w:p>
        </w:tc>
        <w:tc>
          <w:tcPr>
            <w:tcW w:w="1980" w:type="dxa"/>
            <w:tcBorders>
              <w:top w:val="single" w:sz="4" w:space="0" w:color="auto"/>
              <w:left w:val="nil"/>
              <w:bottom w:val="single" w:sz="4" w:space="0" w:color="auto"/>
              <w:right w:val="nil"/>
            </w:tcBorders>
            <w:hideMark/>
          </w:tcPr>
          <w:p w14:paraId="2FBD2729"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CDI=</m:t>
                </m:r>
                <m:nary>
                  <m:naryPr>
                    <m:chr m:val="∑"/>
                    <m:limLoc m:val="undOvr"/>
                    <m:subHide m:val="1"/>
                    <m:supHide m:val="1"/>
                    <m:ctrlPr>
                      <w:rPr>
                        <w:rFonts w:ascii="Cambria Math" w:hAnsi="Cambria Math"/>
                        <w:i/>
                        <w:noProof/>
                        <w:szCs w:val="24"/>
                        <w:shd w:val="clear" w:color="auto" w:fill="FFFFFF"/>
                        <w:lang w:val="en-GB"/>
                      </w:rPr>
                    </m:ctrlPr>
                  </m:naryPr>
                  <m:sub/>
                  <m:sup/>
                  <m:e>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i</m:t>
                        </m:r>
                      </m:sub>
                    </m:sSub>
                  </m:e>
                </m:nary>
              </m:oMath>
            </m:oMathPara>
          </w:p>
        </w:tc>
        <w:tc>
          <w:tcPr>
            <w:tcW w:w="1800" w:type="dxa"/>
            <w:tcBorders>
              <w:top w:val="single" w:sz="4" w:space="0" w:color="auto"/>
              <w:left w:val="nil"/>
              <w:bottom w:val="single" w:sz="4" w:space="0" w:color="auto"/>
              <w:right w:val="nil"/>
            </w:tcBorders>
            <w:hideMark/>
          </w:tcPr>
          <w:p w14:paraId="06941E59"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CDI&lt;5</m:t>
                </m:r>
              </m:oMath>
            </m:oMathPara>
          </w:p>
          <w:p w14:paraId="7B5CF69F"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5&lt;CDI&lt;10</m:t>
                </m:r>
              </m:oMath>
            </m:oMathPara>
          </w:p>
          <w:p w14:paraId="386E3E1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10&lt;CDI&lt;20</m:t>
                </m:r>
              </m:oMath>
            </m:oMathPara>
          </w:p>
          <w:p w14:paraId="78514D86"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CDI&gt;20</m:t>
                </m:r>
              </m:oMath>
            </m:oMathPara>
          </w:p>
        </w:tc>
        <w:tc>
          <w:tcPr>
            <w:tcW w:w="2790" w:type="dxa"/>
            <w:tcBorders>
              <w:top w:val="single" w:sz="4" w:space="0" w:color="auto"/>
              <w:left w:val="nil"/>
              <w:bottom w:val="single" w:sz="4" w:space="0" w:color="auto"/>
              <w:right w:val="nil"/>
            </w:tcBorders>
            <w:hideMark/>
          </w:tcPr>
          <w:p w14:paraId="621804F7"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Low</w:t>
            </w:r>
          </w:p>
          <w:p w14:paraId="4E83582A"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w:t>
            </w:r>
          </w:p>
          <w:p w14:paraId="1FDA1455"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Considerable</w:t>
            </w:r>
          </w:p>
          <w:p w14:paraId="0C4AC8E3"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Very high</w:t>
            </w:r>
          </w:p>
        </w:tc>
        <w:bookmarkEnd w:id="3"/>
      </w:tr>
      <w:tr w:rsidR="00DB2D09" w:rsidRPr="00DB2D09" w14:paraId="094514E4" w14:textId="77777777" w:rsidTr="00A71004">
        <w:trPr>
          <w:trHeight w:val="845"/>
          <w:jc w:val="center"/>
        </w:trPr>
        <w:tc>
          <w:tcPr>
            <w:tcW w:w="2160" w:type="dxa"/>
            <w:tcBorders>
              <w:top w:val="single" w:sz="4" w:space="0" w:color="auto"/>
              <w:left w:val="nil"/>
              <w:bottom w:val="single" w:sz="4" w:space="0" w:color="auto"/>
              <w:right w:val="nil"/>
            </w:tcBorders>
            <w:hideMark/>
          </w:tcPr>
          <w:p w14:paraId="01E5AD5E" w14:textId="77777777" w:rsidR="00DB2D09" w:rsidRPr="00DB2D09" w:rsidRDefault="00DB2D09" w:rsidP="00DB2D09">
            <w:pPr>
              <w:jc w:val="both"/>
              <w:rPr>
                <w:rFonts w:ascii="Times New Roman" w:hAnsi="Times New Roman"/>
                <w:noProof/>
                <w:szCs w:val="24"/>
                <w:shd w:val="clear" w:color="auto" w:fill="FFFFFF"/>
                <w:lang w:val="en-GB"/>
              </w:rPr>
            </w:pPr>
            <w:bookmarkStart w:id="4" w:name="_Hlk166354125"/>
            <w:r w:rsidRPr="00DB2D09">
              <w:rPr>
                <w:rFonts w:ascii="Times New Roman" w:hAnsi="Times New Roman"/>
                <w:noProof/>
                <w:szCs w:val="24"/>
                <w:shd w:val="clear" w:color="auto" w:fill="FFFFFF"/>
                <w:lang w:val="en-GB"/>
              </w:rPr>
              <w:t>Pollution load index (PLI)</w:t>
            </w:r>
          </w:p>
          <w:p w14:paraId="6338B0E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 </w:t>
            </w:r>
          </w:p>
        </w:tc>
        <w:tc>
          <w:tcPr>
            <w:tcW w:w="1980" w:type="dxa"/>
            <w:tcBorders>
              <w:top w:val="single" w:sz="4" w:space="0" w:color="auto"/>
              <w:left w:val="nil"/>
              <w:bottom w:val="single" w:sz="4" w:space="0" w:color="auto"/>
              <w:right w:val="nil"/>
            </w:tcBorders>
          </w:tcPr>
          <w:p w14:paraId="10E8AD1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PLI=</m:t>
                </m:r>
                <m:sSup>
                  <m:sSupPr>
                    <m:ctrlPr>
                      <w:rPr>
                        <w:rFonts w:ascii="Cambria Math" w:hAnsi="Cambria Math"/>
                        <w:i/>
                        <w:noProof/>
                        <w:szCs w:val="24"/>
                        <w:shd w:val="clear" w:color="auto" w:fill="FFFFFF"/>
                        <w:lang w:val="en-GB"/>
                      </w:rPr>
                    </m:ctrlPr>
                  </m:sSupPr>
                  <m:e>
                    <m:d>
                      <m:dPr>
                        <m:ctrlPr>
                          <w:rPr>
                            <w:rFonts w:ascii="Cambria Math" w:hAnsi="Cambria Math"/>
                            <w:i/>
                            <w:noProof/>
                            <w:szCs w:val="24"/>
                            <w:shd w:val="clear" w:color="auto" w:fill="FFFFFF"/>
                            <w:lang w:val="en-GB"/>
                          </w:rPr>
                        </m:ctrlPr>
                      </m:dPr>
                      <m:e>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1</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2</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3</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n</m:t>
                            </m:r>
                          </m:sub>
                        </m:sSub>
                      </m:e>
                    </m:d>
                  </m:e>
                  <m:sup>
                    <m:r>
                      <w:rPr>
                        <w:rFonts w:ascii="Cambria Math" w:hAnsi="Cambria Math"/>
                        <w:noProof/>
                        <w:szCs w:val="24"/>
                        <w:shd w:val="clear" w:color="auto" w:fill="FFFFFF"/>
                        <w:lang w:val="en-GB"/>
                      </w:rPr>
                      <m:t>1/n</m:t>
                    </m:r>
                  </m:sup>
                </m:sSup>
              </m:oMath>
            </m:oMathPara>
          </w:p>
          <w:p w14:paraId="4945749E" w14:textId="77777777" w:rsidR="00DB2D09" w:rsidRPr="00DB2D09" w:rsidRDefault="00DB2D09" w:rsidP="00DB2D09">
            <w:pPr>
              <w:jc w:val="both"/>
              <w:rPr>
                <w:rFonts w:ascii="Times New Roman" w:hAnsi="Times New Roman"/>
                <w:noProof/>
                <w:szCs w:val="24"/>
                <w:shd w:val="clear" w:color="auto" w:fill="FFFFFF"/>
                <w:lang w:val="en-GB"/>
              </w:rPr>
            </w:pPr>
          </w:p>
        </w:tc>
        <w:tc>
          <w:tcPr>
            <w:tcW w:w="1800" w:type="dxa"/>
            <w:tcBorders>
              <w:top w:val="single" w:sz="4" w:space="0" w:color="auto"/>
              <w:left w:val="nil"/>
              <w:bottom w:val="single" w:sz="4" w:space="0" w:color="auto"/>
              <w:right w:val="nil"/>
            </w:tcBorders>
            <w:hideMark/>
          </w:tcPr>
          <w:p w14:paraId="0897B7C1"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PLI&lt;1</m:t>
                </m:r>
              </m:oMath>
            </m:oMathPara>
          </w:p>
          <w:p w14:paraId="3F711F3C"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PLI=1</m:t>
                </m:r>
              </m:oMath>
            </m:oMathPara>
          </w:p>
          <w:p w14:paraId="71C81C82"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PLI&gt;1</m:t>
                </m:r>
              </m:oMath>
            </m:oMathPara>
          </w:p>
        </w:tc>
        <w:tc>
          <w:tcPr>
            <w:tcW w:w="2790" w:type="dxa"/>
            <w:tcBorders>
              <w:top w:val="single" w:sz="4" w:space="0" w:color="auto"/>
              <w:left w:val="nil"/>
              <w:bottom w:val="single" w:sz="4" w:space="0" w:color="auto"/>
              <w:right w:val="nil"/>
            </w:tcBorders>
            <w:hideMark/>
          </w:tcPr>
          <w:p w14:paraId="24FA8DA8"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Perfection</w:t>
            </w:r>
          </w:p>
          <w:p w14:paraId="3B19253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Base line level of pollution </w:t>
            </w:r>
          </w:p>
          <w:p w14:paraId="4EB4CDB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Deterioration of site quality</w:t>
            </w:r>
          </w:p>
        </w:tc>
        <w:bookmarkEnd w:id="4"/>
      </w:tr>
      <w:tr w:rsidR="00DB2D09" w:rsidRPr="00DB2D09" w14:paraId="01F0D6C6" w14:textId="77777777" w:rsidTr="00DB2D09">
        <w:trPr>
          <w:trHeight w:val="1122"/>
          <w:jc w:val="center"/>
        </w:trPr>
        <w:tc>
          <w:tcPr>
            <w:tcW w:w="2160" w:type="dxa"/>
            <w:tcBorders>
              <w:top w:val="single" w:sz="4" w:space="0" w:color="auto"/>
              <w:left w:val="nil"/>
              <w:bottom w:val="single" w:sz="4" w:space="0" w:color="auto"/>
              <w:right w:val="nil"/>
            </w:tcBorders>
            <w:hideMark/>
          </w:tcPr>
          <w:p w14:paraId="3A3F2AC5" w14:textId="77777777" w:rsidR="00DB2D09" w:rsidRPr="00DB2D09" w:rsidRDefault="00DB2D09" w:rsidP="00DB2D09">
            <w:pPr>
              <w:jc w:val="both"/>
              <w:rPr>
                <w:rFonts w:ascii="Times New Roman" w:hAnsi="Times New Roman"/>
                <w:noProof/>
                <w:szCs w:val="24"/>
                <w:shd w:val="clear" w:color="auto" w:fill="FFFFFF"/>
                <w:lang w:val="en-GB"/>
              </w:rPr>
            </w:pPr>
            <w:bookmarkStart w:id="5" w:name="_Hlk166358146"/>
            <w:r w:rsidRPr="00DB2D09">
              <w:rPr>
                <w:rFonts w:ascii="Times New Roman" w:hAnsi="Times New Roman"/>
                <w:noProof/>
                <w:szCs w:val="24"/>
                <w:shd w:val="clear" w:color="auto" w:fill="FFFFFF"/>
                <w:lang w:val="en-GB"/>
              </w:rPr>
              <w:t>Geo-accumulation index (Igeo)</w:t>
            </w:r>
          </w:p>
        </w:tc>
        <w:tc>
          <w:tcPr>
            <w:tcW w:w="1980" w:type="dxa"/>
            <w:tcBorders>
              <w:top w:val="single" w:sz="4" w:space="0" w:color="auto"/>
              <w:left w:val="nil"/>
              <w:bottom w:val="single" w:sz="4" w:space="0" w:color="auto"/>
              <w:right w:val="nil"/>
            </w:tcBorders>
            <w:hideMark/>
          </w:tcPr>
          <w:p w14:paraId="2458AD65"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Igeo=</m:t>
                </m:r>
                <m:func>
                  <m:funcPr>
                    <m:ctrlPr>
                      <w:rPr>
                        <w:rFonts w:ascii="Cambria Math" w:hAnsi="Cambria Math"/>
                        <w:i/>
                        <w:noProof/>
                        <w:szCs w:val="24"/>
                        <w:shd w:val="clear" w:color="auto" w:fill="FFFFFF"/>
                        <w:lang w:val="en-GB"/>
                      </w:rPr>
                    </m:ctrlPr>
                  </m:funcPr>
                  <m:fName>
                    <m:sSub>
                      <m:sSubPr>
                        <m:ctrlPr>
                          <w:rPr>
                            <w:rFonts w:ascii="Cambria Math" w:hAnsi="Cambria Math"/>
                            <w:i/>
                            <w:noProof/>
                            <w:szCs w:val="24"/>
                            <w:shd w:val="clear" w:color="auto" w:fill="FFFFFF"/>
                            <w:lang w:val="en-GB"/>
                          </w:rPr>
                        </m:ctrlPr>
                      </m:sSubPr>
                      <m:e>
                        <m:r>
                          <m:rPr>
                            <m:sty m:val="p"/>
                          </m:rPr>
                          <w:rPr>
                            <w:rFonts w:ascii="Cambria Math" w:hAnsi="Cambria Math"/>
                            <w:noProof/>
                            <w:szCs w:val="24"/>
                            <w:shd w:val="clear" w:color="auto" w:fill="FFFFFF"/>
                            <w:lang w:val="en-GB"/>
                          </w:rPr>
                          <m:t>log</m:t>
                        </m:r>
                      </m:e>
                      <m:sub>
                        <m:r>
                          <w:rPr>
                            <w:rFonts w:ascii="Cambria Math" w:hAnsi="Cambria Math"/>
                            <w:noProof/>
                            <w:szCs w:val="24"/>
                            <w:shd w:val="clear" w:color="auto" w:fill="FFFFFF"/>
                            <w:lang w:val="en-GB"/>
                          </w:rPr>
                          <m:t>2</m:t>
                        </m:r>
                      </m:sub>
                    </m:sSub>
                  </m:fName>
                  <m:e>
                    <m:d>
                      <m:dPr>
                        <m:ctrlPr>
                          <w:rPr>
                            <w:rFonts w:ascii="Cambria Math" w:hAnsi="Cambria Math"/>
                            <w:i/>
                            <w:noProof/>
                            <w:szCs w:val="24"/>
                            <w:shd w:val="clear" w:color="auto" w:fill="FFFFFF"/>
                            <w:lang w:val="en-GB"/>
                          </w:rPr>
                        </m:ctrlPr>
                      </m:dPr>
                      <m:e>
                        <m:f>
                          <m:fPr>
                            <m:type m:val="skw"/>
                            <m:ctrlPr>
                              <w:rPr>
                                <w:rFonts w:ascii="Cambria Math" w:hAnsi="Cambria Math"/>
                                <w:i/>
                                <w:noProof/>
                                <w:szCs w:val="24"/>
                                <w:shd w:val="clear" w:color="auto" w:fill="FFFFFF"/>
                                <w:lang w:val="en-GB"/>
                              </w:rPr>
                            </m:ctrlPr>
                          </m:fPr>
                          <m:num>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m</m:t>
                                </m:r>
                              </m:sub>
                            </m:sSub>
                          </m:num>
                          <m:den>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1.5C</m:t>
                                </m:r>
                              </m:e>
                              <m:sub>
                                <m:r>
                                  <w:rPr>
                                    <w:rFonts w:ascii="Cambria Math" w:hAnsi="Cambria Math"/>
                                    <w:noProof/>
                                    <w:szCs w:val="24"/>
                                    <w:shd w:val="clear" w:color="auto" w:fill="FFFFFF"/>
                                    <w:lang w:val="en-GB"/>
                                  </w:rPr>
                                  <m:t>b</m:t>
                                </m:r>
                              </m:sub>
                            </m:sSub>
                          </m:den>
                        </m:f>
                      </m:e>
                    </m:d>
                  </m:e>
                </m:func>
              </m:oMath>
            </m:oMathPara>
          </w:p>
        </w:tc>
        <w:tc>
          <w:tcPr>
            <w:tcW w:w="1800" w:type="dxa"/>
            <w:tcBorders>
              <w:top w:val="single" w:sz="4" w:space="0" w:color="auto"/>
              <w:left w:val="nil"/>
              <w:bottom w:val="single" w:sz="4" w:space="0" w:color="auto"/>
              <w:right w:val="nil"/>
            </w:tcBorders>
          </w:tcPr>
          <w:p w14:paraId="7900CFC2"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Igeo&lt;0</m:t>
                </m:r>
              </m:oMath>
            </m:oMathPara>
          </w:p>
          <w:p w14:paraId="2F2F3E0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0&lt;Igeo&lt;1</m:t>
                </m:r>
              </m:oMath>
            </m:oMathPara>
          </w:p>
          <w:p w14:paraId="426BC326" w14:textId="77777777" w:rsidR="00DB2D09" w:rsidRPr="00DB2D09" w:rsidRDefault="00DB2D09" w:rsidP="00DB2D09">
            <w:pPr>
              <w:jc w:val="both"/>
              <w:rPr>
                <w:rFonts w:ascii="Times New Roman" w:hAnsi="Times New Roman"/>
                <w:noProof/>
                <w:szCs w:val="24"/>
                <w:shd w:val="clear" w:color="auto" w:fill="FFFFFF"/>
                <w:lang w:val="en-GB"/>
              </w:rPr>
            </w:pPr>
          </w:p>
          <w:p w14:paraId="3B2A6784"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1&lt;Igeo&lt;2</m:t>
                </m:r>
              </m:oMath>
            </m:oMathPara>
          </w:p>
          <w:p w14:paraId="64D1FD35"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2&lt;Igeo&lt;3</m:t>
                </m:r>
              </m:oMath>
            </m:oMathPara>
          </w:p>
          <w:p w14:paraId="66EBB451" w14:textId="77777777" w:rsidR="00DB2D09" w:rsidRPr="00DB2D09" w:rsidRDefault="00DB2D09" w:rsidP="00DB2D09">
            <w:pPr>
              <w:jc w:val="both"/>
              <w:rPr>
                <w:rFonts w:ascii="Times New Roman" w:hAnsi="Times New Roman"/>
                <w:noProof/>
                <w:szCs w:val="24"/>
                <w:shd w:val="clear" w:color="auto" w:fill="FFFFFF"/>
                <w:lang w:val="en-GB"/>
              </w:rPr>
            </w:pPr>
          </w:p>
          <w:p w14:paraId="7B716E00"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3&lt;Igeo&lt;4</m:t>
                </m:r>
              </m:oMath>
            </m:oMathPara>
          </w:p>
          <w:p w14:paraId="4995E964"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4&lt;Igeo&lt;5</m:t>
                </m:r>
              </m:oMath>
            </m:oMathPara>
          </w:p>
          <w:p w14:paraId="172770AE"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Igeo&gt;5</m:t>
                </m:r>
              </m:oMath>
            </m:oMathPara>
          </w:p>
        </w:tc>
        <w:tc>
          <w:tcPr>
            <w:tcW w:w="2790" w:type="dxa"/>
            <w:tcBorders>
              <w:top w:val="single" w:sz="4" w:space="0" w:color="auto"/>
              <w:left w:val="nil"/>
              <w:bottom w:val="single" w:sz="4" w:space="0" w:color="auto"/>
              <w:right w:val="nil"/>
            </w:tcBorders>
            <w:hideMark/>
          </w:tcPr>
          <w:p w14:paraId="5F1A8466"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Uncontaminated </w:t>
            </w:r>
          </w:p>
          <w:p w14:paraId="175617F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Uncontaminated to moderately contaminated </w:t>
            </w:r>
          </w:p>
          <w:p w14:paraId="5CE15F0D"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Moderately contaminated</w:t>
            </w:r>
          </w:p>
          <w:p w14:paraId="4D086225"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Moderately to strongly contaminated</w:t>
            </w:r>
          </w:p>
          <w:p w14:paraId="55A9F8E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Strongly contaminated</w:t>
            </w:r>
          </w:p>
          <w:p w14:paraId="74BEE9D1"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Strongly to extremely contaminated</w:t>
            </w:r>
          </w:p>
          <w:p w14:paraId="5B1CFBB3"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Extremely contaminated</w:t>
            </w:r>
          </w:p>
        </w:tc>
      </w:tr>
    </w:tbl>
    <w:bookmarkEnd w:id="5"/>
    <w:p w14:paraId="0F6C2E1E" w14:textId="77777777" w:rsidR="003E43D9" w:rsidRPr="003E43D9" w:rsidRDefault="00DB2D09" w:rsidP="001368FA">
      <w:pPr>
        <w:pStyle w:val="Body"/>
        <w:spacing w:after="0"/>
        <w:rPr>
          <w:rFonts w:ascii="Times New Roman" w:eastAsia="Calibri" w:hAnsi="Times New Roman"/>
          <w:noProof/>
          <w:sz w:val="24"/>
          <w:szCs w:val="24"/>
          <w:shd w:val="clear" w:color="auto" w:fill="FFFFFF"/>
          <w:lang w:val="en-GB"/>
        </w:rPr>
      </w:pPr>
      <w:r w:rsidRPr="00DB2D09">
        <w:rPr>
          <w:rFonts w:ascii="Times New Roman" w:eastAsia="Calibri" w:hAnsi="Times New Roman"/>
          <w:noProof/>
          <w:sz w:val="24"/>
          <w:szCs w:val="24"/>
          <w:shd w:val="clear" w:color="auto" w:fill="FFFFFF"/>
          <w:lang w:val="en-GB"/>
        </w:rPr>
        <w:t>Where C</w:t>
      </w:r>
      <w:r w:rsidRPr="00DB2D09">
        <w:rPr>
          <w:rFonts w:ascii="Times New Roman" w:eastAsia="Calibri" w:hAnsi="Times New Roman"/>
          <w:noProof/>
          <w:sz w:val="24"/>
          <w:szCs w:val="24"/>
          <w:shd w:val="clear" w:color="auto" w:fill="FFFFFF"/>
          <w:vertAlign w:val="subscript"/>
          <w:lang w:val="en-GB"/>
        </w:rPr>
        <w:t>m</w:t>
      </w:r>
      <w:r w:rsidRPr="00DB2D09">
        <w:rPr>
          <w:rFonts w:ascii="Times New Roman" w:eastAsia="Calibri" w:hAnsi="Times New Roman"/>
          <w:noProof/>
          <w:sz w:val="24"/>
          <w:szCs w:val="24"/>
          <w:shd w:val="clear" w:color="auto" w:fill="FFFFFF"/>
          <w:lang w:val="en-GB"/>
        </w:rPr>
        <w:t xml:space="preserve"> is the measured concentration of the heavy metal,</w:t>
      </w:r>
      <m:oMath>
        <m:r>
          <w:rPr>
            <w:rFonts w:ascii="Cambria Math" w:eastAsia="Calibri" w:hAnsi="Cambria Math"/>
            <w:noProof/>
            <w:sz w:val="24"/>
            <w:szCs w:val="24"/>
            <w:shd w:val="clear" w:color="auto" w:fill="FFFFFF"/>
            <w:lang w:val="en-GB"/>
          </w:rPr>
          <m:t xml:space="preserve"> </m:t>
        </m:r>
        <m:sSub>
          <m:sSubPr>
            <m:ctrlPr>
              <w:rPr>
                <w:rFonts w:ascii="Cambria Math" w:eastAsia="Calibri" w:hAnsi="Cambria Math"/>
                <w:i/>
                <w:noProof/>
                <w:sz w:val="24"/>
                <w:szCs w:val="24"/>
                <w:shd w:val="clear" w:color="auto" w:fill="FFFFFF"/>
              </w:rPr>
            </m:ctrlPr>
          </m:sSubPr>
          <m:e>
            <m:r>
              <w:rPr>
                <w:rFonts w:ascii="Cambria Math" w:eastAsia="Calibri" w:hAnsi="Cambria Math"/>
                <w:noProof/>
                <w:sz w:val="24"/>
                <w:szCs w:val="24"/>
                <w:shd w:val="clear" w:color="auto" w:fill="FFFFFF"/>
              </w:rPr>
              <m:t>C</m:t>
            </m:r>
          </m:e>
          <m:sub>
            <m:r>
              <w:rPr>
                <w:rFonts w:ascii="Cambria Math" w:eastAsia="Calibri" w:hAnsi="Cambria Math"/>
                <w:noProof/>
                <w:sz w:val="24"/>
                <w:szCs w:val="24"/>
                <w:shd w:val="clear" w:color="auto" w:fill="FFFFFF"/>
                <w:lang w:val="en-GB"/>
              </w:rPr>
              <m:t>s</m:t>
            </m:r>
          </m:sub>
        </m:sSub>
      </m:oMath>
      <w:r w:rsidRPr="00DB2D09">
        <w:rPr>
          <w:rFonts w:ascii="Times New Roman" w:eastAsia="Calibri" w:hAnsi="Times New Roman"/>
          <w:noProof/>
          <w:sz w:val="24"/>
          <w:szCs w:val="24"/>
          <w:shd w:val="clear" w:color="auto" w:fill="FFFFFF"/>
          <w:lang w:val="en-GB"/>
        </w:rPr>
        <w:t xml:space="preserve"> i</w:t>
      </w:r>
      <w:r w:rsidR="00E743E3">
        <w:rPr>
          <w:rFonts w:ascii="Times New Roman" w:eastAsia="Calibri" w:hAnsi="Times New Roman"/>
          <w:noProof/>
          <w:sz w:val="24"/>
          <w:szCs w:val="24"/>
          <w:shd w:val="clear" w:color="auto" w:fill="FFFFFF"/>
          <w:lang w:val="en-GB"/>
        </w:rPr>
        <w:t>s the background concentration (Hakanson, 1980;</w:t>
      </w:r>
      <w:r w:rsidR="0079512C">
        <w:rPr>
          <w:rFonts w:ascii="Times New Roman" w:eastAsia="Calibri" w:hAnsi="Times New Roman"/>
          <w:noProof/>
          <w:sz w:val="24"/>
          <w:szCs w:val="24"/>
          <w:shd w:val="clear" w:color="auto" w:fill="FFFFFF"/>
          <w:lang w:val="en-GB"/>
        </w:rPr>
        <w:t xml:space="preserve"> </w:t>
      </w:r>
      <w:r w:rsidR="003E43D9" w:rsidRPr="003E43D9">
        <w:rPr>
          <w:rFonts w:ascii="Times New Roman" w:eastAsia="Calibri" w:hAnsi="Times New Roman"/>
          <w:noProof/>
          <w:sz w:val="24"/>
          <w:szCs w:val="24"/>
          <w:shd w:val="clear" w:color="auto" w:fill="FFFFFF"/>
          <w:lang w:val="en-GB"/>
        </w:rPr>
        <w:t xml:space="preserve">Tomlinson, </w:t>
      </w:r>
      <w:r w:rsidR="003E43D9" w:rsidRPr="002964BD">
        <w:rPr>
          <w:rFonts w:ascii="Times New Roman" w:eastAsia="Calibri" w:hAnsi="Times New Roman"/>
          <w:i/>
          <w:noProof/>
          <w:sz w:val="24"/>
          <w:szCs w:val="24"/>
          <w:shd w:val="clear" w:color="auto" w:fill="FFFFFF"/>
          <w:lang w:val="en-GB"/>
        </w:rPr>
        <w:t>et al</w:t>
      </w:r>
      <w:r w:rsidR="003E43D9">
        <w:rPr>
          <w:rFonts w:ascii="Times New Roman" w:eastAsia="Calibri" w:hAnsi="Times New Roman"/>
          <w:noProof/>
          <w:sz w:val="24"/>
          <w:szCs w:val="24"/>
          <w:shd w:val="clear" w:color="auto" w:fill="FFFFFF"/>
          <w:lang w:val="en-GB"/>
        </w:rPr>
        <w:t xml:space="preserve">., </w:t>
      </w:r>
      <w:r w:rsidR="003E43D9" w:rsidRPr="003E43D9">
        <w:rPr>
          <w:rFonts w:ascii="Times New Roman" w:eastAsia="Calibri" w:hAnsi="Times New Roman"/>
          <w:noProof/>
          <w:sz w:val="24"/>
          <w:szCs w:val="24"/>
          <w:shd w:val="clear" w:color="auto" w:fill="FFFFFF"/>
          <w:lang w:val="en-GB"/>
        </w:rPr>
        <w:t>1980</w:t>
      </w:r>
      <w:r w:rsidR="002964BD">
        <w:rPr>
          <w:rFonts w:ascii="Times New Roman" w:eastAsia="Calibri" w:hAnsi="Times New Roman"/>
          <w:noProof/>
          <w:sz w:val="24"/>
          <w:szCs w:val="24"/>
          <w:shd w:val="clear" w:color="auto" w:fill="FFFFFF"/>
          <w:lang w:val="en-GB"/>
        </w:rPr>
        <w:t xml:space="preserve">; </w:t>
      </w:r>
      <w:r w:rsidR="003E43D9" w:rsidRPr="003E43D9">
        <w:rPr>
          <w:rFonts w:ascii="Times New Roman" w:eastAsia="Calibri" w:hAnsi="Times New Roman"/>
          <w:noProof/>
          <w:sz w:val="24"/>
          <w:szCs w:val="24"/>
          <w:shd w:val="clear" w:color="auto" w:fill="FFFFFF"/>
          <w:lang w:val="en-GB"/>
        </w:rPr>
        <w:t>Muller, 1969).</w:t>
      </w:r>
    </w:p>
    <w:p w14:paraId="4431F39E" w14:textId="77777777" w:rsidR="00D73248" w:rsidRDefault="00D73248" w:rsidP="00032391">
      <w:pPr>
        <w:jc w:val="both"/>
        <w:rPr>
          <w:rFonts w:ascii="Times New Roman" w:hAnsi="Times New Roman"/>
          <w:b/>
          <w:bCs/>
          <w:sz w:val="24"/>
          <w:szCs w:val="24"/>
        </w:rPr>
      </w:pPr>
    </w:p>
    <w:p w14:paraId="4B5BC027"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 xml:space="preserve">3.0 Results and Discussion </w:t>
      </w:r>
    </w:p>
    <w:p w14:paraId="19E76426" w14:textId="77777777" w:rsidR="00032391" w:rsidRDefault="00032391" w:rsidP="00032391">
      <w:pPr>
        <w:jc w:val="both"/>
        <w:rPr>
          <w:rFonts w:ascii="Times New Roman" w:hAnsi="Times New Roman"/>
          <w:b/>
          <w:bCs/>
          <w:sz w:val="24"/>
          <w:szCs w:val="24"/>
        </w:rPr>
      </w:pPr>
    </w:p>
    <w:p w14:paraId="5CF9C052" w14:textId="77777777" w:rsidR="00032391" w:rsidRPr="00032391" w:rsidRDefault="00032391" w:rsidP="00032391">
      <w:pPr>
        <w:jc w:val="both"/>
        <w:rPr>
          <w:rFonts w:ascii="Times New Roman" w:hAnsi="Times New Roman"/>
          <w:b/>
          <w:iCs/>
          <w:sz w:val="24"/>
          <w:szCs w:val="24"/>
        </w:rPr>
      </w:pPr>
      <w:r w:rsidRPr="00032391">
        <w:rPr>
          <w:rFonts w:ascii="Times New Roman" w:hAnsi="Times New Roman"/>
          <w:b/>
          <w:iCs/>
          <w:sz w:val="24"/>
          <w:szCs w:val="24"/>
        </w:rPr>
        <w:t xml:space="preserve">3.1 Heavy Metals Characterization </w:t>
      </w:r>
    </w:p>
    <w:p w14:paraId="745404AB"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 2 showed the range of Cd, Cr, Cu, Fe, Mn, Ni, Pb, and Zn in soil as follows: 4.21-6.80, 4.94-7.38, 10.62-15.20, 1022.00-9055.16, 210.80-316.5, 17.15-27.80, 30.01-43.80, and 12.30-14.80 mg/kg, respectively. All of these metals were below the World Health Organization (WHO) target value of uncontaminated soil except Cd that exceeded the target value of uncontaminated soil </w:t>
      </w:r>
      <w:r w:rsidR="008C5412">
        <w:rPr>
          <w:rFonts w:ascii="Times New Roman" w:hAnsi="Times New Roman"/>
          <w:sz w:val="24"/>
          <w:szCs w:val="24"/>
        </w:rPr>
        <w:t>(</w:t>
      </w:r>
      <w:r w:rsidR="008C5412">
        <w:rPr>
          <w:rFonts w:ascii="Times New Roman" w:hAnsi="Times New Roman"/>
          <w:sz w:val="24"/>
          <w:szCs w:val="24"/>
          <w:lang w:val="en-GB"/>
        </w:rPr>
        <w:t xml:space="preserve">WHO </w:t>
      </w:r>
      <w:r w:rsidR="008C5412" w:rsidRPr="008C5412">
        <w:rPr>
          <w:rFonts w:ascii="Times New Roman" w:hAnsi="Times New Roman"/>
          <w:sz w:val="24"/>
          <w:szCs w:val="24"/>
          <w:lang w:val="en-GB"/>
        </w:rPr>
        <w:t>1996)</w:t>
      </w:r>
      <w:r w:rsidR="008C5412">
        <w:rPr>
          <w:rFonts w:ascii="Times New Roman" w:hAnsi="Times New Roman"/>
          <w:sz w:val="24"/>
          <w:szCs w:val="24"/>
          <w:lang w:val="en-GB"/>
        </w:rPr>
        <w:t>.</w:t>
      </w:r>
      <w:r w:rsidR="008C5412">
        <w:rPr>
          <w:rFonts w:ascii="Times New Roman" w:hAnsi="Times New Roman"/>
          <w:sz w:val="24"/>
          <w:szCs w:val="24"/>
        </w:rPr>
        <w:t xml:space="preserve"> </w:t>
      </w:r>
      <w:r>
        <w:rPr>
          <w:rFonts w:ascii="Times New Roman" w:hAnsi="Times New Roman"/>
          <w:sz w:val="24"/>
          <w:szCs w:val="24"/>
        </w:rPr>
        <w:t xml:space="preserve">Cd concentrations ranges from 4.21 mg/kg to 6.8 mg/kg in the study area. The Cd concentrations were higher than those reported </w:t>
      </w:r>
      <w:r w:rsidR="006F4B43">
        <w:rPr>
          <w:rFonts w:ascii="Times New Roman" w:hAnsi="Times New Roman"/>
          <w:sz w:val="24"/>
          <w:szCs w:val="24"/>
        </w:rPr>
        <w:t>by previous works (</w:t>
      </w:r>
      <w:r w:rsidR="006F4B43" w:rsidRPr="006F4B43">
        <w:rPr>
          <w:rFonts w:ascii="Times New Roman" w:hAnsi="Times New Roman"/>
          <w:sz w:val="24"/>
          <w:szCs w:val="24"/>
          <w:lang w:val="en-GB"/>
        </w:rPr>
        <w:t>Ogundele</w:t>
      </w:r>
      <w:r w:rsidR="006F4B43">
        <w:rPr>
          <w:rFonts w:ascii="Times New Roman" w:hAnsi="Times New Roman"/>
          <w:sz w:val="24"/>
          <w:szCs w:val="24"/>
          <w:lang w:val="en-GB"/>
        </w:rPr>
        <w:t xml:space="preserve"> </w:t>
      </w:r>
      <w:r w:rsidR="006F4B43" w:rsidRPr="006F4B43">
        <w:rPr>
          <w:rFonts w:ascii="Times New Roman" w:hAnsi="Times New Roman"/>
          <w:i/>
          <w:sz w:val="24"/>
          <w:szCs w:val="24"/>
          <w:lang w:val="en-GB"/>
        </w:rPr>
        <w:t>et al</w:t>
      </w:r>
      <w:r w:rsidR="006F4B43">
        <w:rPr>
          <w:rFonts w:ascii="Times New Roman" w:hAnsi="Times New Roman"/>
          <w:sz w:val="24"/>
          <w:szCs w:val="24"/>
          <w:lang w:val="en-GB"/>
        </w:rPr>
        <w:t xml:space="preserve">., </w:t>
      </w:r>
      <w:r w:rsidR="006F4B43" w:rsidRPr="006F4B43">
        <w:rPr>
          <w:rFonts w:ascii="Times New Roman" w:hAnsi="Times New Roman"/>
          <w:sz w:val="24"/>
          <w:szCs w:val="24"/>
          <w:lang w:val="en-GB"/>
        </w:rPr>
        <w:t>2015).</w:t>
      </w:r>
      <w:r>
        <w:rPr>
          <w:rFonts w:ascii="Times New Roman" w:hAnsi="Times New Roman"/>
          <w:sz w:val="24"/>
          <w:szCs w:val="24"/>
        </w:rPr>
        <w:t xml:space="preserve"> High Cd concentration in this study may be as a result of fossil fuels combustion such as </w:t>
      </w:r>
      <w:r>
        <w:rPr>
          <w:rFonts w:ascii="Times New Roman" w:hAnsi="Times New Roman"/>
          <w:sz w:val="24"/>
          <w:szCs w:val="24"/>
        </w:rPr>
        <w:lastRenderedPageBreak/>
        <w:t xml:space="preserve">oil and incineration of municipal waste such as plastics which may suggests potential environmental and health risk.  </w:t>
      </w:r>
    </w:p>
    <w:p w14:paraId="56441020" w14:textId="77777777" w:rsidR="00032391" w:rsidRDefault="00032391" w:rsidP="00032391">
      <w:pPr>
        <w:jc w:val="both"/>
        <w:rPr>
          <w:rFonts w:ascii="Times New Roman" w:hAnsi="Times New Roman"/>
          <w:b/>
          <w:sz w:val="24"/>
          <w:szCs w:val="24"/>
          <w:shd w:val="clear" w:color="auto" w:fill="FFFFFF"/>
          <w:lang w:val="en-GB"/>
        </w:rPr>
      </w:pPr>
    </w:p>
    <w:p w14:paraId="0C2B8D25"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2: </w:t>
      </w:r>
      <w:r>
        <w:rPr>
          <w:rFonts w:ascii="Times New Roman" w:hAnsi="Times New Roman"/>
          <w:sz w:val="24"/>
          <w:szCs w:val="24"/>
          <w:shd w:val="clear" w:color="auto" w:fill="FFFFFF"/>
          <w:lang w:val="en-GB"/>
        </w:rPr>
        <w:t xml:space="preserve">Concentrations of the Heavy Metals Measured in Road Site Soils in </w:t>
      </w:r>
      <w:proofErr w:type="spellStart"/>
      <w:r>
        <w:rPr>
          <w:rFonts w:ascii="Times New Roman" w:hAnsi="Times New Roman"/>
          <w:sz w:val="24"/>
          <w:szCs w:val="24"/>
          <w:shd w:val="clear" w:color="auto" w:fill="FFFFFF"/>
          <w:lang w:val="en-GB"/>
        </w:rPr>
        <w:t>Eket</w:t>
      </w:r>
      <w:proofErr w:type="spellEnd"/>
    </w:p>
    <w:tbl>
      <w:tblPr>
        <w:tblStyle w:val="TableGrid"/>
        <w:tblpPr w:leftFromText="180" w:rightFromText="180" w:vertAnchor="text" w:tblpXSpec="center" w:tblpY="1"/>
        <w:tblOverlap w:val="never"/>
        <w:tblW w:w="89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332"/>
        <w:gridCol w:w="1278"/>
        <w:gridCol w:w="1350"/>
        <w:gridCol w:w="2160"/>
      </w:tblGrid>
      <w:tr w:rsidR="002A09CD" w14:paraId="1809C8CF" w14:textId="77777777" w:rsidTr="003B77C6">
        <w:trPr>
          <w:trHeight w:val="694"/>
        </w:trPr>
        <w:tc>
          <w:tcPr>
            <w:tcW w:w="1530" w:type="dxa"/>
            <w:tcBorders>
              <w:top w:val="single" w:sz="4" w:space="0" w:color="auto"/>
              <w:left w:val="nil"/>
              <w:bottom w:val="single" w:sz="4" w:space="0" w:color="auto"/>
              <w:right w:val="nil"/>
            </w:tcBorders>
            <w:hideMark/>
          </w:tcPr>
          <w:p w14:paraId="7DD27F0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Heavy Metals </w:t>
            </w:r>
          </w:p>
        </w:tc>
        <w:tc>
          <w:tcPr>
            <w:tcW w:w="1260" w:type="dxa"/>
            <w:tcBorders>
              <w:top w:val="single" w:sz="4" w:space="0" w:color="auto"/>
              <w:left w:val="nil"/>
              <w:bottom w:val="single" w:sz="4" w:space="0" w:color="auto"/>
              <w:right w:val="nil"/>
            </w:tcBorders>
          </w:tcPr>
          <w:p w14:paraId="0F6057C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p w14:paraId="7E137F1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332" w:type="dxa"/>
            <w:tcBorders>
              <w:top w:val="single" w:sz="4" w:space="0" w:color="auto"/>
              <w:left w:val="nil"/>
              <w:bottom w:val="single" w:sz="4" w:space="0" w:color="auto"/>
              <w:right w:val="nil"/>
            </w:tcBorders>
          </w:tcPr>
          <w:p w14:paraId="4CFECE5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p w14:paraId="663E187F"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278" w:type="dxa"/>
            <w:tcBorders>
              <w:top w:val="single" w:sz="4" w:space="0" w:color="auto"/>
              <w:left w:val="nil"/>
              <w:bottom w:val="single" w:sz="4" w:space="0" w:color="auto"/>
              <w:right w:val="nil"/>
            </w:tcBorders>
          </w:tcPr>
          <w:p w14:paraId="773EB1E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p w14:paraId="3B3AD43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350" w:type="dxa"/>
            <w:tcBorders>
              <w:top w:val="single" w:sz="4" w:space="0" w:color="auto"/>
              <w:left w:val="nil"/>
              <w:bottom w:val="single" w:sz="4" w:space="0" w:color="auto"/>
              <w:right w:val="nil"/>
            </w:tcBorders>
          </w:tcPr>
          <w:p w14:paraId="5AECF75C"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p w14:paraId="4FDA5E0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2160" w:type="dxa"/>
            <w:tcBorders>
              <w:top w:val="single" w:sz="4" w:space="0" w:color="auto"/>
              <w:left w:val="nil"/>
              <w:bottom w:val="single" w:sz="4" w:space="0" w:color="auto"/>
              <w:right w:val="nil"/>
            </w:tcBorders>
            <w:hideMark/>
          </w:tcPr>
          <w:p w14:paraId="0756626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WHO Target value of soil mg/kg</w:t>
            </w:r>
          </w:p>
        </w:tc>
      </w:tr>
      <w:tr w:rsidR="002A09CD" w14:paraId="1243BDF8" w14:textId="77777777" w:rsidTr="003B77C6">
        <w:trPr>
          <w:trHeight w:val="224"/>
        </w:trPr>
        <w:tc>
          <w:tcPr>
            <w:tcW w:w="1530" w:type="dxa"/>
            <w:tcBorders>
              <w:top w:val="single" w:sz="4" w:space="0" w:color="auto"/>
              <w:left w:val="nil"/>
              <w:bottom w:val="nil"/>
              <w:right w:val="nil"/>
            </w:tcBorders>
            <w:hideMark/>
          </w:tcPr>
          <w:p w14:paraId="4A697A4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260" w:type="dxa"/>
            <w:tcBorders>
              <w:top w:val="single" w:sz="4" w:space="0" w:color="auto"/>
              <w:left w:val="nil"/>
              <w:bottom w:val="nil"/>
              <w:right w:val="nil"/>
            </w:tcBorders>
          </w:tcPr>
          <w:p w14:paraId="4B85B2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5.02</w:t>
            </w:r>
          </w:p>
        </w:tc>
        <w:tc>
          <w:tcPr>
            <w:tcW w:w="1332" w:type="dxa"/>
            <w:tcBorders>
              <w:top w:val="single" w:sz="4" w:space="0" w:color="auto"/>
              <w:left w:val="nil"/>
              <w:bottom w:val="nil"/>
              <w:right w:val="nil"/>
            </w:tcBorders>
          </w:tcPr>
          <w:p w14:paraId="6315A45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4.21</w:t>
            </w:r>
          </w:p>
        </w:tc>
        <w:tc>
          <w:tcPr>
            <w:tcW w:w="1278" w:type="dxa"/>
            <w:tcBorders>
              <w:top w:val="single" w:sz="4" w:space="0" w:color="auto"/>
              <w:left w:val="nil"/>
              <w:bottom w:val="nil"/>
              <w:right w:val="nil"/>
            </w:tcBorders>
          </w:tcPr>
          <w:p w14:paraId="504D6C5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6.80</w:t>
            </w:r>
          </w:p>
        </w:tc>
        <w:tc>
          <w:tcPr>
            <w:tcW w:w="1350" w:type="dxa"/>
            <w:tcBorders>
              <w:top w:val="single" w:sz="4" w:space="0" w:color="auto"/>
              <w:left w:val="nil"/>
              <w:bottom w:val="nil"/>
              <w:right w:val="nil"/>
            </w:tcBorders>
          </w:tcPr>
          <w:p w14:paraId="45418F2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4.33</w:t>
            </w:r>
          </w:p>
        </w:tc>
        <w:tc>
          <w:tcPr>
            <w:tcW w:w="2160" w:type="dxa"/>
            <w:tcBorders>
              <w:top w:val="single" w:sz="4" w:space="0" w:color="auto"/>
              <w:left w:val="nil"/>
              <w:bottom w:val="nil"/>
              <w:right w:val="nil"/>
            </w:tcBorders>
            <w:hideMark/>
          </w:tcPr>
          <w:p w14:paraId="7F1CE32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0.8</w:t>
            </w:r>
          </w:p>
        </w:tc>
      </w:tr>
      <w:tr w:rsidR="002A09CD" w14:paraId="46E9C3DB" w14:textId="77777777" w:rsidTr="003B77C6">
        <w:trPr>
          <w:trHeight w:val="224"/>
        </w:trPr>
        <w:tc>
          <w:tcPr>
            <w:tcW w:w="1530" w:type="dxa"/>
            <w:tcBorders>
              <w:top w:val="nil"/>
              <w:left w:val="nil"/>
              <w:bottom w:val="nil"/>
              <w:right w:val="nil"/>
            </w:tcBorders>
            <w:hideMark/>
          </w:tcPr>
          <w:p w14:paraId="4BDB826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260" w:type="dxa"/>
            <w:tcBorders>
              <w:top w:val="nil"/>
              <w:left w:val="nil"/>
              <w:bottom w:val="nil"/>
              <w:right w:val="nil"/>
            </w:tcBorders>
          </w:tcPr>
          <w:p w14:paraId="3F2567F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4.94</w:t>
            </w:r>
          </w:p>
        </w:tc>
        <w:tc>
          <w:tcPr>
            <w:tcW w:w="1332" w:type="dxa"/>
            <w:tcBorders>
              <w:top w:val="nil"/>
              <w:left w:val="nil"/>
              <w:bottom w:val="nil"/>
              <w:right w:val="nil"/>
            </w:tcBorders>
          </w:tcPr>
          <w:p w14:paraId="1911D5A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7.38</w:t>
            </w:r>
          </w:p>
        </w:tc>
        <w:tc>
          <w:tcPr>
            <w:tcW w:w="1278" w:type="dxa"/>
            <w:tcBorders>
              <w:top w:val="nil"/>
              <w:left w:val="nil"/>
              <w:bottom w:val="nil"/>
              <w:right w:val="nil"/>
            </w:tcBorders>
          </w:tcPr>
          <w:p w14:paraId="5C3D61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5.63</w:t>
            </w:r>
          </w:p>
        </w:tc>
        <w:tc>
          <w:tcPr>
            <w:tcW w:w="1350" w:type="dxa"/>
            <w:tcBorders>
              <w:top w:val="nil"/>
              <w:left w:val="nil"/>
              <w:bottom w:val="nil"/>
              <w:right w:val="nil"/>
            </w:tcBorders>
          </w:tcPr>
          <w:p w14:paraId="39C2CD3B"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6.17</w:t>
            </w:r>
          </w:p>
        </w:tc>
        <w:tc>
          <w:tcPr>
            <w:tcW w:w="2160" w:type="dxa"/>
            <w:tcBorders>
              <w:top w:val="nil"/>
              <w:left w:val="nil"/>
              <w:bottom w:val="nil"/>
              <w:right w:val="nil"/>
            </w:tcBorders>
            <w:hideMark/>
          </w:tcPr>
          <w:p w14:paraId="01481F6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100</w:t>
            </w:r>
          </w:p>
        </w:tc>
      </w:tr>
      <w:tr w:rsidR="002A09CD" w14:paraId="3683D87D" w14:textId="77777777" w:rsidTr="003B77C6">
        <w:trPr>
          <w:trHeight w:val="224"/>
        </w:trPr>
        <w:tc>
          <w:tcPr>
            <w:tcW w:w="1530" w:type="dxa"/>
            <w:tcBorders>
              <w:top w:val="nil"/>
              <w:left w:val="nil"/>
              <w:bottom w:val="nil"/>
              <w:right w:val="nil"/>
            </w:tcBorders>
            <w:hideMark/>
          </w:tcPr>
          <w:p w14:paraId="110B71B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260" w:type="dxa"/>
            <w:tcBorders>
              <w:top w:val="nil"/>
              <w:left w:val="nil"/>
              <w:bottom w:val="nil"/>
              <w:right w:val="nil"/>
            </w:tcBorders>
          </w:tcPr>
          <w:p w14:paraId="7F155D0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12.02</w:t>
            </w:r>
          </w:p>
        </w:tc>
        <w:tc>
          <w:tcPr>
            <w:tcW w:w="1332" w:type="dxa"/>
            <w:tcBorders>
              <w:top w:val="nil"/>
              <w:left w:val="nil"/>
              <w:bottom w:val="nil"/>
              <w:right w:val="nil"/>
            </w:tcBorders>
          </w:tcPr>
          <w:p w14:paraId="719ECB8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11.05</w:t>
            </w:r>
          </w:p>
        </w:tc>
        <w:tc>
          <w:tcPr>
            <w:tcW w:w="1278" w:type="dxa"/>
            <w:tcBorders>
              <w:top w:val="nil"/>
              <w:left w:val="nil"/>
              <w:bottom w:val="nil"/>
              <w:right w:val="nil"/>
            </w:tcBorders>
          </w:tcPr>
          <w:p w14:paraId="73F3E3B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15.20</w:t>
            </w:r>
          </w:p>
        </w:tc>
        <w:tc>
          <w:tcPr>
            <w:tcW w:w="1350" w:type="dxa"/>
            <w:tcBorders>
              <w:top w:val="nil"/>
              <w:left w:val="nil"/>
              <w:bottom w:val="nil"/>
              <w:right w:val="nil"/>
            </w:tcBorders>
          </w:tcPr>
          <w:p w14:paraId="6E7401A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10.62</w:t>
            </w:r>
          </w:p>
        </w:tc>
        <w:tc>
          <w:tcPr>
            <w:tcW w:w="2160" w:type="dxa"/>
            <w:tcBorders>
              <w:top w:val="nil"/>
              <w:left w:val="nil"/>
              <w:bottom w:val="nil"/>
              <w:right w:val="nil"/>
            </w:tcBorders>
            <w:hideMark/>
          </w:tcPr>
          <w:p w14:paraId="73704E9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36</w:t>
            </w:r>
          </w:p>
        </w:tc>
      </w:tr>
      <w:tr w:rsidR="002A09CD" w14:paraId="689D9159" w14:textId="77777777" w:rsidTr="003B77C6">
        <w:trPr>
          <w:trHeight w:val="240"/>
        </w:trPr>
        <w:tc>
          <w:tcPr>
            <w:tcW w:w="1530" w:type="dxa"/>
            <w:tcBorders>
              <w:top w:val="nil"/>
              <w:left w:val="nil"/>
              <w:bottom w:val="nil"/>
              <w:right w:val="nil"/>
            </w:tcBorders>
            <w:hideMark/>
          </w:tcPr>
          <w:p w14:paraId="7B1500F5"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Fe</w:t>
            </w:r>
          </w:p>
        </w:tc>
        <w:tc>
          <w:tcPr>
            <w:tcW w:w="1260" w:type="dxa"/>
            <w:tcBorders>
              <w:top w:val="nil"/>
              <w:left w:val="nil"/>
              <w:bottom w:val="nil"/>
              <w:right w:val="nil"/>
            </w:tcBorders>
          </w:tcPr>
          <w:p w14:paraId="6FD2B72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9055.16</w:t>
            </w:r>
          </w:p>
        </w:tc>
        <w:tc>
          <w:tcPr>
            <w:tcW w:w="1332" w:type="dxa"/>
            <w:tcBorders>
              <w:top w:val="nil"/>
              <w:left w:val="nil"/>
              <w:bottom w:val="nil"/>
              <w:right w:val="nil"/>
            </w:tcBorders>
          </w:tcPr>
          <w:p w14:paraId="01C85E3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8075.10</w:t>
            </w:r>
          </w:p>
        </w:tc>
        <w:tc>
          <w:tcPr>
            <w:tcW w:w="1278" w:type="dxa"/>
            <w:tcBorders>
              <w:top w:val="nil"/>
              <w:left w:val="nil"/>
              <w:bottom w:val="nil"/>
              <w:right w:val="nil"/>
            </w:tcBorders>
          </w:tcPr>
          <w:p w14:paraId="7ED2DC6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1022.00</w:t>
            </w:r>
          </w:p>
        </w:tc>
        <w:tc>
          <w:tcPr>
            <w:tcW w:w="1350" w:type="dxa"/>
            <w:tcBorders>
              <w:top w:val="nil"/>
              <w:left w:val="nil"/>
              <w:bottom w:val="nil"/>
              <w:right w:val="nil"/>
            </w:tcBorders>
          </w:tcPr>
          <w:p w14:paraId="7A5E9B15"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9011.11</w:t>
            </w:r>
          </w:p>
        </w:tc>
        <w:tc>
          <w:tcPr>
            <w:tcW w:w="2160" w:type="dxa"/>
            <w:tcBorders>
              <w:top w:val="nil"/>
              <w:left w:val="nil"/>
              <w:bottom w:val="nil"/>
              <w:right w:val="nil"/>
            </w:tcBorders>
            <w:hideMark/>
          </w:tcPr>
          <w:p w14:paraId="1A707DF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50,000</w:t>
            </w:r>
          </w:p>
        </w:tc>
      </w:tr>
      <w:tr w:rsidR="002A09CD" w14:paraId="4BAD0E07" w14:textId="77777777" w:rsidTr="003B77C6">
        <w:trPr>
          <w:trHeight w:val="224"/>
        </w:trPr>
        <w:tc>
          <w:tcPr>
            <w:tcW w:w="1530" w:type="dxa"/>
            <w:tcBorders>
              <w:top w:val="nil"/>
              <w:left w:val="nil"/>
              <w:bottom w:val="nil"/>
              <w:right w:val="nil"/>
            </w:tcBorders>
            <w:hideMark/>
          </w:tcPr>
          <w:p w14:paraId="7FDDDFA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260" w:type="dxa"/>
            <w:tcBorders>
              <w:top w:val="nil"/>
              <w:left w:val="nil"/>
              <w:bottom w:val="nil"/>
              <w:right w:val="nil"/>
            </w:tcBorders>
          </w:tcPr>
          <w:p w14:paraId="7DD98E6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297.38</w:t>
            </w:r>
          </w:p>
        </w:tc>
        <w:tc>
          <w:tcPr>
            <w:tcW w:w="1332" w:type="dxa"/>
            <w:tcBorders>
              <w:top w:val="nil"/>
              <w:left w:val="nil"/>
              <w:bottom w:val="nil"/>
              <w:right w:val="nil"/>
            </w:tcBorders>
          </w:tcPr>
          <w:p w14:paraId="1E3856E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210.80</w:t>
            </w:r>
          </w:p>
        </w:tc>
        <w:tc>
          <w:tcPr>
            <w:tcW w:w="1278" w:type="dxa"/>
            <w:tcBorders>
              <w:top w:val="nil"/>
              <w:left w:val="nil"/>
              <w:bottom w:val="nil"/>
              <w:right w:val="nil"/>
            </w:tcBorders>
          </w:tcPr>
          <w:p w14:paraId="726A24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316.5</w:t>
            </w:r>
          </w:p>
        </w:tc>
        <w:tc>
          <w:tcPr>
            <w:tcW w:w="1350" w:type="dxa"/>
            <w:tcBorders>
              <w:top w:val="nil"/>
              <w:left w:val="nil"/>
              <w:bottom w:val="nil"/>
              <w:right w:val="nil"/>
            </w:tcBorders>
          </w:tcPr>
          <w:p w14:paraId="6CF7A08E"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305.19</w:t>
            </w:r>
          </w:p>
        </w:tc>
        <w:tc>
          <w:tcPr>
            <w:tcW w:w="2160" w:type="dxa"/>
            <w:tcBorders>
              <w:top w:val="nil"/>
              <w:left w:val="nil"/>
              <w:bottom w:val="nil"/>
              <w:right w:val="nil"/>
            </w:tcBorders>
            <w:hideMark/>
          </w:tcPr>
          <w:p w14:paraId="72D760E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2,000</w:t>
            </w:r>
          </w:p>
        </w:tc>
      </w:tr>
      <w:tr w:rsidR="002A09CD" w14:paraId="77115223" w14:textId="77777777" w:rsidTr="003B77C6">
        <w:trPr>
          <w:trHeight w:val="224"/>
        </w:trPr>
        <w:tc>
          <w:tcPr>
            <w:tcW w:w="1530" w:type="dxa"/>
            <w:tcBorders>
              <w:top w:val="nil"/>
              <w:left w:val="nil"/>
              <w:bottom w:val="nil"/>
              <w:right w:val="nil"/>
            </w:tcBorders>
            <w:hideMark/>
          </w:tcPr>
          <w:p w14:paraId="48FFFE7B"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260" w:type="dxa"/>
            <w:tcBorders>
              <w:top w:val="nil"/>
              <w:left w:val="nil"/>
              <w:bottom w:val="nil"/>
              <w:right w:val="nil"/>
            </w:tcBorders>
          </w:tcPr>
          <w:p w14:paraId="1FD289A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17.15</w:t>
            </w:r>
          </w:p>
        </w:tc>
        <w:tc>
          <w:tcPr>
            <w:tcW w:w="1332" w:type="dxa"/>
            <w:tcBorders>
              <w:top w:val="nil"/>
              <w:left w:val="nil"/>
              <w:bottom w:val="nil"/>
              <w:right w:val="nil"/>
            </w:tcBorders>
          </w:tcPr>
          <w:p w14:paraId="6AF7A4C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27.80</w:t>
            </w:r>
          </w:p>
        </w:tc>
        <w:tc>
          <w:tcPr>
            <w:tcW w:w="1278" w:type="dxa"/>
            <w:tcBorders>
              <w:top w:val="nil"/>
              <w:left w:val="nil"/>
              <w:bottom w:val="nil"/>
              <w:right w:val="nil"/>
            </w:tcBorders>
          </w:tcPr>
          <w:p w14:paraId="39787F3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21.00</w:t>
            </w:r>
          </w:p>
        </w:tc>
        <w:tc>
          <w:tcPr>
            <w:tcW w:w="1350" w:type="dxa"/>
            <w:tcBorders>
              <w:top w:val="nil"/>
              <w:left w:val="nil"/>
              <w:bottom w:val="nil"/>
              <w:right w:val="nil"/>
            </w:tcBorders>
          </w:tcPr>
          <w:p w14:paraId="5EB4570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20.61</w:t>
            </w:r>
          </w:p>
        </w:tc>
        <w:tc>
          <w:tcPr>
            <w:tcW w:w="2160" w:type="dxa"/>
            <w:tcBorders>
              <w:top w:val="nil"/>
              <w:left w:val="nil"/>
              <w:bottom w:val="nil"/>
              <w:right w:val="nil"/>
            </w:tcBorders>
            <w:hideMark/>
          </w:tcPr>
          <w:p w14:paraId="477BE51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35</w:t>
            </w:r>
          </w:p>
        </w:tc>
      </w:tr>
      <w:tr w:rsidR="002A09CD" w14:paraId="22964F35" w14:textId="77777777" w:rsidTr="003B77C6">
        <w:trPr>
          <w:trHeight w:val="240"/>
        </w:trPr>
        <w:tc>
          <w:tcPr>
            <w:tcW w:w="1530" w:type="dxa"/>
            <w:tcBorders>
              <w:top w:val="nil"/>
              <w:left w:val="nil"/>
              <w:bottom w:val="nil"/>
              <w:right w:val="nil"/>
            </w:tcBorders>
            <w:hideMark/>
          </w:tcPr>
          <w:p w14:paraId="6E8909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260" w:type="dxa"/>
            <w:tcBorders>
              <w:top w:val="nil"/>
              <w:left w:val="nil"/>
              <w:bottom w:val="nil"/>
              <w:right w:val="nil"/>
            </w:tcBorders>
          </w:tcPr>
          <w:p w14:paraId="1A36506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30.01</w:t>
            </w:r>
          </w:p>
        </w:tc>
        <w:tc>
          <w:tcPr>
            <w:tcW w:w="1332" w:type="dxa"/>
            <w:tcBorders>
              <w:top w:val="nil"/>
              <w:left w:val="nil"/>
              <w:bottom w:val="nil"/>
              <w:right w:val="nil"/>
            </w:tcBorders>
          </w:tcPr>
          <w:p w14:paraId="30B71DE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43.80</w:t>
            </w:r>
          </w:p>
        </w:tc>
        <w:tc>
          <w:tcPr>
            <w:tcW w:w="1278" w:type="dxa"/>
            <w:tcBorders>
              <w:top w:val="nil"/>
              <w:left w:val="nil"/>
              <w:bottom w:val="nil"/>
              <w:right w:val="nil"/>
            </w:tcBorders>
          </w:tcPr>
          <w:p w14:paraId="7C03711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36.80</w:t>
            </w:r>
          </w:p>
        </w:tc>
        <w:tc>
          <w:tcPr>
            <w:tcW w:w="1350" w:type="dxa"/>
            <w:tcBorders>
              <w:top w:val="nil"/>
              <w:left w:val="nil"/>
              <w:bottom w:val="nil"/>
              <w:right w:val="nil"/>
            </w:tcBorders>
          </w:tcPr>
          <w:p w14:paraId="2B15C2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32.03</w:t>
            </w:r>
          </w:p>
        </w:tc>
        <w:tc>
          <w:tcPr>
            <w:tcW w:w="2160" w:type="dxa"/>
            <w:tcBorders>
              <w:top w:val="nil"/>
              <w:left w:val="nil"/>
              <w:bottom w:val="nil"/>
              <w:right w:val="nil"/>
            </w:tcBorders>
            <w:hideMark/>
          </w:tcPr>
          <w:p w14:paraId="7CCB695F"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85</w:t>
            </w:r>
          </w:p>
        </w:tc>
      </w:tr>
      <w:tr w:rsidR="002A09CD" w14:paraId="409C54EE" w14:textId="77777777" w:rsidTr="003B77C6">
        <w:trPr>
          <w:trHeight w:val="224"/>
        </w:trPr>
        <w:tc>
          <w:tcPr>
            <w:tcW w:w="1530" w:type="dxa"/>
            <w:tcBorders>
              <w:top w:val="nil"/>
              <w:left w:val="nil"/>
              <w:bottom w:val="single" w:sz="4" w:space="0" w:color="auto"/>
              <w:right w:val="nil"/>
            </w:tcBorders>
            <w:hideMark/>
          </w:tcPr>
          <w:p w14:paraId="7B697B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260" w:type="dxa"/>
            <w:tcBorders>
              <w:top w:val="nil"/>
              <w:left w:val="nil"/>
              <w:bottom w:val="single" w:sz="4" w:space="0" w:color="auto"/>
              <w:right w:val="nil"/>
            </w:tcBorders>
          </w:tcPr>
          <w:p w14:paraId="18A4359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12.68</w:t>
            </w:r>
          </w:p>
        </w:tc>
        <w:tc>
          <w:tcPr>
            <w:tcW w:w="1332" w:type="dxa"/>
            <w:tcBorders>
              <w:top w:val="nil"/>
              <w:left w:val="nil"/>
              <w:bottom w:val="single" w:sz="4" w:space="0" w:color="auto"/>
              <w:right w:val="nil"/>
            </w:tcBorders>
          </w:tcPr>
          <w:p w14:paraId="6EA7BA3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12.30</w:t>
            </w:r>
          </w:p>
        </w:tc>
        <w:tc>
          <w:tcPr>
            <w:tcW w:w="1278" w:type="dxa"/>
            <w:tcBorders>
              <w:top w:val="nil"/>
              <w:left w:val="nil"/>
              <w:bottom w:val="single" w:sz="4" w:space="0" w:color="auto"/>
              <w:right w:val="nil"/>
            </w:tcBorders>
          </w:tcPr>
          <w:p w14:paraId="33A0A9B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14.80</w:t>
            </w:r>
          </w:p>
        </w:tc>
        <w:tc>
          <w:tcPr>
            <w:tcW w:w="1350" w:type="dxa"/>
            <w:tcBorders>
              <w:top w:val="nil"/>
              <w:left w:val="nil"/>
              <w:bottom w:val="single" w:sz="4" w:space="0" w:color="auto"/>
              <w:right w:val="nil"/>
            </w:tcBorders>
          </w:tcPr>
          <w:p w14:paraId="359B157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13.41</w:t>
            </w:r>
          </w:p>
        </w:tc>
        <w:tc>
          <w:tcPr>
            <w:tcW w:w="2160" w:type="dxa"/>
            <w:tcBorders>
              <w:top w:val="nil"/>
              <w:left w:val="nil"/>
              <w:bottom w:val="single" w:sz="4" w:space="0" w:color="auto"/>
              <w:right w:val="nil"/>
            </w:tcBorders>
            <w:hideMark/>
          </w:tcPr>
          <w:p w14:paraId="19933D1E"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w:t>
            </w:r>
          </w:p>
        </w:tc>
      </w:tr>
    </w:tbl>
    <w:p w14:paraId="48730EAB" w14:textId="77777777" w:rsidR="00032391" w:rsidRDefault="00032391" w:rsidP="00032391">
      <w:pPr>
        <w:jc w:val="both"/>
        <w:rPr>
          <w:rFonts w:ascii="Times New Roman" w:hAnsi="Times New Roman"/>
          <w:noProof/>
          <w:sz w:val="24"/>
          <w:szCs w:val="24"/>
        </w:rPr>
      </w:pPr>
    </w:p>
    <w:p w14:paraId="010698A8" w14:textId="77777777" w:rsidR="00E72791" w:rsidRDefault="00E72791" w:rsidP="00032391">
      <w:pPr>
        <w:jc w:val="both"/>
        <w:rPr>
          <w:rFonts w:ascii="Times New Roman" w:hAnsi="Times New Roman"/>
          <w:b/>
          <w:bCs/>
          <w:sz w:val="24"/>
          <w:szCs w:val="24"/>
        </w:rPr>
      </w:pPr>
    </w:p>
    <w:p w14:paraId="751B1309" w14:textId="77777777" w:rsidR="00E72791" w:rsidRDefault="00E72791" w:rsidP="00032391">
      <w:pPr>
        <w:jc w:val="both"/>
        <w:rPr>
          <w:rFonts w:ascii="Times New Roman" w:hAnsi="Times New Roman"/>
          <w:b/>
          <w:bCs/>
          <w:sz w:val="24"/>
          <w:szCs w:val="24"/>
        </w:rPr>
      </w:pPr>
    </w:p>
    <w:p w14:paraId="2AB62E58" w14:textId="77777777" w:rsidR="00E72791" w:rsidRDefault="00E72791" w:rsidP="00032391">
      <w:pPr>
        <w:jc w:val="both"/>
        <w:rPr>
          <w:rFonts w:ascii="Times New Roman" w:hAnsi="Times New Roman"/>
          <w:b/>
          <w:bCs/>
          <w:sz w:val="24"/>
          <w:szCs w:val="24"/>
        </w:rPr>
      </w:pPr>
    </w:p>
    <w:p w14:paraId="2A1C9E8B" w14:textId="77777777" w:rsidR="00E72791" w:rsidRDefault="00E72791" w:rsidP="00032391">
      <w:pPr>
        <w:jc w:val="both"/>
        <w:rPr>
          <w:rFonts w:ascii="Times New Roman" w:hAnsi="Times New Roman"/>
          <w:b/>
          <w:bCs/>
          <w:sz w:val="24"/>
          <w:szCs w:val="24"/>
        </w:rPr>
      </w:pPr>
    </w:p>
    <w:p w14:paraId="26FAF34B" w14:textId="77777777" w:rsidR="00E72791" w:rsidRDefault="00E72791" w:rsidP="00032391">
      <w:pPr>
        <w:jc w:val="both"/>
        <w:rPr>
          <w:rFonts w:ascii="Times New Roman" w:hAnsi="Times New Roman"/>
          <w:b/>
          <w:bCs/>
          <w:sz w:val="24"/>
          <w:szCs w:val="24"/>
        </w:rPr>
      </w:pPr>
    </w:p>
    <w:p w14:paraId="045451F3" w14:textId="77777777" w:rsidR="00E72791" w:rsidRDefault="00E72791" w:rsidP="00032391">
      <w:pPr>
        <w:jc w:val="both"/>
        <w:rPr>
          <w:rFonts w:ascii="Times New Roman" w:hAnsi="Times New Roman"/>
          <w:b/>
          <w:bCs/>
          <w:sz w:val="24"/>
          <w:szCs w:val="24"/>
        </w:rPr>
      </w:pPr>
    </w:p>
    <w:p w14:paraId="31D8989E" w14:textId="77777777" w:rsidR="00E72791" w:rsidRDefault="00E72791" w:rsidP="00032391">
      <w:pPr>
        <w:jc w:val="both"/>
        <w:rPr>
          <w:rFonts w:ascii="Times New Roman" w:hAnsi="Times New Roman"/>
          <w:b/>
          <w:bCs/>
          <w:sz w:val="24"/>
          <w:szCs w:val="24"/>
        </w:rPr>
      </w:pPr>
    </w:p>
    <w:p w14:paraId="5D63A7DC" w14:textId="77777777" w:rsidR="00E72791" w:rsidRDefault="00E72791" w:rsidP="00032391">
      <w:pPr>
        <w:jc w:val="both"/>
        <w:rPr>
          <w:rFonts w:ascii="Times New Roman" w:hAnsi="Times New Roman"/>
          <w:b/>
          <w:bCs/>
          <w:sz w:val="24"/>
          <w:szCs w:val="24"/>
        </w:rPr>
      </w:pPr>
    </w:p>
    <w:p w14:paraId="532B812E" w14:textId="77777777" w:rsidR="00E72791" w:rsidRDefault="00E72791" w:rsidP="00032391">
      <w:pPr>
        <w:jc w:val="both"/>
        <w:rPr>
          <w:rFonts w:ascii="Times New Roman" w:hAnsi="Times New Roman"/>
          <w:b/>
          <w:bCs/>
          <w:sz w:val="24"/>
          <w:szCs w:val="24"/>
        </w:rPr>
      </w:pPr>
    </w:p>
    <w:p w14:paraId="4707AEE2" w14:textId="77777777" w:rsidR="00E72791" w:rsidRDefault="00E72791" w:rsidP="00032391">
      <w:pPr>
        <w:jc w:val="both"/>
        <w:rPr>
          <w:rFonts w:ascii="Times New Roman" w:hAnsi="Times New Roman"/>
          <w:b/>
          <w:bCs/>
          <w:sz w:val="24"/>
          <w:szCs w:val="24"/>
        </w:rPr>
      </w:pPr>
    </w:p>
    <w:p w14:paraId="0CCCE088" w14:textId="77777777" w:rsidR="00860C9B" w:rsidRDefault="00860C9B" w:rsidP="00032391">
      <w:pPr>
        <w:jc w:val="both"/>
        <w:rPr>
          <w:rFonts w:ascii="Times New Roman" w:hAnsi="Times New Roman"/>
          <w:b/>
          <w:bCs/>
          <w:sz w:val="24"/>
          <w:szCs w:val="24"/>
        </w:rPr>
      </w:pPr>
    </w:p>
    <w:p w14:paraId="2ACE7F60"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3.2</w:t>
      </w:r>
      <w:r w:rsidR="00E72791">
        <w:rPr>
          <w:rFonts w:ascii="Times New Roman" w:hAnsi="Times New Roman"/>
          <w:b/>
          <w:bCs/>
          <w:sz w:val="24"/>
          <w:szCs w:val="24"/>
        </w:rPr>
        <w:t xml:space="preserve"> </w:t>
      </w:r>
      <w:r>
        <w:rPr>
          <w:rFonts w:ascii="Times New Roman" w:hAnsi="Times New Roman"/>
          <w:b/>
          <w:bCs/>
          <w:sz w:val="24"/>
          <w:szCs w:val="24"/>
        </w:rPr>
        <w:t xml:space="preserve">Determination of environmental risk potential of heavy metals in roadside soil </w:t>
      </w:r>
    </w:p>
    <w:p w14:paraId="4EF941AB"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Tables 3 and 4 presents a summary of the CF and </w:t>
      </w:r>
      <w:proofErr w:type="spellStart"/>
      <w:r>
        <w:rPr>
          <w:rFonts w:ascii="Times New Roman" w:hAnsi="Times New Roman"/>
          <w:sz w:val="24"/>
          <w:szCs w:val="24"/>
        </w:rPr>
        <w:t>Igeo</w:t>
      </w:r>
      <w:proofErr w:type="spellEnd"/>
      <w:r>
        <w:rPr>
          <w:rFonts w:ascii="Times New Roman" w:hAnsi="Times New Roman"/>
          <w:sz w:val="24"/>
          <w:szCs w:val="24"/>
        </w:rPr>
        <w:t xml:space="preserve"> indices for each heavy metal. Comparing the CF values of Table 3 which was calculated to quantify the degree of contamination relative to either average crustal composition of a respective metal or to measured background values from geologically similar and uncontaminated </w:t>
      </w:r>
      <w:r w:rsidR="003F1DC0">
        <w:rPr>
          <w:rFonts w:ascii="Times New Roman" w:hAnsi="Times New Roman"/>
          <w:sz w:val="24"/>
          <w:szCs w:val="24"/>
        </w:rPr>
        <w:t>area and</w:t>
      </w:r>
      <w:r>
        <w:rPr>
          <w:rFonts w:ascii="Times New Roman" w:hAnsi="Times New Roman"/>
          <w:sz w:val="24"/>
          <w:szCs w:val="24"/>
        </w:rPr>
        <w:t xml:space="preserve"> the description of contamination level in Table 1. All the study locations showed low environmental risk potential for all heavy metals except Cd, with their CF values being less than one (</w:t>
      </w:r>
      <m:oMath>
        <m:r>
          <w:rPr>
            <w:rFonts w:ascii="Cambria Math" w:hAnsi="Cambria Math"/>
            <w:sz w:val="24"/>
            <w:szCs w:val="24"/>
            <w:shd w:val="clear" w:color="auto" w:fill="FFFFFF"/>
            <w:lang w:val="en-GB"/>
          </w:rPr>
          <m:t>CF&lt;1</m:t>
        </m:r>
      </m:oMath>
      <w:r>
        <w:rPr>
          <w:rFonts w:ascii="Times New Roman" w:hAnsi="Times New Roman"/>
          <w:sz w:val="24"/>
          <w:szCs w:val="24"/>
        </w:rPr>
        <w:t>). Whereas Cd presents considerab</w:t>
      </w:r>
      <w:r w:rsidR="00454906">
        <w:rPr>
          <w:rFonts w:ascii="Times New Roman" w:hAnsi="Times New Roman"/>
          <w:sz w:val="24"/>
          <w:szCs w:val="24"/>
        </w:rPr>
        <w:t>ly high environmental risk at SP2</w:t>
      </w:r>
      <w:r>
        <w:rPr>
          <w:rFonts w:ascii="Times New Roman" w:hAnsi="Times New Roman"/>
          <w:sz w:val="24"/>
          <w:szCs w:val="24"/>
        </w:rPr>
        <w:t xml:space="preserve"> and </w:t>
      </w:r>
      <w:r w:rsidR="006D3D3B">
        <w:rPr>
          <w:rFonts w:ascii="Times New Roman" w:hAnsi="Times New Roman"/>
          <w:sz w:val="24"/>
          <w:szCs w:val="24"/>
        </w:rPr>
        <w:t>SP4</w:t>
      </w:r>
      <w:r>
        <w:rPr>
          <w:rFonts w:ascii="Times New Roman" w:hAnsi="Times New Roman"/>
          <w:sz w:val="24"/>
          <w:szCs w:val="24"/>
        </w:rPr>
        <w:t xml:space="preserve"> with</w:t>
      </w:r>
      <m:oMath>
        <m:r>
          <w:rPr>
            <w:rFonts w:ascii="Cambria Math" w:hAnsi="Cambria Math"/>
            <w:sz w:val="24"/>
            <w:szCs w:val="24"/>
          </w:rPr>
          <m:t xml:space="preserve"> </m:t>
        </m:r>
        <m:r>
          <w:rPr>
            <w:rFonts w:ascii="Cambria Math" w:hAnsi="Cambria Math"/>
            <w:sz w:val="24"/>
            <w:szCs w:val="24"/>
            <w:shd w:val="clear" w:color="auto" w:fill="FFFFFF"/>
            <w:lang w:val="en-GB"/>
          </w:rPr>
          <m:t>3&lt;CF&lt;6</m:t>
        </m:r>
      </m:oMath>
      <w:r>
        <w:rPr>
          <w:rFonts w:ascii="Times New Roman" w:hAnsi="Times New Roman"/>
          <w:sz w:val="24"/>
          <w:szCs w:val="24"/>
        </w:rPr>
        <w:t xml:space="preserve"> and very high environmental risk at </w:t>
      </w:r>
      <w:r w:rsidR="006D3D3B">
        <w:rPr>
          <w:rFonts w:ascii="Times New Roman" w:hAnsi="Times New Roman"/>
          <w:sz w:val="24"/>
          <w:szCs w:val="24"/>
        </w:rPr>
        <w:t>SP1</w:t>
      </w:r>
      <w:r>
        <w:rPr>
          <w:rFonts w:ascii="Times New Roman" w:hAnsi="Times New Roman"/>
          <w:sz w:val="24"/>
          <w:szCs w:val="24"/>
        </w:rPr>
        <w:t xml:space="preserve"> and </w:t>
      </w:r>
      <w:r w:rsidR="006D3D3B">
        <w:rPr>
          <w:rFonts w:ascii="Times New Roman" w:hAnsi="Times New Roman"/>
          <w:sz w:val="24"/>
          <w:szCs w:val="24"/>
        </w:rPr>
        <w:t>SP3</w:t>
      </w:r>
      <w:r>
        <w:rPr>
          <w:rFonts w:ascii="Times New Roman" w:hAnsi="Times New Roman"/>
          <w:sz w:val="24"/>
          <w:szCs w:val="24"/>
        </w:rPr>
        <w:t xml:space="preserve"> with </w:t>
      </w:r>
      <m:oMath>
        <m:r>
          <w:rPr>
            <w:rFonts w:ascii="Cambria Math" w:hAnsi="Cambria Math"/>
            <w:sz w:val="24"/>
            <w:szCs w:val="24"/>
            <w:shd w:val="clear" w:color="auto" w:fill="FFFFFF"/>
            <w:lang w:val="en-GB"/>
          </w:rPr>
          <m:t>CF&gt;6</m:t>
        </m:r>
      </m:oMath>
      <w:r>
        <w:rPr>
          <w:rFonts w:ascii="Times New Roman" w:hAnsi="Times New Roman"/>
          <w:sz w:val="24"/>
          <w:szCs w:val="24"/>
        </w:rPr>
        <w:t xml:space="preserve">. </w:t>
      </w:r>
    </w:p>
    <w:p w14:paraId="4B591503" w14:textId="77777777" w:rsidR="003F1DC0" w:rsidRDefault="003F1DC0" w:rsidP="00032391">
      <w:pPr>
        <w:jc w:val="both"/>
        <w:rPr>
          <w:rFonts w:ascii="Times New Roman" w:hAnsi="Times New Roman"/>
          <w:sz w:val="24"/>
          <w:szCs w:val="24"/>
        </w:rPr>
      </w:pPr>
    </w:p>
    <w:p w14:paraId="3387F067"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3: </w:t>
      </w:r>
      <w:r>
        <w:rPr>
          <w:rFonts w:ascii="Times New Roman" w:hAnsi="Times New Roman"/>
          <w:sz w:val="24"/>
          <w:szCs w:val="24"/>
          <w:shd w:val="clear" w:color="auto" w:fill="FFFFFF"/>
          <w:lang w:val="en-GB"/>
        </w:rPr>
        <w:t>Contamination Factors (CF) for Heavy Metals Collected in the Roadside Soils for each Sampled Locations</w:t>
      </w:r>
    </w:p>
    <w:tbl>
      <w:tblPr>
        <w:tblStyle w:val="TableGrid"/>
        <w:tblW w:w="873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710"/>
        <w:gridCol w:w="1710"/>
        <w:gridCol w:w="1800"/>
        <w:gridCol w:w="1890"/>
      </w:tblGrid>
      <w:tr w:rsidR="00B67807" w14:paraId="66F477DD" w14:textId="77777777" w:rsidTr="00B67807">
        <w:trPr>
          <w:trHeight w:val="263"/>
          <w:jc w:val="center"/>
        </w:trPr>
        <w:tc>
          <w:tcPr>
            <w:tcW w:w="1620" w:type="dxa"/>
            <w:tcBorders>
              <w:top w:val="single" w:sz="4" w:space="0" w:color="auto"/>
              <w:left w:val="nil"/>
              <w:bottom w:val="single" w:sz="4" w:space="0" w:color="auto"/>
              <w:right w:val="nil"/>
            </w:tcBorders>
            <w:hideMark/>
          </w:tcPr>
          <w:p w14:paraId="011E70DF"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Heavy metals</w:t>
            </w:r>
          </w:p>
        </w:tc>
        <w:tc>
          <w:tcPr>
            <w:tcW w:w="1710" w:type="dxa"/>
            <w:tcBorders>
              <w:top w:val="single" w:sz="4" w:space="0" w:color="auto"/>
              <w:left w:val="nil"/>
              <w:bottom w:val="single" w:sz="4" w:space="0" w:color="auto"/>
              <w:right w:val="nil"/>
            </w:tcBorders>
            <w:vAlign w:val="center"/>
          </w:tcPr>
          <w:p w14:paraId="07DCB923"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710" w:type="dxa"/>
            <w:tcBorders>
              <w:top w:val="single" w:sz="4" w:space="0" w:color="auto"/>
              <w:left w:val="nil"/>
              <w:bottom w:val="single" w:sz="4" w:space="0" w:color="auto"/>
              <w:right w:val="nil"/>
            </w:tcBorders>
            <w:vAlign w:val="center"/>
            <w:hideMark/>
          </w:tcPr>
          <w:p w14:paraId="39B727F1"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800" w:type="dxa"/>
            <w:tcBorders>
              <w:top w:val="single" w:sz="4" w:space="0" w:color="auto"/>
              <w:left w:val="nil"/>
              <w:bottom w:val="single" w:sz="4" w:space="0" w:color="auto"/>
              <w:right w:val="nil"/>
            </w:tcBorders>
            <w:vAlign w:val="center"/>
            <w:hideMark/>
          </w:tcPr>
          <w:p w14:paraId="42841EA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890" w:type="dxa"/>
            <w:tcBorders>
              <w:top w:val="single" w:sz="4" w:space="0" w:color="auto"/>
              <w:left w:val="nil"/>
              <w:bottom w:val="single" w:sz="4" w:space="0" w:color="auto"/>
              <w:right w:val="nil"/>
            </w:tcBorders>
            <w:vAlign w:val="center"/>
            <w:hideMark/>
          </w:tcPr>
          <w:p w14:paraId="6199DE5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B67807" w14:paraId="11FB53A5" w14:textId="77777777" w:rsidTr="00B67807">
        <w:trPr>
          <w:trHeight w:val="263"/>
          <w:jc w:val="center"/>
        </w:trPr>
        <w:tc>
          <w:tcPr>
            <w:tcW w:w="1620" w:type="dxa"/>
            <w:tcBorders>
              <w:top w:val="single" w:sz="4" w:space="0" w:color="auto"/>
              <w:left w:val="nil"/>
              <w:bottom w:val="nil"/>
              <w:right w:val="nil"/>
            </w:tcBorders>
            <w:hideMark/>
          </w:tcPr>
          <w:p w14:paraId="4BA7509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710" w:type="dxa"/>
            <w:tcBorders>
              <w:top w:val="single" w:sz="4" w:space="0" w:color="auto"/>
              <w:left w:val="nil"/>
              <w:bottom w:val="nil"/>
              <w:right w:val="nil"/>
            </w:tcBorders>
            <w:vAlign w:val="bottom"/>
          </w:tcPr>
          <w:p w14:paraId="6CCAD17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6.275</w:t>
            </w:r>
          </w:p>
        </w:tc>
        <w:tc>
          <w:tcPr>
            <w:tcW w:w="1710" w:type="dxa"/>
            <w:tcBorders>
              <w:top w:val="single" w:sz="4" w:space="0" w:color="auto"/>
              <w:left w:val="nil"/>
              <w:bottom w:val="nil"/>
              <w:right w:val="nil"/>
            </w:tcBorders>
            <w:vAlign w:val="bottom"/>
            <w:hideMark/>
          </w:tcPr>
          <w:p w14:paraId="3BD2E00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5.2625</w:t>
            </w:r>
          </w:p>
        </w:tc>
        <w:tc>
          <w:tcPr>
            <w:tcW w:w="1800" w:type="dxa"/>
            <w:tcBorders>
              <w:top w:val="single" w:sz="4" w:space="0" w:color="auto"/>
              <w:left w:val="nil"/>
              <w:bottom w:val="nil"/>
              <w:right w:val="nil"/>
            </w:tcBorders>
            <w:vAlign w:val="bottom"/>
            <w:hideMark/>
          </w:tcPr>
          <w:p w14:paraId="23E95B10"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8.5</w:t>
            </w:r>
          </w:p>
        </w:tc>
        <w:tc>
          <w:tcPr>
            <w:tcW w:w="1890" w:type="dxa"/>
            <w:tcBorders>
              <w:top w:val="single" w:sz="4" w:space="0" w:color="auto"/>
              <w:left w:val="nil"/>
              <w:bottom w:val="nil"/>
              <w:right w:val="nil"/>
            </w:tcBorders>
            <w:vAlign w:val="bottom"/>
            <w:hideMark/>
          </w:tcPr>
          <w:p w14:paraId="4A574B94"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5.4125</w:t>
            </w:r>
          </w:p>
        </w:tc>
      </w:tr>
      <w:tr w:rsidR="00B67807" w14:paraId="74A8C875" w14:textId="77777777" w:rsidTr="00B67807">
        <w:trPr>
          <w:trHeight w:val="278"/>
          <w:jc w:val="center"/>
        </w:trPr>
        <w:tc>
          <w:tcPr>
            <w:tcW w:w="1620" w:type="dxa"/>
            <w:tcBorders>
              <w:top w:val="nil"/>
              <w:left w:val="nil"/>
              <w:bottom w:val="nil"/>
              <w:right w:val="nil"/>
            </w:tcBorders>
            <w:hideMark/>
          </w:tcPr>
          <w:p w14:paraId="71C4A37A"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710" w:type="dxa"/>
            <w:tcBorders>
              <w:top w:val="nil"/>
              <w:left w:val="nil"/>
              <w:bottom w:val="nil"/>
              <w:right w:val="nil"/>
            </w:tcBorders>
            <w:vAlign w:val="bottom"/>
          </w:tcPr>
          <w:p w14:paraId="1FC0648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0.0494</w:t>
            </w:r>
          </w:p>
        </w:tc>
        <w:tc>
          <w:tcPr>
            <w:tcW w:w="1710" w:type="dxa"/>
            <w:tcBorders>
              <w:top w:val="nil"/>
              <w:left w:val="nil"/>
              <w:bottom w:val="nil"/>
              <w:right w:val="nil"/>
            </w:tcBorders>
            <w:vAlign w:val="bottom"/>
            <w:hideMark/>
          </w:tcPr>
          <w:p w14:paraId="32DE37F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0.0738</w:t>
            </w:r>
          </w:p>
        </w:tc>
        <w:tc>
          <w:tcPr>
            <w:tcW w:w="1800" w:type="dxa"/>
            <w:tcBorders>
              <w:top w:val="nil"/>
              <w:left w:val="nil"/>
              <w:bottom w:val="nil"/>
              <w:right w:val="nil"/>
            </w:tcBorders>
            <w:vAlign w:val="bottom"/>
            <w:hideMark/>
          </w:tcPr>
          <w:p w14:paraId="1216925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0.0563</w:t>
            </w:r>
          </w:p>
        </w:tc>
        <w:tc>
          <w:tcPr>
            <w:tcW w:w="1890" w:type="dxa"/>
            <w:tcBorders>
              <w:top w:val="nil"/>
              <w:left w:val="nil"/>
              <w:bottom w:val="nil"/>
              <w:right w:val="nil"/>
            </w:tcBorders>
            <w:vAlign w:val="bottom"/>
            <w:hideMark/>
          </w:tcPr>
          <w:p w14:paraId="06F80A1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0.0617</w:t>
            </w:r>
          </w:p>
        </w:tc>
      </w:tr>
      <w:tr w:rsidR="00B67807" w14:paraId="277B5B70" w14:textId="77777777" w:rsidTr="00B67807">
        <w:trPr>
          <w:trHeight w:val="263"/>
          <w:jc w:val="center"/>
        </w:trPr>
        <w:tc>
          <w:tcPr>
            <w:tcW w:w="1620" w:type="dxa"/>
            <w:tcBorders>
              <w:top w:val="nil"/>
              <w:left w:val="nil"/>
              <w:bottom w:val="nil"/>
              <w:right w:val="nil"/>
            </w:tcBorders>
            <w:hideMark/>
          </w:tcPr>
          <w:p w14:paraId="0A1F2D1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710" w:type="dxa"/>
            <w:tcBorders>
              <w:top w:val="nil"/>
              <w:left w:val="nil"/>
              <w:bottom w:val="nil"/>
              <w:right w:val="nil"/>
            </w:tcBorders>
            <w:vAlign w:val="bottom"/>
          </w:tcPr>
          <w:p w14:paraId="691267B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0.3339</w:t>
            </w:r>
          </w:p>
        </w:tc>
        <w:tc>
          <w:tcPr>
            <w:tcW w:w="1710" w:type="dxa"/>
            <w:tcBorders>
              <w:top w:val="nil"/>
              <w:left w:val="nil"/>
              <w:bottom w:val="nil"/>
              <w:right w:val="nil"/>
            </w:tcBorders>
            <w:vAlign w:val="bottom"/>
            <w:hideMark/>
          </w:tcPr>
          <w:p w14:paraId="0221711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0.3069</w:t>
            </w:r>
          </w:p>
        </w:tc>
        <w:tc>
          <w:tcPr>
            <w:tcW w:w="1800" w:type="dxa"/>
            <w:tcBorders>
              <w:top w:val="nil"/>
              <w:left w:val="nil"/>
              <w:bottom w:val="nil"/>
              <w:right w:val="nil"/>
            </w:tcBorders>
            <w:vAlign w:val="bottom"/>
            <w:hideMark/>
          </w:tcPr>
          <w:p w14:paraId="57FCF74B"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0.4222</w:t>
            </w:r>
          </w:p>
        </w:tc>
        <w:tc>
          <w:tcPr>
            <w:tcW w:w="1890" w:type="dxa"/>
            <w:tcBorders>
              <w:top w:val="nil"/>
              <w:left w:val="nil"/>
              <w:bottom w:val="nil"/>
              <w:right w:val="nil"/>
            </w:tcBorders>
            <w:vAlign w:val="bottom"/>
            <w:hideMark/>
          </w:tcPr>
          <w:p w14:paraId="1EA7D3F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0.295</w:t>
            </w:r>
          </w:p>
        </w:tc>
      </w:tr>
      <w:tr w:rsidR="00B67807" w14:paraId="26F385B5" w14:textId="77777777" w:rsidTr="00B67807">
        <w:trPr>
          <w:trHeight w:val="263"/>
          <w:jc w:val="center"/>
        </w:trPr>
        <w:tc>
          <w:tcPr>
            <w:tcW w:w="1620" w:type="dxa"/>
            <w:tcBorders>
              <w:top w:val="nil"/>
              <w:left w:val="nil"/>
              <w:bottom w:val="nil"/>
              <w:right w:val="nil"/>
            </w:tcBorders>
            <w:hideMark/>
          </w:tcPr>
          <w:p w14:paraId="426F8DB6"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Fe</w:t>
            </w:r>
          </w:p>
        </w:tc>
        <w:tc>
          <w:tcPr>
            <w:tcW w:w="1710" w:type="dxa"/>
            <w:tcBorders>
              <w:top w:val="nil"/>
              <w:left w:val="nil"/>
              <w:bottom w:val="nil"/>
              <w:right w:val="nil"/>
            </w:tcBorders>
            <w:vAlign w:val="bottom"/>
          </w:tcPr>
          <w:p w14:paraId="4C9C578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0.1811</w:t>
            </w:r>
          </w:p>
        </w:tc>
        <w:tc>
          <w:tcPr>
            <w:tcW w:w="1710" w:type="dxa"/>
            <w:tcBorders>
              <w:top w:val="nil"/>
              <w:left w:val="nil"/>
              <w:bottom w:val="nil"/>
              <w:right w:val="nil"/>
            </w:tcBorders>
            <w:vAlign w:val="bottom"/>
            <w:hideMark/>
          </w:tcPr>
          <w:p w14:paraId="24D6E323"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0.1615</w:t>
            </w:r>
          </w:p>
        </w:tc>
        <w:tc>
          <w:tcPr>
            <w:tcW w:w="1800" w:type="dxa"/>
            <w:tcBorders>
              <w:top w:val="nil"/>
              <w:left w:val="nil"/>
              <w:bottom w:val="nil"/>
              <w:right w:val="nil"/>
            </w:tcBorders>
            <w:vAlign w:val="bottom"/>
            <w:hideMark/>
          </w:tcPr>
          <w:p w14:paraId="62D46A50"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0.0204</w:t>
            </w:r>
          </w:p>
        </w:tc>
        <w:tc>
          <w:tcPr>
            <w:tcW w:w="1890" w:type="dxa"/>
            <w:tcBorders>
              <w:top w:val="nil"/>
              <w:left w:val="nil"/>
              <w:bottom w:val="nil"/>
              <w:right w:val="nil"/>
            </w:tcBorders>
            <w:vAlign w:val="bottom"/>
            <w:hideMark/>
          </w:tcPr>
          <w:p w14:paraId="09FF6C8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0.1802</w:t>
            </w:r>
          </w:p>
        </w:tc>
      </w:tr>
      <w:tr w:rsidR="00B67807" w14:paraId="3F04465E" w14:textId="77777777" w:rsidTr="00B67807">
        <w:trPr>
          <w:trHeight w:val="278"/>
          <w:jc w:val="center"/>
        </w:trPr>
        <w:tc>
          <w:tcPr>
            <w:tcW w:w="1620" w:type="dxa"/>
            <w:tcBorders>
              <w:top w:val="nil"/>
              <w:left w:val="nil"/>
              <w:bottom w:val="nil"/>
              <w:right w:val="nil"/>
            </w:tcBorders>
            <w:hideMark/>
          </w:tcPr>
          <w:p w14:paraId="675D449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710" w:type="dxa"/>
            <w:tcBorders>
              <w:top w:val="nil"/>
              <w:left w:val="nil"/>
              <w:bottom w:val="nil"/>
              <w:right w:val="nil"/>
            </w:tcBorders>
            <w:vAlign w:val="bottom"/>
          </w:tcPr>
          <w:p w14:paraId="001D853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0.1487</w:t>
            </w:r>
          </w:p>
        </w:tc>
        <w:tc>
          <w:tcPr>
            <w:tcW w:w="1710" w:type="dxa"/>
            <w:tcBorders>
              <w:top w:val="nil"/>
              <w:left w:val="nil"/>
              <w:bottom w:val="nil"/>
              <w:right w:val="nil"/>
            </w:tcBorders>
            <w:vAlign w:val="bottom"/>
            <w:hideMark/>
          </w:tcPr>
          <w:p w14:paraId="078D3EF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0.1054</w:t>
            </w:r>
          </w:p>
        </w:tc>
        <w:tc>
          <w:tcPr>
            <w:tcW w:w="1800" w:type="dxa"/>
            <w:tcBorders>
              <w:top w:val="nil"/>
              <w:left w:val="nil"/>
              <w:bottom w:val="nil"/>
              <w:right w:val="nil"/>
            </w:tcBorders>
            <w:vAlign w:val="bottom"/>
            <w:hideMark/>
          </w:tcPr>
          <w:p w14:paraId="50B5605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0.1583</w:t>
            </w:r>
          </w:p>
        </w:tc>
        <w:tc>
          <w:tcPr>
            <w:tcW w:w="1890" w:type="dxa"/>
            <w:tcBorders>
              <w:top w:val="nil"/>
              <w:left w:val="nil"/>
              <w:bottom w:val="nil"/>
              <w:right w:val="nil"/>
            </w:tcBorders>
            <w:vAlign w:val="bottom"/>
            <w:hideMark/>
          </w:tcPr>
          <w:p w14:paraId="593E1DA6"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0.1526</w:t>
            </w:r>
          </w:p>
        </w:tc>
      </w:tr>
      <w:tr w:rsidR="00B67807" w14:paraId="5480ED80" w14:textId="77777777" w:rsidTr="00B67807">
        <w:trPr>
          <w:trHeight w:val="263"/>
          <w:jc w:val="center"/>
        </w:trPr>
        <w:tc>
          <w:tcPr>
            <w:tcW w:w="1620" w:type="dxa"/>
            <w:tcBorders>
              <w:top w:val="nil"/>
              <w:left w:val="nil"/>
              <w:bottom w:val="nil"/>
              <w:right w:val="nil"/>
            </w:tcBorders>
            <w:hideMark/>
          </w:tcPr>
          <w:p w14:paraId="220C4E8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710" w:type="dxa"/>
            <w:tcBorders>
              <w:top w:val="nil"/>
              <w:left w:val="nil"/>
              <w:bottom w:val="nil"/>
              <w:right w:val="nil"/>
            </w:tcBorders>
            <w:vAlign w:val="bottom"/>
          </w:tcPr>
          <w:p w14:paraId="4D2E5F3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0.49</w:t>
            </w:r>
          </w:p>
        </w:tc>
        <w:tc>
          <w:tcPr>
            <w:tcW w:w="1710" w:type="dxa"/>
            <w:tcBorders>
              <w:top w:val="nil"/>
              <w:left w:val="nil"/>
              <w:bottom w:val="nil"/>
              <w:right w:val="nil"/>
            </w:tcBorders>
            <w:vAlign w:val="bottom"/>
            <w:hideMark/>
          </w:tcPr>
          <w:p w14:paraId="0707EC0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0.7943</w:t>
            </w:r>
          </w:p>
        </w:tc>
        <w:tc>
          <w:tcPr>
            <w:tcW w:w="1800" w:type="dxa"/>
            <w:tcBorders>
              <w:top w:val="nil"/>
              <w:left w:val="nil"/>
              <w:bottom w:val="nil"/>
              <w:right w:val="nil"/>
            </w:tcBorders>
            <w:vAlign w:val="bottom"/>
            <w:hideMark/>
          </w:tcPr>
          <w:p w14:paraId="55F72FC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0.6</w:t>
            </w:r>
          </w:p>
        </w:tc>
        <w:tc>
          <w:tcPr>
            <w:tcW w:w="1890" w:type="dxa"/>
            <w:tcBorders>
              <w:top w:val="nil"/>
              <w:left w:val="nil"/>
              <w:bottom w:val="nil"/>
              <w:right w:val="nil"/>
            </w:tcBorders>
            <w:vAlign w:val="bottom"/>
            <w:hideMark/>
          </w:tcPr>
          <w:p w14:paraId="06F0873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0.5889</w:t>
            </w:r>
          </w:p>
        </w:tc>
      </w:tr>
      <w:tr w:rsidR="00B67807" w14:paraId="049BD0B6" w14:textId="77777777" w:rsidTr="00B67807">
        <w:trPr>
          <w:trHeight w:val="278"/>
          <w:jc w:val="center"/>
        </w:trPr>
        <w:tc>
          <w:tcPr>
            <w:tcW w:w="1620" w:type="dxa"/>
            <w:tcBorders>
              <w:top w:val="nil"/>
              <w:left w:val="nil"/>
              <w:bottom w:val="nil"/>
              <w:right w:val="nil"/>
            </w:tcBorders>
            <w:hideMark/>
          </w:tcPr>
          <w:p w14:paraId="7124262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710" w:type="dxa"/>
            <w:tcBorders>
              <w:top w:val="nil"/>
              <w:left w:val="nil"/>
              <w:bottom w:val="nil"/>
              <w:right w:val="nil"/>
            </w:tcBorders>
            <w:vAlign w:val="bottom"/>
          </w:tcPr>
          <w:p w14:paraId="12D7D001"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0.3531</w:t>
            </w:r>
          </w:p>
        </w:tc>
        <w:tc>
          <w:tcPr>
            <w:tcW w:w="1710" w:type="dxa"/>
            <w:tcBorders>
              <w:top w:val="nil"/>
              <w:left w:val="nil"/>
              <w:bottom w:val="nil"/>
              <w:right w:val="nil"/>
            </w:tcBorders>
            <w:vAlign w:val="bottom"/>
            <w:hideMark/>
          </w:tcPr>
          <w:p w14:paraId="7C536E5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0.5153</w:t>
            </w:r>
          </w:p>
        </w:tc>
        <w:tc>
          <w:tcPr>
            <w:tcW w:w="1800" w:type="dxa"/>
            <w:tcBorders>
              <w:top w:val="nil"/>
              <w:left w:val="nil"/>
              <w:bottom w:val="nil"/>
              <w:right w:val="nil"/>
            </w:tcBorders>
            <w:vAlign w:val="bottom"/>
            <w:hideMark/>
          </w:tcPr>
          <w:p w14:paraId="27BCA70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0.4329</w:t>
            </w:r>
          </w:p>
        </w:tc>
        <w:tc>
          <w:tcPr>
            <w:tcW w:w="1890" w:type="dxa"/>
            <w:tcBorders>
              <w:top w:val="nil"/>
              <w:left w:val="nil"/>
              <w:bottom w:val="nil"/>
              <w:right w:val="nil"/>
            </w:tcBorders>
            <w:vAlign w:val="bottom"/>
            <w:hideMark/>
          </w:tcPr>
          <w:p w14:paraId="0B60334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0.3768</w:t>
            </w:r>
          </w:p>
        </w:tc>
      </w:tr>
      <w:tr w:rsidR="00B67807" w14:paraId="33D0F107" w14:textId="77777777" w:rsidTr="00B67807">
        <w:trPr>
          <w:trHeight w:val="263"/>
          <w:jc w:val="center"/>
        </w:trPr>
        <w:tc>
          <w:tcPr>
            <w:tcW w:w="1620" w:type="dxa"/>
            <w:tcBorders>
              <w:top w:val="nil"/>
              <w:left w:val="nil"/>
              <w:bottom w:val="single" w:sz="4" w:space="0" w:color="auto"/>
              <w:right w:val="nil"/>
            </w:tcBorders>
            <w:hideMark/>
          </w:tcPr>
          <w:p w14:paraId="68A2862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710" w:type="dxa"/>
            <w:tcBorders>
              <w:top w:val="nil"/>
              <w:left w:val="nil"/>
              <w:bottom w:val="single" w:sz="4" w:space="0" w:color="auto"/>
              <w:right w:val="nil"/>
            </w:tcBorders>
            <w:vAlign w:val="bottom"/>
          </w:tcPr>
          <w:p w14:paraId="3E0123D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0.2536</w:t>
            </w:r>
          </w:p>
        </w:tc>
        <w:tc>
          <w:tcPr>
            <w:tcW w:w="1710" w:type="dxa"/>
            <w:tcBorders>
              <w:top w:val="nil"/>
              <w:left w:val="nil"/>
              <w:bottom w:val="single" w:sz="4" w:space="0" w:color="auto"/>
              <w:right w:val="nil"/>
            </w:tcBorders>
            <w:vAlign w:val="bottom"/>
            <w:hideMark/>
          </w:tcPr>
          <w:p w14:paraId="4CC8C63F"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0.246</w:t>
            </w:r>
          </w:p>
        </w:tc>
        <w:tc>
          <w:tcPr>
            <w:tcW w:w="1800" w:type="dxa"/>
            <w:tcBorders>
              <w:top w:val="nil"/>
              <w:left w:val="nil"/>
              <w:bottom w:val="single" w:sz="4" w:space="0" w:color="auto"/>
              <w:right w:val="nil"/>
            </w:tcBorders>
            <w:vAlign w:val="bottom"/>
            <w:hideMark/>
          </w:tcPr>
          <w:p w14:paraId="4D6A423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0.296</w:t>
            </w:r>
          </w:p>
        </w:tc>
        <w:tc>
          <w:tcPr>
            <w:tcW w:w="1890" w:type="dxa"/>
            <w:tcBorders>
              <w:top w:val="nil"/>
              <w:left w:val="nil"/>
              <w:bottom w:val="single" w:sz="4" w:space="0" w:color="auto"/>
              <w:right w:val="nil"/>
            </w:tcBorders>
            <w:vAlign w:val="bottom"/>
            <w:hideMark/>
          </w:tcPr>
          <w:p w14:paraId="007C18D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0.2682</w:t>
            </w:r>
          </w:p>
        </w:tc>
      </w:tr>
    </w:tbl>
    <w:p w14:paraId="71BB70FC" w14:textId="77777777" w:rsidR="00032391" w:rsidRDefault="00032391" w:rsidP="00032391">
      <w:pPr>
        <w:jc w:val="both"/>
        <w:rPr>
          <w:rFonts w:ascii="Times New Roman" w:hAnsi="Times New Roman"/>
          <w:noProof/>
          <w:sz w:val="24"/>
          <w:szCs w:val="24"/>
        </w:rPr>
      </w:pPr>
    </w:p>
    <w:p w14:paraId="3EEA57EA" w14:textId="77777777" w:rsidR="00032391" w:rsidRDefault="00032391" w:rsidP="00032391">
      <w:pPr>
        <w:jc w:val="both"/>
        <w:rPr>
          <w:rFonts w:ascii="Times New Roman" w:hAnsi="Times New Roman"/>
          <w:sz w:val="24"/>
          <w:szCs w:val="24"/>
        </w:rPr>
      </w:pPr>
      <w:r>
        <w:rPr>
          <w:rFonts w:ascii="Times New Roman" w:hAnsi="Times New Roman"/>
          <w:sz w:val="24"/>
          <w:szCs w:val="24"/>
        </w:rPr>
        <w:t>Similar to the CF values description, the geo-accumulation index (1geo) values of all the heavy metals under consideration except Cd were less than zero (</w:t>
      </w:r>
      <m:oMath>
        <m:r>
          <w:rPr>
            <w:rFonts w:ascii="Cambria Math" w:hAnsi="Cambria Math"/>
            <w:sz w:val="24"/>
            <w:szCs w:val="24"/>
            <w:shd w:val="clear" w:color="auto" w:fill="FFFFFF"/>
            <w:lang w:val="en-GB"/>
          </w:rPr>
          <m:t>Igeo&lt;0</m:t>
        </m:r>
      </m:oMath>
      <w:r>
        <w:rPr>
          <w:rFonts w:ascii="Times New Roman" w:hAnsi="Times New Roman"/>
          <w:sz w:val="24"/>
          <w:szCs w:val="24"/>
        </w:rPr>
        <w:t>) (Table 4). This indicates that these metals did not pose any threat of contamination (Table 1) at the four locations. However, the Igeo value of Cd ranged between 1.8108</w:t>
      </w:r>
      <w:r w:rsidR="003F1DC0">
        <w:rPr>
          <w:rFonts w:ascii="Times New Roman" w:hAnsi="Times New Roman"/>
          <w:sz w:val="24"/>
          <w:szCs w:val="24"/>
        </w:rPr>
        <w:t xml:space="preserve"> </w:t>
      </w:r>
      <w:r>
        <w:rPr>
          <w:rFonts w:ascii="Times New Roman" w:hAnsi="Times New Roman"/>
          <w:sz w:val="24"/>
          <w:szCs w:val="24"/>
        </w:rPr>
        <w:t>-</w:t>
      </w:r>
      <w:r w:rsidR="003F1DC0">
        <w:rPr>
          <w:rFonts w:ascii="Times New Roman" w:hAnsi="Times New Roman"/>
          <w:sz w:val="24"/>
          <w:szCs w:val="24"/>
        </w:rPr>
        <w:t xml:space="preserve"> </w:t>
      </w:r>
      <w:r>
        <w:rPr>
          <w:rFonts w:ascii="Times New Roman" w:hAnsi="Times New Roman"/>
          <w:sz w:val="24"/>
          <w:szCs w:val="24"/>
        </w:rPr>
        <w:t xml:space="preserve">2.5025 an indication that Cd poses moderate to strong contamination level. Moderate contamination at locations </w:t>
      </w:r>
      <w:r w:rsidR="00145CCF">
        <w:rPr>
          <w:rFonts w:ascii="Times New Roman" w:hAnsi="Times New Roman"/>
          <w:sz w:val="24"/>
          <w:szCs w:val="24"/>
        </w:rPr>
        <w:t>SP2</w:t>
      </w:r>
      <w:r>
        <w:rPr>
          <w:rFonts w:ascii="Times New Roman" w:hAnsi="Times New Roman"/>
          <w:sz w:val="24"/>
          <w:szCs w:val="24"/>
        </w:rPr>
        <w:t xml:space="preserve"> and </w:t>
      </w:r>
      <w:r w:rsidR="00145CCF">
        <w:rPr>
          <w:rFonts w:ascii="Times New Roman" w:hAnsi="Times New Roman"/>
          <w:sz w:val="24"/>
          <w:szCs w:val="24"/>
        </w:rPr>
        <w:t>SP4</w:t>
      </w:r>
      <w:r>
        <w:rPr>
          <w:rFonts w:ascii="Times New Roman" w:hAnsi="Times New Roman"/>
          <w:sz w:val="24"/>
          <w:szCs w:val="24"/>
        </w:rPr>
        <w:t xml:space="preserve"> while strong co</w:t>
      </w:r>
      <w:r w:rsidR="00CA13CA">
        <w:rPr>
          <w:rFonts w:ascii="Times New Roman" w:hAnsi="Times New Roman"/>
          <w:sz w:val="24"/>
          <w:szCs w:val="24"/>
        </w:rPr>
        <w:t>ntamination locations were at SP1</w:t>
      </w:r>
      <w:r>
        <w:rPr>
          <w:rFonts w:ascii="Times New Roman" w:hAnsi="Times New Roman"/>
          <w:sz w:val="24"/>
          <w:szCs w:val="24"/>
        </w:rPr>
        <w:t xml:space="preserve"> and </w:t>
      </w:r>
      <w:r w:rsidR="00DF709C">
        <w:rPr>
          <w:rFonts w:ascii="Times New Roman" w:hAnsi="Times New Roman"/>
          <w:sz w:val="24"/>
          <w:szCs w:val="24"/>
        </w:rPr>
        <w:t>SP3</w:t>
      </w:r>
      <w:r>
        <w:rPr>
          <w:rFonts w:ascii="Times New Roman" w:hAnsi="Times New Roman"/>
          <w:sz w:val="24"/>
          <w:szCs w:val="24"/>
        </w:rPr>
        <w:t>. This is similar to the CF values descrip</w:t>
      </w:r>
      <w:r w:rsidR="000C3A4C">
        <w:rPr>
          <w:rFonts w:ascii="Times New Roman" w:hAnsi="Times New Roman"/>
          <w:sz w:val="24"/>
          <w:szCs w:val="24"/>
        </w:rPr>
        <w:t xml:space="preserve">tion for </w:t>
      </w:r>
      <w:r w:rsidR="00DF709C">
        <w:rPr>
          <w:rFonts w:ascii="Times New Roman" w:hAnsi="Times New Roman"/>
          <w:sz w:val="24"/>
          <w:szCs w:val="24"/>
        </w:rPr>
        <w:t>SP2</w:t>
      </w:r>
      <w:r w:rsidR="000C3A4C">
        <w:rPr>
          <w:rFonts w:ascii="Times New Roman" w:hAnsi="Times New Roman"/>
          <w:sz w:val="24"/>
          <w:szCs w:val="24"/>
        </w:rPr>
        <w:t xml:space="preserve"> and </w:t>
      </w:r>
      <w:r w:rsidR="00DF709C">
        <w:rPr>
          <w:rFonts w:ascii="Times New Roman" w:hAnsi="Times New Roman"/>
          <w:sz w:val="24"/>
          <w:szCs w:val="24"/>
        </w:rPr>
        <w:t>SP4</w:t>
      </w:r>
      <w:r w:rsidR="000C3A4C">
        <w:rPr>
          <w:rFonts w:ascii="Times New Roman" w:hAnsi="Times New Roman"/>
          <w:sz w:val="24"/>
          <w:szCs w:val="24"/>
        </w:rPr>
        <w:t xml:space="preserve"> as well as SP1</w:t>
      </w:r>
      <w:r>
        <w:rPr>
          <w:rFonts w:ascii="Times New Roman" w:hAnsi="Times New Roman"/>
          <w:sz w:val="24"/>
          <w:szCs w:val="24"/>
        </w:rPr>
        <w:t xml:space="preserve"> and </w:t>
      </w:r>
      <w:r w:rsidR="000C3A4C">
        <w:rPr>
          <w:rFonts w:ascii="Times New Roman" w:hAnsi="Times New Roman"/>
          <w:sz w:val="24"/>
          <w:szCs w:val="24"/>
        </w:rPr>
        <w:t>SP3</w:t>
      </w:r>
      <w:r>
        <w:rPr>
          <w:rFonts w:ascii="Times New Roman" w:hAnsi="Times New Roman"/>
          <w:sz w:val="24"/>
          <w:szCs w:val="24"/>
        </w:rPr>
        <w:t>.</w:t>
      </w:r>
    </w:p>
    <w:p w14:paraId="3F3B7E81" w14:textId="77777777" w:rsidR="00E21CFF" w:rsidRDefault="00E21CFF" w:rsidP="00032391">
      <w:pPr>
        <w:jc w:val="both"/>
        <w:rPr>
          <w:rFonts w:ascii="Times New Roman" w:hAnsi="Times New Roman"/>
          <w:sz w:val="24"/>
          <w:szCs w:val="24"/>
        </w:rPr>
      </w:pPr>
    </w:p>
    <w:p w14:paraId="6870F42D"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4: </w:t>
      </w:r>
      <w:r>
        <w:rPr>
          <w:rFonts w:ascii="Times New Roman" w:hAnsi="Times New Roman"/>
          <w:sz w:val="24"/>
          <w:szCs w:val="24"/>
          <w:shd w:val="clear" w:color="auto" w:fill="FFFFFF"/>
          <w:lang w:val="en-GB"/>
        </w:rPr>
        <w:t>Geo-accumulation Index (I-geo) of Heavy Metals Collected in the Roadside Soils for each Sampled Locations</w:t>
      </w:r>
    </w:p>
    <w:tbl>
      <w:tblPr>
        <w:tblStyle w:val="TableGrid"/>
        <w:tblW w:w="9115" w:type="dxa"/>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855"/>
        <w:gridCol w:w="1899"/>
        <w:gridCol w:w="1816"/>
        <w:gridCol w:w="1739"/>
      </w:tblGrid>
      <w:tr w:rsidR="00A22597" w14:paraId="599FECD1" w14:textId="77777777" w:rsidTr="00A22597">
        <w:trPr>
          <w:trHeight w:val="255"/>
        </w:trPr>
        <w:tc>
          <w:tcPr>
            <w:tcW w:w="1806" w:type="dxa"/>
            <w:tcBorders>
              <w:top w:val="single" w:sz="4" w:space="0" w:color="auto"/>
              <w:left w:val="nil"/>
              <w:bottom w:val="single" w:sz="4" w:space="0" w:color="auto"/>
              <w:right w:val="nil"/>
            </w:tcBorders>
            <w:hideMark/>
          </w:tcPr>
          <w:p w14:paraId="50544FF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Heavy metals</w:t>
            </w:r>
          </w:p>
        </w:tc>
        <w:tc>
          <w:tcPr>
            <w:tcW w:w="1855" w:type="dxa"/>
            <w:tcBorders>
              <w:top w:val="single" w:sz="4" w:space="0" w:color="auto"/>
              <w:left w:val="nil"/>
              <w:bottom w:val="single" w:sz="4" w:space="0" w:color="auto"/>
              <w:right w:val="nil"/>
            </w:tcBorders>
            <w:vAlign w:val="center"/>
          </w:tcPr>
          <w:p w14:paraId="4D8CACF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899" w:type="dxa"/>
            <w:tcBorders>
              <w:top w:val="single" w:sz="4" w:space="0" w:color="auto"/>
              <w:left w:val="nil"/>
              <w:bottom w:val="single" w:sz="4" w:space="0" w:color="auto"/>
              <w:right w:val="nil"/>
            </w:tcBorders>
            <w:vAlign w:val="center"/>
            <w:hideMark/>
          </w:tcPr>
          <w:p w14:paraId="28D471B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816" w:type="dxa"/>
            <w:tcBorders>
              <w:top w:val="single" w:sz="4" w:space="0" w:color="auto"/>
              <w:left w:val="nil"/>
              <w:bottom w:val="single" w:sz="4" w:space="0" w:color="auto"/>
              <w:right w:val="nil"/>
            </w:tcBorders>
            <w:vAlign w:val="center"/>
            <w:hideMark/>
          </w:tcPr>
          <w:p w14:paraId="791A9E11"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739" w:type="dxa"/>
            <w:tcBorders>
              <w:top w:val="single" w:sz="4" w:space="0" w:color="auto"/>
              <w:left w:val="nil"/>
              <w:bottom w:val="single" w:sz="4" w:space="0" w:color="auto"/>
              <w:right w:val="nil"/>
            </w:tcBorders>
            <w:vAlign w:val="center"/>
            <w:hideMark/>
          </w:tcPr>
          <w:p w14:paraId="0D2EDB4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A22597" w14:paraId="514EB233" w14:textId="77777777" w:rsidTr="00A22597">
        <w:trPr>
          <w:trHeight w:val="255"/>
        </w:trPr>
        <w:tc>
          <w:tcPr>
            <w:tcW w:w="1806" w:type="dxa"/>
            <w:tcBorders>
              <w:top w:val="single" w:sz="4" w:space="0" w:color="auto"/>
              <w:left w:val="nil"/>
              <w:bottom w:val="nil"/>
              <w:right w:val="nil"/>
            </w:tcBorders>
            <w:hideMark/>
          </w:tcPr>
          <w:p w14:paraId="674CF19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855" w:type="dxa"/>
            <w:tcBorders>
              <w:top w:val="single" w:sz="4" w:space="0" w:color="auto"/>
              <w:left w:val="nil"/>
              <w:bottom w:val="nil"/>
              <w:right w:val="nil"/>
            </w:tcBorders>
            <w:vAlign w:val="bottom"/>
          </w:tcPr>
          <w:p w14:paraId="0DDCAAF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2.064653</w:t>
            </w:r>
          </w:p>
        </w:tc>
        <w:tc>
          <w:tcPr>
            <w:tcW w:w="1899" w:type="dxa"/>
            <w:tcBorders>
              <w:top w:val="single" w:sz="4" w:space="0" w:color="auto"/>
              <w:left w:val="nil"/>
              <w:bottom w:val="nil"/>
              <w:right w:val="nil"/>
            </w:tcBorders>
            <w:vAlign w:val="bottom"/>
            <w:hideMark/>
          </w:tcPr>
          <w:p w14:paraId="6596697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1.8108</w:t>
            </w:r>
          </w:p>
        </w:tc>
        <w:tc>
          <w:tcPr>
            <w:tcW w:w="1816" w:type="dxa"/>
            <w:tcBorders>
              <w:top w:val="single" w:sz="4" w:space="0" w:color="auto"/>
              <w:left w:val="nil"/>
              <w:bottom w:val="nil"/>
              <w:right w:val="nil"/>
            </w:tcBorders>
            <w:vAlign w:val="bottom"/>
            <w:hideMark/>
          </w:tcPr>
          <w:p w14:paraId="5657ECF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2.5025</w:t>
            </w:r>
          </w:p>
        </w:tc>
        <w:tc>
          <w:tcPr>
            <w:tcW w:w="1739" w:type="dxa"/>
            <w:tcBorders>
              <w:top w:val="single" w:sz="4" w:space="0" w:color="auto"/>
              <w:left w:val="nil"/>
              <w:bottom w:val="nil"/>
              <w:right w:val="nil"/>
            </w:tcBorders>
            <w:vAlign w:val="bottom"/>
            <w:hideMark/>
          </w:tcPr>
          <w:p w14:paraId="062B970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1.851333</w:t>
            </w:r>
          </w:p>
        </w:tc>
      </w:tr>
      <w:tr w:rsidR="00A22597" w14:paraId="17F8FB3E" w14:textId="77777777" w:rsidTr="00A22597">
        <w:trPr>
          <w:trHeight w:val="270"/>
        </w:trPr>
        <w:tc>
          <w:tcPr>
            <w:tcW w:w="1806" w:type="dxa"/>
            <w:tcBorders>
              <w:top w:val="nil"/>
              <w:left w:val="nil"/>
              <w:bottom w:val="nil"/>
              <w:right w:val="nil"/>
            </w:tcBorders>
            <w:hideMark/>
          </w:tcPr>
          <w:p w14:paraId="53173E9F"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855" w:type="dxa"/>
            <w:tcBorders>
              <w:top w:val="nil"/>
              <w:left w:val="nil"/>
              <w:bottom w:val="nil"/>
              <w:right w:val="nil"/>
            </w:tcBorders>
            <w:vAlign w:val="bottom"/>
          </w:tcPr>
          <w:p w14:paraId="3DCA296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-4.92431</w:t>
            </w:r>
          </w:p>
        </w:tc>
        <w:tc>
          <w:tcPr>
            <w:tcW w:w="1899" w:type="dxa"/>
            <w:tcBorders>
              <w:top w:val="nil"/>
              <w:left w:val="nil"/>
              <w:bottom w:val="nil"/>
              <w:right w:val="nil"/>
            </w:tcBorders>
            <w:vAlign w:val="bottom"/>
            <w:hideMark/>
          </w:tcPr>
          <w:p w14:paraId="0FA37E35"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-4.3452</w:t>
            </w:r>
          </w:p>
        </w:tc>
        <w:tc>
          <w:tcPr>
            <w:tcW w:w="1816" w:type="dxa"/>
            <w:tcBorders>
              <w:top w:val="nil"/>
              <w:left w:val="nil"/>
              <w:bottom w:val="nil"/>
              <w:right w:val="nil"/>
            </w:tcBorders>
            <w:vAlign w:val="bottom"/>
            <w:hideMark/>
          </w:tcPr>
          <w:p w14:paraId="0E2D81A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-4.73568</w:t>
            </w:r>
          </w:p>
        </w:tc>
        <w:tc>
          <w:tcPr>
            <w:tcW w:w="1739" w:type="dxa"/>
            <w:tcBorders>
              <w:top w:val="nil"/>
              <w:left w:val="nil"/>
              <w:bottom w:val="nil"/>
              <w:right w:val="nil"/>
            </w:tcBorders>
            <w:vAlign w:val="bottom"/>
            <w:hideMark/>
          </w:tcPr>
          <w:p w14:paraId="02D3F20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-4.60355</w:t>
            </w:r>
          </w:p>
        </w:tc>
      </w:tr>
      <w:tr w:rsidR="00A22597" w14:paraId="7C9E602F" w14:textId="77777777" w:rsidTr="00A22597">
        <w:trPr>
          <w:trHeight w:val="255"/>
        </w:trPr>
        <w:tc>
          <w:tcPr>
            <w:tcW w:w="1806" w:type="dxa"/>
            <w:tcBorders>
              <w:top w:val="nil"/>
              <w:left w:val="nil"/>
              <w:bottom w:val="nil"/>
              <w:right w:val="nil"/>
            </w:tcBorders>
            <w:hideMark/>
          </w:tcPr>
          <w:p w14:paraId="45CB474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855" w:type="dxa"/>
            <w:tcBorders>
              <w:top w:val="nil"/>
              <w:left w:val="nil"/>
              <w:bottom w:val="nil"/>
              <w:right w:val="nil"/>
            </w:tcBorders>
            <w:vAlign w:val="bottom"/>
          </w:tcPr>
          <w:p w14:paraId="227B344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-2.16752</w:t>
            </w:r>
          </w:p>
        </w:tc>
        <w:tc>
          <w:tcPr>
            <w:tcW w:w="1899" w:type="dxa"/>
            <w:tcBorders>
              <w:top w:val="nil"/>
              <w:left w:val="nil"/>
              <w:bottom w:val="nil"/>
              <w:right w:val="nil"/>
            </w:tcBorders>
            <w:vAlign w:val="bottom"/>
            <w:hideMark/>
          </w:tcPr>
          <w:p w14:paraId="6B9189CB"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-2.28891</w:t>
            </w:r>
          </w:p>
        </w:tc>
        <w:tc>
          <w:tcPr>
            <w:tcW w:w="1816" w:type="dxa"/>
            <w:tcBorders>
              <w:top w:val="nil"/>
              <w:left w:val="nil"/>
              <w:bottom w:val="nil"/>
              <w:right w:val="nil"/>
            </w:tcBorders>
            <w:vAlign w:val="bottom"/>
            <w:hideMark/>
          </w:tcPr>
          <w:p w14:paraId="4960103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-1.82889</w:t>
            </w:r>
          </w:p>
        </w:tc>
        <w:tc>
          <w:tcPr>
            <w:tcW w:w="1739" w:type="dxa"/>
            <w:tcBorders>
              <w:top w:val="nil"/>
              <w:left w:val="nil"/>
              <w:bottom w:val="nil"/>
              <w:right w:val="nil"/>
            </w:tcBorders>
            <w:vAlign w:val="bottom"/>
            <w:hideMark/>
          </w:tcPr>
          <w:p w14:paraId="055A849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-2.34618</w:t>
            </w:r>
          </w:p>
        </w:tc>
      </w:tr>
      <w:tr w:rsidR="00A22597" w14:paraId="347D80F7" w14:textId="77777777" w:rsidTr="00A22597">
        <w:trPr>
          <w:trHeight w:val="255"/>
        </w:trPr>
        <w:tc>
          <w:tcPr>
            <w:tcW w:w="1806" w:type="dxa"/>
            <w:tcBorders>
              <w:top w:val="nil"/>
              <w:left w:val="nil"/>
              <w:bottom w:val="nil"/>
              <w:right w:val="nil"/>
            </w:tcBorders>
            <w:hideMark/>
          </w:tcPr>
          <w:p w14:paraId="62DCF38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lastRenderedPageBreak/>
              <w:t>Fe</w:t>
            </w:r>
          </w:p>
        </w:tc>
        <w:tc>
          <w:tcPr>
            <w:tcW w:w="1855" w:type="dxa"/>
            <w:tcBorders>
              <w:top w:val="nil"/>
              <w:left w:val="nil"/>
              <w:bottom w:val="nil"/>
              <w:right w:val="nil"/>
            </w:tcBorders>
            <w:vAlign w:val="bottom"/>
          </w:tcPr>
          <w:p w14:paraId="5177065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-3.05008</w:t>
            </w:r>
          </w:p>
        </w:tc>
        <w:tc>
          <w:tcPr>
            <w:tcW w:w="1899" w:type="dxa"/>
            <w:tcBorders>
              <w:top w:val="nil"/>
              <w:left w:val="nil"/>
              <w:bottom w:val="nil"/>
              <w:right w:val="nil"/>
            </w:tcBorders>
            <w:vAlign w:val="bottom"/>
            <w:hideMark/>
          </w:tcPr>
          <w:p w14:paraId="5E3A127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-3.21534</w:t>
            </w:r>
          </w:p>
        </w:tc>
        <w:tc>
          <w:tcPr>
            <w:tcW w:w="1816" w:type="dxa"/>
            <w:tcBorders>
              <w:top w:val="nil"/>
              <w:left w:val="nil"/>
              <w:bottom w:val="nil"/>
              <w:right w:val="nil"/>
            </w:tcBorders>
            <w:vAlign w:val="bottom"/>
            <w:hideMark/>
          </w:tcPr>
          <w:p w14:paraId="74E32C2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-6.19742</w:t>
            </w:r>
          </w:p>
        </w:tc>
        <w:tc>
          <w:tcPr>
            <w:tcW w:w="1739" w:type="dxa"/>
            <w:tcBorders>
              <w:top w:val="nil"/>
              <w:left w:val="nil"/>
              <w:bottom w:val="nil"/>
              <w:right w:val="nil"/>
            </w:tcBorders>
            <w:vAlign w:val="bottom"/>
            <w:hideMark/>
          </w:tcPr>
          <w:p w14:paraId="4A22CF7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-3.05711</w:t>
            </w:r>
          </w:p>
        </w:tc>
      </w:tr>
      <w:tr w:rsidR="00A22597" w14:paraId="4619F3D4" w14:textId="77777777" w:rsidTr="00A22597">
        <w:trPr>
          <w:trHeight w:val="270"/>
        </w:trPr>
        <w:tc>
          <w:tcPr>
            <w:tcW w:w="1806" w:type="dxa"/>
            <w:tcBorders>
              <w:top w:val="nil"/>
              <w:left w:val="nil"/>
              <w:bottom w:val="nil"/>
              <w:right w:val="nil"/>
            </w:tcBorders>
            <w:hideMark/>
          </w:tcPr>
          <w:p w14:paraId="4DC945D1"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855" w:type="dxa"/>
            <w:tcBorders>
              <w:top w:val="nil"/>
              <w:left w:val="nil"/>
              <w:bottom w:val="nil"/>
              <w:right w:val="nil"/>
            </w:tcBorders>
            <w:vAlign w:val="bottom"/>
          </w:tcPr>
          <w:p w14:paraId="3D8844B5"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-3.33458</w:t>
            </w:r>
          </w:p>
        </w:tc>
        <w:tc>
          <w:tcPr>
            <w:tcW w:w="1899" w:type="dxa"/>
            <w:tcBorders>
              <w:top w:val="nil"/>
              <w:left w:val="nil"/>
              <w:bottom w:val="nil"/>
              <w:right w:val="nil"/>
            </w:tcBorders>
            <w:vAlign w:val="bottom"/>
            <w:hideMark/>
          </w:tcPr>
          <w:p w14:paraId="2FC0AF2B"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-3.83102</w:t>
            </w:r>
          </w:p>
        </w:tc>
        <w:tc>
          <w:tcPr>
            <w:tcW w:w="1816" w:type="dxa"/>
            <w:tcBorders>
              <w:top w:val="nil"/>
              <w:left w:val="nil"/>
              <w:bottom w:val="nil"/>
              <w:right w:val="nil"/>
            </w:tcBorders>
            <w:vAlign w:val="bottom"/>
            <w:hideMark/>
          </w:tcPr>
          <w:p w14:paraId="0E0CCF2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-3.24469</w:t>
            </w:r>
          </w:p>
        </w:tc>
        <w:tc>
          <w:tcPr>
            <w:tcW w:w="1739" w:type="dxa"/>
            <w:tcBorders>
              <w:top w:val="nil"/>
              <w:left w:val="nil"/>
              <w:bottom w:val="nil"/>
              <w:right w:val="nil"/>
            </w:tcBorders>
            <w:vAlign w:val="bottom"/>
            <w:hideMark/>
          </w:tcPr>
          <w:p w14:paraId="1C74C0E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-3.29718</w:t>
            </w:r>
          </w:p>
        </w:tc>
      </w:tr>
      <w:tr w:rsidR="00A22597" w14:paraId="5A216E14" w14:textId="77777777" w:rsidTr="00A22597">
        <w:trPr>
          <w:trHeight w:val="255"/>
        </w:trPr>
        <w:tc>
          <w:tcPr>
            <w:tcW w:w="1806" w:type="dxa"/>
            <w:tcBorders>
              <w:top w:val="nil"/>
              <w:left w:val="nil"/>
              <w:bottom w:val="nil"/>
              <w:right w:val="nil"/>
            </w:tcBorders>
            <w:hideMark/>
          </w:tcPr>
          <w:p w14:paraId="6CABDA8A"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855" w:type="dxa"/>
            <w:tcBorders>
              <w:top w:val="nil"/>
              <w:left w:val="nil"/>
              <w:bottom w:val="nil"/>
              <w:right w:val="nil"/>
            </w:tcBorders>
            <w:vAlign w:val="bottom"/>
          </w:tcPr>
          <w:p w14:paraId="17EBC7C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-1.61411</w:t>
            </w:r>
          </w:p>
        </w:tc>
        <w:tc>
          <w:tcPr>
            <w:tcW w:w="1899" w:type="dxa"/>
            <w:tcBorders>
              <w:top w:val="nil"/>
              <w:left w:val="nil"/>
              <w:bottom w:val="nil"/>
              <w:right w:val="nil"/>
            </w:tcBorders>
            <w:vAlign w:val="bottom"/>
            <w:hideMark/>
          </w:tcPr>
          <w:p w14:paraId="4B5B3F6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-0.91723</w:t>
            </w:r>
          </w:p>
        </w:tc>
        <w:tc>
          <w:tcPr>
            <w:tcW w:w="1816" w:type="dxa"/>
            <w:tcBorders>
              <w:top w:val="nil"/>
              <w:left w:val="nil"/>
              <w:bottom w:val="nil"/>
              <w:right w:val="nil"/>
            </w:tcBorders>
            <w:vAlign w:val="bottom"/>
            <w:hideMark/>
          </w:tcPr>
          <w:p w14:paraId="069C6222"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-1.32193</w:t>
            </w:r>
          </w:p>
        </w:tc>
        <w:tc>
          <w:tcPr>
            <w:tcW w:w="1739" w:type="dxa"/>
            <w:tcBorders>
              <w:top w:val="nil"/>
              <w:left w:val="nil"/>
              <w:bottom w:val="nil"/>
              <w:right w:val="nil"/>
            </w:tcBorders>
            <w:vAlign w:val="bottom"/>
            <w:hideMark/>
          </w:tcPr>
          <w:p w14:paraId="386D74AA"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-1.34897</w:t>
            </w:r>
          </w:p>
        </w:tc>
      </w:tr>
      <w:tr w:rsidR="00A22597" w14:paraId="2975B2A6" w14:textId="77777777" w:rsidTr="00A22597">
        <w:trPr>
          <w:trHeight w:val="270"/>
        </w:trPr>
        <w:tc>
          <w:tcPr>
            <w:tcW w:w="1806" w:type="dxa"/>
            <w:tcBorders>
              <w:top w:val="nil"/>
              <w:left w:val="nil"/>
              <w:bottom w:val="nil"/>
              <w:right w:val="nil"/>
            </w:tcBorders>
            <w:hideMark/>
          </w:tcPr>
          <w:p w14:paraId="4F88EAA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855" w:type="dxa"/>
            <w:tcBorders>
              <w:top w:val="nil"/>
              <w:left w:val="nil"/>
              <w:bottom w:val="nil"/>
              <w:right w:val="nil"/>
            </w:tcBorders>
            <w:vAlign w:val="bottom"/>
          </w:tcPr>
          <w:p w14:paraId="529FE0E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-2.08698</w:t>
            </w:r>
          </w:p>
        </w:tc>
        <w:tc>
          <w:tcPr>
            <w:tcW w:w="1899" w:type="dxa"/>
            <w:tcBorders>
              <w:top w:val="nil"/>
              <w:left w:val="nil"/>
              <w:bottom w:val="nil"/>
              <w:right w:val="nil"/>
            </w:tcBorders>
            <w:vAlign w:val="bottom"/>
            <w:hideMark/>
          </w:tcPr>
          <w:p w14:paraId="5A834FD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-1.54149</w:t>
            </w:r>
          </w:p>
        </w:tc>
        <w:tc>
          <w:tcPr>
            <w:tcW w:w="1816" w:type="dxa"/>
            <w:tcBorders>
              <w:top w:val="nil"/>
              <w:left w:val="nil"/>
              <w:bottom w:val="nil"/>
              <w:right w:val="nil"/>
            </w:tcBorders>
            <w:vAlign w:val="bottom"/>
            <w:hideMark/>
          </w:tcPr>
          <w:p w14:paraId="7A9AA9B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-1.79272</w:t>
            </w:r>
          </w:p>
        </w:tc>
        <w:tc>
          <w:tcPr>
            <w:tcW w:w="1739" w:type="dxa"/>
            <w:tcBorders>
              <w:top w:val="nil"/>
              <w:left w:val="nil"/>
              <w:bottom w:val="nil"/>
              <w:right w:val="nil"/>
            </w:tcBorders>
            <w:vAlign w:val="bottom"/>
            <w:hideMark/>
          </w:tcPr>
          <w:p w14:paraId="1A6ED88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-1.993</w:t>
            </w:r>
          </w:p>
        </w:tc>
      </w:tr>
      <w:tr w:rsidR="00A22597" w14:paraId="5509B829" w14:textId="77777777" w:rsidTr="00A22597">
        <w:trPr>
          <w:trHeight w:val="255"/>
        </w:trPr>
        <w:tc>
          <w:tcPr>
            <w:tcW w:w="1806" w:type="dxa"/>
            <w:tcBorders>
              <w:top w:val="nil"/>
              <w:left w:val="nil"/>
              <w:bottom w:val="single" w:sz="4" w:space="0" w:color="auto"/>
              <w:right w:val="nil"/>
            </w:tcBorders>
            <w:hideMark/>
          </w:tcPr>
          <w:p w14:paraId="23534A9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855" w:type="dxa"/>
            <w:tcBorders>
              <w:top w:val="nil"/>
              <w:left w:val="nil"/>
              <w:bottom w:val="single" w:sz="4" w:space="0" w:color="auto"/>
              <w:right w:val="nil"/>
            </w:tcBorders>
            <w:vAlign w:val="bottom"/>
          </w:tcPr>
          <w:p w14:paraId="4D617D3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-2.56434</w:t>
            </w:r>
          </w:p>
        </w:tc>
        <w:tc>
          <w:tcPr>
            <w:tcW w:w="1899" w:type="dxa"/>
            <w:tcBorders>
              <w:top w:val="nil"/>
              <w:left w:val="nil"/>
              <w:bottom w:val="single" w:sz="4" w:space="0" w:color="auto"/>
              <w:right w:val="nil"/>
            </w:tcBorders>
            <w:vAlign w:val="bottom"/>
            <w:hideMark/>
          </w:tcPr>
          <w:p w14:paraId="300D723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-2.60823</w:t>
            </w:r>
          </w:p>
        </w:tc>
        <w:tc>
          <w:tcPr>
            <w:tcW w:w="1816" w:type="dxa"/>
            <w:tcBorders>
              <w:top w:val="nil"/>
              <w:left w:val="nil"/>
              <w:bottom w:val="single" w:sz="4" w:space="0" w:color="auto"/>
              <w:right w:val="nil"/>
            </w:tcBorders>
            <w:vAlign w:val="bottom"/>
            <w:hideMark/>
          </w:tcPr>
          <w:p w14:paraId="0EE3432F"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-2.34129</w:t>
            </w:r>
          </w:p>
        </w:tc>
        <w:tc>
          <w:tcPr>
            <w:tcW w:w="1739" w:type="dxa"/>
            <w:tcBorders>
              <w:top w:val="nil"/>
              <w:left w:val="nil"/>
              <w:bottom w:val="single" w:sz="4" w:space="0" w:color="auto"/>
              <w:right w:val="nil"/>
            </w:tcBorders>
            <w:vAlign w:val="bottom"/>
            <w:hideMark/>
          </w:tcPr>
          <w:p w14:paraId="3F95131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-2.48358</w:t>
            </w:r>
          </w:p>
        </w:tc>
      </w:tr>
    </w:tbl>
    <w:p w14:paraId="70EAEB30" w14:textId="77777777" w:rsidR="00032391" w:rsidRDefault="00032391" w:rsidP="00032391">
      <w:pPr>
        <w:jc w:val="both"/>
        <w:rPr>
          <w:rFonts w:ascii="Times New Roman" w:hAnsi="Times New Roman"/>
          <w:noProof/>
          <w:sz w:val="24"/>
          <w:szCs w:val="24"/>
        </w:rPr>
      </w:pPr>
    </w:p>
    <w:p w14:paraId="7F4D78A9"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 5 shows the values for degree of contamination index (CDI) and the pollution load index (PLI), both of which assess the level of combined contaminants at the sampling locations. Mapping Table 5 with Table 1, the degrees of contamination at </w:t>
      </w:r>
      <w:r w:rsidR="009036A1">
        <w:rPr>
          <w:rFonts w:ascii="Times New Roman" w:hAnsi="Times New Roman"/>
          <w:sz w:val="24"/>
          <w:szCs w:val="24"/>
        </w:rPr>
        <w:t>SP2</w:t>
      </w:r>
      <w:r>
        <w:rPr>
          <w:rFonts w:ascii="Times New Roman" w:hAnsi="Times New Roman"/>
          <w:sz w:val="24"/>
          <w:szCs w:val="24"/>
        </w:rPr>
        <w:t xml:space="preserve">, </w:t>
      </w:r>
      <w:r w:rsidR="009036A1">
        <w:rPr>
          <w:rFonts w:ascii="Times New Roman" w:hAnsi="Times New Roman"/>
          <w:sz w:val="24"/>
          <w:szCs w:val="24"/>
        </w:rPr>
        <w:t>SP4</w:t>
      </w:r>
      <w:r w:rsidR="00FA7181">
        <w:rPr>
          <w:rFonts w:ascii="Times New Roman" w:hAnsi="Times New Roman"/>
          <w:sz w:val="24"/>
          <w:szCs w:val="24"/>
        </w:rPr>
        <w:t>, and SP1</w:t>
      </w:r>
      <w:r>
        <w:rPr>
          <w:rFonts w:ascii="Times New Roman" w:hAnsi="Times New Roman"/>
          <w:sz w:val="24"/>
          <w:szCs w:val="24"/>
        </w:rPr>
        <w:t xml:space="preserve"> were moderate with the CDI values ranging between 5 and 10 </w:t>
      </w:r>
      <w:r>
        <w:rPr>
          <w:rFonts w:ascii="Times New Roman" w:hAnsi="Times New Roman"/>
          <w:sz w:val="24"/>
          <w:szCs w:val="24"/>
          <w:shd w:val="clear" w:color="auto" w:fill="FFFFFF"/>
          <w:lang w:val="en-GB"/>
        </w:rPr>
        <w:t>(</w:t>
      </w:r>
      <m:oMath>
        <m:r>
          <w:rPr>
            <w:rFonts w:ascii="Cambria Math" w:hAnsi="Cambria Math"/>
            <w:sz w:val="24"/>
            <w:szCs w:val="24"/>
            <w:shd w:val="clear" w:color="auto" w:fill="FFFFFF"/>
            <w:lang w:val="en-GB"/>
          </w:rPr>
          <m:t>5&lt;CDI&lt;10)</m:t>
        </m:r>
      </m:oMath>
      <w:r>
        <w:rPr>
          <w:rFonts w:ascii="Times New Roman" w:hAnsi="Times New Roman"/>
          <w:sz w:val="24"/>
          <w:szCs w:val="24"/>
        </w:rPr>
        <w:t xml:space="preserve">. For the CDI value greater than 10 as was observed with the </w:t>
      </w:r>
      <w:r w:rsidR="00B879CF">
        <w:rPr>
          <w:rFonts w:ascii="Times New Roman" w:hAnsi="Times New Roman"/>
          <w:sz w:val="24"/>
          <w:szCs w:val="24"/>
        </w:rPr>
        <w:t>SP3</w:t>
      </w:r>
      <w:r>
        <w:rPr>
          <w:rFonts w:ascii="Times New Roman" w:hAnsi="Times New Roman"/>
          <w:sz w:val="24"/>
          <w:szCs w:val="24"/>
        </w:rPr>
        <w:t xml:space="preserve"> sample, the environment is subject to a high heavy metal contamination risk. A contribution analysis showed that the contribution effect of Cd at the various locations we</w:t>
      </w:r>
      <w:r w:rsidR="00AF63BE">
        <w:rPr>
          <w:rFonts w:ascii="Times New Roman" w:hAnsi="Times New Roman"/>
          <w:sz w:val="24"/>
          <w:szCs w:val="24"/>
        </w:rPr>
        <w:t>re 70%, 81%, 74%, and 78% for SP2</w:t>
      </w:r>
      <w:r>
        <w:rPr>
          <w:rFonts w:ascii="Times New Roman" w:hAnsi="Times New Roman"/>
          <w:sz w:val="24"/>
          <w:szCs w:val="24"/>
        </w:rPr>
        <w:t xml:space="preserve">, </w:t>
      </w:r>
      <w:r w:rsidR="00AF63BE">
        <w:rPr>
          <w:rFonts w:ascii="Times New Roman" w:hAnsi="Times New Roman"/>
          <w:sz w:val="24"/>
          <w:szCs w:val="24"/>
        </w:rPr>
        <w:t>SP3</w:t>
      </w:r>
      <w:r>
        <w:rPr>
          <w:rFonts w:ascii="Times New Roman" w:hAnsi="Times New Roman"/>
          <w:sz w:val="24"/>
          <w:szCs w:val="24"/>
        </w:rPr>
        <w:t xml:space="preserve">, </w:t>
      </w:r>
      <w:r w:rsidR="00AF63BE">
        <w:rPr>
          <w:rFonts w:ascii="Times New Roman" w:hAnsi="Times New Roman"/>
          <w:sz w:val="24"/>
          <w:szCs w:val="24"/>
        </w:rPr>
        <w:t>SP4</w:t>
      </w:r>
      <w:r>
        <w:rPr>
          <w:rFonts w:ascii="Times New Roman" w:hAnsi="Times New Roman"/>
          <w:sz w:val="24"/>
          <w:szCs w:val="24"/>
        </w:rPr>
        <w:t xml:space="preserve">, and </w:t>
      </w:r>
      <w:r w:rsidR="00694139">
        <w:rPr>
          <w:rFonts w:ascii="Times New Roman" w:hAnsi="Times New Roman"/>
          <w:sz w:val="24"/>
          <w:szCs w:val="24"/>
        </w:rPr>
        <w:t>SP1</w:t>
      </w:r>
      <w:r>
        <w:rPr>
          <w:rFonts w:ascii="Times New Roman" w:hAnsi="Times New Roman"/>
          <w:sz w:val="24"/>
          <w:szCs w:val="24"/>
        </w:rPr>
        <w:t xml:space="preserve"> respectively. This suggests that urgent counter measures to reduce Cd contamination in roadside soil needs to be taken. Similar to the CDI index, the PLI is an indicator of the extent of combined heavy metal contamination. It is therefore expected that both indices could be used to validate one another. Contrary to the expected validation, the PLI of this study suggests that there was no heavy metal combined pollution risk in the study area with PLI values less than one (PLI &lt; 1) at all sample locations (Table 5). The order of contamination at the various locations for CDI was </w:t>
      </w:r>
      <m:oMath>
        <m:r>
          <w:rPr>
            <w:rFonts w:ascii="Cambria Math" w:hAnsi="Cambria Math"/>
            <w:sz w:val="24"/>
            <w:szCs w:val="24"/>
            <w:shd w:val="clear" w:color="auto" w:fill="FFFFFF"/>
            <w:lang w:val="en-GB"/>
          </w:rPr>
          <m:t>SP4&lt;SP2&lt;SP1&lt;SP3</m:t>
        </m:r>
      </m:oMath>
      <w:r>
        <w:rPr>
          <w:rFonts w:ascii="Times New Roman" w:hAnsi="Times New Roman"/>
          <w:sz w:val="24"/>
          <w:szCs w:val="24"/>
          <w:shd w:val="clear" w:color="auto" w:fill="FFFFFF"/>
          <w:lang w:val="en-GB"/>
        </w:rPr>
        <w:t xml:space="preserve"> </w:t>
      </w:r>
      <w:r>
        <w:rPr>
          <w:rFonts w:ascii="Times New Roman" w:hAnsi="Times New Roman"/>
          <w:sz w:val="24"/>
          <w:szCs w:val="24"/>
        </w:rPr>
        <w:t xml:space="preserve">while that of the PLI was </w:t>
      </w:r>
      <m:oMath>
        <m:r>
          <w:rPr>
            <w:rFonts w:ascii="Cambria Math" w:hAnsi="Cambria Math"/>
            <w:sz w:val="24"/>
            <w:szCs w:val="24"/>
          </w:rPr>
          <m:t>SP3</m:t>
        </m:r>
        <m:r>
          <w:rPr>
            <w:rFonts w:ascii="Cambria Math" w:hAnsi="Cambria Math"/>
            <w:sz w:val="24"/>
            <w:szCs w:val="24"/>
            <w:shd w:val="clear" w:color="auto" w:fill="FFFFFF"/>
            <w:lang w:val="en-GB"/>
          </w:rPr>
          <m:t>&lt;SP1&lt;SP4&lt;SP2</m:t>
        </m:r>
      </m:oMath>
      <w:r>
        <w:rPr>
          <w:rFonts w:ascii="Times New Roman" w:hAnsi="Times New Roman"/>
          <w:sz w:val="24"/>
          <w:szCs w:val="24"/>
        </w:rPr>
        <w:t>. The dissimilarity between CDI an</w:t>
      </w:r>
      <w:r w:rsidR="00645147">
        <w:rPr>
          <w:rFonts w:ascii="Times New Roman" w:hAnsi="Times New Roman"/>
          <w:sz w:val="24"/>
          <w:szCs w:val="24"/>
        </w:rPr>
        <w:t>d</w:t>
      </w:r>
      <w:r>
        <w:rPr>
          <w:rFonts w:ascii="Times New Roman" w:hAnsi="Times New Roman"/>
          <w:sz w:val="24"/>
          <w:szCs w:val="24"/>
        </w:rPr>
        <w:t xml:space="preserve"> PLI is similar to the work of Bartkowiak </w:t>
      </w:r>
      <w:r>
        <w:rPr>
          <w:rFonts w:ascii="Times New Roman" w:hAnsi="Times New Roman"/>
          <w:i/>
          <w:sz w:val="24"/>
          <w:szCs w:val="24"/>
        </w:rPr>
        <w:t>et al</w:t>
      </w:r>
      <w:r>
        <w:rPr>
          <w:rFonts w:ascii="Times New Roman" w:hAnsi="Times New Roman"/>
          <w:sz w:val="24"/>
          <w:szCs w:val="24"/>
        </w:rPr>
        <w:t xml:space="preserve">. </w:t>
      </w:r>
      <w:r w:rsidR="006A42EE">
        <w:rPr>
          <w:rFonts w:ascii="Times New Roman" w:hAnsi="Times New Roman"/>
          <w:sz w:val="24"/>
          <w:szCs w:val="24"/>
        </w:rPr>
        <w:t>(2024)</w:t>
      </w:r>
      <w:r>
        <w:rPr>
          <w:rFonts w:ascii="Times New Roman" w:hAnsi="Times New Roman"/>
          <w:sz w:val="24"/>
          <w:szCs w:val="24"/>
        </w:rPr>
        <w:t>.</w:t>
      </w:r>
    </w:p>
    <w:p w14:paraId="5A1ADEB5" w14:textId="77777777" w:rsidR="001E7C11" w:rsidRDefault="001E7C11" w:rsidP="00032391">
      <w:pPr>
        <w:jc w:val="both"/>
        <w:rPr>
          <w:rFonts w:ascii="Times New Roman" w:hAnsi="Times New Roman"/>
          <w:sz w:val="24"/>
          <w:szCs w:val="24"/>
        </w:rPr>
      </w:pPr>
    </w:p>
    <w:p w14:paraId="53DEB492"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5: </w:t>
      </w:r>
      <w:r>
        <w:rPr>
          <w:rFonts w:ascii="Times New Roman" w:hAnsi="Times New Roman"/>
          <w:sz w:val="24"/>
          <w:szCs w:val="24"/>
          <w:shd w:val="clear" w:color="auto" w:fill="FFFFFF"/>
          <w:lang w:val="en-GB"/>
        </w:rPr>
        <w:t xml:space="preserve">Pollution Level Index from the Selected Junctions in </w:t>
      </w:r>
      <w:proofErr w:type="spellStart"/>
      <w:r>
        <w:rPr>
          <w:rFonts w:ascii="Times New Roman" w:hAnsi="Times New Roman"/>
          <w:sz w:val="24"/>
          <w:szCs w:val="24"/>
          <w:shd w:val="clear" w:color="auto" w:fill="FFFFFF"/>
          <w:lang w:val="en-GB"/>
        </w:rPr>
        <w:t>Eket</w:t>
      </w:r>
      <w:proofErr w:type="spellEnd"/>
      <w:r>
        <w:rPr>
          <w:rFonts w:ascii="Times New Roman" w:hAnsi="Times New Roman"/>
          <w:sz w:val="24"/>
          <w:szCs w:val="24"/>
          <w:shd w:val="clear" w:color="auto" w:fill="FFFFFF"/>
          <w:lang w:val="en-GB"/>
        </w:rPr>
        <w:t xml:space="preserve"> Metropolis</w:t>
      </w:r>
    </w:p>
    <w:tbl>
      <w:tblPr>
        <w:tblStyle w:val="TableGrid"/>
        <w:tblW w:w="853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530"/>
        <w:gridCol w:w="1530"/>
        <w:gridCol w:w="1350"/>
        <w:gridCol w:w="1421"/>
      </w:tblGrid>
      <w:tr w:rsidR="00EA08D3" w14:paraId="66E64956" w14:textId="77777777" w:rsidTr="00EA08D3">
        <w:trPr>
          <w:trHeight w:val="323"/>
          <w:jc w:val="center"/>
        </w:trPr>
        <w:tc>
          <w:tcPr>
            <w:tcW w:w="2700" w:type="dxa"/>
            <w:tcBorders>
              <w:top w:val="single" w:sz="4" w:space="0" w:color="auto"/>
              <w:left w:val="nil"/>
              <w:bottom w:val="single" w:sz="4" w:space="0" w:color="auto"/>
              <w:right w:val="nil"/>
            </w:tcBorders>
            <w:hideMark/>
          </w:tcPr>
          <w:p w14:paraId="21C237AE"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Contamination indices</w:t>
            </w:r>
          </w:p>
        </w:tc>
        <w:tc>
          <w:tcPr>
            <w:tcW w:w="1530" w:type="dxa"/>
            <w:tcBorders>
              <w:top w:val="single" w:sz="4" w:space="0" w:color="auto"/>
              <w:left w:val="nil"/>
              <w:bottom w:val="single" w:sz="4" w:space="0" w:color="auto"/>
              <w:right w:val="nil"/>
            </w:tcBorders>
          </w:tcPr>
          <w:p w14:paraId="32DEE49B"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530" w:type="dxa"/>
            <w:tcBorders>
              <w:top w:val="single" w:sz="4" w:space="0" w:color="auto"/>
              <w:left w:val="nil"/>
              <w:bottom w:val="single" w:sz="4" w:space="0" w:color="auto"/>
              <w:right w:val="nil"/>
            </w:tcBorders>
            <w:hideMark/>
          </w:tcPr>
          <w:p w14:paraId="2BF4D25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350" w:type="dxa"/>
            <w:tcBorders>
              <w:top w:val="single" w:sz="4" w:space="0" w:color="auto"/>
              <w:left w:val="nil"/>
              <w:bottom w:val="single" w:sz="4" w:space="0" w:color="auto"/>
              <w:right w:val="nil"/>
            </w:tcBorders>
            <w:hideMark/>
          </w:tcPr>
          <w:p w14:paraId="6A36511C"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421" w:type="dxa"/>
            <w:tcBorders>
              <w:top w:val="single" w:sz="4" w:space="0" w:color="auto"/>
              <w:left w:val="nil"/>
              <w:bottom w:val="single" w:sz="4" w:space="0" w:color="auto"/>
              <w:right w:val="nil"/>
            </w:tcBorders>
            <w:hideMark/>
          </w:tcPr>
          <w:p w14:paraId="40D28287"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EA08D3" w14:paraId="57D5B0C1" w14:textId="77777777" w:rsidTr="00EA08D3">
        <w:trPr>
          <w:trHeight w:val="323"/>
          <w:jc w:val="center"/>
        </w:trPr>
        <w:tc>
          <w:tcPr>
            <w:tcW w:w="2700" w:type="dxa"/>
            <w:tcBorders>
              <w:top w:val="single" w:sz="4" w:space="0" w:color="auto"/>
              <w:left w:val="nil"/>
              <w:bottom w:val="nil"/>
              <w:right w:val="nil"/>
            </w:tcBorders>
            <w:hideMark/>
          </w:tcPr>
          <w:p w14:paraId="2B984F5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CDI</w:t>
            </w:r>
          </w:p>
        </w:tc>
        <w:tc>
          <w:tcPr>
            <w:tcW w:w="1530" w:type="dxa"/>
            <w:tcBorders>
              <w:top w:val="single" w:sz="4" w:space="0" w:color="auto"/>
              <w:left w:val="nil"/>
              <w:bottom w:val="nil"/>
              <w:right w:val="nil"/>
            </w:tcBorders>
            <w:vAlign w:val="center"/>
          </w:tcPr>
          <w:p w14:paraId="0D28BA6A"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8.0847</w:t>
            </w:r>
          </w:p>
        </w:tc>
        <w:tc>
          <w:tcPr>
            <w:tcW w:w="1530" w:type="dxa"/>
            <w:tcBorders>
              <w:top w:val="single" w:sz="4" w:space="0" w:color="auto"/>
              <w:left w:val="nil"/>
              <w:bottom w:val="nil"/>
              <w:right w:val="nil"/>
            </w:tcBorders>
            <w:vAlign w:val="center"/>
            <w:hideMark/>
          </w:tcPr>
          <w:p w14:paraId="6E842702"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7.4657</w:t>
            </w:r>
          </w:p>
        </w:tc>
        <w:tc>
          <w:tcPr>
            <w:tcW w:w="1350" w:type="dxa"/>
            <w:tcBorders>
              <w:top w:val="single" w:sz="4" w:space="0" w:color="auto"/>
              <w:left w:val="nil"/>
              <w:bottom w:val="nil"/>
              <w:right w:val="nil"/>
            </w:tcBorders>
            <w:vAlign w:val="center"/>
            <w:hideMark/>
          </w:tcPr>
          <w:p w14:paraId="5ED961E6"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10.4862</w:t>
            </w:r>
          </w:p>
        </w:tc>
        <w:tc>
          <w:tcPr>
            <w:tcW w:w="1421" w:type="dxa"/>
            <w:tcBorders>
              <w:top w:val="single" w:sz="4" w:space="0" w:color="auto"/>
              <w:left w:val="nil"/>
              <w:bottom w:val="nil"/>
              <w:right w:val="nil"/>
            </w:tcBorders>
            <w:vAlign w:val="center"/>
            <w:hideMark/>
          </w:tcPr>
          <w:p w14:paraId="548D9D3B"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7.3359</w:t>
            </w:r>
          </w:p>
        </w:tc>
      </w:tr>
      <w:tr w:rsidR="00EA08D3" w14:paraId="661DC577" w14:textId="77777777" w:rsidTr="00EA08D3">
        <w:trPr>
          <w:trHeight w:val="323"/>
          <w:jc w:val="center"/>
        </w:trPr>
        <w:tc>
          <w:tcPr>
            <w:tcW w:w="2700" w:type="dxa"/>
            <w:tcBorders>
              <w:top w:val="nil"/>
              <w:left w:val="nil"/>
              <w:bottom w:val="single" w:sz="4" w:space="0" w:color="auto"/>
              <w:right w:val="nil"/>
            </w:tcBorders>
            <w:hideMark/>
          </w:tcPr>
          <w:p w14:paraId="3BEAD187"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PLI</w:t>
            </w:r>
          </w:p>
        </w:tc>
        <w:tc>
          <w:tcPr>
            <w:tcW w:w="1530" w:type="dxa"/>
            <w:tcBorders>
              <w:top w:val="nil"/>
              <w:left w:val="nil"/>
              <w:bottom w:val="single" w:sz="4" w:space="0" w:color="auto"/>
              <w:right w:val="nil"/>
            </w:tcBorders>
            <w:vAlign w:val="bottom"/>
          </w:tcPr>
          <w:p w14:paraId="3A74F3B9"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0.3243</w:t>
            </w:r>
          </w:p>
        </w:tc>
        <w:tc>
          <w:tcPr>
            <w:tcW w:w="1530" w:type="dxa"/>
            <w:tcBorders>
              <w:top w:val="nil"/>
              <w:left w:val="nil"/>
              <w:bottom w:val="single" w:sz="4" w:space="0" w:color="auto"/>
              <w:right w:val="nil"/>
            </w:tcBorders>
            <w:vAlign w:val="bottom"/>
            <w:hideMark/>
          </w:tcPr>
          <w:p w14:paraId="33B6C53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0.3517</w:t>
            </w:r>
          </w:p>
        </w:tc>
        <w:tc>
          <w:tcPr>
            <w:tcW w:w="1350" w:type="dxa"/>
            <w:tcBorders>
              <w:top w:val="nil"/>
              <w:left w:val="nil"/>
              <w:bottom w:val="single" w:sz="4" w:space="0" w:color="auto"/>
              <w:right w:val="nil"/>
            </w:tcBorders>
            <w:vAlign w:val="bottom"/>
            <w:hideMark/>
          </w:tcPr>
          <w:p w14:paraId="05B8B3FD"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0.2902</w:t>
            </w:r>
          </w:p>
        </w:tc>
        <w:tc>
          <w:tcPr>
            <w:tcW w:w="1421" w:type="dxa"/>
            <w:tcBorders>
              <w:top w:val="nil"/>
              <w:left w:val="nil"/>
              <w:bottom w:val="single" w:sz="4" w:space="0" w:color="auto"/>
              <w:right w:val="nil"/>
            </w:tcBorders>
            <w:vAlign w:val="bottom"/>
            <w:hideMark/>
          </w:tcPr>
          <w:p w14:paraId="19DD9EB2"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0.3357</w:t>
            </w:r>
          </w:p>
        </w:tc>
      </w:tr>
    </w:tbl>
    <w:p w14:paraId="1F2D45EB" w14:textId="77777777" w:rsidR="00032391" w:rsidRDefault="00032391" w:rsidP="00032391">
      <w:pPr>
        <w:jc w:val="both"/>
        <w:rPr>
          <w:rFonts w:ascii="Times New Roman" w:hAnsi="Times New Roman"/>
          <w:noProof/>
          <w:sz w:val="24"/>
          <w:szCs w:val="24"/>
        </w:rPr>
      </w:pPr>
    </w:p>
    <w:p w14:paraId="26DFFA20"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 xml:space="preserve">4.0 Conclusions </w:t>
      </w:r>
    </w:p>
    <w:p w14:paraId="798B687A"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Roadside soils in </w:t>
      </w:r>
      <w:r w:rsidR="006B7A1A">
        <w:rPr>
          <w:rFonts w:ascii="Times New Roman" w:hAnsi="Times New Roman"/>
          <w:sz w:val="24"/>
          <w:szCs w:val="24"/>
        </w:rPr>
        <w:t>SP1</w:t>
      </w:r>
      <w:r>
        <w:rPr>
          <w:rFonts w:ascii="Times New Roman" w:hAnsi="Times New Roman"/>
          <w:sz w:val="24"/>
          <w:szCs w:val="24"/>
        </w:rPr>
        <w:t xml:space="preserve">, </w:t>
      </w:r>
      <w:r w:rsidR="00C050C6">
        <w:rPr>
          <w:rFonts w:ascii="Times New Roman" w:hAnsi="Times New Roman"/>
          <w:sz w:val="24"/>
          <w:szCs w:val="24"/>
        </w:rPr>
        <w:t>SP2</w:t>
      </w:r>
      <w:r>
        <w:rPr>
          <w:rFonts w:ascii="Times New Roman" w:hAnsi="Times New Roman"/>
          <w:sz w:val="24"/>
          <w:szCs w:val="24"/>
        </w:rPr>
        <w:t xml:space="preserve">, </w:t>
      </w:r>
      <w:r w:rsidR="00C576CD">
        <w:rPr>
          <w:rFonts w:ascii="Times New Roman" w:hAnsi="Times New Roman"/>
          <w:sz w:val="24"/>
          <w:szCs w:val="24"/>
        </w:rPr>
        <w:t>SP3</w:t>
      </w:r>
      <w:r>
        <w:rPr>
          <w:rFonts w:ascii="Times New Roman" w:hAnsi="Times New Roman"/>
          <w:sz w:val="24"/>
          <w:szCs w:val="24"/>
        </w:rPr>
        <w:t xml:space="preserve">, and </w:t>
      </w:r>
      <w:r w:rsidR="00C576CD">
        <w:rPr>
          <w:rFonts w:ascii="Times New Roman" w:hAnsi="Times New Roman"/>
          <w:sz w:val="24"/>
          <w:szCs w:val="24"/>
        </w:rPr>
        <w:t>SP4</w:t>
      </w:r>
      <w:r>
        <w:rPr>
          <w:rFonts w:ascii="Times New Roman" w:hAnsi="Times New Roman"/>
          <w:sz w:val="24"/>
          <w:szCs w:val="24"/>
        </w:rPr>
        <w:t xml:space="preserve"> of </w:t>
      </w:r>
      <w:proofErr w:type="spellStart"/>
      <w:r>
        <w:rPr>
          <w:rFonts w:ascii="Times New Roman" w:hAnsi="Times New Roman"/>
          <w:sz w:val="24"/>
          <w:szCs w:val="24"/>
        </w:rPr>
        <w:t>Eket</w:t>
      </w:r>
      <w:proofErr w:type="spellEnd"/>
      <w:r>
        <w:rPr>
          <w:rFonts w:ascii="Times New Roman" w:hAnsi="Times New Roman"/>
          <w:sz w:val="24"/>
          <w:szCs w:val="24"/>
        </w:rPr>
        <w:t xml:space="preserve"> city in </w:t>
      </w:r>
      <w:proofErr w:type="spellStart"/>
      <w:r>
        <w:rPr>
          <w:rFonts w:ascii="Times New Roman" w:hAnsi="Times New Roman"/>
          <w:sz w:val="24"/>
          <w:szCs w:val="24"/>
        </w:rPr>
        <w:t>Akwa</w:t>
      </w:r>
      <w:proofErr w:type="spellEnd"/>
      <w:r>
        <w:rPr>
          <w:rFonts w:ascii="Times New Roman" w:hAnsi="Times New Roman"/>
          <w:sz w:val="24"/>
          <w:szCs w:val="24"/>
        </w:rPr>
        <w:t xml:space="preserve"> Ibom State of Nigeria are contaminated with heavy metals especially cadmium (Cd). Concentration of Cd at all studied sites exceeded the maximum allowable limits as presented by WHO posing considerably high to very high environmental risk at these sites. This could translate to varying degree of health risk potentials to residents and ancillary employees around the study area. Therefore, counter measures such as chemical reduction, immobilization, stabilization and electro-remediation can remove Cd from the soil.</w:t>
      </w:r>
    </w:p>
    <w:p w14:paraId="7433FBC4" w14:textId="77777777" w:rsidR="00EC3D25" w:rsidRDefault="00EC3D25" w:rsidP="00032391">
      <w:pPr>
        <w:jc w:val="both"/>
        <w:rPr>
          <w:rFonts w:ascii="Times New Roman" w:hAnsi="Times New Roman"/>
          <w:sz w:val="24"/>
          <w:szCs w:val="24"/>
        </w:rPr>
      </w:pPr>
    </w:p>
    <w:p w14:paraId="3D34A5A2" w14:textId="77777777" w:rsidR="00671B47" w:rsidRDefault="00671B47" w:rsidP="00032391">
      <w:pPr>
        <w:jc w:val="both"/>
        <w:rPr>
          <w:rFonts w:ascii="Times New Roman" w:hAnsi="Times New Roman"/>
          <w:bCs/>
          <w:sz w:val="24"/>
          <w:szCs w:val="24"/>
        </w:rPr>
      </w:pPr>
    </w:p>
    <w:p w14:paraId="3D3D4B30" w14:textId="77777777" w:rsidR="00671B47" w:rsidRPr="00671B47" w:rsidRDefault="00671B47" w:rsidP="00671B47">
      <w:pPr>
        <w:jc w:val="both"/>
        <w:rPr>
          <w:rFonts w:ascii="Times New Roman" w:hAnsi="Times New Roman"/>
          <w:bCs/>
          <w:sz w:val="24"/>
          <w:szCs w:val="24"/>
        </w:rPr>
      </w:pPr>
      <w:r w:rsidRPr="00671B47">
        <w:rPr>
          <w:rFonts w:ascii="Times New Roman" w:hAnsi="Times New Roman"/>
          <w:bCs/>
          <w:sz w:val="24"/>
          <w:szCs w:val="24"/>
        </w:rPr>
        <w:t>COMPETING INTERESTS DISCLAIMER:</w:t>
      </w:r>
    </w:p>
    <w:p w14:paraId="364E01E1" w14:textId="737A3691" w:rsidR="00671B47" w:rsidRDefault="00671B47" w:rsidP="00671B47">
      <w:pPr>
        <w:jc w:val="both"/>
        <w:rPr>
          <w:rFonts w:ascii="Times New Roman" w:hAnsi="Times New Roman"/>
          <w:bCs/>
          <w:sz w:val="24"/>
          <w:szCs w:val="24"/>
        </w:rPr>
      </w:pPr>
      <w:r w:rsidRPr="00671B47">
        <w:rPr>
          <w:rFonts w:ascii="Times New Roman" w:hAnsi="Times New Roman"/>
          <w:bCs/>
          <w:sz w:val="24"/>
          <w:szCs w:val="24"/>
        </w:rPr>
        <w:t>Authors have declared that they have no known competing financial interests OR non-financial interests OR personal relationships that could have appeared to influence the work reported in this paper.</w:t>
      </w:r>
    </w:p>
    <w:p w14:paraId="19EFD79A" w14:textId="77777777" w:rsidR="00860000" w:rsidRDefault="00860000" w:rsidP="00441B6F">
      <w:pPr>
        <w:pStyle w:val="ReferHead"/>
        <w:spacing w:after="0"/>
        <w:jc w:val="both"/>
        <w:rPr>
          <w:rFonts w:ascii="Arial" w:hAnsi="Arial" w:cs="Arial"/>
        </w:rPr>
      </w:pPr>
    </w:p>
    <w:p w14:paraId="212EF3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4BFCE8" w14:textId="77777777" w:rsidR="00B8652E" w:rsidRDefault="00B8652E" w:rsidP="007C3EA7">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 xml:space="preserve">Bartkowiak, A., Lemanowicz, J., </w:t>
      </w:r>
      <w:proofErr w:type="spellStart"/>
      <w:r>
        <w:rPr>
          <w:rFonts w:ascii="Times New Roman" w:eastAsia="Calibri" w:hAnsi="Times New Roman"/>
          <w:sz w:val="24"/>
          <w:szCs w:val="24"/>
          <w:lang w:val="en-GB"/>
        </w:rPr>
        <w:t>Rydlewska</w:t>
      </w:r>
      <w:proofErr w:type="spellEnd"/>
      <w:r>
        <w:rPr>
          <w:rFonts w:ascii="Times New Roman" w:eastAsia="Calibri" w:hAnsi="Times New Roman"/>
          <w:sz w:val="24"/>
          <w:szCs w:val="24"/>
          <w:lang w:val="en-GB"/>
        </w:rPr>
        <w:t xml:space="preserve">, M., </w:t>
      </w:r>
      <w:proofErr w:type="spellStart"/>
      <w:r>
        <w:rPr>
          <w:rFonts w:ascii="Times New Roman" w:eastAsia="Calibri" w:hAnsi="Times New Roman"/>
          <w:sz w:val="24"/>
          <w:szCs w:val="24"/>
          <w:lang w:val="en-GB"/>
        </w:rPr>
        <w:t>Sowiński</w:t>
      </w:r>
      <w:proofErr w:type="spellEnd"/>
      <w:r>
        <w:rPr>
          <w:rFonts w:ascii="Times New Roman" w:eastAsia="Calibri" w:hAnsi="Times New Roman"/>
          <w:sz w:val="24"/>
          <w:szCs w:val="24"/>
          <w:lang w:val="en-GB"/>
        </w:rPr>
        <w:t xml:space="preserve">, P. (2024). The Impact of Proximity to Road Traffic on Heavy Metal Accumulation and Enzyme Activity in Urban Soils and Dandelion”, </w:t>
      </w:r>
      <w:r>
        <w:rPr>
          <w:rFonts w:ascii="Times New Roman" w:eastAsia="Calibri" w:hAnsi="Times New Roman"/>
          <w:i/>
          <w:iCs/>
          <w:sz w:val="24"/>
          <w:szCs w:val="24"/>
          <w:lang w:val="en-GB"/>
        </w:rPr>
        <w:t>Sustainability,</w:t>
      </w:r>
      <w:r>
        <w:rPr>
          <w:rFonts w:ascii="Times New Roman" w:eastAsia="Calibri" w:hAnsi="Times New Roman"/>
          <w:sz w:val="24"/>
          <w:szCs w:val="24"/>
          <w:lang w:val="en-GB"/>
        </w:rPr>
        <w:t xml:space="preserve"> 16(812), 1-</w:t>
      </w:r>
      <w:r w:rsidR="00037E01">
        <w:rPr>
          <w:rFonts w:ascii="Times New Roman" w:eastAsia="Calibri" w:hAnsi="Times New Roman"/>
          <w:sz w:val="24"/>
          <w:szCs w:val="24"/>
          <w:lang w:val="en-GB"/>
        </w:rPr>
        <w:t xml:space="preserve"> </w:t>
      </w:r>
      <w:r>
        <w:rPr>
          <w:rFonts w:ascii="Times New Roman" w:eastAsia="Calibri" w:hAnsi="Times New Roman"/>
          <w:sz w:val="24"/>
          <w:szCs w:val="24"/>
          <w:lang w:val="en-GB"/>
        </w:rPr>
        <w:t xml:space="preserve">20. </w:t>
      </w:r>
    </w:p>
    <w:p w14:paraId="7B32064D" w14:textId="77777777" w:rsidR="00B8652E" w:rsidRDefault="00B8652E" w:rsidP="00037E01">
      <w:pPr>
        <w:jc w:val="both"/>
        <w:rPr>
          <w:rFonts w:ascii="Times New Roman" w:hAnsi="Times New Roman"/>
          <w:sz w:val="24"/>
          <w:szCs w:val="24"/>
        </w:rPr>
      </w:pPr>
      <w:r>
        <w:rPr>
          <w:rFonts w:ascii="Times New Roman" w:eastAsia="Calibri" w:hAnsi="Times New Roman"/>
          <w:sz w:val="24"/>
          <w:szCs w:val="24"/>
          <w:lang w:val="en-GB"/>
        </w:rPr>
        <w:t xml:space="preserve">Ng, C. P., Law, T. H., </w:t>
      </w:r>
      <w:proofErr w:type="spellStart"/>
      <w:r>
        <w:rPr>
          <w:rFonts w:ascii="Times New Roman" w:eastAsia="Calibri" w:hAnsi="Times New Roman"/>
          <w:sz w:val="24"/>
          <w:szCs w:val="24"/>
          <w:lang w:val="en-GB"/>
        </w:rPr>
        <w:t>Jakarni</w:t>
      </w:r>
      <w:proofErr w:type="spellEnd"/>
      <w:r>
        <w:rPr>
          <w:rFonts w:ascii="Times New Roman" w:eastAsia="Calibri" w:hAnsi="Times New Roman"/>
          <w:sz w:val="24"/>
          <w:szCs w:val="24"/>
          <w:lang w:val="en-GB"/>
        </w:rPr>
        <w:t xml:space="preserve">, F. M., </w:t>
      </w:r>
      <w:proofErr w:type="spellStart"/>
      <w:r>
        <w:rPr>
          <w:rFonts w:ascii="Times New Roman" w:eastAsia="Calibri" w:hAnsi="Times New Roman"/>
          <w:sz w:val="24"/>
          <w:szCs w:val="24"/>
          <w:lang w:val="en-GB"/>
        </w:rPr>
        <w:t>Kulanthayan</w:t>
      </w:r>
      <w:proofErr w:type="spellEnd"/>
      <w:r>
        <w:rPr>
          <w:rFonts w:ascii="Times New Roman" w:eastAsia="Calibri" w:hAnsi="Times New Roman"/>
          <w:sz w:val="24"/>
          <w:szCs w:val="24"/>
          <w:lang w:val="en-GB"/>
        </w:rPr>
        <w:t xml:space="preserve">, S. (2019). </w:t>
      </w:r>
      <w:r>
        <w:rPr>
          <w:rFonts w:ascii="Times New Roman" w:hAnsi="Times New Roman"/>
          <w:sz w:val="24"/>
          <w:szCs w:val="24"/>
        </w:rPr>
        <w:t xml:space="preserve">Road Infrastructure Development and Economic </w:t>
      </w:r>
      <w:r w:rsidR="00037E01">
        <w:rPr>
          <w:rFonts w:ascii="Times New Roman" w:hAnsi="Times New Roman"/>
          <w:sz w:val="24"/>
          <w:szCs w:val="24"/>
        </w:rPr>
        <w:tab/>
      </w:r>
      <w:r>
        <w:rPr>
          <w:rFonts w:ascii="Times New Roman" w:hAnsi="Times New Roman"/>
          <w:sz w:val="24"/>
          <w:szCs w:val="24"/>
        </w:rPr>
        <w:t xml:space="preserve">Growth. IOP Conf. Series: Materials Science and Engineering 512 (2019), 012045 </w:t>
      </w:r>
      <w:r w:rsidR="00037E01">
        <w:rPr>
          <w:rFonts w:ascii="Times New Roman" w:hAnsi="Times New Roman"/>
          <w:sz w:val="24"/>
          <w:szCs w:val="24"/>
        </w:rPr>
        <w:tab/>
      </w:r>
      <w:hyperlink r:id="rId14" w:history="1">
        <w:r>
          <w:rPr>
            <w:rStyle w:val="Hyperlink"/>
            <w:rFonts w:ascii="Times New Roman" w:hAnsi="Times New Roman"/>
            <w:sz w:val="24"/>
            <w:szCs w:val="24"/>
          </w:rPr>
          <w:t>https://doi:10.1088/1757-899X/512/1/012045</w:t>
        </w:r>
      </w:hyperlink>
      <w:r>
        <w:rPr>
          <w:rFonts w:ascii="Times New Roman" w:hAnsi="Times New Roman"/>
          <w:sz w:val="24"/>
          <w:szCs w:val="24"/>
        </w:rPr>
        <w:t xml:space="preserve"> </w:t>
      </w:r>
    </w:p>
    <w:p w14:paraId="4928B6C0" w14:textId="77777777" w:rsidR="00B8652E" w:rsidRDefault="00B8652E" w:rsidP="00F77F4F">
      <w:pPr>
        <w:ind w:left="851" w:hanging="851"/>
        <w:jc w:val="both"/>
        <w:rPr>
          <w:rFonts w:ascii="Times New Roman" w:eastAsia="Calibri" w:hAnsi="Times New Roman"/>
          <w:sz w:val="24"/>
          <w:szCs w:val="24"/>
        </w:rPr>
      </w:pPr>
      <w:r>
        <w:rPr>
          <w:rFonts w:ascii="Times New Roman" w:eastAsia="Calibri" w:hAnsi="Times New Roman"/>
          <w:sz w:val="24"/>
          <w:szCs w:val="24"/>
        </w:rPr>
        <w:t xml:space="preserve">Duong, T. T. T., Lee, B. K. (2010). Determining Contamination Level of Heavy Metals in Road Dust from Busy Traffic Areas with Different Characteristics. </w:t>
      </w:r>
      <w:r>
        <w:rPr>
          <w:rFonts w:ascii="Times New Roman" w:eastAsia="Calibri" w:hAnsi="Times New Roman"/>
          <w:i/>
          <w:sz w:val="24"/>
          <w:szCs w:val="24"/>
        </w:rPr>
        <w:t>J Environ Manage.</w:t>
      </w:r>
      <w:r>
        <w:rPr>
          <w:rFonts w:ascii="Times New Roman" w:eastAsia="Calibri" w:hAnsi="Times New Roman"/>
          <w:sz w:val="24"/>
          <w:szCs w:val="24"/>
        </w:rPr>
        <w:t xml:space="preserve">92, 554 - 562. </w:t>
      </w:r>
      <w:proofErr w:type="gramStart"/>
      <w:r>
        <w:rPr>
          <w:rFonts w:ascii="Times New Roman" w:eastAsia="Calibri" w:hAnsi="Times New Roman"/>
          <w:sz w:val="24"/>
          <w:szCs w:val="24"/>
        </w:rPr>
        <w:t>doi:10.1016/j.jenvman</w:t>
      </w:r>
      <w:proofErr w:type="gramEnd"/>
      <w:r>
        <w:rPr>
          <w:rFonts w:ascii="Times New Roman" w:eastAsia="Calibri" w:hAnsi="Times New Roman"/>
          <w:sz w:val="24"/>
          <w:szCs w:val="24"/>
        </w:rPr>
        <w:t>.2010.09.010.</w:t>
      </w:r>
    </w:p>
    <w:p w14:paraId="39F7CA7A" w14:textId="77777777" w:rsidR="00B8652E" w:rsidRDefault="00B8652E" w:rsidP="00F77F4F">
      <w:pPr>
        <w:ind w:left="851" w:hanging="851"/>
        <w:jc w:val="both"/>
        <w:rPr>
          <w:rFonts w:ascii="Times New Roman" w:eastAsia="Calibri" w:hAnsi="Times New Roman"/>
          <w:sz w:val="24"/>
          <w:szCs w:val="24"/>
        </w:rPr>
      </w:pPr>
      <w:r>
        <w:rPr>
          <w:rFonts w:ascii="Times New Roman" w:eastAsia="Calibri" w:hAnsi="Times New Roman"/>
          <w:sz w:val="24"/>
          <w:szCs w:val="24"/>
        </w:rPr>
        <w:lastRenderedPageBreak/>
        <w:t xml:space="preserve">Khan, A. B., Kathi, S. (2014). Evaluation of Heavy Metal and Total Petroleum Hydrocarbon Contamination of Roadside Surface Soil. </w:t>
      </w:r>
      <w:r>
        <w:rPr>
          <w:rFonts w:ascii="Times New Roman" w:eastAsia="Calibri" w:hAnsi="Times New Roman"/>
          <w:i/>
          <w:sz w:val="24"/>
          <w:szCs w:val="24"/>
        </w:rPr>
        <w:t>International Journal Environmental Science Technology</w:t>
      </w:r>
      <w:r>
        <w:rPr>
          <w:rFonts w:ascii="Times New Roman" w:eastAsia="Calibri" w:hAnsi="Times New Roman"/>
          <w:sz w:val="24"/>
          <w:szCs w:val="24"/>
        </w:rPr>
        <w:t xml:space="preserve">. 11, 2259–2270. </w:t>
      </w:r>
      <w:hyperlink r:id="rId15" w:history="1">
        <w:r>
          <w:rPr>
            <w:rStyle w:val="Hyperlink"/>
            <w:rFonts w:ascii="Times New Roman" w:eastAsia="Calibri" w:hAnsi="Times New Roman"/>
            <w:sz w:val="24"/>
            <w:szCs w:val="24"/>
          </w:rPr>
          <w:t>https://doi:10.1007/s13762-014-0626-8</w:t>
        </w:r>
      </w:hyperlink>
      <w:r>
        <w:rPr>
          <w:rFonts w:ascii="Times New Roman" w:eastAsia="Calibri" w:hAnsi="Times New Roman"/>
          <w:sz w:val="24"/>
          <w:szCs w:val="24"/>
        </w:rPr>
        <w:t xml:space="preserve">. </w:t>
      </w:r>
    </w:p>
    <w:p w14:paraId="721F8548" w14:textId="77777777" w:rsidR="00B8652E" w:rsidRDefault="00B8652E" w:rsidP="00B8652E">
      <w:pPr>
        <w:ind w:left="851" w:hanging="851"/>
        <w:jc w:val="both"/>
        <w:rPr>
          <w:rFonts w:ascii="Times New Roman" w:eastAsia="Calibri" w:hAnsi="Times New Roman"/>
          <w:sz w:val="24"/>
          <w:szCs w:val="24"/>
          <w:lang w:val="en-GB"/>
        </w:rPr>
      </w:pPr>
      <w:r>
        <w:rPr>
          <w:rFonts w:ascii="Times New Roman" w:eastAsia="Calibri" w:hAnsi="Times New Roman"/>
          <w:sz w:val="24"/>
          <w:szCs w:val="24"/>
        </w:rPr>
        <w:t xml:space="preserve">Liu, E., Yan, T., Birch, G. (2014). Pollution and Health Risk of Potentially Toxic Metals in Urban Road Dust in Nanjing, a Mega-City of China. </w:t>
      </w:r>
      <w:r>
        <w:rPr>
          <w:rFonts w:ascii="Times New Roman" w:eastAsia="Calibri" w:hAnsi="Times New Roman"/>
          <w:i/>
          <w:sz w:val="24"/>
          <w:szCs w:val="24"/>
        </w:rPr>
        <w:t>Sci Total Environ.</w:t>
      </w:r>
      <w:r>
        <w:rPr>
          <w:rFonts w:ascii="Times New Roman" w:eastAsia="Calibri" w:hAnsi="Times New Roman"/>
          <w:sz w:val="24"/>
          <w:szCs w:val="24"/>
        </w:rPr>
        <w:t xml:space="preserve"> 476</w:t>
      </w:r>
      <w:r w:rsidR="00F77F4F">
        <w:rPr>
          <w:rFonts w:ascii="Times New Roman" w:eastAsia="Calibri" w:hAnsi="Times New Roman"/>
          <w:sz w:val="24"/>
          <w:szCs w:val="24"/>
        </w:rPr>
        <w:t xml:space="preserve"> </w:t>
      </w:r>
      <w:r>
        <w:rPr>
          <w:rFonts w:ascii="Times New Roman" w:eastAsia="Calibri" w:hAnsi="Times New Roman"/>
          <w:sz w:val="24"/>
          <w:szCs w:val="24"/>
        </w:rPr>
        <w:t>-</w:t>
      </w:r>
      <w:r w:rsidR="00F77F4F">
        <w:rPr>
          <w:rFonts w:ascii="Times New Roman" w:eastAsia="Calibri" w:hAnsi="Times New Roman"/>
          <w:sz w:val="24"/>
          <w:szCs w:val="24"/>
        </w:rPr>
        <w:t xml:space="preserve"> </w:t>
      </w:r>
      <w:r>
        <w:rPr>
          <w:rFonts w:ascii="Times New Roman" w:eastAsia="Calibri" w:hAnsi="Times New Roman"/>
          <w:sz w:val="24"/>
          <w:szCs w:val="24"/>
        </w:rPr>
        <w:t xml:space="preserve">477, 522–531. </w:t>
      </w:r>
      <w:hyperlink r:id="rId16" w:history="1">
        <w:r>
          <w:rPr>
            <w:rStyle w:val="Hyperlink"/>
            <w:rFonts w:ascii="Times New Roman" w:eastAsia="Calibri" w:hAnsi="Times New Roman"/>
            <w:sz w:val="24"/>
            <w:szCs w:val="24"/>
          </w:rPr>
          <w:t>https://doi:10.1016/j.scitotenv.2014.01.055</w:t>
        </w:r>
      </w:hyperlink>
      <w:r>
        <w:rPr>
          <w:rFonts w:ascii="Times New Roman" w:eastAsia="Calibri" w:hAnsi="Times New Roman"/>
          <w:sz w:val="24"/>
          <w:szCs w:val="24"/>
        </w:rPr>
        <w:t xml:space="preserve">  </w:t>
      </w:r>
    </w:p>
    <w:p w14:paraId="3E4908A0" w14:textId="77777777" w:rsidR="00B8652E" w:rsidRDefault="00B8652E" w:rsidP="00B8652E">
      <w:pPr>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Censi</w:t>
      </w:r>
      <w:proofErr w:type="spellEnd"/>
      <w:r>
        <w:rPr>
          <w:rFonts w:ascii="Times New Roman" w:eastAsia="Calibri" w:hAnsi="Times New Roman"/>
          <w:sz w:val="24"/>
          <w:szCs w:val="24"/>
          <w:lang w:val="en-GB"/>
        </w:rPr>
        <w:t xml:space="preserve">, P., Spoto, S. E., </w:t>
      </w:r>
      <w:proofErr w:type="spellStart"/>
      <w:r>
        <w:rPr>
          <w:rFonts w:ascii="Times New Roman" w:eastAsia="Calibri" w:hAnsi="Times New Roman"/>
          <w:sz w:val="24"/>
          <w:szCs w:val="24"/>
          <w:lang w:val="en-GB"/>
        </w:rPr>
        <w:t>Saiano</w:t>
      </w:r>
      <w:proofErr w:type="spellEnd"/>
      <w:r>
        <w:rPr>
          <w:rFonts w:ascii="Times New Roman" w:eastAsia="Calibri" w:hAnsi="Times New Roman"/>
          <w:sz w:val="24"/>
          <w:szCs w:val="24"/>
          <w:lang w:val="en-GB"/>
        </w:rPr>
        <w:t xml:space="preserve">, F., </w:t>
      </w:r>
      <w:proofErr w:type="spellStart"/>
      <w:r>
        <w:rPr>
          <w:rFonts w:ascii="Times New Roman" w:eastAsia="Calibri" w:hAnsi="Times New Roman"/>
          <w:sz w:val="24"/>
          <w:szCs w:val="24"/>
          <w:lang w:val="en-GB"/>
        </w:rPr>
        <w:t>Sprovieri</w:t>
      </w:r>
      <w:proofErr w:type="spellEnd"/>
      <w:r>
        <w:rPr>
          <w:rFonts w:ascii="Times New Roman" w:eastAsia="Calibri" w:hAnsi="Times New Roman"/>
          <w:sz w:val="24"/>
          <w:szCs w:val="24"/>
          <w:lang w:val="en-GB"/>
        </w:rPr>
        <w:t>, M., M</w:t>
      </w:r>
      <w:r w:rsidR="00C02655">
        <w:rPr>
          <w:rFonts w:ascii="Times New Roman" w:eastAsia="Calibri" w:hAnsi="Times New Roman"/>
          <w:sz w:val="24"/>
          <w:szCs w:val="24"/>
          <w:lang w:val="en-GB"/>
        </w:rPr>
        <w:t>azzola, S. (2006). Heavy Metals</w:t>
      </w:r>
      <w:r w:rsidR="00EB0FBA">
        <w:rPr>
          <w:rFonts w:ascii="Times New Roman" w:eastAsia="Calibri" w:hAnsi="Times New Roman"/>
          <w:sz w:val="24"/>
          <w:szCs w:val="24"/>
          <w:lang w:val="en-GB"/>
        </w:rPr>
        <w:t xml:space="preserve"> </w:t>
      </w:r>
      <w:proofErr w:type="gramStart"/>
      <w:r w:rsidR="00EB0FBA">
        <w:rPr>
          <w:rFonts w:ascii="Times New Roman" w:eastAsia="Calibri" w:hAnsi="Times New Roman"/>
          <w:sz w:val="24"/>
          <w:szCs w:val="24"/>
          <w:lang w:val="en-GB"/>
        </w:rPr>
        <w:t>In</w:t>
      </w:r>
      <w:proofErr w:type="gramEnd"/>
      <w:r w:rsidR="00EB0FBA">
        <w:rPr>
          <w:rFonts w:ascii="Times New Roman" w:eastAsia="Calibri" w:hAnsi="Times New Roman"/>
          <w:sz w:val="24"/>
          <w:szCs w:val="24"/>
          <w:lang w:val="en-GB"/>
        </w:rPr>
        <w:t xml:space="preserve"> </w:t>
      </w:r>
      <w:r>
        <w:rPr>
          <w:rFonts w:ascii="Times New Roman" w:eastAsia="Calibri" w:hAnsi="Times New Roman"/>
          <w:sz w:val="24"/>
          <w:szCs w:val="24"/>
          <w:lang w:val="en-GB"/>
        </w:rPr>
        <w:t>Coastal</w:t>
      </w:r>
      <w:r>
        <w:t xml:space="preserve"> W</w:t>
      </w:r>
      <w:proofErr w:type="spellStart"/>
      <w:r>
        <w:rPr>
          <w:rFonts w:ascii="Times New Roman" w:eastAsia="Calibri" w:hAnsi="Times New Roman"/>
          <w:sz w:val="24"/>
          <w:szCs w:val="24"/>
          <w:lang w:val="en-GB"/>
        </w:rPr>
        <w:t>ater</w:t>
      </w:r>
      <w:proofErr w:type="spellEnd"/>
      <w:r>
        <w:rPr>
          <w:rFonts w:ascii="Times New Roman" w:eastAsia="Calibri" w:hAnsi="Times New Roman"/>
          <w:sz w:val="24"/>
          <w:szCs w:val="24"/>
          <w:lang w:val="en-GB"/>
        </w:rPr>
        <w:t xml:space="preserve"> system. A </w:t>
      </w:r>
      <w:r w:rsidR="00C02655">
        <w:rPr>
          <w:rFonts w:ascii="Times New Roman" w:eastAsia="Calibri" w:hAnsi="Times New Roman"/>
          <w:sz w:val="24"/>
          <w:szCs w:val="24"/>
          <w:lang w:val="en-GB"/>
        </w:rPr>
        <w:tab/>
      </w:r>
      <w:r>
        <w:rPr>
          <w:rFonts w:ascii="Times New Roman" w:eastAsia="Calibri" w:hAnsi="Times New Roman"/>
          <w:sz w:val="24"/>
          <w:szCs w:val="24"/>
          <w:lang w:val="en-GB"/>
        </w:rPr>
        <w:t xml:space="preserve">case study from the North Western Gulf of Thailand. </w:t>
      </w:r>
      <w:r>
        <w:rPr>
          <w:rFonts w:ascii="Times New Roman" w:eastAsia="Calibri" w:hAnsi="Times New Roman"/>
          <w:i/>
          <w:iCs/>
          <w:sz w:val="24"/>
          <w:szCs w:val="24"/>
          <w:lang w:val="en-GB"/>
        </w:rPr>
        <w:t>Chemosphere</w:t>
      </w:r>
      <w:r>
        <w:rPr>
          <w:rFonts w:ascii="Times New Roman" w:eastAsia="Calibri" w:hAnsi="Times New Roman"/>
          <w:sz w:val="24"/>
          <w:szCs w:val="24"/>
          <w:lang w:val="en-GB"/>
        </w:rPr>
        <w:t xml:space="preserve">, 64(11), 67-1176. </w:t>
      </w:r>
      <w:r w:rsidR="00C02655">
        <w:rPr>
          <w:rFonts w:ascii="Times New Roman" w:eastAsia="Calibri" w:hAnsi="Times New Roman"/>
          <w:sz w:val="24"/>
          <w:szCs w:val="24"/>
          <w:lang w:val="en-GB"/>
        </w:rPr>
        <w:tab/>
      </w:r>
      <w:hyperlink r:id="rId17" w:history="1">
        <w:r>
          <w:rPr>
            <w:rStyle w:val="Hyperlink"/>
            <w:rFonts w:ascii="Times New Roman" w:eastAsia="Calibri" w:hAnsi="Times New Roman"/>
            <w:color w:val="0563C1"/>
            <w:sz w:val="24"/>
            <w:szCs w:val="24"/>
            <w:lang w:val="en-GB"/>
          </w:rPr>
          <w:t>https://doi.org/10.3390/su16020812</w:t>
        </w:r>
      </w:hyperlink>
      <w:r>
        <w:rPr>
          <w:rFonts w:ascii="Times New Roman" w:eastAsia="Calibri" w:hAnsi="Times New Roman"/>
          <w:sz w:val="24"/>
          <w:szCs w:val="24"/>
          <w:lang w:val="en-GB"/>
        </w:rPr>
        <w:t xml:space="preserve"> </w:t>
      </w:r>
    </w:p>
    <w:p w14:paraId="12DCCA81" w14:textId="77777777" w:rsidR="00B8652E" w:rsidRPr="00C43664" w:rsidRDefault="00B8652E" w:rsidP="000141FA">
      <w:pPr>
        <w:jc w:val="both"/>
        <w:rPr>
          <w:rFonts w:ascii="Times New Roman" w:eastAsia="Calibri" w:hAnsi="Times New Roman"/>
          <w:sz w:val="24"/>
          <w:szCs w:val="24"/>
        </w:rPr>
      </w:pPr>
      <w:r>
        <w:rPr>
          <w:rFonts w:ascii="Times New Roman" w:eastAsia="Calibri" w:hAnsi="Times New Roman"/>
          <w:sz w:val="24"/>
          <w:szCs w:val="24"/>
        </w:rPr>
        <w:t xml:space="preserve">Taofeek, A.Y., Tolulope, O. O. (2012). Evaluation of Some Heavy Metals </w:t>
      </w:r>
      <w:r w:rsidR="000141FA">
        <w:rPr>
          <w:rFonts w:ascii="Times New Roman" w:eastAsia="Calibri" w:hAnsi="Times New Roman"/>
          <w:sz w:val="24"/>
          <w:szCs w:val="24"/>
        </w:rPr>
        <w:t xml:space="preserve">in </w:t>
      </w:r>
      <w:r>
        <w:rPr>
          <w:rFonts w:ascii="Times New Roman" w:eastAsia="Calibri" w:hAnsi="Times New Roman"/>
          <w:sz w:val="24"/>
          <w:szCs w:val="24"/>
        </w:rPr>
        <w:t xml:space="preserve">Soils along a Major Road in </w:t>
      </w:r>
      <w:r w:rsidR="009C1BEA">
        <w:rPr>
          <w:rFonts w:ascii="Times New Roman" w:eastAsia="Calibri" w:hAnsi="Times New Roman"/>
          <w:sz w:val="24"/>
          <w:szCs w:val="24"/>
        </w:rPr>
        <w:tab/>
      </w:r>
      <w:proofErr w:type="spellStart"/>
      <w:r>
        <w:rPr>
          <w:rFonts w:ascii="Times New Roman" w:eastAsia="Calibri" w:hAnsi="Times New Roman"/>
          <w:sz w:val="24"/>
          <w:szCs w:val="24"/>
        </w:rPr>
        <w:t>Ogbomoso</w:t>
      </w:r>
      <w:proofErr w:type="spellEnd"/>
      <w:r>
        <w:rPr>
          <w:rFonts w:ascii="Times New Roman" w:eastAsia="Calibri" w:hAnsi="Times New Roman"/>
          <w:sz w:val="24"/>
          <w:szCs w:val="24"/>
        </w:rPr>
        <w:t xml:space="preserve">, South West Nigeria. </w:t>
      </w:r>
      <w:r>
        <w:rPr>
          <w:rFonts w:ascii="Times New Roman" w:eastAsia="Calibri" w:hAnsi="Times New Roman"/>
          <w:i/>
          <w:sz w:val="24"/>
          <w:szCs w:val="24"/>
        </w:rPr>
        <w:t>Journal of</w:t>
      </w:r>
      <w:r w:rsidR="001C5413">
        <w:rPr>
          <w:rFonts w:ascii="Times New Roman" w:eastAsia="Calibri" w:hAnsi="Times New Roman"/>
          <w:i/>
          <w:sz w:val="24"/>
          <w:szCs w:val="24"/>
        </w:rPr>
        <w:t xml:space="preserve"> </w:t>
      </w:r>
      <w:r w:rsidR="00C43664">
        <w:rPr>
          <w:rFonts w:ascii="Times New Roman" w:eastAsia="Calibri" w:hAnsi="Times New Roman"/>
          <w:i/>
          <w:sz w:val="24"/>
          <w:szCs w:val="24"/>
        </w:rPr>
        <w:t>e</w:t>
      </w:r>
      <w:r>
        <w:rPr>
          <w:rFonts w:ascii="Times New Roman" w:eastAsia="Calibri" w:hAnsi="Times New Roman"/>
          <w:i/>
          <w:sz w:val="24"/>
          <w:szCs w:val="24"/>
        </w:rPr>
        <w:t xml:space="preserve">nvironment and Earth Science, </w:t>
      </w:r>
      <w:r>
        <w:rPr>
          <w:rFonts w:ascii="Times New Roman" w:eastAsia="Calibri" w:hAnsi="Times New Roman"/>
          <w:sz w:val="24"/>
          <w:szCs w:val="24"/>
        </w:rPr>
        <w:t>www.iiste.org (Online) 2(8).</w:t>
      </w:r>
    </w:p>
    <w:p w14:paraId="3B516B50" w14:textId="77777777" w:rsidR="00B8652E" w:rsidRDefault="00B8652E" w:rsidP="00B8652E">
      <w:pPr>
        <w:ind w:left="851" w:hanging="851"/>
        <w:jc w:val="both"/>
        <w:rPr>
          <w:rFonts w:ascii="Times New Roman" w:eastAsia="Calibri" w:hAnsi="Times New Roman"/>
          <w:i/>
          <w:sz w:val="24"/>
          <w:szCs w:val="24"/>
        </w:rPr>
      </w:pPr>
      <w:proofErr w:type="spellStart"/>
      <w:r>
        <w:rPr>
          <w:rFonts w:ascii="Times New Roman" w:eastAsia="Calibri" w:hAnsi="Times New Roman"/>
          <w:sz w:val="24"/>
          <w:szCs w:val="24"/>
        </w:rPr>
        <w:t>Mafuyai</w:t>
      </w:r>
      <w:proofErr w:type="spellEnd"/>
      <w:r>
        <w:rPr>
          <w:rFonts w:ascii="Times New Roman" w:eastAsia="Calibri" w:hAnsi="Times New Roman"/>
          <w:sz w:val="24"/>
          <w:szCs w:val="24"/>
        </w:rPr>
        <w:t xml:space="preserve">, M. G., </w:t>
      </w:r>
      <w:proofErr w:type="spellStart"/>
      <w:r>
        <w:rPr>
          <w:rFonts w:ascii="Times New Roman" w:eastAsia="Calibri" w:hAnsi="Times New Roman"/>
          <w:sz w:val="24"/>
          <w:szCs w:val="24"/>
        </w:rPr>
        <w:t>Kamoh</w:t>
      </w:r>
      <w:proofErr w:type="spellEnd"/>
      <w:r>
        <w:rPr>
          <w:rFonts w:ascii="Times New Roman" w:eastAsia="Calibri" w:hAnsi="Times New Roman"/>
          <w:sz w:val="24"/>
          <w:szCs w:val="24"/>
        </w:rPr>
        <w:t xml:space="preserve">, M. N., </w:t>
      </w:r>
      <w:proofErr w:type="spellStart"/>
      <w:r>
        <w:rPr>
          <w:rFonts w:ascii="Times New Roman" w:eastAsia="Calibri" w:hAnsi="Times New Roman"/>
          <w:sz w:val="24"/>
          <w:szCs w:val="24"/>
        </w:rPr>
        <w:t>Kangpe</w:t>
      </w:r>
      <w:proofErr w:type="spellEnd"/>
      <w:r>
        <w:rPr>
          <w:rFonts w:ascii="Times New Roman" w:eastAsia="Calibri" w:hAnsi="Times New Roman"/>
          <w:sz w:val="24"/>
          <w:szCs w:val="24"/>
        </w:rPr>
        <w:t xml:space="preserve">, S. N., Ayuba, M. S., </w:t>
      </w:r>
      <w:proofErr w:type="spellStart"/>
      <w:r>
        <w:rPr>
          <w:rFonts w:ascii="Times New Roman" w:eastAsia="Calibri" w:hAnsi="Times New Roman"/>
          <w:sz w:val="24"/>
          <w:szCs w:val="24"/>
        </w:rPr>
        <w:t>Eneji</w:t>
      </w:r>
      <w:proofErr w:type="spellEnd"/>
      <w:r>
        <w:rPr>
          <w:rFonts w:ascii="Times New Roman" w:eastAsia="Calibri" w:hAnsi="Times New Roman"/>
          <w:sz w:val="24"/>
          <w:szCs w:val="24"/>
        </w:rPr>
        <w:t xml:space="preserve">, S. I. (2015). Heavy Metal Contamination in Roadside Dust along Major Traffic Roads in Jos Metropolitan Area, Nigeria. </w:t>
      </w:r>
      <w:r>
        <w:rPr>
          <w:rFonts w:ascii="Times New Roman" w:eastAsia="Calibri" w:hAnsi="Times New Roman"/>
          <w:i/>
          <w:sz w:val="24"/>
          <w:szCs w:val="24"/>
        </w:rPr>
        <w:t>European Journal of Earth and Environment.</w:t>
      </w:r>
    </w:p>
    <w:p w14:paraId="3D8EBB99" w14:textId="77777777" w:rsidR="00B8652E" w:rsidRDefault="00B8652E" w:rsidP="00B8652E">
      <w:pPr>
        <w:ind w:left="851" w:hanging="851"/>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Nta</w:t>
      </w:r>
      <w:proofErr w:type="spellEnd"/>
      <w:r>
        <w:rPr>
          <w:rFonts w:ascii="Times New Roman" w:eastAsia="Calibri" w:hAnsi="Times New Roman"/>
          <w:sz w:val="24"/>
          <w:szCs w:val="24"/>
          <w:lang w:val="en-GB"/>
        </w:rPr>
        <w:t xml:space="preserve">, S. A. (2021). Ecological Risk Assessment of Heavy Metals in Contaminated Soil from a Point Source. </w:t>
      </w:r>
      <w:r>
        <w:rPr>
          <w:rFonts w:ascii="Times New Roman" w:eastAsia="Calibri" w:hAnsi="Times New Roman"/>
          <w:i/>
          <w:sz w:val="24"/>
          <w:szCs w:val="24"/>
          <w:lang w:val="en-GB"/>
        </w:rPr>
        <w:t>World Academy of Science, Engineering and Technology International Journal of Environmental and Ecological Engineering</w:t>
      </w:r>
      <w:r>
        <w:rPr>
          <w:rFonts w:ascii="Times New Roman" w:eastAsia="Calibri" w:hAnsi="Times New Roman"/>
          <w:sz w:val="24"/>
          <w:szCs w:val="24"/>
          <w:lang w:val="en-GB"/>
        </w:rPr>
        <w:t>, 15(3), 119-</w:t>
      </w:r>
      <w:r w:rsidR="0074416E">
        <w:rPr>
          <w:rFonts w:ascii="Times New Roman" w:eastAsia="Calibri" w:hAnsi="Times New Roman"/>
          <w:sz w:val="24"/>
          <w:szCs w:val="24"/>
          <w:lang w:val="en-GB"/>
        </w:rPr>
        <w:t xml:space="preserve"> </w:t>
      </w:r>
      <w:r>
        <w:rPr>
          <w:rFonts w:ascii="Times New Roman" w:eastAsia="Calibri" w:hAnsi="Times New Roman"/>
          <w:sz w:val="24"/>
          <w:szCs w:val="24"/>
          <w:lang w:val="en-GB"/>
        </w:rPr>
        <w:t>122.</w:t>
      </w:r>
    </w:p>
    <w:p w14:paraId="27BFA6C3" w14:textId="77777777" w:rsidR="00B8652E" w:rsidRDefault="00B8652E" w:rsidP="00B8652E">
      <w:pPr>
        <w:rPr>
          <w:rFonts w:ascii="Times New Roman" w:hAnsi="Times New Roman"/>
          <w:sz w:val="24"/>
          <w:szCs w:val="24"/>
        </w:rPr>
      </w:pPr>
      <w:r>
        <w:rPr>
          <w:rFonts w:ascii="Times New Roman" w:hAnsi="Times New Roman"/>
          <w:sz w:val="24"/>
          <w:szCs w:val="24"/>
        </w:rPr>
        <w:t xml:space="preserve">Hui, Z., </w:t>
      </w:r>
      <w:proofErr w:type="spellStart"/>
      <w:r>
        <w:rPr>
          <w:rFonts w:ascii="Times New Roman" w:hAnsi="Times New Roman"/>
          <w:sz w:val="24"/>
          <w:szCs w:val="24"/>
        </w:rPr>
        <w:t>Caiqiu</w:t>
      </w:r>
      <w:proofErr w:type="spellEnd"/>
      <w:r>
        <w:rPr>
          <w:rFonts w:ascii="Times New Roman" w:hAnsi="Times New Roman"/>
          <w:sz w:val="24"/>
          <w:szCs w:val="24"/>
        </w:rPr>
        <w:t xml:space="preserve">, W., </w:t>
      </w:r>
      <w:proofErr w:type="spellStart"/>
      <w:r>
        <w:rPr>
          <w:rFonts w:ascii="Times New Roman" w:hAnsi="Times New Roman"/>
          <w:sz w:val="24"/>
          <w:szCs w:val="24"/>
        </w:rPr>
        <w:t>Jiping</w:t>
      </w:r>
      <w:proofErr w:type="spellEnd"/>
      <w:r>
        <w:rPr>
          <w:rFonts w:ascii="Times New Roman" w:hAnsi="Times New Roman"/>
          <w:sz w:val="24"/>
          <w:szCs w:val="24"/>
        </w:rPr>
        <w:t xml:space="preserve">, G., </w:t>
      </w:r>
      <w:proofErr w:type="spellStart"/>
      <w:r>
        <w:rPr>
          <w:rFonts w:ascii="Times New Roman" w:hAnsi="Times New Roman"/>
          <w:sz w:val="24"/>
          <w:szCs w:val="24"/>
        </w:rPr>
        <w:t>Xuyin</w:t>
      </w:r>
      <w:proofErr w:type="spellEnd"/>
      <w:r>
        <w:rPr>
          <w:rFonts w:ascii="Times New Roman" w:hAnsi="Times New Roman"/>
          <w:sz w:val="24"/>
          <w:szCs w:val="24"/>
        </w:rPr>
        <w:t xml:space="preserve">, Y., Qiao, W., </w:t>
      </w:r>
      <w:proofErr w:type="spellStart"/>
      <w:r>
        <w:rPr>
          <w:rFonts w:ascii="Times New Roman" w:hAnsi="Times New Roman"/>
          <w:sz w:val="24"/>
          <w:szCs w:val="24"/>
        </w:rPr>
        <w:t>Wenming</w:t>
      </w:r>
      <w:proofErr w:type="spellEnd"/>
      <w:r>
        <w:rPr>
          <w:rFonts w:ascii="Times New Roman" w:hAnsi="Times New Roman"/>
          <w:sz w:val="24"/>
          <w:szCs w:val="24"/>
        </w:rPr>
        <w:t>, P., Tao, L., Jie,</w:t>
      </w:r>
      <w:r w:rsidR="00EB584F">
        <w:rPr>
          <w:rFonts w:ascii="Times New Roman" w:hAnsi="Times New Roman"/>
          <w:sz w:val="24"/>
          <w:szCs w:val="24"/>
        </w:rPr>
        <w:t xml:space="preserve"> </w:t>
      </w:r>
      <w:r w:rsidR="00016F48">
        <w:rPr>
          <w:rFonts w:ascii="Times New Roman" w:hAnsi="Times New Roman"/>
          <w:sz w:val="24"/>
          <w:szCs w:val="24"/>
        </w:rPr>
        <w:t xml:space="preserve">Q., Hanpei, Z. (2017). </w:t>
      </w:r>
      <w:r w:rsidR="005E54DF">
        <w:rPr>
          <w:rFonts w:ascii="Times New Roman" w:hAnsi="Times New Roman"/>
          <w:sz w:val="24"/>
          <w:szCs w:val="24"/>
        </w:rPr>
        <w:tab/>
      </w:r>
      <w:r>
        <w:rPr>
          <w:rFonts w:ascii="Times New Roman" w:hAnsi="Times New Roman"/>
          <w:sz w:val="24"/>
          <w:szCs w:val="24"/>
        </w:rPr>
        <w:t xml:space="preserve">Assessment of Heavy Metal Contamination in Roadside Soils </w:t>
      </w:r>
      <w:r w:rsidR="00D50A01">
        <w:rPr>
          <w:rFonts w:ascii="Times New Roman" w:hAnsi="Times New Roman"/>
          <w:sz w:val="24"/>
          <w:szCs w:val="24"/>
        </w:rPr>
        <w:t>a</w:t>
      </w:r>
      <w:r>
        <w:rPr>
          <w:rFonts w:ascii="Times New Roman" w:hAnsi="Times New Roman"/>
          <w:sz w:val="24"/>
          <w:szCs w:val="24"/>
        </w:rPr>
        <w:t xml:space="preserve">long the Shenyang-Dalian Highway in </w:t>
      </w:r>
      <w:r w:rsidR="005E54DF">
        <w:rPr>
          <w:rFonts w:ascii="Times New Roman" w:hAnsi="Times New Roman"/>
          <w:sz w:val="24"/>
          <w:szCs w:val="24"/>
        </w:rPr>
        <w:tab/>
      </w:r>
      <w:r>
        <w:rPr>
          <w:rFonts w:ascii="Times New Roman" w:hAnsi="Times New Roman"/>
          <w:sz w:val="24"/>
          <w:szCs w:val="24"/>
        </w:rPr>
        <w:t xml:space="preserve">Liaoning Province, China. </w:t>
      </w:r>
      <w:r>
        <w:rPr>
          <w:rFonts w:ascii="Times New Roman" w:hAnsi="Times New Roman"/>
          <w:i/>
          <w:iCs/>
          <w:sz w:val="24"/>
          <w:szCs w:val="24"/>
        </w:rPr>
        <w:t>Pol. J. Environ. Stud.</w:t>
      </w:r>
      <w:r>
        <w:rPr>
          <w:rFonts w:ascii="Times New Roman" w:hAnsi="Times New Roman"/>
          <w:sz w:val="24"/>
          <w:szCs w:val="24"/>
        </w:rPr>
        <w:t xml:space="preserve"> 26(4), 159-1549</w:t>
      </w:r>
    </w:p>
    <w:p w14:paraId="7E6D59EF" w14:textId="77777777" w:rsidR="00B8652E" w:rsidRDefault="00B8652E" w:rsidP="00B8652E">
      <w:pPr>
        <w:rPr>
          <w:rFonts w:ascii="Times New Roman" w:hAnsi="Times New Roman"/>
          <w:sz w:val="24"/>
          <w:szCs w:val="24"/>
        </w:rPr>
      </w:pPr>
      <w:r>
        <w:rPr>
          <w:rFonts w:ascii="Times New Roman" w:hAnsi="Times New Roman"/>
          <w:sz w:val="24"/>
          <w:szCs w:val="24"/>
        </w:rPr>
        <w:t>Nelson, S. S., Yonge, D. R., Barber, M. E. (2009). Effects of Road Salts on</w:t>
      </w:r>
      <w:r w:rsidR="00496E6C">
        <w:rPr>
          <w:rFonts w:ascii="Times New Roman" w:hAnsi="Times New Roman"/>
          <w:sz w:val="24"/>
          <w:szCs w:val="24"/>
        </w:rPr>
        <w:t xml:space="preserve"> </w:t>
      </w:r>
      <w:r>
        <w:rPr>
          <w:rFonts w:ascii="Times New Roman" w:hAnsi="Times New Roman"/>
          <w:sz w:val="24"/>
          <w:szCs w:val="24"/>
        </w:rPr>
        <w:t xml:space="preserve">Heavy Metal Mobility in Two </w:t>
      </w:r>
      <w:r w:rsidR="00496E6C">
        <w:rPr>
          <w:rFonts w:ascii="Times New Roman" w:hAnsi="Times New Roman"/>
          <w:sz w:val="24"/>
          <w:szCs w:val="24"/>
        </w:rPr>
        <w:tab/>
      </w:r>
      <w:r>
        <w:rPr>
          <w:rFonts w:ascii="Times New Roman" w:hAnsi="Times New Roman"/>
          <w:sz w:val="24"/>
          <w:szCs w:val="24"/>
        </w:rPr>
        <w:t xml:space="preserve">Eastern Washington Soils. </w:t>
      </w:r>
      <w:r>
        <w:rPr>
          <w:rFonts w:ascii="Times New Roman" w:hAnsi="Times New Roman"/>
          <w:i/>
          <w:iCs/>
          <w:sz w:val="24"/>
          <w:szCs w:val="24"/>
        </w:rPr>
        <w:t>Journal of Environmental Engineering</w:t>
      </w:r>
      <w:r>
        <w:rPr>
          <w:rFonts w:ascii="Times New Roman" w:hAnsi="Times New Roman"/>
          <w:sz w:val="24"/>
          <w:szCs w:val="24"/>
        </w:rPr>
        <w:t>, 135(7)</w:t>
      </w:r>
    </w:p>
    <w:p w14:paraId="44201086" w14:textId="77777777" w:rsidR="00B8652E" w:rsidRPr="00D54E33" w:rsidRDefault="00B8652E" w:rsidP="00B8652E">
      <w:pPr>
        <w:rPr>
          <w:rFonts w:ascii="Times New Roman" w:hAnsi="Times New Roman"/>
          <w:sz w:val="22"/>
          <w:szCs w:val="22"/>
        </w:rPr>
      </w:pPr>
      <w:r w:rsidRPr="00D54E33">
        <w:rPr>
          <w:rFonts w:ascii="Times New Roman" w:hAnsi="Times New Roman"/>
          <w:sz w:val="22"/>
          <w:szCs w:val="22"/>
        </w:rPr>
        <w:t>Fiala, M., Hwang, H. M. (2021). Influence of Highway Pavement on Metals in Road Dust:</w:t>
      </w:r>
      <w:r w:rsidR="00334C14">
        <w:rPr>
          <w:rFonts w:ascii="Times New Roman" w:hAnsi="Times New Roman"/>
          <w:sz w:val="22"/>
          <w:szCs w:val="22"/>
        </w:rPr>
        <w:t xml:space="preserve"> </w:t>
      </w:r>
      <w:proofErr w:type="gramStart"/>
      <w:r w:rsidRPr="00D54E33">
        <w:rPr>
          <w:rFonts w:ascii="Times New Roman" w:hAnsi="Times New Roman"/>
          <w:sz w:val="22"/>
          <w:szCs w:val="22"/>
        </w:rPr>
        <w:t>a</w:t>
      </w:r>
      <w:proofErr w:type="gramEnd"/>
      <w:r w:rsidRPr="00D54E33">
        <w:rPr>
          <w:rFonts w:ascii="Times New Roman" w:hAnsi="Times New Roman"/>
          <w:sz w:val="22"/>
          <w:szCs w:val="22"/>
        </w:rPr>
        <w:t xml:space="preserve"> Case Study in Houston, </w:t>
      </w:r>
      <w:r w:rsidR="00334C14">
        <w:rPr>
          <w:rFonts w:ascii="Times New Roman" w:hAnsi="Times New Roman"/>
          <w:sz w:val="22"/>
          <w:szCs w:val="22"/>
        </w:rPr>
        <w:tab/>
      </w:r>
      <w:r w:rsidRPr="00D54E33">
        <w:rPr>
          <w:rFonts w:ascii="Times New Roman" w:hAnsi="Times New Roman"/>
          <w:sz w:val="22"/>
          <w:szCs w:val="22"/>
        </w:rPr>
        <w:t xml:space="preserve">Texas. </w:t>
      </w:r>
      <w:r w:rsidRPr="00D54E33">
        <w:rPr>
          <w:rFonts w:ascii="Times New Roman" w:hAnsi="Times New Roman"/>
          <w:i/>
          <w:iCs/>
          <w:sz w:val="22"/>
          <w:szCs w:val="22"/>
        </w:rPr>
        <w:t xml:space="preserve">Water Air Soil Pollution </w:t>
      </w:r>
      <w:r w:rsidRPr="00D54E33">
        <w:rPr>
          <w:rFonts w:ascii="Times New Roman" w:hAnsi="Times New Roman"/>
          <w:sz w:val="22"/>
          <w:szCs w:val="22"/>
        </w:rPr>
        <w:t xml:space="preserve">232(185), 1-12.         </w:t>
      </w:r>
    </w:p>
    <w:p w14:paraId="1D26B155" w14:textId="77777777" w:rsidR="00B8652E" w:rsidRDefault="00B8652E" w:rsidP="00B8652E">
      <w:pPr>
        <w:rPr>
          <w:rFonts w:ascii="Times New Roman" w:hAnsi="Times New Roman"/>
        </w:rPr>
      </w:pPr>
      <w:r>
        <w:rPr>
          <w:rFonts w:ascii="Times New Roman" w:hAnsi="Times New Roman"/>
        </w:rPr>
        <w:t xml:space="preserve">      </w:t>
      </w:r>
      <w:r w:rsidR="006C6167">
        <w:rPr>
          <w:rFonts w:ascii="Times New Roman" w:hAnsi="Times New Roman"/>
        </w:rPr>
        <w:tab/>
      </w:r>
      <w:r>
        <w:rPr>
          <w:rFonts w:ascii="Times New Roman" w:hAnsi="Times New Roman"/>
        </w:rPr>
        <w:t xml:space="preserve">  </w:t>
      </w:r>
      <w:hyperlink r:id="rId18" w:history="1">
        <w:r>
          <w:rPr>
            <w:rStyle w:val="Hyperlink"/>
            <w:rFonts w:ascii="Times New Roman" w:hAnsi="Times New Roman"/>
          </w:rPr>
          <w:t>https://doi.org/10.1007/s11270-021-05139-7</w:t>
        </w:r>
      </w:hyperlink>
      <w:r>
        <w:rPr>
          <w:rFonts w:ascii="Times New Roman" w:hAnsi="Times New Roman"/>
        </w:rPr>
        <w:t xml:space="preserve"> </w:t>
      </w:r>
    </w:p>
    <w:p w14:paraId="706DDCBF" w14:textId="77777777" w:rsidR="00B8652E" w:rsidRDefault="00B8652E" w:rsidP="00EB5DD6">
      <w:pPr>
        <w:jc w:val="both"/>
        <w:rPr>
          <w:rFonts w:ascii="Times New Roman" w:hAnsi="Times New Roman"/>
          <w:sz w:val="24"/>
          <w:szCs w:val="24"/>
        </w:rPr>
      </w:pPr>
      <w:r>
        <w:rPr>
          <w:rFonts w:ascii="Times New Roman" w:hAnsi="Times New Roman"/>
          <w:sz w:val="24"/>
          <w:szCs w:val="24"/>
        </w:rPr>
        <w:t xml:space="preserve">Abam, T. K. S., </w:t>
      </w:r>
      <w:proofErr w:type="spellStart"/>
      <w:r>
        <w:rPr>
          <w:rFonts w:ascii="Times New Roman" w:hAnsi="Times New Roman"/>
          <w:sz w:val="24"/>
          <w:szCs w:val="24"/>
        </w:rPr>
        <w:t>Giadom</w:t>
      </w:r>
      <w:proofErr w:type="spellEnd"/>
      <w:r>
        <w:rPr>
          <w:rFonts w:ascii="Times New Roman" w:hAnsi="Times New Roman"/>
          <w:sz w:val="24"/>
          <w:szCs w:val="24"/>
        </w:rPr>
        <w:t>, F. D., Abija, F. A. (2024). Analysis of Soil and Environmen</w:t>
      </w:r>
      <w:r w:rsidR="006C6167">
        <w:rPr>
          <w:rFonts w:ascii="Times New Roman" w:hAnsi="Times New Roman"/>
          <w:sz w:val="24"/>
          <w:szCs w:val="24"/>
        </w:rPr>
        <w:t xml:space="preserve">tal Conditions for Resilient </w:t>
      </w:r>
      <w:r w:rsidR="006C6167">
        <w:rPr>
          <w:rFonts w:ascii="Times New Roman" w:hAnsi="Times New Roman"/>
          <w:sz w:val="24"/>
          <w:szCs w:val="24"/>
        </w:rPr>
        <w:tab/>
        <w:t>Pa</w:t>
      </w:r>
      <w:r>
        <w:rPr>
          <w:rFonts w:ascii="Times New Roman" w:hAnsi="Times New Roman"/>
          <w:sz w:val="24"/>
          <w:szCs w:val="24"/>
        </w:rPr>
        <w:t xml:space="preserve">vements in the Niger Delta. </w:t>
      </w:r>
      <w:r>
        <w:rPr>
          <w:rFonts w:ascii="Times New Roman" w:hAnsi="Times New Roman"/>
          <w:i/>
          <w:iCs/>
          <w:sz w:val="24"/>
          <w:szCs w:val="24"/>
        </w:rPr>
        <w:t>Journal of Engineering Geology and Environmental Research.</w:t>
      </w:r>
      <w:r>
        <w:rPr>
          <w:rFonts w:ascii="Times New Roman" w:hAnsi="Times New Roman"/>
          <w:sz w:val="24"/>
          <w:szCs w:val="24"/>
        </w:rPr>
        <w:t xml:space="preserve"> 1, 21-34</w:t>
      </w:r>
      <w:r w:rsidR="008363B8">
        <w:rPr>
          <w:rFonts w:ascii="Times New Roman" w:hAnsi="Times New Roman"/>
          <w:sz w:val="24"/>
          <w:szCs w:val="24"/>
        </w:rPr>
        <w:t xml:space="preserve">. </w:t>
      </w:r>
    </w:p>
    <w:p w14:paraId="41BA878B" w14:textId="77777777" w:rsidR="00B8652E" w:rsidRDefault="00B8652E" w:rsidP="00B8652E">
      <w:pPr>
        <w:ind w:left="851" w:hanging="851"/>
        <w:jc w:val="both"/>
        <w:rPr>
          <w:rFonts w:ascii="Times New Roman" w:eastAsia="Calibri" w:hAnsi="Times New Roman"/>
          <w:i/>
          <w:sz w:val="24"/>
          <w:szCs w:val="24"/>
          <w:lang w:val="en-GB"/>
        </w:rPr>
      </w:pPr>
      <w:r>
        <w:rPr>
          <w:rFonts w:ascii="Times New Roman" w:eastAsia="Calibri" w:hAnsi="Times New Roman"/>
          <w:sz w:val="24"/>
          <w:szCs w:val="24"/>
          <w:lang w:val="en-GB"/>
        </w:rPr>
        <w:t>Hakanson, L. (1980).</w:t>
      </w:r>
      <w:r>
        <w:rPr>
          <w:rFonts w:ascii="Times New Roman" w:eastAsia="Calibri" w:hAnsi="Times New Roman"/>
          <w:i/>
          <w:sz w:val="24"/>
          <w:szCs w:val="24"/>
          <w:lang w:val="en-GB"/>
        </w:rPr>
        <w:t xml:space="preserve"> </w:t>
      </w:r>
      <w:r>
        <w:rPr>
          <w:rFonts w:ascii="Times New Roman" w:eastAsia="Calibri" w:hAnsi="Times New Roman"/>
          <w:sz w:val="24"/>
          <w:szCs w:val="24"/>
          <w:lang w:val="en-GB"/>
        </w:rPr>
        <w:t>Ecological Risk Index for Aquatic Pollution Control, a Sedimentological Approach</w:t>
      </w:r>
      <w:r>
        <w:rPr>
          <w:rFonts w:ascii="Times New Roman" w:eastAsia="Calibri" w:hAnsi="Times New Roman"/>
          <w:i/>
          <w:sz w:val="24"/>
          <w:szCs w:val="24"/>
          <w:lang w:val="en-GB"/>
        </w:rPr>
        <w:t xml:space="preserve">. </w:t>
      </w:r>
      <w:r>
        <w:rPr>
          <w:rFonts w:ascii="Times New Roman" w:eastAsia="Calibri" w:hAnsi="Times New Roman"/>
          <w:i/>
          <w:iCs/>
          <w:sz w:val="24"/>
          <w:szCs w:val="24"/>
          <w:lang w:val="en-GB"/>
        </w:rPr>
        <w:t>Water Research.</w:t>
      </w:r>
      <w:r>
        <w:rPr>
          <w:rFonts w:ascii="Times New Roman" w:eastAsia="Calibri" w:hAnsi="Times New Roman"/>
          <w:i/>
          <w:sz w:val="24"/>
          <w:szCs w:val="24"/>
          <w:lang w:val="en-GB"/>
        </w:rPr>
        <w:t xml:space="preserve"> 14, 975– 1001.</w:t>
      </w:r>
    </w:p>
    <w:p w14:paraId="2BEEB896" w14:textId="77777777" w:rsidR="00B8652E" w:rsidRDefault="00B8652E" w:rsidP="00B8652E">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Tomlinson, D. L., Wilson, J. G., Harris, C. R., Jeffrey, D. W. (1980). Problems in the Assessment of Heavy Metals in Estuaries</w:t>
      </w:r>
      <w:r w:rsidR="00746256">
        <w:rPr>
          <w:rFonts w:ascii="Times New Roman" w:eastAsia="Calibri" w:hAnsi="Times New Roman"/>
          <w:sz w:val="24"/>
          <w:szCs w:val="24"/>
          <w:lang w:val="en-GB"/>
        </w:rPr>
        <w:t xml:space="preserve"> and the Formation of Pollution </w:t>
      </w:r>
      <w:r>
        <w:rPr>
          <w:rFonts w:ascii="Times New Roman" w:eastAsia="Calibri" w:hAnsi="Times New Roman"/>
          <w:sz w:val="24"/>
          <w:szCs w:val="24"/>
          <w:lang w:val="en-GB"/>
        </w:rPr>
        <w:t>Index.</w:t>
      </w:r>
      <w:r w:rsidR="00746256">
        <w:rPr>
          <w:rFonts w:ascii="Times New Roman" w:eastAsia="Calibri" w:hAnsi="Times New Roman"/>
          <w:sz w:val="24"/>
          <w:szCs w:val="24"/>
          <w:lang w:val="en-GB"/>
        </w:rPr>
        <w:t xml:space="preserve"> </w:t>
      </w:r>
      <w:proofErr w:type="spellStart"/>
      <w:r>
        <w:rPr>
          <w:rFonts w:ascii="Times New Roman" w:eastAsia="Calibri" w:hAnsi="Times New Roman"/>
          <w:i/>
          <w:iCs/>
          <w:sz w:val="24"/>
          <w:szCs w:val="24"/>
          <w:lang w:val="en-GB"/>
        </w:rPr>
        <w:t>Helgolander</w:t>
      </w:r>
      <w:proofErr w:type="spellEnd"/>
      <w:r>
        <w:rPr>
          <w:rFonts w:ascii="Times New Roman" w:eastAsia="Calibri" w:hAnsi="Times New Roman"/>
          <w:i/>
          <w:iCs/>
          <w:sz w:val="24"/>
          <w:szCs w:val="24"/>
          <w:lang w:val="en-GB"/>
        </w:rPr>
        <w:t xml:space="preserve"> </w:t>
      </w:r>
      <w:proofErr w:type="spellStart"/>
      <w:r>
        <w:rPr>
          <w:rFonts w:ascii="Times New Roman" w:eastAsia="Calibri" w:hAnsi="Times New Roman"/>
          <w:i/>
          <w:iCs/>
          <w:sz w:val="24"/>
          <w:szCs w:val="24"/>
          <w:lang w:val="en-GB"/>
        </w:rPr>
        <w:t>Meeresunters</w:t>
      </w:r>
      <w:proofErr w:type="spellEnd"/>
      <w:r>
        <w:rPr>
          <w:rFonts w:ascii="Times New Roman" w:eastAsia="Calibri" w:hAnsi="Times New Roman"/>
          <w:sz w:val="24"/>
          <w:szCs w:val="24"/>
          <w:lang w:val="en-GB"/>
        </w:rPr>
        <w:t>. 33, 566-575.</w:t>
      </w:r>
    </w:p>
    <w:p w14:paraId="002C2B36" w14:textId="77777777" w:rsidR="00B8652E" w:rsidRDefault="00B8652E" w:rsidP="00B8652E">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Muller, G. (1969). Index of Geo</w:t>
      </w:r>
      <w:r w:rsidR="00626005">
        <w:rPr>
          <w:rFonts w:ascii="Times New Roman" w:eastAsia="Calibri" w:hAnsi="Times New Roman"/>
          <w:sz w:val="24"/>
          <w:szCs w:val="24"/>
          <w:lang w:val="en-GB"/>
        </w:rPr>
        <w:t>-</w:t>
      </w:r>
      <w:r>
        <w:rPr>
          <w:rFonts w:ascii="Times New Roman" w:eastAsia="Calibri" w:hAnsi="Times New Roman"/>
          <w:sz w:val="24"/>
          <w:szCs w:val="24"/>
          <w:lang w:val="en-GB"/>
        </w:rPr>
        <w:t xml:space="preserve">accumulation in Sediments of the Rhine </w:t>
      </w:r>
      <w:r w:rsidR="003A1890">
        <w:rPr>
          <w:rFonts w:ascii="Times New Roman" w:eastAsia="Calibri" w:hAnsi="Times New Roman"/>
          <w:sz w:val="24"/>
          <w:szCs w:val="24"/>
          <w:lang w:val="en-GB"/>
        </w:rPr>
        <w:t>River</w:t>
      </w:r>
      <w:r>
        <w:rPr>
          <w:rFonts w:ascii="Times New Roman" w:eastAsia="Calibri" w:hAnsi="Times New Roman"/>
          <w:sz w:val="24"/>
          <w:szCs w:val="24"/>
          <w:lang w:val="en-GB"/>
        </w:rPr>
        <w:t xml:space="preserve">. </w:t>
      </w:r>
      <w:r>
        <w:rPr>
          <w:rFonts w:ascii="Times New Roman" w:eastAsia="Calibri" w:hAnsi="Times New Roman"/>
          <w:i/>
          <w:iCs/>
          <w:sz w:val="24"/>
          <w:szCs w:val="24"/>
          <w:lang w:val="en-GB"/>
        </w:rPr>
        <w:t>Geo</w:t>
      </w:r>
      <w:r w:rsidR="00626005">
        <w:rPr>
          <w:rFonts w:ascii="Times New Roman" w:eastAsia="Calibri" w:hAnsi="Times New Roman"/>
          <w:i/>
          <w:iCs/>
          <w:sz w:val="24"/>
          <w:szCs w:val="24"/>
          <w:lang w:val="en-GB"/>
        </w:rPr>
        <w:t>-</w:t>
      </w:r>
      <w:r>
        <w:rPr>
          <w:rFonts w:ascii="Times New Roman" w:eastAsia="Calibri" w:hAnsi="Times New Roman"/>
          <w:i/>
          <w:iCs/>
          <w:sz w:val="24"/>
          <w:szCs w:val="24"/>
          <w:lang w:val="en-GB"/>
        </w:rPr>
        <w:t>journal</w:t>
      </w:r>
      <w:r>
        <w:rPr>
          <w:rFonts w:ascii="Times New Roman" w:eastAsia="Calibri" w:hAnsi="Times New Roman"/>
          <w:sz w:val="24"/>
          <w:szCs w:val="24"/>
          <w:lang w:val="en-GB"/>
        </w:rPr>
        <w:t>. 2(3), 108–118.</w:t>
      </w:r>
    </w:p>
    <w:p w14:paraId="39826C7E" w14:textId="77777777" w:rsidR="00B8652E" w:rsidRDefault="00B8652E" w:rsidP="00B8652E">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WHO (1996). Permissible Limits of Heavy Metals in Soil and Plants Geneva: World Health Organization), Switzerland.</w:t>
      </w:r>
    </w:p>
    <w:p w14:paraId="5B88E841" w14:textId="77777777" w:rsidR="00B8652E" w:rsidRDefault="00B8652E" w:rsidP="00B8652E">
      <w:pPr>
        <w:tabs>
          <w:tab w:val="left" w:pos="5610"/>
        </w:tabs>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 xml:space="preserve">Ogundele, D. T., Adio, A. A., </w:t>
      </w:r>
      <w:proofErr w:type="spellStart"/>
      <w:r>
        <w:rPr>
          <w:rFonts w:ascii="Times New Roman" w:eastAsia="Calibri" w:hAnsi="Times New Roman"/>
          <w:sz w:val="24"/>
          <w:szCs w:val="24"/>
          <w:lang w:val="en-GB"/>
        </w:rPr>
        <w:t>Oludele</w:t>
      </w:r>
      <w:proofErr w:type="spellEnd"/>
      <w:r>
        <w:rPr>
          <w:rFonts w:ascii="Times New Roman" w:eastAsia="Calibri" w:hAnsi="Times New Roman"/>
          <w:sz w:val="24"/>
          <w:szCs w:val="24"/>
          <w:lang w:val="en-GB"/>
        </w:rPr>
        <w:t xml:space="preserve">, O. E. (2015). Heavy Metal Concentrations in Plants and Soil along Heavy Traffic Roads in North Central Nigeria. </w:t>
      </w:r>
      <w:r w:rsidR="00B47739">
        <w:rPr>
          <w:rFonts w:ascii="Times New Roman" w:eastAsia="Calibri" w:hAnsi="Times New Roman"/>
          <w:i/>
          <w:iCs/>
          <w:sz w:val="24"/>
          <w:szCs w:val="24"/>
          <w:lang w:val="en-GB"/>
        </w:rPr>
        <w:t xml:space="preserve">Journal of </w:t>
      </w:r>
      <w:r>
        <w:rPr>
          <w:rFonts w:ascii="Times New Roman" w:eastAsia="Calibri" w:hAnsi="Times New Roman"/>
          <w:i/>
          <w:iCs/>
          <w:sz w:val="24"/>
          <w:szCs w:val="24"/>
          <w:lang w:val="en-GB"/>
        </w:rPr>
        <w:t xml:space="preserve">Environmental Anal Toxicology. </w:t>
      </w:r>
      <w:r>
        <w:rPr>
          <w:rFonts w:ascii="Times New Roman" w:eastAsia="Calibri" w:hAnsi="Times New Roman"/>
          <w:sz w:val="24"/>
          <w:szCs w:val="24"/>
          <w:lang w:val="en-GB"/>
        </w:rPr>
        <w:t>5(6), 1-5.</w:t>
      </w:r>
    </w:p>
    <w:p w14:paraId="2E42DC9B" w14:textId="77777777" w:rsidR="00B01FCD" w:rsidRPr="00FB3A86" w:rsidRDefault="00B01FCD" w:rsidP="00441B6F">
      <w:pPr>
        <w:pStyle w:val="Appendix"/>
        <w:spacing w:after="0"/>
        <w:jc w:val="both"/>
        <w:rPr>
          <w:rFonts w:ascii="Arial" w:hAnsi="Arial" w:cs="Arial"/>
          <w:b w:val="0"/>
        </w:rPr>
      </w:pPr>
    </w:p>
    <w:sectPr w:rsidR="00B01FCD" w:rsidRPr="00FB3A86" w:rsidSect="0014117F">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51DC8" w14:textId="77777777" w:rsidR="00662DA6" w:rsidRDefault="00662DA6" w:rsidP="00C37E61">
      <w:r>
        <w:separator/>
      </w:r>
    </w:p>
  </w:endnote>
  <w:endnote w:type="continuationSeparator" w:id="0">
    <w:p w14:paraId="2E647F2B" w14:textId="77777777" w:rsidR="00662DA6" w:rsidRDefault="00662D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B9B9" w14:textId="77777777" w:rsidR="0014117F" w:rsidRDefault="0014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7FF7" w14:textId="77777777" w:rsidR="0014117F" w:rsidRDefault="00141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11A0" w14:textId="06BCAA6C" w:rsidR="00904050" w:rsidRPr="0014117F" w:rsidRDefault="00904050" w:rsidP="0014117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C0B5" w14:textId="77777777" w:rsidR="00904050" w:rsidRPr="00C37E61" w:rsidRDefault="009040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D10EA" w14:textId="77777777" w:rsidR="00662DA6" w:rsidRDefault="00662DA6" w:rsidP="00C37E61">
      <w:r>
        <w:separator/>
      </w:r>
    </w:p>
  </w:footnote>
  <w:footnote w:type="continuationSeparator" w:id="0">
    <w:p w14:paraId="3818F2F7" w14:textId="77777777" w:rsidR="00662DA6" w:rsidRDefault="00662D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CA07B" w14:textId="1E37D6C7" w:rsidR="0014117F" w:rsidRDefault="0014117F">
    <w:pPr>
      <w:pStyle w:val="Header"/>
    </w:pPr>
    <w:r>
      <w:rPr>
        <w:noProof/>
      </w:rPr>
      <w:pict w14:anchorId="7340F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563E" w14:textId="4E81D782" w:rsidR="0014117F" w:rsidRDefault="0014117F">
    <w:pPr>
      <w:pStyle w:val="Header"/>
    </w:pPr>
    <w:r>
      <w:rPr>
        <w:noProof/>
      </w:rPr>
      <w:pict w14:anchorId="3D00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771C" w14:textId="4CCD0DB5" w:rsidR="00904050" w:rsidRPr="00296529" w:rsidRDefault="0014117F" w:rsidP="00296529">
    <w:pPr>
      <w:ind w:left="2160"/>
      <w:jc w:val="center"/>
      <w:rPr>
        <w:rFonts w:ascii="Times New Roman" w:eastAsia="Calibri" w:hAnsi="Times New Roman"/>
        <w:i/>
        <w:sz w:val="18"/>
        <w:szCs w:val="22"/>
      </w:rPr>
    </w:pPr>
    <w:r>
      <w:rPr>
        <w:noProof/>
      </w:rPr>
      <w:pict w14:anchorId="5C01D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6C126A" w14:textId="77777777" w:rsidR="00904050" w:rsidRPr="00296529" w:rsidRDefault="009040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0B2A8D" w14:textId="77777777" w:rsidR="00904050" w:rsidRPr="00296529" w:rsidRDefault="009040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6C25FC" w14:textId="77777777" w:rsidR="00904050" w:rsidRPr="00296529" w:rsidRDefault="009040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FA0851" w14:textId="77777777" w:rsidR="00904050" w:rsidRDefault="009040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1DE81D" w14:textId="77777777" w:rsidR="00904050" w:rsidRDefault="009040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55E6E77" w14:textId="77777777" w:rsidR="00904050" w:rsidRDefault="009040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766B" w14:textId="6A7A302D" w:rsidR="0014117F" w:rsidRDefault="0014117F">
    <w:pPr>
      <w:pStyle w:val="Header"/>
    </w:pPr>
    <w:r>
      <w:rPr>
        <w:noProof/>
      </w:rPr>
      <w:pict w14:anchorId="3B05D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CA0E" w14:textId="49CD0452" w:rsidR="0014117F" w:rsidRDefault="0014117F">
    <w:pPr>
      <w:pStyle w:val="Header"/>
    </w:pPr>
    <w:r>
      <w:rPr>
        <w:noProof/>
      </w:rPr>
      <w:pict w14:anchorId="72A1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3C016" w14:textId="446D34AF" w:rsidR="0014117F" w:rsidRDefault="0014117F">
    <w:pPr>
      <w:pStyle w:val="Header"/>
    </w:pPr>
    <w:r>
      <w:rPr>
        <w:noProof/>
      </w:rPr>
      <w:pict w14:anchorId="6C8BA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33D"/>
    <w:rsid w:val="00012378"/>
    <w:rsid w:val="00012D63"/>
    <w:rsid w:val="000141FA"/>
    <w:rsid w:val="0001423A"/>
    <w:rsid w:val="00016F48"/>
    <w:rsid w:val="00030174"/>
    <w:rsid w:val="00030411"/>
    <w:rsid w:val="00032391"/>
    <w:rsid w:val="000367A8"/>
    <w:rsid w:val="00037E01"/>
    <w:rsid w:val="0004579C"/>
    <w:rsid w:val="00046351"/>
    <w:rsid w:val="00057A8C"/>
    <w:rsid w:val="00072FF1"/>
    <w:rsid w:val="00090CC6"/>
    <w:rsid w:val="000A47FA"/>
    <w:rsid w:val="000A65D3"/>
    <w:rsid w:val="000B01BE"/>
    <w:rsid w:val="000B1E33"/>
    <w:rsid w:val="000B73C2"/>
    <w:rsid w:val="000C3A4C"/>
    <w:rsid w:val="000D689F"/>
    <w:rsid w:val="000D768E"/>
    <w:rsid w:val="000E7B7B"/>
    <w:rsid w:val="000E7D62"/>
    <w:rsid w:val="000F3065"/>
    <w:rsid w:val="00103357"/>
    <w:rsid w:val="00123C9F"/>
    <w:rsid w:val="001245AE"/>
    <w:rsid w:val="0012593C"/>
    <w:rsid w:val="00126190"/>
    <w:rsid w:val="00130F17"/>
    <w:rsid w:val="001320BF"/>
    <w:rsid w:val="001368FA"/>
    <w:rsid w:val="0014117F"/>
    <w:rsid w:val="00145660"/>
    <w:rsid w:val="00145CCF"/>
    <w:rsid w:val="001479BC"/>
    <w:rsid w:val="00163BC4"/>
    <w:rsid w:val="00175F99"/>
    <w:rsid w:val="0018237C"/>
    <w:rsid w:val="00191062"/>
    <w:rsid w:val="0019137C"/>
    <w:rsid w:val="00192B72"/>
    <w:rsid w:val="001A29D8"/>
    <w:rsid w:val="001A5CAA"/>
    <w:rsid w:val="001A5F31"/>
    <w:rsid w:val="001B0427"/>
    <w:rsid w:val="001C36AA"/>
    <w:rsid w:val="001C5413"/>
    <w:rsid w:val="001D3A51"/>
    <w:rsid w:val="001D5576"/>
    <w:rsid w:val="001E10D2"/>
    <w:rsid w:val="001E12A0"/>
    <w:rsid w:val="001E25B4"/>
    <w:rsid w:val="001E2EF4"/>
    <w:rsid w:val="001E44FE"/>
    <w:rsid w:val="001E7C11"/>
    <w:rsid w:val="00200595"/>
    <w:rsid w:val="00204835"/>
    <w:rsid w:val="00230F1D"/>
    <w:rsid w:val="00231920"/>
    <w:rsid w:val="0023195C"/>
    <w:rsid w:val="00233F6D"/>
    <w:rsid w:val="0024282C"/>
    <w:rsid w:val="002460DC"/>
    <w:rsid w:val="00246A10"/>
    <w:rsid w:val="00250985"/>
    <w:rsid w:val="002556F6"/>
    <w:rsid w:val="00256464"/>
    <w:rsid w:val="0028266E"/>
    <w:rsid w:val="00283105"/>
    <w:rsid w:val="00284C4C"/>
    <w:rsid w:val="00287E68"/>
    <w:rsid w:val="00295F78"/>
    <w:rsid w:val="002964BD"/>
    <w:rsid w:val="00296529"/>
    <w:rsid w:val="002A0983"/>
    <w:rsid w:val="002A09CD"/>
    <w:rsid w:val="002A6E62"/>
    <w:rsid w:val="002B27FB"/>
    <w:rsid w:val="002B3360"/>
    <w:rsid w:val="002B685A"/>
    <w:rsid w:val="002C08D8"/>
    <w:rsid w:val="002C57D2"/>
    <w:rsid w:val="002D543D"/>
    <w:rsid w:val="002E0D56"/>
    <w:rsid w:val="00301B45"/>
    <w:rsid w:val="00304FFF"/>
    <w:rsid w:val="00312861"/>
    <w:rsid w:val="00315186"/>
    <w:rsid w:val="0032276A"/>
    <w:rsid w:val="0033343E"/>
    <w:rsid w:val="00334C14"/>
    <w:rsid w:val="003512C2"/>
    <w:rsid w:val="00356191"/>
    <w:rsid w:val="0036097D"/>
    <w:rsid w:val="00361D4D"/>
    <w:rsid w:val="003671FA"/>
    <w:rsid w:val="00371FB6"/>
    <w:rsid w:val="003763C1"/>
    <w:rsid w:val="00376BBE"/>
    <w:rsid w:val="00384B85"/>
    <w:rsid w:val="0039224F"/>
    <w:rsid w:val="003A1890"/>
    <w:rsid w:val="003A43A4"/>
    <w:rsid w:val="003A7E18"/>
    <w:rsid w:val="003B48B6"/>
    <w:rsid w:val="003B77C6"/>
    <w:rsid w:val="003C4C86"/>
    <w:rsid w:val="003C6258"/>
    <w:rsid w:val="003C7B2C"/>
    <w:rsid w:val="003D2904"/>
    <w:rsid w:val="003D6781"/>
    <w:rsid w:val="003E2904"/>
    <w:rsid w:val="003E43D9"/>
    <w:rsid w:val="003F1DC0"/>
    <w:rsid w:val="00401927"/>
    <w:rsid w:val="004043E8"/>
    <w:rsid w:val="00410278"/>
    <w:rsid w:val="0041027F"/>
    <w:rsid w:val="00412475"/>
    <w:rsid w:val="00417A98"/>
    <w:rsid w:val="00423789"/>
    <w:rsid w:val="00440F43"/>
    <w:rsid w:val="00441B6F"/>
    <w:rsid w:val="00446221"/>
    <w:rsid w:val="00450E62"/>
    <w:rsid w:val="004539DB"/>
    <w:rsid w:val="00454906"/>
    <w:rsid w:val="00471A80"/>
    <w:rsid w:val="00482423"/>
    <w:rsid w:val="0048608A"/>
    <w:rsid w:val="004956C1"/>
    <w:rsid w:val="00496E6C"/>
    <w:rsid w:val="004B16D0"/>
    <w:rsid w:val="004C5562"/>
    <w:rsid w:val="004C63A2"/>
    <w:rsid w:val="004C7BDD"/>
    <w:rsid w:val="004D305E"/>
    <w:rsid w:val="004D4277"/>
    <w:rsid w:val="004F00E4"/>
    <w:rsid w:val="004F3A56"/>
    <w:rsid w:val="00502516"/>
    <w:rsid w:val="00505F06"/>
    <w:rsid w:val="00506828"/>
    <w:rsid w:val="00507C74"/>
    <w:rsid w:val="0053056E"/>
    <w:rsid w:val="00531D77"/>
    <w:rsid w:val="00546A15"/>
    <w:rsid w:val="00551137"/>
    <w:rsid w:val="005544BB"/>
    <w:rsid w:val="00554FDA"/>
    <w:rsid w:val="00573BC2"/>
    <w:rsid w:val="005947BF"/>
    <w:rsid w:val="005B10CE"/>
    <w:rsid w:val="005B2D96"/>
    <w:rsid w:val="005C784C"/>
    <w:rsid w:val="005D17F6"/>
    <w:rsid w:val="005D384C"/>
    <w:rsid w:val="005E54DF"/>
    <w:rsid w:val="005E5539"/>
    <w:rsid w:val="005F7CB6"/>
    <w:rsid w:val="00602BF5"/>
    <w:rsid w:val="00617FDD"/>
    <w:rsid w:val="006210B2"/>
    <w:rsid w:val="00626005"/>
    <w:rsid w:val="00633614"/>
    <w:rsid w:val="006336C5"/>
    <w:rsid w:val="00633F68"/>
    <w:rsid w:val="006355F5"/>
    <w:rsid w:val="00636EB2"/>
    <w:rsid w:val="006375B8"/>
    <w:rsid w:val="006409F0"/>
    <w:rsid w:val="00645147"/>
    <w:rsid w:val="00662DA6"/>
    <w:rsid w:val="0066510A"/>
    <w:rsid w:val="00671B47"/>
    <w:rsid w:val="00672891"/>
    <w:rsid w:val="00673F9F"/>
    <w:rsid w:val="00686953"/>
    <w:rsid w:val="00687DEA"/>
    <w:rsid w:val="00687E67"/>
    <w:rsid w:val="00694139"/>
    <w:rsid w:val="006967F7"/>
    <w:rsid w:val="006A250C"/>
    <w:rsid w:val="006A333B"/>
    <w:rsid w:val="006A42EE"/>
    <w:rsid w:val="006A7F68"/>
    <w:rsid w:val="006B21D3"/>
    <w:rsid w:val="006B57D0"/>
    <w:rsid w:val="006B7A1A"/>
    <w:rsid w:val="006C6167"/>
    <w:rsid w:val="006D1D82"/>
    <w:rsid w:val="006D22BD"/>
    <w:rsid w:val="006D30FF"/>
    <w:rsid w:val="006D3D3B"/>
    <w:rsid w:val="006D6940"/>
    <w:rsid w:val="006E3CFF"/>
    <w:rsid w:val="006E40DB"/>
    <w:rsid w:val="006F11EC"/>
    <w:rsid w:val="006F2D79"/>
    <w:rsid w:val="006F4B43"/>
    <w:rsid w:val="0070082C"/>
    <w:rsid w:val="00713451"/>
    <w:rsid w:val="00716400"/>
    <w:rsid w:val="0072382A"/>
    <w:rsid w:val="0073054A"/>
    <w:rsid w:val="0073405E"/>
    <w:rsid w:val="007369E6"/>
    <w:rsid w:val="0074416E"/>
    <w:rsid w:val="00745404"/>
    <w:rsid w:val="00746256"/>
    <w:rsid w:val="00746E59"/>
    <w:rsid w:val="00753DC1"/>
    <w:rsid w:val="00754C9A"/>
    <w:rsid w:val="0075599A"/>
    <w:rsid w:val="00761D52"/>
    <w:rsid w:val="00767E02"/>
    <w:rsid w:val="0077629E"/>
    <w:rsid w:val="0077749E"/>
    <w:rsid w:val="0077781A"/>
    <w:rsid w:val="00790ADA"/>
    <w:rsid w:val="00793FFB"/>
    <w:rsid w:val="0079512C"/>
    <w:rsid w:val="007C3EA7"/>
    <w:rsid w:val="007D0F38"/>
    <w:rsid w:val="007D2288"/>
    <w:rsid w:val="007D73A6"/>
    <w:rsid w:val="007E088F"/>
    <w:rsid w:val="007F7B32"/>
    <w:rsid w:val="00804BC2"/>
    <w:rsid w:val="0081431A"/>
    <w:rsid w:val="0083216F"/>
    <w:rsid w:val="0083346F"/>
    <w:rsid w:val="008345A9"/>
    <w:rsid w:val="008363B8"/>
    <w:rsid w:val="00852E8C"/>
    <w:rsid w:val="00860000"/>
    <w:rsid w:val="00860C9B"/>
    <w:rsid w:val="00863BD3"/>
    <w:rsid w:val="008641ED"/>
    <w:rsid w:val="00866D66"/>
    <w:rsid w:val="008671C6"/>
    <w:rsid w:val="0087407A"/>
    <w:rsid w:val="00875803"/>
    <w:rsid w:val="00877421"/>
    <w:rsid w:val="008A7DDF"/>
    <w:rsid w:val="008B459E"/>
    <w:rsid w:val="008C1ACA"/>
    <w:rsid w:val="008C312B"/>
    <w:rsid w:val="008C5412"/>
    <w:rsid w:val="008E13AE"/>
    <w:rsid w:val="008E1506"/>
    <w:rsid w:val="008E710C"/>
    <w:rsid w:val="008E739A"/>
    <w:rsid w:val="008F3712"/>
    <w:rsid w:val="008F4C97"/>
    <w:rsid w:val="008F69D6"/>
    <w:rsid w:val="00902823"/>
    <w:rsid w:val="009036A1"/>
    <w:rsid w:val="00904050"/>
    <w:rsid w:val="00904A21"/>
    <w:rsid w:val="00915CA6"/>
    <w:rsid w:val="00917B9B"/>
    <w:rsid w:val="00920392"/>
    <w:rsid w:val="00927834"/>
    <w:rsid w:val="0093430A"/>
    <w:rsid w:val="00946655"/>
    <w:rsid w:val="009500A6"/>
    <w:rsid w:val="0095075C"/>
    <w:rsid w:val="00951ED7"/>
    <w:rsid w:val="00957C18"/>
    <w:rsid w:val="009617B4"/>
    <w:rsid w:val="009659BA"/>
    <w:rsid w:val="00966A56"/>
    <w:rsid w:val="00983040"/>
    <w:rsid w:val="009B3FB9"/>
    <w:rsid w:val="009C1BEA"/>
    <w:rsid w:val="009C2465"/>
    <w:rsid w:val="009C5EF6"/>
    <w:rsid w:val="009D2010"/>
    <w:rsid w:val="009D2BA1"/>
    <w:rsid w:val="009D35A0"/>
    <w:rsid w:val="009D5564"/>
    <w:rsid w:val="009D7EB7"/>
    <w:rsid w:val="009E048A"/>
    <w:rsid w:val="009E08E9"/>
    <w:rsid w:val="009E09AB"/>
    <w:rsid w:val="009E3DB9"/>
    <w:rsid w:val="009E6E35"/>
    <w:rsid w:val="009E79DC"/>
    <w:rsid w:val="009F0EDA"/>
    <w:rsid w:val="00A03B96"/>
    <w:rsid w:val="00A05B19"/>
    <w:rsid w:val="00A1134E"/>
    <w:rsid w:val="00A12A31"/>
    <w:rsid w:val="00A22597"/>
    <w:rsid w:val="00A24E7E"/>
    <w:rsid w:val="00A258C3"/>
    <w:rsid w:val="00A27B83"/>
    <w:rsid w:val="00A347C0"/>
    <w:rsid w:val="00A4094E"/>
    <w:rsid w:val="00A42DEA"/>
    <w:rsid w:val="00A51431"/>
    <w:rsid w:val="00A539AD"/>
    <w:rsid w:val="00A71004"/>
    <w:rsid w:val="00A74E4C"/>
    <w:rsid w:val="00A82C0D"/>
    <w:rsid w:val="00A94063"/>
    <w:rsid w:val="00AA6219"/>
    <w:rsid w:val="00AA74E0"/>
    <w:rsid w:val="00AB21A3"/>
    <w:rsid w:val="00AB703F"/>
    <w:rsid w:val="00AC6223"/>
    <w:rsid w:val="00AC6BB8"/>
    <w:rsid w:val="00AE008F"/>
    <w:rsid w:val="00AF587B"/>
    <w:rsid w:val="00AF63BE"/>
    <w:rsid w:val="00B01FCD"/>
    <w:rsid w:val="00B03967"/>
    <w:rsid w:val="00B0468A"/>
    <w:rsid w:val="00B10FB0"/>
    <w:rsid w:val="00B1776C"/>
    <w:rsid w:val="00B32336"/>
    <w:rsid w:val="00B435A5"/>
    <w:rsid w:val="00B47739"/>
    <w:rsid w:val="00B52583"/>
    <w:rsid w:val="00B52896"/>
    <w:rsid w:val="00B61135"/>
    <w:rsid w:val="00B67807"/>
    <w:rsid w:val="00B776C6"/>
    <w:rsid w:val="00B8652E"/>
    <w:rsid w:val="00B879CF"/>
    <w:rsid w:val="00B95236"/>
    <w:rsid w:val="00B96BD9"/>
    <w:rsid w:val="00B970BF"/>
    <w:rsid w:val="00BA1B01"/>
    <w:rsid w:val="00BA2641"/>
    <w:rsid w:val="00BB0EA3"/>
    <w:rsid w:val="00BB37AA"/>
    <w:rsid w:val="00BC53A0"/>
    <w:rsid w:val="00BE5BBB"/>
    <w:rsid w:val="00BE62AD"/>
    <w:rsid w:val="00BF121F"/>
    <w:rsid w:val="00BF1F80"/>
    <w:rsid w:val="00C02655"/>
    <w:rsid w:val="00C050C6"/>
    <w:rsid w:val="00C166EF"/>
    <w:rsid w:val="00C17EB0"/>
    <w:rsid w:val="00C205BD"/>
    <w:rsid w:val="00C27F5F"/>
    <w:rsid w:val="00C30A0F"/>
    <w:rsid w:val="00C37E61"/>
    <w:rsid w:val="00C43664"/>
    <w:rsid w:val="00C472B8"/>
    <w:rsid w:val="00C515B1"/>
    <w:rsid w:val="00C51DAA"/>
    <w:rsid w:val="00C55E38"/>
    <w:rsid w:val="00C576CD"/>
    <w:rsid w:val="00C70F1B"/>
    <w:rsid w:val="00C71A47"/>
    <w:rsid w:val="00C7464C"/>
    <w:rsid w:val="00C85588"/>
    <w:rsid w:val="00C8685A"/>
    <w:rsid w:val="00CA13CA"/>
    <w:rsid w:val="00CA52D9"/>
    <w:rsid w:val="00CB2B6B"/>
    <w:rsid w:val="00CC3EAF"/>
    <w:rsid w:val="00CD0A80"/>
    <w:rsid w:val="00CD6755"/>
    <w:rsid w:val="00CD6856"/>
    <w:rsid w:val="00CE0089"/>
    <w:rsid w:val="00CE4692"/>
    <w:rsid w:val="00CE793C"/>
    <w:rsid w:val="00CF02E3"/>
    <w:rsid w:val="00CF1349"/>
    <w:rsid w:val="00CF193C"/>
    <w:rsid w:val="00D168F9"/>
    <w:rsid w:val="00D173F1"/>
    <w:rsid w:val="00D21012"/>
    <w:rsid w:val="00D50A01"/>
    <w:rsid w:val="00D52DFB"/>
    <w:rsid w:val="00D54E33"/>
    <w:rsid w:val="00D63B45"/>
    <w:rsid w:val="00D72075"/>
    <w:rsid w:val="00D73248"/>
    <w:rsid w:val="00D74CB0"/>
    <w:rsid w:val="00D82810"/>
    <w:rsid w:val="00D8295D"/>
    <w:rsid w:val="00DA0070"/>
    <w:rsid w:val="00DB2D09"/>
    <w:rsid w:val="00DC2A65"/>
    <w:rsid w:val="00DE15F0"/>
    <w:rsid w:val="00DE5663"/>
    <w:rsid w:val="00DE78AA"/>
    <w:rsid w:val="00DF709C"/>
    <w:rsid w:val="00E053D0"/>
    <w:rsid w:val="00E10374"/>
    <w:rsid w:val="00E15994"/>
    <w:rsid w:val="00E21CFF"/>
    <w:rsid w:val="00E3114E"/>
    <w:rsid w:val="00E31A70"/>
    <w:rsid w:val="00E33AF3"/>
    <w:rsid w:val="00E35B02"/>
    <w:rsid w:val="00E40FE5"/>
    <w:rsid w:val="00E474FB"/>
    <w:rsid w:val="00E543F0"/>
    <w:rsid w:val="00E64E8B"/>
    <w:rsid w:val="00E66496"/>
    <w:rsid w:val="00E66B35"/>
    <w:rsid w:val="00E66E10"/>
    <w:rsid w:val="00E72791"/>
    <w:rsid w:val="00E743E3"/>
    <w:rsid w:val="00E769F6"/>
    <w:rsid w:val="00E8407C"/>
    <w:rsid w:val="00E84F3C"/>
    <w:rsid w:val="00E86F83"/>
    <w:rsid w:val="00EA012C"/>
    <w:rsid w:val="00EA08D3"/>
    <w:rsid w:val="00EA4853"/>
    <w:rsid w:val="00EB0FBA"/>
    <w:rsid w:val="00EB584F"/>
    <w:rsid w:val="00EB5DD6"/>
    <w:rsid w:val="00EC3D25"/>
    <w:rsid w:val="00EC6A55"/>
    <w:rsid w:val="00ED0288"/>
    <w:rsid w:val="00ED6CE3"/>
    <w:rsid w:val="00EE52CB"/>
    <w:rsid w:val="00EE6302"/>
    <w:rsid w:val="00EF581D"/>
    <w:rsid w:val="00EF7FD8"/>
    <w:rsid w:val="00F06F59"/>
    <w:rsid w:val="00F17988"/>
    <w:rsid w:val="00F22EE0"/>
    <w:rsid w:val="00F31077"/>
    <w:rsid w:val="00F43B35"/>
    <w:rsid w:val="00F469F0"/>
    <w:rsid w:val="00F53273"/>
    <w:rsid w:val="00F62254"/>
    <w:rsid w:val="00F66E15"/>
    <w:rsid w:val="00F673A1"/>
    <w:rsid w:val="00F755E4"/>
    <w:rsid w:val="00F77D02"/>
    <w:rsid w:val="00F77F4F"/>
    <w:rsid w:val="00F82647"/>
    <w:rsid w:val="00FA718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C40EB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DB2D09"/>
    <w:rPr>
      <w:rFonts w:ascii="Calibri" w:eastAsia="Calibri" w:hAnsi="Calibr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1B47"/>
    <w:rPr>
      <w:color w:val="605E5C"/>
      <w:shd w:val="clear" w:color="auto" w:fill="E1DFDD"/>
    </w:rPr>
  </w:style>
  <w:style w:type="paragraph" w:styleId="ListParagraph">
    <w:name w:val="List Paragraph"/>
    <w:basedOn w:val="Normal"/>
    <w:uiPriority w:val="34"/>
    <w:qFormat/>
    <w:rsid w:val="00671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45134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6024458">
      <w:bodyDiv w:val="1"/>
      <w:marLeft w:val="0"/>
      <w:marRight w:val="0"/>
      <w:marTop w:val="0"/>
      <w:marBottom w:val="0"/>
      <w:divBdr>
        <w:top w:val="none" w:sz="0" w:space="0" w:color="auto"/>
        <w:left w:val="none" w:sz="0" w:space="0" w:color="auto"/>
        <w:bottom w:val="none" w:sz="0" w:space="0" w:color="auto"/>
        <w:right w:val="none" w:sz="0" w:space="0" w:color="auto"/>
      </w:divBdr>
    </w:div>
    <w:div w:id="56152113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79232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491946635">
      <w:bodyDiv w:val="1"/>
      <w:marLeft w:val="0"/>
      <w:marRight w:val="0"/>
      <w:marTop w:val="0"/>
      <w:marBottom w:val="0"/>
      <w:divBdr>
        <w:top w:val="none" w:sz="0" w:space="0" w:color="auto"/>
        <w:left w:val="none" w:sz="0" w:space="0" w:color="auto"/>
        <w:bottom w:val="none" w:sz="0" w:space="0" w:color="auto"/>
        <w:right w:val="none" w:sz="0" w:space="0" w:color="auto"/>
      </w:divBdr>
    </w:div>
    <w:div w:id="15010452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3755443">
      <w:bodyDiv w:val="1"/>
      <w:marLeft w:val="0"/>
      <w:marRight w:val="0"/>
      <w:marTop w:val="0"/>
      <w:marBottom w:val="0"/>
      <w:divBdr>
        <w:top w:val="none" w:sz="0" w:space="0" w:color="auto"/>
        <w:left w:val="none" w:sz="0" w:space="0" w:color="auto"/>
        <w:bottom w:val="none" w:sz="0" w:space="0" w:color="auto"/>
        <w:right w:val="none" w:sz="0" w:space="0" w:color="auto"/>
      </w:divBdr>
    </w:div>
    <w:div w:id="20193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1270-021-05139-7"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su16020812" TargetMode="External"/><Relationship Id="rId2" Type="http://schemas.openxmlformats.org/officeDocument/2006/relationships/numbering" Target="numbering.xml"/><Relationship Id="rId16" Type="http://schemas.openxmlformats.org/officeDocument/2006/relationships/hyperlink" Target="https://doi:10.1016/j.scitotenv.2014.01.055"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10.1007/s13762-014-0626-8"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10.1088/1757-899X/512/1/012045"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CC35-4782-45AC-B074-4F2D8434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532</TotalTime>
  <Pages>5</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15931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195</cp:revision>
  <cp:lastPrinted>1999-07-06T11:00:00Z</cp:lastPrinted>
  <dcterms:created xsi:type="dcterms:W3CDTF">2025-03-07T22:27:00Z</dcterms:created>
  <dcterms:modified xsi:type="dcterms:W3CDTF">2025-07-12T11:46:00Z</dcterms:modified>
</cp:coreProperties>
</file>