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8B0F9" w14:textId="4F55EC56" w:rsidR="00A01F05" w:rsidRPr="00A01F05" w:rsidRDefault="00A01F05" w:rsidP="00B8441B">
      <w:pPr>
        <w:spacing w:line="360" w:lineRule="auto"/>
        <w:jc w:val="right"/>
        <w:rPr>
          <w:rFonts w:ascii="Arial" w:hAnsi="Arial" w:cs="Arial"/>
          <w:b/>
          <w:bCs/>
          <w:sz w:val="32"/>
          <w:szCs w:val="32"/>
          <w:u w:val="single"/>
          <w:lang w:val="en-US"/>
        </w:rPr>
      </w:pPr>
      <w:r w:rsidRPr="00A01F05">
        <w:rPr>
          <w:rFonts w:ascii="Arial" w:hAnsi="Arial" w:cs="Arial"/>
          <w:b/>
          <w:bCs/>
          <w:sz w:val="32"/>
          <w:szCs w:val="32"/>
          <w:u w:val="single"/>
          <w:lang w:val="en-US"/>
        </w:rPr>
        <w:t>Original Research Article</w:t>
      </w:r>
    </w:p>
    <w:p w14:paraId="4081B423" w14:textId="27A24047" w:rsidR="00394385" w:rsidRPr="002D760F" w:rsidRDefault="00C56A49" w:rsidP="00B8441B">
      <w:pPr>
        <w:spacing w:line="360" w:lineRule="auto"/>
        <w:jc w:val="right"/>
        <w:rPr>
          <w:rFonts w:ascii="Arial" w:hAnsi="Arial" w:cs="Arial"/>
          <w:b/>
          <w:bCs/>
          <w:sz w:val="32"/>
          <w:szCs w:val="32"/>
          <w:lang w:val="en-US"/>
        </w:rPr>
      </w:pPr>
      <w:bookmarkStart w:id="0" w:name="_Hlk210377138"/>
      <w:r w:rsidRPr="002D760F">
        <w:rPr>
          <w:rFonts w:ascii="Arial" w:hAnsi="Arial" w:cs="Arial"/>
          <w:b/>
          <w:bCs/>
          <w:sz w:val="32"/>
          <w:szCs w:val="32"/>
          <w:lang w:val="en-US"/>
        </w:rPr>
        <w:t xml:space="preserve">Agriculture Credit </w:t>
      </w:r>
      <w:r w:rsidR="00BB04F2" w:rsidRPr="002D760F">
        <w:rPr>
          <w:rFonts w:ascii="Arial" w:hAnsi="Arial" w:cs="Arial"/>
          <w:b/>
          <w:bCs/>
          <w:sz w:val="32"/>
          <w:szCs w:val="32"/>
          <w:lang w:val="en-US"/>
        </w:rPr>
        <w:t xml:space="preserve">Accessibility </w:t>
      </w:r>
      <w:r w:rsidRPr="002D760F">
        <w:rPr>
          <w:rFonts w:ascii="Arial" w:hAnsi="Arial" w:cs="Arial"/>
          <w:b/>
          <w:bCs/>
          <w:sz w:val="32"/>
          <w:szCs w:val="32"/>
          <w:lang w:val="en-US"/>
        </w:rPr>
        <w:t>in India</w:t>
      </w:r>
      <w:r w:rsidR="00D40561" w:rsidRPr="002D760F">
        <w:rPr>
          <w:rFonts w:ascii="Arial" w:hAnsi="Arial" w:cs="Arial"/>
          <w:b/>
          <w:bCs/>
          <w:sz w:val="32"/>
          <w:szCs w:val="32"/>
          <w:lang w:val="en-US"/>
        </w:rPr>
        <w:t xml:space="preserve">: A Comparative estimation of </w:t>
      </w:r>
      <w:r w:rsidR="00BB04F2" w:rsidRPr="002D760F">
        <w:rPr>
          <w:rFonts w:ascii="Arial" w:hAnsi="Arial" w:cs="Arial"/>
          <w:b/>
          <w:bCs/>
          <w:sz w:val="32"/>
          <w:szCs w:val="32"/>
          <w:lang w:val="en-US"/>
        </w:rPr>
        <w:t>NSS</w:t>
      </w:r>
      <w:r w:rsidR="00803BF5">
        <w:rPr>
          <w:rFonts w:ascii="Arial" w:hAnsi="Arial" w:cs="Arial"/>
          <w:b/>
          <w:bCs/>
          <w:sz w:val="32"/>
          <w:szCs w:val="32"/>
          <w:lang w:val="en-US"/>
        </w:rPr>
        <w:t>O</w:t>
      </w:r>
      <w:r w:rsidR="00BB04F2" w:rsidRPr="002D760F">
        <w:rPr>
          <w:rFonts w:ascii="Arial" w:hAnsi="Arial" w:cs="Arial"/>
          <w:b/>
          <w:bCs/>
          <w:sz w:val="32"/>
          <w:szCs w:val="32"/>
          <w:lang w:val="en-US"/>
        </w:rPr>
        <w:t xml:space="preserve"> </w:t>
      </w:r>
      <w:r w:rsidR="00D40561" w:rsidRPr="002D760F">
        <w:rPr>
          <w:rFonts w:ascii="Arial" w:hAnsi="Arial" w:cs="Arial"/>
          <w:b/>
          <w:bCs/>
          <w:sz w:val="32"/>
          <w:szCs w:val="32"/>
          <w:lang w:val="en-US"/>
        </w:rPr>
        <w:t>70</w:t>
      </w:r>
      <w:r w:rsidR="00D40561" w:rsidRPr="002D760F">
        <w:rPr>
          <w:rFonts w:ascii="Arial" w:hAnsi="Arial" w:cs="Arial"/>
          <w:b/>
          <w:bCs/>
          <w:sz w:val="32"/>
          <w:szCs w:val="32"/>
          <w:vertAlign w:val="superscript"/>
          <w:lang w:val="en-US"/>
        </w:rPr>
        <w:t>th</w:t>
      </w:r>
      <w:r w:rsidR="00D40561" w:rsidRPr="002D760F">
        <w:rPr>
          <w:rFonts w:ascii="Arial" w:hAnsi="Arial" w:cs="Arial"/>
          <w:b/>
          <w:bCs/>
          <w:sz w:val="32"/>
          <w:szCs w:val="32"/>
          <w:lang w:val="en-US"/>
        </w:rPr>
        <w:t xml:space="preserve"> and 77</w:t>
      </w:r>
      <w:r w:rsidR="00D40561" w:rsidRPr="002D760F">
        <w:rPr>
          <w:rFonts w:ascii="Arial" w:hAnsi="Arial" w:cs="Arial"/>
          <w:b/>
          <w:bCs/>
          <w:sz w:val="32"/>
          <w:szCs w:val="32"/>
          <w:vertAlign w:val="superscript"/>
          <w:lang w:val="en-US"/>
        </w:rPr>
        <w:t>th</w:t>
      </w:r>
      <w:r w:rsidR="00D40561" w:rsidRPr="002D760F">
        <w:rPr>
          <w:rFonts w:ascii="Arial" w:hAnsi="Arial" w:cs="Arial"/>
          <w:b/>
          <w:bCs/>
          <w:sz w:val="32"/>
          <w:szCs w:val="32"/>
          <w:lang w:val="en-US"/>
        </w:rPr>
        <w:t xml:space="preserve"> round</w:t>
      </w:r>
    </w:p>
    <w:bookmarkEnd w:id="0"/>
    <w:p w14:paraId="5709C93E" w14:textId="42455AC7" w:rsidR="00DA220D" w:rsidRDefault="00DA220D" w:rsidP="00182E87">
      <w:pPr>
        <w:spacing w:line="360" w:lineRule="auto"/>
        <w:jc w:val="center"/>
        <w:rPr>
          <w:rFonts w:ascii="Arial" w:hAnsi="Arial" w:cs="Arial"/>
          <w:b/>
          <w:bCs/>
          <w:lang w:val="en-US"/>
        </w:rPr>
      </w:pPr>
    </w:p>
    <w:p w14:paraId="79B84A46" w14:textId="77777777" w:rsidR="00D57E8F" w:rsidRPr="002D760F" w:rsidRDefault="00D57E8F" w:rsidP="00182E87">
      <w:pPr>
        <w:spacing w:line="360" w:lineRule="auto"/>
        <w:jc w:val="center"/>
        <w:rPr>
          <w:rFonts w:ascii="Arial" w:hAnsi="Arial" w:cs="Arial"/>
          <w:b/>
          <w:bCs/>
          <w:lang w:val="en-US"/>
        </w:rPr>
      </w:pPr>
      <w:bookmarkStart w:id="1" w:name="_GoBack"/>
      <w:bookmarkEnd w:id="1"/>
    </w:p>
    <w:p w14:paraId="3B9FF800" w14:textId="54297F69" w:rsidR="00C56A49" w:rsidRPr="002D760F" w:rsidRDefault="00DA220D" w:rsidP="00820E48">
      <w:pPr>
        <w:spacing w:line="360" w:lineRule="auto"/>
        <w:rPr>
          <w:rFonts w:ascii="Arial" w:hAnsi="Arial" w:cs="Arial"/>
          <w:b/>
          <w:bCs/>
          <w:lang w:val="en-US"/>
        </w:rPr>
      </w:pPr>
      <w:r w:rsidRPr="002D760F">
        <w:rPr>
          <w:rFonts w:ascii="Arial" w:hAnsi="Arial" w:cs="Arial"/>
          <w:b/>
          <w:bCs/>
          <w:lang w:val="en-US"/>
        </w:rPr>
        <w:t>ABSTRACT</w:t>
      </w:r>
    </w:p>
    <w:p w14:paraId="5E4B3A93" w14:textId="6F8D6C33" w:rsidR="008D05C7" w:rsidRPr="00820E48" w:rsidRDefault="00B25854" w:rsidP="00820E48">
      <w:pPr>
        <w:spacing w:line="240" w:lineRule="auto"/>
        <w:rPr>
          <w:rFonts w:ascii="Arial" w:hAnsi="Arial" w:cs="Arial"/>
        </w:rPr>
      </w:pPr>
      <w:bookmarkStart w:id="2" w:name="_Hlk190695956"/>
      <w:r w:rsidRPr="00820E48">
        <w:rPr>
          <w:rFonts w:ascii="Arial" w:hAnsi="Arial" w:cs="Arial"/>
        </w:rPr>
        <w:t>An efficient and effective rural credit delivery system is imperative for providing timely, adequate, and equitable access to credit for raising agricultural productivity and income. Equitable access to institutional credit is important in this context of relative scarcity of credit and the high cost of informal credit.</w:t>
      </w:r>
      <w:r w:rsidR="0033477C" w:rsidRPr="00820E48">
        <w:rPr>
          <w:rFonts w:ascii="Arial" w:hAnsi="Arial" w:cs="Arial"/>
        </w:rPr>
        <w:t xml:space="preserve"> </w:t>
      </w:r>
      <w:r w:rsidR="008D05C7" w:rsidRPr="00820E48">
        <w:rPr>
          <w:rFonts w:ascii="Arial" w:hAnsi="Arial" w:cs="Arial"/>
        </w:rPr>
        <w:t>The research specifically investigates the evolving landscape of agricultural credit in India by conducting a comparative analysis between two National Sample Survey Office (NSSO) rounds - the 70th round (2012-13) and the 77th round (2018-19). Through this temporal comparison, the study explores both the structural changes in credit accessibility and the persistent socio-economic disparities in institutional credit access. Employing multivariate logistic regression analysis, the research identifies various determinants influencing credit accessibility and quantifies existing inequalities.</w:t>
      </w:r>
      <w:r w:rsidR="00DA220D" w:rsidRPr="00820E48">
        <w:rPr>
          <w:rFonts w:ascii="Arial" w:hAnsi="Arial" w:cs="Arial"/>
        </w:rPr>
        <w:t xml:space="preserve"> </w:t>
      </w:r>
      <w:r w:rsidR="008D05C7" w:rsidRPr="00820E48">
        <w:rPr>
          <w:rFonts w:ascii="Arial" w:hAnsi="Arial" w:cs="Arial"/>
        </w:rPr>
        <w:t>The findings reveal a significant correlation between socio-economic status and institutional credit access, with deprived populations facing considerable barriers in accessing formal credit channels. Consequently, these marginalized groups continue to rely heavily on informal credit sources to meet their financial requirements. The analysis highlights multiple socio-economic and demographic variables that substantially impact credit accessibility patterns across India. The study's findings underscore the urgent need for more precisely targeted and inclusive policy interventions. The research suggests that existing credit delivery mechanisms require substantial refinement to effectively reach and serve populations at the grassroots level. This comprehensive analysis contributes to the broader discourse on financial inclusion and agricultural development by providing empirical evidence of persistent inequalities in credit access, while simultaneously highlighting the necessity for policy reforms to address these systemic disparities in India's rural credit landscape.</w:t>
      </w:r>
    </w:p>
    <w:bookmarkEnd w:id="2"/>
    <w:p w14:paraId="0E6E3D63" w14:textId="792A291C" w:rsidR="00F24963" w:rsidRPr="00820E48" w:rsidRDefault="00F24963" w:rsidP="00454DDE">
      <w:pPr>
        <w:spacing w:line="360" w:lineRule="auto"/>
        <w:jc w:val="both"/>
        <w:rPr>
          <w:rFonts w:ascii="Arial" w:hAnsi="Arial" w:cs="Arial"/>
          <w:i/>
          <w:iCs/>
          <w:sz w:val="24"/>
          <w:szCs w:val="24"/>
          <w:lang w:val="en-US"/>
        </w:rPr>
      </w:pPr>
      <w:r w:rsidRPr="00820E48">
        <w:rPr>
          <w:rFonts w:ascii="Arial" w:hAnsi="Arial" w:cs="Arial"/>
          <w:b/>
          <w:bCs/>
          <w:i/>
          <w:iCs/>
          <w:sz w:val="20"/>
          <w:szCs w:val="20"/>
          <w:lang w:val="en-US"/>
        </w:rPr>
        <w:t>Keywords</w:t>
      </w:r>
      <w:r w:rsidRPr="00820E48">
        <w:rPr>
          <w:rFonts w:ascii="Arial" w:hAnsi="Arial" w:cs="Arial"/>
          <w:i/>
          <w:iCs/>
          <w:sz w:val="20"/>
          <w:szCs w:val="20"/>
          <w:lang w:val="en-US"/>
        </w:rPr>
        <w:t xml:space="preserve">: Agriculture Credit, </w:t>
      </w:r>
      <w:r w:rsidR="00E96D0C" w:rsidRPr="00820E48">
        <w:rPr>
          <w:rFonts w:ascii="Arial" w:hAnsi="Arial" w:cs="Arial"/>
          <w:i/>
          <w:iCs/>
          <w:sz w:val="20"/>
          <w:szCs w:val="20"/>
          <w:lang w:val="en-US"/>
        </w:rPr>
        <w:t xml:space="preserve">Credit </w:t>
      </w:r>
      <w:r w:rsidRPr="00820E48">
        <w:rPr>
          <w:rFonts w:ascii="Arial" w:hAnsi="Arial" w:cs="Arial"/>
          <w:i/>
          <w:iCs/>
          <w:sz w:val="20"/>
          <w:szCs w:val="20"/>
          <w:lang w:val="en-US"/>
        </w:rPr>
        <w:t>Accessibility, Inclusive Growth</w:t>
      </w:r>
    </w:p>
    <w:p w14:paraId="491E9E05" w14:textId="3A85E6C0" w:rsidR="00C56A49" w:rsidRPr="002D760F" w:rsidRDefault="00DA220D" w:rsidP="00DA220D">
      <w:pPr>
        <w:spacing w:line="360" w:lineRule="auto"/>
        <w:rPr>
          <w:rFonts w:ascii="Arial" w:hAnsi="Arial" w:cs="Arial"/>
          <w:b/>
          <w:bCs/>
          <w:lang w:val="en-US"/>
        </w:rPr>
      </w:pPr>
      <w:r w:rsidRPr="002D760F">
        <w:rPr>
          <w:rFonts w:ascii="Arial" w:hAnsi="Arial" w:cs="Arial"/>
          <w:b/>
          <w:bCs/>
          <w:lang w:val="en-US"/>
        </w:rPr>
        <w:t xml:space="preserve">INTRODUCTION </w:t>
      </w:r>
    </w:p>
    <w:p w14:paraId="0FC8D8F9" w14:textId="049EFC39" w:rsidR="00077889" w:rsidRPr="00820E48" w:rsidRDefault="001B59B5" w:rsidP="00820E48">
      <w:pPr>
        <w:spacing w:line="360" w:lineRule="auto"/>
        <w:jc w:val="both"/>
        <w:rPr>
          <w:rFonts w:ascii="Arial" w:hAnsi="Arial" w:cs="Arial"/>
          <w:sz w:val="20"/>
          <w:szCs w:val="20"/>
          <w:lang w:val="en-US"/>
        </w:rPr>
      </w:pPr>
      <w:r w:rsidRPr="00820E48">
        <w:rPr>
          <w:rFonts w:ascii="Arial" w:hAnsi="Arial" w:cs="Arial"/>
          <w:sz w:val="20"/>
          <w:szCs w:val="20"/>
          <w:lang w:val="en-US"/>
        </w:rPr>
        <w:t>The post-independence era in India marked a pivotal shift in agricultural credit policy, with the government prioritizing institutional credit accessibility for farmers through formal banking systems and cooperative societies, moving away from traditional non-institutional lending sources</w:t>
      </w:r>
      <w:sdt>
        <w:sdtPr>
          <w:rPr>
            <w:rFonts w:ascii="Arial" w:hAnsi="Arial" w:cs="Arial"/>
            <w:sz w:val="20"/>
            <w:szCs w:val="20"/>
            <w:lang w:val="en-US"/>
          </w:rPr>
          <w:id w:val="1188947466"/>
          <w:citation/>
        </w:sdtPr>
        <w:sdtEndPr/>
        <w:sdtContent>
          <w:r w:rsidR="002F1423" w:rsidRPr="00820E48">
            <w:rPr>
              <w:rFonts w:ascii="Arial" w:hAnsi="Arial" w:cs="Arial"/>
              <w:sz w:val="20"/>
              <w:szCs w:val="20"/>
              <w:lang w:val="en-US"/>
            </w:rPr>
            <w:fldChar w:fldCharType="begin"/>
          </w:r>
          <w:r w:rsidR="002F1423" w:rsidRPr="00820E48">
            <w:rPr>
              <w:rFonts w:ascii="Arial" w:hAnsi="Arial" w:cs="Arial"/>
              <w:sz w:val="20"/>
              <w:szCs w:val="20"/>
              <w:lang w:val="en-US"/>
            </w:rPr>
            <w:instrText xml:space="preserve">CITATION GUL19 \t  \l 1033 </w:instrText>
          </w:r>
          <w:r w:rsidR="002F1423" w:rsidRPr="00820E48">
            <w:rPr>
              <w:rFonts w:ascii="Arial" w:hAnsi="Arial" w:cs="Arial"/>
              <w:sz w:val="20"/>
              <w:szCs w:val="20"/>
              <w:lang w:val="en-US"/>
            </w:rPr>
            <w:fldChar w:fldCharType="separate"/>
          </w:r>
          <w:r w:rsidR="002F1423" w:rsidRPr="00820E48">
            <w:rPr>
              <w:rFonts w:ascii="Arial" w:hAnsi="Arial" w:cs="Arial"/>
              <w:noProof/>
              <w:sz w:val="20"/>
              <w:szCs w:val="20"/>
              <w:lang w:val="en-US"/>
            </w:rPr>
            <w:t xml:space="preserve"> (GULATI &amp; JUNEJA, 2019)</w:t>
          </w:r>
          <w:r w:rsidR="002F1423" w:rsidRPr="00820E48">
            <w:rPr>
              <w:rFonts w:ascii="Arial" w:hAnsi="Arial" w:cs="Arial"/>
              <w:sz w:val="20"/>
              <w:szCs w:val="20"/>
              <w:lang w:val="en-US"/>
            </w:rPr>
            <w:fldChar w:fldCharType="end"/>
          </w:r>
        </w:sdtContent>
      </w:sdt>
      <w:r w:rsidRPr="00820E48">
        <w:rPr>
          <w:rFonts w:ascii="Arial" w:hAnsi="Arial" w:cs="Arial"/>
          <w:sz w:val="20"/>
          <w:szCs w:val="20"/>
          <w:lang w:val="en-US"/>
        </w:rPr>
        <w:t>. This strategic reorientation manifested through several significant policy interventions, including the establishment of cooperative societies, the formation of Regional Rural Banks, and the landmark nationalization of banks, all aimed at enhancing credit accessibility and fostering institutional dependency for agricultural credit requirements</w:t>
      </w:r>
      <w:r w:rsidR="004B0D7A" w:rsidRPr="00820E48">
        <w:rPr>
          <w:rFonts w:ascii="Arial" w:hAnsi="Arial" w:cs="Arial"/>
          <w:sz w:val="20"/>
          <w:szCs w:val="20"/>
          <w:lang w:val="en-US"/>
        </w:rPr>
        <w:t xml:space="preserve"> </w:t>
      </w:r>
      <w:sdt>
        <w:sdtPr>
          <w:rPr>
            <w:rFonts w:ascii="Arial" w:hAnsi="Arial" w:cs="Arial"/>
            <w:sz w:val="20"/>
            <w:szCs w:val="20"/>
            <w:lang w:val="en-US"/>
          </w:rPr>
          <w:id w:val="65533930"/>
          <w:citation/>
        </w:sdtPr>
        <w:sdtEndPr/>
        <w:sdtContent>
          <w:r w:rsidR="004B0D7A" w:rsidRPr="00820E48">
            <w:rPr>
              <w:rFonts w:ascii="Arial" w:hAnsi="Arial" w:cs="Arial"/>
              <w:sz w:val="20"/>
              <w:szCs w:val="20"/>
              <w:lang w:val="en-US"/>
            </w:rPr>
            <w:fldChar w:fldCharType="begin"/>
          </w:r>
          <w:r w:rsidR="004B0D7A" w:rsidRPr="00820E48">
            <w:rPr>
              <w:rFonts w:ascii="Arial" w:hAnsi="Arial" w:cs="Arial"/>
              <w:sz w:val="20"/>
              <w:szCs w:val="20"/>
              <w:lang w:val="en-US"/>
            </w:rPr>
            <w:instrText xml:space="preserve">CITATION Han \l 1033 </w:instrText>
          </w:r>
          <w:r w:rsidR="004B0D7A" w:rsidRPr="00820E48">
            <w:rPr>
              <w:rFonts w:ascii="Arial" w:hAnsi="Arial" w:cs="Arial"/>
              <w:sz w:val="20"/>
              <w:szCs w:val="20"/>
              <w:lang w:val="en-US"/>
            </w:rPr>
            <w:fldChar w:fldCharType="separate"/>
          </w:r>
          <w:r w:rsidR="004B0D7A" w:rsidRPr="00820E48">
            <w:rPr>
              <w:rFonts w:ascii="Arial" w:hAnsi="Arial" w:cs="Arial"/>
              <w:noProof/>
              <w:sz w:val="20"/>
              <w:szCs w:val="20"/>
              <w:lang w:val="en-US"/>
            </w:rPr>
            <w:t>(H., 2024)</w:t>
          </w:r>
          <w:r w:rsidR="004B0D7A" w:rsidRPr="00820E48">
            <w:rPr>
              <w:rFonts w:ascii="Arial" w:hAnsi="Arial" w:cs="Arial"/>
              <w:sz w:val="20"/>
              <w:szCs w:val="20"/>
              <w:lang w:val="en-US"/>
            </w:rPr>
            <w:fldChar w:fldCharType="end"/>
          </w:r>
        </w:sdtContent>
      </w:sdt>
      <w:r w:rsidR="004B0D7A" w:rsidRPr="00820E48">
        <w:rPr>
          <w:rFonts w:ascii="Arial" w:hAnsi="Arial" w:cs="Arial"/>
          <w:sz w:val="20"/>
          <w:szCs w:val="20"/>
          <w:lang w:val="en-US"/>
        </w:rPr>
        <w:t>.</w:t>
      </w:r>
      <w:r w:rsidR="00077889" w:rsidRPr="00820E48">
        <w:rPr>
          <w:rFonts w:ascii="Arial" w:hAnsi="Arial" w:cs="Arial"/>
          <w:sz w:val="20"/>
          <w:szCs w:val="20"/>
          <w:lang w:val="en-US"/>
        </w:rPr>
        <w:t xml:space="preserve"> </w:t>
      </w:r>
      <w:r w:rsidRPr="00820E48">
        <w:rPr>
          <w:rFonts w:ascii="Arial" w:hAnsi="Arial" w:cs="Arial"/>
          <w:sz w:val="20"/>
          <w:szCs w:val="20"/>
          <w:lang w:val="en-US"/>
        </w:rPr>
        <w:t>The fundamental role of formal credit access in agricultural operations cannot be overstated, particularly in the context of essential agricultural inputs such as seeds, fertilizers, plant protection products, and animal feed. The Food and Agriculture Organization</w:t>
      </w:r>
      <w:sdt>
        <w:sdtPr>
          <w:rPr>
            <w:rFonts w:ascii="Arial" w:hAnsi="Arial" w:cs="Arial"/>
            <w:sz w:val="20"/>
            <w:szCs w:val="20"/>
            <w:lang w:val="en-US"/>
          </w:rPr>
          <w:id w:val="267119152"/>
          <w:citation/>
        </w:sdtPr>
        <w:sdtEndPr/>
        <w:sdtContent>
          <w:r w:rsidR="00811B4E" w:rsidRPr="00820E48">
            <w:rPr>
              <w:rFonts w:ascii="Arial" w:hAnsi="Arial" w:cs="Arial"/>
              <w:sz w:val="20"/>
              <w:szCs w:val="20"/>
              <w:lang w:val="en-US"/>
            </w:rPr>
            <w:fldChar w:fldCharType="begin"/>
          </w:r>
          <w:r w:rsidR="00811B4E" w:rsidRPr="00820E48">
            <w:rPr>
              <w:rFonts w:ascii="Arial" w:hAnsi="Arial" w:cs="Arial"/>
              <w:sz w:val="20"/>
              <w:szCs w:val="20"/>
              <w:lang w:val="en-US"/>
            </w:rPr>
            <w:instrText xml:space="preserve">CITATION Cre \y  \l 1033 </w:instrText>
          </w:r>
          <w:r w:rsidR="00811B4E" w:rsidRPr="00820E48">
            <w:rPr>
              <w:rFonts w:ascii="Arial" w:hAnsi="Arial" w:cs="Arial"/>
              <w:sz w:val="20"/>
              <w:szCs w:val="20"/>
              <w:lang w:val="en-US"/>
            </w:rPr>
            <w:fldChar w:fldCharType="separate"/>
          </w:r>
          <w:r w:rsidR="00811B4E" w:rsidRPr="00820E48">
            <w:rPr>
              <w:rFonts w:ascii="Arial" w:hAnsi="Arial" w:cs="Arial"/>
              <w:noProof/>
              <w:sz w:val="20"/>
              <w:szCs w:val="20"/>
              <w:lang w:val="en-US"/>
            </w:rPr>
            <w:t xml:space="preserve"> (Credit to agriculture Global and regional trends 2012–2021 )</w:t>
          </w:r>
          <w:r w:rsidR="00811B4E" w:rsidRPr="00820E48">
            <w:rPr>
              <w:rFonts w:ascii="Arial" w:hAnsi="Arial" w:cs="Arial"/>
              <w:sz w:val="20"/>
              <w:szCs w:val="20"/>
              <w:lang w:val="en-US"/>
            </w:rPr>
            <w:fldChar w:fldCharType="end"/>
          </w:r>
        </w:sdtContent>
      </w:sdt>
      <w:r w:rsidR="00811B4E" w:rsidRPr="00820E48">
        <w:rPr>
          <w:rFonts w:ascii="Arial" w:hAnsi="Arial" w:cs="Arial"/>
          <w:sz w:val="20"/>
          <w:szCs w:val="20"/>
          <w:lang w:val="en-US"/>
        </w:rPr>
        <w:t xml:space="preserve"> </w:t>
      </w:r>
      <w:r w:rsidRPr="00820E48">
        <w:rPr>
          <w:rFonts w:ascii="Arial" w:hAnsi="Arial" w:cs="Arial"/>
          <w:sz w:val="20"/>
          <w:szCs w:val="20"/>
          <w:lang w:val="en-US"/>
        </w:rPr>
        <w:t xml:space="preserve">emphasizes that reliance </w:t>
      </w:r>
      <w:r w:rsidRPr="00820E48">
        <w:rPr>
          <w:rFonts w:ascii="Arial" w:hAnsi="Arial" w:cs="Arial"/>
          <w:sz w:val="20"/>
          <w:szCs w:val="20"/>
          <w:lang w:val="en-US"/>
        </w:rPr>
        <w:lastRenderedPageBreak/>
        <w:t>on informal or non-institutional credit sources often subjects farmers to unfavorable lending terms and exorbitant interest rates, potentially rendering agricultural enterprises economically unviable. This vulnerability is particularly acute given the inherent temporal gap between agricultural investment and revenue generation in crop cultivation and livestock rearing.</w:t>
      </w:r>
      <w:r w:rsidR="005C48E6" w:rsidRPr="00820E48">
        <w:rPr>
          <w:rFonts w:ascii="Arial" w:hAnsi="Arial" w:cs="Arial"/>
          <w:sz w:val="20"/>
          <w:szCs w:val="20"/>
          <w:lang w:val="en-US"/>
        </w:rPr>
        <w:t xml:space="preserve"> </w:t>
      </w:r>
    </w:p>
    <w:p w14:paraId="09F1746E" w14:textId="209E7D52" w:rsidR="001B59B5" w:rsidRPr="00820E48" w:rsidRDefault="001B59B5" w:rsidP="00820E48">
      <w:pPr>
        <w:spacing w:line="360" w:lineRule="auto"/>
        <w:jc w:val="both"/>
        <w:rPr>
          <w:rFonts w:ascii="Arial" w:hAnsi="Arial" w:cs="Arial"/>
          <w:sz w:val="20"/>
          <w:szCs w:val="20"/>
          <w:lang w:val="en-US"/>
        </w:rPr>
      </w:pPr>
      <w:r w:rsidRPr="00820E48">
        <w:rPr>
          <w:rFonts w:ascii="Arial" w:hAnsi="Arial" w:cs="Arial"/>
          <w:sz w:val="20"/>
          <w:szCs w:val="20"/>
          <w:lang w:val="en-US"/>
        </w:rPr>
        <w:t xml:space="preserve">Agricultural credit, as defined within the institutional framework, encompasses loans and advances extended by financial institutions to both farmers and rural communities. The National Bank for Agriculture and Rural Development </w:t>
      </w:r>
      <w:sdt>
        <w:sdtPr>
          <w:rPr>
            <w:rFonts w:ascii="Arial" w:hAnsi="Arial" w:cs="Arial"/>
            <w:sz w:val="20"/>
            <w:szCs w:val="20"/>
            <w:lang w:val="en-US"/>
          </w:rPr>
          <w:id w:val="352852003"/>
          <w:citation/>
        </w:sdtPr>
        <w:sdtEndPr/>
        <w:sdtContent>
          <w:r w:rsidR="00427A72" w:rsidRPr="00820E48">
            <w:rPr>
              <w:rFonts w:ascii="Arial" w:hAnsi="Arial" w:cs="Arial"/>
              <w:sz w:val="20"/>
              <w:szCs w:val="20"/>
              <w:lang w:val="en-US"/>
            </w:rPr>
            <w:fldChar w:fldCharType="begin"/>
          </w:r>
          <w:r w:rsidR="00427A72" w:rsidRPr="00820E48">
            <w:rPr>
              <w:rFonts w:ascii="Arial" w:hAnsi="Arial" w:cs="Arial"/>
              <w:sz w:val="20"/>
              <w:szCs w:val="20"/>
              <w:lang w:val="en-US"/>
            </w:rPr>
            <w:instrText xml:space="preserve"> CITATION NAB21 \l 1033 </w:instrText>
          </w:r>
          <w:r w:rsidR="00427A72" w:rsidRPr="00820E48">
            <w:rPr>
              <w:rFonts w:ascii="Arial" w:hAnsi="Arial" w:cs="Arial"/>
              <w:sz w:val="20"/>
              <w:szCs w:val="20"/>
              <w:lang w:val="en-US"/>
            </w:rPr>
            <w:fldChar w:fldCharType="separate"/>
          </w:r>
          <w:r w:rsidR="00427A72" w:rsidRPr="00820E48">
            <w:rPr>
              <w:rFonts w:ascii="Arial" w:hAnsi="Arial" w:cs="Arial"/>
              <w:noProof/>
              <w:sz w:val="20"/>
              <w:szCs w:val="20"/>
              <w:lang w:val="en-US"/>
            </w:rPr>
            <w:t>(NABARD, 2021)</w:t>
          </w:r>
          <w:r w:rsidR="00427A72" w:rsidRPr="00820E48">
            <w:rPr>
              <w:rFonts w:ascii="Arial" w:hAnsi="Arial" w:cs="Arial"/>
              <w:sz w:val="20"/>
              <w:szCs w:val="20"/>
              <w:lang w:val="en-US"/>
            </w:rPr>
            <w:fldChar w:fldCharType="end"/>
          </w:r>
        </w:sdtContent>
      </w:sdt>
      <w:r w:rsidR="00427A72" w:rsidRPr="00820E48">
        <w:rPr>
          <w:rFonts w:ascii="Arial" w:hAnsi="Arial" w:cs="Arial"/>
          <w:sz w:val="20"/>
          <w:szCs w:val="20"/>
          <w:lang w:val="en-US"/>
        </w:rPr>
        <w:t xml:space="preserve"> </w:t>
      </w:r>
      <w:r w:rsidRPr="00820E48">
        <w:rPr>
          <w:rFonts w:ascii="Arial" w:hAnsi="Arial" w:cs="Arial"/>
          <w:sz w:val="20"/>
          <w:szCs w:val="20"/>
          <w:lang w:val="en-US"/>
        </w:rPr>
        <w:t xml:space="preserve">articulates a comprehensive approach to agricultural credit, incorporating both direct lending to farmers and refinancing options for rural banking institutions. This multifaceted strategy extends beyond conventional farming to support diverse agricultural activities, including organic farming initiatives and </w:t>
      </w:r>
      <w:proofErr w:type="spellStart"/>
      <w:r w:rsidRPr="00820E48">
        <w:rPr>
          <w:rFonts w:ascii="Arial" w:hAnsi="Arial" w:cs="Arial"/>
          <w:sz w:val="20"/>
          <w:szCs w:val="20"/>
          <w:lang w:val="en-US"/>
        </w:rPr>
        <w:t>agro</w:t>
      </w:r>
      <w:proofErr w:type="spellEnd"/>
      <w:r w:rsidRPr="00820E48">
        <w:rPr>
          <w:rFonts w:ascii="Arial" w:hAnsi="Arial" w:cs="Arial"/>
          <w:sz w:val="20"/>
          <w:szCs w:val="20"/>
          <w:lang w:val="en-US"/>
        </w:rPr>
        <w:t>-processing ventures, thereby promoting integrated rural development. The institutional credit structure thus serves not merely as a financial instrument but as a catalyst for comprehensive agricultural and rural transformation, addressing both immediate operational requirements and long-term developmental objectives</w:t>
      </w:r>
      <w:r w:rsidR="00077889" w:rsidRPr="00820E48">
        <w:rPr>
          <w:rFonts w:ascii="Arial" w:hAnsi="Arial" w:cs="Arial"/>
          <w:sz w:val="20"/>
          <w:szCs w:val="20"/>
          <w:lang w:val="en-US"/>
        </w:rPr>
        <w:t xml:space="preserve"> </w:t>
      </w:r>
      <w:sdt>
        <w:sdtPr>
          <w:rPr>
            <w:rFonts w:ascii="Arial" w:hAnsi="Arial" w:cs="Arial"/>
            <w:sz w:val="20"/>
            <w:szCs w:val="20"/>
            <w:lang w:val="en-US"/>
          </w:rPr>
          <w:id w:val="1817994093"/>
          <w:citation/>
        </w:sdtPr>
        <w:sdtEndPr/>
        <w:sdtContent>
          <w:r w:rsidR="00F6153C" w:rsidRPr="00820E48">
            <w:rPr>
              <w:rFonts w:ascii="Arial" w:hAnsi="Arial" w:cs="Arial"/>
              <w:sz w:val="20"/>
              <w:szCs w:val="20"/>
              <w:lang w:val="en-US"/>
            </w:rPr>
            <w:fldChar w:fldCharType="begin"/>
          </w:r>
          <w:r w:rsidR="00F6153C" w:rsidRPr="00820E48">
            <w:rPr>
              <w:rFonts w:ascii="Arial" w:hAnsi="Arial" w:cs="Arial"/>
              <w:sz w:val="20"/>
              <w:szCs w:val="20"/>
              <w:lang w:val="en-US"/>
            </w:rPr>
            <w:instrText xml:space="preserve"> CITATION PSH19 \l 1033 </w:instrText>
          </w:r>
          <w:r w:rsidR="00F6153C" w:rsidRPr="00820E48">
            <w:rPr>
              <w:rFonts w:ascii="Arial" w:hAnsi="Arial" w:cs="Arial"/>
              <w:sz w:val="20"/>
              <w:szCs w:val="20"/>
              <w:lang w:val="en-US"/>
            </w:rPr>
            <w:fldChar w:fldCharType="separate"/>
          </w:r>
          <w:r w:rsidR="00F6153C" w:rsidRPr="00820E48">
            <w:rPr>
              <w:rFonts w:ascii="Arial" w:hAnsi="Arial" w:cs="Arial"/>
              <w:noProof/>
              <w:sz w:val="20"/>
              <w:szCs w:val="20"/>
              <w:lang w:val="en-US"/>
            </w:rPr>
            <w:t>(P, et al., 2019)</w:t>
          </w:r>
          <w:r w:rsidR="00F6153C" w:rsidRPr="00820E48">
            <w:rPr>
              <w:rFonts w:ascii="Arial" w:hAnsi="Arial" w:cs="Arial"/>
              <w:sz w:val="20"/>
              <w:szCs w:val="20"/>
              <w:lang w:val="en-US"/>
            </w:rPr>
            <w:fldChar w:fldCharType="end"/>
          </w:r>
        </w:sdtContent>
      </w:sdt>
    </w:p>
    <w:p w14:paraId="42B2759E" w14:textId="381CA553" w:rsidR="001B59B5" w:rsidRPr="00820E48" w:rsidRDefault="001B59B5" w:rsidP="00820E48">
      <w:pPr>
        <w:spacing w:line="360" w:lineRule="auto"/>
        <w:jc w:val="both"/>
        <w:rPr>
          <w:rFonts w:ascii="Arial" w:hAnsi="Arial" w:cs="Arial"/>
          <w:sz w:val="20"/>
          <w:szCs w:val="20"/>
        </w:rPr>
      </w:pPr>
      <w:r w:rsidRPr="00820E48">
        <w:rPr>
          <w:rFonts w:ascii="Arial" w:hAnsi="Arial" w:cs="Arial"/>
          <w:sz w:val="20"/>
          <w:szCs w:val="20"/>
        </w:rPr>
        <w:t xml:space="preserve">The evolution of agricultural finance in India's predominantly smallholder farming sector has garnered significant scholarly attention, with researchers examining its transformative patterns, effectiveness, and inherent challenges. Seminal studies by </w:t>
      </w:r>
      <w:proofErr w:type="spellStart"/>
      <w:r w:rsidRPr="00820E48">
        <w:rPr>
          <w:rFonts w:ascii="Arial" w:hAnsi="Arial" w:cs="Arial"/>
          <w:sz w:val="20"/>
          <w:szCs w:val="20"/>
        </w:rPr>
        <w:t>Jatav</w:t>
      </w:r>
      <w:proofErr w:type="spellEnd"/>
      <w:r w:rsidRPr="00820E48">
        <w:rPr>
          <w:rFonts w:ascii="Arial" w:hAnsi="Arial" w:cs="Arial"/>
          <w:sz w:val="20"/>
          <w:szCs w:val="20"/>
        </w:rPr>
        <w:t xml:space="preserve"> and Nayak (2022) and Kumar et al. (2017) have illuminated the determinants of formal agricultural lending in rural areas, revealing persistent indebtedness among farmers, with approximately 45% still relying on informal credit sources. Their research notably establishes a positive correlation between educational attainment, financial system access, and formal credit utilization. Building on this foundation, Kumar and </w:t>
      </w:r>
      <w:proofErr w:type="spellStart"/>
      <w:r w:rsidRPr="00820E48">
        <w:rPr>
          <w:rFonts w:ascii="Arial" w:hAnsi="Arial" w:cs="Arial"/>
          <w:sz w:val="20"/>
          <w:szCs w:val="20"/>
        </w:rPr>
        <w:t>Afroz</w:t>
      </w:r>
      <w:proofErr w:type="spellEnd"/>
      <w:r w:rsidRPr="00820E48">
        <w:rPr>
          <w:rFonts w:ascii="Arial" w:hAnsi="Arial" w:cs="Arial"/>
          <w:sz w:val="20"/>
          <w:szCs w:val="20"/>
        </w:rPr>
        <w:t xml:space="preserve"> (2022) document a 5.5-fold increase in institutional credit allocation to the agricultural sector, while simultaneously highlighting significant regional disparities, particularly the disproportionate credit flow favo</w:t>
      </w:r>
      <w:r w:rsidR="003B1D1D" w:rsidRPr="00820E48">
        <w:rPr>
          <w:rFonts w:ascii="Arial" w:hAnsi="Arial" w:cs="Arial"/>
          <w:sz w:val="20"/>
          <w:szCs w:val="20"/>
        </w:rPr>
        <w:t>u</w:t>
      </w:r>
      <w:r w:rsidRPr="00820E48">
        <w:rPr>
          <w:rFonts w:ascii="Arial" w:hAnsi="Arial" w:cs="Arial"/>
          <w:sz w:val="20"/>
          <w:szCs w:val="20"/>
        </w:rPr>
        <w:t xml:space="preserve">ring the southern region over the </w:t>
      </w:r>
      <w:proofErr w:type="spellStart"/>
      <w:r w:rsidRPr="00820E48">
        <w:rPr>
          <w:rFonts w:ascii="Arial" w:hAnsi="Arial" w:cs="Arial"/>
          <w:sz w:val="20"/>
          <w:szCs w:val="20"/>
        </w:rPr>
        <w:t>northeastern</w:t>
      </w:r>
      <w:proofErr w:type="spellEnd"/>
      <w:r w:rsidRPr="00820E48">
        <w:rPr>
          <w:rFonts w:ascii="Arial" w:hAnsi="Arial" w:cs="Arial"/>
          <w:sz w:val="20"/>
          <w:szCs w:val="20"/>
        </w:rPr>
        <w:t xml:space="preserve"> states. The historical trajectory of credit sources, as analy</w:t>
      </w:r>
      <w:r w:rsidR="003B1D1D" w:rsidRPr="00820E48">
        <w:rPr>
          <w:rFonts w:ascii="Arial" w:hAnsi="Arial" w:cs="Arial"/>
          <w:sz w:val="20"/>
          <w:szCs w:val="20"/>
        </w:rPr>
        <w:t>s</w:t>
      </w:r>
      <w:r w:rsidRPr="00820E48">
        <w:rPr>
          <w:rFonts w:ascii="Arial" w:hAnsi="Arial" w:cs="Arial"/>
          <w:sz w:val="20"/>
          <w:szCs w:val="20"/>
        </w:rPr>
        <w:t xml:space="preserve">ed by Kumar (2007), demonstrates a gradual decline in non-institutional credit's prevalence from 1951-1952 to 2002-2003. However, this transition has not been </w:t>
      </w:r>
      <w:proofErr w:type="gramStart"/>
      <w:r w:rsidRPr="00820E48">
        <w:rPr>
          <w:rFonts w:ascii="Arial" w:hAnsi="Arial" w:cs="Arial"/>
          <w:sz w:val="20"/>
          <w:szCs w:val="20"/>
        </w:rPr>
        <w:t>uniform</w:t>
      </w:r>
      <w:proofErr w:type="gramEnd"/>
      <w:r w:rsidRPr="00820E48">
        <w:rPr>
          <w:rFonts w:ascii="Arial" w:hAnsi="Arial" w:cs="Arial"/>
          <w:sz w:val="20"/>
          <w:szCs w:val="20"/>
        </w:rPr>
        <w:t xml:space="preserve"> across socio-economic strata. Research indicates systematic bias in institutional credit access, favo</w:t>
      </w:r>
      <w:r w:rsidR="003B1D1D" w:rsidRPr="00820E48">
        <w:rPr>
          <w:rFonts w:ascii="Arial" w:hAnsi="Arial" w:cs="Arial"/>
          <w:sz w:val="20"/>
          <w:szCs w:val="20"/>
        </w:rPr>
        <w:t>u</w:t>
      </w:r>
      <w:r w:rsidRPr="00820E48">
        <w:rPr>
          <w:rFonts w:ascii="Arial" w:hAnsi="Arial" w:cs="Arial"/>
          <w:sz w:val="20"/>
          <w:szCs w:val="20"/>
        </w:rPr>
        <w:t>ring affluent households and regions while disadvantaging economically challenged states like Bihar. Despite policy initiatives to enhance institutional credit availability, small and marginal farmers continue to be ensnared in exploitative non-institutional lending practices. The interrelationship between agricultural distress and farmer indebtedness in rural India has been extensively documented, with small and marginal farmers bearing the brunt of this crisis. Sajjad and Chauhan (2012) and Mishra (2006) establish a critical connection between escalating debt levels and farmer suicides, particularly in regions such as Andhra Pradesh, Punjab, and Haryana. Kumar's (2021) focused analysis of agricultural credit flow in Uttar Pradesh reveals pronounced regional disparities, with economically advantaged areas receiving preferential credit allocation while regions like Bundelkhand and Eastern Uttar Pradesh remain underserved.</w:t>
      </w:r>
    </w:p>
    <w:p w14:paraId="4BDF5B15" w14:textId="20EE8A6B" w:rsidR="001B59B5" w:rsidRPr="00820E48" w:rsidRDefault="001B59B5" w:rsidP="00820E48">
      <w:pPr>
        <w:spacing w:line="360" w:lineRule="auto"/>
        <w:jc w:val="both"/>
        <w:rPr>
          <w:rFonts w:ascii="Arial" w:hAnsi="Arial" w:cs="Arial"/>
          <w:sz w:val="20"/>
          <w:szCs w:val="20"/>
        </w:rPr>
      </w:pPr>
      <w:r w:rsidRPr="00820E48">
        <w:rPr>
          <w:rFonts w:ascii="Arial" w:hAnsi="Arial" w:cs="Arial"/>
          <w:sz w:val="20"/>
          <w:szCs w:val="20"/>
        </w:rPr>
        <w:t xml:space="preserve">Karthick and </w:t>
      </w:r>
      <w:proofErr w:type="spellStart"/>
      <w:r w:rsidRPr="00820E48">
        <w:rPr>
          <w:rFonts w:ascii="Arial" w:hAnsi="Arial" w:cs="Arial"/>
          <w:sz w:val="20"/>
          <w:szCs w:val="20"/>
        </w:rPr>
        <w:t>Madheswaran</w:t>
      </w:r>
      <w:proofErr w:type="spellEnd"/>
      <w:r w:rsidRPr="00820E48">
        <w:rPr>
          <w:rFonts w:ascii="Arial" w:hAnsi="Arial" w:cs="Arial"/>
          <w:sz w:val="20"/>
          <w:szCs w:val="20"/>
        </w:rPr>
        <w:t xml:space="preserve"> (2020) provide crucial insights into the socio-economic dimensions of agricultural credit accessibility, highlighting significant disparities between various social groups. Their research underscores the systematic discrimination faced by Scheduled Castes and Scheduled Tribes </w:t>
      </w:r>
      <w:r w:rsidRPr="00820E48">
        <w:rPr>
          <w:rFonts w:ascii="Arial" w:hAnsi="Arial" w:cs="Arial"/>
          <w:sz w:val="20"/>
          <w:szCs w:val="20"/>
        </w:rPr>
        <w:lastRenderedPageBreak/>
        <w:t xml:space="preserve">compared to Forward Castes, while examining the influence of multiple variables including asset valuation, landholding size, and educational attainment on credit accessibility. This comprehensive body of literature collectively emphasizes the persistent structural inequalities in India's agricultural credit landscape and the urgent need for more inclusive and equitable credit distribution mechanisms. These interconnected studies collectively form a robust analytical framework for understanding the complexities and challenges within India's agricultural credit system, while simultaneously highlighting areas requiring policy intervention and structural reforms. </w:t>
      </w:r>
    </w:p>
    <w:p w14:paraId="561AD6AF" w14:textId="7A40DC52" w:rsidR="00B760BC" w:rsidRPr="002D760F" w:rsidRDefault="00B760BC" w:rsidP="00820E48">
      <w:pPr>
        <w:spacing w:line="360" w:lineRule="auto"/>
        <w:jc w:val="both"/>
        <w:rPr>
          <w:rFonts w:ascii="Arial" w:hAnsi="Arial" w:cs="Arial"/>
          <w:sz w:val="20"/>
          <w:szCs w:val="20"/>
        </w:rPr>
      </w:pPr>
      <w:r w:rsidRPr="00820E48">
        <w:rPr>
          <w:rFonts w:ascii="Arial" w:hAnsi="Arial" w:cs="Arial"/>
          <w:sz w:val="20"/>
          <w:szCs w:val="20"/>
        </w:rPr>
        <w:t>Through an examination of the extent of agricultural credit accessibility in India and the ways in which its pattern has evolved between two NSSO rounds, this study adds to the body of current material. This study also sought to identify the ways in which different socioeconomic factors influence agricultural credit accessibility in rural India.</w:t>
      </w:r>
    </w:p>
    <w:p w14:paraId="7932945C" w14:textId="24E5D28A" w:rsidR="00D40561" w:rsidRPr="002D760F" w:rsidRDefault="006B7070" w:rsidP="006B7070">
      <w:pPr>
        <w:spacing w:line="360" w:lineRule="auto"/>
        <w:rPr>
          <w:rFonts w:ascii="Arial" w:hAnsi="Arial" w:cs="Arial"/>
          <w:b/>
          <w:bCs/>
          <w:lang w:val="en-US"/>
        </w:rPr>
      </w:pPr>
      <w:r w:rsidRPr="002D760F">
        <w:rPr>
          <w:rFonts w:ascii="Arial" w:hAnsi="Arial" w:cs="Arial"/>
          <w:b/>
          <w:bCs/>
          <w:lang w:val="en-US"/>
        </w:rPr>
        <w:t>MATERIAL AND METHODS</w:t>
      </w:r>
    </w:p>
    <w:p w14:paraId="2D8C32A2" w14:textId="7EDE9F38" w:rsidR="00E96D0C" w:rsidRPr="002D760F" w:rsidRDefault="00E96D0C" w:rsidP="00E96D0C">
      <w:pPr>
        <w:spacing w:line="360" w:lineRule="auto"/>
        <w:jc w:val="both"/>
        <w:rPr>
          <w:rFonts w:ascii="Arial" w:hAnsi="Arial" w:cs="Arial"/>
          <w:sz w:val="20"/>
          <w:szCs w:val="20"/>
          <w:lang w:val="en-US"/>
        </w:rPr>
      </w:pPr>
      <w:r w:rsidRPr="002D760F">
        <w:rPr>
          <w:rFonts w:ascii="Arial" w:hAnsi="Arial" w:cs="Arial"/>
          <w:sz w:val="20"/>
          <w:szCs w:val="20"/>
          <w:lang w:val="en-US"/>
        </w:rPr>
        <w:t xml:space="preserve">The analysis of agricultural credit utilizes cross-sectional data from the 70th and 77th rounds of the National Sample Survey (NSSO) on Key Indicators of Debt and Investment in India. These surveys, conducted using stratified multistage sampling methodology, </w:t>
      </w:r>
      <w:proofErr w:type="gramStart"/>
      <w:r w:rsidRPr="002D760F">
        <w:rPr>
          <w:rFonts w:ascii="Arial" w:hAnsi="Arial" w:cs="Arial"/>
          <w:sz w:val="20"/>
          <w:szCs w:val="20"/>
          <w:lang w:val="en-US"/>
        </w:rPr>
        <w:t>Both</w:t>
      </w:r>
      <w:proofErr w:type="gramEnd"/>
      <w:r w:rsidRPr="002D760F">
        <w:rPr>
          <w:rFonts w:ascii="Arial" w:hAnsi="Arial" w:cs="Arial"/>
          <w:sz w:val="20"/>
          <w:szCs w:val="20"/>
          <w:lang w:val="en-US"/>
        </w:rPr>
        <w:t xml:space="preserve"> surveys provided comprehensive information on various dimensions of debt and investment patterns, with particular emphasis on agricultural credit. This study aims to develop a thorough understanding of access to agricultural credit and its associated socio-economic dynamics across both NSSO rounds.</w:t>
      </w:r>
    </w:p>
    <w:p w14:paraId="767F352F" w14:textId="5FEB5027" w:rsidR="00E96D0C" w:rsidRPr="002D760F" w:rsidRDefault="005D539A" w:rsidP="006B7070">
      <w:pPr>
        <w:spacing w:line="360" w:lineRule="auto"/>
        <w:rPr>
          <w:rFonts w:ascii="Arial" w:hAnsi="Arial" w:cs="Arial"/>
          <w:b/>
          <w:bCs/>
          <w:sz w:val="20"/>
          <w:szCs w:val="20"/>
          <w:lang w:val="en-US"/>
        </w:rPr>
      </w:pPr>
      <w:r w:rsidRPr="002D760F">
        <w:rPr>
          <w:rFonts w:ascii="Arial" w:hAnsi="Arial" w:cs="Arial"/>
          <w:b/>
          <w:bCs/>
          <w:sz w:val="20"/>
          <w:szCs w:val="20"/>
          <w:lang w:val="en-US"/>
        </w:rPr>
        <w:t>VARIABLE SELECTION</w:t>
      </w:r>
    </w:p>
    <w:p w14:paraId="09283F18" w14:textId="3B93359C" w:rsidR="00E96D0C" w:rsidRPr="002D760F" w:rsidRDefault="00E96D0C" w:rsidP="00E96D0C">
      <w:pPr>
        <w:spacing w:line="360" w:lineRule="auto"/>
        <w:jc w:val="both"/>
        <w:rPr>
          <w:rFonts w:ascii="Arial" w:hAnsi="Arial" w:cs="Arial"/>
          <w:sz w:val="20"/>
          <w:szCs w:val="20"/>
          <w:lang w:val="en-US"/>
        </w:rPr>
      </w:pPr>
      <w:r w:rsidRPr="002D760F">
        <w:rPr>
          <w:rFonts w:ascii="Arial" w:hAnsi="Arial" w:cs="Arial"/>
          <w:sz w:val="20"/>
          <w:szCs w:val="20"/>
          <w:lang w:val="en-US"/>
        </w:rPr>
        <w:t xml:space="preserve">The methodological framework employs multivariate logistic regression analysis, with access to institutional credit serving as the binary dependent variable. The model incorporates several key socio-economic determinants as independent variables. Social group categorization comprises three distinct segments: SC-STs (Scheduled Castes and Scheduled Tribes, which receive special constitutional status under the sixth schedule due to historical marginalization), Other Backward Classes (OBC), and General categories. Religious affiliation is categorized into Hinduism (the majority religion), Islam, and other religious denominations. Household type is included as a variable, with </w:t>
      </w:r>
      <w:r w:rsidR="00A84CAB">
        <w:rPr>
          <w:rFonts w:ascii="Arial" w:hAnsi="Arial" w:cs="Arial"/>
          <w:sz w:val="20"/>
          <w:szCs w:val="20"/>
          <w:lang w:val="en-US"/>
        </w:rPr>
        <w:t>self-employed</w:t>
      </w:r>
      <w:r w:rsidRPr="002D760F">
        <w:rPr>
          <w:rFonts w:ascii="Arial" w:hAnsi="Arial" w:cs="Arial"/>
          <w:sz w:val="20"/>
          <w:szCs w:val="20"/>
          <w:lang w:val="en-US"/>
        </w:rPr>
        <w:t xml:space="preserve"> labor serving as the reference category for comparative analysis.</w:t>
      </w:r>
    </w:p>
    <w:p w14:paraId="1DFA9357" w14:textId="21D6F4C0" w:rsidR="00E96D0C" w:rsidRDefault="00E96D0C" w:rsidP="00454DDE">
      <w:pPr>
        <w:spacing w:line="360" w:lineRule="auto"/>
        <w:jc w:val="both"/>
        <w:rPr>
          <w:rFonts w:ascii="Arial" w:hAnsi="Arial" w:cs="Arial"/>
          <w:sz w:val="20"/>
          <w:szCs w:val="20"/>
          <w:lang w:val="en-US"/>
        </w:rPr>
      </w:pPr>
      <w:r w:rsidRPr="002D760F">
        <w:rPr>
          <w:rFonts w:ascii="Arial" w:hAnsi="Arial" w:cs="Arial"/>
          <w:sz w:val="20"/>
          <w:szCs w:val="20"/>
          <w:lang w:val="en-US"/>
        </w:rPr>
        <w:t xml:space="preserve">Gender dynamics are examined with </w:t>
      </w:r>
      <w:r w:rsidR="00A84CAB">
        <w:rPr>
          <w:rFonts w:ascii="Arial" w:hAnsi="Arial" w:cs="Arial"/>
          <w:sz w:val="20"/>
          <w:szCs w:val="20"/>
          <w:lang w:val="en-US"/>
        </w:rPr>
        <w:t>fe</w:t>
      </w:r>
      <w:r w:rsidRPr="002D760F">
        <w:rPr>
          <w:rFonts w:ascii="Arial" w:hAnsi="Arial" w:cs="Arial"/>
          <w:sz w:val="20"/>
          <w:szCs w:val="20"/>
          <w:lang w:val="en-US"/>
        </w:rPr>
        <w:t xml:space="preserve">male as the reference category to analyze variations in male access to credit. Additional exogenous variables include land ownership and bank account possession, both utilizing "yes" as the reference category to examine the impact of non-ownership on credit access. The purpose of loan is categorized into agricultural and non-agricultural activities, with agricultural purposes serving as the reference category. The analysis further incorporates term of loan and </w:t>
      </w:r>
      <w:r w:rsidR="00561692">
        <w:rPr>
          <w:rFonts w:ascii="Arial" w:hAnsi="Arial" w:cs="Arial"/>
          <w:sz w:val="20"/>
          <w:szCs w:val="20"/>
          <w:lang w:val="en-US"/>
        </w:rPr>
        <w:t>others</w:t>
      </w:r>
      <w:r w:rsidRPr="002D760F">
        <w:rPr>
          <w:rFonts w:ascii="Arial" w:hAnsi="Arial" w:cs="Arial"/>
          <w:sz w:val="20"/>
          <w:szCs w:val="20"/>
          <w:lang w:val="en-US"/>
        </w:rPr>
        <w:t xml:space="preserve"> as variables to examine their influence on credit accessibility, utilizing specified reference categories for comparative analysis.</w:t>
      </w:r>
    </w:p>
    <w:p w14:paraId="23EC8073" w14:textId="6F00CFFF" w:rsidR="008934F6" w:rsidRPr="002D760F" w:rsidRDefault="008934F6" w:rsidP="00454DDE">
      <w:pPr>
        <w:spacing w:line="360" w:lineRule="auto"/>
        <w:jc w:val="both"/>
        <w:rPr>
          <w:rFonts w:ascii="Arial" w:hAnsi="Arial" w:cs="Arial"/>
          <w:sz w:val="20"/>
          <w:szCs w:val="20"/>
          <w:lang w:val="en-US"/>
        </w:rPr>
      </w:pPr>
      <w:r>
        <w:rPr>
          <w:rFonts w:ascii="Arial" w:hAnsi="Arial" w:cs="Arial"/>
          <w:sz w:val="20"/>
          <w:szCs w:val="20"/>
          <w:lang w:val="en-US"/>
        </w:rPr>
        <w:t xml:space="preserve">Table 1. </w:t>
      </w:r>
      <w:r w:rsidR="00FB5B33" w:rsidRPr="00FB5B33">
        <w:rPr>
          <w:rFonts w:ascii="Arial" w:hAnsi="Arial" w:cs="Arial"/>
          <w:sz w:val="20"/>
          <w:szCs w:val="20"/>
          <w:lang w:val="en-US"/>
        </w:rPr>
        <w:t>Variable Coding for Credit Access Analysis</w:t>
      </w:r>
    </w:p>
    <w:tbl>
      <w:tblPr>
        <w:tblStyle w:val="TableGrid"/>
        <w:tblW w:w="0" w:type="auto"/>
        <w:tblLook w:val="04A0" w:firstRow="1" w:lastRow="0" w:firstColumn="1" w:lastColumn="0" w:noHBand="0" w:noVBand="1"/>
      </w:tblPr>
      <w:tblGrid>
        <w:gridCol w:w="3005"/>
        <w:gridCol w:w="4645"/>
        <w:gridCol w:w="1366"/>
      </w:tblGrid>
      <w:tr w:rsidR="00C3438C" w:rsidRPr="002D760F" w14:paraId="7C2E7DBA" w14:textId="77777777" w:rsidTr="00355DEA">
        <w:tc>
          <w:tcPr>
            <w:tcW w:w="7650" w:type="dxa"/>
            <w:gridSpan w:val="2"/>
          </w:tcPr>
          <w:p w14:paraId="05F5C3B5" w14:textId="48637DE0" w:rsidR="00C3438C" w:rsidRPr="002D760F" w:rsidRDefault="00C3438C" w:rsidP="00454DDE">
            <w:pPr>
              <w:jc w:val="both"/>
              <w:rPr>
                <w:rFonts w:ascii="Arial" w:hAnsi="Arial" w:cs="Arial"/>
                <w:b/>
                <w:bCs/>
                <w:sz w:val="20"/>
                <w:szCs w:val="20"/>
                <w:lang w:val="en-US"/>
              </w:rPr>
            </w:pPr>
            <w:r w:rsidRPr="002D760F">
              <w:rPr>
                <w:rFonts w:ascii="Arial" w:hAnsi="Arial" w:cs="Arial"/>
                <w:b/>
                <w:bCs/>
                <w:sz w:val="20"/>
                <w:szCs w:val="20"/>
                <w:lang w:val="en-US"/>
              </w:rPr>
              <w:t>Dependent Variable</w:t>
            </w:r>
          </w:p>
        </w:tc>
        <w:tc>
          <w:tcPr>
            <w:tcW w:w="1366" w:type="dxa"/>
          </w:tcPr>
          <w:p w14:paraId="40619F71" w14:textId="154088D8" w:rsidR="00C3438C" w:rsidRPr="002D760F" w:rsidRDefault="00C3438C" w:rsidP="00454DDE">
            <w:pPr>
              <w:jc w:val="both"/>
              <w:rPr>
                <w:rFonts w:ascii="Arial" w:hAnsi="Arial" w:cs="Arial"/>
                <w:sz w:val="20"/>
                <w:szCs w:val="20"/>
                <w:lang w:val="en-US"/>
              </w:rPr>
            </w:pPr>
            <w:r w:rsidRPr="002D760F">
              <w:rPr>
                <w:rFonts w:ascii="Arial" w:hAnsi="Arial" w:cs="Arial"/>
                <w:sz w:val="20"/>
                <w:szCs w:val="20"/>
                <w:lang w:val="en-US"/>
              </w:rPr>
              <w:t>Codes</w:t>
            </w:r>
          </w:p>
        </w:tc>
      </w:tr>
      <w:tr w:rsidR="00C56A49" w:rsidRPr="002D760F" w14:paraId="14A4A8FE" w14:textId="77777777" w:rsidTr="00355DEA">
        <w:tc>
          <w:tcPr>
            <w:tcW w:w="3005" w:type="dxa"/>
          </w:tcPr>
          <w:p w14:paraId="1E9A33F2" w14:textId="7B143A74" w:rsidR="00C56A49" w:rsidRPr="002D760F" w:rsidRDefault="00C3438C" w:rsidP="00454DDE">
            <w:pPr>
              <w:jc w:val="both"/>
              <w:rPr>
                <w:rFonts w:ascii="Arial" w:hAnsi="Arial" w:cs="Arial"/>
                <w:sz w:val="20"/>
                <w:szCs w:val="20"/>
                <w:lang w:val="en-US"/>
              </w:rPr>
            </w:pPr>
            <w:r w:rsidRPr="002D760F">
              <w:rPr>
                <w:rFonts w:ascii="Arial" w:hAnsi="Arial" w:cs="Arial"/>
                <w:sz w:val="20"/>
                <w:szCs w:val="20"/>
                <w:lang w:val="en-US"/>
              </w:rPr>
              <w:t>Access to Credit</w:t>
            </w:r>
          </w:p>
        </w:tc>
        <w:tc>
          <w:tcPr>
            <w:tcW w:w="4645" w:type="dxa"/>
          </w:tcPr>
          <w:p w14:paraId="1CC789A2" w14:textId="62E6A498" w:rsidR="00C56A49" w:rsidRPr="002D760F" w:rsidRDefault="00C3438C" w:rsidP="00454DDE">
            <w:pPr>
              <w:jc w:val="both"/>
              <w:rPr>
                <w:rFonts w:ascii="Arial" w:hAnsi="Arial" w:cs="Arial"/>
                <w:sz w:val="20"/>
                <w:szCs w:val="20"/>
                <w:lang w:val="en-US"/>
              </w:rPr>
            </w:pPr>
            <w:r w:rsidRPr="002D760F">
              <w:rPr>
                <w:rFonts w:ascii="Arial" w:hAnsi="Arial" w:cs="Arial"/>
                <w:sz w:val="20"/>
                <w:szCs w:val="20"/>
                <w:lang w:val="en-US"/>
              </w:rPr>
              <w:t>Institutional Credit</w:t>
            </w:r>
            <w:r w:rsidR="00E017B0" w:rsidRPr="002D760F">
              <w:rPr>
                <w:rFonts w:ascii="Arial" w:hAnsi="Arial" w:cs="Arial"/>
                <w:sz w:val="20"/>
                <w:szCs w:val="20"/>
                <w:lang w:val="en-US"/>
              </w:rPr>
              <w:t xml:space="preserve"> (Reference)</w:t>
            </w:r>
          </w:p>
        </w:tc>
        <w:tc>
          <w:tcPr>
            <w:tcW w:w="1366" w:type="dxa"/>
          </w:tcPr>
          <w:p w14:paraId="2DF7C09A" w14:textId="6D3D453F" w:rsidR="00C56A49" w:rsidRPr="002D760F" w:rsidRDefault="00C3438C" w:rsidP="00454DDE">
            <w:pPr>
              <w:jc w:val="both"/>
              <w:rPr>
                <w:rFonts w:ascii="Arial" w:hAnsi="Arial" w:cs="Arial"/>
                <w:sz w:val="20"/>
                <w:szCs w:val="20"/>
                <w:lang w:val="en-US"/>
              </w:rPr>
            </w:pPr>
            <w:r w:rsidRPr="002D760F">
              <w:rPr>
                <w:rFonts w:ascii="Arial" w:hAnsi="Arial" w:cs="Arial"/>
                <w:sz w:val="20"/>
                <w:szCs w:val="20"/>
                <w:lang w:val="en-US"/>
              </w:rPr>
              <w:t>1</w:t>
            </w:r>
          </w:p>
        </w:tc>
      </w:tr>
      <w:tr w:rsidR="00C56A49" w:rsidRPr="002D760F" w14:paraId="0A1C372F" w14:textId="77777777" w:rsidTr="00355DEA">
        <w:tc>
          <w:tcPr>
            <w:tcW w:w="3005" w:type="dxa"/>
          </w:tcPr>
          <w:p w14:paraId="0BF3D1F9" w14:textId="77777777" w:rsidR="00C56A49" w:rsidRPr="002D760F" w:rsidRDefault="00C56A49" w:rsidP="00454DDE">
            <w:pPr>
              <w:jc w:val="both"/>
              <w:rPr>
                <w:rFonts w:ascii="Arial" w:hAnsi="Arial" w:cs="Arial"/>
                <w:sz w:val="20"/>
                <w:szCs w:val="20"/>
                <w:lang w:val="en-US"/>
              </w:rPr>
            </w:pPr>
          </w:p>
        </w:tc>
        <w:tc>
          <w:tcPr>
            <w:tcW w:w="4645" w:type="dxa"/>
          </w:tcPr>
          <w:p w14:paraId="23CAEBB1" w14:textId="3330ABD8" w:rsidR="00C56A49" w:rsidRPr="002D760F" w:rsidRDefault="00C3438C" w:rsidP="00454DDE">
            <w:pPr>
              <w:jc w:val="both"/>
              <w:rPr>
                <w:rFonts w:ascii="Arial" w:hAnsi="Arial" w:cs="Arial"/>
                <w:sz w:val="20"/>
                <w:szCs w:val="20"/>
                <w:lang w:val="en-US"/>
              </w:rPr>
            </w:pPr>
            <w:r w:rsidRPr="002D760F">
              <w:rPr>
                <w:rFonts w:ascii="Arial" w:hAnsi="Arial" w:cs="Arial"/>
                <w:sz w:val="20"/>
                <w:szCs w:val="20"/>
                <w:lang w:val="en-US"/>
              </w:rPr>
              <w:t>Non-Institutional Credit</w:t>
            </w:r>
          </w:p>
        </w:tc>
        <w:tc>
          <w:tcPr>
            <w:tcW w:w="1366" w:type="dxa"/>
          </w:tcPr>
          <w:p w14:paraId="3AC09B8D" w14:textId="62968289" w:rsidR="00C56A49" w:rsidRPr="002D760F" w:rsidRDefault="00C3438C" w:rsidP="00454DDE">
            <w:pPr>
              <w:jc w:val="both"/>
              <w:rPr>
                <w:rFonts w:ascii="Arial" w:hAnsi="Arial" w:cs="Arial"/>
                <w:sz w:val="20"/>
                <w:szCs w:val="20"/>
                <w:lang w:val="en-US"/>
              </w:rPr>
            </w:pPr>
            <w:r w:rsidRPr="002D760F">
              <w:rPr>
                <w:rFonts w:ascii="Arial" w:hAnsi="Arial" w:cs="Arial"/>
                <w:sz w:val="20"/>
                <w:szCs w:val="20"/>
                <w:lang w:val="en-US"/>
              </w:rPr>
              <w:t>0</w:t>
            </w:r>
          </w:p>
        </w:tc>
      </w:tr>
      <w:tr w:rsidR="00C3438C" w:rsidRPr="002D760F" w14:paraId="06E814A6" w14:textId="77777777" w:rsidTr="00355DEA">
        <w:tc>
          <w:tcPr>
            <w:tcW w:w="7650" w:type="dxa"/>
            <w:gridSpan w:val="2"/>
          </w:tcPr>
          <w:p w14:paraId="2D5846FE" w14:textId="4244F398" w:rsidR="00C3438C" w:rsidRPr="002D760F" w:rsidRDefault="00C3438C" w:rsidP="00454DDE">
            <w:pPr>
              <w:jc w:val="both"/>
              <w:rPr>
                <w:rFonts w:ascii="Arial" w:hAnsi="Arial" w:cs="Arial"/>
                <w:b/>
                <w:bCs/>
                <w:sz w:val="20"/>
                <w:szCs w:val="20"/>
                <w:lang w:val="en-US"/>
              </w:rPr>
            </w:pPr>
            <w:r w:rsidRPr="002D760F">
              <w:rPr>
                <w:rFonts w:ascii="Arial" w:hAnsi="Arial" w:cs="Arial"/>
                <w:b/>
                <w:bCs/>
                <w:sz w:val="20"/>
                <w:szCs w:val="20"/>
                <w:lang w:val="en-US"/>
              </w:rPr>
              <w:t>Independent Variables</w:t>
            </w:r>
          </w:p>
        </w:tc>
        <w:tc>
          <w:tcPr>
            <w:tcW w:w="1366" w:type="dxa"/>
          </w:tcPr>
          <w:p w14:paraId="2EA83AE4" w14:textId="77777777" w:rsidR="00C3438C" w:rsidRPr="002D760F" w:rsidRDefault="00C3438C" w:rsidP="00454DDE">
            <w:pPr>
              <w:jc w:val="both"/>
              <w:rPr>
                <w:rFonts w:ascii="Arial" w:hAnsi="Arial" w:cs="Arial"/>
                <w:sz w:val="20"/>
                <w:szCs w:val="20"/>
                <w:lang w:val="en-US"/>
              </w:rPr>
            </w:pPr>
          </w:p>
        </w:tc>
      </w:tr>
      <w:tr w:rsidR="00C56A49" w:rsidRPr="002D760F" w14:paraId="24D6E658" w14:textId="77777777" w:rsidTr="00355DEA">
        <w:tc>
          <w:tcPr>
            <w:tcW w:w="3005" w:type="dxa"/>
          </w:tcPr>
          <w:p w14:paraId="106CD34A" w14:textId="374968D8" w:rsidR="00C56A49" w:rsidRPr="002D760F" w:rsidRDefault="00C3438C" w:rsidP="00454DDE">
            <w:pPr>
              <w:jc w:val="both"/>
              <w:rPr>
                <w:rFonts w:ascii="Arial" w:hAnsi="Arial" w:cs="Arial"/>
                <w:sz w:val="20"/>
                <w:szCs w:val="20"/>
                <w:lang w:val="en-US"/>
              </w:rPr>
            </w:pPr>
            <w:r w:rsidRPr="002D760F">
              <w:rPr>
                <w:rFonts w:ascii="Arial" w:hAnsi="Arial" w:cs="Arial"/>
                <w:sz w:val="20"/>
                <w:szCs w:val="20"/>
                <w:lang w:val="en-US"/>
              </w:rPr>
              <w:t>Religion</w:t>
            </w:r>
          </w:p>
        </w:tc>
        <w:tc>
          <w:tcPr>
            <w:tcW w:w="4645" w:type="dxa"/>
          </w:tcPr>
          <w:p w14:paraId="39F26D17" w14:textId="03646250" w:rsidR="00C56A49" w:rsidRPr="002D760F" w:rsidRDefault="00C3438C" w:rsidP="00454DDE">
            <w:pPr>
              <w:jc w:val="both"/>
              <w:rPr>
                <w:rFonts w:ascii="Arial" w:hAnsi="Arial" w:cs="Arial"/>
                <w:sz w:val="20"/>
                <w:szCs w:val="20"/>
                <w:lang w:val="en-US"/>
              </w:rPr>
            </w:pPr>
            <w:r w:rsidRPr="002D760F">
              <w:rPr>
                <w:rFonts w:ascii="Arial" w:hAnsi="Arial" w:cs="Arial"/>
                <w:sz w:val="20"/>
                <w:szCs w:val="20"/>
                <w:lang w:val="en-US"/>
              </w:rPr>
              <w:t>Hinduism (Reference)</w:t>
            </w:r>
          </w:p>
        </w:tc>
        <w:tc>
          <w:tcPr>
            <w:tcW w:w="1366" w:type="dxa"/>
          </w:tcPr>
          <w:p w14:paraId="244FCF78" w14:textId="3D1C3C4D" w:rsidR="00C56A49" w:rsidRPr="002D760F" w:rsidRDefault="00C3438C" w:rsidP="00454DDE">
            <w:pPr>
              <w:jc w:val="both"/>
              <w:rPr>
                <w:rFonts w:ascii="Arial" w:hAnsi="Arial" w:cs="Arial"/>
                <w:sz w:val="20"/>
                <w:szCs w:val="20"/>
                <w:lang w:val="en-US"/>
              </w:rPr>
            </w:pPr>
            <w:r w:rsidRPr="002D760F">
              <w:rPr>
                <w:rFonts w:ascii="Arial" w:hAnsi="Arial" w:cs="Arial"/>
                <w:sz w:val="20"/>
                <w:szCs w:val="20"/>
                <w:lang w:val="en-US"/>
              </w:rPr>
              <w:t>1</w:t>
            </w:r>
          </w:p>
        </w:tc>
      </w:tr>
      <w:tr w:rsidR="00C56A49" w:rsidRPr="002D760F" w14:paraId="1DC81181" w14:textId="77777777" w:rsidTr="00355DEA">
        <w:tc>
          <w:tcPr>
            <w:tcW w:w="3005" w:type="dxa"/>
          </w:tcPr>
          <w:p w14:paraId="634F76D6" w14:textId="77777777" w:rsidR="00C56A49" w:rsidRPr="002D760F" w:rsidRDefault="00C56A49" w:rsidP="00454DDE">
            <w:pPr>
              <w:jc w:val="both"/>
              <w:rPr>
                <w:rFonts w:ascii="Arial" w:hAnsi="Arial" w:cs="Arial"/>
                <w:sz w:val="20"/>
                <w:szCs w:val="20"/>
                <w:lang w:val="en-US"/>
              </w:rPr>
            </w:pPr>
          </w:p>
        </w:tc>
        <w:tc>
          <w:tcPr>
            <w:tcW w:w="4645" w:type="dxa"/>
          </w:tcPr>
          <w:p w14:paraId="7A8EEAC5" w14:textId="2A19DB31" w:rsidR="00C56A49" w:rsidRPr="002D760F" w:rsidRDefault="00C3438C" w:rsidP="00454DDE">
            <w:pPr>
              <w:jc w:val="both"/>
              <w:rPr>
                <w:rFonts w:ascii="Arial" w:hAnsi="Arial" w:cs="Arial"/>
                <w:sz w:val="20"/>
                <w:szCs w:val="20"/>
                <w:lang w:val="en-US"/>
              </w:rPr>
            </w:pPr>
            <w:r w:rsidRPr="002D760F">
              <w:rPr>
                <w:rFonts w:ascii="Arial" w:hAnsi="Arial" w:cs="Arial"/>
                <w:sz w:val="20"/>
                <w:szCs w:val="20"/>
                <w:lang w:val="en-US"/>
              </w:rPr>
              <w:t>Islam</w:t>
            </w:r>
          </w:p>
        </w:tc>
        <w:tc>
          <w:tcPr>
            <w:tcW w:w="1366" w:type="dxa"/>
          </w:tcPr>
          <w:p w14:paraId="57D19182" w14:textId="7F423A5F" w:rsidR="00C56A49" w:rsidRPr="002D760F" w:rsidRDefault="00C3438C" w:rsidP="00454DDE">
            <w:pPr>
              <w:jc w:val="both"/>
              <w:rPr>
                <w:rFonts w:ascii="Arial" w:hAnsi="Arial" w:cs="Arial"/>
                <w:sz w:val="20"/>
                <w:szCs w:val="20"/>
                <w:lang w:val="en-US"/>
              </w:rPr>
            </w:pPr>
            <w:r w:rsidRPr="002D760F">
              <w:rPr>
                <w:rFonts w:ascii="Arial" w:hAnsi="Arial" w:cs="Arial"/>
                <w:sz w:val="20"/>
                <w:szCs w:val="20"/>
                <w:lang w:val="en-US"/>
              </w:rPr>
              <w:t>0</w:t>
            </w:r>
          </w:p>
        </w:tc>
      </w:tr>
      <w:tr w:rsidR="00C56A49" w:rsidRPr="002D760F" w14:paraId="218023BE" w14:textId="77777777" w:rsidTr="00355DEA">
        <w:tc>
          <w:tcPr>
            <w:tcW w:w="3005" w:type="dxa"/>
          </w:tcPr>
          <w:p w14:paraId="1F543D35" w14:textId="77777777" w:rsidR="00C56A49" w:rsidRPr="002D760F" w:rsidRDefault="00C56A49" w:rsidP="00454DDE">
            <w:pPr>
              <w:jc w:val="both"/>
              <w:rPr>
                <w:rFonts w:ascii="Arial" w:hAnsi="Arial" w:cs="Arial"/>
                <w:sz w:val="20"/>
                <w:szCs w:val="20"/>
                <w:lang w:val="en-US"/>
              </w:rPr>
            </w:pPr>
          </w:p>
        </w:tc>
        <w:tc>
          <w:tcPr>
            <w:tcW w:w="4645" w:type="dxa"/>
          </w:tcPr>
          <w:p w14:paraId="7DBCEEB2" w14:textId="20716E4E" w:rsidR="00C56A49" w:rsidRPr="002D760F" w:rsidRDefault="00C3438C" w:rsidP="00454DDE">
            <w:pPr>
              <w:jc w:val="both"/>
              <w:rPr>
                <w:rFonts w:ascii="Arial" w:hAnsi="Arial" w:cs="Arial"/>
                <w:sz w:val="20"/>
                <w:szCs w:val="20"/>
                <w:lang w:val="en-US"/>
              </w:rPr>
            </w:pPr>
            <w:r w:rsidRPr="002D760F">
              <w:rPr>
                <w:rFonts w:ascii="Arial" w:hAnsi="Arial" w:cs="Arial"/>
                <w:sz w:val="20"/>
                <w:szCs w:val="20"/>
                <w:lang w:val="en-US"/>
              </w:rPr>
              <w:t>Others</w:t>
            </w:r>
          </w:p>
        </w:tc>
        <w:tc>
          <w:tcPr>
            <w:tcW w:w="1366" w:type="dxa"/>
          </w:tcPr>
          <w:p w14:paraId="541E17B3" w14:textId="2AC65E00" w:rsidR="00C56A49" w:rsidRPr="002D760F" w:rsidRDefault="00C3438C" w:rsidP="00454DDE">
            <w:pPr>
              <w:jc w:val="both"/>
              <w:rPr>
                <w:rFonts w:ascii="Arial" w:hAnsi="Arial" w:cs="Arial"/>
                <w:sz w:val="20"/>
                <w:szCs w:val="20"/>
                <w:lang w:val="en-US"/>
              </w:rPr>
            </w:pPr>
            <w:r w:rsidRPr="002D760F">
              <w:rPr>
                <w:rFonts w:ascii="Arial" w:hAnsi="Arial" w:cs="Arial"/>
                <w:sz w:val="20"/>
                <w:szCs w:val="20"/>
                <w:lang w:val="en-US"/>
              </w:rPr>
              <w:t>2</w:t>
            </w:r>
          </w:p>
        </w:tc>
      </w:tr>
      <w:tr w:rsidR="00C56A49" w:rsidRPr="002D760F" w14:paraId="597E0235" w14:textId="77777777" w:rsidTr="00355DEA">
        <w:tc>
          <w:tcPr>
            <w:tcW w:w="3005" w:type="dxa"/>
          </w:tcPr>
          <w:p w14:paraId="4BE7F136" w14:textId="0E21EED7" w:rsidR="00C56A49" w:rsidRPr="002D760F" w:rsidRDefault="00E023CE" w:rsidP="00454DDE">
            <w:pPr>
              <w:jc w:val="both"/>
              <w:rPr>
                <w:rFonts w:ascii="Arial" w:hAnsi="Arial" w:cs="Arial"/>
                <w:sz w:val="20"/>
                <w:szCs w:val="20"/>
                <w:lang w:val="en-US"/>
              </w:rPr>
            </w:pPr>
            <w:r w:rsidRPr="002D760F">
              <w:rPr>
                <w:rFonts w:ascii="Arial" w:hAnsi="Arial" w:cs="Arial"/>
                <w:sz w:val="20"/>
                <w:szCs w:val="20"/>
                <w:lang w:val="en-US"/>
              </w:rPr>
              <w:t>Social Groups</w:t>
            </w:r>
          </w:p>
        </w:tc>
        <w:tc>
          <w:tcPr>
            <w:tcW w:w="4645" w:type="dxa"/>
          </w:tcPr>
          <w:p w14:paraId="1C1D7F82" w14:textId="0F834C15" w:rsidR="00C56A49" w:rsidRPr="002D760F" w:rsidRDefault="00E023CE" w:rsidP="00454DDE">
            <w:pPr>
              <w:jc w:val="both"/>
              <w:rPr>
                <w:rFonts w:ascii="Arial" w:hAnsi="Arial" w:cs="Arial"/>
                <w:sz w:val="20"/>
                <w:szCs w:val="20"/>
                <w:lang w:val="en-US"/>
              </w:rPr>
            </w:pPr>
            <w:r w:rsidRPr="002D760F">
              <w:rPr>
                <w:rFonts w:ascii="Arial" w:hAnsi="Arial" w:cs="Arial"/>
                <w:sz w:val="20"/>
                <w:szCs w:val="20"/>
                <w:lang w:val="en-US"/>
              </w:rPr>
              <w:t>General</w:t>
            </w:r>
            <w:r w:rsidR="00320331" w:rsidRPr="002D760F">
              <w:rPr>
                <w:rFonts w:ascii="Arial" w:hAnsi="Arial" w:cs="Arial"/>
                <w:sz w:val="20"/>
                <w:szCs w:val="20"/>
                <w:lang w:val="en-US"/>
              </w:rPr>
              <w:t xml:space="preserve"> (Reference)</w:t>
            </w:r>
          </w:p>
        </w:tc>
        <w:tc>
          <w:tcPr>
            <w:tcW w:w="1366" w:type="dxa"/>
          </w:tcPr>
          <w:p w14:paraId="32B15E5E" w14:textId="48B695E0" w:rsidR="00C56A49" w:rsidRPr="002D760F" w:rsidRDefault="00E023CE" w:rsidP="00454DDE">
            <w:pPr>
              <w:jc w:val="both"/>
              <w:rPr>
                <w:rFonts w:ascii="Arial" w:hAnsi="Arial" w:cs="Arial"/>
                <w:sz w:val="20"/>
                <w:szCs w:val="20"/>
                <w:lang w:val="en-US"/>
              </w:rPr>
            </w:pPr>
            <w:r w:rsidRPr="002D760F">
              <w:rPr>
                <w:rFonts w:ascii="Arial" w:hAnsi="Arial" w:cs="Arial"/>
                <w:sz w:val="20"/>
                <w:szCs w:val="20"/>
                <w:lang w:val="en-US"/>
              </w:rPr>
              <w:t>1</w:t>
            </w:r>
          </w:p>
        </w:tc>
      </w:tr>
      <w:tr w:rsidR="00E023CE" w:rsidRPr="002D760F" w14:paraId="3DBB4A50" w14:textId="77777777" w:rsidTr="00355DEA">
        <w:tc>
          <w:tcPr>
            <w:tcW w:w="3005" w:type="dxa"/>
          </w:tcPr>
          <w:p w14:paraId="7044F7EA" w14:textId="77777777" w:rsidR="00E023CE" w:rsidRPr="002D760F" w:rsidRDefault="00E023CE" w:rsidP="00454DDE">
            <w:pPr>
              <w:jc w:val="both"/>
              <w:rPr>
                <w:rFonts w:ascii="Arial" w:hAnsi="Arial" w:cs="Arial"/>
                <w:sz w:val="20"/>
                <w:szCs w:val="20"/>
                <w:lang w:val="en-US"/>
              </w:rPr>
            </w:pPr>
          </w:p>
        </w:tc>
        <w:tc>
          <w:tcPr>
            <w:tcW w:w="4645" w:type="dxa"/>
          </w:tcPr>
          <w:p w14:paraId="20E7CF6F" w14:textId="4DF376C2" w:rsidR="00E023CE" w:rsidRPr="002D760F" w:rsidRDefault="00320331" w:rsidP="00454DDE">
            <w:pPr>
              <w:jc w:val="both"/>
              <w:rPr>
                <w:rFonts w:ascii="Arial" w:hAnsi="Arial" w:cs="Arial"/>
                <w:sz w:val="20"/>
                <w:szCs w:val="20"/>
                <w:lang w:val="en-US"/>
              </w:rPr>
            </w:pPr>
            <w:r w:rsidRPr="002D760F">
              <w:rPr>
                <w:rFonts w:ascii="Arial" w:hAnsi="Arial" w:cs="Arial"/>
                <w:sz w:val="20"/>
                <w:szCs w:val="20"/>
                <w:lang w:val="en-US"/>
              </w:rPr>
              <w:t>OBC</w:t>
            </w:r>
          </w:p>
        </w:tc>
        <w:tc>
          <w:tcPr>
            <w:tcW w:w="1366" w:type="dxa"/>
          </w:tcPr>
          <w:p w14:paraId="780D9FE0" w14:textId="022DBF8B" w:rsidR="00E023CE" w:rsidRPr="002D760F" w:rsidRDefault="00E023CE" w:rsidP="00454DDE">
            <w:pPr>
              <w:jc w:val="both"/>
              <w:rPr>
                <w:rFonts w:ascii="Arial" w:hAnsi="Arial" w:cs="Arial"/>
                <w:sz w:val="20"/>
                <w:szCs w:val="20"/>
                <w:lang w:val="en-US"/>
              </w:rPr>
            </w:pPr>
            <w:r w:rsidRPr="002D760F">
              <w:rPr>
                <w:rFonts w:ascii="Arial" w:hAnsi="Arial" w:cs="Arial"/>
                <w:sz w:val="20"/>
                <w:szCs w:val="20"/>
                <w:lang w:val="en-US"/>
              </w:rPr>
              <w:t>0</w:t>
            </w:r>
          </w:p>
        </w:tc>
      </w:tr>
      <w:tr w:rsidR="00320331" w:rsidRPr="002D760F" w14:paraId="7C74446E" w14:textId="77777777" w:rsidTr="00355DEA">
        <w:tc>
          <w:tcPr>
            <w:tcW w:w="3005" w:type="dxa"/>
          </w:tcPr>
          <w:p w14:paraId="14383452" w14:textId="77777777" w:rsidR="00320331" w:rsidRPr="002D760F" w:rsidRDefault="00320331" w:rsidP="00454DDE">
            <w:pPr>
              <w:jc w:val="both"/>
              <w:rPr>
                <w:rFonts w:ascii="Arial" w:hAnsi="Arial" w:cs="Arial"/>
                <w:sz w:val="20"/>
                <w:szCs w:val="20"/>
                <w:lang w:val="en-US"/>
              </w:rPr>
            </w:pPr>
          </w:p>
        </w:tc>
        <w:tc>
          <w:tcPr>
            <w:tcW w:w="4645" w:type="dxa"/>
          </w:tcPr>
          <w:p w14:paraId="4B3BF665" w14:textId="3DF27748" w:rsidR="00320331" w:rsidRPr="002D760F" w:rsidRDefault="00320331" w:rsidP="00454DDE">
            <w:pPr>
              <w:jc w:val="both"/>
              <w:rPr>
                <w:rFonts w:ascii="Arial" w:hAnsi="Arial" w:cs="Arial"/>
                <w:sz w:val="20"/>
                <w:szCs w:val="20"/>
                <w:lang w:val="en-US"/>
              </w:rPr>
            </w:pPr>
            <w:r w:rsidRPr="002D760F">
              <w:rPr>
                <w:rFonts w:ascii="Arial" w:hAnsi="Arial" w:cs="Arial"/>
                <w:sz w:val="20"/>
                <w:szCs w:val="20"/>
                <w:lang w:val="en-US"/>
              </w:rPr>
              <w:t>SC-ST</w:t>
            </w:r>
          </w:p>
        </w:tc>
        <w:tc>
          <w:tcPr>
            <w:tcW w:w="1366" w:type="dxa"/>
          </w:tcPr>
          <w:p w14:paraId="56685AE7" w14:textId="19D6DB2D" w:rsidR="00320331" w:rsidRPr="002D760F" w:rsidRDefault="00320331" w:rsidP="00454DDE">
            <w:pPr>
              <w:jc w:val="both"/>
              <w:rPr>
                <w:rFonts w:ascii="Arial" w:hAnsi="Arial" w:cs="Arial"/>
                <w:sz w:val="20"/>
                <w:szCs w:val="20"/>
                <w:lang w:val="en-US"/>
              </w:rPr>
            </w:pPr>
            <w:r w:rsidRPr="002D760F">
              <w:rPr>
                <w:rFonts w:ascii="Arial" w:hAnsi="Arial" w:cs="Arial"/>
                <w:sz w:val="20"/>
                <w:szCs w:val="20"/>
                <w:lang w:val="en-US"/>
              </w:rPr>
              <w:t>2</w:t>
            </w:r>
          </w:p>
        </w:tc>
      </w:tr>
      <w:tr w:rsidR="00E023CE" w:rsidRPr="002D760F" w14:paraId="209B3E90" w14:textId="77777777" w:rsidTr="00355DEA">
        <w:tc>
          <w:tcPr>
            <w:tcW w:w="3005" w:type="dxa"/>
          </w:tcPr>
          <w:p w14:paraId="00DEB2B2" w14:textId="0344115F" w:rsidR="00E023CE" w:rsidRPr="002D760F" w:rsidRDefault="00E023CE" w:rsidP="00454DDE">
            <w:pPr>
              <w:jc w:val="both"/>
              <w:rPr>
                <w:rFonts w:ascii="Arial" w:hAnsi="Arial" w:cs="Arial"/>
                <w:sz w:val="20"/>
                <w:szCs w:val="20"/>
                <w:lang w:val="en-US"/>
              </w:rPr>
            </w:pPr>
            <w:r w:rsidRPr="002D760F">
              <w:rPr>
                <w:rFonts w:ascii="Arial" w:hAnsi="Arial" w:cs="Arial"/>
                <w:sz w:val="20"/>
                <w:szCs w:val="20"/>
                <w:lang w:val="en-US"/>
              </w:rPr>
              <w:t>Household Type</w:t>
            </w:r>
          </w:p>
        </w:tc>
        <w:tc>
          <w:tcPr>
            <w:tcW w:w="4645" w:type="dxa"/>
          </w:tcPr>
          <w:p w14:paraId="7A7A17EC" w14:textId="36F3F4CC" w:rsidR="00E023CE" w:rsidRPr="002D760F" w:rsidRDefault="00E023CE" w:rsidP="00454DDE">
            <w:pPr>
              <w:jc w:val="both"/>
              <w:rPr>
                <w:rFonts w:ascii="Arial" w:hAnsi="Arial" w:cs="Arial"/>
                <w:sz w:val="20"/>
                <w:szCs w:val="20"/>
                <w:lang w:val="en-US"/>
              </w:rPr>
            </w:pPr>
            <w:r w:rsidRPr="002D760F">
              <w:rPr>
                <w:rFonts w:ascii="Arial" w:hAnsi="Arial" w:cs="Arial"/>
                <w:sz w:val="20"/>
                <w:szCs w:val="20"/>
                <w:lang w:val="en-US"/>
              </w:rPr>
              <w:t>Regular/Salaried</w:t>
            </w:r>
          </w:p>
        </w:tc>
        <w:tc>
          <w:tcPr>
            <w:tcW w:w="1366" w:type="dxa"/>
          </w:tcPr>
          <w:p w14:paraId="38F4C0F5" w14:textId="60B321A1" w:rsidR="00E023CE" w:rsidRPr="002D760F" w:rsidRDefault="002D492C" w:rsidP="00454DDE">
            <w:pPr>
              <w:jc w:val="both"/>
              <w:rPr>
                <w:rFonts w:ascii="Arial" w:hAnsi="Arial" w:cs="Arial"/>
                <w:sz w:val="20"/>
                <w:szCs w:val="20"/>
                <w:lang w:val="en-US"/>
              </w:rPr>
            </w:pPr>
            <w:r w:rsidRPr="002D760F">
              <w:rPr>
                <w:rFonts w:ascii="Arial" w:hAnsi="Arial" w:cs="Arial"/>
                <w:sz w:val="20"/>
                <w:szCs w:val="20"/>
                <w:lang w:val="en-US"/>
              </w:rPr>
              <w:t>2</w:t>
            </w:r>
          </w:p>
        </w:tc>
      </w:tr>
      <w:tr w:rsidR="00E023CE" w:rsidRPr="002D760F" w14:paraId="48D43C2D" w14:textId="77777777" w:rsidTr="00355DEA">
        <w:tc>
          <w:tcPr>
            <w:tcW w:w="3005" w:type="dxa"/>
          </w:tcPr>
          <w:p w14:paraId="1EF55B33" w14:textId="77777777" w:rsidR="00E023CE" w:rsidRPr="002D760F" w:rsidRDefault="00E023CE" w:rsidP="00454DDE">
            <w:pPr>
              <w:jc w:val="both"/>
              <w:rPr>
                <w:rFonts w:ascii="Arial" w:hAnsi="Arial" w:cs="Arial"/>
                <w:sz w:val="20"/>
                <w:szCs w:val="20"/>
                <w:lang w:val="en-US"/>
              </w:rPr>
            </w:pPr>
          </w:p>
        </w:tc>
        <w:tc>
          <w:tcPr>
            <w:tcW w:w="4645" w:type="dxa"/>
          </w:tcPr>
          <w:p w14:paraId="45B8862C" w14:textId="68E11E57" w:rsidR="00E023CE" w:rsidRPr="002D760F" w:rsidRDefault="00E023CE" w:rsidP="00454DDE">
            <w:pPr>
              <w:jc w:val="both"/>
              <w:rPr>
                <w:rFonts w:ascii="Arial" w:hAnsi="Arial" w:cs="Arial"/>
                <w:sz w:val="20"/>
                <w:szCs w:val="20"/>
                <w:lang w:val="en-US"/>
              </w:rPr>
            </w:pPr>
            <w:r w:rsidRPr="002D760F">
              <w:rPr>
                <w:rFonts w:ascii="Arial" w:hAnsi="Arial" w:cs="Arial"/>
                <w:sz w:val="20"/>
                <w:szCs w:val="20"/>
                <w:lang w:val="en-US"/>
              </w:rPr>
              <w:t xml:space="preserve">Casual </w:t>
            </w:r>
          </w:p>
        </w:tc>
        <w:tc>
          <w:tcPr>
            <w:tcW w:w="1366" w:type="dxa"/>
          </w:tcPr>
          <w:p w14:paraId="53002D3C" w14:textId="3DCF9C7C" w:rsidR="00E023CE" w:rsidRPr="002D760F" w:rsidRDefault="002D492C" w:rsidP="00454DDE">
            <w:pPr>
              <w:jc w:val="both"/>
              <w:rPr>
                <w:rFonts w:ascii="Arial" w:hAnsi="Arial" w:cs="Arial"/>
                <w:sz w:val="20"/>
                <w:szCs w:val="20"/>
                <w:lang w:val="en-US"/>
              </w:rPr>
            </w:pPr>
            <w:r w:rsidRPr="002D760F">
              <w:rPr>
                <w:rFonts w:ascii="Arial" w:hAnsi="Arial" w:cs="Arial"/>
                <w:sz w:val="20"/>
                <w:szCs w:val="20"/>
                <w:lang w:val="en-US"/>
              </w:rPr>
              <w:t>0</w:t>
            </w:r>
          </w:p>
        </w:tc>
      </w:tr>
      <w:tr w:rsidR="00E023CE" w:rsidRPr="002D760F" w14:paraId="209D5EE2" w14:textId="77777777" w:rsidTr="00355DEA">
        <w:tc>
          <w:tcPr>
            <w:tcW w:w="3005" w:type="dxa"/>
          </w:tcPr>
          <w:p w14:paraId="3976889E" w14:textId="77777777" w:rsidR="00E023CE" w:rsidRPr="002D760F" w:rsidRDefault="00E023CE" w:rsidP="00454DDE">
            <w:pPr>
              <w:jc w:val="both"/>
              <w:rPr>
                <w:rFonts w:ascii="Arial" w:hAnsi="Arial" w:cs="Arial"/>
                <w:sz w:val="20"/>
                <w:szCs w:val="20"/>
                <w:lang w:val="en-US"/>
              </w:rPr>
            </w:pPr>
          </w:p>
        </w:tc>
        <w:tc>
          <w:tcPr>
            <w:tcW w:w="4645" w:type="dxa"/>
          </w:tcPr>
          <w:p w14:paraId="1363D7DD" w14:textId="75DCDC5A" w:rsidR="00E023CE" w:rsidRPr="002D760F" w:rsidRDefault="005629C1" w:rsidP="00454DDE">
            <w:pPr>
              <w:jc w:val="both"/>
              <w:rPr>
                <w:rFonts w:ascii="Arial" w:hAnsi="Arial" w:cs="Arial"/>
                <w:sz w:val="20"/>
                <w:szCs w:val="20"/>
                <w:lang w:val="en-US"/>
              </w:rPr>
            </w:pPr>
            <w:r w:rsidRPr="002D760F">
              <w:rPr>
                <w:rFonts w:ascii="Arial" w:hAnsi="Arial" w:cs="Arial"/>
                <w:sz w:val="20"/>
                <w:szCs w:val="20"/>
                <w:lang w:val="en-US"/>
              </w:rPr>
              <w:t>Self Employed</w:t>
            </w:r>
            <w:r w:rsidR="002D492C" w:rsidRPr="002D760F">
              <w:rPr>
                <w:rFonts w:ascii="Arial" w:hAnsi="Arial" w:cs="Arial"/>
                <w:sz w:val="20"/>
                <w:szCs w:val="20"/>
                <w:lang w:val="en-US"/>
              </w:rPr>
              <w:t>(reference)</w:t>
            </w:r>
          </w:p>
        </w:tc>
        <w:tc>
          <w:tcPr>
            <w:tcW w:w="1366" w:type="dxa"/>
          </w:tcPr>
          <w:p w14:paraId="785CF12E" w14:textId="4E0C02AE" w:rsidR="00E023CE" w:rsidRPr="002D760F" w:rsidRDefault="002D492C" w:rsidP="00454DDE">
            <w:pPr>
              <w:jc w:val="both"/>
              <w:rPr>
                <w:rFonts w:ascii="Arial" w:hAnsi="Arial" w:cs="Arial"/>
                <w:sz w:val="20"/>
                <w:szCs w:val="20"/>
                <w:lang w:val="en-US"/>
              </w:rPr>
            </w:pPr>
            <w:r w:rsidRPr="002D760F">
              <w:rPr>
                <w:rFonts w:ascii="Arial" w:hAnsi="Arial" w:cs="Arial"/>
                <w:sz w:val="20"/>
                <w:szCs w:val="20"/>
                <w:lang w:val="en-US"/>
              </w:rPr>
              <w:t>1</w:t>
            </w:r>
          </w:p>
        </w:tc>
      </w:tr>
      <w:tr w:rsidR="00E023CE" w:rsidRPr="002D760F" w14:paraId="588A0B8D" w14:textId="77777777" w:rsidTr="00355DEA">
        <w:tc>
          <w:tcPr>
            <w:tcW w:w="3005" w:type="dxa"/>
          </w:tcPr>
          <w:p w14:paraId="78B10AC7" w14:textId="6F527040" w:rsidR="00E023CE" w:rsidRPr="002D760F" w:rsidRDefault="00E023CE" w:rsidP="00454DDE">
            <w:pPr>
              <w:jc w:val="both"/>
              <w:rPr>
                <w:rFonts w:ascii="Arial" w:hAnsi="Arial" w:cs="Arial"/>
                <w:sz w:val="20"/>
                <w:szCs w:val="20"/>
                <w:lang w:val="en-US"/>
              </w:rPr>
            </w:pPr>
            <w:r w:rsidRPr="002D760F">
              <w:rPr>
                <w:rFonts w:ascii="Arial" w:hAnsi="Arial" w:cs="Arial"/>
                <w:sz w:val="20"/>
                <w:szCs w:val="20"/>
                <w:lang w:val="en-US"/>
              </w:rPr>
              <w:t>Gender</w:t>
            </w:r>
          </w:p>
        </w:tc>
        <w:tc>
          <w:tcPr>
            <w:tcW w:w="4645" w:type="dxa"/>
          </w:tcPr>
          <w:p w14:paraId="3AF76EF4" w14:textId="13582FA0" w:rsidR="00E023CE" w:rsidRPr="002D760F" w:rsidRDefault="00E023CE" w:rsidP="00454DDE">
            <w:pPr>
              <w:jc w:val="both"/>
              <w:rPr>
                <w:rFonts w:ascii="Arial" w:hAnsi="Arial" w:cs="Arial"/>
                <w:sz w:val="20"/>
                <w:szCs w:val="20"/>
                <w:lang w:val="en-US"/>
              </w:rPr>
            </w:pPr>
            <w:r w:rsidRPr="002D760F">
              <w:rPr>
                <w:rFonts w:ascii="Arial" w:hAnsi="Arial" w:cs="Arial"/>
                <w:sz w:val="20"/>
                <w:szCs w:val="20"/>
                <w:lang w:val="en-US"/>
              </w:rPr>
              <w:t>Male</w:t>
            </w:r>
          </w:p>
        </w:tc>
        <w:tc>
          <w:tcPr>
            <w:tcW w:w="1366" w:type="dxa"/>
          </w:tcPr>
          <w:p w14:paraId="41684774" w14:textId="58718C29" w:rsidR="00E023CE" w:rsidRPr="002D760F" w:rsidRDefault="002D492C" w:rsidP="00454DDE">
            <w:pPr>
              <w:jc w:val="both"/>
              <w:rPr>
                <w:rFonts w:ascii="Arial" w:hAnsi="Arial" w:cs="Arial"/>
                <w:sz w:val="20"/>
                <w:szCs w:val="20"/>
                <w:lang w:val="en-US"/>
              </w:rPr>
            </w:pPr>
            <w:r w:rsidRPr="002D760F">
              <w:rPr>
                <w:rFonts w:ascii="Arial" w:hAnsi="Arial" w:cs="Arial"/>
                <w:sz w:val="20"/>
                <w:szCs w:val="20"/>
                <w:lang w:val="en-US"/>
              </w:rPr>
              <w:t>1</w:t>
            </w:r>
          </w:p>
        </w:tc>
      </w:tr>
      <w:tr w:rsidR="00E023CE" w:rsidRPr="002D760F" w14:paraId="0270DA1E" w14:textId="77777777" w:rsidTr="00355DEA">
        <w:tc>
          <w:tcPr>
            <w:tcW w:w="3005" w:type="dxa"/>
          </w:tcPr>
          <w:p w14:paraId="5F6CCC3B" w14:textId="77777777" w:rsidR="00E023CE" w:rsidRPr="002D760F" w:rsidRDefault="00E023CE" w:rsidP="00454DDE">
            <w:pPr>
              <w:jc w:val="both"/>
              <w:rPr>
                <w:rFonts w:ascii="Arial" w:hAnsi="Arial" w:cs="Arial"/>
                <w:sz w:val="20"/>
                <w:szCs w:val="20"/>
                <w:lang w:val="en-US"/>
              </w:rPr>
            </w:pPr>
          </w:p>
        </w:tc>
        <w:tc>
          <w:tcPr>
            <w:tcW w:w="4645" w:type="dxa"/>
          </w:tcPr>
          <w:p w14:paraId="6BE3CC72" w14:textId="3991183D" w:rsidR="00E023CE" w:rsidRPr="002D760F" w:rsidRDefault="00E023CE" w:rsidP="00454DDE">
            <w:pPr>
              <w:jc w:val="both"/>
              <w:rPr>
                <w:rFonts w:ascii="Arial" w:hAnsi="Arial" w:cs="Arial"/>
                <w:sz w:val="20"/>
                <w:szCs w:val="20"/>
                <w:lang w:val="en-US"/>
              </w:rPr>
            </w:pPr>
            <w:r w:rsidRPr="002D760F">
              <w:rPr>
                <w:rFonts w:ascii="Arial" w:hAnsi="Arial" w:cs="Arial"/>
                <w:sz w:val="20"/>
                <w:szCs w:val="20"/>
                <w:lang w:val="en-US"/>
              </w:rPr>
              <w:t>Female</w:t>
            </w:r>
            <w:r w:rsidR="00A84CAB">
              <w:rPr>
                <w:rFonts w:ascii="Arial" w:hAnsi="Arial" w:cs="Arial"/>
                <w:sz w:val="20"/>
                <w:szCs w:val="20"/>
                <w:lang w:val="en-US"/>
              </w:rPr>
              <w:t xml:space="preserve"> (Reference)</w:t>
            </w:r>
          </w:p>
        </w:tc>
        <w:tc>
          <w:tcPr>
            <w:tcW w:w="1366" w:type="dxa"/>
          </w:tcPr>
          <w:p w14:paraId="1D272987" w14:textId="171AD711" w:rsidR="00E023CE" w:rsidRPr="002D760F" w:rsidRDefault="002D492C" w:rsidP="00454DDE">
            <w:pPr>
              <w:jc w:val="both"/>
              <w:rPr>
                <w:rFonts w:ascii="Arial" w:hAnsi="Arial" w:cs="Arial"/>
                <w:sz w:val="20"/>
                <w:szCs w:val="20"/>
                <w:lang w:val="en-US"/>
              </w:rPr>
            </w:pPr>
            <w:r w:rsidRPr="002D760F">
              <w:rPr>
                <w:rFonts w:ascii="Arial" w:hAnsi="Arial" w:cs="Arial"/>
                <w:sz w:val="20"/>
                <w:szCs w:val="20"/>
                <w:lang w:val="en-US"/>
              </w:rPr>
              <w:t>0</w:t>
            </w:r>
          </w:p>
        </w:tc>
      </w:tr>
      <w:tr w:rsidR="00E023CE" w:rsidRPr="002D760F" w14:paraId="6D25ECFC" w14:textId="77777777" w:rsidTr="00355DEA">
        <w:tc>
          <w:tcPr>
            <w:tcW w:w="3005" w:type="dxa"/>
          </w:tcPr>
          <w:p w14:paraId="23BD1AD7" w14:textId="775416C5" w:rsidR="00E023CE" w:rsidRPr="002D760F" w:rsidRDefault="00E023CE" w:rsidP="00454DDE">
            <w:pPr>
              <w:jc w:val="both"/>
              <w:rPr>
                <w:rFonts w:ascii="Arial" w:hAnsi="Arial" w:cs="Arial"/>
                <w:sz w:val="20"/>
                <w:szCs w:val="20"/>
                <w:lang w:val="en-US"/>
              </w:rPr>
            </w:pPr>
            <w:r w:rsidRPr="002D760F">
              <w:rPr>
                <w:rFonts w:ascii="Arial" w:hAnsi="Arial" w:cs="Arial"/>
                <w:sz w:val="20"/>
                <w:szCs w:val="20"/>
                <w:lang w:val="en-US"/>
              </w:rPr>
              <w:t>Bank Account</w:t>
            </w:r>
          </w:p>
        </w:tc>
        <w:tc>
          <w:tcPr>
            <w:tcW w:w="4645" w:type="dxa"/>
          </w:tcPr>
          <w:p w14:paraId="28BB7F13" w14:textId="3D1FA0A4" w:rsidR="00E023CE" w:rsidRPr="002D760F" w:rsidRDefault="00E023CE" w:rsidP="00454DDE">
            <w:pPr>
              <w:jc w:val="both"/>
              <w:rPr>
                <w:rFonts w:ascii="Arial" w:hAnsi="Arial" w:cs="Arial"/>
                <w:sz w:val="20"/>
                <w:szCs w:val="20"/>
                <w:lang w:val="en-US"/>
              </w:rPr>
            </w:pPr>
            <w:r w:rsidRPr="002D760F">
              <w:rPr>
                <w:rFonts w:ascii="Arial" w:hAnsi="Arial" w:cs="Arial"/>
                <w:sz w:val="20"/>
                <w:szCs w:val="20"/>
                <w:lang w:val="en-US"/>
              </w:rPr>
              <w:t>Yes</w:t>
            </w:r>
          </w:p>
        </w:tc>
        <w:tc>
          <w:tcPr>
            <w:tcW w:w="1366" w:type="dxa"/>
          </w:tcPr>
          <w:p w14:paraId="3C06D4FE" w14:textId="7BB9564D" w:rsidR="00E023CE" w:rsidRPr="002D760F" w:rsidRDefault="002D492C" w:rsidP="00454DDE">
            <w:pPr>
              <w:jc w:val="both"/>
              <w:rPr>
                <w:rFonts w:ascii="Arial" w:hAnsi="Arial" w:cs="Arial"/>
                <w:sz w:val="20"/>
                <w:szCs w:val="20"/>
                <w:lang w:val="en-US"/>
              </w:rPr>
            </w:pPr>
            <w:r w:rsidRPr="002D760F">
              <w:rPr>
                <w:rFonts w:ascii="Arial" w:hAnsi="Arial" w:cs="Arial"/>
                <w:sz w:val="20"/>
                <w:szCs w:val="20"/>
                <w:lang w:val="en-US"/>
              </w:rPr>
              <w:t>1</w:t>
            </w:r>
          </w:p>
        </w:tc>
      </w:tr>
      <w:tr w:rsidR="00E023CE" w:rsidRPr="002D760F" w14:paraId="4B79C8D8" w14:textId="77777777" w:rsidTr="00355DEA">
        <w:tc>
          <w:tcPr>
            <w:tcW w:w="3005" w:type="dxa"/>
          </w:tcPr>
          <w:p w14:paraId="1B3D95EF" w14:textId="77777777" w:rsidR="00E023CE" w:rsidRPr="002D760F" w:rsidRDefault="00E023CE" w:rsidP="00454DDE">
            <w:pPr>
              <w:jc w:val="both"/>
              <w:rPr>
                <w:rFonts w:ascii="Arial" w:hAnsi="Arial" w:cs="Arial"/>
                <w:sz w:val="20"/>
                <w:szCs w:val="20"/>
                <w:lang w:val="en-US"/>
              </w:rPr>
            </w:pPr>
          </w:p>
        </w:tc>
        <w:tc>
          <w:tcPr>
            <w:tcW w:w="4645" w:type="dxa"/>
          </w:tcPr>
          <w:p w14:paraId="24ADBFAD" w14:textId="14E25F73" w:rsidR="00E023CE" w:rsidRPr="002D760F" w:rsidRDefault="00E023CE" w:rsidP="00454DDE">
            <w:pPr>
              <w:jc w:val="both"/>
              <w:rPr>
                <w:rFonts w:ascii="Arial" w:hAnsi="Arial" w:cs="Arial"/>
                <w:sz w:val="20"/>
                <w:szCs w:val="20"/>
                <w:lang w:val="en-US"/>
              </w:rPr>
            </w:pPr>
            <w:r w:rsidRPr="002D760F">
              <w:rPr>
                <w:rFonts w:ascii="Arial" w:hAnsi="Arial" w:cs="Arial"/>
                <w:sz w:val="20"/>
                <w:szCs w:val="20"/>
                <w:lang w:val="en-US"/>
              </w:rPr>
              <w:t>No</w:t>
            </w:r>
          </w:p>
        </w:tc>
        <w:tc>
          <w:tcPr>
            <w:tcW w:w="1366" w:type="dxa"/>
          </w:tcPr>
          <w:p w14:paraId="389F1F1F" w14:textId="1030D1D8" w:rsidR="00E023CE" w:rsidRPr="002D760F" w:rsidRDefault="002D492C" w:rsidP="00454DDE">
            <w:pPr>
              <w:jc w:val="both"/>
              <w:rPr>
                <w:rFonts w:ascii="Arial" w:hAnsi="Arial" w:cs="Arial"/>
                <w:sz w:val="20"/>
                <w:szCs w:val="20"/>
                <w:lang w:val="en-US"/>
              </w:rPr>
            </w:pPr>
            <w:r w:rsidRPr="002D760F">
              <w:rPr>
                <w:rFonts w:ascii="Arial" w:hAnsi="Arial" w:cs="Arial"/>
                <w:sz w:val="20"/>
                <w:szCs w:val="20"/>
                <w:lang w:val="en-US"/>
              </w:rPr>
              <w:t>0</w:t>
            </w:r>
          </w:p>
        </w:tc>
      </w:tr>
      <w:tr w:rsidR="00E023CE" w:rsidRPr="002D760F" w14:paraId="23B56E29" w14:textId="77777777" w:rsidTr="00355DEA">
        <w:tc>
          <w:tcPr>
            <w:tcW w:w="3005" w:type="dxa"/>
          </w:tcPr>
          <w:p w14:paraId="4D39AAAF" w14:textId="7C65507C" w:rsidR="00E023CE" w:rsidRPr="002D760F" w:rsidRDefault="00E023CE" w:rsidP="00454DDE">
            <w:pPr>
              <w:jc w:val="both"/>
              <w:rPr>
                <w:rFonts w:ascii="Arial" w:hAnsi="Arial" w:cs="Arial"/>
                <w:sz w:val="20"/>
                <w:szCs w:val="20"/>
                <w:lang w:val="en-US"/>
              </w:rPr>
            </w:pPr>
            <w:r w:rsidRPr="002D760F">
              <w:rPr>
                <w:rFonts w:ascii="Arial" w:hAnsi="Arial" w:cs="Arial"/>
                <w:sz w:val="20"/>
                <w:szCs w:val="20"/>
                <w:lang w:val="en-US"/>
              </w:rPr>
              <w:t>Land Ownership</w:t>
            </w:r>
          </w:p>
        </w:tc>
        <w:tc>
          <w:tcPr>
            <w:tcW w:w="4645" w:type="dxa"/>
          </w:tcPr>
          <w:p w14:paraId="3855EA9E" w14:textId="2D8601C2" w:rsidR="00E023CE" w:rsidRPr="002D760F" w:rsidRDefault="00E023CE" w:rsidP="00454DDE">
            <w:pPr>
              <w:jc w:val="both"/>
              <w:rPr>
                <w:rFonts w:ascii="Arial" w:hAnsi="Arial" w:cs="Arial"/>
                <w:sz w:val="20"/>
                <w:szCs w:val="20"/>
                <w:lang w:val="en-US"/>
              </w:rPr>
            </w:pPr>
            <w:r w:rsidRPr="002D760F">
              <w:rPr>
                <w:rFonts w:ascii="Arial" w:hAnsi="Arial" w:cs="Arial"/>
                <w:sz w:val="20"/>
                <w:szCs w:val="20"/>
                <w:lang w:val="en-US"/>
              </w:rPr>
              <w:t>Yes</w:t>
            </w:r>
            <w:r w:rsidR="005629C1" w:rsidRPr="002D760F">
              <w:rPr>
                <w:rFonts w:ascii="Arial" w:hAnsi="Arial" w:cs="Arial"/>
                <w:sz w:val="20"/>
                <w:szCs w:val="20"/>
                <w:lang w:val="en-US"/>
              </w:rPr>
              <w:t xml:space="preserve"> (Reference)</w:t>
            </w:r>
          </w:p>
        </w:tc>
        <w:tc>
          <w:tcPr>
            <w:tcW w:w="1366" w:type="dxa"/>
          </w:tcPr>
          <w:p w14:paraId="53169094" w14:textId="3BEF0756" w:rsidR="00E023CE" w:rsidRPr="002D760F" w:rsidRDefault="002D492C" w:rsidP="00454DDE">
            <w:pPr>
              <w:jc w:val="both"/>
              <w:rPr>
                <w:rFonts w:ascii="Arial" w:hAnsi="Arial" w:cs="Arial"/>
                <w:sz w:val="20"/>
                <w:szCs w:val="20"/>
                <w:lang w:val="en-US"/>
              </w:rPr>
            </w:pPr>
            <w:r w:rsidRPr="002D760F">
              <w:rPr>
                <w:rFonts w:ascii="Arial" w:hAnsi="Arial" w:cs="Arial"/>
                <w:sz w:val="20"/>
                <w:szCs w:val="20"/>
                <w:lang w:val="en-US"/>
              </w:rPr>
              <w:t>1</w:t>
            </w:r>
          </w:p>
        </w:tc>
      </w:tr>
      <w:tr w:rsidR="00E023CE" w:rsidRPr="002D760F" w14:paraId="44AB5CE6" w14:textId="77777777" w:rsidTr="00355DEA">
        <w:tc>
          <w:tcPr>
            <w:tcW w:w="3005" w:type="dxa"/>
          </w:tcPr>
          <w:p w14:paraId="4DBCDF3D" w14:textId="77777777" w:rsidR="00E023CE" w:rsidRPr="002D760F" w:rsidRDefault="00E023CE" w:rsidP="00454DDE">
            <w:pPr>
              <w:jc w:val="both"/>
              <w:rPr>
                <w:rFonts w:ascii="Arial" w:hAnsi="Arial" w:cs="Arial"/>
                <w:sz w:val="20"/>
                <w:szCs w:val="20"/>
                <w:lang w:val="en-US"/>
              </w:rPr>
            </w:pPr>
          </w:p>
        </w:tc>
        <w:tc>
          <w:tcPr>
            <w:tcW w:w="4645" w:type="dxa"/>
          </w:tcPr>
          <w:p w14:paraId="61CCF3F6" w14:textId="12C6BD7F" w:rsidR="00E023CE" w:rsidRPr="002D760F" w:rsidRDefault="00E023CE" w:rsidP="00454DDE">
            <w:pPr>
              <w:jc w:val="both"/>
              <w:rPr>
                <w:rFonts w:ascii="Arial" w:hAnsi="Arial" w:cs="Arial"/>
                <w:sz w:val="20"/>
                <w:szCs w:val="20"/>
                <w:lang w:val="en-US"/>
              </w:rPr>
            </w:pPr>
            <w:r w:rsidRPr="002D760F">
              <w:rPr>
                <w:rFonts w:ascii="Arial" w:hAnsi="Arial" w:cs="Arial"/>
                <w:sz w:val="20"/>
                <w:szCs w:val="20"/>
                <w:lang w:val="en-US"/>
              </w:rPr>
              <w:t>No</w:t>
            </w:r>
          </w:p>
        </w:tc>
        <w:tc>
          <w:tcPr>
            <w:tcW w:w="1366" w:type="dxa"/>
          </w:tcPr>
          <w:p w14:paraId="0EB8052E" w14:textId="5BF94D1A" w:rsidR="00E023CE" w:rsidRPr="002D760F" w:rsidRDefault="002D492C" w:rsidP="00454DDE">
            <w:pPr>
              <w:jc w:val="both"/>
              <w:rPr>
                <w:rFonts w:ascii="Arial" w:hAnsi="Arial" w:cs="Arial"/>
                <w:sz w:val="20"/>
                <w:szCs w:val="20"/>
                <w:lang w:val="en-US"/>
              </w:rPr>
            </w:pPr>
            <w:r w:rsidRPr="002D760F">
              <w:rPr>
                <w:rFonts w:ascii="Arial" w:hAnsi="Arial" w:cs="Arial"/>
                <w:sz w:val="20"/>
                <w:szCs w:val="20"/>
                <w:lang w:val="en-US"/>
              </w:rPr>
              <w:t>0</w:t>
            </w:r>
          </w:p>
        </w:tc>
      </w:tr>
      <w:tr w:rsidR="00E023CE" w:rsidRPr="002D760F" w14:paraId="179AF34E" w14:textId="77777777" w:rsidTr="00355DEA">
        <w:tc>
          <w:tcPr>
            <w:tcW w:w="3005" w:type="dxa"/>
          </w:tcPr>
          <w:p w14:paraId="35F884CE" w14:textId="1630314D" w:rsidR="00E023CE" w:rsidRPr="002D760F" w:rsidRDefault="00E023CE" w:rsidP="00454DDE">
            <w:pPr>
              <w:jc w:val="both"/>
              <w:rPr>
                <w:rFonts w:ascii="Arial" w:hAnsi="Arial" w:cs="Arial"/>
                <w:sz w:val="20"/>
                <w:szCs w:val="20"/>
                <w:lang w:val="en-US"/>
              </w:rPr>
            </w:pPr>
            <w:r w:rsidRPr="002D760F">
              <w:rPr>
                <w:rFonts w:ascii="Arial" w:hAnsi="Arial" w:cs="Arial"/>
                <w:sz w:val="20"/>
                <w:szCs w:val="20"/>
                <w:lang w:val="en-US"/>
              </w:rPr>
              <w:t>Education Level</w:t>
            </w:r>
          </w:p>
        </w:tc>
        <w:tc>
          <w:tcPr>
            <w:tcW w:w="4645" w:type="dxa"/>
          </w:tcPr>
          <w:p w14:paraId="1A0BAE53" w14:textId="28F1EB21" w:rsidR="00E023CE" w:rsidRPr="002D760F" w:rsidRDefault="00E023CE" w:rsidP="00454DDE">
            <w:pPr>
              <w:jc w:val="both"/>
              <w:rPr>
                <w:rFonts w:ascii="Arial" w:hAnsi="Arial" w:cs="Arial"/>
                <w:sz w:val="20"/>
                <w:szCs w:val="20"/>
                <w:lang w:val="en-US"/>
              </w:rPr>
            </w:pPr>
            <w:r w:rsidRPr="002D760F">
              <w:rPr>
                <w:rFonts w:ascii="Arial" w:hAnsi="Arial" w:cs="Arial"/>
                <w:sz w:val="20"/>
                <w:szCs w:val="20"/>
                <w:lang w:val="en-US"/>
              </w:rPr>
              <w:t>Illiterate</w:t>
            </w:r>
          </w:p>
        </w:tc>
        <w:tc>
          <w:tcPr>
            <w:tcW w:w="1366" w:type="dxa"/>
          </w:tcPr>
          <w:p w14:paraId="4D2B77AD" w14:textId="060FB6A4" w:rsidR="00E023CE" w:rsidRPr="002D760F" w:rsidRDefault="002D492C" w:rsidP="00454DDE">
            <w:pPr>
              <w:jc w:val="both"/>
              <w:rPr>
                <w:rFonts w:ascii="Arial" w:hAnsi="Arial" w:cs="Arial"/>
                <w:sz w:val="20"/>
                <w:szCs w:val="20"/>
                <w:lang w:val="en-US"/>
              </w:rPr>
            </w:pPr>
            <w:r w:rsidRPr="002D760F">
              <w:rPr>
                <w:rFonts w:ascii="Arial" w:hAnsi="Arial" w:cs="Arial"/>
                <w:sz w:val="20"/>
                <w:szCs w:val="20"/>
                <w:lang w:val="en-US"/>
              </w:rPr>
              <w:t>1</w:t>
            </w:r>
          </w:p>
        </w:tc>
      </w:tr>
      <w:tr w:rsidR="00E023CE" w:rsidRPr="002D760F" w14:paraId="459965A6" w14:textId="77777777" w:rsidTr="00355DEA">
        <w:tc>
          <w:tcPr>
            <w:tcW w:w="3005" w:type="dxa"/>
          </w:tcPr>
          <w:p w14:paraId="662A9B07" w14:textId="77777777" w:rsidR="00E023CE" w:rsidRPr="002D760F" w:rsidRDefault="00E023CE" w:rsidP="00454DDE">
            <w:pPr>
              <w:jc w:val="both"/>
              <w:rPr>
                <w:rFonts w:ascii="Arial" w:hAnsi="Arial" w:cs="Arial"/>
                <w:sz w:val="20"/>
                <w:szCs w:val="20"/>
                <w:lang w:val="en-US"/>
              </w:rPr>
            </w:pPr>
          </w:p>
        </w:tc>
        <w:tc>
          <w:tcPr>
            <w:tcW w:w="4645" w:type="dxa"/>
          </w:tcPr>
          <w:p w14:paraId="0B8A5874" w14:textId="330DECE8" w:rsidR="00E023CE" w:rsidRPr="002D760F" w:rsidRDefault="00E023CE" w:rsidP="00454DDE">
            <w:pPr>
              <w:jc w:val="both"/>
              <w:rPr>
                <w:rFonts w:ascii="Arial" w:hAnsi="Arial" w:cs="Arial"/>
                <w:sz w:val="20"/>
                <w:szCs w:val="20"/>
                <w:lang w:val="en-US"/>
              </w:rPr>
            </w:pPr>
            <w:r w:rsidRPr="002D760F">
              <w:rPr>
                <w:rFonts w:ascii="Arial" w:hAnsi="Arial" w:cs="Arial"/>
                <w:sz w:val="20"/>
                <w:szCs w:val="20"/>
                <w:lang w:val="en-US"/>
              </w:rPr>
              <w:t>Literate</w:t>
            </w:r>
          </w:p>
        </w:tc>
        <w:tc>
          <w:tcPr>
            <w:tcW w:w="1366" w:type="dxa"/>
          </w:tcPr>
          <w:p w14:paraId="557005BF" w14:textId="23DE5D0A" w:rsidR="00E023CE" w:rsidRPr="002D760F" w:rsidRDefault="002D492C" w:rsidP="00454DDE">
            <w:pPr>
              <w:jc w:val="both"/>
              <w:rPr>
                <w:rFonts w:ascii="Arial" w:hAnsi="Arial" w:cs="Arial"/>
                <w:sz w:val="20"/>
                <w:szCs w:val="20"/>
                <w:lang w:val="en-US"/>
              </w:rPr>
            </w:pPr>
            <w:r w:rsidRPr="002D760F">
              <w:rPr>
                <w:rFonts w:ascii="Arial" w:hAnsi="Arial" w:cs="Arial"/>
                <w:sz w:val="20"/>
                <w:szCs w:val="20"/>
                <w:lang w:val="en-US"/>
              </w:rPr>
              <w:t>0</w:t>
            </w:r>
          </w:p>
        </w:tc>
      </w:tr>
      <w:tr w:rsidR="00E023CE" w:rsidRPr="002D760F" w14:paraId="5CC3ED18" w14:textId="77777777" w:rsidTr="00355DEA">
        <w:tc>
          <w:tcPr>
            <w:tcW w:w="3005" w:type="dxa"/>
          </w:tcPr>
          <w:p w14:paraId="5581193F" w14:textId="1B07AC96" w:rsidR="00E023CE" w:rsidRPr="002D760F" w:rsidRDefault="00E023CE" w:rsidP="00454DDE">
            <w:pPr>
              <w:jc w:val="both"/>
              <w:rPr>
                <w:rFonts w:ascii="Arial" w:hAnsi="Arial" w:cs="Arial"/>
                <w:sz w:val="20"/>
                <w:szCs w:val="20"/>
                <w:lang w:val="en-US"/>
              </w:rPr>
            </w:pPr>
            <w:r w:rsidRPr="002D760F">
              <w:rPr>
                <w:rFonts w:ascii="Arial" w:hAnsi="Arial" w:cs="Arial"/>
                <w:sz w:val="20"/>
                <w:szCs w:val="20"/>
                <w:lang w:val="en-US"/>
              </w:rPr>
              <w:t>Income</w:t>
            </w:r>
          </w:p>
        </w:tc>
        <w:tc>
          <w:tcPr>
            <w:tcW w:w="4645" w:type="dxa"/>
          </w:tcPr>
          <w:p w14:paraId="54B270BC" w14:textId="14EA30FA" w:rsidR="00E023CE" w:rsidRPr="002D760F" w:rsidRDefault="00E023CE" w:rsidP="00454DDE">
            <w:pPr>
              <w:jc w:val="both"/>
              <w:rPr>
                <w:rFonts w:ascii="Arial" w:hAnsi="Arial" w:cs="Arial"/>
                <w:sz w:val="20"/>
                <w:szCs w:val="20"/>
                <w:lang w:val="en-US"/>
              </w:rPr>
            </w:pPr>
            <w:r w:rsidRPr="002D760F">
              <w:rPr>
                <w:rFonts w:ascii="Arial" w:hAnsi="Arial" w:cs="Arial"/>
                <w:sz w:val="20"/>
                <w:szCs w:val="20"/>
                <w:lang w:val="en-US"/>
              </w:rPr>
              <w:t>Bottom 20%</w:t>
            </w:r>
            <w:r w:rsidR="005629C1" w:rsidRPr="002D760F">
              <w:rPr>
                <w:rFonts w:ascii="Arial" w:hAnsi="Arial" w:cs="Arial"/>
                <w:sz w:val="20"/>
                <w:szCs w:val="20"/>
                <w:lang w:val="en-US"/>
              </w:rPr>
              <w:t>(Reference)</w:t>
            </w:r>
          </w:p>
        </w:tc>
        <w:tc>
          <w:tcPr>
            <w:tcW w:w="1366" w:type="dxa"/>
          </w:tcPr>
          <w:p w14:paraId="5C9BB6E2" w14:textId="5A1C9F2D" w:rsidR="00E023CE" w:rsidRPr="002D760F" w:rsidRDefault="002D492C" w:rsidP="00454DDE">
            <w:pPr>
              <w:jc w:val="both"/>
              <w:rPr>
                <w:rFonts w:ascii="Arial" w:hAnsi="Arial" w:cs="Arial"/>
                <w:sz w:val="20"/>
                <w:szCs w:val="20"/>
                <w:lang w:val="en-US"/>
              </w:rPr>
            </w:pPr>
            <w:r w:rsidRPr="002D760F">
              <w:rPr>
                <w:rFonts w:ascii="Arial" w:hAnsi="Arial" w:cs="Arial"/>
                <w:sz w:val="20"/>
                <w:szCs w:val="20"/>
                <w:lang w:val="en-US"/>
              </w:rPr>
              <w:t>1</w:t>
            </w:r>
          </w:p>
        </w:tc>
      </w:tr>
      <w:tr w:rsidR="00E023CE" w:rsidRPr="002D760F" w14:paraId="7F10CB75" w14:textId="77777777" w:rsidTr="00355DEA">
        <w:tc>
          <w:tcPr>
            <w:tcW w:w="3005" w:type="dxa"/>
          </w:tcPr>
          <w:p w14:paraId="0148A285" w14:textId="77777777" w:rsidR="00E023CE" w:rsidRPr="002D760F" w:rsidRDefault="00E023CE" w:rsidP="00454DDE">
            <w:pPr>
              <w:jc w:val="both"/>
              <w:rPr>
                <w:rFonts w:ascii="Arial" w:hAnsi="Arial" w:cs="Arial"/>
                <w:sz w:val="20"/>
                <w:szCs w:val="20"/>
                <w:lang w:val="en-US"/>
              </w:rPr>
            </w:pPr>
          </w:p>
        </w:tc>
        <w:tc>
          <w:tcPr>
            <w:tcW w:w="4645" w:type="dxa"/>
          </w:tcPr>
          <w:p w14:paraId="5A8F7EB7" w14:textId="2D2E625F" w:rsidR="00E023CE" w:rsidRPr="002D760F" w:rsidRDefault="00E023CE" w:rsidP="00454DDE">
            <w:pPr>
              <w:jc w:val="both"/>
              <w:rPr>
                <w:rFonts w:ascii="Arial" w:hAnsi="Arial" w:cs="Arial"/>
                <w:sz w:val="20"/>
                <w:szCs w:val="20"/>
                <w:lang w:val="en-US"/>
              </w:rPr>
            </w:pPr>
            <w:r w:rsidRPr="002D760F">
              <w:rPr>
                <w:rFonts w:ascii="Arial" w:hAnsi="Arial" w:cs="Arial"/>
                <w:sz w:val="20"/>
                <w:szCs w:val="20"/>
                <w:lang w:val="en-US"/>
              </w:rPr>
              <w:t>Middle 60%</w:t>
            </w:r>
          </w:p>
        </w:tc>
        <w:tc>
          <w:tcPr>
            <w:tcW w:w="1366" w:type="dxa"/>
          </w:tcPr>
          <w:p w14:paraId="4DFD0760" w14:textId="17136CA6" w:rsidR="00E023CE" w:rsidRPr="002D760F" w:rsidRDefault="002D492C" w:rsidP="00454DDE">
            <w:pPr>
              <w:jc w:val="both"/>
              <w:rPr>
                <w:rFonts w:ascii="Arial" w:hAnsi="Arial" w:cs="Arial"/>
                <w:sz w:val="20"/>
                <w:szCs w:val="20"/>
                <w:lang w:val="en-US"/>
              </w:rPr>
            </w:pPr>
            <w:r w:rsidRPr="002D760F">
              <w:rPr>
                <w:rFonts w:ascii="Arial" w:hAnsi="Arial" w:cs="Arial"/>
                <w:sz w:val="20"/>
                <w:szCs w:val="20"/>
                <w:lang w:val="en-US"/>
              </w:rPr>
              <w:t>0</w:t>
            </w:r>
          </w:p>
        </w:tc>
      </w:tr>
      <w:tr w:rsidR="00E023CE" w:rsidRPr="002D760F" w14:paraId="1901C58B" w14:textId="77777777" w:rsidTr="00355DEA">
        <w:tc>
          <w:tcPr>
            <w:tcW w:w="3005" w:type="dxa"/>
          </w:tcPr>
          <w:p w14:paraId="2C953944" w14:textId="77777777" w:rsidR="00E023CE" w:rsidRPr="002D760F" w:rsidRDefault="00E023CE" w:rsidP="00454DDE">
            <w:pPr>
              <w:jc w:val="both"/>
              <w:rPr>
                <w:rFonts w:ascii="Arial" w:hAnsi="Arial" w:cs="Arial"/>
                <w:sz w:val="20"/>
                <w:szCs w:val="20"/>
                <w:lang w:val="en-US"/>
              </w:rPr>
            </w:pPr>
          </w:p>
        </w:tc>
        <w:tc>
          <w:tcPr>
            <w:tcW w:w="4645" w:type="dxa"/>
          </w:tcPr>
          <w:p w14:paraId="73C2BE7E" w14:textId="33CE7279" w:rsidR="00E023CE" w:rsidRPr="002D760F" w:rsidRDefault="00E023CE" w:rsidP="00454DDE">
            <w:pPr>
              <w:jc w:val="both"/>
              <w:rPr>
                <w:rFonts w:ascii="Arial" w:hAnsi="Arial" w:cs="Arial"/>
                <w:sz w:val="20"/>
                <w:szCs w:val="20"/>
                <w:lang w:val="en-US"/>
              </w:rPr>
            </w:pPr>
            <w:r w:rsidRPr="002D760F">
              <w:rPr>
                <w:rFonts w:ascii="Arial" w:hAnsi="Arial" w:cs="Arial"/>
                <w:sz w:val="20"/>
                <w:szCs w:val="20"/>
                <w:lang w:val="en-US"/>
              </w:rPr>
              <w:t>Richest 20%</w:t>
            </w:r>
          </w:p>
        </w:tc>
        <w:tc>
          <w:tcPr>
            <w:tcW w:w="1366" w:type="dxa"/>
          </w:tcPr>
          <w:p w14:paraId="1112CAFB" w14:textId="51D082C8" w:rsidR="00E023CE" w:rsidRPr="002D760F" w:rsidRDefault="002D492C" w:rsidP="00454DDE">
            <w:pPr>
              <w:jc w:val="both"/>
              <w:rPr>
                <w:rFonts w:ascii="Arial" w:hAnsi="Arial" w:cs="Arial"/>
                <w:sz w:val="20"/>
                <w:szCs w:val="20"/>
                <w:lang w:val="en-US"/>
              </w:rPr>
            </w:pPr>
            <w:r w:rsidRPr="002D760F">
              <w:rPr>
                <w:rFonts w:ascii="Arial" w:hAnsi="Arial" w:cs="Arial"/>
                <w:sz w:val="20"/>
                <w:szCs w:val="20"/>
                <w:lang w:val="en-US"/>
              </w:rPr>
              <w:t>2</w:t>
            </w:r>
          </w:p>
        </w:tc>
      </w:tr>
      <w:tr w:rsidR="00E023CE" w:rsidRPr="002D760F" w14:paraId="2C89A276" w14:textId="77777777" w:rsidTr="00355DEA">
        <w:tc>
          <w:tcPr>
            <w:tcW w:w="3005" w:type="dxa"/>
          </w:tcPr>
          <w:p w14:paraId="5EEE3A93" w14:textId="19ED9355" w:rsidR="00E023CE" w:rsidRPr="002D760F" w:rsidRDefault="00E023CE" w:rsidP="00454DDE">
            <w:pPr>
              <w:jc w:val="both"/>
              <w:rPr>
                <w:rFonts w:ascii="Arial" w:hAnsi="Arial" w:cs="Arial"/>
                <w:sz w:val="20"/>
                <w:szCs w:val="20"/>
                <w:lang w:val="en-US"/>
              </w:rPr>
            </w:pPr>
            <w:r w:rsidRPr="002D760F">
              <w:rPr>
                <w:rFonts w:ascii="Arial" w:hAnsi="Arial" w:cs="Arial"/>
                <w:sz w:val="20"/>
                <w:szCs w:val="20"/>
                <w:lang w:val="en-US"/>
              </w:rPr>
              <w:t>Age</w:t>
            </w:r>
          </w:p>
        </w:tc>
        <w:tc>
          <w:tcPr>
            <w:tcW w:w="4645" w:type="dxa"/>
          </w:tcPr>
          <w:p w14:paraId="7449FBA1" w14:textId="60FD5E21" w:rsidR="00E023CE" w:rsidRPr="002D760F" w:rsidRDefault="00A50ED7" w:rsidP="00454DDE">
            <w:pPr>
              <w:jc w:val="both"/>
              <w:rPr>
                <w:rFonts w:ascii="Arial" w:hAnsi="Arial" w:cs="Arial"/>
                <w:sz w:val="20"/>
                <w:szCs w:val="20"/>
                <w:lang w:val="en-US"/>
              </w:rPr>
            </w:pPr>
            <w:r w:rsidRPr="002D760F">
              <w:rPr>
                <w:rFonts w:ascii="Arial" w:hAnsi="Arial" w:cs="Arial"/>
                <w:sz w:val="20"/>
                <w:szCs w:val="20"/>
                <w:lang w:val="en-US"/>
              </w:rPr>
              <w:t>18/45</w:t>
            </w:r>
            <w:r w:rsidR="005629C1" w:rsidRPr="002D760F">
              <w:rPr>
                <w:rFonts w:ascii="Arial" w:hAnsi="Arial" w:cs="Arial"/>
                <w:sz w:val="20"/>
                <w:szCs w:val="20"/>
                <w:lang w:val="en-US"/>
              </w:rPr>
              <w:t xml:space="preserve"> (Reference)</w:t>
            </w:r>
          </w:p>
        </w:tc>
        <w:tc>
          <w:tcPr>
            <w:tcW w:w="1366" w:type="dxa"/>
          </w:tcPr>
          <w:p w14:paraId="554754B6" w14:textId="473615DC" w:rsidR="00E023CE" w:rsidRPr="002D760F" w:rsidRDefault="002D492C" w:rsidP="00454DDE">
            <w:pPr>
              <w:jc w:val="both"/>
              <w:rPr>
                <w:rFonts w:ascii="Arial" w:hAnsi="Arial" w:cs="Arial"/>
                <w:sz w:val="20"/>
                <w:szCs w:val="20"/>
                <w:lang w:val="en-US"/>
              </w:rPr>
            </w:pPr>
            <w:r w:rsidRPr="002D760F">
              <w:rPr>
                <w:rFonts w:ascii="Arial" w:hAnsi="Arial" w:cs="Arial"/>
                <w:sz w:val="20"/>
                <w:szCs w:val="20"/>
                <w:lang w:val="en-US"/>
              </w:rPr>
              <w:t>1</w:t>
            </w:r>
          </w:p>
        </w:tc>
      </w:tr>
      <w:tr w:rsidR="00E023CE" w:rsidRPr="002D760F" w14:paraId="342E2534" w14:textId="77777777" w:rsidTr="00355DEA">
        <w:tc>
          <w:tcPr>
            <w:tcW w:w="3005" w:type="dxa"/>
          </w:tcPr>
          <w:p w14:paraId="5519B90A" w14:textId="77777777" w:rsidR="00E023CE" w:rsidRPr="002D760F" w:rsidRDefault="00E023CE" w:rsidP="00454DDE">
            <w:pPr>
              <w:jc w:val="both"/>
              <w:rPr>
                <w:rFonts w:ascii="Arial" w:hAnsi="Arial" w:cs="Arial"/>
                <w:sz w:val="20"/>
                <w:szCs w:val="20"/>
                <w:lang w:val="en-US"/>
              </w:rPr>
            </w:pPr>
          </w:p>
        </w:tc>
        <w:tc>
          <w:tcPr>
            <w:tcW w:w="4645" w:type="dxa"/>
          </w:tcPr>
          <w:p w14:paraId="56DCA58C" w14:textId="2D77FE04" w:rsidR="00E023CE" w:rsidRPr="002D760F" w:rsidRDefault="00A50ED7" w:rsidP="00454DDE">
            <w:pPr>
              <w:jc w:val="both"/>
              <w:rPr>
                <w:rFonts w:ascii="Arial" w:hAnsi="Arial" w:cs="Arial"/>
                <w:sz w:val="20"/>
                <w:szCs w:val="20"/>
                <w:lang w:val="en-US"/>
              </w:rPr>
            </w:pPr>
            <w:r w:rsidRPr="002D760F">
              <w:rPr>
                <w:rFonts w:ascii="Arial" w:hAnsi="Arial" w:cs="Arial"/>
                <w:sz w:val="20"/>
                <w:szCs w:val="20"/>
                <w:lang w:val="en-US"/>
              </w:rPr>
              <w:t>0/17</w:t>
            </w:r>
          </w:p>
        </w:tc>
        <w:tc>
          <w:tcPr>
            <w:tcW w:w="1366" w:type="dxa"/>
          </w:tcPr>
          <w:p w14:paraId="69C7E1CB" w14:textId="00F185A6" w:rsidR="00E023CE" w:rsidRPr="002D760F" w:rsidRDefault="002D492C" w:rsidP="00454DDE">
            <w:pPr>
              <w:jc w:val="both"/>
              <w:rPr>
                <w:rFonts w:ascii="Arial" w:hAnsi="Arial" w:cs="Arial"/>
                <w:sz w:val="20"/>
                <w:szCs w:val="20"/>
                <w:lang w:val="en-US"/>
              </w:rPr>
            </w:pPr>
            <w:r w:rsidRPr="002D760F">
              <w:rPr>
                <w:rFonts w:ascii="Arial" w:hAnsi="Arial" w:cs="Arial"/>
                <w:sz w:val="20"/>
                <w:szCs w:val="20"/>
                <w:lang w:val="en-US"/>
              </w:rPr>
              <w:t>0</w:t>
            </w:r>
          </w:p>
        </w:tc>
      </w:tr>
      <w:tr w:rsidR="00A50ED7" w:rsidRPr="002D760F" w14:paraId="33F06B8C" w14:textId="77777777" w:rsidTr="00355DEA">
        <w:tc>
          <w:tcPr>
            <w:tcW w:w="3005" w:type="dxa"/>
          </w:tcPr>
          <w:p w14:paraId="06F0D2A8" w14:textId="77777777" w:rsidR="00A50ED7" w:rsidRPr="002D760F" w:rsidRDefault="00A50ED7" w:rsidP="00454DDE">
            <w:pPr>
              <w:jc w:val="both"/>
              <w:rPr>
                <w:rFonts w:ascii="Arial" w:hAnsi="Arial" w:cs="Arial"/>
                <w:sz w:val="20"/>
                <w:szCs w:val="20"/>
                <w:lang w:val="en-US"/>
              </w:rPr>
            </w:pPr>
          </w:p>
        </w:tc>
        <w:tc>
          <w:tcPr>
            <w:tcW w:w="4645" w:type="dxa"/>
          </w:tcPr>
          <w:p w14:paraId="5FCE3A8A" w14:textId="056B48EC" w:rsidR="00A50ED7" w:rsidRPr="002D760F" w:rsidRDefault="00A50ED7" w:rsidP="00454DDE">
            <w:pPr>
              <w:jc w:val="both"/>
              <w:rPr>
                <w:rFonts w:ascii="Arial" w:hAnsi="Arial" w:cs="Arial"/>
                <w:sz w:val="20"/>
                <w:szCs w:val="20"/>
                <w:lang w:val="en-US"/>
              </w:rPr>
            </w:pPr>
            <w:r w:rsidRPr="002D760F">
              <w:rPr>
                <w:rFonts w:ascii="Arial" w:hAnsi="Arial" w:cs="Arial"/>
                <w:sz w:val="20"/>
                <w:szCs w:val="20"/>
                <w:lang w:val="en-US"/>
              </w:rPr>
              <w:t>46/120</w:t>
            </w:r>
          </w:p>
        </w:tc>
        <w:tc>
          <w:tcPr>
            <w:tcW w:w="1366" w:type="dxa"/>
          </w:tcPr>
          <w:p w14:paraId="05A8B33A" w14:textId="7FD933E3" w:rsidR="00A50ED7" w:rsidRPr="002D760F" w:rsidRDefault="00A50ED7" w:rsidP="00454DDE">
            <w:pPr>
              <w:jc w:val="both"/>
              <w:rPr>
                <w:rFonts w:ascii="Arial" w:hAnsi="Arial" w:cs="Arial"/>
                <w:sz w:val="20"/>
                <w:szCs w:val="20"/>
                <w:lang w:val="en-US"/>
              </w:rPr>
            </w:pPr>
            <w:r w:rsidRPr="002D760F">
              <w:rPr>
                <w:rFonts w:ascii="Arial" w:hAnsi="Arial" w:cs="Arial"/>
                <w:sz w:val="20"/>
                <w:szCs w:val="20"/>
                <w:lang w:val="en-US"/>
              </w:rPr>
              <w:t>2</w:t>
            </w:r>
          </w:p>
        </w:tc>
      </w:tr>
      <w:tr w:rsidR="009C363F" w:rsidRPr="002D760F" w14:paraId="35BD77A1" w14:textId="77777777" w:rsidTr="00355DEA">
        <w:tc>
          <w:tcPr>
            <w:tcW w:w="3005" w:type="dxa"/>
          </w:tcPr>
          <w:p w14:paraId="415783A0" w14:textId="3D3D13FD" w:rsidR="009C363F" w:rsidRPr="002D760F" w:rsidRDefault="009C363F" w:rsidP="00454DDE">
            <w:pPr>
              <w:jc w:val="both"/>
              <w:rPr>
                <w:rFonts w:ascii="Arial" w:hAnsi="Arial" w:cs="Arial"/>
                <w:sz w:val="20"/>
                <w:szCs w:val="20"/>
                <w:lang w:val="en-US"/>
              </w:rPr>
            </w:pPr>
            <w:r w:rsidRPr="002D760F">
              <w:rPr>
                <w:rFonts w:ascii="Arial" w:hAnsi="Arial" w:cs="Arial"/>
                <w:sz w:val="20"/>
                <w:szCs w:val="20"/>
                <w:lang w:val="en-US"/>
              </w:rPr>
              <w:t>Purpose of Loan</w:t>
            </w:r>
          </w:p>
        </w:tc>
        <w:tc>
          <w:tcPr>
            <w:tcW w:w="4645" w:type="dxa"/>
          </w:tcPr>
          <w:p w14:paraId="55615EC0" w14:textId="64D707B4" w:rsidR="009C363F" w:rsidRPr="002D760F" w:rsidRDefault="009C363F" w:rsidP="00454DDE">
            <w:pPr>
              <w:jc w:val="both"/>
              <w:rPr>
                <w:rFonts w:ascii="Arial" w:hAnsi="Arial" w:cs="Arial"/>
                <w:sz w:val="20"/>
                <w:szCs w:val="20"/>
                <w:lang w:val="en-US"/>
              </w:rPr>
            </w:pPr>
            <w:r w:rsidRPr="002D760F">
              <w:rPr>
                <w:rFonts w:ascii="Arial" w:hAnsi="Arial" w:cs="Arial"/>
                <w:sz w:val="20"/>
                <w:szCs w:val="20"/>
                <w:lang w:val="en-US"/>
              </w:rPr>
              <w:t>Agriculture Activities</w:t>
            </w:r>
            <w:r w:rsidR="00355DEA" w:rsidRPr="002D760F">
              <w:rPr>
                <w:rFonts w:ascii="Arial" w:hAnsi="Arial" w:cs="Arial"/>
                <w:sz w:val="20"/>
                <w:szCs w:val="20"/>
                <w:lang w:val="en-US"/>
              </w:rPr>
              <w:t xml:space="preserve"> (Reference)</w:t>
            </w:r>
          </w:p>
        </w:tc>
        <w:tc>
          <w:tcPr>
            <w:tcW w:w="1366" w:type="dxa"/>
          </w:tcPr>
          <w:p w14:paraId="137CCC7C" w14:textId="7664CFF8" w:rsidR="009C363F" w:rsidRPr="002D760F" w:rsidRDefault="002D492C" w:rsidP="00454DDE">
            <w:pPr>
              <w:jc w:val="both"/>
              <w:rPr>
                <w:rFonts w:ascii="Arial" w:hAnsi="Arial" w:cs="Arial"/>
                <w:sz w:val="20"/>
                <w:szCs w:val="20"/>
                <w:lang w:val="en-US"/>
              </w:rPr>
            </w:pPr>
            <w:r w:rsidRPr="002D760F">
              <w:rPr>
                <w:rFonts w:ascii="Arial" w:hAnsi="Arial" w:cs="Arial"/>
                <w:sz w:val="20"/>
                <w:szCs w:val="20"/>
                <w:lang w:val="en-US"/>
              </w:rPr>
              <w:t>1</w:t>
            </w:r>
          </w:p>
        </w:tc>
      </w:tr>
      <w:tr w:rsidR="009C363F" w:rsidRPr="002D760F" w14:paraId="6E152C99" w14:textId="77777777" w:rsidTr="00355DEA">
        <w:tc>
          <w:tcPr>
            <w:tcW w:w="3005" w:type="dxa"/>
          </w:tcPr>
          <w:p w14:paraId="56F7129F" w14:textId="77777777" w:rsidR="009C363F" w:rsidRPr="002D760F" w:rsidRDefault="009C363F" w:rsidP="00454DDE">
            <w:pPr>
              <w:jc w:val="both"/>
              <w:rPr>
                <w:rFonts w:ascii="Arial" w:hAnsi="Arial" w:cs="Arial"/>
                <w:sz w:val="20"/>
                <w:szCs w:val="20"/>
                <w:lang w:val="en-US"/>
              </w:rPr>
            </w:pPr>
          </w:p>
        </w:tc>
        <w:tc>
          <w:tcPr>
            <w:tcW w:w="4645" w:type="dxa"/>
          </w:tcPr>
          <w:p w14:paraId="5F923919" w14:textId="028E9662" w:rsidR="009C363F" w:rsidRPr="002D760F" w:rsidRDefault="009C363F" w:rsidP="00454DDE">
            <w:pPr>
              <w:jc w:val="both"/>
              <w:rPr>
                <w:rFonts w:ascii="Arial" w:hAnsi="Arial" w:cs="Arial"/>
                <w:sz w:val="20"/>
                <w:szCs w:val="20"/>
                <w:lang w:val="en-US"/>
              </w:rPr>
            </w:pPr>
            <w:r w:rsidRPr="002D760F">
              <w:rPr>
                <w:rFonts w:ascii="Arial" w:hAnsi="Arial" w:cs="Arial"/>
                <w:sz w:val="20"/>
                <w:szCs w:val="20"/>
                <w:lang w:val="en-US"/>
              </w:rPr>
              <w:t>Non-Agriculture Activities</w:t>
            </w:r>
          </w:p>
        </w:tc>
        <w:tc>
          <w:tcPr>
            <w:tcW w:w="1366" w:type="dxa"/>
          </w:tcPr>
          <w:p w14:paraId="07A55E09" w14:textId="148B421A" w:rsidR="009C363F" w:rsidRPr="002D760F" w:rsidRDefault="002D492C" w:rsidP="00454DDE">
            <w:pPr>
              <w:jc w:val="both"/>
              <w:rPr>
                <w:rFonts w:ascii="Arial" w:hAnsi="Arial" w:cs="Arial"/>
                <w:sz w:val="20"/>
                <w:szCs w:val="20"/>
                <w:lang w:val="en-US"/>
              </w:rPr>
            </w:pPr>
            <w:r w:rsidRPr="002D760F">
              <w:rPr>
                <w:rFonts w:ascii="Arial" w:hAnsi="Arial" w:cs="Arial"/>
                <w:sz w:val="20"/>
                <w:szCs w:val="20"/>
                <w:lang w:val="en-US"/>
              </w:rPr>
              <w:t>0</w:t>
            </w:r>
          </w:p>
        </w:tc>
      </w:tr>
      <w:tr w:rsidR="009C363F" w:rsidRPr="002D760F" w14:paraId="1524BDEF" w14:textId="77777777" w:rsidTr="00355DEA">
        <w:tc>
          <w:tcPr>
            <w:tcW w:w="3005" w:type="dxa"/>
          </w:tcPr>
          <w:p w14:paraId="4D8FEF6E" w14:textId="3C74F537" w:rsidR="009C363F" w:rsidRPr="002D760F" w:rsidRDefault="009C363F" w:rsidP="00454DDE">
            <w:pPr>
              <w:jc w:val="both"/>
              <w:rPr>
                <w:rFonts w:ascii="Arial" w:hAnsi="Arial" w:cs="Arial"/>
                <w:sz w:val="20"/>
                <w:szCs w:val="20"/>
                <w:lang w:val="en-US"/>
              </w:rPr>
            </w:pPr>
            <w:r w:rsidRPr="002D760F">
              <w:rPr>
                <w:rFonts w:ascii="Arial" w:hAnsi="Arial" w:cs="Arial"/>
                <w:sz w:val="20"/>
                <w:szCs w:val="20"/>
                <w:lang w:val="en-US"/>
              </w:rPr>
              <w:t>Term of Loan</w:t>
            </w:r>
          </w:p>
        </w:tc>
        <w:tc>
          <w:tcPr>
            <w:tcW w:w="4645" w:type="dxa"/>
          </w:tcPr>
          <w:p w14:paraId="25E131A5" w14:textId="22BD65EC" w:rsidR="009C363F" w:rsidRPr="002D760F" w:rsidRDefault="009C363F" w:rsidP="00454DDE">
            <w:pPr>
              <w:jc w:val="both"/>
              <w:rPr>
                <w:rFonts w:ascii="Arial" w:hAnsi="Arial" w:cs="Arial"/>
                <w:sz w:val="20"/>
                <w:szCs w:val="20"/>
                <w:lang w:val="en-US"/>
              </w:rPr>
            </w:pPr>
            <w:r w:rsidRPr="002D760F">
              <w:rPr>
                <w:rFonts w:ascii="Arial" w:hAnsi="Arial" w:cs="Arial"/>
                <w:sz w:val="20"/>
                <w:szCs w:val="20"/>
                <w:lang w:val="en-US"/>
              </w:rPr>
              <w:t xml:space="preserve">Short Term </w:t>
            </w:r>
          </w:p>
        </w:tc>
        <w:tc>
          <w:tcPr>
            <w:tcW w:w="1366" w:type="dxa"/>
          </w:tcPr>
          <w:p w14:paraId="4B3A42E2" w14:textId="3D738D3A" w:rsidR="009C363F" w:rsidRPr="002D760F" w:rsidRDefault="002D492C" w:rsidP="00454DDE">
            <w:pPr>
              <w:jc w:val="both"/>
              <w:rPr>
                <w:rFonts w:ascii="Arial" w:hAnsi="Arial" w:cs="Arial"/>
                <w:sz w:val="20"/>
                <w:szCs w:val="20"/>
                <w:lang w:val="en-US"/>
              </w:rPr>
            </w:pPr>
            <w:r w:rsidRPr="002D760F">
              <w:rPr>
                <w:rFonts w:ascii="Arial" w:hAnsi="Arial" w:cs="Arial"/>
                <w:sz w:val="20"/>
                <w:szCs w:val="20"/>
                <w:lang w:val="en-US"/>
              </w:rPr>
              <w:t>1</w:t>
            </w:r>
          </w:p>
        </w:tc>
      </w:tr>
      <w:tr w:rsidR="009C363F" w:rsidRPr="002D760F" w14:paraId="406216B6" w14:textId="77777777" w:rsidTr="00355DEA">
        <w:tc>
          <w:tcPr>
            <w:tcW w:w="3005" w:type="dxa"/>
          </w:tcPr>
          <w:p w14:paraId="7358AF72" w14:textId="77777777" w:rsidR="009C363F" w:rsidRPr="002D760F" w:rsidRDefault="009C363F" w:rsidP="00454DDE">
            <w:pPr>
              <w:jc w:val="both"/>
              <w:rPr>
                <w:rFonts w:ascii="Arial" w:hAnsi="Arial" w:cs="Arial"/>
                <w:sz w:val="20"/>
                <w:szCs w:val="20"/>
                <w:lang w:val="en-US"/>
              </w:rPr>
            </w:pPr>
          </w:p>
        </w:tc>
        <w:tc>
          <w:tcPr>
            <w:tcW w:w="4645" w:type="dxa"/>
          </w:tcPr>
          <w:p w14:paraId="2C4F9C41" w14:textId="45E56ACD" w:rsidR="009C363F" w:rsidRPr="002D760F" w:rsidRDefault="001866A6" w:rsidP="00454DDE">
            <w:pPr>
              <w:jc w:val="both"/>
              <w:rPr>
                <w:rFonts w:ascii="Arial" w:hAnsi="Arial" w:cs="Arial"/>
                <w:sz w:val="20"/>
                <w:szCs w:val="20"/>
                <w:lang w:val="en-US"/>
              </w:rPr>
            </w:pPr>
            <w:r w:rsidRPr="002D760F">
              <w:rPr>
                <w:rFonts w:ascii="Arial" w:hAnsi="Arial" w:cs="Arial"/>
                <w:sz w:val="20"/>
                <w:szCs w:val="20"/>
                <w:lang w:val="en-US"/>
              </w:rPr>
              <w:t>Medium</w:t>
            </w:r>
            <w:r w:rsidR="009C363F" w:rsidRPr="002D760F">
              <w:rPr>
                <w:rFonts w:ascii="Arial" w:hAnsi="Arial" w:cs="Arial"/>
                <w:sz w:val="20"/>
                <w:szCs w:val="20"/>
                <w:lang w:val="en-US"/>
              </w:rPr>
              <w:t xml:space="preserve"> Term</w:t>
            </w:r>
          </w:p>
        </w:tc>
        <w:tc>
          <w:tcPr>
            <w:tcW w:w="1366" w:type="dxa"/>
          </w:tcPr>
          <w:p w14:paraId="052A3C90" w14:textId="14FDC33D" w:rsidR="009C363F" w:rsidRPr="002D760F" w:rsidRDefault="002D492C" w:rsidP="00454DDE">
            <w:pPr>
              <w:jc w:val="both"/>
              <w:rPr>
                <w:rFonts w:ascii="Arial" w:hAnsi="Arial" w:cs="Arial"/>
                <w:sz w:val="20"/>
                <w:szCs w:val="20"/>
                <w:lang w:val="en-US"/>
              </w:rPr>
            </w:pPr>
            <w:r w:rsidRPr="002D760F">
              <w:rPr>
                <w:rFonts w:ascii="Arial" w:hAnsi="Arial" w:cs="Arial"/>
                <w:sz w:val="20"/>
                <w:szCs w:val="20"/>
                <w:lang w:val="en-US"/>
              </w:rPr>
              <w:t>0</w:t>
            </w:r>
          </w:p>
        </w:tc>
      </w:tr>
      <w:tr w:rsidR="001866A6" w:rsidRPr="002D760F" w14:paraId="6E0BE00D" w14:textId="77777777" w:rsidTr="00355DEA">
        <w:tc>
          <w:tcPr>
            <w:tcW w:w="3005" w:type="dxa"/>
          </w:tcPr>
          <w:p w14:paraId="0FFBF7FA" w14:textId="77777777" w:rsidR="001866A6" w:rsidRPr="002D760F" w:rsidRDefault="001866A6" w:rsidP="00454DDE">
            <w:pPr>
              <w:jc w:val="both"/>
              <w:rPr>
                <w:rFonts w:ascii="Arial" w:hAnsi="Arial" w:cs="Arial"/>
                <w:sz w:val="20"/>
                <w:szCs w:val="20"/>
                <w:lang w:val="en-US"/>
              </w:rPr>
            </w:pPr>
          </w:p>
        </w:tc>
        <w:tc>
          <w:tcPr>
            <w:tcW w:w="4645" w:type="dxa"/>
          </w:tcPr>
          <w:p w14:paraId="5064F149" w14:textId="1EDF33EA" w:rsidR="001866A6" w:rsidRPr="002D760F" w:rsidRDefault="001866A6" w:rsidP="00454DDE">
            <w:pPr>
              <w:jc w:val="both"/>
              <w:rPr>
                <w:rFonts w:ascii="Arial" w:hAnsi="Arial" w:cs="Arial"/>
                <w:sz w:val="20"/>
                <w:szCs w:val="20"/>
                <w:lang w:val="en-US"/>
              </w:rPr>
            </w:pPr>
            <w:r w:rsidRPr="002D760F">
              <w:rPr>
                <w:rFonts w:ascii="Arial" w:hAnsi="Arial" w:cs="Arial"/>
                <w:sz w:val="20"/>
                <w:szCs w:val="20"/>
                <w:lang w:val="en-US"/>
              </w:rPr>
              <w:t>Long Term</w:t>
            </w:r>
          </w:p>
        </w:tc>
        <w:tc>
          <w:tcPr>
            <w:tcW w:w="1366" w:type="dxa"/>
          </w:tcPr>
          <w:p w14:paraId="4B895197" w14:textId="6637B47A" w:rsidR="001866A6" w:rsidRPr="002D760F" w:rsidRDefault="002D492C" w:rsidP="00454DDE">
            <w:pPr>
              <w:jc w:val="both"/>
              <w:rPr>
                <w:rFonts w:ascii="Arial" w:hAnsi="Arial" w:cs="Arial"/>
                <w:sz w:val="20"/>
                <w:szCs w:val="20"/>
                <w:lang w:val="en-US"/>
              </w:rPr>
            </w:pPr>
            <w:r w:rsidRPr="002D760F">
              <w:rPr>
                <w:rFonts w:ascii="Arial" w:hAnsi="Arial" w:cs="Arial"/>
                <w:sz w:val="20"/>
                <w:szCs w:val="20"/>
                <w:lang w:val="en-US"/>
              </w:rPr>
              <w:t>2</w:t>
            </w:r>
          </w:p>
        </w:tc>
      </w:tr>
    </w:tbl>
    <w:p w14:paraId="014CE1C7" w14:textId="77777777" w:rsidR="00750D77" w:rsidRPr="002D760F" w:rsidRDefault="00750D77" w:rsidP="00454DDE">
      <w:pPr>
        <w:spacing w:line="240" w:lineRule="auto"/>
        <w:jc w:val="both"/>
        <w:rPr>
          <w:rFonts w:ascii="Arial" w:hAnsi="Arial" w:cs="Arial"/>
          <w:sz w:val="24"/>
          <w:szCs w:val="24"/>
          <w:lang w:val="en-US"/>
        </w:rPr>
      </w:pPr>
    </w:p>
    <w:p w14:paraId="6E1222E7" w14:textId="07B6555B" w:rsidR="00855143" w:rsidRPr="002D760F" w:rsidRDefault="0013416A" w:rsidP="00454DDE">
      <w:pPr>
        <w:spacing w:line="360" w:lineRule="auto"/>
        <w:jc w:val="both"/>
        <w:rPr>
          <w:rFonts w:ascii="Arial" w:hAnsi="Arial" w:cs="Arial"/>
          <w:sz w:val="20"/>
          <w:szCs w:val="20"/>
          <w:lang w:val="en-US"/>
        </w:rPr>
      </w:pPr>
      <w:r w:rsidRPr="002D760F">
        <w:rPr>
          <w:rFonts w:ascii="Arial" w:hAnsi="Arial" w:cs="Arial"/>
          <w:sz w:val="20"/>
          <w:szCs w:val="20"/>
          <w:lang w:val="en-US"/>
        </w:rPr>
        <w:t xml:space="preserve">To check the association among socio-economic </w:t>
      </w:r>
      <w:r w:rsidR="00992694" w:rsidRPr="002D760F">
        <w:rPr>
          <w:rFonts w:ascii="Arial" w:hAnsi="Arial" w:cs="Arial"/>
          <w:sz w:val="20"/>
          <w:szCs w:val="20"/>
          <w:lang w:val="en-US"/>
        </w:rPr>
        <w:t>co</w:t>
      </w:r>
      <w:r w:rsidRPr="002D760F">
        <w:rPr>
          <w:rFonts w:ascii="Arial" w:hAnsi="Arial" w:cs="Arial"/>
          <w:sz w:val="20"/>
          <w:szCs w:val="20"/>
          <w:lang w:val="en-US"/>
        </w:rPr>
        <w:t xml:space="preserve">variates and </w:t>
      </w:r>
      <w:r w:rsidR="00992694" w:rsidRPr="002D760F">
        <w:rPr>
          <w:rFonts w:ascii="Arial" w:hAnsi="Arial" w:cs="Arial"/>
          <w:sz w:val="20"/>
          <w:szCs w:val="20"/>
          <w:lang w:val="en-US"/>
        </w:rPr>
        <w:t>odds of getting access to credit has been modelled using multivariate logistic regressions. The mathematical equation representing multivariate logistic regressions of this study can be written as:</w:t>
      </w:r>
    </w:p>
    <w:p w14:paraId="176D322D" w14:textId="31AFA902" w:rsidR="00992694" w:rsidRPr="002D760F" w:rsidRDefault="009736F8" w:rsidP="00454DDE">
      <w:pPr>
        <w:spacing w:line="360" w:lineRule="auto"/>
        <w:jc w:val="center"/>
        <w:rPr>
          <w:rFonts w:ascii="Arial" w:hAnsi="Arial" w:cs="Arial"/>
          <w:i/>
          <w:iCs/>
          <w:sz w:val="20"/>
          <w:szCs w:val="20"/>
          <w:lang w:val="en-US"/>
        </w:rPr>
      </w:pPr>
      <m:oMath>
        <m:d>
          <m:dPr>
            <m:ctrlPr>
              <w:rPr>
                <w:rFonts w:ascii="Cambria Math" w:hAnsi="Cambria Math" w:cs="Arial"/>
                <w:i/>
                <w:sz w:val="20"/>
                <w:szCs w:val="20"/>
                <w:lang w:val="en-US"/>
              </w:rPr>
            </m:ctrlPr>
          </m:dPr>
          <m:e>
            <m:f>
              <m:fPr>
                <m:ctrlPr>
                  <w:rPr>
                    <w:rFonts w:ascii="Cambria Math" w:hAnsi="Cambria Math" w:cs="Arial"/>
                    <w:i/>
                    <w:sz w:val="20"/>
                    <w:szCs w:val="20"/>
                    <w:lang w:val="en-US"/>
                  </w:rPr>
                </m:ctrlPr>
              </m:fPr>
              <m:num>
                <m:r>
                  <w:rPr>
                    <w:rFonts w:ascii="Cambria Math" w:hAnsi="Cambria Math" w:cs="Arial"/>
                    <w:sz w:val="20"/>
                    <w:szCs w:val="20"/>
                    <w:lang w:val="en-US"/>
                  </w:rPr>
                  <m:t>P</m:t>
                </m:r>
              </m:num>
              <m:den>
                <m:r>
                  <w:rPr>
                    <w:rFonts w:ascii="Cambria Math" w:hAnsi="Cambria Math" w:cs="Arial"/>
                    <w:sz w:val="20"/>
                    <w:szCs w:val="20"/>
                    <w:lang w:val="en-US"/>
                  </w:rPr>
                  <m:t>1-</m:t>
                </m:r>
                <m:r>
                  <w:rPr>
                    <w:rFonts w:ascii="Cambria Math" w:hAnsi="Cambria Math" w:cs="Arial"/>
                    <w:sz w:val="20"/>
                    <w:szCs w:val="20"/>
                    <w:lang w:val="en-US"/>
                  </w:rPr>
                  <m:t>P</m:t>
                </m:r>
              </m:den>
            </m:f>
          </m:e>
        </m:d>
        <m:r>
          <w:rPr>
            <w:rFonts w:ascii="Cambria Math" w:hAnsi="Cambria Math" w:cs="Arial"/>
            <w:sz w:val="20"/>
            <w:szCs w:val="20"/>
            <w:lang w:val="en-US"/>
          </w:rPr>
          <m:t xml:space="preserve">= </m:t>
        </m:r>
      </m:oMath>
      <w:r w:rsidR="00BB7F28" w:rsidRPr="002D760F">
        <w:rPr>
          <w:rFonts w:ascii="Arial" w:hAnsi="Arial" w:cs="Arial"/>
          <w:i/>
          <w:iCs/>
          <w:sz w:val="20"/>
          <w:szCs w:val="20"/>
          <w:lang w:val="en-US"/>
        </w:rPr>
        <w:t>Bo+</w:t>
      </w:r>
      <w:r w:rsidR="00992694" w:rsidRPr="002D760F">
        <w:rPr>
          <w:rFonts w:ascii="Arial" w:hAnsi="Arial" w:cs="Arial"/>
          <w:i/>
          <w:iCs/>
          <w:sz w:val="20"/>
          <w:szCs w:val="20"/>
          <w:lang w:val="en-US"/>
        </w:rPr>
        <w:t xml:space="preserve"> </w:t>
      </w:r>
      <w:r w:rsidR="00BB7F28" w:rsidRPr="002D760F">
        <w:rPr>
          <w:rFonts w:ascii="Arial" w:hAnsi="Arial" w:cs="Arial"/>
          <w:i/>
          <w:iCs/>
          <w:sz w:val="20"/>
          <w:szCs w:val="20"/>
          <w:lang w:val="en-US"/>
        </w:rPr>
        <w:t>B</w:t>
      </w:r>
      <w:r w:rsidR="00BB7F28" w:rsidRPr="002D760F">
        <w:rPr>
          <w:rFonts w:ascii="Arial" w:hAnsi="Arial" w:cs="Arial"/>
          <w:i/>
          <w:iCs/>
          <w:sz w:val="20"/>
          <w:szCs w:val="20"/>
          <w:vertAlign w:val="subscript"/>
          <w:lang w:val="en-US"/>
        </w:rPr>
        <w:t>1</w:t>
      </w:r>
      <w:r w:rsidR="00BB7F28" w:rsidRPr="002D760F">
        <w:rPr>
          <w:rFonts w:ascii="Arial" w:hAnsi="Arial" w:cs="Arial"/>
          <w:i/>
          <w:iCs/>
          <w:sz w:val="20"/>
          <w:szCs w:val="20"/>
          <w:lang w:val="en-US"/>
        </w:rPr>
        <w:t>X</w:t>
      </w:r>
      <w:r w:rsidR="00BB7F28" w:rsidRPr="002D760F">
        <w:rPr>
          <w:rFonts w:ascii="Arial" w:hAnsi="Arial" w:cs="Arial"/>
          <w:i/>
          <w:iCs/>
          <w:sz w:val="20"/>
          <w:szCs w:val="20"/>
          <w:vertAlign w:val="subscript"/>
          <w:lang w:val="en-US"/>
        </w:rPr>
        <w:t>1</w:t>
      </w:r>
      <w:r w:rsidR="00BB7F28" w:rsidRPr="002D760F">
        <w:rPr>
          <w:rFonts w:ascii="Arial" w:hAnsi="Arial" w:cs="Arial"/>
          <w:i/>
          <w:iCs/>
          <w:sz w:val="20"/>
          <w:szCs w:val="20"/>
          <w:lang w:val="en-US"/>
        </w:rPr>
        <w:t>+</w:t>
      </w:r>
      <w:r w:rsidR="00992694" w:rsidRPr="002D760F">
        <w:rPr>
          <w:rFonts w:ascii="Arial" w:hAnsi="Arial" w:cs="Arial"/>
          <w:i/>
          <w:iCs/>
          <w:sz w:val="20"/>
          <w:szCs w:val="20"/>
          <w:lang w:val="en-US"/>
        </w:rPr>
        <w:t>B</w:t>
      </w:r>
      <w:r w:rsidR="00E05B61" w:rsidRPr="002D760F">
        <w:rPr>
          <w:rFonts w:ascii="Arial" w:hAnsi="Arial" w:cs="Arial"/>
          <w:i/>
          <w:iCs/>
          <w:sz w:val="20"/>
          <w:szCs w:val="20"/>
          <w:vertAlign w:val="subscript"/>
          <w:lang w:val="en-US"/>
        </w:rPr>
        <w:t>2</w:t>
      </w:r>
      <w:r w:rsidR="00992694" w:rsidRPr="002D760F">
        <w:rPr>
          <w:rFonts w:ascii="Arial" w:hAnsi="Arial" w:cs="Arial"/>
          <w:i/>
          <w:iCs/>
          <w:sz w:val="20"/>
          <w:szCs w:val="20"/>
          <w:lang w:val="en-US"/>
        </w:rPr>
        <w:t>X</w:t>
      </w:r>
      <w:r w:rsidR="00E05B61" w:rsidRPr="002D760F">
        <w:rPr>
          <w:rFonts w:ascii="Arial" w:hAnsi="Arial" w:cs="Arial"/>
          <w:i/>
          <w:iCs/>
          <w:sz w:val="20"/>
          <w:szCs w:val="20"/>
          <w:vertAlign w:val="subscript"/>
          <w:lang w:val="en-US"/>
        </w:rPr>
        <w:t>2</w:t>
      </w:r>
      <w:r w:rsidR="00992694" w:rsidRPr="002D760F">
        <w:rPr>
          <w:rFonts w:ascii="Arial" w:hAnsi="Arial" w:cs="Arial"/>
          <w:i/>
          <w:iCs/>
          <w:sz w:val="20"/>
          <w:szCs w:val="20"/>
          <w:lang w:val="en-US"/>
        </w:rPr>
        <w:t>+ B</w:t>
      </w:r>
      <w:r w:rsidR="00E05B61" w:rsidRPr="002D760F">
        <w:rPr>
          <w:rFonts w:ascii="Arial" w:hAnsi="Arial" w:cs="Arial"/>
          <w:i/>
          <w:iCs/>
          <w:sz w:val="20"/>
          <w:szCs w:val="20"/>
          <w:vertAlign w:val="subscript"/>
          <w:lang w:val="en-US"/>
        </w:rPr>
        <w:t>3</w:t>
      </w:r>
      <w:r w:rsidR="00992694" w:rsidRPr="002D760F">
        <w:rPr>
          <w:rFonts w:ascii="Arial" w:hAnsi="Arial" w:cs="Arial"/>
          <w:i/>
          <w:iCs/>
          <w:sz w:val="20"/>
          <w:szCs w:val="20"/>
          <w:lang w:val="en-US"/>
        </w:rPr>
        <w:t>X</w:t>
      </w:r>
      <w:r w:rsidR="00E05B61" w:rsidRPr="002D760F">
        <w:rPr>
          <w:rFonts w:ascii="Arial" w:hAnsi="Arial" w:cs="Arial"/>
          <w:i/>
          <w:iCs/>
          <w:sz w:val="20"/>
          <w:szCs w:val="20"/>
          <w:vertAlign w:val="subscript"/>
          <w:lang w:val="en-US"/>
        </w:rPr>
        <w:t>3</w:t>
      </w:r>
      <w:r w:rsidR="00992694" w:rsidRPr="002D760F">
        <w:rPr>
          <w:rFonts w:ascii="Arial" w:hAnsi="Arial" w:cs="Arial"/>
          <w:i/>
          <w:iCs/>
          <w:sz w:val="20"/>
          <w:szCs w:val="20"/>
          <w:lang w:val="en-US"/>
        </w:rPr>
        <w:t>+ B</w:t>
      </w:r>
      <w:r w:rsidR="00E05B61" w:rsidRPr="002D760F">
        <w:rPr>
          <w:rFonts w:ascii="Arial" w:hAnsi="Arial" w:cs="Arial"/>
          <w:i/>
          <w:iCs/>
          <w:sz w:val="20"/>
          <w:szCs w:val="20"/>
          <w:vertAlign w:val="subscript"/>
          <w:lang w:val="en-US"/>
        </w:rPr>
        <w:t>4</w:t>
      </w:r>
      <w:r w:rsidR="00992694" w:rsidRPr="002D760F">
        <w:rPr>
          <w:rFonts w:ascii="Arial" w:hAnsi="Arial" w:cs="Arial"/>
          <w:i/>
          <w:iCs/>
          <w:sz w:val="20"/>
          <w:szCs w:val="20"/>
          <w:lang w:val="en-US"/>
        </w:rPr>
        <w:t>X</w:t>
      </w:r>
      <w:r w:rsidR="00E05B61" w:rsidRPr="002D760F">
        <w:rPr>
          <w:rFonts w:ascii="Arial" w:hAnsi="Arial" w:cs="Arial"/>
          <w:i/>
          <w:iCs/>
          <w:sz w:val="20"/>
          <w:szCs w:val="20"/>
          <w:vertAlign w:val="subscript"/>
          <w:lang w:val="en-US"/>
        </w:rPr>
        <w:t>4</w:t>
      </w:r>
      <w:r w:rsidR="00992694" w:rsidRPr="002D760F">
        <w:rPr>
          <w:rFonts w:ascii="Arial" w:hAnsi="Arial" w:cs="Arial"/>
          <w:i/>
          <w:iCs/>
          <w:sz w:val="20"/>
          <w:szCs w:val="20"/>
          <w:lang w:val="en-US"/>
        </w:rPr>
        <w:t>+ B</w:t>
      </w:r>
      <w:r w:rsidR="00E05B61" w:rsidRPr="002D760F">
        <w:rPr>
          <w:rFonts w:ascii="Arial" w:hAnsi="Arial" w:cs="Arial"/>
          <w:i/>
          <w:iCs/>
          <w:sz w:val="20"/>
          <w:szCs w:val="20"/>
          <w:vertAlign w:val="subscript"/>
          <w:lang w:val="en-US"/>
        </w:rPr>
        <w:t>5</w:t>
      </w:r>
      <w:r w:rsidR="00992694" w:rsidRPr="002D760F">
        <w:rPr>
          <w:rFonts w:ascii="Arial" w:hAnsi="Arial" w:cs="Arial"/>
          <w:i/>
          <w:iCs/>
          <w:sz w:val="20"/>
          <w:szCs w:val="20"/>
          <w:lang w:val="en-US"/>
        </w:rPr>
        <w:t>X</w:t>
      </w:r>
      <w:r w:rsidR="00E05B61" w:rsidRPr="002D760F">
        <w:rPr>
          <w:rFonts w:ascii="Arial" w:hAnsi="Arial" w:cs="Arial"/>
          <w:i/>
          <w:iCs/>
          <w:sz w:val="20"/>
          <w:szCs w:val="20"/>
          <w:vertAlign w:val="subscript"/>
          <w:lang w:val="en-US"/>
        </w:rPr>
        <w:t>5</w:t>
      </w:r>
      <w:r w:rsidR="00992694" w:rsidRPr="002D760F">
        <w:rPr>
          <w:rFonts w:ascii="Arial" w:hAnsi="Arial" w:cs="Arial"/>
          <w:i/>
          <w:iCs/>
          <w:sz w:val="20"/>
          <w:szCs w:val="20"/>
          <w:lang w:val="en-US"/>
        </w:rPr>
        <w:t>+ B</w:t>
      </w:r>
      <w:r w:rsidR="00E05B61" w:rsidRPr="002D760F">
        <w:rPr>
          <w:rFonts w:ascii="Arial" w:hAnsi="Arial" w:cs="Arial"/>
          <w:i/>
          <w:iCs/>
          <w:sz w:val="20"/>
          <w:szCs w:val="20"/>
          <w:vertAlign w:val="subscript"/>
          <w:lang w:val="en-US"/>
        </w:rPr>
        <w:t>6</w:t>
      </w:r>
      <w:r w:rsidR="00992694" w:rsidRPr="002D760F">
        <w:rPr>
          <w:rFonts w:ascii="Arial" w:hAnsi="Arial" w:cs="Arial"/>
          <w:i/>
          <w:iCs/>
          <w:sz w:val="20"/>
          <w:szCs w:val="20"/>
          <w:lang w:val="en-US"/>
        </w:rPr>
        <w:t>X</w:t>
      </w:r>
      <w:r w:rsidR="00E05B61" w:rsidRPr="002D760F">
        <w:rPr>
          <w:rFonts w:ascii="Arial" w:hAnsi="Arial" w:cs="Arial"/>
          <w:i/>
          <w:iCs/>
          <w:sz w:val="20"/>
          <w:szCs w:val="20"/>
          <w:vertAlign w:val="subscript"/>
          <w:lang w:val="en-US"/>
        </w:rPr>
        <w:t>6</w:t>
      </w:r>
      <w:r w:rsidR="00992694" w:rsidRPr="002D760F">
        <w:rPr>
          <w:rFonts w:ascii="Arial" w:hAnsi="Arial" w:cs="Arial"/>
          <w:i/>
          <w:iCs/>
          <w:sz w:val="20"/>
          <w:szCs w:val="20"/>
          <w:lang w:val="en-US"/>
        </w:rPr>
        <w:t>+ B</w:t>
      </w:r>
      <w:r w:rsidR="00E05B61" w:rsidRPr="002D760F">
        <w:rPr>
          <w:rFonts w:ascii="Arial" w:hAnsi="Arial" w:cs="Arial"/>
          <w:i/>
          <w:iCs/>
          <w:sz w:val="20"/>
          <w:szCs w:val="20"/>
          <w:vertAlign w:val="subscript"/>
          <w:lang w:val="en-US"/>
        </w:rPr>
        <w:t>7</w:t>
      </w:r>
      <w:r w:rsidR="00992694" w:rsidRPr="002D760F">
        <w:rPr>
          <w:rFonts w:ascii="Arial" w:hAnsi="Arial" w:cs="Arial"/>
          <w:i/>
          <w:iCs/>
          <w:sz w:val="20"/>
          <w:szCs w:val="20"/>
          <w:lang w:val="en-US"/>
        </w:rPr>
        <w:t>X</w:t>
      </w:r>
      <w:r w:rsidR="00E05B61" w:rsidRPr="002D760F">
        <w:rPr>
          <w:rFonts w:ascii="Arial" w:hAnsi="Arial" w:cs="Arial"/>
          <w:i/>
          <w:iCs/>
          <w:sz w:val="20"/>
          <w:szCs w:val="20"/>
          <w:vertAlign w:val="subscript"/>
          <w:lang w:val="en-US"/>
        </w:rPr>
        <w:t>7</w:t>
      </w:r>
      <w:r w:rsidR="00992694" w:rsidRPr="002D760F">
        <w:rPr>
          <w:rFonts w:ascii="Arial" w:hAnsi="Arial" w:cs="Arial"/>
          <w:i/>
          <w:iCs/>
          <w:sz w:val="20"/>
          <w:szCs w:val="20"/>
          <w:lang w:val="en-US"/>
        </w:rPr>
        <w:t>+ B</w:t>
      </w:r>
      <w:r w:rsidR="00E05B61" w:rsidRPr="002D760F">
        <w:rPr>
          <w:rFonts w:ascii="Arial" w:hAnsi="Arial" w:cs="Arial"/>
          <w:i/>
          <w:iCs/>
          <w:sz w:val="20"/>
          <w:szCs w:val="20"/>
          <w:vertAlign w:val="subscript"/>
          <w:lang w:val="en-US"/>
        </w:rPr>
        <w:t>8</w:t>
      </w:r>
      <w:r w:rsidR="00992694" w:rsidRPr="002D760F">
        <w:rPr>
          <w:rFonts w:ascii="Arial" w:hAnsi="Arial" w:cs="Arial"/>
          <w:i/>
          <w:iCs/>
          <w:sz w:val="20"/>
          <w:szCs w:val="20"/>
          <w:lang w:val="en-US"/>
        </w:rPr>
        <w:t>X</w:t>
      </w:r>
      <w:r w:rsidR="00E05B61" w:rsidRPr="002D760F">
        <w:rPr>
          <w:rFonts w:ascii="Arial" w:hAnsi="Arial" w:cs="Arial"/>
          <w:i/>
          <w:iCs/>
          <w:sz w:val="20"/>
          <w:szCs w:val="20"/>
          <w:vertAlign w:val="subscript"/>
          <w:lang w:val="en-US"/>
        </w:rPr>
        <w:t>8</w:t>
      </w:r>
      <w:r w:rsidR="00992694" w:rsidRPr="002D760F">
        <w:rPr>
          <w:rFonts w:ascii="Arial" w:hAnsi="Arial" w:cs="Arial"/>
          <w:i/>
          <w:iCs/>
          <w:sz w:val="20"/>
          <w:szCs w:val="20"/>
          <w:lang w:val="en-US"/>
        </w:rPr>
        <w:t>+ B</w:t>
      </w:r>
      <w:r w:rsidR="00E05B61" w:rsidRPr="002D760F">
        <w:rPr>
          <w:rFonts w:ascii="Arial" w:hAnsi="Arial" w:cs="Arial"/>
          <w:i/>
          <w:iCs/>
          <w:sz w:val="20"/>
          <w:szCs w:val="20"/>
          <w:vertAlign w:val="subscript"/>
          <w:lang w:val="en-US"/>
        </w:rPr>
        <w:t>9</w:t>
      </w:r>
      <w:r w:rsidR="00992694" w:rsidRPr="002D760F">
        <w:rPr>
          <w:rFonts w:ascii="Arial" w:hAnsi="Arial" w:cs="Arial"/>
          <w:i/>
          <w:iCs/>
          <w:sz w:val="20"/>
          <w:szCs w:val="20"/>
          <w:lang w:val="en-US"/>
        </w:rPr>
        <w:t>X</w:t>
      </w:r>
      <w:r w:rsidR="00E05B61" w:rsidRPr="002D760F">
        <w:rPr>
          <w:rFonts w:ascii="Arial" w:hAnsi="Arial" w:cs="Arial"/>
          <w:i/>
          <w:iCs/>
          <w:sz w:val="20"/>
          <w:szCs w:val="20"/>
          <w:vertAlign w:val="subscript"/>
          <w:lang w:val="en-US"/>
        </w:rPr>
        <w:t>9</w:t>
      </w:r>
      <w:r w:rsidR="00992694" w:rsidRPr="002D760F">
        <w:rPr>
          <w:rFonts w:ascii="Arial" w:hAnsi="Arial" w:cs="Arial"/>
          <w:i/>
          <w:iCs/>
          <w:sz w:val="20"/>
          <w:szCs w:val="20"/>
          <w:lang w:val="en-US"/>
        </w:rPr>
        <w:t>+</w:t>
      </w:r>
      <w:r w:rsidR="00F41A39" w:rsidRPr="002D760F">
        <w:rPr>
          <w:rFonts w:ascii="Arial" w:hAnsi="Arial" w:cs="Arial"/>
          <w:i/>
          <w:iCs/>
          <w:sz w:val="20"/>
          <w:szCs w:val="20"/>
          <w:lang w:val="en-US"/>
        </w:rPr>
        <w:t xml:space="preserve"> B</w:t>
      </w:r>
      <w:r w:rsidR="00F41A39" w:rsidRPr="002D760F">
        <w:rPr>
          <w:rFonts w:ascii="Arial" w:hAnsi="Arial" w:cs="Arial"/>
          <w:i/>
          <w:iCs/>
          <w:sz w:val="20"/>
          <w:szCs w:val="20"/>
          <w:vertAlign w:val="subscript"/>
          <w:lang w:val="en-US"/>
        </w:rPr>
        <w:t>10</w:t>
      </w:r>
      <w:r w:rsidR="00F41A39" w:rsidRPr="002D760F">
        <w:rPr>
          <w:rFonts w:ascii="Arial" w:hAnsi="Arial" w:cs="Arial"/>
          <w:i/>
          <w:iCs/>
          <w:sz w:val="20"/>
          <w:szCs w:val="20"/>
          <w:lang w:val="en-US"/>
        </w:rPr>
        <w:t>X</w:t>
      </w:r>
      <w:r w:rsidR="00F41A39" w:rsidRPr="002D760F">
        <w:rPr>
          <w:rFonts w:ascii="Arial" w:hAnsi="Arial" w:cs="Arial"/>
          <w:i/>
          <w:iCs/>
          <w:sz w:val="20"/>
          <w:szCs w:val="20"/>
          <w:vertAlign w:val="subscript"/>
          <w:lang w:val="en-US"/>
        </w:rPr>
        <w:t>10</w:t>
      </w:r>
      <w:r w:rsidR="00F41A39" w:rsidRPr="002D760F">
        <w:rPr>
          <w:rFonts w:ascii="Arial" w:hAnsi="Arial" w:cs="Arial"/>
          <w:i/>
          <w:iCs/>
          <w:sz w:val="20"/>
          <w:szCs w:val="20"/>
          <w:lang w:val="en-US"/>
        </w:rPr>
        <w:t>+ B</w:t>
      </w:r>
      <w:r w:rsidR="00F41A39" w:rsidRPr="002D760F">
        <w:rPr>
          <w:rFonts w:ascii="Arial" w:hAnsi="Arial" w:cs="Arial"/>
          <w:i/>
          <w:iCs/>
          <w:sz w:val="20"/>
          <w:szCs w:val="20"/>
          <w:vertAlign w:val="subscript"/>
          <w:lang w:val="en-US"/>
        </w:rPr>
        <w:t>11</w:t>
      </w:r>
      <w:r w:rsidR="00F41A39" w:rsidRPr="002D760F">
        <w:rPr>
          <w:rFonts w:ascii="Arial" w:hAnsi="Arial" w:cs="Arial"/>
          <w:i/>
          <w:iCs/>
          <w:sz w:val="20"/>
          <w:szCs w:val="20"/>
          <w:lang w:val="en-US"/>
        </w:rPr>
        <w:t>X</w:t>
      </w:r>
      <w:r w:rsidR="00F41A39" w:rsidRPr="002D760F">
        <w:rPr>
          <w:rFonts w:ascii="Arial" w:hAnsi="Arial" w:cs="Arial"/>
          <w:i/>
          <w:iCs/>
          <w:sz w:val="20"/>
          <w:szCs w:val="20"/>
          <w:vertAlign w:val="subscript"/>
          <w:lang w:val="en-US"/>
        </w:rPr>
        <w:t>11</w:t>
      </w:r>
      <w:r w:rsidR="00F41A39" w:rsidRPr="002D760F">
        <w:rPr>
          <w:rFonts w:ascii="Arial" w:hAnsi="Arial" w:cs="Arial"/>
          <w:i/>
          <w:iCs/>
          <w:sz w:val="20"/>
          <w:szCs w:val="20"/>
          <w:lang w:val="en-US"/>
        </w:rPr>
        <w:t>+</w:t>
      </w:r>
      <w:r w:rsidR="00E941BE" w:rsidRPr="002D760F">
        <w:rPr>
          <w:rFonts w:ascii="Arial" w:hAnsi="Arial" w:cs="Arial"/>
          <w:i/>
          <w:iCs/>
          <w:sz w:val="20"/>
          <w:szCs w:val="20"/>
          <w:lang w:val="en-US"/>
        </w:rPr>
        <w:t>ui</w:t>
      </w:r>
    </w:p>
    <w:p w14:paraId="03671061" w14:textId="3E491158" w:rsidR="00E941BE" w:rsidRPr="002D760F" w:rsidRDefault="00E05B61" w:rsidP="00454DDE">
      <w:pPr>
        <w:spacing w:line="360" w:lineRule="auto"/>
        <w:jc w:val="both"/>
        <w:rPr>
          <w:rFonts w:ascii="Arial" w:hAnsi="Arial" w:cs="Arial"/>
          <w:sz w:val="20"/>
          <w:szCs w:val="20"/>
          <w:lang w:val="en-US"/>
        </w:rPr>
      </w:pPr>
      <w:r w:rsidRPr="002D760F">
        <w:rPr>
          <w:rFonts w:ascii="Arial" w:hAnsi="Arial" w:cs="Arial"/>
          <w:sz w:val="20"/>
          <w:szCs w:val="20"/>
          <w:lang w:val="en-US"/>
        </w:rPr>
        <w:t>Where P is the probability of getting access to credit via institutional sources whereas (1-P) is probability of not getting access to credit via institutional sources or getting credit through non-institutional sources. X</w:t>
      </w:r>
      <w:r w:rsidRPr="002D760F">
        <w:rPr>
          <w:rFonts w:ascii="Arial" w:hAnsi="Arial" w:cs="Arial"/>
          <w:sz w:val="20"/>
          <w:szCs w:val="20"/>
          <w:vertAlign w:val="subscript"/>
          <w:lang w:val="en-US"/>
        </w:rPr>
        <w:t>1</w:t>
      </w:r>
      <w:r w:rsidRPr="002D760F">
        <w:rPr>
          <w:rFonts w:ascii="Arial" w:hAnsi="Arial" w:cs="Arial"/>
          <w:sz w:val="20"/>
          <w:szCs w:val="20"/>
          <w:lang w:val="en-US"/>
        </w:rPr>
        <w:t>= Religion, X2= Social Group, X3= Household Type</w:t>
      </w:r>
      <w:r w:rsidR="007A7FEE" w:rsidRPr="002D760F">
        <w:rPr>
          <w:rFonts w:ascii="Arial" w:hAnsi="Arial" w:cs="Arial"/>
          <w:sz w:val="20"/>
          <w:szCs w:val="20"/>
          <w:lang w:val="en-US"/>
        </w:rPr>
        <w:t xml:space="preserve"> (Self-employed, Regular or casual)</w:t>
      </w:r>
      <w:r w:rsidRPr="002D760F">
        <w:rPr>
          <w:rFonts w:ascii="Arial" w:hAnsi="Arial" w:cs="Arial"/>
          <w:sz w:val="20"/>
          <w:szCs w:val="20"/>
          <w:lang w:val="en-US"/>
        </w:rPr>
        <w:t>, X</w:t>
      </w:r>
      <w:r w:rsidR="006848B6">
        <w:rPr>
          <w:rFonts w:ascii="Arial" w:hAnsi="Arial" w:cs="Arial"/>
          <w:sz w:val="20"/>
          <w:szCs w:val="20"/>
          <w:lang w:val="en-US"/>
        </w:rPr>
        <w:t>4</w:t>
      </w:r>
      <w:r w:rsidRPr="002D760F">
        <w:rPr>
          <w:rFonts w:ascii="Arial" w:hAnsi="Arial" w:cs="Arial"/>
          <w:sz w:val="20"/>
          <w:szCs w:val="20"/>
          <w:lang w:val="en-US"/>
        </w:rPr>
        <w:t>= Gender, X</w:t>
      </w:r>
      <w:r w:rsidR="006848B6">
        <w:rPr>
          <w:rFonts w:ascii="Arial" w:hAnsi="Arial" w:cs="Arial"/>
          <w:sz w:val="20"/>
          <w:szCs w:val="20"/>
          <w:lang w:val="en-US"/>
        </w:rPr>
        <w:t>5</w:t>
      </w:r>
      <w:r w:rsidRPr="002D760F">
        <w:rPr>
          <w:rFonts w:ascii="Arial" w:hAnsi="Arial" w:cs="Arial"/>
          <w:sz w:val="20"/>
          <w:szCs w:val="20"/>
          <w:lang w:val="en-US"/>
        </w:rPr>
        <w:t>= Availability of Bank Account, X</w:t>
      </w:r>
      <w:r w:rsidR="006848B6">
        <w:rPr>
          <w:rFonts w:ascii="Arial" w:hAnsi="Arial" w:cs="Arial"/>
          <w:sz w:val="20"/>
          <w:szCs w:val="20"/>
          <w:lang w:val="en-US"/>
        </w:rPr>
        <w:t>6</w:t>
      </w:r>
      <w:r w:rsidRPr="002D760F">
        <w:rPr>
          <w:rFonts w:ascii="Arial" w:hAnsi="Arial" w:cs="Arial"/>
          <w:sz w:val="20"/>
          <w:szCs w:val="20"/>
          <w:lang w:val="en-US"/>
        </w:rPr>
        <w:t xml:space="preserve">= </w:t>
      </w:r>
      <w:r w:rsidR="00F41A39" w:rsidRPr="002D760F">
        <w:rPr>
          <w:rFonts w:ascii="Arial" w:hAnsi="Arial" w:cs="Arial"/>
          <w:sz w:val="20"/>
          <w:szCs w:val="20"/>
          <w:lang w:val="en-US"/>
        </w:rPr>
        <w:t>Ownership of Land, X</w:t>
      </w:r>
      <w:r w:rsidR="006848B6">
        <w:rPr>
          <w:rFonts w:ascii="Arial" w:hAnsi="Arial" w:cs="Arial"/>
          <w:sz w:val="20"/>
          <w:szCs w:val="20"/>
          <w:lang w:val="en-US"/>
        </w:rPr>
        <w:t>7</w:t>
      </w:r>
      <w:r w:rsidR="00F41A39" w:rsidRPr="002D760F">
        <w:rPr>
          <w:rFonts w:ascii="Arial" w:hAnsi="Arial" w:cs="Arial"/>
          <w:sz w:val="20"/>
          <w:szCs w:val="20"/>
          <w:lang w:val="en-US"/>
        </w:rPr>
        <w:t>= Education Level, X</w:t>
      </w:r>
      <w:r w:rsidR="006848B6">
        <w:rPr>
          <w:rFonts w:ascii="Arial" w:hAnsi="Arial" w:cs="Arial"/>
          <w:sz w:val="20"/>
          <w:szCs w:val="20"/>
          <w:lang w:val="en-US"/>
        </w:rPr>
        <w:t>8</w:t>
      </w:r>
      <w:r w:rsidR="00F41A39" w:rsidRPr="002D760F">
        <w:rPr>
          <w:rFonts w:ascii="Arial" w:hAnsi="Arial" w:cs="Arial"/>
          <w:sz w:val="20"/>
          <w:szCs w:val="20"/>
          <w:lang w:val="en-US"/>
        </w:rPr>
        <w:t>= Income, X</w:t>
      </w:r>
      <w:r w:rsidR="006848B6">
        <w:rPr>
          <w:rFonts w:ascii="Arial" w:hAnsi="Arial" w:cs="Arial"/>
          <w:sz w:val="20"/>
          <w:szCs w:val="20"/>
          <w:lang w:val="en-US"/>
        </w:rPr>
        <w:t>9</w:t>
      </w:r>
      <w:r w:rsidR="00F41A39" w:rsidRPr="002D760F">
        <w:rPr>
          <w:rFonts w:ascii="Arial" w:hAnsi="Arial" w:cs="Arial"/>
          <w:sz w:val="20"/>
          <w:szCs w:val="20"/>
          <w:lang w:val="en-US"/>
        </w:rPr>
        <w:t>= Age, X1</w:t>
      </w:r>
      <w:r w:rsidR="006848B6">
        <w:rPr>
          <w:rFonts w:ascii="Arial" w:hAnsi="Arial" w:cs="Arial"/>
          <w:sz w:val="20"/>
          <w:szCs w:val="20"/>
          <w:lang w:val="en-US"/>
        </w:rPr>
        <w:t>0</w:t>
      </w:r>
      <w:r w:rsidR="00F41A39" w:rsidRPr="002D760F">
        <w:rPr>
          <w:rFonts w:ascii="Arial" w:hAnsi="Arial" w:cs="Arial"/>
          <w:sz w:val="20"/>
          <w:szCs w:val="20"/>
          <w:lang w:val="en-US"/>
        </w:rPr>
        <w:t>= Purpose of Loan, X1</w:t>
      </w:r>
      <w:r w:rsidR="006848B6">
        <w:rPr>
          <w:rFonts w:ascii="Arial" w:hAnsi="Arial" w:cs="Arial"/>
          <w:sz w:val="20"/>
          <w:szCs w:val="20"/>
          <w:lang w:val="en-US"/>
        </w:rPr>
        <w:t>1</w:t>
      </w:r>
      <w:r w:rsidR="00F41A39" w:rsidRPr="002D760F">
        <w:rPr>
          <w:rFonts w:ascii="Arial" w:hAnsi="Arial" w:cs="Arial"/>
          <w:sz w:val="20"/>
          <w:szCs w:val="20"/>
          <w:lang w:val="en-US"/>
        </w:rPr>
        <w:t xml:space="preserve">= Term of Loan </w:t>
      </w:r>
    </w:p>
    <w:p w14:paraId="7777596E" w14:textId="6A9CD3BD" w:rsidR="00F41A39" w:rsidRPr="002D760F" w:rsidRDefault="007A7FEE" w:rsidP="00454DDE">
      <w:pPr>
        <w:spacing w:line="360" w:lineRule="auto"/>
        <w:jc w:val="both"/>
        <w:rPr>
          <w:rFonts w:ascii="Arial" w:hAnsi="Arial" w:cs="Arial"/>
          <w:sz w:val="20"/>
          <w:szCs w:val="20"/>
          <w:lang w:val="en-US"/>
        </w:rPr>
      </w:pPr>
      <w:r w:rsidRPr="002D760F">
        <w:rPr>
          <w:rFonts w:ascii="Arial" w:hAnsi="Arial" w:cs="Arial"/>
          <w:sz w:val="20"/>
          <w:szCs w:val="20"/>
          <w:lang w:val="en-US"/>
        </w:rPr>
        <w:t xml:space="preserve">The interpretation of this analysis can be more understandable using odd ratios which has been </w:t>
      </w:r>
      <w:r w:rsidR="00131421" w:rsidRPr="002D760F">
        <w:rPr>
          <w:rFonts w:ascii="Arial" w:hAnsi="Arial" w:cs="Arial"/>
          <w:sz w:val="20"/>
          <w:szCs w:val="20"/>
          <w:lang w:val="en-US"/>
        </w:rPr>
        <w:t xml:space="preserve">obtained by taking antilog of different slope of co-efficient. </w:t>
      </w:r>
      <w:r w:rsidR="00C90E4E" w:rsidRPr="002D760F">
        <w:rPr>
          <w:rFonts w:ascii="Arial" w:hAnsi="Arial" w:cs="Arial"/>
          <w:sz w:val="20"/>
          <w:szCs w:val="20"/>
          <w:lang w:val="en-US"/>
        </w:rPr>
        <w:t xml:space="preserve">The equation of odd ratio can be illustrated as: </w:t>
      </w:r>
    </w:p>
    <w:p w14:paraId="31CB672F" w14:textId="1321E105" w:rsidR="00310C7E" w:rsidRPr="002D760F" w:rsidRDefault="009736F8" w:rsidP="00454DDE">
      <w:pPr>
        <w:spacing w:line="360" w:lineRule="auto"/>
        <w:jc w:val="center"/>
        <w:rPr>
          <w:rFonts w:ascii="Arial" w:hAnsi="Arial" w:cs="Arial"/>
          <w:sz w:val="20"/>
          <w:szCs w:val="20"/>
          <w:vertAlign w:val="superscript"/>
          <w:lang w:val="en-US"/>
        </w:rPr>
      </w:pPr>
      <m:oMath>
        <m:d>
          <m:dPr>
            <m:ctrlPr>
              <w:rPr>
                <w:rFonts w:ascii="Cambria Math" w:hAnsi="Cambria Math" w:cs="Arial"/>
                <w:i/>
                <w:sz w:val="20"/>
                <w:szCs w:val="20"/>
                <w:lang w:val="en-US"/>
              </w:rPr>
            </m:ctrlPr>
          </m:dPr>
          <m:e>
            <m:f>
              <m:fPr>
                <m:ctrlPr>
                  <w:rPr>
                    <w:rFonts w:ascii="Cambria Math" w:hAnsi="Cambria Math" w:cs="Arial"/>
                    <w:i/>
                    <w:sz w:val="20"/>
                    <w:szCs w:val="20"/>
                    <w:lang w:val="en-US"/>
                  </w:rPr>
                </m:ctrlPr>
              </m:fPr>
              <m:num>
                <m:r>
                  <w:rPr>
                    <w:rFonts w:ascii="Cambria Math" w:hAnsi="Cambria Math" w:cs="Arial"/>
                    <w:sz w:val="20"/>
                    <w:szCs w:val="20"/>
                    <w:lang w:val="en-US"/>
                  </w:rPr>
                  <m:t>P</m:t>
                </m:r>
              </m:num>
              <m:den>
                <m:r>
                  <w:rPr>
                    <w:rFonts w:ascii="Cambria Math" w:hAnsi="Cambria Math" w:cs="Arial"/>
                    <w:sz w:val="20"/>
                    <w:szCs w:val="20"/>
                    <w:lang w:val="en-US"/>
                  </w:rPr>
                  <m:t>1-</m:t>
                </m:r>
                <m:r>
                  <w:rPr>
                    <w:rFonts w:ascii="Cambria Math" w:hAnsi="Cambria Math" w:cs="Arial"/>
                    <w:sz w:val="20"/>
                    <w:szCs w:val="20"/>
                    <w:lang w:val="en-US"/>
                  </w:rPr>
                  <m:t>P</m:t>
                </m:r>
              </m:den>
            </m:f>
          </m:e>
        </m:d>
        <m:r>
          <w:rPr>
            <w:rFonts w:ascii="Cambria Math" w:hAnsi="Cambria Math" w:cs="Arial"/>
            <w:sz w:val="20"/>
            <w:szCs w:val="20"/>
            <w:lang w:val="en-US"/>
          </w:rPr>
          <m:t>=</m:t>
        </m:r>
      </m:oMath>
      <w:r w:rsidR="00310C7E" w:rsidRPr="002D760F">
        <w:rPr>
          <w:rFonts w:ascii="Arial" w:eastAsiaTheme="minorEastAsia" w:hAnsi="Arial" w:cs="Arial"/>
          <w:sz w:val="20"/>
          <w:szCs w:val="20"/>
          <w:lang w:val="en-US"/>
        </w:rPr>
        <w:t xml:space="preserve"> (1+e</w:t>
      </w:r>
      <w:r w:rsidR="00310C7E" w:rsidRPr="002D760F">
        <w:rPr>
          <w:rFonts w:ascii="Arial" w:eastAsiaTheme="minorEastAsia" w:hAnsi="Arial" w:cs="Arial"/>
          <w:sz w:val="20"/>
          <w:szCs w:val="20"/>
          <w:vertAlign w:val="superscript"/>
          <w:lang w:val="en-US"/>
        </w:rPr>
        <w:t>z</w:t>
      </w:r>
      <w:r w:rsidR="00310C7E" w:rsidRPr="002D760F">
        <w:rPr>
          <w:rFonts w:ascii="Arial" w:eastAsiaTheme="minorEastAsia" w:hAnsi="Arial" w:cs="Arial"/>
          <w:sz w:val="20"/>
          <w:szCs w:val="20"/>
          <w:lang w:val="en-US"/>
        </w:rPr>
        <w:t>)/(1+e</w:t>
      </w:r>
      <w:r w:rsidR="00BB7F28" w:rsidRPr="002D760F">
        <w:rPr>
          <w:rFonts w:ascii="Arial" w:eastAsiaTheme="minorEastAsia" w:hAnsi="Arial" w:cs="Arial"/>
          <w:sz w:val="20"/>
          <w:szCs w:val="20"/>
          <w:vertAlign w:val="superscript"/>
          <w:lang w:val="en-US"/>
        </w:rPr>
        <w:t>-z</w:t>
      </w:r>
      <w:r w:rsidR="00BB7F28" w:rsidRPr="002D760F">
        <w:rPr>
          <w:rFonts w:ascii="Arial" w:eastAsiaTheme="minorEastAsia" w:hAnsi="Arial" w:cs="Arial"/>
          <w:sz w:val="20"/>
          <w:szCs w:val="20"/>
          <w:lang w:val="en-US"/>
        </w:rPr>
        <w:t xml:space="preserve">) = </w:t>
      </w:r>
      <w:proofErr w:type="spellStart"/>
      <w:r w:rsidR="00BB7F28" w:rsidRPr="002D760F">
        <w:rPr>
          <w:rFonts w:ascii="Arial" w:eastAsiaTheme="minorEastAsia" w:hAnsi="Arial" w:cs="Arial"/>
          <w:sz w:val="20"/>
          <w:szCs w:val="20"/>
          <w:lang w:val="en-US"/>
        </w:rPr>
        <w:t>e</w:t>
      </w:r>
      <w:r w:rsidR="00BB7F28" w:rsidRPr="002D760F">
        <w:rPr>
          <w:rFonts w:ascii="Arial" w:eastAsiaTheme="minorEastAsia" w:hAnsi="Arial" w:cs="Arial"/>
          <w:sz w:val="20"/>
          <w:szCs w:val="20"/>
          <w:vertAlign w:val="superscript"/>
          <w:lang w:val="en-US"/>
        </w:rPr>
        <w:t>z</w:t>
      </w:r>
      <w:proofErr w:type="spellEnd"/>
    </w:p>
    <w:p w14:paraId="6F5A8B5B" w14:textId="591BD50D" w:rsidR="00515A6A" w:rsidRPr="002D760F" w:rsidRDefault="00BB7F28" w:rsidP="00454DDE">
      <w:pPr>
        <w:spacing w:line="360" w:lineRule="auto"/>
        <w:jc w:val="both"/>
        <w:rPr>
          <w:rFonts w:ascii="Arial" w:hAnsi="Arial" w:cs="Arial"/>
          <w:sz w:val="20"/>
          <w:szCs w:val="20"/>
          <w:lang w:val="en-US"/>
        </w:rPr>
      </w:pPr>
      <w:r w:rsidRPr="002D760F">
        <w:rPr>
          <w:rFonts w:ascii="Arial" w:hAnsi="Arial" w:cs="Arial"/>
          <w:sz w:val="20"/>
          <w:szCs w:val="20"/>
          <w:lang w:val="en-US"/>
        </w:rPr>
        <w:t xml:space="preserve">Where </w:t>
      </w:r>
      <m:oMath>
        <m:d>
          <m:dPr>
            <m:ctrlPr>
              <w:rPr>
                <w:rFonts w:ascii="Cambria Math" w:hAnsi="Cambria Math" w:cs="Arial"/>
                <w:i/>
                <w:sz w:val="20"/>
                <w:szCs w:val="20"/>
                <w:lang w:val="en-US"/>
              </w:rPr>
            </m:ctrlPr>
          </m:dPr>
          <m:e>
            <m:f>
              <m:fPr>
                <m:ctrlPr>
                  <w:rPr>
                    <w:rFonts w:ascii="Cambria Math" w:hAnsi="Cambria Math" w:cs="Arial"/>
                    <w:i/>
                    <w:sz w:val="20"/>
                    <w:szCs w:val="20"/>
                    <w:lang w:val="en-US"/>
                  </w:rPr>
                </m:ctrlPr>
              </m:fPr>
              <m:num>
                <m:r>
                  <w:rPr>
                    <w:rFonts w:ascii="Cambria Math" w:hAnsi="Cambria Math" w:cs="Arial"/>
                    <w:sz w:val="20"/>
                    <w:szCs w:val="20"/>
                    <w:lang w:val="en-US"/>
                  </w:rPr>
                  <m:t>P</m:t>
                </m:r>
              </m:num>
              <m:den>
                <m:r>
                  <w:rPr>
                    <w:rFonts w:ascii="Cambria Math" w:hAnsi="Cambria Math" w:cs="Arial"/>
                    <w:sz w:val="20"/>
                    <w:szCs w:val="20"/>
                    <w:lang w:val="en-US"/>
                  </w:rPr>
                  <m:t>1-P</m:t>
                </m:r>
              </m:den>
            </m:f>
          </m:e>
        </m:d>
      </m:oMath>
      <w:r w:rsidRPr="002D760F">
        <w:rPr>
          <w:rFonts w:ascii="Arial" w:eastAsiaTheme="minorEastAsia" w:hAnsi="Arial" w:cs="Arial"/>
          <w:sz w:val="20"/>
          <w:szCs w:val="20"/>
          <w:lang w:val="en-US"/>
        </w:rPr>
        <w:t xml:space="preserve"> = is the odd ratio of getting access to credit, Z= Bo+ </w:t>
      </w:r>
      <w:r w:rsidRPr="002D760F">
        <w:rPr>
          <w:rFonts w:ascii="Arial" w:hAnsi="Arial" w:cs="Arial"/>
          <w:i/>
          <w:iCs/>
          <w:sz w:val="20"/>
          <w:szCs w:val="20"/>
          <w:lang w:val="en-US"/>
        </w:rPr>
        <w:t>B</w:t>
      </w:r>
      <w:r w:rsidRPr="002D760F">
        <w:rPr>
          <w:rFonts w:ascii="Arial" w:hAnsi="Arial" w:cs="Arial"/>
          <w:i/>
          <w:iCs/>
          <w:sz w:val="20"/>
          <w:szCs w:val="20"/>
          <w:vertAlign w:val="subscript"/>
          <w:lang w:val="en-US"/>
        </w:rPr>
        <w:t>1</w:t>
      </w:r>
      <w:r w:rsidRPr="002D760F">
        <w:rPr>
          <w:rFonts w:ascii="Arial" w:hAnsi="Arial" w:cs="Arial"/>
          <w:i/>
          <w:iCs/>
          <w:sz w:val="20"/>
          <w:szCs w:val="20"/>
          <w:lang w:val="en-US"/>
        </w:rPr>
        <w:t>X</w:t>
      </w:r>
      <w:r w:rsidRPr="002D760F">
        <w:rPr>
          <w:rFonts w:ascii="Arial" w:hAnsi="Arial" w:cs="Arial"/>
          <w:i/>
          <w:iCs/>
          <w:sz w:val="20"/>
          <w:szCs w:val="20"/>
          <w:vertAlign w:val="subscript"/>
          <w:lang w:val="en-US"/>
        </w:rPr>
        <w:t>1</w:t>
      </w:r>
      <w:r w:rsidRPr="002D760F">
        <w:rPr>
          <w:rFonts w:ascii="Arial" w:hAnsi="Arial" w:cs="Arial"/>
          <w:i/>
          <w:iCs/>
          <w:sz w:val="20"/>
          <w:szCs w:val="20"/>
          <w:lang w:val="en-US"/>
        </w:rPr>
        <w:t>+ B</w:t>
      </w:r>
      <w:r w:rsidRPr="002D760F">
        <w:rPr>
          <w:rFonts w:ascii="Arial" w:hAnsi="Arial" w:cs="Arial"/>
          <w:i/>
          <w:iCs/>
          <w:sz w:val="20"/>
          <w:szCs w:val="20"/>
          <w:vertAlign w:val="subscript"/>
          <w:lang w:val="en-US"/>
        </w:rPr>
        <w:t>2</w:t>
      </w:r>
      <w:r w:rsidRPr="002D760F">
        <w:rPr>
          <w:rFonts w:ascii="Arial" w:hAnsi="Arial" w:cs="Arial"/>
          <w:i/>
          <w:iCs/>
          <w:sz w:val="20"/>
          <w:szCs w:val="20"/>
          <w:lang w:val="en-US"/>
        </w:rPr>
        <w:t>X</w:t>
      </w:r>
      <w:r w:rsidRPr="002D760F">
        <w:rPr>
          <w:rFonts w:ascii="Arial" w:hAnsi="Arial" w:cs="Arial"/>
          <w:i/>
          <w:iCs/>
          <w:sz w:val="20"/>
          <w:szCs w:val="20"/>
          <w:vertAlign w:val="subscript"/>
          <w:lang w:val="en-US"/>
        </w:rPr>
        <w:t>2</w:t>
      </w:r>
      <w:r w:rsidRPr="002D760F">
        <w:rPr>
          <w:rFonts w:ascii="Arial" w:hAnsi="Arial" w:cs="Arial"/>
          <w:i/>
          <w:iCs/>
          <w:sz w:val="20"/>
          <w:szCs w:val="20"/>
          <w:lang w:val="en-US"/>
        </w:rPr>
        <w:t>+………… B</w:t>
      </w:r>
      <w:r w:rsidRPr="002D760F">
        <w:rPr>
          <w:rFonts w:ascii="Arial" w:hAnsi="Arial" w:cs="Arial"/>
          <w:i/>
          <w:iCs/>
          <w:sz w:val="20"/>
          <w:szCs w:val="20"/>
          <w:vertAlign w:val="subscript"/>
          <w:lang w:val="en-US"/>
        </w:rPr>
        <w:t>1</w:t>
      </w:r>
      <w:r w:rsidR="006848B6">
        <w:rPr>
          <w:rFonts w:ascii="Arial" w:hAnsi="Arial" w:cs="Arial"/>
          <w:i/>
          <w:iCs/>
          <w:sz w:val="20"/>
          <w:szCs w:val="20"/>
          <w:vertAlign w:val="subscript"/>
          <w:lang w:val="en-US"/>
        </w:rPr>
        <w:t>1</w:t>
      </w:r>
      <w:r w:rsidRPr="002D760F">
        <w:rPr>
          <w:rFonts w:ascii="Arial" w:hAnsi="Arial" w:cs="Arial"/>
          <w:i/>
          <w:iCs/>
          <w:sz w:val="20"/>
          <w:szCs w:val="20"/>
          <w:lang w:val="en-US"/>
        </w:rPr>
        <w:t>X</w:t>
      </w:r>
      <w:proofErr w:type="gramStart"/>
      <w:r w:rsidRPr="002D760F">
        <w:rPr>
          <w:rFonts w:ascii="Arial" w:hAnsi="Arial" w:cs="Arial"/>
          <w:i/>
          <w:iCs/>
          <w:sz w:val="20"/>
          <w:szCs w:val="20"/>
          <w:vertAlign w:val="subscript"/>
          <w:lang w:val="en-US"/>
        </w:rPr>
        <w:t>1</w:t>
      </w:r>
      <w:r w:rsidR="006848B6">
        <w:rPr>
          <w:rFonts w:ascii="Arial" w:hAnsi="Arial" w:cs="Arial"/>
          <w:i/>
          <w:iCs/>
          <w:sz w:val="20"/>
          <w:szCs w:val="20"/>
          <w:vertAlign w:val="subscript"/>
          <w:lang w:val="en-US"/>
        </w:rPr>
        <w:t>1</w:t>
      </w:r>
      <w:r w:rsidRPr="002D760F">
        <w:rPr>
          <w:rFonts w:ascii="Arial" w:hAnsi="Arial" w:cs="Arial"/>
          <w:i/>
          <w:iCs/>
          <w:sz w:val="20"/>
          <w:szCs w:val="20"/>
          <w:lang w:val="en-US"/>
        </w:rPr>
        <w:t xml:space="preserve"> </w:t>
      </w:r>
      <w:r w:rsidRPr="002D760F">
        <w:rPr>
          <w:rFonts w:ascii="Arial" w:hAnsi="Arial" w:cs="Arial"/>
          <w:sz w:val="20"/>
          <w:szCs w:val="20"/>
          <w:lang w:val="en-US"/>
        </w:rPr>
        <w:t>,</w:t>
      </w:r>
      <w:proofErr w:type="gramEnd"/>
      <w:r w:rsidRPr="002D760F">
        <w:rPr>
          <w:rFonts w:ascii="Arial" w:hAnsi="Arial" w:cs="Arial"/>
          <w:sz w:val="20"/>
          <w:szCs w:val="20"/>
          <w:lang w:val="en-US"/>
        </w:rPr>
        <w:t xml:space="preserve"> </w:t>
      </w:r>
    </w:p>
    <w:p w14:paraId="630E1D1F" w14:textId="77777777" w:rsidR="00515A6A" w:rsidRPr="002D760F" w:rsidRDefault="00BB7F28" w:rsidP="00454DDE">
      <w:pPr>
        <w:spacing w:line="360" w:lineRule="auto"/>
        <w:jc w:val="both"/>
        <w:rPr>
          <w:rFonts w:ascii="Arial" w:hAnsi="Arial" w:cs="Arial"/>
          <w:sz w:val="20"/>
          <w:szCs w:val="20"/>
          <w:lang w:val="en-US"/>
        </w:rPr>
      </w:pPr>
      <w:proofErr w:type="spellStart"/>
      <w:r w:rsidRPr="002D760F">
        <w:rPr>
          <w:rFonts w:ascii="Arial" w:hAnsi="Arial" w:cs="Arial"/>
          <w:sz w:val="20"/>
          <w:szCs w:val="20"/>
          <w:lang w:val="en-US"/>
        </w:rPr>
        <w:lastRenderedPageBreak/>
        <w:t>e</w:t>
      </w:r>
      <w:r w:rsidRPr="002D760F">
        <w:rPr>
          <w:rFonts w:ascii="Arial" w:hAnsi="Arial" w:cs="Arial"/>
          <w:sz w:val="20"/>
          <w:szCs w:val="20"/>
          <w:vertAlign w:val="superscript"/>
          <w:lang w:val="en-US"/>
        </w:rPr>
        <w:t>z</w:t>
      </w:r>
      <w:proofErr w:type="spellEnd"/>
      <w:r w:rsidRPr="002D760F">
        <w:rPr>
          <w:rFonts w:ascii="Arial" w:hAnsi="Arial" w:cs="Arial"/>
          <w:sz w:val="20"/>
          <w:szCs w:val="20"/>
          <w:lang w:val="en-US"/>
        </w:rPr>
        <w:t xml:space="preserve"> = Antilog of Z. </w:t>
      </w:r>
    </w:p>
    <w:p w14:paraId="50AF48EF" w14:textId="45695191" w:rsidR="00BB7F28" w:rsidRPr="002D760F" w:rsidRDefault="00BB7F28" w:rsidP="00454DDE">
      <w:pPr>
        <w:spacing w:line="360" w:lineRule="auto"/>
        <w:jc w:val="both"/>
        <w:rPr>
          <w:rFonts w:ascii="Arial" w:hAnsi="Arial" w:cs="Arial"/>
          <w:sz w:val="20"/>
          <w:szCs w:val="20"/>
          <w:lang w:val="en-US"/>
        </w:rPr>
      </w:pPr>
      <w:r w:rsidRPr="002D760F">
        <w:rPr>
          <w:rFonts w:ascii="Arial" w:hAnsi="Arial" w:cs="Arial"/>
          <w:sz w:val="20"/>
          <w:szCs w:val="20"/>
          <w:lang w:val="en-US"/>
        </w:rPr>
        <w:t xml:space="preserve">After taking natural log of equation of </w:t>
      </w:r>
      <w:r w:rsidR="001170F3" w:rsidRPr="002D760F">
        <w:rPr>
          <w:rFonts w:ascii="Arial" w:hAnsi="Arial" w:cs="Arial"/>
          <w:sz w:val="20"/>
          <w:szCs w:val="20"/>
          <w:lang w:val="en-US"/>
        </w:rPr>
        <w:t>odd</w:t>
      </w:r>
      <w:r w:rsidRPr="002D760F">
        <w:rPr>
          <w:rFonts w:ascii="Arial" w:hAnsi="Arial" w:cs="Arial"/>
          <w:sz w:val="20"/>
          <w:szCs w:val="20"/>
          <w:lang w:val="en-US"/>
        </w:rPr>
        <w:t xml:space="preserve"> ratio, the obtained logit function can be written as: </w:t>
      </w:r>
    </w:p>
    <w:p w14:paraId="033EEA0A" w14:textId="2E8CE38B" w:rsidR="00BB7F28" w:rsidRPr="002D760F" w:rsidRDefault="00BB7F28" w:rsidP="00454DDE">
      <w:pPr>
        <w:spacing w:line="360" w:lineRule="auto"/>
        <w:jc w:val="center"/>
        <w:rPr>
          <w:rFonts w:ascii="Arial" w:hAnsi="Arial" w:cs="Arial"/>
          <w:i/>
          <w:iCs/>
          <w:sz w:val="20"/>
          <w:szCs w:val="20"/>
          <w:vertAlign w:val="subscript"/>
          <w:lang w:val="en-US"/>
        </w:rPr>
      </w:pPr>
      <w:r w:rsidRPr="002D760F">
        <w:rPr>
          <w:rFonts w:ascii="Arial" w:hAnsi="Arial" w:cs="Arial"/>
          <w:sz w:val="20"/>
          <w:szCs w:val="20"/>
          <w:lang w:val="en-US"/>
        </w:rPr>
        <w:t xml:space="preserve">L= </w:t>
      </w:r>
      <w:proofErr w:type="spellStart"/>
      <w:r w:rsidRPr="002D760F">
        <w:rPr>
          <w:rFonts w:ascii="Arial" w:hAnsi="Arial" w:cs="Arial"/>
          <w:sz w:val="20"/>
          <w:szCs w:val="20"/>
          <w:lang w:val="en-US"/>
        </w:rPr>
        <w:t>nlog</w:t>
      </w:r>
      <w:proofErr w:type="spellEnd"/>
      <w:r w:rsidRPr="002D760F">
        <w:rPr>
          <w:rFonts w:ascii="Arial" w:hAnsi="Arial" w:cs="Arial"/>
          <w:sz w:val="20"/>
          <w:szCs w:val="20"/>
          <w:lang w:val="en-US"/>
        </w:rPr>
        <w:t xml:space="preserve"> </w:t>
      </w:r>
      <m:oMath>
        <m:d>
          <m:dPr>
            <m:ctrlPr>
              <w:rPr>
                <w:rFonts w:ascii="Cambria Math" w:hAnsi="Cambria Math" w:cs="Arial"/>
                <w:i/>
                <w:sz w:val="20"/>
                <w:szCs w:val="20"/>
                <w:lang w:val="en-US"/>
              </w:rPr>
            </m:ctrlPr>
          </m:dPr>
          <m:e>
            <m:f>
              <m:fPr>
                <m:ctrlPr>
                  <w:rPr>
                    <w:rFonts w:ascii="Cambria Math" w:hAnsi="Cambria Math" w:cs="Arial"/>
                    <w:i/>
                    <w:sz w:val="20"/>
                    <w:szCs w:val="20"/>
                    <w:lang w:val="en-US"/>
                  </w:rPr>
                </m:ctrlPr>
              </m:fPr>
              <m:num>
                <m:r>
                  <w:rPr>
                    <w:rFonts w:ascii="Cambria Math" w:hAnsi="Cambria Math" w:cs="Arial"/>
                    <w:sz w:val="20"/>
                    <w:szCs w:val="20"/>
                    <w:lang w:val="en-US"/>
                  </w:rPr>
                  <m:t>P</m:t>
                </m:r>
              </m:num>
              <m:den>
                <m:r>
                  <w:rPr>
                    <w:rFonts w:ascii="Cambria Math" w:hAnsi="Cambria Math" w:cs="Arial"/>
                    <w:sz w:val="20"/>
                    <w:szCs w:val="20"/>
                    <w:lang w:val="en-US"/>
                  </w:rPr>
                  <m:t>1-P</m:t>
                </m:r>
              </m:den>
            </m:f>
          </m:e>
        </m:d>
      </m:oMath>
      <w:r w:rsidRPr="002D760F">
        <w:rPr>
          <w:rFonts w:ascii="Arial" w:eastAsiaTheme="minorEastAsia" w:hAnsi="Arial" w:cs="Arial"/>
          <w:sz w:val="20"/>
          <w:szCs w:val="20"/>
          <w:lang w:val="en-US"/>
        </w:rPr>
        <w:t xml:space="preserve"> = Z= </w:t>
      </w:r>
      <w:r w:rsidRPr="002D760F">
        <w:rPr>
          <w:rFonts w:ascii="Arial" w:hAnsi="Arial" w:cs="Arial"/>
          <w:i/>
          <w:iCs/>
          <w:sz w:val="20"/>
          <w:szCs w:val="20"/>
          <w:lang w:val="en-US"/>
        </w:rPr>
        <w:t>Bo+ B</w:t>
      </w:r>
      <w:r w:rsidRPr="002D760F">
        <w:rPr>
          <w:rFonts w:ascii="Arial" w:hAnsi="Arial" w:cs="Arial"/>
          <w:i/>
          <w:iCs/>
          <w:sz w:val="20"/>
          <w:szCs w:val="20"/>
          <w:vertAlign w:val="subscript"/>
          <w:lang w:val="en-US"/>
        </w:rPr>
        <w:t>1</w:t>
      </w:r>
      <w:r w:rsidRPr="002D760F">
        <w:rPr>
          <w:rFonts w:ascii="Arial" w:hAnsi="Arial" w:cs="Arial"/>
          <w:i/>
          <w:iCs/>
          <w:sz w:val="20"/>
          <w:szCs w:val="20"/>
          <w:lang w:val="en-US"/>
        </w:rPr>
        <w:t>X</w:t>
      </w:r>
      <w:r w:rsidRPr="002D760F">
        <w:rPr>
          <w:rFonts w:ascii="Arial" w:hAnsi="Arial" w:cs="Arial"/>
          <w:i/>
          <w:iCs/>
          <w:sz w:val="20"/>
          <w:szCs w:val="20"/>
          <w:vertAlign w:val="subscript"/>
          <w:lang w:val="en-US"/>
        </w:rPr>
        <w:t>1</w:t>
      </w:r>
      <w:r w:rsidRPr="002D760F">
        <w:rPr>
          <w:rFonts w:ascii="Arial" w:hAnsi="Arial" w:cs="Arial"/>
          <w:i/>
          <w:iCs/>
          <w:sz w:val="20"/>
          <w:szCs w:val="20"/>
          <w:lang w:val="en-US"/>
        </w:rPr>
        <w:t>+B</w:t>
      </w:r>
      <w:r w:rsidRPr="002D760F">
        <w:rPr>
          <w:rFonts w:ascii="Arial" w:hAnsi="Arial" w:cs="Arial"/>
          <w:i/>
          <w:iCs/>
          <w:sz w:val="20"/>
          <w:szCs w:val="20"/>
          <w:vertAlign w:val="subscript"/>
          <w:lang w:val="en-US"/>
        </w:rPr>
        <w:t>2</w:t>
      </w:r>
      <w:r w:rsidRPr="002D760F">
        <w:rPr>
          <w:rFonts w:ascii="Arial" w:hAnsi="Arial" w:cs="Arial"/>
          <w:i/>
          <w:iCs/>
          <w:sz w:val="20"/>
          <w:szCs w:val="20"/>
          <w:lang w:val="en-US"/>
        </w:rPr>
        <w:t>X</w:t>
      </w:r>
      <w:r w:rsidRPr="002D760F">
        <w:rPr>
          <w:rFonts w:ascii="Arial" w:hAnsi="Arial" w:cs="Arial"/>
          <w:i/>
          <w:iCs/>
          <w:sz w:val="20"/>
          <w:szCs w:val="20"/>
          <w:vertAlign w:val="subscript"/>
          <w:lang w:val="en-US"/>
        </w:rPr>
        <w:t>2</w:t>
      </w:r>
      <w:r w:rsidRPr="002D760F">
        <w:rPr>
          <w:rFonts w:ascii="Arial" w:hAnsi="Arial" w:cs="Arial"/>
          <w:i/>
          <w:iCs/>
          <w:sz w:val="20"/>
          <w:szCs w:val="20"/>
          <w:lang w:val="en-US"/>
        </w:rPr>
        <w:t>+………</w:t>
      </w:r>
      <w:r w:rsidR="001170F3" w:rsidRPr="002D760F">
        <w:rPr>
          <w:rFonts w:ascii="Arial" w:hAnsi="Arial" w:cs="Arial"/>
          <w:i/>
          <w:iCs/>
          <w:sz w:val="20"/>
          <w:szCs w:val="20"/>
          <w:lang w:val="en-US"/>
        </w:rPr>
        <w:t>…...</w:t>
      </w:r>
      <w:r w:rsidRPr="002D760F">
        <w:rPr>
          <w:rFonts w:ascii="Arial" w:hAnsi="Arial" w:cs="Arial"/>
          <w:i/>
          <w:iCs/>
          <w:sz w:val="20"/>
          <w:szCs w:val="20"/>
          <w:lang w:val="en-US"/>
        </w:rPr>
        <w:t xml:space="preserve"> B</w:t>
      </w:r>
      <w:r w:rsidRPr="002D760F">
        <w:rPr>
          <w:rFonts w:ascii="Arial" w:hAnsi="Arial" w:cs="Arial"/>
          <w:i/>
          <w:iCs/>
          <w:sz w:val="20"/>
          <w:szCs w:val="20"/>
          <w:vertAlign w:val="subscript"/>
          <w:lang w:val="en-US"/>
        </w:rPr>
        <w:t>1</w:t>
      </w:r>
      <w:r w:rsidR="006848B6">
        <w:rPr>
          <w:rFonts w:ascii="Arial" w:hAnsi="Arial" w:cs="Arial"/>
          <w:i/>
          <w:iCs/>
          <w:sz w:val="20"/>
          <w:szCs w:val="20"/>
          <w:vertAlign w:val="subscript"/>
          <w:lang w:val="en-US"/>
        </w:rPr>
        <w:t>1</w:t>
      </w:r>
      <w:r w:rsidRPr="002D760F">
        <w:rPr>
          <w:rFonts w:ascii="Arial" w:hAnsi="Arial" w:cs="Arial"/>
          <w:i/>
          <w:iCs/>
          <w:sz w:val="20"/>
          <w:szCs w:val="20"/>
          <w:lang w:val="en-US"/>
        </w:rPr>
        <w:t>X</w:t>
      </w:r>
      <w:r w:rsidRPr="002D760F">
        <w:rPr>
          <w:rFonts w:ascii="Arial" w:hAnsi="Arial" w:cs="Arial"/>
          <w:i/>
          <w:iCs/>
          <w:sz w:val="20"/>
          <w:szCs w:val="20"/>
          <w:vertAlign w:val="subscript"/>
          <w:lang w:val="en-US"/>
        </w:rPr>
        <w:t>1</w:t>
      </w:r>
      <w:r w:rsidR="006848B6">
        <w:rPr>
          <w:rFonts w:ascii="Arial" w:hAnsi="Arial" w:cs="Arial"/>
          <w:i/>
          <w:iCs/>
          <w:sz w:val="20"/>
          <w:szCs w:val="20"/>
          <w:vertAlign w:val="subscript"/>
          <w:lang w:val="en-US"/>
        </w:rPr>
        <w:t>1</w:t>
      </w:r>
    </w:p>
    <w:p w14:paraId="20E0F12A" w14:textId="4DE06F4E" w:rsidR="00BB7F28" w:rsidRPr="002D760F" w:rsidRDefault="00BB7F28" w:rsidP="00454DDE">
      <w:pPr>
        <w:spacing w:line="360" w:lineRule="auto"/>
        <w:jc w:val="both"/>
        <w:rPr>
          <w:rFonts w:ascii="Arial" w:hAnsi="Arial" w:cs="Arial"/>
          <w:sz w:val="20"/>
          <w:szCs w:val="20"/>
          <w:lang w:val="en-US"/>
        </w:rPr>
      </w:pPr>
      <w:r w:rsidRPr="002D760F">
        <w:rPr>
          <w:rFonts w:ascii="Arial" w:hAnsi="Arial" w:cs="Arial"/>
          <w:sz w:val="20"/>
          <w:szCs w:val="20"/>
          <w:lang w:val="en-US"/>
        </w:rPr>
        <w:t xml:space="preserve">Where L is the logit model which is logarithm of odd ratios. </w:t>
      </w:r>
    </w:p>
    <w:p w14:paraId="75BA758D" w14:textId="128D9A9E" w:rsidR="00561692" w:rsidRPr="00561692" w:rsidRDefault="00561692" w:rsidP="00561692">
      <w:pPr>
        <w:pStyle w:val="NormalWeb"/>
        <w:spacing w:line="360" w:lineRule="auto"/>
        <w:rPr>
          <w:rFonts w:ascii="Arial" w:hAnsi="Arial" w:cs="Arial"/>
          <w:b/>
          <w:bCs/>
          <w:sz w:val="22"/>
          <w:szCs w:val="22"/>
        </w:rPr>
      </w:pPr>
      <w:r w:rsidRPr="00561692">
        <w:rPr>
          <w:rFonts w:ascii="Arial" w:hAnsi="Arial" w:cs="Arial"/>
          <w:b/>
          <w:bCs/>
          <w:sz w:val="22"/>
          <w:szCs w:val="22"/>
        </w:rPr>
        <w:t>AGRICULTURE CREDIT DISTRIBUTION IN INDIA</w:t>
      </w:r>
    </w:p>
    <w:p w14:paraId="0CEB6510" w14:textId="4E783C9F" w:rsidR="006E272B" w:rsidRPr="002D760F" w:rsidRDefault="006E272B" w:rsidP="006E272B">
      <w:pPr>
        <w:pStyle w:val="NormalWeb"/>
        <w:spacing w:line="360" w:lineRule="auto"/>
        <w:jc w:val="both"/>
        <w:rPr>
          <w:rFonts w:ascii="Arial" w:hAnsi="Arial" w:cs="Arial"/>
          <w:sz w:val="20"/>
          <w:szCs w:val="20"/>
        </w:rPr>
      </w:pPr>
      <w:r w:rsidRPr="002D760F">
        <w:rPr>
          <w:rFonts w:ascii="Arial" w:hAnsi="Arial" w:cs="Arial"/>
          <w:sz w:val="20"/>
          <w:szCs w:val="20"/>
        </w:rPr>
        <w:t>This graph illustrates the evolution of agricultural credit distribution in India from 1951-52 to 2018-19, showing the relative proportions of formal and informal credit sources. The data reveals a significant transformation in India's agricultural financing landscape over seven decades. In 1951-52, informal credit dominated the agricultural sector, accounting for 89.8% of total agricultural credit, while formal sources constituted only 10.2%. This pattern of informal credit dominance continued through the 1960s and 1970s, though with a gradual decline, as shown by the figures of 79.1% in 1961-62 and 68% in 1971-72. A notable shift began to occur in the 1980s, with formal credit sources rising to 56.2% in 1981-82, surpassing informal sources (43.8%) for the first time in the documented period.</w:t>
      </w:r>
    </w:p>
    <w:p w14:paraId="6A5B0E6E" w14:textId="77777777" w:rsidR="00855143" w:rsidRDefault="00855143" w:rsidP="00454DDE">
      <w:pPr>
        <w:pStyle w:val="NormalWeb"/>
        <w:spacing w:line="360" w:lineRule="auto"/>
        <w:jc w:val="both"/>
        <w:rPr>
          <w:rFonts w:ascii="Arial" w:hAnsi="Arial" w:cs="Arial"/>
          <w:sz w:val="20"/>
          <w:szCs w:val="20"/>
        </w:rPr>
      </w:pPr>
      <w:r w:rsidRPr="002D760F">
        <w:rPr>
          <w:rFonts w:ascii="Arial" w:hAnsi="Arial" w:cs="Arial"/>
          <w:noProof/>
          <w:sz w:val="20"/>
          <w:szCs w:val="20"/>
          <w14:ligatures w14:val="standardContextual"/>
        </w:rPr>
        <w:drawing>
          <wp:inline distT="0" distB="0" distL="0" distR="0" wp14:anchorId="5E378572" wp14:editId="39DC0058">
            <wp:extent cx="5394960" cy="2689860"/>
            <wp:effectExtent l="0" t="0" r="15240" b="15240"/>
            <wp:docPr id="65431978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FC08B0C" w14:textId="1A74BC97" w:rsidR="00E702A0" w:rsidRPr="002D760F" w:rsidRDefault="00E702A0" w:rsidP="00454DDE">
      <w:pPr>
        <w:pStyle w:val="NormalWeb"/>
        <w:spacing w:line="360" w:lineRule="auto"/>
        <w:jc w:val="both"/>
        <w:rPr>
          <w:rFonts w:ascii="Arial" w:hAnsi="Arial" w:cs="Arial"/>
          <w:sz w:val="20"/>
          <w:szCs w:val="20"/>
        </w:rPr>
      </w:pPr>
      <w:r>
        <w:rPr>
          <w:rFonts w:ascii="Arial" w:hAnsi="Arial" w:cs="Arial"/>
          <w:sz w:val="20"/>
          <w:szCs w:val="20"/>
        </w:rPr>
        <w:t>Source: NSSO reports, various years</w:t>
      </w:r>
    </w:p>
    <w:p w14:paraId="558302D9" w14:textId="18B6A9B6" w:rsidR="00782DD4" w:rsidRPr="002D760F" w:rsidRDefault="00E702A0" w:rsidP="00782DD4">
      <w:pPr>
        <w:pStyle w:val="NormalWeb"/>
        <w:spacing w:line="360" w:lineRule="auto"/>
        <w:jc w:val="both"/>
        <w:rPr>
          <w:rFonts w:ascii="Arial" w:hAnsi="Arial" w:cs="Arial"/>
          <w:sz w:val="20"/>
          <w:szCs w:val="20"/>
        </w:rPr>
      </w:pPr>
      <w:r w:rsidRPr="002D760F">
        <w:rPr>
          <w:rFonts w:ascii="Arial" w:hAnsi="Arial" w:cs="Arial"/>
          <w:sz w:val="20"/>
          <w:szCs w:val="20"/>
          <w:lang w:val="en-US"/>
        </w:rPr>
        <w:t xml:space="preserve">The trend toward formalization continued steadily through subsequent decades </w:t>
      </w:r>
      <w:sdt>
        <w:sdtPr>
          <w:rPr>
            <w:rFonts w:ascii="Arial" w:hAnsi="Arial" w:cs="Arial"/>
            <w:sz w:val="20"/>
            <w:szCs w:val="20"/>
            <w:lang w:val="en-US"/>
          </w:rPr>
          <w:id w:val="878981621"/>
          <w:citation/>
        </w:sdtPr>
        <w:sdtEndPr/>
        <w:sdtContent>
          <w:r w:rsidRPr="002D760F">
            <w:rPr>
              <w:rFonts w:ascii="Arial" w:hAnsi="Arial" w:cs="Arial"/>
              <w:sz w:val="20"/>
              <w:szCs w:val="20"/>
              <w:lang w:val="en-US"/>
            </w:rPr>
            <w:fldChar w:fldCharType="begin"/>
          </w:r>
          <w:r w:rsidRPr="002D760F">
            <w:rPr>
              <w:rFonts w:ascii="Arial" w:hAnsi="Arial" w:cs="Arial"/>
              <w:sz w:val="20"/>
              <w:szCs w:val="20"/>
            </w:rPr>
            <w:instrText xml:space="preserve"> CITATION GUL19 \l 16393 </w:instrText>
          </w:r>
          <w:r w:rsidRPr="002D760F">
            <w:rPr>
              <w:rFonts w:ascii="Arial" w:hAnsi="Arial" w:cs="Arial"/>
              <w:sz w:val="20"/>
              <w:szCs w:val="20"/>
              <w:lang w:val="en-US"/>
            </w:rPr>
            <w:fldChar w:fldCharType="separate"/>
          </w:r>
          <w:r w:rsidRPr="002D760F">
            <w:rPr>
              <w:rFonts w:ascii="Arial" w:hAnsi="Arial" w:cs="Arial"/>
              <w:noProof/>
              <w:sz w:val="20"/>
              <w:szCs w:val="20"/>
            </w:rPr>
            <w:t>(GULATI &amp; JUNEJA, 2019)</w:t>
          </w:r>
          <w:r w:rsidRPr="002D760F">
            <w:rPr>
              <w:rFonts w:ascii="Arial" w:hAnsi="Arial" w:cs="Arial"/>
              <w:sz w:val="20"/>
              <w:szCs w:val="20"/>
              <w:lang w:val="en-US"/>
            </w:rPr>
            <w:fldChar w:fldCharType="end"/>
          </w:r>
        </w:sdtContent>
      </w:sdt>
      <w:r w:rsidRPr="002D760F">
        <w:rPr>
          <w:rFonts w:ascii="Arial" w:hAnsi="Arial" w:cs="Arial"/>
          <w:sz w:val="20"/>
          <w:szCs w:val="20"/>
          <w:lang w:val="en-US"/>
        </w:rPr>
        <w:t xml:space="preserve">. By 1991-92, formal credit reached 54.7%, and by 2002-03, it increased to 55.1%. The most recent data points show a continued strengthening of formal credit institutions, with formal sources accounting for 60.2% in 2012-13 and reaching 62.42% in 2018-19, while informal sources declined to 37.58%   </w:t>
      </w:r>
      <w:sdt>
        <w:sdtPr>
          <w:rPr>
            <w:rFonts w:ascii="Arial" w:hAnsi="Arial" w:cs="Arial"/>
            <w:sz w:val="20"/>
            <w:szCs w:val="20"/>
            <w:lang w:val="en-US"/>
          </w:rPr>
          <w:id w:val="1055122753"/>
          <w:citation/>
        </w:sdtPr>
        <w:sdtEndPr/>
        <w:sdtContent>
          <w:r w:rsidRPr="002D760F">
            <w:rPr>
              <w:rFonts w:ascii="Arial" w:hAnsi="Arial" w:cs="Arial"/>
              <w:sz w:val="20"/>
              <w:szCs w:val="20"/>
              <w:lang w:val="en-US"/>
            </w:rPr>
            <w:fldChar w:fldCharType="begin"/>
          </w:r>
          <w:r w:rsidRPr="002D760F">
            <w:rPr>
              <w:rFonts w:ascii="Arial" w:hAnsi="Arial" w:cs="Arial"/>
              <w:sz w:val="20"/>
              <w:szCs w:val="20"/>
            </w:rPr>
            <w:instrText xml:space="preserve"> CITATION Kum21 \l 16393 </w:instrText>
          </w:r>
          <w:r w:rsidRPr="002D760F">
            <w:rPr>
              <w:rFonts w:ascii="Arial" w:hAnsi="Arial" w:cs="Arial"/>
              <w:sz w:val="20"/>
              <w:szCs w:val="20"/>
              <w:lang w:val="en-US"/>
            </w:rPr>
            <w:fldChar w:fldCharType="separate"/>
          </w:r>
          <w:r w:rsidRPr="002D760F">
            <w:rPr>
              <w:rFonts w:ascii="Arial" w:hAnsi="Arial" w:cs="Arial"/>
              <w:noProof/>
              <w:sz w:val="20"/>
              <w:szCs w:val="20"/>
            </w:rPr>
            <w:t>(Kumar V. , 2021)</w:t>
          </w:r>
          <w:r w:rsidRPr="002D760F">
            <w:rPr>
              <w:rFonts w:ascii="Arial" w:hAnsi="Arial" w:cs="Arial"/>
              <w:sz w:val="20"/>
              <w:szCs w:val="20"/>
              <w:lang w:val="en-US"/>
            </w:rPr>
            <w:fldChar w:fldCharType="end"/>
          </w:r>
        </w:sdtContent>
      </w:sdt>
      <w:r w:rsidRPr="002D760F">
        <w:rPr>
          <w:rFonts w:ascii="Arial" w:hAnsi="Arial" w:cs="Arial"/>
          <w:sz w:val="20"/>
          <w:szCs w:val="20"/>
          <w:lang w:val="en-US"/>
        </w:rPr>
        <w:t xml:space="preserve"> </w:t>
      </w:r>
      <w:sdt>
        <w:sdtPr>
          <w:rPr>
            <w:rFonts w:ascii="Arial" w:hAnsi="Arial" w:cs="Arial"/>
            <w:sz w:val="20"/>
            <w:szCs w:val="20"/>
            <w:lang w:val="en-US"/>
          </w:rPr>
          <w:id w:val="-44289201"/>
          <w:citation/>
        </w:sdtPr>
        <w:sdtEndPr/>
        <w:sdtContent>
          <w:r w:rsidRPr="002D760F">
            <w:rPr>
              <w:rFonts w:ascii="Arial" w:hAnsi="Arial" w:cs="Arial"/>
              <w:sz w:val="20"/>
              <w:szCs w:val="20"/>
              <w:lang w:val="en-US"/>
            </w:rPr>
            <w:fldChar w:fldCharType="begin"/>
          </w:r>
          <w:r w:rsidRPr="002D760F">
            <w:rPr>
              <w:rFonts w:ascii="Arial" w:hAnsi="Arial" w:cs="Arial"/>
              <w:sz w:val="20"/>
              <w:szCs w:val="20"/>
            </w:rPr>
            <w:instrText xml:space="preserve"> CITATION GUL19 \l 16393 </w:instrText>
          </w:r>
          <w:r w:rsidRPr="002D760F">
            <w:rPr>
              <w:rFonts w:ascii="Arial" w:hAnsi="Arial" w:cs="Arial"/>
              <w:sz w:val="20"/>
              <w:szCs w:val="20"/>
              <w:lang w:val="en-US"/>
            </w:rPr>
            <w:fldChar w:fldCharType="separate"/>
          </w:r>
          <w:r w:rsidRPr="002D760F">
            <w:rPr>
              <w:rFonts w:ascii="Arial" w:hAnsi="Arial" w:cs="Arial"/>
              <w:noProof/>
              <w:sz w:val="20"/>
              <w:szCs w:val="20"/>
            </w:rPr>
            <w:t>(GULATI &amp; JUNEJA, 2019)</w:t>
          </w:r>
          <w:r w:rsidRPr="002D760F">
            <w:rPr>
              <w:rFonts w:ascii="Arial" w:hAnsi="Arial" w:cs="Arial"/>
              <w:sz w:val="20"/>
              <w:szCs w:val="20"/>
              <w:lang w:val="en-US"/>
            </w:rPr>
            <w:fldChar w:fldCharType="end"/>
          </w:r>
        </w:sdtContent>
      </w:sdt>
      <w:r>
        <w:rPr>
          <w:rFonts w:ascii="Arial" w:hAnsi="Arial" w:cs="Arial"/>
          <w:sz w:val="20"/>
          <w:szCs w:val="20"/>
          <w:lang w:val="en-US"/>
        </w:rPr>
        <w:t xml:space="preserve">. </w:t>
      </w:r>
      <w:r w:rsidR="00782DD4" w:rsidRPr="002D760F">
        <w:rPr>
          <w:rFonts w:ascii="Arial" w:hAnsi="Arial" w:cs="Arial"/>
          <w:sz w:val="20"/>
          <w:szCs w:val="20"/>
        </w:rPr>
        <w:t xml:space="preserve">This transformation reflects the success of various government initiatives and institutional reforms aimed at increasing the penetration of formal credit institutions in rural areas, including the nationalization of banks, expansion of rural banking networks, and the implementation of priority sector lending norms. The shift from informal to formal </w:t>
      </w:r>
      <w:r w:rsidR="00782DD4" w:rsidRPr="002D760F">
        <w:rPr>
          <w:rFonts w:ascii="Arial" w:hAnsi="Arial" w:cs="Arial"/>
          <w:sz w:val="20"/>
          <w:szCs w:val="20"/>
        </w:rPr>
        <w:lastRenderedPageBreak/>
        <w:t>credit sources represents a significant improvement in the agricultural financing system, potentially leading to more regulated interest rates and better credit terms for farmers</w:t>
      </w:r>
      <w:sdt>
        <w:sdtPr>
          <w:rPr>
            <w:rFonts w:ascii="Arial" w:hAnsi="Arial" w:cs="Arial"/>
            <w:sz w:val="20"/>
            <w:szCs w:val="20"/>
          </w:rPr>
          <w:id w:val="1702199356"/>
          <w:citation/>
        </w:sdtPr>
        <w:sdtEndPr/>
        <w:sdtContent>
          <w:r w:rsidR="004F7357" w:rsidRPr="002D760F">
            <w:rPr>
              <w:rFonts w:ascii="Arial" w:hAnsi="Arial" w:cs="Arial"/>
              <w:sz w:val="20"/>
              <w:szCs w:val="20"/>
            </w:rPr>
            <w:fldChar w:fldCharType="begin"/>
          </w:r>
          <w:r w:rsidR="004F7357" w:rsidRPr="002D760F">
            <w:rPr>
              <w:rFonts w:ascii="Arial" w:hAnsi="Arial" w:cs="Arial"/>
              <w:sz w:val="20"/>
              <w:szCs w:val="20"/>
              <w:lang w:val="en-US"/>
            </w:rPr>
            <w:instrText xml:space="preserve"> CITATION GUL19 \l 1033 </w:instrText>
          </w:r>
          <w:r w:rsidR="004F7357" w:rsidRPr="002D760F">
            <w:rPr>
              <w:rFonts w:ascii="Arial" w:hAnsi="Arial" w:cs="Arial"/>
              <w:sz w:val="20"/>
              <w:szCs w:val="20"/>
            </w:rPr>
            <w:fldChar w:fldCharType="separate"/>
          </w:r>
          <w:r w:rsidR="004F7357" w:rsidRPr="002D760F">
            <w:rPr>
              <w:rFonts w:ascii="Arial" w:hAnsi="Arial" w:cs="Arial"/>
              <w:noProof/>
              <w:sz w:val="20"/>
              <w:szCs w:val="20"/>
              <w:lang w:val="en-US"/>
            </w:rPr>
            <w:t xml:space="preserve"> (GULATI &amp; JUNEJA, 2019)</w:t>
          </w:r>
          <w:r w:rsidR="004F7357" w:rsidRPr="002D760F">
            <w:rPr>
              <w:rFonts w:ascii="Arial" w:hAnsi="Arial" w:cs="Arial"/>
              <w:sz w:val="20"/>
              <w:szCs w:val="20"/>
            </w:rPr>
            <w:fldChar w:fldCharType="end"/>
          </w:r>
        </w:sdtContent>
      </w:sdt>
    </w:p>
    <w:p w14:paraId="01B1CAAF" w14:textId="53EB8E72" w:rsidR="00855143" w:rsidRPr="002D760F" w:rsidRDefault="00F0138F" w:rsidP="001170F3">
      <w:pPr>
        <w:spacing w:line="240" w:lineRule="auto"/>
        <w:rPr>
          <w:rFonts w:ascii="Arial" w:hAnsi="Arial" w:cs="Arial"/>
          <w:b/>
          <w:bCs/>
          <w:sz w:val="20"/>
          <w:szCs w:val="20"/>
          <w:lang w:val="en-US"/>
        </w:rPr>
      </w:pPr>
      <w:r>
        <w:rPr>
          <w:rFonts w:ascii="Arial" w:hAnsi="Arial" w:cs="Arial"/>
          <w:b/>
          <w:bCs/>
          <w:sz w:val="20"/>
          <w:szCs w:val="20"/>
          <w:lang w:val="en-US"/>
        </w:rPr>
        <w:t xml:space="preserve">Table 2. </w:t>
      </w:r>
      <w:r w:rsidR="00A777D6" w:rsidRPr="002D760F">
        <w:rPr>
          <w:rFonts w:ascii="Arial" w:hAnsi="Arial" w:cs="Arial"/>
          <w:b/>
          <w:bCs/>
          <w:sz w:val="20"/>
          <w:szCs w:val="20"/>
          <w:lang w:val="en-US"/>
        </w:rPr>
        <w:t xml:space="preserve">SOURCES OF AGRICULTURE CREDIT </w:t>
      </w:r>
    </w:p>
    <w:tbl>
      <w:tblPr>
        <w:tblStyle w:val="TableGrid"/>
        <w:tblW w:w="9291" w:type="dxa"/>
        <w:tblLook w:val="04A0" w:firstRow="1" w:lastRow="0" w:firstColumn="1" w:lastColumn="0" w:noHBand="0" w:noVBand="1"/>
      </w:tblPr>
      <w:tblGrid>
        <w:gridCol w:w="3097"/>
        <w:gridCol w:w="3097"/>
        <w:gridCol w:w="3097"/>
      </w:tblGrid>
      <w:tr w:rsidR="00855143" w:rsidRPr="002D760F" w14:paraId="047DB856" w14:textId="77777777" w:rsidTr="003B29B9">
        <w:trPr>
          <w:trHeight w:val="282"/>
        </w:trPr>
        <w:tc>
          <w:tcPr>
            <w:tcW w:w="3097" w:type="dxa"/>
          </w:tcPr>
          <w:p w14:paraId="1CB95306"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Sources</w:t>
            </w:r>
          </w:p>
        </w:tc>
        <w:tc>
          <w:tcPr>
            <w:tcW w:w="3097" w:type="dxa"/>
          </w:tcPr>
          <w:p w14:paraId="0CB2D08C"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70</w:t>
            </w:r>
            <w:r w:rsidRPr="002D760F">
              <w:rPr>
                <w:rFonts w:ascii="Arial" w:hAnsi="Arial" w:cs="Arial"/>
                <w:sz w:val="20"/>
                <w:szCs w:val="20"/>
                <w:vertAlign w:val="superscript"/>
              </w:rPr>
              <w:t>th</w:t>
            </w:r>
            <w:r w:rsidRPr="002D760F">
              <w:rPr>
                <w:rFonts w:ascii="Arial" w:hAnsi="Arial" w:cs="Arial"/>
                <w:sz w:val="20"/>
                <w:szCs w:val="20"/>
              </w:rPr>
              <w:t xml:space="preserve"> Round</w:t>
            </w:r>
          </w:p>
          <w:p w14:paraId="42F73A4A"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(2012-13)</w:t>
            </w:r>
          </w:p>
        </w:tc>
        <w:tc>
          <w:tcPr>
            <w:tcW w:w="3097" w:type="dxa"/>
          </w:tcPr>
          <w:p w14:paraId="218401E6"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77</w:t>
            </w:r>
            <w:r w:rsidRPr="002D760F">
              <w:rPr>
                <w:rFonts w:ascii="Arial" w:hAnsi="Arial" w:cs="Arial"/>
                <w:sz w:val="20"/>
                <w:szCs w:val="20"/>
                <w:vertAlign w:val="superscript"/>
              </w:rPr>
              <w:t>th</w:t>
            </w:r>
            <w:r w:rsidRPr="002D760F">
              <w:rPr>
                <w:rFonts w:ascii="Arial" w:hAnsi="Arial" w:cs="Arial"/>
                <w:sz w:val="20"/>
                <w:szCs w:val="20"/>
              </w:rPr>
              <w:t xml:space="preserve"> Round</w:t>
            </w:r>
          </w:p>
          <w:p w14:paraId="6049A64D"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(2018-19)</w:t>
            </w:r>
          </w:p>
        </w:tc>
      </w:tr>
      <w:tr w:rsidR="00855143" w:rsidRPr="002D760F" w14:paraId="5CE9B5AC" w14:textId="77777777" w:rsidTr="003B29B9">
        <w:trPr>
          <w:trHeight w:val="282"/>
        </w:trPr>
        <w:tc>
          <w:tcPr>
            <w:tcW w:w="9291" w:type="dxa"/>
            <w:gridSpan w:val="3"/>
          </w:tcPr>
          <w:p w14:paraId="66155EFB"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Formal</w:t>
            </w:r>
          </w:p>
        </w:tc>
      </w:tr>
      <w:tr w:rsidR="00855143" w:rsidRPr="002D760F" w14:paraId="31AFB2FF" w14:textId="77777777" w:rsidTr="003B29B9">
        <w:trPr>
          <w:trHeight w:val="282"/>
        </w:trPr>
        <w:tc>
          <w:tcPr>
            <w:tcW w:w="3097" w:type="dxa"/>
          </w:tcPr>
          <w:p w14:paraId="0CEB764F"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Co-operative Society</w:t>
            </w:r>
          </w:p>
        </w:tc>
        <w:tc>
          <w:tcPr>
            <w:tcW w:w="3097" w:type="dxa"/>
          </w:tcPr>
          <w:p w14:paraId="40265A9D"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29.56</w:t>
            </w:r>
          </w:p>
        </w:tc>
        <w:tc>
          <w:tcPr>
            <w:tcW w:w="3097" w:type="dxa"/>
          </w:tcPr>
          <w:p w14:paraId="1A6F0F6E"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24.4</w:t>
            </w:r>
          </w:p>
        </w:tc>
      </w:tr>
      <w:tr w:rsidR="00855143" w:rsidRPr="002D760F" w14:paraId="19ECE8B0" w14:textId="77777777" w:rsidTr="003B29B9">
        <w:trPr>
          <w:trHeight w:val="282"/>
        </w:trPr>
        <w:tc>
          <w:tcPr>
            <w:tcW w:w="3097" w:type="dxa"/>
          </w:tcPr>
          <w:p w14:paraId="3C72B7C7"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Banks</w:t>
            </w:r>
          </w:p>
        </w:tc>
        <w:tc>
          <w:tcPr>
            <w:tcW w:w="3097" w:type="dxa"/>
          </w:tcPr>
          <w:p w14:paraId="180130A7"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67</w:t>
            </w:r>
          </w:p>
        </w:tc>
        <w:tc>
          <w:tcPr>
            <w:tcW w:w="3097" w:type="dxa"/>
          </w:tcPr>
          <w:p w14:paraId="00B4249A"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70.6</w:t>
            </w:r>
          </w:p>
        </w:tc>
      </w:tr>
      <w:tr w:rsidR="00855143" w:rsidRPr="002D760F" w14:paraId="0EE94C67" w14:textId="77777777" w:rsidTr="003B29B9">
        <w:trPr>
          <w:trHeight w:val="282"/>
        </w:trPr>
        <w:tc>
          <w:tcPr>
            <w:tcW w:w="3097" w:type="dxa"/>
          </w:tcPr>
          <w:p w14:paraId="30A75905"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Others</w:t>
            </w:r>
          </w:p>
        </w:tc>
        <w:tc>
          <w:tcPr>
            <w:tcW w:w="3097" w:type="dxa"/>
          </w:tcPr>
          <w:p w14:paraId="1F0ED2D2"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3.51</w:t>
            </w:r>
          </w:p>
        </w:tc>
        <w:tc>
          <w:tcPr>
            <w:tcW w:w="3097" w:type="dxa"/>
          </w:tcPr>
          <w:p w14:paraId="16BA94C0"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5.08</w:t>
            </w:r>
          </w:p>
        </w:tc>
      </w:tr>
      <w:tr w:rsidR="00855143" w:rsidRPr="002D760F" w14:paraId="16DBFD50" w14:textId="77777777" w:rsidTr="003B29B9">
        <w:trPr>
          <w:trHeight w:val="282"/>
        </w:trPr>
        <w:tc>
          <w:tcPr>
            <w:tcW w:w="3097" w:type="dxa"/>
          </w:tcPr>
          <w:p w14:paraId="2724C18E"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 xml:space="preserve">Total </w:t>
            </w:r>
          </w:p>
        </w:tc>
        <w:tc>
          <w:tcPr>
            <w:tcW w:w="3097" w:type="dxa"/>
          </w:tcPr>
          <w:p w14:paraId="48223446" w14:textId="31B84221" w:rsidR="00855143" w:rsidRPr="002D760F" w:rsidRDefault="00AE43C5" w:rsidP="001B1FC9">
            <w:pPr>
              <w:jc w:val="both"/>
              <w:rPr>
                <w:rFonts w:ascii="Arial" w:hAnsi="Arial" w:cs="Arial"/>
                <w:sz w:val="20"/>
                <w:szCs w:val="20"/>
              </w:rPr>
            </w:pPr>
            <w:r w:rsidRPr="002D760F">
              <w:rPr>
                <w:rFonts w:ascii="Arial" w:hAnsi="Arial" w:cs="Arial"/>
                <w:sz w:val="20"/>
                <w:szCs w:val="20"/>
              </w:rPr>
              <w:t>100</w:t>
            </w:r>
          </w:p>
        </w:tc>
        <w:tc>
          <w:tcPr>
            <w:tcW w:w="3097" w:type="dxa"/>
          </w:tcPr>
          <w:p w14:paraId="633C2ECB" w14:textId="7E99E6D7" w:rsidR="00855143" w:rsidRPr="002D760F" w:rsidRDefault="00AE43C5" w:rsidP="001B1FC9">
            <w:pPr>
              <w:jc w:val="both"/>
              <w:rPr>
                <w:rFonts w:ascii="Arial" w:hAnsi="Arial" w:cs="Arial"/>
                <w:sz w:val="20"/>
                <w:szCs w:val="20"/>
              </w:rPr>
            </w:pPr>
            <w:r w:rsidRPr="002D760F">
              <w:rPr>
                <w:rFonts w:ascii="Arial" w:hAnsi="Arial" w:cs="Arial"/>
                <w:sz w:val="20"/>
                <w:szCs w:val="20"/>
              </w:rPr>
              <w:t>100</w:t>
            </w:r>
          </w:p>
        </w:tc>
      </w:tr>
      <w:tr w:rsidR="00855143" w:rsidRPr="002D760F" w14:paraId="3C885722" w14:textId="77777777" w:rsidTr="003B29B9">
        <w:trPr>
          <w:trHeight w:val="282"/>
        </w:trPr>
        <w:tc>
          <w:tcPr>
            <w:tcW w:w="9291" w:type="dxa"/>
            <w:gridSpan w:val="3"/>
          </w:tcPr>
          <w:p w14:paraId="10919831"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Informal</w:t>
            </w:r>
          </w:p>
        </w:tc>
      </w:tr>
      <w:tr w:rsidR="00855143" w:rsidRPr="002D760F" w14:paraId="6F83BD72" w14:textId="77777777" w:rsidTr="003B29B9">
        <w:trPr>
          <w:trHeight w:val="295"/>
        </w:trPr>
        <w:tc>
          <w:tcPr>
            <w:tcW w:w="3097" w:type="dxa"/>
          </w:tcPr>
          <w:p w14:paraId="55838A31"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Landlord</w:t>
            </w:r>
          </w:p>
        </w:tc>
        <w:tc>
          <w:tcPr>
            <w:tcW w:w="3097" w:type="dxa"/>
          </w:tcPr>
          <w:p w14:paraId="325967A6"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2.34</w:t>
            </w:r>
          </w:p>
        </w:tc>
        <w:tc>
          <w:tcPr>
            <w:tcW w:w="3097" w:type="dxa"/>
          </w:tcPr>
          <w:p w14:paraId="2AEA09B9"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2.80</w:t>
            </w:r>
          </w:p>
        </w:tc>
      </w:tr>
      <w:tr w:rsidR="00855143" w:rsidRPr="002D760F" w14:paraId="1BA04665" w14:textId="77777777" w:rsidTr="003B29B9">
        <w:trPr>
          <w:trHeight w:val="282"/>
        </w:trPr>
        <w:tc>
          <w:tcPr>
            <w:tcW w:w="3097" w:type="dxa"/>
          </w:tcPr>
          <w:p w14:paraId="2C07A3F2"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Moneylender</w:t>
            </w:r>
          </w:p>
        </w:tc>
        <w:tc>
          <w:tcPr>
            <w:tcW w:w="3097" w:type="dxa"/>
          </w:tcPr>
          <w:p w14:paraId="3C293330"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64.05</w:t>
            </w:r>
          </w:p>
        </w:tc>
        <w:tc>
          <w:tcPr>
            <w:tcW w:w="3097" w:type="dxa"/>
          </w:tcPr>
          <w:p w14:paraId="139D7BBA"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44.66</w:t>
            </w:r>
          </w:p>
        </w:tc>
      </w:tr>
      <w:tr w:rsidR="00855143" w:rsidRPr="002D760F" w14:paraId="10B0B9C5" w14:textId="77777777" w:rsidTr="003B29B9">
        <w:trPr>
          <w:trHeight w:val="282"/>
        </w:trPr>
        <w:tc>
          <w:tcPr>
            <w:tcW w:w="3097" w:type="dxa"/>
          </w:tcPr>
          <w:p w14:paraId="6EB95087"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Friends or relatives</w:t>
            </w:r>
          </w:p>
        </w:tc>
        <w:tc>
          <w:tcPr>
            <w:tcW w:w="3097" w:type="dxa"/>
          </w:tcPr>
          <w:p w14:paraId="565341F4"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28.85</w:t>
            </w:r>
          </w:p>
        </w:tc>
        <w:tc>
          <w:tcPr>
            <w:tcW w:w="3097" w:type="dxa"/>
          </w:tcPr>
          <w:p w14:paraId="531611AB"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44.80</w:t>
            </w:r>
          </w:p>
        </w:tc>
      </w:tr>
      <w:tr w:rsidR="00855143" w:rsidRPr="002D760F" w14:paraId="3D2CC127" w14:textId="77777777" w:rsidTr="003B29B9">
        <w:trPr>
          <w:trHeight w:val="282"/>
        </w:trPr>
        <w:tc>
          <w:tcPr>
            <w:tcW w:w="3097" w:type="dxa"/>
          </w:tcPr>
          <w:p w14:paraId="66D37C94"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Others</w:t>
            </w:r>
          </w:p>
        </w:tc>
        <w:tc>
          <w:tcPr>
            <w:tcW w:w="3097" w:type="dxa"/>
          </w:tcPr>
          <w:p w14:paraId="5A5F1494"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4.75</w:t>
            </w:r>
          </w:p>
        </w:tc>
        <w:tc>
          <w:tcPr>
            <w:tcW w:w="3097" w:type="dxa"/>
          </w:tcPr>
          <w:p w14:paraId="0CA5514D" w14:textId="77777777" w:rsidR="00855143" w:rsidRPr="002D760F" w:rsidRDefault="00855143" w:rsidP="001B1FC9">
            <w:pPr>
              <w:jc w:val="both"/>
              <w:rPr>
                <w:rFonts w:ascii="Arial" w:hAnsi="Arial" w:cs="Arial"/>
                <w:sz w:val="20"/>
                <w:szCs w:val="20"/>
              </w:rPr>
            </w:pPr>
            <w:r w:rsidRPr="002D760F">
              <w:rPr>
                <w:rFonts w:ascii="Arial" w:hAnsi="Arial" w:cs="Arial"/>
                <w:sz w:val="20"/>
                <w:szCs w:val="20"/>
              </w:rPr>
              <w:t>7.74</w:t>
            </w:r>
          </w:p>
        </w:tc>
      </w:tr>
      <w:tr w:rsidR="00855143" w:rsidRPr="002D760F" w14:paraId="329EA464" w14:textId="77777777" w:rsidTr="003B29B9">
        <w:trPr>
          <w:trHeight w:val="282"/>
        </w:trPr>
        <w:tc>
          <w:tcPr>
            <w:tcW w:w="3097" w:type="dxa"/>
          </w:tcPr>
          <w:p w14:paraId="78FAC843" w14:textId="77777777" w:rsidR="00855143" w:rsidRPr="002D760F" w:rsidRDefault="00855143" w:rsidP="001B1FC9">
            <w:pPr>
              <w:jc w:val="both"/>
              <w:rPr>
                <w:rFonts w:ascii="Arial" w:hAnsi="Arial" w:cs="Arial"/>
                <w:sz w:val="20"/>
                <w:szCs w:val="20"/>
              </w:rPr>
            </w:pPr>
          </w:p>
        </w:tc>
        <w:tc>
          <w:tcPr>
            <w:tcW w:w="3097" w:type="dxa"/>
          </w:tcPr>
          <w:p w14:paraId="47E19D0A" w14:textId="2E86FF71" w:rsidR="00855143" w:rsidRPr="002D760F" w:rsidRDefault="00AE43C5" w:rsidP="001B1FC9">
            <w:pPr>
              <w:jc w:val="both"/>
              <w:rPr>
                <w:rFonts w:ascii="Arial" w:hAnsi="Arial" w:cs="Arial"/>
                <w:sz w:val="20"/>
                <w:szCs w:val="20"/>
              </w:rPr>
            </w:pPr>
            <w:r w:rsidRPr="002D760F">
              <w:rPr>
                <w:rFonts w:ascii="Arial" w:hAnsi="Arial" w:cs="Arial"/>
                <w:sz w:val="20"/>
                <w:szCs w:val="20"/>
              </w:rPr>
              <w:t>100</w:t>
            </w:r>
          </w:p>
        </w:tc>
        <w:tc>
          <w:tcPr>
            <w:tcW w:w="3097" w:type="dxa"/>
          </w:tcPr>
          <w:p w14:paraId="35525549" w14:textId="79382E17" w:rsidR="00855143" w:rsidRPr="002D760F" w:rsidRDefault="00AE43C5" w:rsidP="001B1FC9">
            <w:pPr>
              <w:jc w:val="both"/>
              <w:rPr>
                <w:rFonts w:ascii="Arial" w:hAnsi="Arial" w:cs="Arial"/>
                <w:sz w:val="20"/>
                <w:szCs w:val="20"/>
              </w:rPr>
            </w:pPr>
            <w:r w:rsidRPr="002D760F">
              <w:rPr>
                <w:rFonts w:ascii="Arial" w:hAnsi="Arial" w:cs="Arial"/>
                <w:sz w:val="20"/>
                <w:szCs w:val="20"/>
              </w:rPr>
              <w:t>100</w:t>
            </w:r>
          </w:p>
        </w:tc>
      </w:tr>
    </w:tbl>
    <w:p w14:paraId="0B156620" w14:textId="402E8CF9" w:rsidR="00855143" w:rsidRPr="002D760F" w:rsidRDefault="00E702A0" w:rsidP="00454DDE">
      <w:pPr>
        <w:spacing w:line="360" w:lineRule="auto"/>
        <w:jc w:val="both"/>
        <w:rPr>
          <w:rFonts w:ascii="Arial" w:hAnsi="Arial" w:cs="Arial"/>
          <w:sz w:val="20"/>
          <w:szCs w:val="20"/>
          <w:lang w:val="en-US"/>
        </w:rPr>
      </w:pPr>
      <w:r>
        <w:rPr>
          <w:rFonts w:ascii="Arial" w:hAnsi="Arial" w:cs="Arial"/>
          <w:sz w:val="20"/>
          <w:szCs w:val="20"/>
          <w:lang w:val="en-US"/>
        </w:rPr>
        <w:t>Source: Author’s calculations based on NSSO unit level Data, 70</w:t>
      </w:r>
      <w:r w:rsidRPr="00E702A0">
        <w:rPr>
          <w:rFonts w:ascii="Arial" w:hAnsi="Arial" w:cs="Arial"/>
          <w:sz w:val="20"/>
          <w:szCs w:val="20"/>
          <w:vertAlign w:val="superscript"/>
          <w:lang w:val="en-US"/>
        </w:rPr>
        <w:t>th</w:t>
      </w:r>
      <w:r>
        <w:rPr>
          <w:rFonts w:ascii="Arial" w:hAnsi="Arial" w:cs="Arial"/>
          <w:sz w:val="20"/>
          <w:szCs w:val="20"/>
          <w:lang w:val="en-US"/>
        </w:rPr>
        <w:t xml:space="preserve"> and 77</w:t>
      </w:r>
      <w:r w:rsidRPr="00E702A0">
        <w:rPr>
          <w:rFonts w:ascii="Arial" w:hAnsi="Arial" w:cs="Arial"/>
          <w:sz w:val="20"/>
          <w:szCs w:val="20"/>
          <w:vertAlign w:val="superscript"/>
          <w:lang w:val="en-US"/>
        </w:rPr>
        <w:t>th</w:t>
      </w:r>
      <w:r>
        <w:rPr>
          <w:rFonts w:ascii="Arial" w:hAnsi="Arial" w:cs="Arial"/>
          <w:sz w:val="20"/>
          <w:szCs w:val="20"/>
          <w:lang w:val="en-US"/>
        </w:rPr>
        <w:t xml:space="preserve"> round</w:t>
      </w:r>
    </w:p>
    <w:p w14:paraId="61EE8260" w14:textId="4FF5F430" w:rsidR="00AE43C5" w:rsidRPr="002D760F" w:rsidRDefault="00AE43C5" w:rsidP="00AE43C5">
      <w:pPr>
        <w:spacing w:line="360" w:lineRule="auto"/>
        <w:jc w:val="both"/>
        <w:rPr>
          <w:rFonts w:ascii="Arial" w:hAnsi="Arial" w:cs="Arial"/>
          <w:sz w:val="20"/>
          <w:szCs w:val="20"/>
          <w:lang w:val="en-US"/>
        </w:rPr>
      </w:pPr>
      <w:r w:rsidRPr="002D760F">
        <w:rPr>
          <w:rFonts w:ascii="Arial" w:hAnsi="Arial" w:cs="Arial"/>
          <w:sz w:val="20"/>
          <w:szCs w:val="20"/>
          <w:lang w:val="en-US"/>
        </w:rPr>
        <w:t>The data presents a comparative analysis of agricultural credit sources across two National Sample Survey Office (NSSO) rounds - the 70th round (2012-13) and the 77th round (2018-19), revealing significant shifts in both formal and informal lending patterns</w:t>
      </w:r>
      <w:sdt>
        <w:sdtPr>
          <w:rPr>
            <w:rFonts w:ascii="Arial" w:hAnsi="Arial" w:cs="Arial"/>
            <w:sz w:val="20"/>
            <w:szCs w:val="20"/>
            <w:lang w:val="en-US"/>
          </w:rPr>
          <w:id w:val="958528642"/>
          <w:citation/>
        </w:sdtPr>
        <w:sdtEndPr/>
        <w:sdtContent>
          <w:r w:rsidR="00615A38" w:rsidRPr="002D760F">
            <w:rPr>
              <w:rFonts w:ascii="Arial" w:hAnsi="Arial" w:cs="Arial"/>
              <w:sz w:val="20"/>
              <w:szCs w:val="20"/>
              <w:lang w:val="en-US"/>
            </w:rPr>
            <w:fldChar w:fldCharType="begin"/>
          </w:r>
          <w:r w:rsidR="00615A38" w:rsidRPr="002D760F">
            <w:rPr>
              <w:rFonts w:ascii="Arial" w:hAnsi="Arial" w:cs="Arial"/>
              <w:sz w:val="20"/>
              <w:szCs w:val="20"/>
            </w:rPr>
            <w:instrText xml:space="preserve"> CITATION Sat22 \l 16393 </w:instrText>
          </w:r>
          <w:r w:rsidR="00615A38" w:rsidRPr="002D760F">
            <w:rPr>
              <w:rFonts w:ascii="Arial" w:hAnsi="Arial" w:cs="Arial"/>
              <w:sz w:val="20"/>
              <w:szCs w:val="20"/>
              <w:lang w:val="en-US"/>
            </w:rPr>
            <w:fldChar w:fldCharType="separate"/>
          </w:r>
          <w:r w:rsidR="00615A38" w:rsidRPr="002D760F">
            <w:rPr>
              <w:rFonts w:ascii="Arial" w:hAnsi="Arial" w:cs="Arial"/>
              <w:noProof/>
              <w:sz w:val="20"/>
              <w:szCs w:val="20"/>
            </w:rPr>
            <w:t xml:space="preserve"> (Satyasai &amp; Jadhav, 2022)</w:t>
          </w:r>
          <w:r w:rsidR="00615A38" w:rsidRPr="002D760F">
            <w:rPr>
              <w:rFonts w:ascii="Arial" w:hAnsi="Arial" w:cs="Arial"/>
              <w:sz w:val="20"/>
              <w:szCs w:val="20"/>
              <w:lang w:val="en-US"/>
            </w:rPr>
            <w:fldChar w:fldCharType="end"/>
          </w:r>
        </w:sdtContent>
      </w:sdt>
      <w:r w:rsidRPr="002D760F">
        <w:rPr>
          <w:rFonts w:ascii="Arial" w:hAnsi="Arial" w:cs="Arial"/>
          <w:sz w:val="20"/>
          <w:szCs w:val="20"/>
          <w:lang w:val="en-US"/>
        </w:rPr>
        <w:t>. Within the formal sector, banks have strengthened their position as the dominant institutional lender, increasing their share from 67% to 70.6% between the two periods. Conversely, cooperative societies experienced a notable decline in their credit share, decreasing from 29.56% to 24.4%, while other formal sources showed a modest increase from 3.51% to 5.08%</w:t>
      </w:r>
      <w:r w:rsidR="00675B37" w:rsidRPr="002D760F">
        <w:rPr>
          <w:rFonts w:ascii="Arial" w:hAnsi="Arial" w:cs="Arial"/>
          <w:sz w:val="20"/>
          <w:szCs w:val="20"/>
          <w:lang w:val="en-US"/>
        </w:rPr>
        <w:t xml:space="preserve"> </w:t>
      </w:r>
      <w:sdt>
        <w:sdtPr>
          <w:rPr>
            <w:rFonts w:ascii="Arial" w:hAnsi="Arial" w:cs="Arial"/>
            <w:sz w:val="20"/>
            <w:szCs w:val="20"/>
            <w:lang w:val="en-US"/>
          </w:rPr>
          <w:id w:val="1392303923"/>
          <w:citation/>
        </w:sdtPr>
        <w:sdtEndPr/>
        <w:sdtContent>
          <w:r w:rsidR="00675B37" w:rsidRPr="002D760F">
            <w:rPr>
              <w:rFonts w:ascii="Arial" w:hAnsi="Arial" w:cs="Arial"/>
              <w:sz w:val="20"/>
              <w:szCs w:val="20"/>
              <w:lang w:val="en-US"/>
            </w:rPr>
            <w:fldChar w:fldCharType="begin"/>
          </w:r>
          <w:r w:rsidR="00675B37" w:rsidRPr="002D760F">
            <w:rPr>
              <w:rFonts w:ascii="Arial" w:hAnsi="Arial" w:cs="Arial"/>
              <w:sz w:val="20"/>
              <w:szCs w:val="20"/>
            </w:rPr>
            <w:instrText xml:space="preserve"> CITATION Kum22 \l 16393 </w:instrText>
          </w:r>
          <w:r w:rsidR="00675B37" w:rsidRPr="002D760F">
            <w:rPr>
              <w:rFonts w:ascii="Arial" w:hAnsi="Arial" w:cs="Arial"/>
              <w:sz w:val="20"/>
              <w:szCs w:val="20"/>
              <w:lang w:val="en-US"/>
            </w:rPr>
            <w:fldChar w:fldCharType="separate"/>
          </w:r>
          <w:r w:rsidR="00675B37" w:rsidRPr="002D760F">
            <w:rPr>
              <w:rFonts w:ascii="Arial" w:hAnsi="Arial" w:cs="Arial"/>
              <w:noProof/>
              <w:sz w:val="20"/>
              <w:szCs w:val="20"/>
            </w:rPr>
            <w:t>(Kumar &amp; Afroz, 2022)</w:t>
          </w:r>
          <w:r w:rsidR="00675B37" w:rsidRPr="002D760F">
            <w:rPr>
              <w:rFonts w:ascii="Arial" w:hAnsi="Arial" w:cs="Arial"/>
              <w:sz w:val="20"/>
              <w:szCs w:val="20"/>
              <w:lang w:val="en-US"/>
            </w:rPr>
            <w:fldChar w:fldCharType="end"/>
          </w:r>
        </w:sdtContent>
      </w:sdt>
      <w:r w:rsidR="00675B37" w:rsidRPr="002D760F">
        <w:rPr>
          <w:rFonts w:ascii="Arial" w:hAnsi="Arial" w:cs="Arial"/>
          <w:sz w:val="20"/>
          <w:szCs w:val="20"/>
          <w:lang w:val="en-US"/>
        </w:rPr>
        <w:t xml:space="preserve"> </w:t>
      </w:r>
      <w:sdt>
        <w:sdtPr>
          <w:rPr>
            <w:rFonts w:ascii="Arial" w:hAnsi="Arial" w:cs="Arial"/>
            <w:sz w:val="20"/>
            <w:szCs w:val="20"/>
            <w:lang w:val="en-US"/>
          </w:rPr>
          <w:id w:val="1436330730"/>
          <w:citation/>
        </w:sdtPr>
        <w:sdtEndPr/>
        <w:sdtContent>
          <w:r w:rsidR="00675B37" w:rsidRPr="002D760F">
            <w:rPr>
              <w:rFonts w:ascii="Arial" w:hAnsi="Arial" w:cs="Arial"/>
              <w:sz w:val="20"/>
              <w:szCs w:val="20"/>
              <w:lang w:val="en-US"/>
            </w:rPr>
            <w:fldChar w:fldCharType="begin"/>
          </w:r>
          <w:r w:rsidR="00675B37" w:rsidRPr="002D760F">
            <w:rPr>
              <w:rFonts w:ascii="Arial" w:hAnsi="Arial" w:cs="Arial"/>
              <w:sz w:val="20"/>
              <w:szCs w:val="20"/>
            </w:rPr>
            <w:instrText xml:space="preserve"> CITATION Nai24 \l 16393 </w:instrText>
          </w:r>
          <w:r w:rsidR="00675B37" w:rsidRPr="002D760F">
            <w:rPr>
              <w:rFonts w:ascii="Arial" w:hAnsi="Arial" w:cs="Arial"/>
              <w:sz w:val="20"/>
              <w:szCs w:val="20"/>
              <w:lang w:val="en-US"/>
            </w:rPr>
            <w:fldChar w:fldCharType="separate"/>
          </w:r>
          <w:r w:rsidR="00675B37" w:rsidRPr="002D760F">
            <w:rPr>
              <w:rFonts w:ascii="Arial" w:hAnsi="Arial" w:cs="Arial"/>
              <w:noProof/>
              <w:sz w:val="20"/>
              <w:szCs w:val="20"/>
            </w:rPr>
            <w:t>(Naik, Rohith , Mondal, &amp; Nayak, 2024)</w:t>
          </w:r>
          <w:r w:rsidR="00675B37" w:rsidRPr="002D760F">
            <w:rPr>
              <w:rFonts w:ascii="Arial" w:hAnsi="Arial" w:cs="Arial"/>
              <w:sz w:val="20"/>
              <w:szCs w:val="20"/>
              <w:lang w:val="en-US"/>
            </w:rPr>
            <w:fldChar w:fldCharType="end"/>
          </w:r>
        </w:sdtContent>
      </w:sdt>
    </w:p>
    <w:p w14:paraId="7C2C99DC" w14:textId="41F4593A" w:rsidR="00AE43C5" w:rsidRPr="002D760F" w:rsidRDefault="00AE43C5" w:rsidP="00AE43C5">
      <w:pPr>
        <w:spacing w:line="360" w:lineRule="auto"/>
        <w:jc w:val="both"/>
        <w:rPr>
          <w:rFonts w:ascii="Arial" w:hAnsi="Arial" w:cs="Arial"/>
          <w:sz w:val="20"/>
          <w:szCs w:val="20"/>
          <w:lang w:val="en-US"/>
        </w:rPr>
      </w:pPr>
      <w:r w:rsidRPr="002D760F">
        <w:rPr>
          <w:rFonts w:ascii="Arial" w:hAnsi="Arial" w:cs="Arial"/>
          <w:sz w:val="20"/>
          <w:szCs w:val="20"/>
          <w:lang w:val="en-US"/>
        </w:rPr>
        <w:t>The informal lending landscape underwent more substantial transformations during this period Most notably, the role of traditional moneylenders decreased significantly, with their share falling from 64.05% to 44.66%. This decline was offset by a marked increase in credit from friends and relatives, which rose substantially from 28.85% to 44.80%, nearly equaling the share of moneylenders in the 77th round. Landlord-based lending showed a marginal increase from 2.34% to 2.80%, while other informal sources expanded their share from 4.75% to 7.74%</w:t>
      </w:r>
      <w:r w:rsidR="00077889" w:rsidRPr="002D760F">
        <w:rPr>
          <w:rFonts w:ascii="Arial" w:hAnsi="Arial" w:cs="Arial"/>
          <w:sz w:val="20"/>
          <w:szCs w:val="20"/>
          <w:lang w:val="en-US"/>
        </w:rPr>
        <w:t xml:space="preserve"> </w:t>
      </w:r>
      <w:sdt>
        <w:sdtPr>
          <w:rPr>
            <w:rFonts w:ascii="Arial" w:hAnsi="Arial" w:cs="Arial"/>
            <w:sz w:val="20"/>
            <w:szCs w:val="20"/>
            <w:lang w:val="en-US"/>
          </w:rPr>
          <w:id w:val="947505602"/>
          <w:citation/>
        </w:sdtPr>
        <w:sdtEndPr/>
        <w:sdtContent>
          <w:r w:rsidR="008F008B" w:rsidRPr="002D760F">
            <w:rPr>
              <w:rFonts w:ascii="Arial" w:hAnsi="Arial" w:cs="Arial"/>
              <w:sz w:val="20"/>
              <w:szCs w:val="20"/>
              <w:lang w:val="en-US"/>
            </w:rPr>
            <w:fldChar w:fldCharType="begin"/>
          </w:r>
          <w:r w:rsidR="008F008B" w:rsidRPr="002D760F">
            <w:rPr>
              <w:rFonts w:ascii="Arial" w:hAnsi="Arial" w:cs="Arial"/>
              <w:sz w:val="20"/>
              <w:szCs w:val="20"/>
            </w:rPr>
            <w:instrText xml:space="preserve"> CITATION Kap18 \l 16393 </w:instrText>
          </w:r>
          <w:r w:rsidR="008F008B" w:rsidRPr="002D760F">
            <w:rPr>
              <w:rFonts w:ascii="Arial" w:hAnsi="Arial" w:cs="Arial"/>
              <w:sz w:val="20"/>
              <w:szCs w:val="20"/>
              <w:lang w:val="en-US"/>
            </w:rPr>
            <w:fldChar w:fldCharType="separate"/>
          </w:r>
          <w:r w:rsidR="008F008B" w:rsidRPr="002D760F">
            <w:rPr>
              <w:rFonts w:ascii="Arial" w:hAnsi="Arial" w:cs="Arial"/>
              <w:noProof/>
              <w:sz w:val="20"/>
              <w:szCs w:val="20"/>
            </w:rPr>
            <w:t>(Kapur, 2018)</w:t>
          </w:r>
          <w:r w:rsidR="008F008B" w:rsidRPr="002D760F">
            <w:rPr>
              <w:rFonts w:ascii="Arial" w:hAnsi="Arial" w:cs="Arial"/>
              <w:sz w:val="20"/>
              <w:szCs w:val="20"/>
              <w:lang w:val="en-US"/>
            </w:rPr>
            <w:fldChar w:fldCharType="end"/>
          </w:r>
        </w:sdtContent>
      </w:sdt>
    </w:p>
    <w:p w14:paraId="39D240C4" w14:textId="31A518CD" w:rsidR="00E81220" w:rsidRPr="002D760F" w:rsidRDefault="00AE43C5" w:rsidP="00820E48">
      <w:pPr>
        <w:spacing w:line="360" w:lineRule="auto"/>
        <w:jc w:val="both"/>
        <w:rPr>
          <w:rFonts w:ascii="Arial" w:hAnsi="Arial" w:cs="Arial"/>
          <w:sz w:val="20"/>
          <w:szCs w:val="20"/>
          <w:lang w:val="en-US"/>
        </w:rPr>
      </w:pPr>
      <w:r w:rsidRPr="002D760F">
        <w:rPr>
          <w:rFonts w:ascii="Arial" w:hAnsi="Arial" w:cs="Arial"/>
          <w:sz w:val="20"/>
          <w:szCs w:val="20"/>
          <w:lang w:val="en-US"/>
        </w:rPr>
        <w:t>These trends suggest a gradual formalization of agricultural credit, with banks consolidating their position in the formal sector. However, the persistent significance of informal sources, particularly the rising importance of social networks (friends and relatives) in agricultural lending, indicates the continuing relevance of informal credit channels in India's agricultural financing landscape</w:t>
      </w:r>
      <w:sdt>
        <w:sdtPr>
          <w:rPr>
            <w:rFonts w:ascii="Arial" w:hAnsi="Arial" w:cs="Arial"/>
            <w:sz w:val="20"/>
            <w:szCs w:val="20"/>
            <w:lang w:val="en-US"/>
          </w:rPr>
          <w:id w:val="-854728772"/>
          <w:citation/>
        </w:sdtPr>
        <w:sdtEndPr/>
        <w:sdtContent>
          <w:r w:rsidR="001F2D71" w:rsidRPr="002D760F">
            <w:rPr>
              <w:rFonts w:ascii="Arial" w:hAnsi="Arial" w:cs="Arial"/>
              <w:sz w:val="20"/>
              <w:szCs w:val="20"/>
              <w:lang w:val="en-US"/>
            </w:rPr>
            <w:fldChar w:fldCharType="begin"/>
          </w:r>
          <w:r w:rsidR="001F2D71" w:rsidRPr="002D760F">
            <w:rPr>
              <w:rFonts w:ascii="Arial" w:hAnsi="Arial" w:cs="Arial"/>
              <w:sz w:val="20"/>
              <w:szCs w:val="20"/>
            </w:rPr>
            <w:instrText xml:space="preserve"> CITATION Bas24 \l 16393 </w:instrText>
          </w:r>
          <w:r w:rsidR="001F2D71" w:rsidRPr="002D760F">
            <w:rPr>
              <w:rFonts w:ascii="Arial" w:hAnsi="Arial" w:cs="Arial"/>
              <w:sz w:val="20"/>
              <w:szCs w:val="20"/>
              <w:lang w:val="en-US"/>
            </w:rPr>
            <w:fldChar w:fldCharType="separate"/>
          </w:r>
          <w:r w:rsidR="001F2D71" w:rsidRPr="002D760F">
            <w:rPr>
              <w:rFonts w:ascii="Arial" w:hAnsi="Arial" w:cs="Arial"/>
              <w:noProof/>
              <w:sz w:val="20"/>
              <w:szCs w:val="20"/>
            </w:rPr>
            <w:t xml:space="preserve"> ( Basumatary, Kalita, &amp; Bharadwaj, 2024)</w:t>
          </w:r>
          <w:r w:rsidR="001F2D71" w:rsidRPr="002D760F">
            <w:rPr>
              <w:rFonts w:ascii="Arial" w:hAnsi="Arial" w:cs="Arial"/>
              <w:sz w:val="20"/>
              <w:szCs w:val="20"/>
              <w:lang w:val="en-US"/>
            </w:rPr>
            <w:fldChar w:fldCharType="end"/>
          </w:r>
        </w:sdtContent>
      </w:sdt>
      <w:r w:rsidR="001F2D71" w:rsidRPr="002D760F">
        <w:rPr>
          <w:rFonts w:ascii="Arial" w:hAnsi="Arial" w:cs="Arial"/>
          <w:sz w:val="20"/>
          <w:szCs w:val="20"/>
          <w:lang w:val="en-US"/>
        </w:rPr>
        <w:t xml:space="preserve">. </w:t>
      </w:r>
      <w:r w:rsidRPr="002D760F">
        <w:rPr>
          <w:rFonts w:ascii="Arial" w:hAnsi="Arial" w:cs="Arial"/>
          <w:sz w:val="20"/>
          <w:szCs w:val="20"/>
          <w:lang w:val="en-US"/>
        </w:rPr>
        <w:t>This shift from professional moneylenders to social network-based lending might reflect both changing rural social dynamics and the impact of financial inclusion initiatives.</w:t>
      </w:r>
    </w:p>
    <w:p w14:paraId="5E6F42F9" w14:textId="6216CD7A" w:rsidR="0079227D" w:rsidRPr="002D760F" w:rsidRDefault="005D539A" w:rsidP="005D539A">
      <w:pPr>
        <w:spacing w:line="360" w:lineRule="auto"/>
        <w:rPr>
          <w:rFonts w:ascii="Arial" w:hAnsi="Arial" w:cs="Arial"/>
          <w:b/>
          <w:bCs/>
          <w:sz w:val="20"/>
          <w:szCs w:val="20"/>
          <w:lang w:val="en-US"/>
        </w:rPr>
      </w:pPr>
      <w:r w:rsidRPr="002D760F">
        <w:rPr>
          <w:rFonts w:ascii="Arial" w:hAnsi="Arial" w:cs="Arial"/>
          <w:b/>
          <w:bCs/>
          <w:sz w:val="20"/>
          <w:szCs w:val="20"/>
          <w:lang w:val="en-US"/>
        </w:rPr>
        <w:t xml:space="preserve">MULTIVARIATE LOGISTIC REGRESSION RESULTS </w:t>
      </w:r>
    </w:p>
    <w:p w14:paraId="7581C7A5" w14:textId="77777777" w:rsidR="001311E1" w:rsidRPr="002D760F" w:rsidRDefault="001311E1" w:rsidP="001311E1">
      <w:pPr>
        <w:spacing w:line="360" w:lineRule="auto"/>
        <w:jc w:val="both"/>
        <w:rPr>
          <w:rFonts w:ascii="Arial" w:hAnsi="Arial" w:cs="Arial"/>
          <w:sz w:val="20"/>
          <w:szCs w:val="20"/>
        </w:rPr>
      </w:pPr>
      <w:r w:rsidRPr="002D760F">
        <w:rPr>
          <w:rFonts w:ascii="Arial" w:hAnsi="Arial" w:cs="Arial"/>
          <w:sz w:val="20"/>
          <w:szCs w:val="20"/>
        </w:rPr>
        <w:lastRenderedPageBreak/>
        <w:t>A longitudinal analysis of credit accessibility determinants across two temporal points (2012-13 and 2018-19) reveals complex intersections of socio-economic variables, demonstrating significant evolutionary patterns in financial inclusion dynamics. The empirical evidence, quantified through odds ratios and corresponding confidence intervals, illuminates multifaceted relationships between demographic characteristics and credit access probabilities.</w:t>
      </w:r>
    </w:p>
    <w:p w14:paraId="0B9B2677" w14:textId="141C2561" w:rsidR="006E272B" w:rsidRPr="002D760F" w:rsidRDefault="006E272B" w:rsidP="001311E1">
      <w:pPr>
        <w:spacing w:line="360" w:lineRule="auto"/>
        <w:jc w:val="both"/>
        <w:rPr>
          <w:rFonts w:ascii="Arial" w:hAnsi="Arial" w:cs="Arial"/>
          <w:sz w:val="20"/>
          <w:szCs w:val="20"/>
        </w:rPr>
      </w:pPr>
      <w:r w:rsidRPr="002D760F">
        <w:rPr>
          <w:rFonts w:ascii="Arial" w:hAnsi="Arial" w:cs="Arial"/>
          <w:sz w:val="20"/>
          <w:szCs w:val="20"/>
        </w:rPr>
        <w:t>Religious stratification analysis indicates persistent disparities, with religious minorities experiencing marginally diminished credit access probability compared to the Hindu majority (OR=0.99 for Muslims, declining to OR=0.737 for other religious groups in 2018-19). Socio-economic categorization demonstrates enduring structural inequalities, particularly pronounced among Scheduled Castes and Scheduled Tribes (OR=0.69 in 2012-13, marginally improving to OR=0.787 in 2018-19), while Other Backward Classes maintain an intermediate position in the credit accessibility hierarchy. Occupational status emerges as a significant determinant, with regular/salaried employment conferring substantial advantages in credit access probability (OR=1.76 in 2018-19) compared to self-employed individuals.</w:t>
      </w:r>
    </w:p>
    <w:p w14:paraId="41EB2475" w14:textId="77777777" w:rsidR="006E272B" w:rsidRPr="002D760F" w:rsidRDefault="006E272B" w:rsidP="006E272B">
      <w:pPr>
        <w:spacing w:line="360" w:lineRule="auto"/>
        <w:jc w:val="both"/>
        <w:rPr>
          <w:rFonts w:ascii="Arial" w:hAnsi="Arial" w:cs="Arial"/>
          <w:sz w:val="20"/>
          <w:szCs w:val="20"/>
        </w:rPr>
      </w:pPr>
      <w:r w:rsidRPr="002D760F">
        <w:rPr>
          <w:rFonts w:ascii="Arial" w:hAnsi="Arial" w:cs="Arial"/>
          <w:sz w:val="20"/>
          <w:szCs w:val="20"/>
        </w:rPr>
        <w:t xml:space="preserve">Financial infrastructure engagement, measured through bank account ownership, exhibits a strong positive correlation with credit accessibility, though its magnitude decreased substantially (from OR=3.277 to OR=1.44) between the study periods. Educational attainment maintains consistent significance, with literacy conferring approximately 1.6 times higher odds of credit access across both temporal points. </w:t>
      </w:r>
    </w:p>
    <w:p w14:paraId="70F0C27F" w14:textId="0CAA88A3" w:rsidR="00792B8E" w:rsidRPr="002D760F" w:rsidRDefault="00F0138F" w:rsidP="001170F3">
      <w:pPr>
        <w:spacing w:line="360" w:lineRule="auto"/>
        <w:rPr>
          <w:rFonts w:ascii="Arial" w:hAnsi="Arial" w:cs="Arial"/>
          <w:b/>
          <w:bCs/>
          <w:sz w:val="20"/>
          <w:szCs w:val="20"/>
          <w:lang w:val="en-US"/>
        </w:rPr>
      </w:pPr>
      <w:bookmarkStart w:id="3" w:name="_Hlk178284630"/>
      <w:r>
        <w:rPr>
          <w:rFonts w:ascii="Arial" w:hAnsi="Arial" w:cs="Arial"/>
          <w:b/>
          <w:bCs/>
          <w:sz w:val="20"/>
          <w:szCs w:val="20"/>
          <w:lang w:val="en-US"/>
        </w:rPr>
        <w:t xml:space="preserve">Table 3. </w:t>
      </w:r>
      <w:proofErr w:type="spellStart"/>
      <w:r w:rsidR="00F73D08" w:rsidRPr="002D760F">
        <w:rPr>
          <w:rFonts w:ascii="Arial" w:hAnsi="Arial" w:cs="Arial"/>
          <w:b/>
          <w:bCs/>
          <w:sz w:val="20"/>
          <w:szCs w:val="20"/>
          <w:lang w:val="en-US"/>
        </w:rPr>
        <w:t>Multinominal</w:t>
      </w:r>
      <w:proofErr w:type="spellEnd"/>
      <w:r w:rsidR="00F73D08" w:rsidRPr="002D760F">
        <w:rPr>
          <w:rFonts w:ascii="Arial" w:hAnsi="Arial" w:cs="Arial"/>
          <w:b/>
          <w:bCs/>
          <w:sz w:val="20"/>
          <w:szCs w:val="20"/>
          <w:lang w:val="en-US"/>
        </w:rPr>
        <w:t xml:space="preserve"> Logistic Regression</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97"/>
        <w:gridCol w:w="1418"/>
        <w:gridCol w:w="1422"/>
        <w:gridCol w:w="1413"/>
        <w:gridCol w:w="1366"/>
      </w:tblGrid>
      <w:tr w:rsidR="00792B8E" w:rsidRPr="002D760F" w14:paraId="6B18ADAD" w14:textId="77777777" w:rsidTr="00FE6291">
        <w:tc>
          <w:tcPr>
            <w:tcW w:w="3397" w:type="dxa"/>
            <w:vMerge w:val="restart"/>
          </w:tcPr>
          <w:p w14:paraId="60B959F2" w14:textId="77777777" w:rsidR="00792B8E" w:rsidRPr="002D760F" w:rsidRDefault="00792B8E" w:rsidP="00E017B0">
            <w:pPr>
              <w:jc w:val="center"/>
              <w:rPr>
                <w:rFonts w:ascii="Arial" w:hAnsi="Arial" w:cs="Arial"/>
                <w:sz w:val="20"/>
                <w:szCs w:val="20"/>
                <w:lang w:val="en-US"/>
              </w:rPr>
            </w:pPr>
          </w:p>
          <w:p w14:paraId="13E3EF90" w14:textId="50DD9C13" w:rsidR="00792B8E" w:rsidRPr="002D760F" w:rsidRDefault="00792B8E" w:rsidP="00E017B0">
            <w:pPr>
              <w:jc w:val="center"/>
              <w:rPr>
                <w:rFonts w:ascii="Arial" w:hAnsi="Arial" w:cs="Arial"/>
                <w:sz w:val="20"/>
                <w:szCs w:val="20"/>
                <w:lang w:val="en-US"/>
              </w:rPr>
            </w:pPr>
            <w:r w:rsidRPr="002D760F">
              <w:rPr>
                <w:rFonts w:ascii="Arial" w:hAnsi="Arial" w:cs="Arial"/>
                <w:sz w:val="20"/>
                <w:szCs w:val="20"/>
                <w:lang w:val="en-US"/>
              </w:rPr>
              <w:t>Variables</w:t>
            </w:r>
          </w:p>
        </w:tc>
        <w:tc>
          <w:tcPr>
            <w:tcW w:w="2840" w:type="dxa"/>
            <w:gridSpan w:val="2"/>
          </w:tcPr>
          <w:p w14:paraId="46F3C221" w14:textId="5A992533" w:rsidR="00792B8E" w:rsidRPr="002D760F" w:rsidRDefault="00792B8E" w:rsidP="00E017B0">
            <w:pPr>
              <w:jc w:val="center"/>
              <w:rPr>
                <w:rFonts w:ascii="Arial" w:hAnsi="Arial" w:cs="Arial"/>
                <w:sz w:val="20"/>
                <w:szCs w:val="20"/>
                <w:lang w:val="en-US"/>
              </w:rPr>
            </w:pPr>
            <w:r w:rsidRPr="002D760F">
              <w:rPr>
                <w:rFonts w:ascii="Arial" w:hAnsi="Arial" w:cs="Arial"/>
                <w:sz w:val="20"/>
                <w:szCs w:val="20"/>
                <w:lang w:val="en-US"/>
              </w:rPr>
              <w:t>2012-13</w:t>
            </w:r>
          </w:p>
        </w:tc>
        <w:tc>
          <w:tcPr>
            <w:tcW w:w="2779" w:type="dxa"/>
            <w:gridSpan w:val="2"/>
          </w:tcPr>
          <w:p w14:paraId="7C65DE93" w14:textId="32500ED3" w:rsidR="00792B8E" w:rsidRPr="002D760F" w:rsidRDefault="00792B8E" w:rsidP="00E017B0">
            <w:pPr>
              <w:jc w:val="center"/>
              <w:rPr>
                <w:rFonts w:ascii="Arial" w:hAnsi="Arial" w:cs="Arial"/>
                <w:sz w:val="20"/>
                <w:szCs w:val="20"/>
                <w:lang w:val="en-US"/>
              </w:rPr>
            </w:pPr>
            <w:r w:rsidRPr="002D760F">
              <w:rPr>
                <w:rFonts w:ascii="Arial" w:hAnsi="Arial" w:cs="Arial"/>
                <w:sz w:val="20"/>
                <w:szCs w:val="20"/>
                <w:lang w:val="en-US"/>
              </w:rPr>
              <w:t>2018-19</w:t>
            </w:r>
          </w:p>
        </w:tc>
      </w:tr>
      <w:tr w:rsidR="00792B8E" w:rsidRPr="002D760F" w14:paraId="658683E7" w14:textId="77777777" w:rsidTr="00FE6291">
        <w:tc>
          <w:tcPr>
            <w:tcW w:w="3397" w:type="dxa"/>
            <w:vMerge/>
          </w:tcPr>
          <w:p w14:paraId="2CCBC4DA" w14:textId="77777777" w:rsidR="00792B8E" w:rsidRPr="002D760F" w:rsidRDefault="00792B8E" w:rsidP="00E017B0">
            <w:pPr>
              <w:jc w:val="both"/>
              <w:rPr>
                <w:rFonts w:ascii="Arial" w:hAnsi="Arial" w:cs="Arial"/>
                <w:sz w:val="20"/>
                <w:szCs w:val="20"/>
                <w:lang w:val="en-US"/>
              </w:rPr>
            </w:pPr>
          </w:p>
        </w:tc>
        <w:tc>
          <w:tcPr>
            <w:tcW w:w="1418" w:type="dxa"/>
          </w:tcPr>
          <w:p w14:paraId="204BB48A" w14:textId="327596D4" w:rsidR="00792B8E" w:rsidRPr="002D760F" w:rsidRDefault="00792B8E" w:rsidP="00E017B0">
            <w:pPr>
              <w:jc w:val="both"/>
              <w:rPr>
                <w:rFonts w:ascii="Arial" w:hAnsi="Arial" w:cs="Arial"/>
                <w:sz w:val="20"/>
                <w:szCs w:val="20"/>
                <w:lang w:val="en-US"/>
              </w:rPr>
            </w:pPr>
            <w:r w:rsidRPr="002D760F">
              <w:rPr>
                <w:rFonts w:ascii="Arial" w:hAnsi="Arial" w:cs="Arial"/>
                <w:sz w:val="20"/>
                <w:szCs w:val="20"/>
                <w:lang w:val="en-US"/>
              </w:rPr>
              <w:t>Odd Ratios</w:t>
            </w:r>
          </w:p>
        </w:tc>
        <w:tc>
          <w:tcPr>
            <w:tcW w:w="1422" w:type="dxa"/>
          </w:tcPr>
          <w:p w14:paraId="1359E7B4" w14:textId="03A72CDA" w:rsidR="00792B8E" w:rsidRPr="002D760F" w:rsidRDefault="00792B8E" w:rsidP="00E017B0">
            <w:pPr>
              <w:jc w:val="both"/>
              <w:rPr>
                <w:rFonts w:ascii="Arial" w:hAnsi="Arial" w:cs="Arial"/>
                <w:sz w:val="20"/>
                <w:szCs w:val="20"/>
                <w:lang w:val="en-US"/>
              </w:rPr>
            </w:pPr>
            <w:r w:rsidRPr="002D760F">
              <w:rPr>
                <w:rFonts w:ascii="Arial" w:hAnsi="Arial" w:cs="Arial"/>
                <w:sz w:val="20"/>
                <w:szCs w:val="20"/>
                <w:lang w:val="en-US"/>
              </w:rPr>
              <w:t>95% C.I.</w:t>
            </w:r>
          </w:p>
        </w:tc>
        <w:tc>
          <w:tcPr>
            <w:tcW w:w="1413" w:type="dxa"/>
          </w:tcPr>
          <w:p w14:paraId="7B1AA87F" w14:textId="2391FBCC" w:rsidR="00792B8E" w:rsidRPr="002D760F" w:rsidRDefault="00792B8E" w:rsidP="00E017B0">
            <w:pPr>
              <w:jc w:val="both"/>
              <w:rPr>
                <w:rFonts w:ascii="Arial" w:hAnsi="Arial" w:cs="Arial"/>
                <w:sz w:val="20"/>
                <w:szCs w:val="20"/>
                <w:lang w:val="en-US"/>
              </w:rPr>
            </w:pPr>
            <w:r w:rsidRPr="002D760F">
              <w:rPr>
                <w:rFonts w:ascii="Arial" w:hAnsi="Arial" w:cs="Arial"/>
                <w:sz w:val="20"/>
                <w:szCs w:val="20"/>
                <w:lang w:val="en-US"/>
              </w:rPr>
              <w:t>Odd Ratios</w:t>
            </w:r>
          </w:p>
        </w:tc>
        <w:tc>
          <w:tcPr>
            <w:tcW w:w="1366" w:type="dxa"/>
          </w:tcPr>
          <w:p w14:paraId="48BF149C" w14:textId="7AE4B7BC" w:rsidR="00792B8E" w:rsidRPr="002D760F" w:rsidRDefault="00792B8E" w:rsidP="00E017B0">
            <w:pPr>
              <w:jc w:val="both"/>
              <w:rPr>
                <w:rFonts w:ascii="Arial" w:hAnsi="Arial" w:cs="Arial"/>
                <w:sz w:val="20"/>
                <w:szCs w:val="20"/>
                <w:lang w:val="en-US"/>
              </w:rPr>
            </w:pPr>
            <w:r w:rsidRPr="002D760F">
              <w:rPr>
                <w:rFonts w:ascii="Arial" w:hAnsi="Arial" w:cs="Arial"/>
                <w:sz w:val="20"/>
                <w:szCs w:val="20"/>
                <w:lang w:val="en-US"/>
              </w:rPr>
              <w:t>95% C.I.</w:t>
            </w:r>
          </w:p>
        </w:tc>
      </w:tr>
      <w:tr w:rsidR="00792B8E" w:rsidRPr="002D760F" w14:paraId="1BF12E5D" w14:textId="77777777" w:rsidTr="006123D9">
        <w:tc>
          <w:tcPr>
            <w:tcW w:w="3397" w:type="dxa"/>
          </w:tcPr>
          <w:p w14:paraId="747F2FF3" w14:textId="6DA2CDDD" w:rsidR="00792B8E" w:rsidRPr="002D760F" w:rsidRDefault="00792B8E" w:rsidP="00E017B0">
            <w:pPr>
              <w:jc w:val="both"/>
              <w:rPr>
                <w:rFonts w:ascii="Arial" w:hAnsi="Arial" w:cs="Arial"/>
                <w:sz w:val="20"/>
                <w:szCs w:val="20"/>
                <w:lang w:val="en-US"/>
              </w:rPr>
            </w:pPr>
            <w:r w:rsidRPr="002D760F">
              <w:rPr>
                <w:rFonts w:ascii="Arial" w:hAnsi="Arial" w:cs="Arial"/>
                <w:sz w:val="20"/>
                <w:szCs w:val="20"/>
                <w:lang w:val="en-US"/>
              </w:rPr>
              <w:t>Religion</w:t>
            </w:r>
          </w:p>
        </w:tc>
        <w:tc>
          <w:tcPr>
            <w:tcW w:w="5619" w:type="dxa"/>
            <w:gridSpan w:val="4"/>
          </w:tcPr>
          <w:p w14:paraId="2ADA8370" w14:textId="77777777" w:rsidR="00792B8E" w:rsidRPr="002D760F" w:rsidRDefault="00792B8E" w:rsidP="00E017B0">
            <w:pPr>
              <w:jc w:val="both"/>
              <w:rPr>
                <w:rFonts w:ascii="Arial" w:hAnsi="Arial" w:cs="Arial"/>
                <w:sz w:val="20"/>
                <w:szCs w:val="20"/>
                <w:lang w:val="en-US"/>
              </w:rPr>
            </w:pPr>
          </w:p>
        </w:tc>
      </w:tr>
      <w:tr w:rsidR="00792B8E" w:rsidRPr="002D760F" w14:paraId="392E7F6A" w14:textId="77777777" w:rsidTr="00FE6291">
        <w:tc>
          <w:tcPr>
            <w:tcW w:w="3397" w:type="dxa"/>
          </w:tcPr>
          <w:p w14:paraId="08A21064" w14:textId="7EA8F9F5" w:rsidR="00792B8E" w:rsidRPr="002D760F" w:rsidRDefault="00792B8E" w:rsidP="00E017B0">
            <w:pPr>
              <w:jc w:val="both"/>
              <w:rPr>
                <w:rFonts w:ascii="Arial" w:hAnsi="Arial" w:cs="Arial"/>
                <w:sz w:val="20"/>
                <w:szCs w:val="20"/>
                <w:lang w:val="en-US"/>
              </w:rPr>
            </w:pPr>
            <w:r w:rsidRPr="002D760F">
              <w:rPr>
                <w:rFonts w:ascii="Arial" w:hAnsi="Arial" w:cs="Arial"/>
                <w:sz w:val="20"/>
                <w:szCs w:val="20"/>
                <w:lang w:val="en-US"/>
              </w:rPr>
              <w:t>Hinduism (Ref)</w:t>
            </w:r>
          </w:p>
          <w:p w14:paraId="4E46026A" w14:textId="77777777" w:rsidR="00792B8E" w:rsidRPr="002D760F" w:rsidRDefault="00792B8E" w:rsidP="00E017B0">
            <w:pPr>
              <w:jc w:val="both"/>
              <w:rPr>
                <w:rFonts w:ascii="Arial" w:hAnsi="Arial" w:cs="Arial"/>
                <w:sz w:val="20"/>
                <w:szCs w:val="20"/>
                <w:lang w:val="en-US"/>
              </w:rPr>
            </w:pPr>
            <w:r w:rsidRPr="002D760F">
              <w:rPr>
                <w:rFonts w:ascii="Arial" w:hAnsi="Arial" w:cs="Arial"/>
                <w:sz w:val="20"/>
                <w:szCs w:val="20"/>
                <w:lang w:val="en-US"/>
              </w:rPr>
              <w:t>Islam</w:t>
            </w:r>
          </w:p>
          <w:p w14:paraId="0E8C74FD" w14:textId="74E9B90E" w:rsidR="00792B8E" w:rsidRPr="002D760F" w:rsidRDefault="00792B8E" w:rsidP="00E017B0">
            <w:pPr>
              <w:jc w:val="both"/>
              <w:rPr>
                <w:rFonts w:ascii="Arial" w:hAnsi="Arial" w:cs="Arial"/>
                <w:sz w:val="20"/>
                <w:szCs w:val="20"/>
                <w:lang w:val="en-US"/>
              </w:rPr>
            </w:pPr>
            <w:r w:rsidRPr="002D760F">
              <w:rPr>
                <w:rFonts w:ascii="Arial" w:hAnsi="Arial" w:cs="Arial"/>
                <w:sz w:val="20"/>
                <w:szCs w:val="20"/>
                <w:lang w:val="en-US"/>
              </w:rPr>
              <w:t>Others</w:t>
            </w:r>
          </w:p>
        </w:tc>
        <w:tc>
          <w:tcPr>
            <w:tcW w:w="1418" w:type="dxa"/>
          </w:tcPr>
          <w:p w14:paraId="0DB1BB03" w14:textId="77777777" w:rsidR="00792B8E" w:rsidRPr="002D760F" w:rsidRDefault="00792B8E" w:rsidP="00E017B0">
            <w:pPr>
              <w:jc w:val="both"/>
              <w:rPr>
                <w:rFonts w:ascii="Arial" w:hAnsi="Arial" w:cs="Arial"/>
                <w:sz w:val="20"/>
                <w:szCs w:val="20"/>
                <w:lang w:val="en-US"/>
              </w:rPr>
            </w:pPr>
            <w:r w:rsidRPr="002D760F">
              <w:rPr>
                <w:rFonts w:ascii="Arial" w:hAnsi="Arial" w:cs="Arial"/>
                <w:sz w:val="20"/>
                <w:szCs w:val="20"/>
                <w:lang w:val="en-US"/>
              </w:rPr>
              <w:t>1.00</w:t>
            </w:r>
          </w:p>
          <w:p w14:paraId="6E5D7A83" w14:textId="2CF854EF" w:rsidR="00B16C75" w:rsidRPr="002D760F" w:rsidRDefault="00B16C75" w:rsidP="00E017B0">
            <w:pPr>
              <w:jc w:val="both"/>
              <w:rPr>
                <w:rFonts w:ascii="Arial" w:hAnsi="Arial" w:cs="Arial"/>
                <w:sz w:val="20"/>
                <w:szCs w:val="20"/>
                <w:lang w:val="en-US"/>
              </w:rPr>
            </w:pPr>
            <w:r w:rsidRPr="002D760F">
              <w:rPr>
                <w:rFonts w:ascii="Arial" w:hAnsi="Arial" w:cs="Arial"/>
                <w:sz w:val="20"/>
                <w:szCs w:val="20"/>
                <w:lang w:val="en-US"/>
              </w:rPr>
              <w:t>0.99**</w:t>
            </w:r>
          </w:p>
          <w:p w14:paraId="3D70C129" w14:textId="058127C5" w:rsidR="00792B8E" w:rsidRPr="002D760F" w:rsidRDefault="00B16C75" w:rsidP="00E017B0">
            <w:pPr>
              <w:jc w:val="both"/>
              <w:rPr>
                <w:rFonts w:ascii="Arial" w:hAnsi="Arial" w:cs="Arial"/>
                <w:sz w:val="20"/>
                <w:szCs w:val="20"/>
                <w:lang w:val="en-US"/>
              </w:rPr>
            </w:pPr>
            <w:r w:rsidRPr="002D760F">
              <w:rPr>
                <w:rFonts w:ascii="Arial" w:hAnsi="Arial" w:cs="Arial"/>
                <w:sz w:val="20"/>
                <w:szCs w:val="20"/>
                <w:lang w:val="en-US"/>
              </w:rPr>
              <w:t>0.81**</w:t>
            </w:r>
          </w:p>
        </w:tc>
        <w:tc>
          <w:tcPr>
            <w:tcW w:w="1422" w:type="dxa"/>
          </w:tcPr>
          <w:p w14:paraId="754FBD43" w14:textId="77777777" w:rsidR="00792B8E" w:rsidRPr="002D760F" w:rsidRDefault="00792B8E" w:rsidP="00E017B0">
            <w:pPr>
              <w:jc w:val="both"/>
              <w:rPr>
                <w:rFonts w:ascii="Arial" w:hAnsi="Arial" w:cs="Arial"/>
                <w:sz w:val="20"/>
                <w:szCs w:val="20"/>
                <w:lang w:val="en-US"/>
              </w:rPr>
            </w:pPr>
          </w:p>
          <w:p w14:paraId="10A8D278" w14:textId="77777777" w:rsidR="00FE6291" w:rsidRPr="002D760F" w:rsidRDefault="00FE6291" w:rsidP="00E017B0">
            <w:pPr>
              <w:jc w:val="both"/>
              <w:rPr>
                <w:rFonts w:ascii="Arial" w:hAnsi="Arial" w:cs="Arial"/>
                <w:sz w:val="20"/>
                <w:szCs w:val="20"/>
                <w:lang w:val="en-US"/>
              </w:rPr>
            </w:pPr>
            <w:r w:rsidRPr="002D760F">
              <w:rPr>
                <w:rFonts w:ascii="Arial" w:hAnsi="Arial" w:cs="Arial"/>
                <w:sz w:val="20"/>
                <w:szCs w:val="20"/>
                <w:lang w:val="en-US"/>
              </w:rPr>
              <w:t>0.975-1.125</w:t>
            </w:r>
          </w:p>
          <w:p w14:paraId="29AF2507" w14:textId="7CE52EEB" w:rsidR="00FE6291" w:rsidRPr="002D760F" w:rsidRDefault="00FE6291" w:rsidP="00E017B0">
            <w:pPr>
              <w:jc w:val="both"/>
              <w:rPr>
                <w:rFonts w:ascii="Arial" w:hAnsi="Arial" w:cs="Arial"/>
                <w:sz w:val="20"/>
                <w:szCs w:val="20"/>
                <w:lang w:val="en-US"/>
              </w:rPr>
            </w:pPr>
            <w:r w:rsidRPr="002D760F">
              <w:rPr>
                <w:rFonts w:ascii="Arial" w:hAnsi="Arial" w:cs="Arial"/>
                <w:sz w:val="20"/>
                <w:szCs w:val="20"/>
                <w:lang w:val="en-US"/>
              </w:rPr>
              <w:t>0.795-0.844</w:t>
            </w:r>
          </w:p>
        </w:tc>
        <w:tc>
          <w:tcPr>
            <w:tcW w:w="1413" w:type="dxa"/>
          </w:tcPr>
          <w:p w14:paraId="1212C1B1" w14:textId="77777777" w:rsidR="00792B8E" w:rsidRPr="002D760F" w:rsidRDefault="00792B8E" w:rsidP="00E017B0">
            <w:pPr>
              <w:jc w:val="both"/>
              <w:rPr>
                <w:rFonts w:ascii="Arial" w:hAnsi="Arial" w:cs="Arial"/>
                <w:sz w:val="20"/>
                <w:szCs w:val="20"/>
                <w:lang w:val="en-US"/>
              </w:rPr>
            </w:pPr>
            <w:r w:rsidRPr="002D760F">
              <w:rPr>
                <w:rFonts w:ascii="Arial" w:hAnsi="Arial" w:cs="Arial"/>
                <w:sz w:val="20"/>
                <w:szCs w:val="20"/>
                <w:lang w:val="en-US"/>
              </w:rPr>
              <w:t>1.00</w:t>
            </w:r>
          </w:p>
          <w:p w14:paraId="749D5760" w14:textId="17BA1F02" w:rsidR="00792B8E" w:rsidRPr="002D760F" w:rsidRDefault="00792B8E" w:rsidP="00E017B0">
            <w:pPr>
              <w:jc w:val="both"/>
              <w:rPr>
                <w:rFonts w:ascii="Arial" w:hAnsi="Arial" w:cs="Arial"/>
                <w:sz w:val="20"/>
                <w:szCs w:val="20"/>
                <w:lang w:val="en-US"/>
              </w:rPr>
            </w:pPr>
            <w:r w:rsidRPr="002D760F">
              <w:rPr>
                <w:rFonts w:ascii="Arial" w:hAnsi="Arial" w:cs="Arial"/>
                <w:sz w:val="20"/>
                <w:szCs w:val="20"/>
                <w:lang w:val="en-US"/>
              </w:rPr>
              <w:t>0.9</w:t>
            </w:r>
            <w:r w:rsidR="005C6D45" w:rsidRPr="002D760F">
              <w:rPr>
                <w:rFonts w:ascii="Arial" w:hAnsi="Arial" w:cs="Arial"/>
                <w:sz w:val="20"/>
                <w:szCs w:val="20"/>
                <w:lang w:val="en-US"/>
              </w:rPr>
              <w:t>9</w:t>
            </w:r>
            <w:r w:rsidRPr="002D760F">
              <w:rPr>
                <w:rFonts w:ascii="Arial" w:hAnsi="Arial" w:cs="Arial"/>
                <w:sz w:val="20"/>
                <w:szCs w:val="20"/>
                <w:lang w:val="en-US"/>
              </w:rPr>
              <w:t>**</w:t>
            </w:r>
          </w:p>
          <w:p w14:paraId="3F2C3CEF" w14:textId="532DE0EE" w:rsidR="00792B8E" w:rsidRPr="002D760F" w:rsidRDefault="00792B8E" w:rsidP="00E017B0">
            <w:pPr>
              <w:jc w:val="both"/>
              <w:rPr>
                <w:rFonts w:ascii="Arial" w:hAnsi="Arial" w:cs="Arial"/>
                <w:sz w:val="20"/>
                <w:szCs w:val="20"/>
                <w:lang w:val="en-US"/>
              </w:rPr>
            </w:pPr>
            <w:r w:rsidRPr="002D760F">
              <w:rPr>
                <w:rFonts w:ascii="Arial" w:hAnsi="Arial" w:cs="Arial"/>
                <w:sz w:val="20"/>
                <w:szCs w:val="20"/>
                <w:lang w:val="en-US"/>
              </w:rPr>
              <w:t>0.737***</w:t>
            </w:r>
          </w:p>
        </w:tc>
        <w:tc>
          <w:tcPr>
            <w:tcW w:w="1366" w:type="dxa"/>
          </w:tcPr>
          <w:p w14:paraId="530C2B33" w14:textId="77777777" w:rsidR="00792B8E" w:rsidRPr="002D760F" w:rsidRDefault="00792B8E" w:rsidP="00E017B0">
            <w:pPr>
              <w:jc w:val="both"/>
              <w:rPr>
                <w:rFonts w:ascii="Arial" w:hAnsi="Arial" w:cs="Arial"/>
                <w:sz w:val="20"/>
                <w:szCs w:val="20"/>
                <w:lang w:val="en-US"/>
              </w:rPr>
            </w:pPr>
          </w:p>
          <w:p w14:paraId="18329EFE" w14:textId="77777777" w:rsidR="00792B8E" w:rsidRPr="002D760F" w:rsidRDefault="00792B8E" w:rsidP="00E017B0">
            <w:pPr>
              <w:jc w:val="both"/>
              <w:rPr>
                <w:rFonts w:ascii="Arial" w:hAnsi="Arial" w:cs="Arial"/>
                <w:sz w:val="20"/>
                <w:szCs w:val="20"/>
                <w:lang w:val="en-US"/>
              </w:rPr>
            </w:pPr>
            <w:r w:rsidRPr="002D760F">
              <w:rPr>
                <w:rFonts w:ascii="Arial" w:hAnsi="Arial" w:cs="Arial"/>
                <w:sz w:val="20"/>
                <w:szCs w:val="20"/>
                <w:lang w:val="en-US"/>
              </w:rPr>
              <w:t>0.87-1.11</w:t>
            </w:r>
          </w:p>
          <w:p w14:paraId="1F2A69EE" w14:textId="1D3BB068" w:rsidR="00792B8E" w:rsidRPr="002D760F" w:rsidRDefault="00792B8E" w:rsidP="00E017B0">
            <w:pPr>
              <w:jc w:val="both"/>
              <w:rPr>
                <w:rFonts w:ascii="Arial" w:hAnsi="Arial" w:cs="Arial"/>
                <w:sz w:val="20"/>
                <w:szCs w:val="20"/>
                <w:lang w:val="en-US"/>
              </w:rPr>
            </w:pPr>
            <w:r w:rsidRPr="002D760F">
              <w:rPr>
                <w:rFonts w:ascii="Arial" w:hAnsi="Arial" w:cs="Arial"/>
                <w:sz w:val="20"/>
                <w:szCs w:val="20"/>
                <w:lang w:val="en-US"/>
              </w:rPr>
              <w:t>0.62-0.86</w:t>
            </w:r>
          </w:p>
        </w:tc>
      </w:tr>
      <w:tr w:rsidR="00121BCB" w:rsidRPr="002D760F" w14:paraId="39A18A6D" w14:textId="77777777" w:rsidTr="006123D9">
        <w:tc>
          <w:tcPr>
            <w:tcW w:w="3397" w:type="dxa"/>
          </w:tcPr>
          <w:p w14:paraId="47DAE8F0" w14:textId="07076915" w:rsidR="00121BCB" w:rsidRPr="002D760F" w:rsidRDefault="00121BCB" w:rsidP="00E017B0">
            <w:pPr>
              <w:jc w:val="both"/>
              <w:rPr>
                <w:rFonts w:ascii="Arial" w:hAnsi="Arial" w:cs="Arial"/>
                <w:sz w:val="20"/>
                <w:szCs w:val="20"/>
                <w:lang w:val="en-US"/>
              </w:rPr>
            </w:pPr>
            <w:r w:rsidRPr="002D760F">
              <w:rPr>
                <w:rFonts w:ascii="Arial" w:hAnsi="Arial" w:cs="Arial"/>
                <w:sz w:val="20"/>
                <w:szCs w:val="20"/>
                <w:lang w:val="en-US"/>
              </w:rPr>
              <w:t>Social Categories</w:t>
            </w:r>
          </w:p>
        </w:tc>
        <w:tc>
          <w:tcPr>
            <w:tcW w:w="5619" w:type="dxa"/>
            <w:gridSpan w:val="4"/>
          </w:tcPr>
          <w:p w14:paraId="19ED2498" w14:textId="77777777" w:rsidR="00121BCB" w:rsidRPr="002D760F" w:rsidRDefault="00121BCB" w:rsidP="00E017B0">
            <w:pPr>
              <w:jc w:val="both"/>
              <w:rPr>
                <w:rFonts w:ascii="Arial" w:hAnsi="Arial" w:cs="Arial"/>
                <w:sz w:val="20"/>
                <w:szCs w:val="20"/>
                <w:lang w:val="en-US"/>
              </w:rPr>
            </w:pPr>
          </w:p>
        </w:tc>
      </w:tr>
      <w:tr w:rsidR="00792B8E" w:rsidRPr="002D760F" w14:paraId="2365CED4" w14:textId="77777777" w:rsidTr="00FE6291">
        <w:tc>
          <w:tcPr>
            <w:tcW w:w="3397" w:type="dxa"/>
          </w:tcPr>
          <w:p w14:paraId="45F52EFE" w14:textId="77777777" w:rsidR="00792B8E" w:rsidRPr="002D760F" w:rsidRDefault="00121BCB" w:rsidP="00E017B0">
            <w:pPr>
              <w:jc w:val="both"/>
              <w:rPr>
                <w:rFonts w:ascii="Arial" w:hAnsi="Arial" w:cs="Arial"/>
                <w:sz w:val="20"/>
                <w:szCs w:val="20"/>
                <w:lang w:val="en-US"/>
              </w:rPr>
            </w:pPr>
            <w:r w:rsidRPr="002D760F">
              <w:rPr>
                <w:rFonts w:ascii="Arial" w:hAnsi="Arial" w:cs="Arial"/>
                <w:sz w:val="20"/>
                <w:szCs w:val="20"/>
                <w:lang w:val="en-US"/>
              </w:rPr>
              <w:t>General (Ref)</w:t>
            </w:r>
          </w:p>
          <w:p w14:paraId="193088FE" w14:textId="77777777" w:rsidR="00121BCB" w:rsidRPr="002D760F" w:rsidRDefault="00121BCB" w:rsidP="00E017B0">
            <w:pPr>
              <w:jc w:val="both"/>
              <w:rPr>
                <w:rFonts w:ascii="Arial" w:hAnsi="Arial" w:cs="Arial"/>
                <w:sz w:val="20"/>
                <w:szCs w:val="20"/>
                <w:lang w:val="en-US"/>
              </w:rPr>
            </w:pPr>
            <w:r w:rsidRPr="002D760F">
              <w:rPr>
                <w:rFonts w:ascii="Arial" w:hAnsi="Arial" w:cs="Arial"/>
                <w:sz w:val="20"/>
                <w:szCs w:val="20"/>
                <w:lang w:val="en-US"/>
              </w:rPr>
              <w:t>OBC</w:t>
            </w:r>
          </w:p>
          <w:p w14:paraId="05483BB6" w14:textId="6C6E4327" w:rsidR="00121BCB" w:rsidRPr="002D760F" w:rsidRDefault="00121BCB" w:rsidP="00E017B0">
            <w:pPr>
              <w:jc w:val="both"/>
              <w:rPr>
                <w:rFonts w:ascii="Arial" w:hAnsi="Arial" w:cs="Arial"/>
                <w:sz w:val="20"/>
                <w:szCs w:val="20"/>
                <w:lang w:val="en-US"/>
              </w:rPr>
            </w:pPr>
            <w:r w:rsidRPr="002D760F">
              <w:rPr>
                <w:rFonts w:ascii="Arial" w:hAnsi="Arial" w:cs="Arial"/>
                <w:sz w:val="20"/>
                <w:szCs w:val="20"/>
                <w:lang w:val="en-US"/>
              </w:rPr>
              <w:t>SC-ST</w:t>
            </w:r>
          </w:p>
        </w:tc>
        <w:tc>
          <w:tcPr>
            <w:tcW w:w="1418" w:type="dxa"/>
          </w:tcPr>
          <w:p w14:paraId="04809AFD" w14:textId="77777777" w:rsidR="00792B8E" w:rsidRPr="002D760F" w:rsidRDefault="00121BCB" w:rsidP="00E017B0">
            <w:pPr>
              <w:jc w:val="both"/>
              <w:rPr>
                <w:rFonts w:ascii="Arial" w:hAnsi="Arial" w:cs="Arial"/>
                <w:sz w:val="20"/>
                <w:szCs w:val="20"/>
                <w:lang w:val="en-US"/>
              </w:rPr>
            </w:pPr>
            <w:r w:rsidRPr="002D760F">
              <w:rPr>
                <w:rFonts w:ascii="Arial" w:hAnsi="Arial" w:cs="Arial"/>
                <w:sz w:val="20"/>
                <w:szCs w:val="20"/>
                <w:lang w:val="en-US"/>
              </w:rPr>
              <w:t>1.00</w:t>
            </w:r>
          </w:p>
          <w:p w14:paraId="6094C343" w14:textId="77777777" w:rsidR="00B16C75" w:rsidRPr="002D760F" w:rsidRDefault="00B16C75" w:rsidP="00E017B0">
            <w:pPr>
              <w:jc w:val="both"/>
              <w:rPr>
                <w:rFonts w:ascii="Arial" w:hAnsi="Arial" w:cs="Arial"/>
                <w:sz w:val="20"/>
                <w:szCs w:val="20"/>
                <w:lang w:val="en-US"/>
              </w:rPr>
            </w:pPr>
            <w:r w:rsidRPr="002D760F">
              <w:rPr>
                <w:rFonts w:ascii="Arial" w:hAnsi="Arial" w:cs="Arial"/>
                <w:sz w:val="20"/>
                <w:szCs w:val="20"/>
                <w:lang w:val="en-US"/>
              </w:rPr>
              <w:t>0.87*</w:t>
            </w:r>
          </w:p>
          <w:p w14:paraId="3F276CDD" w14:textId="3E571A90" w:rsidR="00B16C75" w:rsidRPr="002D760F" w:rsidRDefault="00FE6291" w:rsidP="00E017B0">
            <w:pPr>
              <w:jc w:val="both"/>
              <w:rPr>
                <w:rFonts w:ascii="Arial" w:hAnsi="Arial" w:cs="Arial"/>
                <w:sz w:val="20"/>
                <w:szCs w:val="20"/>
                <w:lang w:val="en-US"/>
              </w:rPr>
            </w:pPr>
            <w:r w:rsidRPr="002D760F">
              <w:rPr>
                <w:rFonts w:ascii="Arial" w:hAnsi="Arial" w:cs="Arial"/>
                <w:sz w:val="20"/>
                <w:szCs w:val="20"/>
                <w:lang w:val="en-US"/>
              </w:rPr>
              <w:t>069**</w:t>
            </w:r>
          </w:p>
        </w:tc>
        <w:tc>
          <w:tcPr>
            <w:tcW w:w="1422" w:type="dxa"/>
          </w:tcPr>
          <w:p w14:paraId="37D1FC7F" w14:textId="77777777" w:rsidR="00792B8E" w:rsidRPr="002D760F" w:rsidRDefault="00792B8E" w:rsidP="00E017B0">
            <w:pPr>
              <w:jc w:val="both"/>
              <w:rPr>
                <w:rFonts w:ascii="Arial" w:hAnsi="Arial" w:cs="Arial"/>
                <w:sz w:val="20"/>
                <w:szCs w:val="20"/>
                <w:lang w:val="en-US"/>
              </w:rPr>
            </w:pPr>
          </w:p>
          <w:p w14:paraId="2DBFF9E9" w14:textId="77777777" w:rsidR="00FE6291" w:rsidRPr="002D760F" w:rsidRDefault="00FE6291" w:rsidP="00E017B0">
            <w:pPr>
              <w:jc w:val="both"/>
              <w:rPr>
                <w:rFonts w:ascii="Arial" w:hAnsi="Arial" w:cs="Arial"/>
                <w:sz w:val="20"/>
                <w:szCs w:val="20"/>
                <w:lang w:val="en-US"/>
              </w:rPr>
            </w:pPr>
            <w:r w:rsidRPr="002D760F">
              <w:rPr>
                <w:rFonts w:ascii="Arial" w:hAnsi="Arial" w:cs="Arial"/>
                <w:sz w:val="20"/>
                <w:szCs w:val="20"/>
                <w:lang w:val="en-US"/>
              </w:rPr>
              <w:t>0.793-1.14</w:t>
            </w:r>
          </w:p>
          <w:p w14:paraId="66883984" w14:textId="2A7B791E" w:rsidR="00FE6291" w:rsidRPr="002D760F" w:rsidRDefault="00FE6291" w:rsidP="00E017B0">
            <w:pPr>
              <w:jc w:val="both"/>
              <w:rPr>
                <w:rFonts w:ascii="Arial" w:hAnsi="Arial" w:cs="Arial"/>
                <w:sz w:val="20"/>
                <w:szCs w:val="20"/>
                <w:lang w:val="en-US"/>
              </w:rPr>
            </w:pPr>
            <w:r w:rsidRPr="002D760F">
              <w:rPr>
                <w:rFonts w:ascii="Arial" w:hAnsi="Arial" w:cs="Arial"/>
                <w:sz w:val="20"/>
                <w:szCs w:val="20"/>
                <w:lang w:val="en-US"/>
              </w:rPr>
              <w:t>0.63-0.78</w:t>
            </w:r>
          </w:p>
        </w:tc>
        <w:tc>
          <w:tcPr>
            <w:tcW w:w="1413" w:type="dxa"/>
          </w:tcPr>
          <w:p w14:paraId="2A54BC48" w14:textId="77777777" w:rsidR="00792B8E" w:rsidRPr="002D760F" w:rsidRDefault="00121BCB" w:rsidP="00E017B0">
            <w:pPr>
              <w:jc w:val="both"/>
              <w:rPr>
                <w:rFonts w:ascii="Arial" w:hAnsi="Arial" w:cs="Arial"/>
                <w:sz w:val="20"/>
                <w:szCs w:val="20"/>
                <w:lang w:val="en-US"/>
              </w:rPr>
            </w:pPr>
            <w:r w:rsidRPr="002D760F">
              <w:rPr>
                <w:rFonts w:ascii="Arial" w:hAnsi="Arial" w:cs="Arial"/>
                <w:sz w:val="20"/>
                <w:szCs w:val="20"/>
                <w:lang w:val="en-US"/>
              </w:rPr>
              <w:t>1.00</w:t>
            </w:r>
          </w:p>
          <w:p w14:paraId="6E5EB07C" w14:textId="4B0274AF" w:rsidR="00121BCB" w:rsidRPr="002D760F" w:rsidRDefault="00121BCB" w:rsidP="00E017B0">
            <w:pPr>
              <w:jc w:val="both"/>
              <w:rPr>
                <w:rFonts w:ascii="Arial" w:hAnsi="Arial" w:cs="Arial"/>
                <w:sz w:val="20"/>
                <w:szCs w:val="20"/>
                <w:lang w:val="en-US"/>
              </w:rPr>
            </w:pPr>
            <w:r w:rsidRPr="002D760F">
              <w:rPr>
                <w:rFonts w:ascii="Arial" w:hAnsi="Arial" w:cs="Arial"/>
                <w:sz w:val="20"/>
                <w:szCs w:val="20"/>
                <w:lang w:val="en-US"/>
              </w:rPr>
              <w:t>0.92**</w:t>
            </w:r>
          </w:p>
          <w:p w14:paraId="131377FD" w14:textId="33E3F388" w:rsidR="00121BCB" w:rsidRPr="002D760F" w:rsidRDefault="00121BCB" w:rsidP="00E017B0">
            <w:pPr>
              <w:jc w:val="both"/>
              <w:rPr>
                <w:rFonts w:ascii="Arial" w:hAnsi="Arial" w:cs="Arial"/>
                <w:sz w:val="20"/>
                <w:szCs w:val="20"/>
                <w:lang w:val="en-US"/>
              </w:rPr>
            </w:pPr>
            <w:r w:rsidRPr="002D760F">
              <w:rPr>
                <w:rFonts w:ascii="Arial" w:hAnsi="Arial" w:cs="Arial"/>
                <w:sz w:val="20"/>
                <w:szCs w:val="20"/>
                <w:lang w:val="en-US"/>
              </w:rPr>
              <w:t>0.787***</w:t>
            </w:r>
          </w:p>
        </w:tc>
        <w:tc>
          <w:tcPr>
            <w:tcW w:w="1366" w:type="dxa"/>
          </w:tcPr>
          <w:p w14:paraId="052D7522" w14:textId="77777777" w:rsidR="00792B8E" w:rsidRPr="002D760F" w:rsidRDefault="00792B8E" w:rsidP="00E017B0">
            <w:pPr>
              <w:jc w:val="both"/>
              <w:rPr>
                <w:rFonts w:ascii="Arial" w:hAnsi="Arial" w:cs="Arial"/>
                <w:sz w:val="20"/>
                <w:szCs w:val="20"/>
                <w:lang w:val="en-US"/>
              </w:rPr>
            </w:pPr>
          </w:p>
          <w:p w14:paraId="5D34388E" w14:textId="77777777" w:rsidR="00121BCB" w:rsidRPr="002D760F" w:rsidRDefault="00121BCB" w:rsidP="00E017B0">
            <w:pPr>
              <w:jc w:val="both"/>
              <w:rPr>
                <w:rFonts w:ascii="Arial" w:hAnsi="Arial" w:cs="Arial"/>
                <w:sz w:val="20"/>
                <w:szCs w:val="20"/>
                <w:lang w:val="en-US"/>
              </w:rPr>
            </w:pPr>
            <w:r w:rsidRPr="002D760F">
              <w:rPr>
                <w:rFonts w:ascii="Arial" w:hAnsi="Arial" w:cs="Arial"/>
                <w:sz w:val="20"/>
                <w:szCs w:val="20"/>
                <w:lang w:val="en-US"/>
              </w:rPr>
              <w:t>0.842-1.006</w:t>
            </w:r>
          </w:p>
          <w:p w14:paraId="6CEEE220" w14:textId="538DE0FD" w:rsidR="00121BCB" w:rsidRPr="002D760F" w:rsidRDefault="00121BCB" w:rsidP="00E017B0">
            <w:pPr>
              <w:jc w:val="both"/>
              <w:rPr>
                <w:rFonts w:ascii="Arial" w:hAnsi="Arial" w:cs="Arial"/>
                <w:sz w:val="20"/>
                <w:szCs w:val="20"/>
                <w:lang w:val="en-US"/>
              </w:rPr>
            </w:pPr>
            <w:r w:rsidRPr="002D760F">
              <w:rPr>
                <w:rFonts w:ascii="Arial" w:hAnsi="Arial" w:cs="Arial"/>
                <w:sz w:val="20"/>
                <w:szCs w:val="20"/>
                <w:lang w:val="en-US"/>
              </w:rPr>
              <w:t>0.728-0.85</w:t>
            </w:r>
          </w:p>
        </w:tc>
      </w:tr>
      <w:tr w:rsidR="00121BCB" w:rsidRPr="002D760F" w14:paraId="28C44A88" w14:textId="77777777" w:rsidTr="006123D9">
        <w:tc>
          <w:tcPr>
            <w:tcW w:w="3397" w:type="dxa"/>
          </w:tcPr>
          <w:p w14:paraId="13BC4F65" w14:textId="758DD3F5" w:rsidR="00121BCB" w:rsidRPr="002D760F" w:rsidRDefault="00121BCB" w:rsidP="00E017B0">
            <w:pPr>
              <w:jc w:val="both"/>
              <w:rPr>
                <w:rFonts w:ascii="Arial" w:hAnsi="Arial" w:cs="Arial"/>
                <w:sz w:val="20"/>
                <w:szCs w:val="20"/>
                <w:lang w:val="en-US"/>
              </w:rPr>
            </w:pPr>
            <w:r w:rsidRPr="002D760F">
              <w:rPr>
                <w:rFonts w:ascii="Arial" w:hAnsi="Arial" w:cs="Arial"/>
                <w:sz w:val="20"/>
                <w:szCs w:val="20"/>
                <w:lang w:val="en-US"/>
              </w:rPr>
              <w:t>Household Type</w:t>
            </w:r>
          </w:p>
        </w:tc>
        <w:tc>
          <w:tcPr>
            <w:tcW w:w="5619" w:type="dxa"/>
            <w:gridSpan w:val="4"/>
          </w:tcPr>
          <w:p w14:paraId="2EEF2DFF" w14:textId="77777777" w:rsidR="00121BCB" w:rsidRPr="002D760F" w:rsidRDefault="00121BCB" w:rsidP="00E017B0">
            <w:pPr>
              <w:jc w:val="both"/>
              <w:rPr>
                <w:rFonts w:ascii="Arial" w:hAnsi="Arial" w:cs="Arial"/>
                <w:sz w:val="20"/>
                <w:szCs w:val="20"/>
                <w:lang w:val="en-US"/>
              </w:rPr>
            </w:pPr>
          </w:p>
        </w:tc>
      </w:tr>
      <w:tr w:rsidR="00792B8E" w:rsidRPr="002D760F" w14:paraId="309C755F" w14:textId="77777777" w:rsidTr="00FE6291">
        <w:tc>
          <w:tcPr>
            <w:tcW w:w="3397" w:type="dxa"/>
          </w:tcPr>
          <w:p w14:paraId="03A13D6C" w14:textId="77777777" w:rsidR="00792B8E" w:rsidRPr="002D760F" w:rsidRDefault="00121BCB" w:rsidP="00E017B0">
            <w:pPr>
              <w:jc w:val="both"/>
              <w:rPr>
                <w:rFonts w:ascii="Arial" w:hAnsi="Arial" w:cs="Arial"/>
                <w:sz w:val="20"/>
                <w:szCs w:val="20"/>
                <w:lang w:val="en-US"/>
              </w:rPr>
            </w:pPr>
            <w:r w:rsidRPr="002D760F">
              <w:rPr>
                <w:rFonts w:ascii="Arial" w:hAnsi="Arial" w:cs="Arial"/>
                <w:sz w:val="20"/>
                <w:szCs w:val="20"/>
                <w:lang w:val="en-US"/>
              </w:rPr>
              <w:t>Self-Employed (Ref)</w:t>
            </w:r>
          </w:p>
          <w:p w14:paraId="00BED0A5" w14:textId="3161CB10" w:rsidR="00121BCB" w:rsidRPr="002D760F" w:rsidRDefault="00121BCB" w:rsidP="00E017B0">
            <w:pPr>
              <w:jc w:val="both"/>
              <w:rPr>
                <w:rFonts w:ascii="Arial" w:hAnsi="Arial" w:cs="Arial"/>
                <w:sz w:val="20"/>
                <w:szCs w:val="20"/>
                <w:lang w:val="en-US"/>
              </w:rPr>
            </w:pPr>
            <w:r w:rsidRPr="002D760F">
              <w:rPr>
                <w:rFonts w:ascii="Arial" w:hAnsi="Arial" w:cs="Arial"/>
                <w:sz w:val="20"/>
                <w:szCs w:val="20"/>
                <w:lang w:val="en-US"/>
              </w:rPr>
              <w:t>Regular/Salaried</w:t>
            </w:r>
          </w:p>
          <w:p w14:paraId="0D6C1468" w14:textId="173BB24D" w:rsidR="00121BCB" w:rsidRPr="002D760F" w:rsidRDefault="00121BCB" w:rsidP="00E017B0">
            <w:pPr>
              <w:jc w:val="both"/>
              <w:rPr>
                <w:rFonts w:ascii="Arial" w:hAnsi="Arial" w:cs="Arial"/>
                <w:sz w:val="20"/>
                <w:szCs w:val="20"/>
                <w:lang w:val="en-US"/>
              </w:rPr>
            </w:pPr>
            <w:r w:rsidRPr="002D760F">
              <w:rPr>
                <w:rFonts w:ascii="Arial" w:hAnsi="Arial" w:cs="Arial"/>
                <w:sz w:val="20"/>
                <w:szCs w:val="20"/>
                <w:lang w:val="en-US"/>
              </w:rPr>
              <w:t xml:space="preserve">Casual </w:t>
            </w:r>
          </w:p>
        </w:tc>
        <w:tc>
          <w:tcPr>
            <w:tcW w:w="1418" w:type="dxa"/>
          </w:tcPr>
          <w:p w14:paraId="3BA8D0E1" w14:textId="77777777" w:rsidR="00792B8E" w:rsidRPr="002D760F" w:rsidRDefault="00121BCB" w:rsidP="00E017B0">
            <w:pPr>
              <w:jc w:val="both"/>
              <w:rPr>
                <w:rFonts w:ascii="Arial" w:hAnsi="Arial" w:cs="Arial"/>
                <w:sz w:val="20"/>
                <w:szCs w:val="20"/>
                <w:lang w:val="en-US"/>
              </w:rPr>
            </w:pPr>
            <w:r w:rsidRPr="002D760F">
              <w:rPr>
                <w:rFonts w:ascii="Arial" w:hAnsi="Arial" w:cs="Arial"/>
                <w:sz w:val="20"/>
                <w:szCs w:val="20"/>
                <w:lang w:val="en-US"/>
              </w:rPr>
              <w:t>1.00</w:t>
            </w:r>
          </w:p>
          <w:p w14:paraId="28018197" w14:textId="77777777" w:rsidR="00FE6291" w:rsidRPr="002D760F" w:rsidRDefault="00FE6291" w:rsidP="00E017B0">
            <w:pPr>
              <w:jc w:val="both"/>
              <w:rPr>
                <w:rFonts w:ascii="Arial" w:hAnsi="Arial" w:cs="Arial"/>
                <w:sz w:val="20"/>
                <w:szCs w:val="20"/>
                <w:lang w:val="en-US"/>
              </w:rPr>
            </w:pPr>
            <w:r w:rsidRPr="002D760F">
              <w:rPr>
                <w:rFonts w:ascii="Arial" w:hAnsi="Arial" w:cs="Arial"/>
                <w:sz w:val="20"/>
                <w:szCs w:val="20"/>
                <w:lang w:val="en-US"/>
              </w:rPr>
              <w:t>1.45***</w:t>
            </w:r>
          </w:p>
          <w:p w14:paraId="06579AD3" w14:textId="3023182F" w:rsidR="00FE6291" w:rsidRPr="002D760F" w:rsidRDefault="00FE6291" w:rsidP="00E017B0">
            <w:pPr>
              <w:jc w:val="both"/>
              <w:rPr>
                <w:rFonts w:ascii="Arial" w:hAnsi="Arial" w:cs="Arial"/>
                <w:sz w:val="20"/>
                <w:szCs w:val="20"/>
                <w:lang w:val="en-US"/>
              </w:rPr>
            </w:pPr>
            <w:r w:rsidRPr="002D760F">
              <w:rPr>
                <w:rFonts w:ascii="Arial" w:hAnsi="Arial" w:cs="Arial"/>
                <w:sz w:val="20"/>
                <w:szCs w:val="20"/>
                <w:lang w:val="en-US"/>
              </w:rPr>
              <w:t>1.16**</w:t>
            </w:r>
          </w:p>
        </w:tc>
        <w:tc>
          <w:tcPr>
            <w:tcW w:w="1422" w:type="dxa"/>
          </w:tcPr>
          <w:p w14:paraId="4A15A823" w14:textId="77777777" w:rsidR="00792B8E" w:rsidRPr="002D760F" w:rsidRDefault="00792B8E" w:rsidP="00E017B0">
            <w:pPr>
              <w:jc w:val="both"/>
              <w:rPr>
                <w:rFonts w:ascii="Arial" w:hAnsi="Arial" w:cs="Arial"/>
                <w:sz w:val="20"/>
                <w:szCs w:val="20"/>
                <w:lang w:val="en-US"/>
              </w:rPr>
            </w:pPr>
          </w:p>
          <w:p w14:paraId="39BD6FCB" w14:textId="77777777" w:rsidR="00FE6291" w:rsidRPr="002D760F" w:rsidRDefault="00FE6291" w:rsidP="00E017B0">
            <w:pPr>
              <w:jc w:val="both"/>
              <w:rPr>
                <w:rFonts w:ascii="Arial" w:hAnsi="Arial" w:cs="Arial"/>
                <w:sz w:val="20"/>
                <w:szCs w:val="20"/>
                <w:lang w:val="en-US"/>
              </w:rPr>
            </w:pPr>
            <w:r w:rsidRPr="002D760F">
              <w:rPr>
                <w:rFonts w:ascii="Arial" w:hAnsi="Arial" w:cs="Arial"/>
                <w:sz w:val="20"/>
                <w:szCs w:val="20"/>
                <w:lang w:val="en-US"/>
              </w:rPr>
              <w:t>1.22-1.53</w:t>
            </w:r>
          </w:p>
          <w:p w14:paraId="69DB373D" w14:textId="40FA9645" w:rsidR="00FE6291" w:rsidRPr="002D760F" w:rsidRDefault="00FE6291" w:rsidP="00E017B0">
            <w:pPr>
              <w:jc w:val="both"/>
              <w:rPr>
                <w:rFonts w:ascii="Arial" w:hAnsi="Arial" w:cs="Arial"/>
                <w:sz w:val="20"/>
                <w:szCs w:val="20"/>
                <w:lang w:val="en-US"/>
              </w:rPr>
            </w:pPr>
            <w:r w:rsidRPr="002D760F">
              <w:rPr>
                <w:rFonts w:ascii="Arial" w:hAnsi="Arial" w:cs="Arial"/>
                <w:sz w:val="20"/>
                <w:szCs w:val="20"/>
                <w:lang w:val="en-US"/>
              </w:rPr>
              <w:t>0.91-1.21</w:t>
            </w:r>
          </w:p>
        </w:tc>
        <w:tc>
          <w:tcPr>
            <w:tcW w:w="1413" w:type="dxa"/>
          </w:tcPr>
          <w:p w14:paraId="0BA11CDF" w14:textId="77777777" w:rsidR="00792B8E" w:rsidRPr="002D760F" w:rsidRDefault="00121BCB" w:rsidP="00E017B0">
            <w:pPr>
              <w:jc w:val="both"/>
              <w:rPr>
                <w:rFonts w:ascii="Arial" w:hAnsi="Arial" w:cs="Arial"/>
                <w:sz w:val="20"/>
                <w:szCs w:val="20"/>
                <w:lang w:val="en-US"/>
              </w:rPr>
            </w:pPr>
            <w:r w:rsidRPr="002D760F">
              <w:rPr>
                <w:rFonts w:ascii="Arial" w:hAnsi="Arial" w:cs="Arial"/>
                <w:sz w:val="20"/>
                <w:szCs w:val="20"/>
                <w:lang w:val="en-US"/>
              </w:rPr>
              <w:t>1.00</w:t>
            </w:r>
          </w:p>
          <w:p w14:paraId="20E2890C" w14:textId="2B8501AA" w:rsidR="00121BCB" w:rsidRPr="002D760F" w:rsidRDefault="00121BCB" w:rsidP="00E017B0">
            <w:pPr>
              <w:jc w:val="both"/>
              <w:rPr>
                <w:rFonts w:ascii="Arial" w:hAnsi="Arial" w:cs="Arial"/>
                <w:sz w:val="20"/>
                <w:szCs w:val="20"/>
                <w:lang w:val="en-US"/>
              </w:rPr>
            </w:pPr>
            <w:r w:rsidRPr="002D760F">
              <w:rPr>
                <w:rFonts w:ascii="Arial" w:hAnsi="Arial" w:cs="Arial"/>
                <w:sz w:val="20"/>
                <w:szCs w:val="20"/>
                <w:lang w:val="en-US"/>
              </w:rPr>
              <w:t>1.76***</w:t>
            </w:r>
          </w:p>
          <w:p w14:paraId="19E30DE8" w14:textId="4056BFC0" w:rsidR="00121BCB" w:rsidRPr="002D760F" w:rsidRDefault="00121BCB" w:rsidP="00E017B0">
            <w:pPr>
              <w:jc w:val="both"/>
              <w:rPr>
                <w:rFonts w:ascii="Arial" w:hAnsi="Arial" w:cs="Arial"/>
                <w:sz w:val="20"/>
                <w:szCs w:val="20"/>
                <w:lang w:val="en-US"/>
              </w:rPr>
            </w:pPr>
            <w:r w:rsidRPr="002D760F">
              <w:rPr>
                <w:rFonts w:ascii="Arial" w:hAnsi="Arial" w:cs="Arial"/>
                <w:sz w:val="20"/>
                <w:szCs w:val="20"/>
                <w:lang w:val="en-US"/>
              </w:rPr>
              <w:t>1.07**</w:t>
            </w:r>
          </w:p>
        </w:tc>
        <w:tc>
          <w:tcPr>
            <w:tcW w:w="1366" w:type="dxa"/>
          </w:tcPr>
          <w:p w14:paraId="60986C29" w14:textId="77777777" w:rsidR="00792B8E" w:rsidRPr="002D760F" w:rsidRDefault="00792B8E" w:rsidP="00E017B0">
            <w:pPr>
              <w:jc w:val="both"/>
              <w:rPr>
                <w:rFonts w:ascii="Arial" w:hAnsi="Arial" w:cs="Arial"/>
                <w:sz w:val="20"/>
                <w:szCs w:val="20"/>
                <w:lang w:val="en-US"/>
              </w:rPr>
            </w:pPr>
          </w:p>
          <w:p w14:paraId="33284A83" w14:textId="77777777" w:rsidR="0076057F" w:rsidRPr="002D760F" w:rsidRDefault="0076057F" w:rsidP="00E017B0">
            <w:pPr>
              <w:jc w:val="both"/>
              <w:rPr>
                <w:rFonts w:ascii="Arial" w:hAnsi="Arial" w:cs="Arial"/>
                <w:sz w:val="20"/>
                <w:szCs w:val="20"/>
                <w:lang w:val="en-US"/>
              </w:rPr>
            </w:pPr>
            <w:r w:rsidRPr="002D760F">
              <w:rPr>
                <w:rFonts w:ascii="Arial" w:hAnsi="Arial" w:cs="Arial"/>
                <w:sz w:val="20"/>
                <w:szCs w:val="20"/>
                <w:lang w:val="en-US"/>
              </w:rPr>
              <w:t>1.56-2.004</w:t>
            </w:r>
          </w:p>
          <w:p w14:paraId="36994297" w14:textId="27D7BEC4" w:rsidR="0076057F" w:rsidRPr="002D760F" w:rsidRDefault="0076057F" w:rsidP="00E017B0">
            <w:pPr>
              <w:jc w:val="both"/>
              <w:rPr>
                <w:rFonts w:ascii="Arial" w:hAnsi="Arial" w:cs="Arial"/>
                <w:sz w:val="20"/>
                <w:szCs w:val="20"/>
                <w:lang w:val="en-US"/>
              </w:rPr>
            </w:pPr>
            <w:r w:rsidRPr="002D760F">
              <w:rPr>
                <w:rFonts w:ascii="Arial" w:hAnsi="Arial" w:cs="Arial"/>
                <w:sz w:val="20"/>
                <w:szCs w:val="20"/>
                <w:lang w:val="en-US"/>
              </w:rPr>
              <w:t>0.97-1.18</w:t>
            </w:r>
          </w:p>
        </w:tc>
      </w:tr>
      <w:tr w:rsidR="00C063BA" w:rsidRPr="002D760F" w14:paraId="7FE9026E" w14:textId="77777777" w:rsidTr="006123D9">
        <w:tc>
          <w:tcPr>
            <w:tcW w:w="3397" w:type="dxa"/>
          </w:tcPr>
          <w:p w14:paraId="55DDCC7F" w14:textId="381F7C0D" w:rsidR="00C063BA" w:rsidRPr="002D760F" w:rsidRDefault="00C063BA" w:rsidP="00E017B0">
            <w:pPr>
              <w:jc w:val="both"/>
              <w:rPr>
                <w:rFonts w:ascii="Arial" w:hAnsi="Arial" w:cs="Arial"/>
                <w:sz w:val="20"/>
                <w:szCs w:val="20"/>
                <w:lang w:val="en-US"/>
              </w:rPr>
            </w:pPr>
            <w:r w:rsidRPr="002D760F">
              <w:rPr>
                <w:rFonts w:ascii="Arial" w:hAnsi="Arial" w:cs="Arial"/>
                <w:sz w:val="20"/>
                <w:szCs w:val="20"/>
                <w:lang w:val="en-US"/>
              </w:rPr>
              <w:t>Whether have any bank Account?</w:t>
            </w:r>
          </w:p>
        </w:tc>
        <w:tc>
          <w:tcPr>
            <w:tcW w:w="5619" w:type="dxa"/>
            <w:gridSpan w:val="4"/>
          </w:tcPr>
          <w:p w14:paraId="34035BE4" w14:textId="77777777" w:rsidR="00C063BA" w:rsidRPr="002D760F" w:rsidRDefault="00C063BA" w:rsidP="00E017B0">
            <w:pPr>
              <w:jc w:val="both"/>
              <w:rPr>
                <w:rFonts w:ascii="Arial" w:hAnsi="Arial" w:cs="Arial"/>
                <w:sz w:val="20"/>
                <w:szCs w:val="20"/>
                <w:lang w:val="en-US"/>
              </w:rPr>
            </w:pPr>
          </w:p>
        </w:tc>
      </w:tr>
      <w:tr w:rsidR="00C063BA" w:rsidRPr="002D760F" w14:paraId="478CA913" w14:textId="77777777" w:rsidTr="00FE6291">
        <w:tc>
          <w:tcPr>
            <w:tcW w:w="3397" w:type="dxa"/>
          </w:tcPr>
          <w:p w14:paraId="0053E362" w14:textId="69C9D99E" w:rsidR="00C063BA" w:rsidRPr="002D760F" w:rsidRDefault="00C063BA" w:rsidP="00E017B0">
            <w:pPr>
              <w:jc w:val="both"/>
              <w:rPr>
                <w:rFonts w:ascii="Arial" w:hAnsi="Arial" w:cs="Arial"/>
                <w:sz w:val="20"/>
                <w:szCs w:val="20"/>
                <w:lang w:val="en-US"/>
              </w:rPr>
            </w:pPr>
            <w:r w:rsidRPr="002D760F">
              <w:rPr>
                <w:rFonts w:ascii="Arial" w:hAnsi="Arial" w:cs="Arial"/>
                <w:sz w:val="20"/>
                <w:szCs w:val="20"/>
                <w:lang w:val="en-US"/>
              </w:rPr>
              <w:t>No (Ref)</w:t>
            </w:r>
          </w:p>
          <w:p w14:paraId="64FE9D8C" w14:textId="5A592AE7" w:rsidR="00C063BA" w:rsidRPr="002D760F" w:rsidRDefault="005C6D45" w:rsidP="00E017B0">
            <w:pPr>
              <w:jc w:val="both"/>
              <w:rPr>
                <w:rFonts w:ascii="Arial" w:hAnsi="Arial" w:cs="Arial"/>
                <w:sz w:val="20"/>
                <w:szCs w:val="20"/>
                <w:lang w:val="en-US"/>
              </w:rPr>
            </w:pPr>
            <w:r w:rsidRPr="002D760F">
              <w:rPr>
                <w:rFonts w:ascii="Arial" w:hAnsi="Arial" w:cs="Arial"/>
                <w:sz w:val="20"/>
                <w:szCs w:val="20"/>
                <w:lang w:val="en-US"/>
              </w:rPr>
              <w:t>Y</w:t>
            </w:r>
            <w:r w:rsidR="00C063BA" w:rsidRPr="002D760F">
              <w:rPr>
                <w:rFonts w:ascii="Arial" w:hAnsi="Arial" w:cs="Arial"/>
                <w:sz w:val="20"/>
                <w:szCs w:val="20"/>
                <w:lang w:val="en-US"/>
              </w:rPr>
              <w:t>es</w:t>
            </w:r>
          </w:p>
        </w:tc>
        <w:tc>
          <w:tcPr>
            <w:tcW w:w="1418" w:type="dxa"/>
          </w:tcPr>
          <w:p w14:paraId="7E26559A" w14:textId="77777777" w:rsidR="00C063BA" w:rsidRPr="002D760F" w:rsidRDefault="00D4538C" w:rsidP="00E017B0">
            <w:pPr>
              <w:jc w:val="both"/>
              <w:rPr>
                <w:rFonts w:ascii="Arial" w:hAnsi="Arial" w:cs="Arial"/>
                <w:sz w:val="20"/>
                <w:szCs w:val="20"/>
                <w:lang w:val="en-US"/>
              </w:rPr>
            </w:pPr>
            <w:r w:rsidRPr="002D760F">
              <w:rPr>
                <w:rFonts w:ascii="Arial" w:hAnsi="Arial" w:cs="Arial"/>
                <w:sz w:val="20"/>
                <w:szCs w:val="20"/>
                <w:lang w:val="en-US"/>
              </w:rPr>
              <w:t>1.00</w:t>
            </w:r>
          </w:p>
          <w:p w14:paraId="16EEEF02" w14:textId="704787DA" w:rsidR="00FE6291" w:rsidRPr="002D760F" w:rsidRDefault="00FE6291" w:rsidP="00E017B0">
            <w:pPr>
              <w:jc w:val="both"/>
              <w:rPr>
                <w:rFonts w:ascii="Arial" w:hAnsi="Arial" w:cs="Arial"/>
                <w:sz w:val="20"/>
                <w:szCs w:val="20"/>
                <w:lang w:val="en-US"/>
              </w:rPr>
            </w:pPr>
            <w:r w:rsidRPr="002D760F">
              <w:rPr>
                <w:rFonts w:ascii="Arial" w:hAnsi="Arial" w:cs="Arial"/>
                <w:sz w:val="20"/>
                <w:szCs w:val="20"/>
                <w:lang w:val="en-US"/>
              </w:rPr>
              <w:t>3.277**</w:t>
            </w:r>
          </w:p>
        </w:tc>
        <w:tc>
          <w:tcPr>
            <w:tcW w:w="1422" w:type="dxa"/>
          </w:tcPr>
          <w:p w14:paraId="50684C6A" w14:textId="77777777" w:rsidR="00C063BA" w:rsidRPr="002D760F" w:rsidRDefault="00C063BA" w:rsidP="00E017B0">
            <w:pPr>
              <w:jc w:val="both"/>
              <w:rPr>
                <w:rFonts w:ascii="Arial" w:hAnsi="Arial" w:cs="Arial"/>
                <w:sz w:val="20"/>
                <w:szCs w:val="20"/>
                <w:lang w:val="en-US"/>
              </w:rPr>
            </w:pPr>
          </w:p>
          <w:p w14:paraId="6753EFD3" w14:textId="444EA873" w:rsidR="00FE6291" w:rsidRPr="002D760F" w:rsidRDefault="00FE6291" w:rsidP="00E017B0">
            <w:pPr>
              <w:jc w:val="both"/>
              <w:rPr>
                <w:rFonts w:ascii="Arial" w:hAnsi="Arial" w:cs="Arial"/>
                <w:sz w:val="20"/>
                <w:szCs w:val="20"/>
                <w:lang w:val="en-US"/>
              </w:rPr>
            </w:pPr>
            <w:r w:rsidRPr="002D760F">
              <w:rPr>
                <w:rFonts w:ascii="Arial" w:hAnsi="Arial" w:cs="Arial"/>
                <w:sz w:val="20"/>
                <w:szCs w:val="20"/>
                <w:lang w:val="en-US"/>
              </w:rPr>
              <w:t>3.195-3.36</w:t>
            </w:r>
          </w:p>
        </w:tc>
        <w:tc>
          <w:tcPr>
            <w:tcW w:w="1413" w:type="dxa"/>
          </w:tcPr>
          <w:p w14:paraId="27A4683D" w14:textId="77777777" w:rsidR="00C063BA" w:rsidRPr="002D760F" w:rsidRDefault="00D4538C" w:rsidP="00E017B0">
            <w:pPr>
              <w:jc w:val="both"/>
              <w:rPr>
                <w:rFonts w:ascii="Arial" w:hAnsi="Arial" w:cs="Arial"/>
                <w:sz w:val="20"/>
                <w:szCs w:val="20"/>
                <w:lang w:val="en-US"/>
              </w:rPr>
            </w:pPr>
            <w:r w:rsidRPr="002D760F">
              <w:rPr>
                <w:rFonts w:ascii="Arial" w:hAnsi="Arial" w:cs="Arial"/>
                <w:sz w:val="20"/>
                <w:szCs w:val="20"/>
                <w:lang w:val="en-US"/>
              </w:rPr>
              <w:t>1.00</w:t>
            </w:r>
          </w:p>
          <w:p w14:paraId="1A24522A" w14:textId="2148464D" w:rsidR="00D4538C" w:rsidRPr="002D760F" w:rsidRDefault="00D4538C" w:rsidP="00E017B0">
            <w:pPr>
              <w:jc w:val="both"/>
              <w:rPr>
                <w:rFonts w:ascii="Arial" w:hAnsi="Arial" w:cs="Arial"/>
                <w:sz w:val="20"/>
                <w:szCs w:val="20"/>
                <w:lang w:val="en-US"/>
              </w:rPr>
            </w:pPr>
            <w:r w:rsidRPr="002D760F">
              <w:rPr>
                <w:rFonts w:ascii="Arial" w:hAnsi="Arial" w:cs="Arial"/>
                <w:sz w:val="20"/>
                <w:szCs w:val="20"/>
                <w:lang w:val="en-US"/>
              </w:rPr>
              <w:t>1.44***</w:t>
            </w:r>
          </w:p>
        </w:tc>
        <w:tc>
          <w:tcPr>
            <w:tcW w:w="1366" w:type="dxa"/>
          </w:tcPr>
          <w:p w14:paraId="482715BF" w14:textId="77777777" w:rsidR="00C063BA" w:rsidRPr="002D760F" w:rsidRDefault="00C063BA" w:rsidP="00E017B0">
            <w:pPr>
              <w:jc w:val="both"/>
              <w:rPr>
                <w:rFonts w:ascii="Arial" w:hAnsi="Arial" w:cs="Arial"/>
                <w:sz w:val="20"/>
                <w:szCs w:val="20"/>
                <w:lang w:val="en-US"/>
              </w:rPr>
            </w:pPr>
          </w:p>
          <w:p w14:paraId="7E70C6EF" w14:textId="086F5177" w:rsidR="00D4538C" w:rsidRPr="002D760F" w:rsidRDefault="00D4538C" w:rsidP="00E017B0">
            <w:pPr>
              <w:jc w:val="both"/>
              <w:rPr>
                <w:rFonts w:ascii="Arial" w:hAnsi="Arial" w:cs="Arial"/>
                <w:sz w:val="20"/>
                <w:szCs w:val="20"/>
                <w:lang w:val="en-US"/>
              </w:rPr>
            </w:pPr>
            <w:r w:rsidRPr="002D760F">
              <w:rPr>
                <w:rFonts w:ascii="Arial" w:hAnsi="Arial" w:cs="Arial"/>
                <w:sz w:val="20"/>
                <w:szCs w:val="20"/>
                <w:lang w:val="en-US"/>
              </w:rPr>
              <w:t>1.242-1.689</w:t>
            </w:r>
          </w:p>
        </w:tc>
      </w:tr>
      <w:tr w:rsidR="001E5F27" w:rsidRPr="002D760F" w14:paraId="6BFB7F5E" w14:textId="77777777" w:rsidTr="006123D9">
        <w:tc>
          <w:tcPr>
            <w:tcW w:w="3397" w:type="dxa"/>
          </w:tcPr>
          <w:p w14:paraId="75D4DEFD" w14:textId="78E544AA" w:rsidR="001E5F27" w:rsidRPr="002D760F" w:rsidRDefault="001E5F27" w:rsidP="00E017B0">
            <w:pPr>
              <w:jc w:val="both"/>
              <w:rPr>
                <w:rFonts w:ascii="Arial" w:hAnsi="Arial" w:cs="Arial"/>
                <w:sz w:val="20"/>
                <w:szCs w:val="20"/>
                <w:lang w:val="en-US"/>
              </w:rPr>
            </w:pPr>
            <w:r w:rsidRPr="002D760F">
              <w:rPr>
                <w:rFonts w:ascii="Arial" w:hAnsi="Arial" w:cs="Arial"/>
                <w:sz w:val="20"/>
                <w:szCs w:val="20"/>
                <w:lang w:val="en-US"/>
              </w:rPr>
              <w:t>Education Level</w:t>
            </w:r>
          </w:p>
        </w:tc>
        <w:tc>
          <w:tcPr>
            <w:tcW w:w="5619" w:type="dxa"/>
            <w:gridSpan w:val="4"/>
          </w:tcPr>
          <w:p w14:paraId="6EB9E10C" w14:textId="77777777" w:rsidR="001E5F27" w:rsidRPr="002D760F" w:rsidRDefault="001E5F27" w:rsidP="00E017B0">
            <w:pPr>
              <w:jc w:val="both"/>
              <w:rPr>
                <w:rFonts w:ascii="Arial" w:hAnsi="Arial" w:cs="Arial"/>
                <w:sz w:val="20"/>
                <w:szCs w:val="20"/>
                <w:lang w:val="en-US"/>
              </w:rPr>
            </w:pPr>
          </w:p>
        </w:tc>
      </w:tr>
      <w:tr w:rsidR="007E3086" w:rsidRPr="002D760F" w14:paraId="31418264" w14:textId="77777777" w:rsidTr="00FE6291">
        <w:tc>
          <w:tcPr>
            <w:tcW w:w="3397" w:type="dxa"/>
          </w:tcPr>
          <w:p w14:paraId="1AE82B49" w14:textId="1030F6C7" w:rsidR="007E3086" w:rsidRPr="002D760F" w:rsidRDefault="007E3086" w:rsidP="00E017B0">
            <w:pPr>
              <w:jc w:val="both"/>
              <w:rPr>
                <w:rFonts w:ascii="Arial" w:hAnsi="Arial" w:cs="Arial"/>
                <w:sz w:val="20"/>
                <w:szCs w:val="20"/>
                <w:lang w:val="en-US"/>
              </w:rPr>
            </w:pPr>
            <w:r w:rsidRPr="002D760F">
              <w:rPr>
                <w:rFonts w:ascii="Arial" w:hAnsi="Arial" w:cs="Arial"/>
                <w:sz w:val="20"/>
                <w:szCs w:val="20"/>
                <w:lang w:val="en-US"/>
              </w:rPr>
              <w:t>Illiterate</w:t>
            </w:r>
            <w:r w:rsidR="00E017B0" w:rsidRPr="002D760F">
              <w:rPr>
                <w:rFonts w:ascii="Arial" w:hAnsi="Arial" w:cs="Arial"/>
                <w:sz w:val="20"/>
                <w:szCs w:val="20"/>
                <w:lang w:val="en-US"/>
              </w:rPr>
              <w:t xml:space="preserve"> (Reference)</w:t>
            </w:r>
            <w:r w:rsidRPr="002D760F">
              <w:rPr>
                <w:rFonts w:ascii="Arial" w:hAnsi="Arial" w:cs="Arial"/>
                <w:sz w:val="20"/>
                <w:szCs w:val="20"/>
                <w:lang w:val="en-US"/>
              </w:rPr>
              <w:t xml:space="preserve"> </w:t>
            </w:r>
          </w:p>
          <w:p w14:paraId="16E7ED3D" w14:textId="488BECB8" w:rsidR="007E3086" w:rsidRPr="002D760F" w:rsidRDefault="00E017B0" w:rsidP="00E017B0">
            <w:pPr>
              <w:jc w:val="both"/>
              <w:rPr>
                <w:rFonts w:ascii="Arial" w:hAnsi="Arial" w:cs="Arial"/>
                <w:sz w:val="20"/>
                <w:szCs w:val="20"/>
                <w:lang w:val="en-US"/>
              </w:rPr>
            </w:pPr>
            <w:r w:rsidRPr="002D760F">
              <w:rPr>
                <w:rFonts w:ascii="Arial" w:hAnsi="Arial" w:cs="Arial"/>
                <w:sz w:val="20"/>
                <w:szCs w:val="20"/>
                <w:lang w:val="en-US"/>
              </w:rPr>
              <w:t xml:space="preserve">Literate </w:t>
            </w:r>
          </w:p>
        </w:tc>
        <w:tc>
          <w:tcPr>
            <w:tcW w:w="1418" w:type="dxa"/>
          </w:tcPr>
          <w:p w14:paraId="44B3CFC4" w14:textId="77777777" w:rsidR="007E3086" w:rsidRPr="002D760F" w:rsidRDefault="00E017B0" w:rsidP="00E017B0">
            <w:pPr>
              <w:jc w:val="both"/>
              <w:rPr>
                <w:rFonts w:ascii="Arial" w:hAnsi="Arial" w:cs="Arial"/>
                <w:sz w:val="20"/>
                <w:szCs w:val="20"/>
                <w:lang w:val="en-US"/>
              </w:rPr>
            </w:pPr>
            <w:r w:rsidRPr="002D760F">
              <w:rPr>
                <w:rFonts w:ascii="Arial" w:hAnsi="Arial" w:cs="Arial"/>
                <w:sz w:val="20"/>
                <w:szCs w:val="20"/>
                <w:lang w:val="en-US"/>
              </w:rPr>
              <w:t>1.00</w:t>
            </w:r>
          </w:p>
          <w:p w14:paraId="5A850371" w14:textId="2D8CF289" w:rsidR="00E017B0" w:rsidRPr="002D760F" w:rsidRDefault="00FE6291" w:rsidP="00E017B0">
            <w:pPr>
              <w:jc w:val="both"/>
              <w:rPr>
                <w:rFonts w:ascii="Arial" w:hAnsi="Arial" w:cs="Arial"/>
                <w:sz w:val="20"/>
                <w:szCs w:val="20"/>
                <w:lang w:val="en-US"/>
              </w:rPr>
            </w:pPr>
            <w:r w:rsidRPr="002D760F">
              <w:rPr>
                <w:rFonts w:ascii="Arial" w:hAnsi="Arial" w:cs="Arial"/>
                <w:sz w:val="20"/>
                <w:szCs w:val="20"/>
                <w:lang w:val="en-US"/>
              </w:rPr>
              <w:t>1.57***</w:t>
            </w:r>
          </w:p>
        </w:tc>
        <w:tc>
          <w:tcPr>
            <w:tcW w:w="1422" w:type="dxa"/>
          </w:tcPr>
          <w:p w14:paraId="79A374ED" w14:textId="77777777" w:rsidR="007E3086" w:rsidRPr="002D760F" w:rsidRDefault="007E3086" w:rsidP="00E017B0">
            <w:pPr>
              <w:jc w:val="both"/>
              <w:rPr>
                <w:rFonts w:ascii="Arial" w:hAnsi="Arial" w:cs="Arial"/>
                <w:sz w:val="20"/>
                <w:szCs w:val="20"/>
                <w:lang w:val="en-US"/>
              </w:rPr>
            </w:pPr>
          </w:p>
          <w:p w14:paraId="3BE1EE6D" w14:textId="06890B8D" w:rsidR="00FE6291" w:rsidRPr="002D760F" w:rsidRDefault="00FE6291" w:rsidP="00E017B0">
            <w:pPr>
              <w:jc w:val="both"/>
              <w:rPr>
                <w:rFonts w:ascii="Arial" w:hAnsi="Arial" w:cs="Arial"/>
                <w:sz w:val="20"/>
                <w:szCs w:val="20"/>
                <w:lang w:val="en-US"/>
              </w:rPr>
            </w:pPr>
            <w:r w:rsidRPr="002D760F">
              <w:rPr>
                <w:rFonts w:ascii="Arial" w:hAnsi="Arial" w:cs="Arial"/>
                <w:sz w:val="20"/>
                <w:szCs w:val="20"/>
                <w:lang w:val="en-US"/>
              </w:rPr>
              <w:t>1.539-1.601</w:t>
            </w:r>
          </w:p>
        </w:tc>
        <w:tc>
          <w:tcPr>
            <w:tcW w:w="1413" w:type="dxa"/>
          </w:tcPr>
          <w:p w14:paraId="5DC1B366" w14:textId="77777777" w:rsidR="007E3086" w:rsidRPr="002D760F" w:rsidRDefault="00E017B0" w:rsidP="00E017B0">
            <w:pPr>
              <w:jc w:val="both"/>
              <w:rPr>
                <w:rFonts w:ascii="Arial" w:hAnsi="Arial" w:cs="Arial"/>
                <w:sz w:val="20"/>
                <w:szCs w:val="20"/>
                <w:lang w:val="en-US"/>
              </w:rPr>
            </w:pPr>
            <w:r w:rsidRPr="002D760F">
              <w:rPr>
                <w:rFonts w:ascii="Arial" w:hAnsi="Arial" w:cs="Arial"/>
                <w:sz w:val="20"/>
                <w:szCs w:val="20"/>
                <w:lang w:val="en-US"/>
              </w:rPr>
              <w:t>1.00</w:t>
            </w:r>
          </w:p>
          <w:p w14:paraId="6584A669" w14:textId="662F68D5" w:rsidR="00E017B0" w:rsidRPr="002D760F" w:rsidRDefault="001E5F27" w:rsidP="00E017B0">
            <w:pPr>
              <w:jc w:val="both"/>
              <w:rPr>
                <w:rFonts w:ascii="Arial" w:hAnsi="Arial" w:cs="Arial"/>
                <w:sz w:val="20"/>
                <w:szCs w:val="20"/>
                <w:lang w:val="en-US"/>
              </w:rPr>
            </w:pPr>
            <w:r w:rsidRPr="002D760F">
              <w:rPr>
                <w:rFonts w:ascii="Arial" w:hAnsi="Arial" w:cs="Arial"/>
                <w:sz w:val="20"/>
                <w:szCs w:val="20"/>
                <w:lang w:val="en-US"/>
              </w:rPr>
              <w:t>1.623***</w:t>
            </w:r>
          </w:p>
        </w:tc>
        <w:tc>
          <w:tcPr>
            <w:tcW w:w="1366" w:type="dxa"/>
          </w:tcPr>
          <w:p w14:paraId="0D60535F" w14:textId="77777777" w:rsidR="007E3086" w:rsidRPr="002D760F" w:rsidRDefault="007E3086" w:rsidP="00E017B0">
            <w:pPr>
              <w:jc w:val="both"/>
              <w:rPr>
                <w:rFonts w:ascii="Arial" w:hAnsi="Arial" w:cs="Arial"/>
                <w:sz w:val="20"/>
                <w:szCs w:val="20"/>
                <w:lang w:val="en-US"/>
              </w:rPr>
            </w:pPr>
          </w:p>
          <w:p w14:paraId="2CF0E9AE" w14:textId="7313DD32" w:rsidR="0076057F" w:rsidRPr="002D760F" w:rsidRDefault="0076057F" w:rsidP="00E017B0">
            <w:pPr>
              <w:jc w:val="both"/>
              <w:rPr>
                <w:rFonts w:ascii="Arial" w:hAnsi="Arial" w:cs="Arial"/>
                <w:sz w:val="20"/>
                <w:szCs w:val="20"/>
                <w:lang w:val="en-US"/>
              </w:rPr>
            </w:pPr>
            <w:r w:rsidRPr="002D760F">
              <w:rPr>
                <w:rFonts w:ascii="Arial" w:hAnsi="Arial" w:cs="Arial"/>
                <w:sz w:val="20"/>
                <w:szCs w:val="20"/>
                <w:lang w:val="en-US"/>
              </w:rPr>
              <w:t>1.512-1.741</w:t>
            </w:r>
          </w:p>
        </w:tc>
      </w:tr>
      <w:tr w:rsidR="001E5F27" w:rsidRPr="002D760F" w14:paraId="169B5911" w14:textId="77777777" w:rsidTr="006123D9">
        <w:tc>
          <w:tcPr>
            <w:tcW w:w="3397" w:type="dxa"/>
          </w:tcPr>
          <w:p w14:paraId="79ECC413" w14:textId="779099A5" w:rsidR="001E5F27" w:rsidRPr="002D760F" w:rsidRDefault="001E5F27" w:rsidP="00E017B0">
            <w:pPr>
              <w:jc w:val="both"/>
              <w:rPr>
                <w:rFonts w:ascii="Arial" w:hAnsi="Arial" w:cs="Arial"/>
                <w:sz w:val="20"/>
                <w:szCs w:val="20"/>
                <w:lang w:val="en-US"/>
              </w:rPr>
            </w:pPr>
            <w:r w:rsidRPr="002D760F">
              <w:rPr>
                <w:rFonts w:ascii="Arial" w:hAnsi="Arial" w:cs="Arial"/>
                <w:sz w:val="20"/>
                <w:szCs w:val="20"/>
                <w:lang w:val="en-US"/>
              </w:rPr>
              <w:t>Gender</w:t>
            </w:r>
          </w:p>
        </w:tc>
        <w:tc>
          <w:tcPr>
            <w:tcW w:w="5619" w:type="dxa"/>
            <w:gridSpan w:val="4"/>
          </w:tcPr>
          <w:p w14:paraId="308FC593" w14:textId="77777777" w:rsidR="001E5F27" w:rsidRPr="002D760F" w:rsidRDefault="001E5F27" w:rsidP="00E017B0">
            <w:pPr>
              <w:jc w:val="both"/>
              <w:rPr>
                <w:rFonts w:ascii="Arial" w:hAnsi="Arial" w:cs="Arial"/>
                <w:sz w:val="20"/>
                <w:szCs w:val="20"/>
                <w:lang w:val="en-US"/>
              </w:rPr>
            </w:pPr>
          </w:p>
        </w:tc>
      </w:tr>
      <w:tr w:rsidR="001E5F27" w:rsidRPr="002D760F" w14:paraId="771756DD" w14:textId="77777777" w:rsidTr="00FE6291">
        <w:tc>
          <w:tcPr>
            <w:tcW w:w="3397" w:type="dxa"/>
          </w:tcPr>
          <w:p w14:paraId="72332990" w14:textId="47DB779D" w:rsidR="001E5F27" w:rsidRPr="002D760F" w:rsidRDefault="001E5F27" w:rsidP="00E017B0">
            <w:pPr>
              <w:jc w:val="both"/>
              <w:rPr>
                <w:rFonts w:ascii="Arial" w:hAnsi="Arial" w:cs="Arial"/>
                <w:sz w:val="20"/>
                <w:szCs w:val="20"/>
                <w:lang w:val="en-US"/>
              </w:rPr>
            </w:pPr>
            <w:r w:rsidRPr="002D760F">
              <w:rPr>
                <w:rFonts w:ascii="Arial" w:hAnsi="Arial" w:cs="Arial"/>
                <w:sz w:val="20"/>
                <w:szCs w:val="20"/>
                <w:lang w:val="en-US"/>
              </w:rPr>
              <w:t>Female (Ref)</w:t>
            </w:r>
          </w:p>
          <w:p w14:paraId="3CFF1515" w14:textId="2C42C650" w:rsidR="001E5F27" w:rsidRPr="002D760F" w:rsidRDefault="001E5F27" w:rsidP="00E017B0">
            <w:pPr>
              <w:jc w:val="both"/>
              <w:rPr>
                <w:rFonts w:ascii="Arial" w:hAnsi="Arial" w:cs="Arial"/>
                <w:sz w:val="20"/>
                <w:szCs w:val="20"/>
                <w:lang w:val="en-US"/>
              </w:rPr>
            </w:pPr>
            <w:r w:rsidRPr="002D760F">
              <w:rPr>
                <w:rFonts w:ascii="Arial" w:hAnsi="Arial" w:cs="Arial"/>
                <w:sz w:val="20"/>
                <w:szCs w:val="20"/>
                <w:lang w:val="en-US"/>
              </w:rPr>
              <w:t>Male</w:t>
            </w:r>
          </w:p>
        </w:tc>
        <w:tc>
          <w:tcPr>
            <w:tcW w:w="1418" w:type="dxa"/>
          </w:tcPr>
          <w:p w14:paraId="3725CF02" w14:textId="77777777" w:rsidR="001E5F27" w:rsidRPr="002D760F" w:rsidRDefault="001E5F27" w:rsidP="00E017B0">
            <w:pPr>
              <w:jc w:val="both"/>
              <w:rPr>
                <w:rFonts w:ascii="Arial" w:hAnsi="Arial" w:cs="Arial"/>
                <w:sz w:val="20"/>
                <w:szCs w:val="20"/>
                <w:lang w:val="en-US"/>
              </w:rPr>
            </w:pPr>
            <w:r w:rsidRPr="002D760F">
              <w:rPr>
                <w:rFonts w:ascii="Arial" w:hAnsi="Arial" w:cs="Arial"/>
                <w:sz w:val="20"/>
                <w:szCs w:val="20"/>
                <w:lang w:val="en-US"/>
              </w:rPr>
              <w:t>1.00</w:t>
            </w:r>
          </w:p>
          <w:p w14:paraId="20D8917C" w14:textId="5ED7E513" w:rsidR="001E5F27" w:rsidRPr="002D760F" w:rsidRDefault="00FE6291" w:rsidP="00E017B0">
            <w:pPr>
              <w:jc w:val="both"/>
              <w:rPr>
                <w:rFonts w:ascii="Arial" w:hAnsi="Arial" w:cs="Arial"/>
                <w:sz w:val="20"/>
                <w:szCs w:val="20"/>
                <w:lang w:val="en-US"/>
              </w:rPr>
            </w:pPr>
            <w:r w:rsidRPr="002D760F">
              <w:rPr>
                <w:rFonts w:ascii="Arial" w:hAnsi="Arial" w:cs="Arial"/>
                <w:sz w:val="20"/>
                <w:szCs w:val="20"/>
                <w:lang w:val="en-US"/>
              </w:rPr>
              <w:t>1.09***</w:t>
            </w:r>
          </w:p>
        </w:tc>
        <w:tc>
          <w:tcPr>
            <w:tcW w:w="1422" w:type="dxa"/>
          </w:tcPr>
          <w:p w14:paraId="7D94435D" w14:textId="77777777" w:rsidR="001E5F27" w:rsidRPr="002D760F" w:rsidRDefault="001E5F27" w:rsidP="00E017B0">
            <w:pPr>
              <w:jc w:val="both"/>
              <w:rPr>
                <w:rFonts w:ascii="Arial" w:hAnsi="Arial" w:cs="Arial"/>
                <w:sz w:val="20"/>
                <w:szCs w:val="20"/>
                <w:lang w:val="en-US"/>
              </w:rPr>
            </w:pPr>
          </w:p>
          <w:p w14:paraId="2F520722" w14:textId="0574944C" w:rsidR="00FE6291" w:rsidRPr="002D760F" w:rsidRDefault="00FE6291" w:rsidP="00E017B0">
            <w:pPr>
              <w:jc w:val="both"/>
              <w:rPr>
                <w:rFonts w:ascii="Arial" w:hAnsi="Arial" w:cs="Arial"/>
                <w:sz w:val="20"/>
                <w:szCs w:val="20"/>
                <w:lang w:val="en-US"/>
              </w:rPr>
            </w:pPr>
            <w:r w:rsidRPr="002D760F">
              <w:rPr>
                <w:rFonts w:ascii="Arial" w:hAnsi="Arial" w:cs="Arial"/>
                <w:sz w:val="20"/>
                <w:szCs w:val="20"/>
                <w:lang w:val="en-US"/>
              </w:rPr>
              <w:t>1.072-1.108</w:t>
            </w:r>
          </w:p>
        </w:tc>
        <w:tc>
          <w:tcPr>
            <w:tcW w:w="1413" w:type="dxa"/>
          </w:tcPr>
          <w:p w14:paraId="3E92242E" w14:textId="77777777" w:rsidR="001E5F27" w:rsidRPr="002D760F" w:rsidRDefault="001E5F27" w:rsidP="00E017B0">
            <w:pPr>
              <w:jc w:val="both"/>
              <w:rPr>
                <w:rFonts w:ascii="Arial" w:hAnsi="Arial" w:cs="Arial"/>
                <w:sz w:val="20"/>
                <w:szCs w:val="20"/>
                <w:lang w:val="en-US"/>
              </w:rPr>
            </w:pPr>
            <w:r w:rsidRPr="002D760F">
              <w:rPr>
                <w:rFonts w:ascii="Arial" w:hAnsi="Arial" w:cs="Arial"/>
                <w:sz w:val="20"/>
                <w:szCs w:val="20"/>
                <w:lang w:val="en-US"/>
              </w:rPr>
              <w:t>1.00</w:t>
            </w:r>
          </w:p>
          <w:p w14:paraId="78E868F5" w14:textId="582EF381" w:rsidR="006123D9" w:rsidRPr="002D760F" w:rsidRDefault="006123D9" w:rsidP="00E017B0">
            <w:pPr>
              <w:jc w:val="both"/>
              <w:rPr>
                <w:rFonts w:ascii="Arial" w:hAnsi="Arial" w:cs="Arial"/>
                <w:sz w:val="20"/>
                <w:szCs w:val="20"/>
                <w:lang w:val="en-US"/>
              </w:rPr>
            </w:pPr>
            <w:r w:rsidRPr="002D760F">
              <w:rPr>
                <w:rFonts w:ascii="Arial" w:hAnsi="Arial" w:cs="Arial"/>
                <w:sz w:val="20"/>
                <w:szCs w:val="20"/>
                <w:lang w:val="en-US"/>
              </w:rPr>
              <w:t>0.785***</w:t>
            </w:r>
          </w:p>
        </w:tc>
        <w:tc>
          <w:tcPr>
            <w:tcW w:w="1366" w:type="dxa"/>
          </w:tcPr>
          <w:p w14:paraId="63C5D5AF" w14:textId="77777777" w:rsidR="001E5F27" w:rsidRPr="002D760F" w:rsidRDefault="001E5F27" w:rsidP="00E017B0">
            <w:pPr>
              <w:jc w:val="both"/>
              <w:rPr>
                <w:rFonts w:ascii="Arial" w:hAnsi="Arial" w:cs="Arial"/>
                <w:sz w:val="20"/>
                <w:szCs w:val="20"/>
                <w:lang w:val="en-US"/>
              </w:rPr>
            </w:pPr>
          </w:p>
          <w:p w14:paraId="070F7565" w14:textId="5A7FC939" w:rsidR="0076057F" w:rsidRPr="002D760F" w:rsidRDefault="0076057F" w:rsidP="00E017B0">
            <w:pPr>
              <w:jc w:val="both"/>
              <w:rPr>
                <w:rFonts w:ascii="Arial" w:hAnsi="Arial" w:cs="Arial"/>
                <w:sz w:val="20"/>
                <w:szCs w:val="20"/>
                <w:lang w:val="en-US"/>
              </w:rPr>
            </w:pPr>
            <w:r w:rsidRPr="002D760F">
              <w:rPr>
                <w:rFonts w:ascii="Arial" w:hAnsi="Arial" w:cs="Arial"/>
                <w:sz w:val="20"/>
                <w:szCs w:val="20"/>
                <w:lang w:val="en-US"/>
              </w:rPr>
              <w:t>0.722-0.853</w:t>
            </w:r>
          </w:p>
        </w:tc>
      </w:tr>
      <w:tr w:rsidR="001E5F27" w:rsidRPr="002D760F" w14:paraId="652F3959" w14:textId="77777777" w:rsidTr="006123D9">
        <w:tc>
          <w:tcPr>
            <w:tcW w:w="3397" w:type="dxa"/>
          </w:tcPr>
          <w:p w14:paraId="45EE9C23" w14:textId="60523A32" w:rsidR="001E5F27" w:rsidRPr="002D760F" w:rsidRDefault="001E5F27" w:rsidP="00E017B0">
            <w:pPr>
              <w:jc w:val="both"/>
              <w:rPr>
                <w:rFonts w:ascii="Arial" w:hAnsi="Arial" w:cs="Arial"/>
                <w:sz w:val="20"/>
                <w:szCs w:val="20"/>
                <w:lang w:val="en-US"/>
              </w:rPr>
            </w:pPr>
            <w:r w:rsidRPr="002D760F">
              <w:rPr>
                <w:rFonts w:ascii="Arial" w:hAnsi="Arial" w:cs="Arial"/>
                <w:sz w:val="20"/>
                <w:szCs w:val="20"/>
                <w:lang w:val="en-US"/>
              </w:rPr>
              <w:t>Ownership of Land</w:t>
            </w:r>
          </w:p>
        </w:tc>
        <w:tc>
          <w:tcPr>
            <w:tcW w:w="5619" w:type="dxa"/>
            <w:gridSpan w:val="4"/>
          </w:tcPr>
          <w:p w14:paraId="6769E97C" w14:textId="77777777" w:rsidR="001E5F27" w:rsidRPr="002D760F" w:rsidRDefault="001E5F27" w:rsidP="00E017B0">
            <w:pPr>
              <w:jc w:val="both"/>
              <w:rPr>
                <w:rFonts w:ascii="Arial" w:hAnsi="Arial" w:cs="Arial"/>
                <w:sz w:val="20"/>
                <w:szCs w:val="20"/>
                <w:lang w:val="en-US"/>
              </w:rPr>
            </w:pPr>
          </w:p>
        </w:tc>
      </w:tr>
      <w:tr w:rsidR="001E5F27" w:rsidRPr="002D760F" w14:paraId="41D281CA" w14:textId="77777777" w:rsidTr="00FE6291">
        <w:tc>
          <w:tcPr>
            <w:tcW w:w="3397" w:type="dxa"/>
          </w:tcPr>
          <w:p w14:paraId="262A2D22" w14:textId="6CDD43E6" w:rsidR="001E5F27" w:rsidRPr="002D760F" w:rsidRDefault="006123D9" w:rsidP="00E017B0">
            <w:pPr>
              <w:jc w:val="both"/>
              <w:rPr>
                <w:rFonts w:ascii="Arial" w:hAnsi="Arial" w:cs="Arial"/>
                <w:sz w:val="20"/>
                <w:szCs w:val="20"/>
                <w:lang w:val="en-US"/>
              </w:rPr>
            </w:pPr>
            <w:r w:rsidRPr="002D760F">
              <w:rPr>
                <w:rFonts w:ascii="Arial" w:hAnsi="Arial" w:cs="Arial"/>
                <w:sz w:val="20"/>
                <w:szCs w:val="20"/>
                <w:lang w:val="en-US"/>
              </w:rPr>
              <w:t>No (Ref)</w:t>
            </w:r>
          </w:p>
          <w:p w14:paraId="679C388C" w14:textId="37902E69" w:rsidR="006123D9" w:rsidRPr="002D760F" w:rsidRDefault="006123D9" w:rsidP="00E017B0">
            <w:pPr>
              <w:jc w:val="both"/>
              <w:rPr>
                <w:rFonts w:ascii="Arial" w:hAnsi="Arial" w:cs="Arial"/>
                <w:sz w:val="20"/>
                <w:szCs w:val="20"/>
                <w:lang w:val="en-US"/>
              </w:rPr>
            </w:pPr>
            <w:r w:rsidRPr="002D760F">
              <w:rPr>
                <w:rFonts w:ascii="Arial" w:hAnsi="Arial" w:cs="Arial"/>
                <w:sz w:val="20"/>
                <w:szCs w:val="20"/>
                <w:lang w:val="en-US"/>
              </w:rPr>
              <w:t>Yes</w:t>
            </w:r>
          </w:p>
        </w:tc>
        <w:tc>
          <w:tcPr>
            <w:tcW w:w="1418" w:type="dxa"/>
          </w:tcPr>
          <w:p w14:paraId="7A6F869B" w14:textId="77777777" w:rsidR="001E5F27" w:rsidRPr="002D760F" w:rsidRDefault="006123D9" w:rsidP="00E017B0">
            <w:pPr>
              <w:jc w:val="both"/>
              <w:rPr>
                <w:rFonts w:ascii="Arial" w:hAnsi="Arial" w:cs="Arial"/>
                <w:sz w:val="20"/>
                <w:szCs w:val="20"/>
                <w:lang w:val="en-US"/>
              </w:rPr>
            </w:pPr>
            <w:r w:rsidRPr="002D760F">
              <w:rPr>
                <w:rFonts w:ascii="Arial" w:hAnsi="Arial" w:cs="Arial"/>
                <w:sz w:val="20"/>
                <w:szCs w:val="20"/>
                <w:lang w:val="en-US"/>
              </w:rPr>
              <w:t>1.00</w:t>
            </w:r>
          </w:p>
          <w:p w14:paraId="6F32384F" w14:textId="3A6636D6" w:rsidR="00FE6291" w:rsidRPr="002D760F" w:rsidRDefault="00FE6291" w:rsidP="00E017B0">
            <w:pPr>
              <w:jc w:val="both"/>
              <w:rPr>
                <w:rFonts w:ascii="Arial" w:hAnsi="Arial" w:cs="Arial"/>
                <w:sz w:val="20"/>
                <w:szCs w:val="20"/>
                <w:lang w:val="en-US"/>
              </w:rPr>
            </w:pPr>
            <w:r w:rsidRPr="002D760F">
              <w:rPr>
                <w:rFonts w:ascii="Arial" w:hAnsi="Arial" w:cs="Arial"/>
                <w:sz w:val="20"/>
                <w:szCs w:val="20"/>
                <w:lang w:val="en-US"/>
              </w:rPr>
              <w:t>1.514***</w:t>
            </w:r>
          </w:p>
        </w:tc>
        <w:tc>
          <w:tcPr>
            <w:tcW w:w="1422" w:type="dxa"/>
          </w:tcPr>
          <w:p w14:paraId="49C7C687" w14:textId="77777777" w:rsidR="001E5F27" w:rsidRPr="002D760F" w:rsidRDefault="001E5F27" w:rsidP="00E017B0">
            <w:pPr>
              <w:jc w:val="both"/>
              <w:rPr>
                <w:rFonts w:ascii="Arial" w:hAnsi="Arial" w:cs="Arial"/>
                <w:sz w:val="20"/>
                <w:szCs w:val="20"/>
                <w:lang w:val="en-US"/>
              </w:rPr>
            </w:pPr>
          </w:p>
          <w:p w14:paraId="74A72CA7" w14:textId="66955F4B" w:rsidR="00FE6291" w:rsidRPr="002D760F" w:rsidRDefault="00FE6291" w:rsidP="00E017B0">
            <w:pPr>
              <w:jc w:val="both"/>
              <w:rPr>
                <w:rFonts w:ascii="Arial" w:hAnsi="Arial" w:cs="Arial"/>
                <w:sz w:val="20"/>
                <w:szCs w:val="20"/>
                <w:lang w:val="en-US"/>
              </w:rPr>
            </w:pPr>
            <w:r w:rsidRPr="002D760F">
              <w:rPr>
                <w:rFonts w:ascii="Arial" w:hAnsi="Arial" w:cs="Arial"/>
                <w:sz w:val="20"/>
                <w:szCs w:val="20"/>
                <w:lang w:val="en-US"/>
              </w:rPr>
              <w:t>1.487-1.541</w:t>
            </w:r>
          </w:p>
        </w:tc>
        <w:tc>
          <w:tcPr>
            <w:tcW w:w="1413" w:type="dxa"/>
          </w:tcPr>
          <w:p w14:paraId="6FFB8791" w14:textId="77777777" w:rsidR="001E5F27" w:rsidRPr="002D760F" w:rsidRDefault="006123D9" w:rsidP="00E017B0">
            <w:pPr>
              <w:jc w:val="both"/>
              <w:rPr>
                <w:rFonts w:ascii="Arial" w:hAnsi="Arial" w:cs="Arial"/>
                <w:sz w:val="20"/>
                <w:szCs w:val="20"/>
                <w:lang w:val="en-US"/>
              </w:rPr>
            </w:pPr>
            <w:r w:rsidRPr="002D760F">
              <w:rPr>
                <w:rFonts w:ascii="Arial" w:hAnsi="Arial" w:cs="Arial"/>
                <w:sz w:val="20"/>
                <w:szCs w:val="20"/>
                <w:lang w:val="en-US"/>
              </w:rPr>
              <w:t>1.00</w:t>
            </w:r>
          </w:p>
          <w:p w14:paraId="4C68E98B" w14:textId="62B72E7B" w:rsidR="006123D9" w:rsidRPr="002D760F" w:rsidRDefault="006123D9" w:rsidP="00E017B0">
            <w:pPr>
              <w:jc w:val="both"/>
              <w:rPr>
                <w:rFonts w:ascii="Arial" w:hAnsi="Arial" w:cs="Arial"/>
                <w:sz w:val="20"/>
                <w:szCs w:val="20"/>
                <w:lang w:val="en-US"/>
              </w:rPr>
            </w:pPr>
            <w:r w:rsidRPr="002D760F">
              <w:rPr>
                <w:rFonts w:ascii="Arial" w:hAnsi="Arial" w:cs="Arial"/>
                <w:sz w:val="20"/>
                <w:szCs w:val="20"/>
                <w:lang w:val="en-US"/>
              </w:rPr>
              <w:t>1.80***</w:t>
            </w:r>
          </w:p>
        </w:tc>
        <w:tc>
          <w:tcPr>
            <w:tcW w:w="1366" w:type="dxa"/>
          </w:tcPr>
          <w:p w14:paraId="7C30E940" w14:textId="77777777" w:rsidR="001E5F27" w:rsidRPr="002D760F" w:rsidRDefault="001E5F27" w:rsidP="00E017B0">
            <w:pPr>
              <w:jc w:val="both"/>
              <w:rPr>
                <w:rFonts w:ascii="Arial" w:hAnsi="Arial" w:cs="Arial"/>
                <w:sz w:val="20"/>
                <w:szCs w:val="20"/>
                <w:lang w:val="en-US"/>
              </w:rPr>
            </w:pPr>
          </w:p>
          <w:p w14:paraId="6FD46278" w14:textId="3F3A3890" w:rsidR="0076057F" w:rsidRPr="002D760F" w:rsidRDefault="0076057F" w:rsidP="00E017B0">
            <w:pPr>
              <w:jc w:val="both"/>
              <w:rPr>
                <w:rFonts w:ascii="Arial" w:hAnsi="Arial" w:cs="Arial"/>
                <w:sz w:val="20"/>
                <w:szCs w:val="20"/>
                <w:lang w:val="en-US"/>
              </w:rPr>
            </w:pPr>
            <w:r w:rsidRPr="002D760F">
              <w:rPr>
                <w:rFonts w:ascii="Arial" w:hAnsi="Arial" w:cs="Arial"/>
                <w:sz w:val="20"/>
                <w:szCs w:val="20"/>
                <w:lang w:val="en-US"/>
              </w:rPr>
              <w:t>0.963-1.81</w:t>
            </w:r>
          </w:p>
        </w:tc>
      </w:tr>
      <w:tr w:rsidR="001E5F27" w:rsidRPr="002D760F" w14:paraId="720EA756" w14:textId="77777777" w:rsidTr="006123D9">
        <w:tc>
          <w:tcPr>
            <w:tcW w:w="3397" w:type="dxa"/>
          </w:tcPr>
          <w:p w14:paraId="5A9A6D0A" w14:textId="41ADF5D1" w:rsidR="001E5F27" w:rsidRPr="002D760F" w:rsidRDefault="001E5F27" w:rsidP="00E017B0">
            <w:pPr>
              <w:jc w:val="both"/>
              <w:rPr>
                <w:rFonts w:ascii="Arial" w:hAnsi="Arial" w:cs="Arial"/>
                <w:sz w:val="20"/>
                <w:szCs w:val="20"/>
                <w:lang w:val="en-US"/>
              </w:rPr>
            </w:pPr>
            <w:r w:rsidRPr="002D760F">
              <w:rPr>
                <w:rFonts w:ascii="Arial" w:hAnsi="Arial" w:cs="Arial"/>
                <w:sz w:val="20"/>
                <w:szCs w:val="20"/>
                <w:lang w:val="en-US"/>
              </w:rPr>
              <w:t>Income</w:t>
            </w:r>
          </w:p>
        </w:tc>
        <w:tc>
          <w:tcPr>
            <w:tcW w:w="5619" w:type="dxa"/>
            <w:gridSpan w:val="4"/>
          </w:tcPr>
          <w:p w14:paraId="6C78D19F" w14:textId="77777777" w:rsidR="001E5F27" w:rsidRPr="002D760F" w:rsidRDefault="001E5F27" w:rsidP="00E017B0">
            <w:pPr>
              <w:jc w:val="both"/>
              <w:rPr>
                <w:rFonts w:ascii="Arial" w:hAnsi="Arial" w:cs="Arial"/>
                <w:sz w:val="20"/>
                <w:szCs w:val="20"/>
                <w:lang w:val="en-US"/>
              </w:rPr>
            </w:pPr>
          </w:p>
        </w:tc>
      </w:tr>
      <w:tr w:rsidR="001E5F27" w:rsidRPr="002D760F" w14:paraId="2B667631" w14:textId="77777777" w:rsidTr="00FE6291">
        <w:tc>
          <w:tcPr>
            <w:tcW w:w="3397" w:type="dxa"/>
          </w:tcPr>
          <w:p w14:paraId="4F86D1CA" w14:textId="038E7BFC" w:rsidR="001E5F27" w:rsidRPr="002D760F" w:rsidRDefault="001E5F27" w:rsidP="00E017B0">
            <w:pPr>
              <w:jc w:val="both"/>
              <w:rPr>
                <w:rFonts w:ascii="Arial" w:hAnsi="Arial" w:cs="Arial"/>
                <w:sz w:val="20"/>
                <w:szCs w:val="20"/>
                <w:lang w:val="en-US"/>
              </w:rPr>
            </w:pPr>
            <w:r w:rsidRPr="002D760F">
              <w:rPr>
                <w:rFonts w:ascii="Arial" w:hAnsi="Arial" w:cs="Arial"/>
                <w:sz w:val="20"/>
                <w:szCs w:val="20"/>
                <w:lang w:val="en-US"/>
              </w:rPr>
              <w:t>Poorest 20% (Reference)</w:t>
            </w:r>
          </w:p>
          <w:p w14:paraId="338A52F4" w14:textId="77777777" w:rsidR="001E5F27" w:rsidRPr="002D760F" w:rsidRDefault="001E5F27" w:rsidP="00E017B0">
            <w:pPr>
              <w:jc w:val="both"/>
              <w:rPr>
                <w:rFonts w:ascii="Arial" w:hAnsi="Arial" w:cs="Arial"/>
                <w:sz w:val="20"/>
                <w:szCs w:val="20"/>
                <w:lang w:val="en-US"/>
              </w:rPr>
            </w:pPr>
            <w:r w:rsidRPr="002D760F">
              <w:rPr>
                <w:rFonts w:ascii="Arial" w:hAnsi="Arial" w:cs="Arial"/>
                <w:sz w:val="20"/>
                <w:szCs w:val="20"/>
                <w:lang w:val="en-US"/>
              </w:rPr>
              <w:lastRenderedPageBreak/>
              <w:t>Middle 60%</w:t>
            </w:r>
          </w:p>
          <w:p w14:paraId="59C3DBCE" w14:textId="6B0BA508" w:rsidR="001E5F27" w:rsidRPr="002D760F" w:rsidRDefault="001E5F27" w:rsidP="00E017B0">
            <w:pPr>
              <w:jc w:val="both"/>
              <w:rPr>
                <w:rFonts w:ascii="Arial" w:hAnsi="Arial" w:cs="Arial"/>
                <w:sz w:val="20"/>
                <w:szCs w:val="20"/>
                <w:lang w:val="en-US"/>
              </w:rPr>
            </w:pPr>
            <w:r w:rsidRPr="002D760F">
              <w:rPr>
                <w:rFonts w:ascii="Arial" w:hAnsi="Arial" w:cs="Arial"/>
                <w:sz w:val="20"/>
                <w:szCs w:val="20"/>
                <w:lang w:val="en-US"/>
              </w:rPr>
              <w:t>Richest 20%</w:t>
            </w:r>
          </w:p>
        </w:tc>
        <w:tc>
          <w:tcPr>
            <w:tcW w:w="1418" w:type="dxa"/>
          </w:tcPr>
          <w:p w14:paraId="3FAA2E55" w14:textId="77777777" w:rsidR="001E5F27" w:rsidRPr="002D760F" w:rsidRDefault="006123D9" w:rsidP="00E017B0">
            <w:pPr>
              <w:jc w:val="both"/>
              <w:rPr>
                <w:rFonts w:ascii="Arial" w:hAnsi="Arial" w:cs="Arial"/>
                <w:sz w:val="20"/>
                <w:szCs w:val="20"/>
                <w:lang w:val="en-US"/>
              </w:rPr>
            </w:pPr>
            <w:r w:rsidRPr="002D760F">
              <w:rPr>
                <w:rFonts w:ascii="Arial" w:hAnsi="Arial" w:cs="Arial"/>
                <w:sz w:val="20"/>
                <w:szCs w:val="20"/>
                <w:lang w:val="en-US"/>
              </w:rPr>
              <w:lastRenderedPageBreak/>
              <w:t>1.00</w:t>
            </w:r>
          </w:p>
          <w:p w14:paraId="2E5B6404" w14:textId="77777777" w:rsidR="00F73D08" w:rsidRPr="002D760F" w:rsidRDefault="00F73D08" w:rsidP="00E017B0">
            <w:pPr>
              <w:jc w:val="both"/>
              <w:rPr>
                <w:rFonts w:ascii="Arial" w:hAnsi="Arial" w:cs="Arial"/>
                <w:sz w:val="20"/>
                <w:szCs w:val="20"/>
                <w:lang w:val="en-US"/>
              </w:rPr>
            </w:pPr>
            <w:r w:rsidRPr="002D760F">
              <w:rPr>
                <w:rFonts w:ascii="Arial" w:hAnsi="Arial" w:cs="Arial"/>
                <w:sz w:val="20"/>
                <w:szCs w:val="20"/>
                <w:lang w:val="en-US"/>
              </w:rPr>
              <w:lastRenderedPageBreak/>
              <w:t>1.16**</w:t>
            </w:r>
          </w:p>
          <w:p w14:paraId="49D442E1" w14:textId="5F836FAE" w:rsidR="00F73D08" w:rsidRPr="002D760F" w:rsidRDefault="00F73D08" w:rsidP="00E017B0">
            <w:pPr>
              <w:jc w:val="both"/>
              <w:rPr>
                <w:rFonts w:ascii="Arial" w:hAnsi="Arial" w:cs="Arial"/>
                <w:sz w:val="20"/>
                <w:szCs w:val="20"/>
                <w:lang w:val="en-US"/>
              </w:rPr>
            </w:pPr>
            <w:r w:rsidRPr="002D760F">
              <w:rPr>
                <w:rFonts w:ascii="Arial" w:hAnsi="Arial" w:cs="Arial"/>
                <w:sz w:val="20"/>
                <w:szCs w:val="20"/>
                <w:lang w:val="en-US"/>
              </w:rPr>
              <w:t>1.410**</w:t>
            </w:r>
          </w:p>
        </w:tc>
        <w:tc>
          <w:tcPr>
            <w:tcW w:w="1422" w:type="dxa"/>
          </w:tcPr>
          <w:p w14:paraId="17BF81D0" w14:textId="77777777" w:rsidR="001E5F27" w:rsidRPr="002D760F" w:rsidRDefault="001E5F27" w:rsidP="00E017B0">
            <w:pPr>
              <w:jc w:val="both"/>
              <w:rPr>
                <w:rFonts w:ascii="Arial" w:hAnsi="Arial" w:cs="Arial"/>
                <w:sz w:val="20"/>
                <w:szCs w:val="20"/>
                <w:lang w:val="en-US"/>
              </w:rPr>
            </w:pPr>
          </w:p>
          <w:p w14:paraId="4155FFBB" w14:textId="77777777" w:rsidR="00F73D08" w:rsidRPr="002D760F" w:rsidRDefault="00F73D08" w:rsidP="00E017B0">
            <w:pPr>
              <w:jc w:val="both"/>
              <w:rPr>
                <w:rFonts w:ascii="Arial" w:hAnsi="Arial" w:cs="Arial"/>
                <w:sz w:val="20"/>
                <w:szCs w:val="20"/>
                <w:lang w:val="en-US"/>
              </w:rPr>
            </w:pPr>
            <w:r w:rsidRPr="002D760F">
              <w:rPr>
                <w:rFonts w:ascii="Arial" w:hAnsi="Arial" w:cs="Arial"/>
                <w:sz w:val="20"/>
                <w:szCs w:val="20"/>
                <w:lang w:val="en-US"/>
              </w:rPr>
              <w:lastRenderedPageBreak/>
              <w:t>1.08-1.170</w:t>
            </w:r>
          </w:p>
          <w:p w14:paraId="6F1691CB" w14:textId="550D2AAD" w:rsidR="00F73D08" w:rsidRPr="002D760F" w:rsidRDefault="00F73D08" w:rsidP="00E017B0">
            <w:pPr>
              <w:jc w:val="both"/>
              <w:rPr>
                <w:rFonts w:ascii="Arial" w:hAnsi="Arial" w:cs="Arial"/>
                <w:sz w:val="20"/>
                <w:szCs w:val="20"/>
                <w:lang w:val="en-US"/>
              </w:rPr>
            </w:pPr>
            <w:r w:rsidRPr="002D760F">
              <w:rPr>
                <w:rFonts w:ascii="Arial" w:hAnsi="Arial" w:cs="Arial"/>
                <w:sz w:val="20"/>
                <w:szCs w:val="20"/>
                <w:lang w:val="en-US"/>
              </w:rPr>
              <w:t>1.20-1.491</w:t>
            </w:r>
          </w:p>
        </w:tc>
        <w:tc>
          <w:tcPr>
            <w:tcW w:w="1413" w:type="dxa"/>
          </w:tcPr>
          <w:p w14:paraId="55D0994C" w14:textId="77777777" w:rsidR="001E5F27" w:rsidRPr="002D760F" w:rsidRDefault="006123D9" w:rsidP="00E017B0">
            <w:pPr>
              <w:jc w:val="both"/>
              <w:rPr>
                <w:rFonts w:ascii="Arial" w:hAnsi="Arial" w:cs="Arial"/>
                <w:sz w:val="20"/>
                <w:szCs w:val="20"/>
                <w:lang w:val="en-US"/>
              </w:rPr>
            </w:pPr>
            <w:r w:rsidRPr="002D760F">
              <w:rPr>
                <w:rFonts w:ascii="Arial" w:hAnsi="Arial" w:cs="Arial"/>
                <w:sz w:val="20"/>
                <w:szCs w:val="20"/>
                <w:lang w:val="en-US"/>
              </w:rPr>
              <w:lastRenderedPageBreak/>
              <w:t>1.00</w:t>
            </w:r>
          </w:p>
          <w:p w14:paraId="099ADE8C" w14:textId="77777777" w:rsidR="006123D9" w:rsidRPr="002D760F" w:rsidRDefault="006123D9" w:rsidP="00E017B0">
            <w:pPr>
              <w:jc w:val="both"/>
              <w:rPr>
                <w:rFonts w:ascii="Arial" w:hAnsi="Arial" w:cs="Arial"/>
                <w:sz w:val="20"/>
                <w:szCs w:val="20"/>
                <w:lang w:val="en-US"/>
              </w:rPr>
            </w:pPr>
            <w:r w:rsidRPr="002D760F">
              <w:rPr>
                <w:rFonts w:ascii="Arial" w:hAnsi="Arial" w:cs="Arial"/>
                <w:sz w:val="20"/>
                <w:szCs w:val="20"/>
                <w:lang w:val="en-US"/>
              </w:rPr>
              <w:lastRenderedPageBreak/>
              <w:t>1.26***</w:t>
            </w:r>
          </w:p>
          <w:p w14:paraId="4FE413B4" w14:textId="226CA30B" w:rsidR="006123D9" w:rsidRPr="002D760F" w:rsidRDefault="006123D9" w:rsidP="00E017B0">
            <w:pPr>
              <w:jc w:val="both"/>
              <w:rPr>
                <w:rFonts w:ascii="Arial" w:hAnsi="Arial" w:cs="Arial"/>
                <w:sz w:val="20"/>
                <w:szCs w:val="20"/>
                <w:lang w:val="en-US"/>
              </w:rPr>
            </w:pPr>
            <w:r w:rsidRPr="002D760F">
              <w:rPr>
                <w:rFonts w:ascii="Arial" w:hAnsi="Arial" w:cs="Arial"/>
                <w:sz w:val="20"/>
                <w:szCs w:val="20"/>
                <w:lang w:val="en-US"/>
              </w:rPr>
              <w:t>1.9***</w:t>
            </w:r>
          </w:p>
        </w:tc>
        <w:tc>
          <w:tcPr>
            <w:tcW w:w="1366" w:type="dxa"/>
          </w:tcPr>
          <w:p w14:paraId="7A3320A1" w14:textId="77777777" w:rsidR="001E5F27" w:rsidRPr="002D760F" w:rsidRDefault="001E5F27" w:rsidP="00E017B0">
            <w:pPr>
              <w:jc w:val="both"/>
              <w:rPr>
                <w:rFonts w:ascii="Arial" w:hAnsi="Arial" w:cs="Arial"/>
                <w:sz w:val="20"/>
                <w:szCs w:val="20"/>
                <w:lang w:val="en-US"/>
              </w:rPr>
            </w:pPr>
          </w:p>
          <w:p w14:paraId="617FAC30" w14:textId="77777777" w:rsidR="0076057F" w:rsidRPr="002D760F" w:rsidRDefault="0076057F" w:rsidP="00E017B0">
            <w:pPr>
              <w:jc w:val="both"/>
              <w:rPr>
                <w:rFonts w:ascii="Arial" w:hAnsi="Arial" w:cs="Arial"/>
                <w:sz w:val="20"/>
                <w:szCs w:val="20"/>
                <w:lang w:val="en-US"/>
              </w:rPr>
            </w:pPr>
            <w:r w:rsidRPr="002D760F">
              <w:rPr>
                <w:rFonts w:ascii="Arial" w:hAnsi="Arial" w:cs="Arial"/>
                <w:sz w:val="20"/>
                <w:szCs w:val="20"/>
                <w:lang w:val="en-US"/>
              </w:rPr>
              <w:lastRenderedPageBreak/>
              <w:t>1.181-1.352</w:t>
            </w:r>
          </w:p>
          <w:p w14:paraId="7BD4BD13" w14:textId="221B4C82" w:rsidR="0076057F" w:rsidRPr="002D760F" w:rsidRDefault="0076057F" w:rsidP="00E017B0">
            <w:pPr>
              <w:jc w:val="both"/>
              <w:rPr>
                <w:rFonts w:ascii="Arial" w:hAnsi="Arial" w:cs="Arial"/>
                <w:sz w:val="20"/>
                <w:szCs w:val="20"/>
                <w:lang w:val="en-US"/>
              </w:rPr>
            </w:pPr>
            <w:r w:rsidRPr="002D760F">
              <w:rPr>
                <w:rFonts w:ascii="Arial" w:hAnsi="Arial" w:cs="Arial"/>
                <w:sz w:val="20"/>
                <w:szCs w:val="20"/>
                <w:lang w:val="en-US"/>
              </w:rPr>
              <w:t>1.673-2.158</w:t>
            </w:r>
          </w:p>
        </w:tc>
      </w:tr>
      <w:tr w:rsidR="001E5F27" w:rsidRPr="002D760F" w14:paraId="03FAB0D0" w14:textId="77777777" w:rsidTr="006123D9">
        <w:tc>
          <w:tcPr>
            <w:tcW w:w="3397" w:type="dxa"/>
          </w:tcPr>
          <w:p w14:paraId="5CAF5452" w14:textId="6FF7118B" w:rsidR="001E5F27" w:rsidRPr="002D760F" w:rsidRDefault="001E5F27" w:rsidP="00E017B0">
            <w:pPr>
              <w:jc w:val="both"/>
              <w:rPr>
                <w:rFonts w:ascii="Arial" w:hAnsi="Arial" w:cs="Arial"/>
                <w:sz w:val="20"/>
                <w:szCs w:val="20"/>
                <w:lang w:val="en-US"/>
              </w:rPr>
            </w:pPr>
            <w:r w:rsidRPr="002D760F">
              <w:rPr>
                <w:rFonts w:ascii="Arial" w:hAnsi="Arial" w:cs="Arial"/>
                <w:sz w:val="20"/>
                <w:szCs w:val="20"/>
                <w:lang w:val="en-US"/>
              </w:rPr>
              <w:lastRenderedPageBreak/>
              <w:t>Age</w:t>
            </w:r>
          </w:p>
        </w:tc>
        <w:tc>
          <w:tcPr>
            <w:tcW w:w="5619" w:type="dxa"/>
            <w:gridSpan w:val="4"/>
          </w:tcPr>
          <w:p w14:paraId="2B5200F0" w14:textId="77777777" w:rsidR="001E5F27" w:rsidRPr="002D760F" w:rsidRDefault="001E5F27" w:rsidP="00E017B0">
            <w:pPr>
              <w:jc w:val="both"/>
              <w:rPr>
                <w:rFonts w:ascii="Arial" w:hAnsi="Arial" w:cs="Arial"/>
                <w:sz w:val="20"/>
                <w:szCs w:val="20"/>
                <w:lang w:val="en-US"/>
              </w:rPr>
            </w:pPr>
          </w:p>
        </w:tc>
      </w:tr>
      <w:tr w:rsidR="001E5F27" w:rsidRPr="002D760F" w14:paraId="5A1DBDCB" w14:textId="77777777" w:rsidTr="00FE6291">
        <w:tc>
          <w:tcPr>
            <w:tcW w:w="3397" w:type="dxa"/>
          </w:tcPr>
          <w:p w14:paraId="6583849E" w14:textId="231FAAE6" w:rsidR="001E5F27" w:rsidRPr="002D760F" w:rsidRDefault="001E5F27" w:rsidP="00E017B0">
            <w:pPr>
              <w:jc w:val="both"/>
              <w:rPr>
                <w:rFonts w:ascii="Arial" w:hAnsi="Arial" w:cs="Arial"/>
                <w:sz w:val="20"/>
                <w:szCs w:val="20"/>
                <w:lang w:val="en-US"/>
              </w:rPr>
            </w:pPr>
            <w:r w:rsidRPr="002D760F">
              <w:rPr>
                <w:rFonts w:ascii="Arial" w:hAnsi="Arial" w:cs="Arial"/>
                <w:sz w:val="20"/>
                <w:szCs w:val="20"/>
                <w:lang w:val="en-US"/>
              </w:rPr>
              <w:t>18/45</w:t>
            </w:r>
            <w:r w:rsidR="006123D9" w:rsidRPr="002D760F">
              <w:rPr>
                <w:rFonts w:ascii="Arial" w:hAnsi="Arial" w:cs="Arial"/>
                <w:sz w:val="20"/>
                <w:szCs w:val="20"/>
                <w:lang w:val="en-US"/>
              </w:rPr>
              <w:t xml:space="preserve"> (Ref)</w:t>
            </w:r>
          </w:p>
          <w:p w14:paraId="432A61AA" w14:textId="62EBB633" w:rsidR="006123D9" w:rsidRPr="002D760F" w:rsidRDefault="006123D9" w:rsidP="00E017B0">
            <w:pPr>
              <w:jc w:val="both"/>
              <w:rPr>
                <w:rFonts w:ascii="Arial" w:hAnsi="Arial" w:cs="Arial"/>
                <w:sz w:val="20"/>
                <w:szCs w:val="20"/>
                <w:lang w:val="en-US"/>
              </w:rPr>
            </w:pPr>
            <w:r w:rsidRPr="002D760F">
              <w:rPr>
                <w:rFonts w:ascii="Arial" w:hAnsi="Arial" w:cs="Arial"/>
                <w:sz w:val="20"/>
                <w:szCs w:val="20"/>
                <w:lang w:val="en-US"/>
              </w:rPr>
              <w:t>0/17</w:t>
            </w:r>
          </w:p>
          <w:p w14:paraId="290E2FF2" w14:textId="07C2292B" w:rsidR="001E5F27" w:rsidRPr="002D760F" w:rsidRDefault="001E5F27" w:rsidP="00E017B0">
            <w:pPr>
              <w:jc w:val="both"/>
              <w:rPr>
                <w:rFonts w:ascii="Arial" w:hAnsi="Arial" w:cs="Arial"/>
                <w:sz w:val="20"/>
                <w:szCs w:val="20"/>
                <w:lang w:val="en-US"/>
              </w:rPr>
            </w:pPr>
            <w:r w:rsidRPr="002D760F">
              <w:rPr>
                <w:rFonts w:ascii="Arial" w:hAnsi="Arial" w:cs="Arial"/>
                <w:sz w:val="20"/>
                <w:szCs w:val="20"/>
                <w:lang w:val="en-US"/>
              </w:rPr>
              <w:t>Above 45 years</w:t>
            </w:r>
          </w:p>
        </w:tc>
        <w:tc>
          <w:tcPr>
            <w:tcW w:w="1418" w:type="dxa"/>
          </w:tcPr>
          <w:p w14:paraId="3E2779CE" w14:textId="77777777" w:rsidR="001E5F27" w:rsidRPr="002D760F" w:rsidRDefault="006123D9" w:rsidP="00E017B0">
            <w:pPr>
              <w:jc w:val="both"/>
              <w:rPr>
                <w:rFonts w:ascii="Arial" w:hAnsi="Arial" w:cs="Arial"/>
                <w:sz w:val="20"/>
                <w:szCs w:val="20"/>
                <w:lang w:val="en-US"/>
              </w:rPr>
            </w:pPr>
            <w:r w:rsidRPr="002D760F">
              <w:rPr>
                <w:rFonts w:ascii="Arial" w:hAnsi="Arial" w:cs="Arial"/>
                <w:sz w:val="20"/>
                <w:szCs w:val="20"/>
                <w:lang w:val="en-US"/>
              </w:rPr>
              <w:t>1.00</w:t>
            </w:r>
          </w:p>
          <w:p w14:paraId="2AFCC3D3" w14:textId="52353D8F" w:rsidR="00FE6291" w:rsidRPr="002D760F" w:rsidRDefault="00FE6291" w:rsidP="00E017B0">
            <w:pPr>
              <w:jc w:val="both"/>
              <w:rPr>
                <w:rFonts w:ascii="Arial" w:hAnsi="Arial" w:cs="Arial"/>
                <w:sz w:val="20"/>
                <w:szCs w:val="20"/>
                <w:lang w:val="en-US"/>
              </w:rPr>
            </w:pPr>
            <w:r w:rsidRPr="002D760F">
              <w:rPr>
                <w:rFonts w:ascii="Arial" w:hAnsi="Arial" w:cs="Arial"/>
                <w:sz w:val="20"/>
                <w:szCs w:val="20"/>
                <w:lang w:val="en-US"/>
              </w:rPr>
              <w:t>1.06***</w:t>
            </w:r>
          </w:p>
          <w:p w14:paraId="205215DB" w14:textId="13967B49" w:rsidR="00FE6291" w:rsidRPr="002D760F" w:rsidRDefault="00FE6291" w:rsidP="00E017B0">
            <w:pPr>
              <w:jc w:val="both"/>
              <w:rPr>
                <w:rFonts w:ascii="Arial" w:hAnsi="Arial" w:cs="Arial"/>
                <w:sz w:val="20"/>
                <w:szCs w:val="20"/>
                <w:lang w:val="en-US"/>
              </w:rPr>
            </w:pPr>
            <w:r w:rsidRPr="002D760F">
              <w:rPr>
                <w:rFonts w:ascii="Arial" w:hAnsi="Arial" w:cs="Arial"/>
                <w:sz w:val="20"/>
                <w:szCs w:val="20"/>
                <w:lang w:val="en-US"/>
              </w:rPr>
              <w:t>1.20**</w:t>
            </w:r>
          </w:p>
        </w:tc>
        <w:tc>
          <w:tcPr>
            <w:tcW w:w="1422" w:type="dxa"/>
          </w:tcPr>
          <w:p w14:paraId="0FED6E9F" w14:textId="77777777" w:rsidR="001E5F27" w:rsidRPr="002D760F" w:rsidRDefault="001E5F27" w:rsidP="00E017B0">
            <w:pPr>
              <w:jc w:val="both"/>
              <w:rPr>
                <w:rFonts w:ascii="Arial" w:hAnsi="Arial" w:cs="Arial"/>
                <w:sz w:val="20"/>
                <w:szCs w:val="20"/>
                <w:lang w:val="en-US"/>
              </w:rPr>
            </w:pPr>
          </w:p>
          <w:p w14:paraId="50373068" w14:textId="77777777" w:rsidR="00F73D08" w:rsidRPr="002D760F" w:rsidRDefault="00F73D08" w:rsidP="00E017B0">
            <w:pPr>
              <w:jc w:val="both"/>
              <w:rPr>
                <w:rFonts w:ascii="Arial" w:hAnsi="Arial" w:cs="Arial"/>
                <w:sz w:val="20"/>
                <w:szCs w:val="20"/>
                <w:lang w:val="en-US"/>
              </w:rPr>
            </w:pPr>
            <w:r w:rsidRPr="002D760F">
              <w:rPr>
                <w:rFonts w:ascii="Arial" w:hAnsi="Arial" w:cs="Arial"/>
                <w:sz w:val="20"/>
                <w:szCs w:val="20"/>
                <w:lang w:val="en-US"/>
              </w:rPr>
              <w:t>1.044-1.064</w:t>
            </w:r>
          </w:p>
          <w:p w14:paraId="081D3C38" w14:textId="706FE2B6" w:rsidR="00F73D08" w:rsidRPr="002D760F" w:rsidRDefault="00F73D08" w:rsidP="00E017B0">
            <w:pPr>
              <w:jc w:val="both"/>
              <w:rPr>
                <w:rFonts w:ascii="Arial" w:hAnsi="Arial" w:cs="Arial"/>
                <w:sz w:val="20"/>
                <w:szCs w:val="20"/>
                <w:lang w:val="en-US"/>
              </w:rPr>
            </w:pPr>
            <w:r w:rsidRPr="002D760F">
              <w:rPr>
                <w:rFonts w:ascii="Arial" w:hAnsi="Arial" w:cs="Arial"/>
                <w:sz w:val="20"/>
                <w:szCs w:val="20"/>
                <w:lang w:val="en-US"/>
              </w:rPr>
              <w:t>1.119-1.123</w:t>
            </w:r>
          </w:p>
        </w:tc>
        <w:tc>
          <w:tcPr>
            <w:tcW w:w="1413" w:type="dxa"/>
          </w:tcPr>
          <w:p w14:paraId="71FBFC2D" w14:textId="77777777" w:rsidR="001E5F27" w:rsidRPr="002D760F" w:rsidRDefault="006123D9" w:rsidP="00E017B0">
            <w:pPr>
              <w:jc w:val="both"/>
              <w:rPr>
                <w:rFonts w:ascii="Arial" w:hAnsi="Arial" w:cs="Arial"/>
                <w:sz w:val="20"/>
                <w:szCs w:val="20"/>
                <w:lang w:val="en-US"/>
              </w:rPr>
            </w:pPr>
            <w:r w:rsidRPr="002D760F">
              <w:rPr>
                <w:rFonts w:ascii="Arial" w:hAnsi="Arial" w:cs="Arial"/>
                <w:sz w:val="20"/>
                <w:szCs w:val="20"/>
                <w:lang w:val="en-US"/>
              </w:rPr>
              <w:t>1.00</w:t>
            </w:r>
          </w:p>
          <w:p w14:paraId="030F3AF8" w14:textId="77777777" w:rsidR="006123D9" w:rsidRPr="002D760F" w:rsidRDefault="006123D9" w:rsidP="00E017B0">
            <w:pPr>
              <w:jc w:val="both"/>
              <w:rPr>
                <w:rFonts w:ascii="Arial" w:hAnsi="Arial" w:cs="Arial"/>
                <w:sz w:val="20"/>
                <w:szCs w:val="20"/>
                <w:lang w:val="en-US"/>
              </w:rPr>
            </w:pPr>
            <w:r w:rsidRPr="002D760F">
              <w:rPr>
                <w:rFonts w:ascii="Arial" w:hAnsi="Arial" w:cs="Arial"/>
                <w:sz w:val="20"/>
                <w:szCs w:val="20"/>
                <w:lang w:val="en-US"/>
              </w:rPr>
              <w:t>1.227</w:t>
            </w:r>
          </w:p>
          <w:p w14:paraId="649BD2A9" w14:textId="0F33F0BA" w:rsidR="006123D9" w:rsidRPr="002D760F" w:rsidRDefault="006123D9" w:rsidP="00E017B0">
            <w:pPr>
              <w:jc w:val="both"/>
              <w:rPr>
                <w:rFonts w:ascii="Arial" w:hAnsi="Arial" w:cs="Arial"/>
                <w:sz w:val="20"/>
                <w:szCs w:val="20"/>
                <w:lang w:val="en-US"/>
              </w:rPr>
            </w:pPr>
            <w:r w:rsidRPr="002D760F">
              <w:rPr>
                <w:rFonts w:ascii="Arial" w:hAnsi="Arial" w:cs="Arial"/>
                <w:sz w:val="20"/>
                <w:szCs w:val="20"/>
                <w:lang w:val="en-US"/>
              </w:rPr>
              <w:t>1.30***</w:t>
            </w:r>
          </w:p>
        </w:tc>
        <w:tc>
          <w:tcPr>
            <w:tcW w:w="1366" w:type="dxa"/>
          </w:tcPr>
          <w:p w14:paraId="63088117" w14:textId="77777777" w:rsidR="001E5F27" w:rsidRPr="002D760F" w:rsidRDefault="001E5F27" w:rsidP="00E017B0">
            <w:pPr>
              <w:jc w:val="both"/>
              <w:rPr>
                <w:rFonts w:ascii="Arial" w:hAnsi="Arial" w:cs="Arial"/>
                <w:sz w:val="20"/>
                <w:szCs w:val="20"/>
                <w:lang w:val="en-US"/>
              </w:rPr>
            </w:pPr>
          </w:p>
          <w:p w14:paraId="4D945C0E" w14:textId="77777777" w:rsidR="0076057F" w:rsidRPr="002D760F" w:rsidRDefault="0076057F" w:rsidP="00E017B0">
            <w:pPr>
              <w:jc w:val="both"/>
              <w:rPr>
                <w:rFonts w:ascii="Arial" w:hAnsi="Arial" w:cs="Arial"/>
                <w:sz w:val="20"/>
                <w:szCs w:val="20"/>
                <w:lang w:val="en-US"/>
              </w:rPr>
            </w:pPr>
            <w:r w:rsidRPr="002D760F">
              <w:rPr>
                <w:rFonts w:ascii="Arial" w:hAnsi="Arial" w:cs="Arial"/>
                <w:sz w:val="20"/>
                <w:szCs w:val="20"/>
                <w:lang w:val="en-US"/>
              </w:rPr>
              <w:t>1.149-1.331</w:t>
            </w:r>
          </w:p>
          <w:p w14:paraId="48ED7E94" w14:textId="4683D8F3" w:rsidR="0076057F" w:rsidRPr="002D760F" w:rsidRDefault="0076057F" w:rsidP="00E017B0">
            <w:pPr>
              <w:jc w:val="both"/>
              <w:rPr>
                <w:rFonts w:ascii="Arial" w:hAnsi="Arial" w:cs="Arial"/>
                <w:sz w:val="20"/>
                <w:szCs w:val="20"/>
                <w:lang w:val="en-US"/>
              </w:rPr>
            </w:pPr>
            <w:r w:rsidRPr="002D760F">
              <w:rPr>
                <w:rFonts w:ascii="Arial" w:hAnsi="Arial" w:cs="Arial"/>
                <w:sz w:val="20"/>
                <w:szCs w:val="20"/>
                <w:lang w:val="en-US"/>
              </w:rPr>
              <w:t>0.824-2.07</w:t>
            </w:r>
          </w:p>
        </w:tc>
      </w:tr>
      <w:tr w:rsidR="001E5F27" w:rsidRPr="002D760F" w14:paraId="0C5C75AF" w14:textId="77777777" w:rsidTr="006123D9">
        <w:tc>
          <w:tcPr>
            <w:tcW w:w="3397" w:type="dxa"/>
          </w:tcPr>
          <w:p w14:paraId="1336ABCB" w14:textId="0CBFC6B1" w:rsidR="001E5F27" w:rsidRPr="002D760F" w:rsidRDefault="001E5F27" w:rsidP="00E017B0">
            <w:pPr>
              <w:jc w:val="both"/>
              <w:rPr>
                <w:rFonts w:ascii="Arial" w:hAnsi="Arial" w:cs="Arial"/>
                <w:sz w:val="20"/>
                <w:szCs w:val="20"/>
                <w:lang w:val="en-US"/>
              </w:rPr>
            </w:pPr>
            <w:r w:rsidRPr="002D760F">
              <w:rPr>
                <w:rFonts w:ascii="Arial" w:hAnsi="Arial" w:cs="Arial"/>
                <w:sz w:val="20"/>
                <w:szCs w:val="20"/>
                <w:lang w:val="en-US"/>
              </w:rPr>
              <w:t>Purpose of loan</w:t>
            </w:r>
          </w:p>
        </w:tc>
        <w:tc>
          <w:tcPr>
            <w:tcW w:w="5619" w:type="dxa"/>
            <w:gridSpan w:val="4"/>
          </w:tcPr>
          <w:p w14:paraId="2EBC6431" w14:textId="77777777" w:rsidR="001E5F27" w:rsidRPr="002D760F" w:rsidRDefault="001E5F27" w:rsidP="00E017B0">
            <w:pPr>
              <w:jc w:val="both"/>
              <w:rPr>
                <w:rFonts w:ascii="Arial" w:hAnsi="Arial" w:cs="Arial"/>
                <w:sz w:val="20"/>
                <w:szCs w:val="20"/>
                <w:lang w:val="en-US"/>
              </w:rPr>
            </w:pPr>
          </w:p>
        </w:tc>
      </w:tr>
      <w:tr w:rsidR="001E5F27" w:rsidRPr="002D760F" w14:paraId="69E04CBA" w14:textId="77777777" w:rsidTr="00FE6291">
        <w:tc>
          <w:tcPr>
            <w:tcW w:w="3397" w:type="dxa"/>
          </w:tcPr>
          <w:p w14:paraId="2DD9CB43" w14:textId="1995E1AA" w:rsidR="001E5F27" w:rsidRPr="002D760F" w:rsidRDefault="001E5F27" w:rsidP="00E017B0">
            <w:pPr>
              <w:jc w:val="both"/>
              <w:rPr>
                <w:rFonts w:ascii="Arial" w:hAnsi="Arial" w:cs="Arial"/>
                <w:sz w:val="20"/>
                <w:szCs w:val="20"/>
                <w:lang w:val="en-US"/>
              </w:rPr>
            </w:pPr>
            <w:r w:rsidRPr="002D760F">
              <w:rPr>
                <w:rFonts w:ascii="Arial" w:hAnsi="Arial" w:cs="Arial"/>
                <w:sz w:val="20"/>
                <w:szCs w:val="20"/>
                <w:lang w:val="en-US"/>
              </w:rPr>
              <w:t>Agriculture Activities</w:t>
            </w:r>
            <w:r w:rsidR="006123D9" w:rsidRPr="002D760F">
              <w:rPr>
                <w:rFonts w:ascii="Arial" w:hAnsi="Arial" w:cs="Arial"/>
                <w:sz w:val="20"/>
                <w:szCs w:val="20"/>
                <w:lang w:val="en-US"/>
              </w:rPr>
              <w:t xml:space="preserve"> (Ref)</w:t>
            </w:r>
          </w:p>
          <w:p w14:paraId="2EDBE2FE" w14:textId="7ADFFC8F" w:rsidR="006123D9" w:rsidRPr="002D760F" w:rsidRDefault="00F73D08" w:rsidP="00E017B0">
            <w:pPr>
              <w:jc w:val="both"/>
              <w:rPr>
                <w:rFonts w:ascii="Arial" w:hAnsi="Arial" w:cs="Arial"/>
                <w:sz w:val="20"/>
                <w:szCs w:val="20"/>
                <w:lang w:val="en-US"/>
              </w:rPr>
            </w:pPr>
            <w:r w:rsidRPr="002D760F">
              <w:rPr>
                <w:rFonts w:ascii="Arial" w:hAnsi="Arial" w:cs="Arial"/>
                <w:sz w:val="20"/>
                <w:szCs w:val="20"/>
                <w:lang w:val="en-US"/>
              </w:rPr>
              <w:t>Non-</w:t>
            </w:r>
            <w:r w:rsidR="006123D9" w:rsidRPr="002D760F">
              <w:rPr>
                <w:rFonts w:ascii="Arial" w:hAnsi="Arial" w:cs="Arial"/>
                <w:sz w:val="20"/>
                <w:szCs w:val="20"/>
                <w:lang w:val="en-US"/>
              </w:rPr>
              <w:t>Agriculture Activities</w:t>
            </w:r>
          </w:p>
        </w:tc>
        <w:tc>
          <w:tcPr>
            <w:tcW w:w="1418" w:type="dxa"/>
          </w:tcPr>
          <w:p w14:paraId="6CA248A9" w14:textId="77777777" w:rsidR="001E5F27" w:rsidRPr="002D760F" w:rsidRDefault="006123D9" w:rsidP="00E017B0">
            <w:pPr>
              <w:jc w:val="both"/>
              <w:rPr>
                <w:rFonts w:ascii="Arial" w:hAnsi="Arial" w:cs="Arial"/>
                <w:sz w:val="20"/>
                <w:szCs w:val="20"/>
                <w:lang w:val="en-US"/>
              </w:rPr>
            </w:pPr>
            <w:r w:rsidRPr="002D760F">
              <w:rPr>
                <w:rFonts w:ascii="Arial" w:hAnsi="Arial" w:cs="Arial"/>
                <w:sz w:val="20"/>
                <w:szCs w:val="20"/>
                <w:lang w:val="en-US"/>
              </w:rPr>
              <w:t>1.00</w:t>
            </w:r>
          </w:p>
          <w:p w14:paraId="449FF8CC" w14:textId="597CB65B" w:rsidR="00FE6291" w:rsidRPr="002D760F" w:rsidRDefault="00FE6291" w:rsidP="00E017B0">
            <w:pPr>
              <w:jc w:val="both"/>
              <w:rPr>
                <w:rFonts w:ascii="Arial" w:hAnsi="Arial" w:cs="Arial"/>
                <w:sz w:val="20"/>
                <w:szCs w:val="20"/>
                <w:lang w:val="en-US"/>
              </w:rPr>
            </w:pPr>
            <w:r w:rsidRPr="002D760F">
              <w:rPr>
                <w:rFonts w:ascii="Arial" w:hAnsi="Arial" w:cs="Arial"/>
                <w:sz w:val="20"/>
                <w:szCs w:val="20"/>
                <w:lang w:val="en-US"/>
              </w:rPr>
              <w:t>1.47***</w:t>
            </w:r>
          </w:p>
        </w:tc>
        <w:tc>
          <w:tcPr>
            <w:tcW w:w="1422" w:type="dxa"/>
          </w:tcPr>
          <w:p w14:paraId="70D43280" w14:textId="77777777" w:rsidR="001E5F27" w:rsidRPr="002D760F" w:rsidRDefault="001E5F27" w:rsidP="00E017B0">
            <w:pPr>
              <w:jc w:val="both"/>
              <w:rPr>
                <w:rFonts w:ascii="Arial" w:hAnsi="Arial" w:cs="Arial"/>
                <w:sz w:val="20"/>
                <w:szCs w:val="20"/>
                <w:lang w:val="en-US"/>
              </w:rPr>
            </w:pPr>
          </w:p>
          <w:p w14:paraId="481891BC" w14:textId="2E1EFEA9" w:rsidR="00F73D08" w:rsidRPr="002D760F" w:rsidRDefault="00F73D08" w:rsidP="00E017B0">
            <w:pPr>
              <w:jc w:val="both"/>
              <w:rPr>
                <w:rFonts w:ascii="Arial" w:hAnsi="Arial" w:cs="Arial"/>
                <w:sz w:val="20"/>
                <w:szCs w:val="20"/>
                <w:lang w:val="en-US"/>
              </w:rPr>
            </w:pPr>
            <w:r w:rsidRPr="002D760F">
              <w:rPr>
                <w:rFonts w:ascii="Arial" w:hAnsi="Arial" w:cs="Arial"/>
                <w:sz w:val="20"/>
                <w:szCs w:val="20"/>
                <w:lang w:val="en-US"/>
              </w:rPr>
              <w:t>1.38-1-501</w:t>
            </w:r>
          </w:p>
        </w:tc>
        <w:tc>
          <w:tcPr>
            <w:tcW w:w="1413" w:type="dxa"/>
          </w:tcPr>
          <w:p w14:paraId="5EED8116" w14:textId="77777777" w:rsidR="001E5F27" w:rsidRPr="002D760F" w:rsidRDefault="006123D9" w:rsidP="00E017B0">
            <w:pPr>
              <w:jc w:val="both"/>
              <w:rPr>
                <w:rFonts w:ascii="Arial" w:hAnsi="Arial" w:cs="Arial"/>
                <w:sz w:val="20"/>
                <w:szCs w:val="20"/>
                <w:lang w:val="en-US"/>
              </w:rPr>
            </w:pPr>
            <w:r w:rsidRPr="002D760F">
              <w:rPr>
                <w:rFonts w:ascii="Arial" w:hAnsi="Arial" w:cs="Arial"/>
                <w:sz w:val="20"/>
                <w:szCs w:val="20"/>
                <w:lang w:val="en-US"/>
              </w:rPr>
              <w:t>1.00</w:t>
            </w:r>
          </w:p>
          <w:p w14:paraId="719BBB27" w14:textId="57347DC0" w:rsidR="006123D9" w:rsidRPr="002D760F" w:rsidRDefault="006123D9" w:rsidP="00E017B0">
            <w:pPr>
              <w:jc w:val="both"/>
              <w:rPr>
                <w:rFonts w:ascii="Arial" w:hAnsi="Arial" w:cs="Arial"/>
                <w:sz w:val="20"/>
                <w:szCs w:val="20"/>
                <w:lang w:val="en-US"/>
              </w:rPr>
            </w:pPr>
            <w:r w:rsidRPr="002D760F">
              <w:rPr>
                <w:rFonts w:ascii="Arial" w:hAnsi="Arial" w:cs="Arial"/>
                <w:sz w:val="20"/>
                <w:szCs w:val="20"/>
                <w:lang w:val="en-US"/>
              </w:rPr>
              <w:t>7.261***</w:t>
            </w:r>
          </w:p>
        </w:tc>
        <w:tc>
          <w:tcPr>
            <w:tcW w:w="1366" w:type="dxa"/>
          </w:tcPr>
          <w:p w14:paraId="2A7880A3" w14:textId="77777777" w:rsidR="001E5F27" w:rsidRPr="002D760F" w:rsidRDefault="001E5F27" w:rsidP="00E017B0">
            <w:pPr>
              <w:jc w:val="both"/>
              <w:rPr>
                <w:rFonts w:ascii="Arial" w:hAnsi="Arial" w:cs="Arial"/>
                <w:sz w:val="20"/>
                <w:szCs w:val="20"/>
                <w:lang w:val="en-US"/>
              </w:rPr>
            </w:pPr>
          </w:p>
          <w:p w14:paraId="7E67A98C" w14:textId="1791152E" w:rsidR="0076057F" w:rsidRPr="002D760F" w:rsidRDefault="0076057F" w:rsidP="00E017B0">
            <w:pPr>
              <w:jc w:val="both"/>
              <w:rPr>
                <w:rFonts w:ascii="Arial" w:hAnsi="Arial" w:cs="Arial"/>
                <w:sz w:val="20"/>
                <w:szCs w:val="20"/>
                <w:lang w:val="en-US"/>
              </w:rPr>
            </w:pPr>
            <w:r w:rsidRPr="002D760F">
              <w:rPr>
                <w:rFonts w:ascii="Arial" w:hAnsi="Arial" w:cs="Arial"/>
                <w:sz w:val="20"/>
                <w:szCs w:val="20"/>
                <w:lang w:val="en-US"/>
              </w:rPr>
              <w:t>6.755-8.055</w:t>
            </w:r>
          </w:p>
        </w:tc>
      </w:tr>
      <w:tr w:rsidR="001E5F27" w:rsidRPr="002D760F" w14:paraId="7425377A" w14:textId="77777777" w:rsidTr="006123D9">
        <w:tc>
          <w:tcPr>
            <w:tcW w:w="3397" w:type="dxa"/>
          </w:tcPr>
          <w:p w14:paraId="24DC6EC2" w14:textId="05049520" w:rsidR="001E5F27" w:rsidRPr="002D760F" w:rsidRDefault="001E5F27" w:rsidP="00E017B0">
            <w:pPr>
              <w:jc w:val="both"/>
              <w:rPr>
                <w:rFonts w:ascii="Arial" w:hAnsi="Arial" w:cs="Arial"/>
                <w:sz w:val="20"/>
                <w:szCs w:val="20"/>
                <w:lang w:val="en-US"/>
              </w:rPr>
            </w:pPr>
            <w:r w:rsidRPr="002D760F">
              <w:rPr>
                <w:rFonts w:ascii="Arial" w:hAnsi="Arial" w:cs="Arial"/>
                <w:sz w:val="20"/>
                <w:szCs w:val="20"/>
                <w:lang w:val="en-US"/>
              </w:rPr>
              <w:t>Term of Loan</w:t>
            </w:r>
          </w:p>
        </w:tc>
        <w:tc>
          <w:tcPr>
            <w:tcW w:w="5619" w:type="dxa"/>
            <w:gridSpan w:val="4"/>
          </w:tcPr>
          <w:p w14:paraId="5B8ABA98" w14:textId="77777777" w:rsidR="001E5F27" w:rsidRPr="002D760F" w:rsidRDefault="001E5F27" w:rsidP="00E017B0">
            <w:pPr>
              <w:jc w:val="both"/>
              <w:rPr>
                <w:rFonts w:ascii="Arial" w:hAnsi="Arial" w:cs="Arial"/>
                <w:sz w:val="20"/>
                <w:szCs w:val="20"/>
                <w:lang w:val="en-US"/>
              </w:rPr>
            </w:pPr>
          </w:p>
        </w:tc>
      </w:tr>
      <w:tr w:rsidR="001E5F27" w:rsidRPr="002D760F" w14:paraId="29D88324" w14:textId="77777777" w:rsidTr="00FE6291">
        <w:tc>
          <w:tcPr>
            <w:tcW w:w="3397" w:type="dxa"/>
          </w:tcPr>
          <w:p w14:paraId="589D3323" w14:textId="1EB50D32" w:rsidR="001E5F27" w:rsidRPr="002D760F" w:rsidRDefault="001E5F27" w:rsidP="00E017B0">
            <w:pPr>
              <w:jc w:val="both"/>
              <w:rPr>
                <w:rFonts w:ascii="Arial" w:hAnsi="Arial" w:cs="Arial"/>
                <w:sz w:val="20"/>
                <w:szCs w:val="20"/>
                <w:lang w:val="en-US"/>
              </w:rPr>
            </w:pPr>
            <w:r w:rsidRPr="002D760F">
              <w:rPr>
                <w:rFonts w:ascii="Arial" w:hAnsi="Arial" w:cs="Arial"/>
                <w:sz w:val="20"/>
                <w:szCs w:val="20"/>
                <w:lang w:val="en-US"/>
              </w:rPr>
              <w:t xml:space="preserve">Short term loan </w:t>
            </w:r>
            <w:r w:rsidR="006123D9" w:rsidRPr="002D760F">
              <w:rPr>
                <w:rFonts w:ascii="Arial" w:hAnsi="Arial" w:cs="Arial"/>
                <w:sz w:val="20"/>
                <w:szCs w:val="20"/>
                <w:lang w:val="en-US"/>
              </w:rPr>
              <w:t>(Ref)</w:t>
            </w:r>
          </w:p>
          <w:p w14:paraId="71B0FF9C" w14:textId="77777777" w:rsidR="001E5F27" w:rsidRPr="002D760F" w:rsidRDefault="001E5F27" w:rsidP="00E017B0">
            <w:pPr>
              <w:jc w:val="both"/>
              <w:rPr>
                <w:rFonts w:ascii="Arial" w:hAnsi="Arial" w:cs="Arial"/>
                <w:sz w:val="20"/>
                <w:szCs w:val="20"/>
                <w:lang w:val="en-US"/>
              </w:rPr>
            </w:pPr>
            <w:r w:rsidRPr="002D760F">
              <w:rPr>
                <w:rFonts w:ascii="Arial" w:hAnsi="Arial" w:cs="Arial"/>
                <w:sz w:val="20"/>
                <w:szCs w:val="20"/>
                <w:lang w:val="en-US"/>
              </w:rPr>
              <w:t>Medium Term</w:t>
            </w:r>
          </w:p>
          <w:p w14:paraId="086C970F" w14:textId="3AD2184A" w:rsidR="001E5F27" w:rsidRPr="002D760F" w:rsidRDefault="001E5F27" w:rsidP="00E017B0">
            <w:pPr>
              <w:jc w:val="both"/>
              <w:rPr>
                <w:rFonts w:ascii="Arial" w:hAnsi="Arial" w:cs="Arial"/>
                <w:sz w:val="20"/>
                <w:szCs w:val="20"/>
                <w:lang w:val="en-US"/>
              </w:rPr>
            </w:pPr>
            <w:r w:rsidRPr="002D760F">
              <w:rPr>
                <w:rFonts w:ascii="Arial" w:hAnsi="Arial" w:cs="Arial"/>
                <w:sz w:val="20"/>
                <w:szCs w:val="20"/>
                <w:lang w:val="en-US"/>
              </w:rPr>
              <w:t>Long term</w:t>
            </w:r>
          </w:p>
        </w:tc>
        <w:tc>
          <w:tcPr>
            <w:tcW w:w="1418" w:type="dxa"/>
          </w:tcPr>
          <w:p w14:paraId="061F85F3" w14:textId="77777777" w:rsidR="001E5F27" w:rsidRPr="002D760F" w:rsidRDefault="006123D9" w:rsidP="00E017B0">
            <w:pPr>
              <w:jc w:val="both"/>
              <w:rPr>
                <w:rFonts w:ascii="Arial" w:hAnsi="Arial" w:cs="Arial"/>
                <w:sz w:val="20"/>
                <w:szCs w:val="20"/>
                <w:lang w:val="en-US"/>
              </w:rPr>
            </w:pPr>
            <w:r w:rsidRPr="002D760F">
              <w:rPr>
                <w:rFonts w:ascii="Arial" w:hAnsi="Arial" w:cs="Arial"/>
                <w:sz w:val="20"/>
                <w:szCs w:val="20"/>
                <w:lang w:val="en-US"/>
              </w:rPr>
              <w:t>1.00</w:t>
            </w:r>
          </w:p>
          <w:p w14:paraId="5B512506" w14:textId="50F85883" w:rsidR="00FE6291" w:rsidRPr="002D760F" w:rsidRDefault="00FE6291" w:rsidP="00E017B0">
            <w:pPr>
              <w:jc w:val="both"/>
              <w:rPr>
                <w:rFonts w:ascii="Arial" w:hAnsi="Arial" w:cs="Arial"/>
                <w:sz w:val="20"/>
                <w:szCs w:val="20"/>
                <w:lang w:val="en-US"/>
              </w:rPr>
            </w:pPr>
            <w:r w:rsidRPr="002D760F">
              <w:rPr>
                <w:rFonts w:ascii="Arial" w:hAnsi="Arial" w:cs="Arial"/>
                <w:sz w:val="20"/>
                <w:szCs w:val="20"/>
                <w:lang w:val="en-US"/>
              </w:rPr>
              <w:t>1.15***</w:t>
            </w:r>
          </w:p>
          <w:p w14:paraId="48EBCE86" w14:textId="615604F3" w:rsidR="00FE6291" w:rsidRPr="002D760F" w:rsidRDefault="00FE6291" w:rsidP="00E017B0">
            <w:pPr>
              <w:jc w:val="both"/>
              <w:rPr>
                <w:rFonts w:ascii="Arial" w:hAnsi="Arial" w:cs="Arial"/>
                <w:sz w:val="20"/>
                <w:szCs w:val="20"/>
                <w:lang w:val="en-US"/>
              </w:rPr>
            </w:pPr>
            <w:r w:rsidRPr="002D760F">
              <w:rPr>
                <w:rFonts w:ascii="Arial" w:hAnsi="Arial" w:cs="Arial"/>
                <w:sz w:val="20"/>
                <w:szCs w:val="20"/>
                <w:lang w:val="en-US"/>
              </w:rPr>
              <w:t>1.42***</w:t>
            </w:r>
          </w:p>
        </w:tc>
        <w:tc>
          <w:tcPr>
            <w:tcW w:w="1422" w:type="dxa"/>
          </w:tcPr>
          <w:p w14:paraId="38E0001D" w14:textId="77777777" w:rsidR="001E5F27" w:rsidRPr="002D760F" w:rsidRDefault="001E5F27" w:rsidP="00E017B0">
            <w:pPr>
              <w:jc w:val="both"/>
              <w:rPr>
                <w:rFonts w:ascii="Arial" w:hAnsi="Arial" w:cs="Arial"/>
                <w:sz w:val="20"/>
                <w:szCs w:val="20"/>
                <w:lang w:val="en-US"/>
              </w:rPr>
            </w:pPr>
          </w:p>
          <w:p w14:paraId="31716A4E" w14:textId="77777777" w:rsidR="00F73D08" w:rsidRPr="002D760F" w:rsidRDefault="00F73D08" w:rsidP="00E017B0">
            <w:pPr>
              <w:jc w:val="both"/>
              <w:rPr>
                <w:rFonts w:ascii="Arial" w:hAnsi="Arial" w:cs="Arial"/>
                <w:sz w:val="20"/>
                <w:szCs w:val="20"/>
                <w:lang w:val="en-US"/>
              </w:rPr>
            </w:pPr>
            <w:r w:rsidRPr="002D760F">
              <w:rPr>
                <w:rFonts w:ascii="Arial" w:hAnsi="Arial" w:cs="Arial"/>
                <w:sz w:val="20"/>
                <w:szCs w:val="20"/>
                <w:lang w:val="en-US"/>
              </w:rPr>
              <w:t>1.13-1.16</w:t>
            </w:r>
          </w:p>
          <w:p w14:paraId="195ECDBD" w14:textId="23195779" w:rsidR="00F73D08" w:rsidRPr="002D760F" w:rsidRDefault="00F73D08" w:rsidP="00E017B0">
            <w:pPr>
              <w:jc w:val="both"/>
              <w:rPr>
                <w:rFonts w:ascii="Arial" w:hAnsi="Arial" w:cs="Arial"/>
                <w:sz w:val="20"/>
                <w:szCs w:val="20"/>
                <w:lang w:val="en-US"/>
              </w:rPr>
            </w:pPr>
            <w:r w:rsidRPr="002D760F">
              <w:rPr>
                <w:rFonts w:ascii="Arial" w:hAnsi="Arial" w:cs="Arial"/>
                <w:sz w:val="20"/>
                <w:szCs w:val="20"/>
                <w:lang w:val="en-US"/>
              </w:rPr>
              <w:t>1.309-1.437</w:t>
            </w:r>
          </w:p>
        </w:tc>
        <w:tc>
          <w:tcPr>
            <w:tcW w:w="1413" w:type="dxa"/>
          </w:tcPr>
          <w:p w14:paraId="329C381A" w14:textId="77777777" w:rsidR="001E5F27" w:rsidRPr="002D760F" w:rsidRDefault="006123D9" w:rsidP="00E017B0">
            <w:pPr>
              <w:jc w:val="both"/>
              <w:rPr>
                <w:rFonts w:ascii="Arial" w:hAnsi="Arial" w:cs="Arial"/>
                <w:sz w:val="20"/>
                <w:szCs w:val="20"/>
                <w:lang w:val="en-US"/>
              </w:rPr>
            </w:pPr>
            <w:r w:rsidRPr="002D760F">
              <w:rPr>
                <w:rFonts w:ascii="Arial" w:hAnsi="Arial" w:cs="Arial"/>
                <w:sz w:val="20"/>
                <w:szCs w:val="20"/>
                <w:lang w:val="en-US"/>
              </w:rPr>
              <w:t>1.00</w:t>
            </w:r>
          </w:p>
          <w:p w14:paraId="5D2DE738" w14:textId="77777777" w:rsidR="006123D9" w:rsidRPr="002D760F" w:rsidRDefault="006123D9" w:rsidP="00E017B0">
            <w:pPr>
              <w:jc w:val="both"/>
              <w:rPr>
                <w:rFonts w:ascii="Arial" w:hAnsi="Arial" w:cs="Arial"/>
                <w:sz w:val="20"/>
                <w:szCs w:val="20"/>
                <w:lang w:val="en-US"/>
              </w:rPr>
            </w:pPr>
            <w:r w:rsidRPr="002D760F">
              <w:rPr>
                <w:rFonts w:ascii="Arial" w:hAnsi="Arial" w:cs="Arial"/>
                <w:sz w:val="20"/>
                <w:szCs w:val="20"/>
                <w:lang w:val="en-US"/>
              </w:rPr>
              <w:t>1.561***</w:t>
            </w:r>
          </w:p>
          <w:p w14:paraId="65078414" w14:textId="4DE615A2" w:rsidR="006123D9" w:rsidRPr="002D760F" w:rsidRDefault="006123D9" w:rsidP="00E017B0">
            <w:pPr>
              <w:jc w:val="both"/>
              <w:rPr>
                <w:rFonts w:ascii="Arial" w:hAnsi="Arial" w:cs="Arial"/>
                <w:sz w:val="20"/>
                <w:szCs w:val="20"/>
                <w:lang w:val="en-US"/>
              </w:rPr>
            </w:pPr>
            <w:r w:rsidRPr="002D760F">
              <w:rPr>
                <w:rFonts w:ascii="Arial" w:hAnsi="Arial" w:cs="Arial"/>
                <w:sz w:val="20"/>
                <w:szCs w:val="20"/>
                <w:lang w:val="en-US"/>
              </w:rPr>
              <w:t>1.633***</w:t>
            </w:r>
          </w:p>
        </w:tc>
        <w:tc>
          <w:tcPr>
            <w:tcW w:w="1366" w:type="dxa"/>
          </w:tcPr>
          <w:p w14:paraId="2648C8C7" w14:textId="77777777" w:rsidR="001E5F27" w:rsidRPr="002D760F" w:rsidRDefault="001E5F27" w:rsidP="00E017B0">
            <w:pPr>
              <w:jc w:val="both"/>
              <w:rPr>
                <w:rFonts w:ascii="Arial" w:hAnsi="Arial" w:cs="Arial"/>
                <w:sz w:val="20"/>
                <w:szCs w:val="20"/>
                <w:lang w:val="en-US"/>
              </w:rPr>
            </w:pPr>
          </w:p>
          <w:p w14:paraId="3B9CC4B5" w14:textId="77777777" w:rsidR="0076057F" w:rsidRPr="002D760F" w:rsidRDefault="0076057F" w:rsidP="00E017B0">
            <w:pPr>
              <w:jc w:val="both"/>
              <w:rPr>
                <w:rFonts w:ascii="Arial" w:hAnsi="Arial" w:cs="Arial"/>
                <w:sz w:val="20"/>
                <w:szCs w:val="20"/>
                <w:lang w:val="en-US"/>
              </w:rPr>
            </w:pPr>
            <w:r w:rsidRPr="002D760F">
              <w:rPr>
                <w:rFonts w:ascii="Arial" w:hAnsi="Arial" w:cs="Arial"/>
                <w:sz w:val="20"/>
                <w:szCs w:val="20"/>
                <w:lang w:val="en-US"/>
              </w:rPr>
              <w:t>1.442-1.69</w:t>
            </w:r>
          </w:p>
          <w:p w14:paraId="6C62EAD9" w14:textId="42FA2ABA" w:rsidR="0076057F" w:rsidRPr="002D760F" w:rsidRDefault="0076057F" w:rsidP="00E017B0">
            <w:pPr>
              <w:jc w:val="both"/>
              <w:rPr>
                <w:rFonts w:ascii="Arial" w:hAnsi="Arial" w:cs="Arial"/>
                <w:sz w:val="20"/>
                <w:szCs w:val="20"/>
                <w:lang w:val="en-US"/>
              </w:rPr>
            </w:pPr>
            <w:r w:rsidRPr="002D760F">
              <w:rPr>
                <w:rFonts w:ascii="Arial" w:hAnsi="Arial" w:cs="Arial"/>
                <w:sz w:val="20"/>
                <w:szCs w:val="20"/>
                <w:lang w:val="en-US"/>
              </w:rPr>
              <w:t>1.504-1.773</w:t>
            </w:r>
          </w:p>
        </w:tc>
      </w:tr>
    </w:tbl>
    <w:tbl>
      <w:tblPr>
        <w:tblW w:w="0" w:type="auto"/>
        <w:tblInd w:w="-108" w:type="dxa"/>
        <w:tblLayout w:type="fixed"/>
        <w:tblLook w:val="0000" w:firstRow="0" w:lastRow="0" w:firstColumn="0" w:lastColumn="0" w:noHBand="0" w:noVBand="0"/>
      </w:tblPr>
      <w:tblGrid>
        <w:gridCol w:w="8858"/>
      </w:tblGrid>
      <w:tr w:rsidR="00F73D08" w:rsidRPr="002D760F" w14:paraId="0738CF65" w14:textId="77777777" w:rsidTr="00F73D08">
        <w:tc>
          <w:tcPr>
            <w:tcW w:w="8858" w:type="dxa"/>
            <w:tcBorders>
              <w:top w:val="single" w:sz="6" w:space="0" w:color="auto"/>
              <w:left w:val="nil"/>
              <w:bottom w:val="nil"/>
              <w:right w:val="nil"/>
            </w:tcBorders>
          </w:tcPr>
          <w:p w14:paraId="1E2B8923" w14:textId="77777777" w:rsidR="00F73D08" w:rsidRPr="002D760F" w:rsidRDefault="00F73D08" w:rsidP="00231BBF">
            <w:pPr>
              <w:widowControl w:val="0"/>
              <w:autoSpaceDE w:val="0"/>
              <w:autoSpaceDN w:val="0"/>
              <w:adjustRightInd w:val="0"/>
              <w:spacing w:after="0" w:line="240" w:lineRule="auto"/>
              <w:rPr>
                <w:rFonts w:ascii="Arial" w:hAnsi="Arial" w:cs="Arial"/>
                <w:kern w:val="0"/>
                <w:sz w:val="20"/>
                <w:lang w:val="en-US"/>
              </w:rPr>
            </w:pPr>
            <w:r w:rsidRPr="002D760F">
              <w:rPr>
                <w:rFonts w:ascii="Arial" w:hAnsi="Arial" w:cs="Arial"/>
                <w:i/>
                <w:iCs/>
                <w:kern w:val="0"/>
                <w:sz w:val="20"/>
                <w:lang w:val="en-US"/>
              </w:rPr>
              <w:t>*** p&lt;.01, ** p&lt;.05, * p&lt;.1</w:t>
            </w:r>
          </w:p>
        </w:tc>
      </w:tr>
    </w:tbl>
    <w:bookmarkEnd w:id="3"/>
    <w:p w14:paraId="019B4E86" w14:textId="3089E4FD" w:rsidR="001311E1" w:rsidRPr="002D760F" w:rsidRDefault="00E702A0" w:rsidP="002E2057">
      <w:pPr>
        <w:spacing w:line="360" w:lineRule="auto"/>
        <w:jc w:val="both"/>
        <w:rPr>
          <w:rFonts w:ascii="Arial" w:hAnsi="Arial" w:cs="Arial"/>
          <w:sz w:val="24"/>
          <w:szCs w:val="24"/>
        </w:rPr>
      </w:pPr>
      <w:r>
        <w:rPr>
          <w:rFonts w:ascii="Arial" w:hAnsi="Arial" w:cs="Arial"/>
          <w:sz w:val="20"/>
          <w:szCs w:val="20"/>
          <w:lang w:val="en-US"/>
        </w:rPr>
        <w:t>Source: Author’s calculations based on NSSO unit level Data, 70</w:t>
      </w:r>
      <w:r w:rsidRPr="00E702A0">
        <w:rPr>
          <w:rFonts w:ascii="Arial" w:hAnsi="Arial" w:cs="Arial"/>
          <w:sz w:val="20"/>
          <w:szCs w:val="20"/>
          <w:vertAlign w:val="superscript"/>
          <w:lang w:val="en-US"/>
        </w:rPr>
        <w:t>th</w:t>
      </w:r>
      <w:r>
        <w:rPr>
          <w:rFonts w:ascii="Arial" w:hAnsi="Arial" w:cs="Arial"/>
          <w:sz w:val="20"/>
          <w:szCs w:val="20"/>
          <w:lang w:val="en-US"/>
        </w:rPr>
        <w:t xml:space="preserve"> and 77</w:t>
      </w:r>
      <w:r w:rsidRPr="00E702A0">
        <w:rPr>
          <w:rFonts w:ascii="Arial" w:hAnsi="Arial" w:cs="Arial"/>
          <w:sz w:val="20"/>
          <w:szCs w:val="20"/>
          <w:vertAlign w:val="superscript"/>
          <w:lang w:val="en-US"/>
        </w:rPr>
        <w:t>th</w:t>
      </w:r>
      <w:r>
        <w:rPr>
          <w:rFonts w:ascii="Arial" w:hAnsi="Arial" w:cs="Arial"/>
          <w:sz w:val="20"/>
          <w:szCs w:val="20"/>
          <w:lang w:val="en-US"/>
        </w:rPr>
        <w:t xml:space="preserve"> round</w:t>
      </w:r>
    </w:p>
    <w:p w14:paraId="5349B6D1" w14:textId="6B563833" w:rsidR="00E81220" w:rsidRPr="002D760F" w:rsidRDefault="001311E1" w:rsidP="001311E1">
      <w:pPr>
        <w:spacing w:line="360" w:lineRule="auto"/>
        <w:jc w:val="both"/>
        <w:rPr>
          <w:rFonts w:ascii="Arial" w:hAnsi="Arial" w:cs="Arial"/>
          <w:sz w:val="20"/>
          <w:szCs w:val="20"/>
        </w:rPr>
      </w:pPr>
      <w:r w:rsidRPr="002D760F">
        <w:rPr>
          <w:rFonts w:ascii="Arial" w:hAnsi="Arial" w:cs="Arial"/>
          <w:sz w:val="20"/>
          <w:szCs w:val="20"/>
        </w:rPr>
        <w:t>The gender dimension presents an intriguing reversal, transitioning from male advantage (OR=1.09) to female advantage (OR=0.785), potentially reflecting policy interventions targeting gender-based financial inclusion</w:t>
      </w:r>
      <w:r w:rsidR="00077889" w:rsidRPr="002D760F">
        <w:rPr>
          <w:rFonts w:ascii="Arial" w:hAnsi="Arial" w:cs="Arial"/>
          <w:sz w:val="20"/>
          <w:szCs w:val="20"/>
        </w:rPr>
        <w:t xml:space="preserve"> </w:t>
      </w:r>
      <w:sdt>
        <w:sdtPr>
          <w:rPr>
            <w:rFonts w:ascii="Arial" w:hAnsi="Arial" w:cs="Arial"/>
            <w:sz w:val="20"/>
            <w:szCs w:val="20"/>
          </w:rPr>
          <w:id w:val="1175838052"/>
          <w:citation/>
        </w:sdtPr>
        <w:sdtEndPr/>
        <w:sdtContent>
          <w:r w:rsidR="003058BE" w:rsidRPr="002D760F">
            <w:rPr>
              <w:rFonts w:ascii="Arial" w:hAnsi="Arial" w:cs="Arial"/>
              <w:sz w:val="20"/>
              <w:szCs w:val="20"/>
            </w:rPr>
            <w:fldChar w:fldCharType="begin"/>
          </w:r>
          <w:r w:rsidR="003058BE" w:rsidRPr="002D760F">
            <w:rPr>
              <w:rFonts w:ascii="Arial" w:hAnsi="Arial" w:cs="Arial"/>
              <w:sz w:val="20"/>
              <w:szCs w:val="20"/>
            </w:rPr>
            <w:instrText xml:space="preserve"> CITATION Cha20 \l 16393 </w:instrText>
          </w:r>
          <w:r w:rsidR="003058BE" w:rsidRPr="002D760F">
            <w:rPr>
              <w:rFonts w:ascii="Arial" w:hAnsi="Arial" w:cs="Arial"/>
              <w:sz w:val="20"/>
              <w:szCs w:val="20"/>
            </w:rPr>
            <w:fldChar w:fldCharType="separate"/>
          </w:r>
          <w:r w:rsidR="003058BE" w:rsidRPr="002D760F">
            <w:rPr>
              <w:rFonts w:ascii="Arial" w:hAnsi="Arial" w:cs="Arial"/>
              <w:noProof/>
              <w:sz w:val="20"/>
              <w:szCs w:val="20"/>
            </w:rPr>
            <w:t>(Chavan, 2020)</w:t>
          </w:r>
          <w:r w:rsidR="003058BE" w:rsidRPr="002D760F">
            <w:rPr>
              <w:rFonts w:ascii="Arial" w:hAnsi="Arial" w:cs="Arial"/>
              <w:sz w:val="20"/>
              <w:szCs w:val="20"/>
            </w:rPr>
            <w:fldChar w:fldCharType="end"/>
          </w:r>
        </w:sdtContent>
      </w:sdt>
      <w:r w:rsidRPr="002D760F">
        <w:rPr>
          <w:rFonts w:ascii="Arial" w:hAnsi="Arial" w:cs="Arial"/>
          <w:sz w:val="20"/>
          <w:szCs w:val="20"/>
        </w:rPr>
        <w:t>. Asset ownership, particularly land, demonstrates increasing significance (OR rising from 1.514 to 1.80), while income stratification reveals widening disparities, with the highest income quintile showing substantially improved odds (OR increasing from 1.410 to 1.9) compared to the lowest quintile.</w:t>
      </w:r>
      <w:r w:rsidR="00E81220" w:rsidRPr="002D760F">
        <w:rPr>
          <w:rFonts w:ascii="Arial" w:hAnsi="Arial" w:cs="Arial"/>
          <w:sz w:val="20"/>
          <w:szCs w:val="20"/>
        </w:rPr>
        <w:t xml:space="preserve"> </w:t>
      </w:r>
      <w:r w:rsidRPr="002D760F">
        <w:rPr>
          <w:rFonts w:ascii="Arial" w:hAnsi="Arial" w:cs="Arial"/>
          <w:sz w:val="20"/>
          <w:szCs w:val="20"/>
        </w:rPr>
        <w:t xml:space="preserve">Loan characteristic analysis reveals a marked shift toward non-agricultural lending (OR increasing dramatically from 1.47 to 7.261) and a preference for extended loan tenures, with both medium and long-term credit facilities showing enhanced probability ratios. Age stratification indicates higher credit access probability among mature cohorts (above 45 years), suggesting the influence of established credit histories and asset accumulation. </w:t>
      </w:r>
    </w:p>
    <w:p w14:paraId="51CFBD78" w14:textId="2A95B033" w:rsidR="001311E1" w:rsidRPr="002D760F" w:rsidRDefault="001311E1" w:rsidP="001311E1">
      <w:pPr>
        <w:spacing w:line="360" w:lineRule="auto"/>
        <w:jc w:val="both"/>
        <w:rPr>
          <w:rFonts w:ascii="Arial" w:hAnsi="Arial" w:cs="Arial"/>
          <w:sz w:val="20"/>
          <w:szCs w:val="20"/>
        </w:rPr>
      </w:pPr>
      <w:r w:rsidRPr="002D760F">
        <w:rPr>
          <w:rFonts w:ascii="Arial" w:hAnsi="Arial" w:cs="Arial"/>
          <w:sz w:val="20"/>
          <w:szCs w:val="20"/>
        </w:rPr>
        <w:t>These findings underscore the complex interplay of socio-economic factors in determining credit accessibility, highlighting both persistent structural inequalities and evolving patterns of financial inclusion</w:t>
      </w:r>
      <w:r w:rsidR="00077889" w:rsidRPr="002D760F">
        <w:rPr>
          <w:rFonts w:ascii="Arial" w:hAnsi="Arial" w:cs="Arial"/>
          <w:sz w:val="20"/>
          <w:szCs w:val="20"/>
        </w:rPr>
        <w:t xml:space="preserve"> </w:t>
      </w:r>
      <w:sdt>
        <w:sdtPr>
          <w:rPr>
            <w:rFonts w:ascii="Arial" w:hAnsi="Arial" w:cs="Arial"/>
            <w:sz w:val="20"/>
            <w:szCs w:val="20"/>
          </w:rPr>
          <w:id w:val="-1711643729"/>
          <w:citation/>
        </w:sdtPr>
        <w:sdtEndPr/>
        <w:sdtContent>
          <w:r w:rsidR="00C10F49" w:rsidRPr="002D760F">
            <w:rPr>
              <w:rFonts w:ascii="Arial" w:hAnsi="Arial" w:cs="Arial"/>
              <w:sz w:val="20"/>
              <w:szCs w:val="20"/>
            </w:rPr>
            <w:fldChar w:fldCharType="begin"/>
          </w:r>
          <w:r w:rsidR="00C10F49" w:rsidRPr="002D760F">
            <w:rPr>
              <w:rFonts w:ascii="Arial" w:hAnsi="Arial" w:cs="Arial"/>
              <w:sz w:val="20"/>
              <w:szCs w:val="20"/>
            </w:rPr>
            <w:instrText xml:space="preserve"> CITATION Kar20 \l 16393 </w:instrText>
          </w:r>
          <w:r w:rsidR="00C10F49" w:rsidRPr="002D760F">
            <w:rPr>
              <w:rFonts w:ascii="Arial" w:hAnsi="Arial" w:cs="Arial"/>
              <w:sz w:val="20"/>
              <w:szCs w:val="20"/>
            </w:rPr>
            <w:fldChar w:fldCharType="separate"/>
          </w:r>
          <w:r w:rsidR="00C10F49" w:rsidRPr="002D760F">
            <w:rPr>
              <w:rFonts w:ascii="Arial" w:hAnsi="Arial" w:cs="Arial"/>
              <w:noProof/>
              <w:sz w:val="20"/>
              <w:szCs w:val="20"/>
            </w:rPr>
            <w:t>( Karthick &amp; Madheswaran, 2020)</w:t>
          </w:r>
          <w:r w:rsidR="00C10F49" w:rsidRPr="002D760F">
            <w:rPr>
              <w:rFonts w:ascii="Arial" w:hAnsi="Arial" w:cs="Arial"/>
              <w:sz w:val="20"/>
              <w:szCs w:val="20"/>
            </w:rPr>
            <w:fldChar w:fldCharType="end"/>
          </w:r>
        </w:sdtContent>
      </w:sdt>
      <w:r w:rsidRPr="002D760F">
        <w:rPr>
          <w:rFonts w:ascii="Arial" w:hAnsi="Arial" w:cs="Arial"/>
          <w:sz w:val="20"/>
          <w:szCs w:val="20"/>
        </w:rPr>
        <w:t>. The analysis provides crucial insights for policy formulation aimed at addressing systematic disparities in credit access across various demographic segments.</w:t>
      </w:r>
    </w:p>
    <w:p w14:paraId="38A3A3E9" w14:textId="3B08DD48" w:rsidR="004D53E1" w:rsidRPr="002D760F" w:rsidRDefault="00BB1236" w:rsidP="00BB1236">
      <w:pPr>
        <w:spacing w:line="360" w:lineRule="auto"/>
        <w:rPr>
          <w:rFonts w:ascii="Arial" w:hAnsi="Arial" w:cs="Arial"/>
          <w:b/>
          <w:bCs/>
          <w:lang w:val="en-US"/>
        </w:rPr>
      </w:pPr>
      <w:r w:rsidRPr="002D760F">
        <w:rPr>
          <w:rFonts w:ascii="Arial" w:hAnsi="Arial" w:cs="Arial"/>
          <w:b/>
          <w:bCs/>
          <w:lang w:val="en-US"/>
        </w:rPr>
        <w:t xml:space="preserve">DISCUSSION AND CONCLUSION </w:t>
      </w:r>
    </w:p>
    <w:p w14:paraId="1015A782" w14:textId="492BD024" w:rsidR="00F272A5" w:rsidRPr="002D760F" w:rsidRDefault="00F272A5" w:rsidP="00F272A5">
      <w:pPr>
        <w:spacing w:line="360" w:lineRule="auto"/>
        <w:jc w:val="both"/>
        <w:rPr>
          <w:rFonts w:ascii="Arial" w:hAnsi="Arial" w:cs="Arial"/>
          <w:sz w:val="20"/>
          <w:szCs w:val="20"/>
          <w:lang w:val="en-US"/>
        </w:rPr>
      </w:pPr>
      <w:r w:rsidRPr="002D760F">
        <w:rPr>
          <w:rFonts w:ascii="Arial" w:hAnsi="Arial" w:cs="Arial"/>
          <w:sz w:val="20"/>
          <w:szCs w:val="20"/>
          <w:lang w:val="en-US"/>
        </w:rPr>
        <w:t>The comparative analysis of NSSO data from 2012-13 and 2018-19 reveals significant transformations in India's rural credit landscape while also highlighting persistent structural challenges. The findings demonstrate that literacy continues to be a crucial determinant of institutional credit access, suggesting that educational attainment serves as both an enabler of financial literacy and a facilitator of formal credit engagement</w:t>
      </w:r>
      <w:sdt>
        <w:sdtPr>
          <w:rPr>
            <w:rFonts w:ascii="Arial" w:hAnsi="Arial" w:cs="Arial"/>
            <w:sz w:val="20"/>
            <w:szCs w:val="20"/>
            <w:lang w:val="en-US"/>
          </w:rPr>
          <w:id w:val="1649787195"/>
          <w:citation/>
        </w:sdtPr>
        <w:sdtEndPr/>
        <w:sdtContent>
          <w:r w:rsidR="00590541" w:rsidRPr="002D760F">
            <w:rPr>
              <w:rFonts w:ascii="Arial" w:hAnsi="Arial" w:cs="Arial"/>
              <w:sz w:val="20"/>
              <w:szCs w:val="20"/>
              <w:lang w:val="en-US"/>
            </w:rPr>
            <w:fldChar w:fldCharType="begin"/>
          </w:r>
          <w:r w:rsidR="00590541" w:rsidRPr="002D760F">
            <w:rPr>
              <w:rFonts w:ascii="Arial" w:hAnsi="Arial" w:cs="Arial"/>
              <w:sz w:val="20"/>
              <w:szCs w:val="20"/>
            </w:rPr>
            <w:instrText xml:space="preserve"> CITATION Das23 \l 16393 </w:instrText>
          </w:r>
          <w:r w:rsidR="00590541" w:rsidRPr="002D760F">
            <w:rPr>
              <w:rFonts w:ascii="Arial" w:hAnsi="Arial" w:cs="Arial"/>
              <w:sz w:val="20"/>
              <w:szCs w:val="20"/>
              <w:lang w:val="en-US"/>
            </w:rPr>
            <w:fldChar w:fldCharType="separate"/>
          </w:r>
          <w:r w:rsidR="00590541" w:rsidRPr="002D760F">
            <w:rPr>
              <w:rFonts w:ascii="Arial" w:hAnsi="Arial" w:cs="Arial"/>
              <w:noProof/>
              <w:sz w:val="20"/>
              <w:szCs w:val="20"/>
            </w:rPr>
            <w:t xml:space="preserve"> (Dash &amp; Ranjan, 2023)</w:t>
          </w:r>
          <w:r w:rsidR="00590541" w:rsidRPr="002D760F">
            <w:rPr>
              <w:rFonts w:ascii="Arial" w:hAnsi="Arial" w:cs="Arial"/>
              <w:sz w:val="20"/>
              <w:szCs w:val="20"/>
              <w:lang w:val="en-US"/>
            </w:rPr>
            <w:fldChar w:fldCharType="end"/>
          </w:r>
        </w:sdtContent>
      </w:sdt>
      <w:r w:rsidRPr="002D760F">
        <w:rPr>
          <w:rFonts w:ascii="Arial" w:hAnsi="Arial" w:cs="Arial"/>
          <w:sz w:val="20"/>
          <w:szCs w:val="20"/>
          <w:lang w:val="en-US"/>
        </w:rPr>
        <w:t>. A noteworthy development is the shifting pattern in gender-based credit accessibility, indicating potential progress in financial inclusion efforts targeted at women borrowers</w:t>
      </w:r>
      <w:sdt>
        <w:sdtPr>
          <w:rPr>
            <w:rFonts w:ascii="Arial" w:hAnsi="Arial" w:cs="Arial"/>
            <w:sz w:val="20"/>
            <w:szCs w:val="20"/>
            <w:lang w:val="en-US"/>
          </w:rPr>
          <w:id w:val="1115952935"/>
          <w:citation/>
        </w:sdtPr>
        <w:sdtEndPr/>
        <w:sdtContent>
          <w:r w:rsidR="00F95EBD" w:rsidRPr="002D760F">
            <w:rPr>
              <w:rFonts w:ascii="Arial" w:hAnsi="Arial" w:cs="Arial"/>
              <w:sz w:val="20"/>
              <w:szCs w:val="20"/>
              <w:lang w:val="en-US"/>
            </w:rPr>
            <w:fldChar w:fldCharType="begin"/>
          </w:r>
          <w:r w:rsidR="00F95EBD" w:rsidRPr="002D760F">
            <w:rPr>
              <w:rFonts w:ascii="Arial" w:hAnsi="Arial" w:cs="Arial"/>
              <w:sz w:val="20"/>
              <w:szCs w:val="20"/>
            </w:rPr>
            <w:instrText xml:space="preserve"> CITATION Cha20 \l 16393 </w:instrText>
          </w:r>
          <w:r w:rsidR="00F95EBD" w:rsidRPr="002D760F">
            <w:rPr>
              <w:rFonts w:ascii="Arial" w:hAnsi="Arial" w:cs="Arial"/>
              <w:sz w:val="20"/>
              <w:szCs w:val="20"/>
              <w:lang w:val="en-US"/>
            </w:rPr>
            <w:fldChar w:fldCharType="separate"/>
          </w:r>
          <w:r w:rsidR="00F95EBD" w:rsidRPr="002D760F">
            <w:rPr>
              <w:rFonts w:ascii="Arial" w:hAnsi="Arial" w:cs="Arial"/>
              <w:noProof/>
              <w:sz w:val="20"/>
              <w:szCs w:val="20"/>
            </w:rPr>
            <w:t xml:space="preserve"> (Chavan, 2020)</w:t>
          </w:r>
          <w:r w:rsidR="00F95EBD" w:rsidRPr="002D760F">
            <w:rPr>
              <w:rFonts w:ascii="Arial" w:hAnsi="Arial" w:cs="Arial"/>
              <w:sz w:val="20"/>
              <w:szCs w:val="20"/>
              <w:lang w:val="en-US"/>
            </w:rPr>
            <w:fldChar w:fldCharType="end"/>
          </w:r>
        </w:sdtContent>
      </w:sdt>
      <w:r w:rsidRPr="002D760F">
        <w:rPr>
          <w:rFonts w:ascii="Arial" w:hAnsi="Arial" w:cs="Arial"/>
          <w:sz w:val="20"/>
          <w:szCs w:val="20"/>
          <w:lang w:val="en-US"/>
        </w:rPr>
        <w:t xml:space="preserve"> The research underscores the complex interplay of socio-economic factors, including social category, household type, bank account ownership, loan tenure, loan purpose, and income levels, in determining credit access patterns</w:t>
      </w:r>
      <w:sdt>
        <w:sdtPr>
          <w:rPr>
            <w:rFonts w:ascii="Arial" w:hAnsi="Arial" w:cs="Arial"/>
            <w:sz w:val="20"/>
            <w:szCs w:val="20"/>
            <w:lang w:val="en-US"/>
          </w:rPr>
          <w:id w:val="632300105"/>
          <w:citation/>
        </w:sdtPr>
        <w:sdtEndPr/>
        <w:sdtContent>
          <w:r w:rsidR="0015154C" w:rsidRPr="002D760F">
            <w:rPr>
              <w:rFonts w:ascii="Arial" w:hAnsi="Arial" w:cs="Arial"/>
              <w:sz w:val="20"/>
              <w:szCs w:val="20"/>
              <w:lang w:val="en-US"/>
            </w:rPr>
            <w:fldChar w:fldCharType="begin"/>
          </w:r>
          <w:r w:rsidR="0015154C" w:rsidRPr="002D760F">
            <w:rPr>
              <w:rFonts w:ascii="Arial" w:hAnsi="Arial" w:cs="Arial"/>
              <w:sz w:val="20"/>
              <w:szCs w:val="20"/>
            </w:rPr>
            <w:instrText xml:space="preserve"> CITATION Kar20 \l 16393 </w:instrText>
          </w:r>
          <w:r w:rsidR="0015154C" w:rsidRPr="002D760F">
            <w:rPr>
              <w:rFonts w:ascii="Arial" w:hAnsi="Arial" w:cs="Arial"/>
              <w:sz w:val="20"/>
              <w:szCs w:val="20"/>
              <w:lang w:val="en-US"/>
            </w:rPr>
            <w:fldChar w:fldCharType="separate"/>
          </w:r>
          <w:r w:rsidR="0015154C" w:rsidRPr="002D760F">
            <w:rPr>
              <w:rFonts w:ascii="Arial" w:hAnsi="Arial" w:cs="Arial"/>
              <w:noProof/>
              <w:sz w:val="20"/>
              <w:szCs w:val="20"/>
            </w:rPr>
            <w:t xml:space="preserve"> ( Karthick &amp; Madheswaran, 2020)</w:t>
          </w:r>
          <w:r w:rsidR="0015154C" w:rsidRPr="002D760F">
            <w:rPr>
              <w:rFonts w:ascii="Arial" w:hAnsi="Arial" w:cs="Arial"/>
              <w:sz w:val="20"/>
              <w:szCs w:val="20"/>
              <w:lang w:val="en-US"/>
            </w:rPr>
            <w:fldChar w:fldCharType="end"/>
          </w:r>
        </w:sdtContent>
      </w:sdt>
      <w:r w:rsidR="0015154C" w:rsidRPr="002D760F">
        <w:rPr>
          <w:rFonts w:ascii="Arial" w:hAnsi="Arial" w:cs="Arial"/>
          <w:sz w:val="20"/>
          <w:szCs w:val="20"/>
          <w:lang w:val="en-US"/>
        </w:rPr>
        <w:t>.</w:t>
      </w:r>
      <w:r w:rsidRPr="002D760F">
        <w:rPr>
          <w:rFonts w:ascii="Arial" w:hAnsi="Arial" w:cs="Arial"/>
          <w:sz w:val="20"/>
          <w:szCs w:val="20"/>
          <w:lang w:val="en-US"/>
        </w:rPr>
        <w:t xml:space="preserve"> The temporal comparison between the two NSSO rounds illuminates how these determinants have evolved, reflecting both policy interventions and changing social dynamics. The persistence of credit access disparities among marginalized groups, despite various policy initiatives, suggests that structural barriers continue to impede the goal of equitable financial inclusion.</w:t>
      </w:r>
    </w:p>
    <w:p w14:paraId="128E6DCD" w14:textId="29AEFED7" w:rsidR="004D53E1" w:rsidRPr="002D760F" w:rsidRDefault="00F272A5" w:rsidP="00F272A5">
      <w:pPr>
        <w:spacing w:line="360" w:lineRule="auto"/>
        <w:jc w:val="both"/>
        <w:rPr>
          <w:rFonts w:ascii="Arial" w:hAnsi="Arial" w:cs="Arial"/>
          <w:sz w:val="20"/>
          <w:szCs w:val="20"/>
          <w:lang w:val="en-US"/>
        </w:rPr>
      </w:pPr>
      <w:r w:rsidRPr="002D760F">
        <w:rPr>
          <w:rFonts w:ascii="Arial" w:hAnsi="Arial" w:cs="Arial"/>
          <w:sz w:val="20"/>
          <w:szCs w:val="20"/>
          <w:lang w:val="en-US"/>
        </w:rPr>
        <w:lastRenderedPageBreak/>
        <w:t>This study makes a significant contribution to understanding the evolving dynamics of rural credit accessibility in India and the persistent challenges in achieving equitable financial inclusion. The findings emphasize that while there has been progress in certain areas, such as gender-based credit access, substantial disparities continue to exist along socio-economic lines</w:t>
      </w:r>
      <w:sdt>
        <w:sdtPr>
          <w:rPr>
            <w:rFonts w:ascii="Arial" w:hAnsi="Arial" w:cs="Arial"/>
            <w:sz w:val="20"/>
            <w:szCs w:val="20"/>
            <w:lang w:val="en-US"/>
          </w:rPr>
          <w:id w:val="33088114"/>
          <w:citation/>
        </w:sdtPr>
        <w:sdtEndPr/>
        <w:sdtContent>
          <w:r w:rsidR="00CA6CAB" w:rsidRPr="002D760F">
            <w:rPr>
              <w:rFonts w:ascii="Arial" w:hAnsi="Arial" w:cs="Arial"/>
              <w:sz w:val="20"/>
              <w:szCs w:val="20"/>
              <w:lang w:val="en-US"/>
            </w:rPr>
            <w:fldChar w:fldCharType="begin"/>
          </w:r>
          <w:r w:rsidR="00CA6CAB" w:rsidRPr="002D760F">
            <w:rPr>
              <w:rFonts w:ascii="Arial" w:hAnsi="Arial" w:cs="Arial"/>
              <w:sz w:val="20"/>
              <w:szCs w:val="20"/>
            </w:rPr>
            <w:instrText xml:space="preserve"> CITATION Kar20 \l 16393 </w:instrText>
          </w:r>
          <w:r w:rsidR="00CA6CAB" w:rsidRPr="002D760F">
            <w:rPr>
              <w:rFonts w:ascii="Arial" w:hAnsi="Arial" w:cs="Arial"/>
              <w:sz w:val="20"/>
              <w:szCs w:val="20"/>
              <w:lang w:val="en-US"/>
            </w:rPr>
            <w:fldChar w:fldCharType="separate"/>
          </w:r>
          <w:r w:rsidR="00CA6CAB" w:rsidRPr="002D760F">
            <w:rPr>
              <w:rFonts w:ascii="Arial" w:hAnsi="Arial" w:cs="Arial"/>
              <w:noProof/>
              <w:sz w:val="20"/>
              <w:szCs w:val="20"/>
            </w:rPr>
            <w:t xml:space="preserve"> ( Karthick &amp; Madheswaran, 2020)</w:t>
          </w:r>
          <w:r w:rsidR="00CA6CAB" w:rsidRPr="002D760F">
            <w:rPr>
              <w:rFonts w:ascii="Arial" w:hAnsi="Arial" w:cs="Arial"/>
              <w:sz w:val="20"/>
              <w:szCs w:val="20"/>
              <w:lang w:val="en-US"/>
            </w:rPr>
            <w:fldChar w:fldCharType="end"/>
          </w:r>
        </w:sdtContent>
      </w:sdt>
      <w:r w:rsidRPr="002D760F">
        <w:rPr>
          <w:rFonts w:ascii="Arial" w:hAnsi="Arial" w:cs="Arial"/>
          <w:sz w:val="20"/>
          <w:szCs w:val="20"/>
          <w:lang w:val="en-US"/>
        </w:rPr>
        <w:t xml:space="preserve"> The research highlights the critical need for more nuanced and targeted policy interventions that specifically address the barriers faced by marginalized communities in accessing institutional credit. Future policy frameworks should consider the multidimensional nature of credit accessibility, incorporating factors such as literacy, social category, and household characteristics. The temporal changes observed between 2012-13 and 2018-19 suggest that while policy initiatives have had some positive impacts, there remains considerable scope for improving the effectiveness of credit delivery mechanisms. This study's findings can serve as a valuable foundation for policymakers in designing more inclusive and effective rural credit policies that better serve diverse populations at the grassroots level</w:t>
      </w:r>
      <w:sdt>
        <w:sdtPr>
          <w:rPr>
            <w:rFonts w:ascii="Arial" w:hAnsi="Arial" w:cs="Arial"/>
            <w:sz w:val="20"/>
            <w:szCs w:val="20"/>
            <w:lang w:val="en-US"/>
          </w:rPr>
          <w:id w:val="1315455919"/>
          <w:citation/>
        </w:sdtPr>
        <w:sdtEndPr/>
        <w:sdtContent>
          <w:r w:rsidR="008F4E0B" w:rsidRPr="002D760F">
            <w:rPr>
              <w:rFonts w:ascii="Arial" w:hAnsi="Arial" w:cs="Arial"/>
              <w:sz w:val="20"/>
              <w:szCs w:val="20"/>
              <w:lang w:val="en-US"/>
            </w:rPr>
            <w:fldChar w:fldCharType="begin"/>
          </w:r>
          <w:r w:rsidR="008F4E0B" w:rsidRPr="002D760F">
            <w:rPr>
              <w:rFonts w:ascii="Arial" w:hAnsi="Arial" w:cs="Arial"/>
              <w:sz w:val="20"/>
              <w:szCs w:val="20"/>
            </w:rPr>
            <w:instrText xml:space="preserve"> CITATION Kum22 \l 16393 </w:instrText>
          </w:r>
          <w:r w:rsidR="008F4E0B" w:rsidRPr="002D760F">
            <w:rPr>
              <w:rFonts w:ascii="Arial" w:hAnsi="Arial" w:cs="Arial"/>
              <w:sz w:val="20"/>
              <w:szCs w:val="20"/>
              <w:lang w:val="en-US"/>
            </w:rPr>
            <w:fldChar w:fldCharType="separate"/>
          </w:r>
          <w:r w:rsidR="008F4E0B" w:rsidRPr="002D760F">
            <w:rPr>
              <w:rFonts w:ascii="Arial" w:hAnsi="Arial" w:cs="Arial"/>
              <w:noProof/>
              <w:sz w:val="20"/>
              <w:szCs w:val="20"/>
            </w:rPr>
            <w:t xml:space="preserve"> (Kumar &amp; Afroz, 2022)</w:t>
          </w:r>
          <w:r w:rsidR="008F4E0B" w:rsidRPr="002D760F">
            <w:rPr>
              <w:rFonts w:ascii="Arial" w:hAnsi="Arial" w:cs="Arial"/>
              <w:sz w:val="20"/>
              <w:szCs w:val="20"/>
              <w:lang w:val="en-US"/>
            </w:rPr>
            <w:fldChar w:fldCharType="end"/>
          </w:r>
        </w:sdtContent>
      </w:sdt>
      <w:r w:rsidR="00077889" w:rsidRPr="002D760F">
        <w:rPr>
          <w:rFonts w:ascii="Arial" w:hAnsi="Arial" w:cs="Arial"/>
          <w:sz w:val="20"/>
          <w:szCs w:val="20"/>
          <w:lang w:val="en-US"/>
        </w:rPr>
        <w:t xml:space="preserve"> </w:t>
      </w:r>
      <w:r w:rsidR="008F4E0B" w:rsidRPr="002D760F">
        <w:rPr>
          <w:rFonts w:ascii="Arial" w:hAnsi="Arial" w:cs="Arial"/>
          <w:sz w:val="20"/>
          <w:szCs w:val="20"/>
          <w:lang w:val="en-US"/>
        </w:rPr>
        <w:t>.</w:t>
      </w:r>
      <w:r w:rsidRPr="002D760F">
        <w:rPr>
          <w:rFonts w:ascii="Arial" w:hAnsi="Arial" w:cs="Arial"/>
          <w:sz w:val="20"/>
          <w:szCs w:val="20"/>
          <w:lang w:val="en-US"/>
        </w:rPr>
        <w:t>Further research could focus on evaluating the effectiveness of specific policy interventions and identifying innovative approaches to bridge the remaining gaps in credit accessibility.</w:t>
      </w:r>
    </w:p>
    <w:p w14:paraId="15A63742" w14:textId="77777777" w:rsidR="00F0138F" w:rsidRDefault="00F0138F" w:rsidP="007176E4">
      <w:pPr>
        <w:spacing w:line="360" w:lineRule="auto"/>
        <w:rPr>
          <w:rFonts w:ascii="Arial" w:hAnsi="Arial" w:cs="Arial"/>
          <w:b/>
          <w:bCs/>
          <w:lang w:val="en-US"/>
        </w:rPr>
      </w:pPr>
    </w:p>
    <w:p w14:paraId="3B7324AD" w14:textId="77777777" w:rsidR="00F0138F" w:rsidRPr="00F0138F" w:rsidRDefault="00F0138F" w:rsidP="00F0138F">
      <w:pPr>
        <w:spacing w:after="200" w:line="276" w:lineRule="auto"/>
        <w:jc w:val="both"/>
        <w:outlineLvl w:val="0"/>
        <w:rPr>
          <w:rFonts w:ascii="Arial" w:eastAsia="Times New Roman" w:hAnsi="Arial" w:cs="Arial"/>
          <w:kern w:val="0"/>
          <w:lang w:val="en-GB" w:eastAsia="en-GB"/>
          <w14:ligatures w14:val="none"/>
        </w:rPr>
      </w:pPr>
      <w:r w:rsidRPr="00F0138F">
        <w:rPr>
          <w:rFonts w:ascii="Arial" w:eastAsia="Times New Roman" w:hAnsi="Arial" w:cs="Arial"/>
          <w:b/>
          <w:bCs/>
          <w:kern w:val="0"/>
          <w:lang w:val="en-GB" w:eastAsia="en-GB"/>
          <w14:ligatures w14:val="none"/>
        </w:rPr>
        <w:t>COMPETING INTERESTS DISCLAIMER:</w:t>
      </w:r>
    </w:p>
    <w:p w14:paraId="4B52D8D1" w14:textId="77777777" w:rsidR="00F0138F" w:rsidRPr="00F0138F" w:rsidRDefault="00F0138F" w:rsidP="00F0138F">
      <w:pPr>
        <w:spacing w:after="200" w:line="276" w:lineRule="auto"/>
        <w:rPr>
          <w:rFonts w:ascii="Calibri" w:eastAsia="Times New Roman" w:hAnsi="Calibri" w:cs="Times New Roman"/>
          <w:kern w:val="0"/>
          <w:lang w:val="en-GB" w:eastAsia="en-GB"/>
          <w14:ligatures w14:val="none"/>
        </w:rPr>
      </w:pPr>
      <w:r w:rsidRPr="00F0138F">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0C7756B4" w14:textId="77777777" w:rsidR="00F0138F" w:rsidRDefault="00F0138F" w:rsidP="007176E4">
      <w:pPr>
        <w:spacing w:line="360" w:lineRule="auto"/>
        <w:rPr>
          <w:rFonts w:ascii="Arial" w:hAnsi="Arial" w:cs="Arial"/>
          <w:b/>
          <w:bCs/>
          <w:lang w:val="en-US"/>
        </w:rPr>
      </w:pPr>
    </w:p>
    <w:p w14:paraId="43CB754E" w14:textId="24A29693" w:rsidR="004D53E1" w:rsidRPr="002D760F" w:rsidRDefault="007176E4" w:rsidP="007176E4">
      <w:pPr>
        <w:spacing w:line="360" w:lineRule="auto"/>
        <w:rPr>
          <w:rFonts w:ascii="Arial" w:hAnsi="Arial" w:cs="Arial"/>
          <w:b/>
          <w:bCs/>
          <w:lang w:val="en-US"/>
        </w:rPr>
      </w:pPr>
      <w:r w:rsidRPr="002D760F">
        <w:rPr>
          <w:rFonts w:ascii="Arial" w:hAnsi="Arial" w:cs="Arial"/>
          <w:b/>
          <w:bCs/>
          <w:lang w:val="en-US"/>
        </w:rPr>
        <w:t>REFERENCES</w:t>
      </w:r>
    </w:p>
    <w:p w14:paraId="326765A6" w14:textId="5444E612" w:rsidR="00BF154E" w:rsidRPr="002D760F" w:rsidRDefault="00BF154E" w:rsidP="00961219">
      <w:pPr>
        <w:jc w:val="both"/>
        <w:rPr>
          <w:rFonts w:ascii="Arial" w:hAnsi="Arial" w:cs="Arial"/>
          <w:sz w:val="20"/>
          <w:szCs w:val="20"/>
        </w:rPr>
      </w:pPr>
      <w:proofErr w:type="spellStart"/>
      <w:r w:rsidRPr="002D760F">
        <w:rPr>
          <w:rFonts w:ascii="Arial" w:hAnsi="Arial" w:cs="Arial"/>
          <w:sz w:val="20"/>
          <w:szCs w:val="20"/>
        </w:rPr>
        <w:t>Hanumanthappa</w:t>
      </w:r>
      <w:proofErr w:type="spellEnd"/>
      <w:r w:rsidRPr="002D760F">
        <w:rPr>
          <w:rFonts w:ascii="Arial" w:hAnsi="Arial" w:cs="Arial"/>
          <w:sz w:val="20"/>
          <w:szCs w:val="20"/>
        </w:rPr>
        <w:t>, H. "An overview on Agricultural credit in India: Status, issues and future agenda." </w:t>
      </w:r>
      <w:r w:rsidRPr="002D760F">
        <w:rPr>
          <w:rFonts w:ascii="Arial" w:hAnsi="Arial" w:cs="Arial"/>
          <w:i/>
          <w:iCs/>
          <w:sz w:val="20"/>
          <w:szCs w:val="20"/>
        </w:rPr>
        <w:t>Indian J. Applied &amp; Pure Bio. Vol</w:t>
      </w:r>
      <w:r w:rsidRPr="002D760F">
        <w:rPr>
          <w:rFonts w:ascii="Arial" w:hAnsi="Arial" w:cs="Arial"/>
          <w:sz w:val="20"/>
          <w:szCs w:val="20"/>
        </w:rPr>
        <w:t> 39.3 (2024): 1791-1816.</w:t>
      </w:r>
    </w:p>
    <w:p w14:paraId="57E23899" w14:textId="1168B1BF" w:rsidR="00BF154E" w:rsidRPr="002D760F" w:rsidRDefault="00BF154E" w:rsidP="00961219">
      <w:pPr>
        <w:jc w:val="both"/>
        <w:rPr>
          <w:rFonts w:ascii="Arial" w:hAnsi="Arial" w:cs="Arial"/>
          <w:sz w:val="20"/>
          <w:szCs w:val="20"/>
        </w:rPr>
      </w:pPr>
      <w:r w:rsidRPr="002D760F">
        <w:rPr>
          <w:rFonts w:ascii="Arial" w:hAnsi="Arial" w:cs="Arial"/>
          <w:sz w:val="20"/>
          <w:szCs w:val="20"/>
        </w:rPr>
        <w:t>Naik, Sunil, et al. "Household Access to Institutional Agricultural Credit: Performance and Key Determinants." </w:t>
      </w:r>
      <w:r w:rsidRPr="002D760F">
        <w:rPr>
          <w:rFonts w:ascii="Arial" w:hAnsi="Arial" w:cs="Arial"/>
          <w:i/>
          <w:iCs/>
          <w:sz w:val="20"/>
          <w:szCs w:val="20"/>
        </w:rPr>
        <w:t>Indian Journal of Agricultural Economics</w:t>
      </w:r>
      <w:r w:rsidRPr="002D760F">
        <w:rPr>
          <w:rFonts w:ascii="Arial" w:hAnsi="Arial" w:cs="Arial"/>
          <w:sz w:val="20"/>
          <w:szCs w:val="20"/>
        </w:rPr>
        <w:t> 79.3 (2024): 775-786.</w:t>
      </w:r>
    </w:p>
    <w:p w14:paraId="3F0EAFEA" w14:textId="02B58363" w:rsidR="00BF154E" w:rsidRPr="002D760F" w:rsidRDefault="00BF154E" w:rsidP="00961219">
      <w:pPr>
        <w:spacing w:line="360" w:lineRule="auto"/>
        <w:jc w:val="both"/>
        <w:rPr>
          <w:rFonts w:ascii="Arial" w:hAnsi="Arial" w:cs="Arial"/>
          <w:sz w:val="20"/>
          <w:szCs w:val="20"/>
          <w:lang w:val="en-US"/>
        </w:rPr>
      </w:pPr>
      <w:r w:rsidRPr="002D760F">
        <w:rPr>
          <w:rFonts w:ascii="Arial" w:hAnsi="Arial" w:cs="Arial"/>
          <w:sz w:val="20"/>
          <w:szCs w:val="20"/>
        </w:rPr>
        <w:t xml:space="preserve">Dash, </w:t>
      </w:r>
      <w:proofErr w:type="spellStart"/>
      <w:r w:rsidRPr="002D760F">
        <w:rPr>
          <w:rFonts w:ascii="Arial" w:hAnsi="Arial" w:cs="Arial"/>
          <w:sz w:val="20"/>
          <w:szCs w:val="20"/>
        </w:rPr>
        <w:t>Priyadarshi</w:t>
      </w:r>
      <w:proofErr w:type="spellEnd"/>
      <w:r w:rsidRPr="002D760F">
        <w:rPr>
          <w:rFonts w:ascii="Arial" w:hAnsi="Arial" w:cs="Arial"/>
          <w:sz w:val="20"/>
          <w:szCs w:val="20"/>
        </w:rPr>
        <w:t>, and Rahul Ranjan. </w:t>
      </w:r>
      <w:r w:rsidRPr="002D760F">
        <w:rPr>
          <w:rFonts w:ascii="Arial" w:hAnsi="Arial" w:cs="Arial"/>
          <w:i/>
          <w:iCs/>
          <w:sz w:val="20"/>
          <w:szCs w:val="20"/>
        </w:rPr>
        <w:t>Financial literacy across different states of India: An empirical analysis</w:t>
      </w:r>
      <w:r w:rsidRPr="002D760F">
        <w:rPr>
          <w:rFonts w:ascii="Arial" w:hAnsi="Arial" w:cs="Arial"/>
          <w:sz w:val="20"/>
          <w:szCs w:val="20"/>
        </w:rPr>
        <w:t>. RIS, Research and Information System for Developing Countries, 2023</w:t>
      </w:r>
    </w:p>
    <w:p w14:paraId="3B12A33D" w14:textId="77777777" w:rsidR="004D53E1" w:rsidRPr="002D760F" w:rsidRDefault="004D53E1" w:rsidP="00961219">
      <w:pPr>
        <w:spacing w:line="360" w:lineRule="auto"/>
        <w:jc w:val="both"/>
        <w:rPr>
          <w:rFonts w:ascii="Arial" w:hAnsi="Arial" w:cs="Arial"/>
          <w:sz w:val="20"/>
          <w:szCs w:val="20"/>
        </w:rPr>
      </w:pPr>
      <w:proofErr w:type="spellStart"/>
      <w:r w:rsidRPr="002D760F">
        <w:rPr>
          <w:rFonts w:ascii="Arial" w:hAnsi="Arial" w:cs="Arial"/>
          <w:sz w:val="20"/>
          <w:szCs w:val="20"/>
        </w:rPr>
        <w:t>Jatav</w:t>
      </w:r>
      <w:proofErr w:type="spellEnd"/>
      <w:r w:rsidRPr="002D760F">
        <w:rPr>
          <w:rFonts w:ascii="Arial" w:hAnsi="Arial" w:cs="Arial"/>
          <w:sz w:val="20"/>
          <w:szCs w:val="20"/>
        </w:rPr>
        <w:t>, S. S., &amp; Nayak, S. (2022). Access and determinants of formal agriculture credit in Uttar Pradesh, India. </w:t>
      </w:r>
      <w:r w:rsidRPr="002D760F">
        <w:rPr>
          <w:rFonts w:ascii="Arial" w:hAnsi="Arial" w:cs="Arial"/>
          <w:i/>
          <w:iCs/>
          <w:sz w:val="20"/>
          <w:szCs w:val="20"/>
        </w:rPr>
        <w:t>Journal of Rural Development</w:t>
      </w:r>
      <w:r w:rsidRPr="002D760F">
        <w:rPr>
          <w:rFonts w:ascii="Arial" w:hAnsi="Arial" w:cs="Arial"/>
          <w:sz w:val="20"/>
          <w:szCs w:val="20"/>
        </w:rPr>
        <w:t>, 185-197.</w:t>
      </w:r>
    </w:p>
    <w:p w14:paraId="550D3140" w14:textId="77777777" w:rsidR="004D53E1" w:rsidRPr="002D760F" w:rsidRDefault="004D53E1" w:rsidP="00961219">
      <w:pPr>
        <w:spacing w:line="360" w:lineRule="auto"/>
        <w:jc w:val="both"/>
        <w:rPr>
          <w:rFonts w:ascii="Arial" w:hAnsi="Arial" w:cs="Arial"/>
          <w:sz w:val="20"/>
          <w:szCs w:val="20"/>
        </w:rPr>
      </w:pPr>
      <w:r w:rsidRPr="002D760F">
        <w:rPr>
          <w:rFonts w:ascii="Arial" w:hAnsi="Arial" w:cs="Arial"/>
          <w:sz w:val="20"/>
          <w:szCs w:val="20"/>
        </w:rPr>
        <w:t xml:space="preserve">Kumar, V., &amp; </w:t>
      </w:r>
      <w:proofErr w:type="spellStart"/>
      <w:r w:rsidRPr="002D760F">
        <w:rPr>
          <w:rFonts w:ascii="Arial" w:hAnsi="Arial" w:cs="Arial"/>
          <w:sz w:val="20"/>
          <w:szCs w:val="20"/>
        </w:rPr>
        <w:t>Afroz</w:t>
      </w:r>
      <w:proofErr w:type="spellEnd"/>
      <w:r w:rsidRPr="002D760F">
        <w:rPr>
          <w:rFonts w:ascii="Arial" w:hAnsi="Arial" w:cs="Arial"/>
          <w:sz w:val="20"/>
          <w:szCs w:val="20"/>
        </w:rPr>
        <w:t>, S. B. (2022). Regional disparity in institutional credit to agriculture sector in India: trends and performance. </w:t>
      </w:r>
      <w:r w:rsidRPr="002D760F">
        <w:rPr>
          <w:rFonts w:ascii="Arial" w:hAnsi="Arial" w:cs="Arial"/>
          <w:i/>
          <w:iCs/>
          <w:sz w:val="20"/>
          <w:szCs w:val="20"/>
        </w:rPr>
        <w:t>Agricultural Economics Research Review</w:t>
      </w:r>
      <w:r w:rsidRPr="002D760F">
        <w:rPr>
          <w:rFonts w:ascii="Arial" w:hAnsi="Arial" w:cs="Arial"/>
          <w:sz w:val="20"/>
          <w:szCs w:val="20"/>
        </w:rPr>
        <w:t>, </w:t>
      </w:r>
      <w:r w:rsidRPr="002D760F">
        <w:rPr>
          <w:rFonts w:ascii="Arial" w:hAnsi="Arial" w:cs="Arial"/>
          <w:i/>
          <w:iCs/>
          <w:sz w:val="20"/>
          <w:szCs w:val="20"/>
        </w:rPr>
        <w:t>35</w:t>
      </w:r>
      <w:r w:rsidRPr="002D760F">
        <w:rPr>
          <w:rFonts w:ascii="Arial" w:hAnsi="Arial" w:cs="Arial"/>
          <w:sz w:val="20"/>
          <w:szCs w:val="20"/>
        </w:rPr>
        <w:t>(conf), 49-60.</w:t>
      </w:r>
    </w:p>
    <w:p w14:paraId="4F8098DC" w14:textId="77777777" w:rsidR="00961219" w:rsidRPr="002D760F" w:rsidRDefault="00961219" w:rsidP="00961219">
      <w:pPr>
        <w:pStyle w:val="Bibliography"/>
        <w:ind w:left="720" w:hanging="720"/>
        <w:jc w:val="both"/>
        <w:rPr>
          <w:rFonts w:ascii="Arial" w:hAnsi="Arial" w:cs="Arial"/>
          <w:noProof/>
          <w:sz w:val="20"/>
          <w:szCs w:val="20"/>
        </w:rPr>
      </w:pPr>
      <w:r w:rsidRPr="002D760F">
        <w:rPr>
          <w:rFonts w:ascii="Arial" w:hAnsi="Arial" w:cs="Arial"/>
          <w:noProof/>
          <w:sz w:val="20"/>
          <w:szCs w:val="20"/>
        </w:rPr>
        <w:t>Satyasai , K. J., &amp; Jadhav, V. (2022). Inequalities among Agricultural Households: An Exploration</w:t>
      </w:r>
    </w:p>
    <w:p w14:paraId="13750B1D" w14:textId="77777777" w:rsidR="00961219" w:rsidRPr="002D760F" w:rsidRDefault="00961219" w:rsidP="00961219">
      <w:pPr>
        <w:pStyle w:val="Bibliography"/>
        <w:ind w:left="720" w:hanging="720"/>
        <w:jc w:val="both"/>
        <w:rPr>
          <w:rFonts w:ascii="Arial" w:hAnsi="Arial" w:cs="Arial"/>
          <w:noProof/>
          <w:kern w:val="0"/>
          <w:sz w:val="20"/>
          <w:szCs w:val="20"/>
          <w14:ligatures w14:val="none"/>
        </w:rPr>
      </w:pPr>
      <w:r w:rsidRPr="002D760F">
        <w:rPr>
          <w:rFonts w:ascii="Arial" w:hAnsi="Arial" w:cs="Arial"/>
          <w:noProof/>
          <w:sz w:val="20"/>
          <w:szCs w:val="20"/>
        </w:rPr>
        <w:t>Through Various Agricultural Surveys., (pp. 129-148).</w:t>
      </w:r>
    </w:p>
    <w:p w14:paraId="553A3FB3" w14:textId="77777777" w:rsidR="00BF154E" w:rsidRPr="002D760F" w:rsidRDefault="00BF154E" w:rsidP="00961219">
      <w:pPr>
        <w:jc w:val="both"/>
        <w:rPr>
          <w:rFonts w:ascii="Arial" w:hAnsi="Arial" w:cs="Arial"/>
          <w:sz w:val="20"/>
          <w:szCs w:val="20"/>
        </w:rPr>
      </w:pPr>
      <w:r w:rsidRPr="002D760F">
        <w:rPr>
          <w:rFonts w:ascii="Arial" w:hAnsi="Arial" w:cs="Arial"/>
          <w:sz w:val="20"/>
          <w:szCs w:val="20"/>
        </w:rPr>
        <w:t>Kumar, Vinod. "Trends and Patterns in Agriculture Credit in India: A district level analysis of Uttar Pradesh." </w:t>
      </w:r>
      <w:r w:rsidRPr="002D760F">
        <w:rPr>
          <w:rFonts w:ascii="Arial" w:hAnsi="Arial" w:cs="Arial"/>
          <w:i/>
          <w:iCs/>
          <w:sz w:val="20"/>
          <w:szCs w:val="20"/>
        </w:rPr>
        <w:t>National Bank for Agriculture and Rural Development, Working Paper</w:t>
      </w:r>
      <w:r w:rsidRPr="002D760F">
        <w:rPr>
          <w:rFonts w:ascii="Arial" w:hAnsi="Arial" w:cs="Arial"/>
          <w:sz w:val="20"/>
          <w:szCs w:val="20"/>
        </w:rPr>
        <w:t> 1 (2021).</w:t>
      </w:r>
    </w:p>
    <w:p w14:paraId="399A6576" w14:textId="77777777" w:rsidR="00BF154E" w:rsidRPr="002D760F" w:rsidRDefault="00BF154E" w:rsidP="00961219">
      <w:pPr>
        <w:jc w:val="both"/>
        <w:rPr>
          <w:rFonts w:ascii="Arial" w:hAnsi="Arial" w:cs="Arial"/>
          <w:sz w:val="20"/>
          <w:szCs w:val="20"/>
        </w:rPr>
      </w:pPr>
      <w:r w:rsidRPr="002D760F">
        <w:rPr>
          <w:rFonts w:ascii="Arial" w:hAnsi="Arial" w:cs="Arial"/>
          <w:sz w:val="20"/>
          <w:szCs w:val="20"/>
        </w:rPr>
        <w:lastRenderedPageBreak/>
        <w:t xml:space="preserve">Karthick, V., &amp; </w:t>
      </w:r>
      <w:proofErr w:type="spellStart"/>
      <w:r w:rsidRPr="002D760F">
        <w:rPr>
          <w:rFonts w:ascii="Arial" w:hAnsi="Arial" w:cs="Arial"/>
          <w:sz w:val="20"/>
          <w:szCs w:val="20"/>
        </w:rPr>
        <w:t>Madheswaran</w:t>
      </w:r>
      <w:proofErr w:type="spellEnd"/>
      <w:r w:rsidRPr="002D760F">
        <w:rPr>
          <w:rFonts w:ascii="Arial" w:hAnsi="Arial" w:cs="Arial"/>
          <w:sz w:val="20"/>
          <w:szCs w:val="20"/>
        </w:rPr>
        <w:t>, S. (2020). </w:t>
      </w:r>
      <w:r w:rsidRPr="002D760F">
        <w:rPr>
          <w:rFonts w:ascii="Arial" w:hAnsi="Arial" w:cs="Arial"/>
          <w:i/>
          <w:iCs/>
          <w:sz w:val="20"/>
          <w:szCs w:val="20"/>
        </w:rPr>
        <w:t>Determinants of agricultural credit in rural India by social group</w:t>
      </w:r>
      <w:r w:rsidRPr="002D760F">
        <w:rPr>
          <w:rFonts w:ascii="Arial" w:hAnsi="Arial" w:cs="Arial"/>
          <w:sz w:val="20"/>
          <w:szCs w:val="20"/>
        </w:rPr>
        <w:t>. Institute for Social and Economic Change.</w:t>
      </w:r>
    </w:p>
    <w:p w14:paraId="733344DE" w14:textId="77777777" w:rsidR="00BF154E" w:rsidRPr="002D760F" w:rsidRDefault="00BF154E" w:rsidP="00961219">
      <w:pPr>
        <w:jc w:val="both"/>
        <w:rPr>
          <w:rFonts w:ascii="Arial" w:hAnsi="Arial" w:cs="Arial"/>
          <w:sz w:val="20"/>
          <w:szCs w:val="20"/>
        </w:rPr>
      </w:pPr>
      <w:proofErr w:type="spellStart"/>
      <w:r w:rsidRPr="002D760F">
        <w:rPr>
          <w:rFonts w:ascii="Arial" w:hAnsi="Arial" w:cs="Arial"/>
          <w:sz w:val="20"/>
          <w:szCs w:val="20"/>
        </w:rPr>
        <w:t>Shivaswamy</w:t>
      </w:r>
      <w:proofErr w:type="spellEnd"/>
      <w:r w:rsidRPr="002D760F">
        <w:rPr>
          <w:rFonts w:ascii="Arial" w:hAnsi="Arial" w:cs="Arial"/>
          <w:sz w:val="20"/>
          <w:szCs w:val="20"/>
        </w:rPr>
        <w:t>, G. P., et al. "Impact of institutional credit on agricultural productivity in India: A time series analysis." </w:t>
      </w:r>
      <w:r w:rsidRPr="002D760F">
        <w:rPr>
          <w:rFonts w:ascii="Arial" w:hAnsi="Arial" w:cs="Arial"/>
          <w:i/>
          <w:iCs/>
          <w:sz w:val="20"/>
          <w:szCs w:val="20"/>
        </w:rPr>
        <w:t>The Indian Journal of Agricultural Sciences</w:t>
      </w:r>
      <w:r w:rsidRPr="002D760F">
        <w:rPr>
          <w:rFonts w:ascii="Arial" w:hAnsi="Arial" w:cs="Arial"/>
          <w:sz w:val="20"/>
          <w:szCs w:val="20"/>
        </w:rPr>
        <w:t> 90.2 (2020): 412-417.</w:t>
      </w:r>
    </w:p>
    <w:p w14:paraId="3E09273C" w14:textId="77777777" w:rsidR="00BF154E" w:rsidRPr="002D760F" w:rsidRDefault="00BF154E" w:rsidP="00961219">
      <w:pPr>
        <w:jc w:val="both"/>
        <w:rPr>
          <w:rFonts w:ascii="Arial" w:hAnsi="Arial" w:cs="Arial"/>
          <w:sz w:val="20"/>
          <w:szCs w:val="20"/>
        </w:rPr>
      </w:pPr>
      <w:r w:rsidRPr="002D760F">
        <w:rPr>
          <w:rFonts w:ascii="Arial" w:hAnsi="Arial" w:cs="Arial"/>
          <w:sz w:val="20"/>
          <w:szCs w:val="20"/>
        </w:rPr>
        <w:t>Chavan, Pallavi. "Women’s access to banking in India: Policy context, trends, and predictors." </w:t>
      </w:r>
      <w:r w:rsidRPr="002D760F">
        <w:rPr>
          <w:rFonts w:ascii="Arial" w:hAnsi="Arial" w:cs="Arial"/>
          <w:i/>
          <w:iCs/>
          <w:sz w:val="20"/>
          <w:szCs w:val="20"/>
        </w:rPr>
        <w:t>Review of Agrarian Studies</w:t>
      </w:r>
      <w:r w:rsidRPr="002D760F">
        <w:rPr>
          <w:rFonts w:ascii="Arial" w:hAnsi="Arial" w:cs="Arial"/>
          <w:sz w:val="20"/>
          <w:szCs w:val="20"/>
        </w:rPr>
        <w:t> 10.1 (2020).</w:t>
      </w:r>
    </w:p>
    <w:p w14:paraId="0032F3A8" w14:textId="77777777" w:rsidR="00BF154E" w:rsidRPr="002D760F" w:rsidRDefault="00BF154E" w:rsidP="00961219">
      <w:pPr>
        <w:jc w:val="both"/>
        <w:rPr>
          <w:rFonts w:ascii="Arial" w:hAnsi="Arial" w:cs="Arial"/>
          <w:sz w:val="20"/>
          <w:szCs w:val="20"/>
        </w:rPr>
      </w:pPr>
      <w:r w:rsidRPr="002D760F">
        <w:rPr>
          <w:rFonts w:ascii="Arial" w:hAnsi="Arial" w:cs="Arial"/>
          <w:sz w:val="20"/>
          <w:szCs w:val="20"/>
        </w:rPr>
        <w:t xml:space="preserve">Karthick, V., and S. </w:t>
      </w:r>
      <w:proofErr w:type="spellStart"/>
      <w:r w:rsidRPr="002D760F">
        <w:rPr>
          <w:rFonts w:ascii="Arial" w:hAnsi="Arial" w:cs="Arial"/>
          <w:sz w:val="20"/>
          <w:szCs w:val="20"/>
        </w:rPr>
        <w:t>Madheswaran</w:t>
      </w:r>
      <w:proofErr w:type="spellEnd"/>
      <w:r w:rsidRPr="002D760F">
        <w:rPr>
          <w:rFonts w:ascii="Arial" w:hAnsi="Arial" w:cs="Arial"/>
          <w:sz w:val="20"/>
          <w:szCs w:val="20"/>
        </w:rPr>
        <w:t>. </w:t>
      </w:r>
      <w:r w:rsidRPr="002D760F">
        <w:rPr>
          <w:rFonts w:ascii="Arial" w:hAnsi="Arial" w:cs="Arial"/>
          <w:i/>
          <w:iCs/>
          <w:sz w:val="20"/>
          <w:szCs w:val="20"/>
        </w:rPr>
        <w:t>Determinants of agricultural credit in rural India by social group</w:t>
      </w:r>
      <w:r w:rsidRPr="002D760F">
        <w:rPr>
          <w:rFonts w:ascii="Arial" w:hAnsi="Arial" w:cs="Arial"/>
          <w:sz w:val="20"/>
          <w:szCs w:val="20"/>
        </w:rPr>
        <w:t>. Institute for Social and Economic Change, 2020.</w:t>
      </w:r>
    </w:p>
    <w:p w14:paraId="4E623998" w14:textId="77777777" w:rsidR="00BF154E" w:rsidRPr="002D760F" w:rsidRDefault="00BF154E" w:rsidP="00961219">
      <w:pPr>
        <w:jc w:val="both"/>
        <w:rPr>
          <w:rFonts w:ascii="Arial" w:hAnsi="Arial" w:cs="Arial"/>
          <w:sz w:val="20"/>
          <w:szCs w:val="20"/>
        </w:rPr>
      </w:pPr>
      <w:r w:rsidRPr="002D760F">
        <w:rPr>
          <w:rFonts w:ascii="Arial" w:hAnsi="Arial" w:cs="Arial"/>
          <w:sz w:val="20"/>
          <w:szCs w:val="20"/>
        </w:rPr>
        <w:t xml:space="preserve">Gulati, Ashok, and Ritika </w:t>
      </w:r>
      <w:proofErr w:type="spellStart"/>
      <w:r w:rsidRPr="002D760F">
        <w:rPr>
          <w:rFonts w:ascii="Arial" w:hAnsi="Arial" w:cs="Arial"/>
          <w:sz w:val="20"/>
          <w:szCs w:val="20"/>
        </w:rPr>
        <w:t>Juneja</w:t>
      </w:r>
      <w:proofErr w:type="spellEnd"/>
      <w:r w:rsidRPr="002D760F">
        <w:rPr>
          <w:rFonts w:ascii="Arial" w:hAnsi="Arial" w:cs="Arial"/>
          <w:sz w:val="20"/>
          <w:szCs w:val="20"/>
        </w:rPr>
        <w:t>. "Agricultural credit system in India: Evolution, effectiveness and innovations." (2019).</w:t>
      </w:r>
    </w:p>
    <w:p w14:paraId="76275923" w14:textId="77777777" w:rsidR="004D53E1" w:rsidRPr="002D760F" w:rsidRDefault="004D53E1" w:rsidP="00961219">
      <w:pPr>
        <w:jc w:val="both"/>
        <w:rPr>
          <w:rFonts w:ascii="Arial" w:hAnsi="Arial" w:cs="Arial"/>
          <w:sz w:val="20"/>
          <w:szCs w:val="20"/>
        </w:rPr>
      </w:pPr>
      <w:r w:rsidRPr="002D760F">
        <w:rPr>
          <w:rFonts w:ascii="Arial" w:hAnsi="Arial" w:cs="Arial"/>
          <w:sz w:val="20"/>
          <w:szCs w:val="20"/>
        </w:rPr>
        <w:t>Kumar, A., Mishra, A. K., Saroj, S., &amp; Joshi, P. K. (2017). Institutional versus non-institutional credit to agricultural households in India: Evidence on impact from a national farmers’ survey. </w:t>
      </w:r>
      <w:r w:rsidRPr="002D760F">
        <w:rPr>
          <w:rFonts w:ascii="Arial" w:hAnsi="Arial" w:cs="Arial"/>
          <w:i/>
          <w:iCs/>
          <w:sz w:val="20"/>
          <w:szCs w:val="20"/>
        </w:rPr>
        <w:t>Economic Systems</w:t>
      </w:r>
      <w:r w:rsidRPr="002D760F">
        <w:rPr>
          <w:rFonts w:ascii="Arial" w:hAnsi="Arial" w:cs="Arial"/>
          <w:sz w:val="20"/>
          <w:szCs w:val="20"/>
        </w:rPr>
        <w:t>, </w:t>
      </w:r>
      <w:r w:rsidRPr="002D760F">
        <w:rPr>
          <w:rFonts w:ascii="Arial" w:hAnsi="Arial" w:cs="Arial"/>
          <w:i/>
          <w:iCs/>
          <w:sz w:val="20"/>
          <w:szCs w:val="20"/>
        </w:rPr>
        <w:t>41</w:t>
      </w:r>
      <w:r w:rsidRPr="002D760F">
        <w:rPr>
          <w:rFonts w:ascii="Arial" w:hAnsi="Arial" w:cs="Arial"/>
          <w:sz w:val="20"/>
          <w:szCs w:val="20"/>
        </w:rPr>
        <w:t>(3), 420-432.</w:t>
      </w:r>
    </w:p>
    <w:p w14:paraId="2DDF570B" w14:textId="77777777" w:rsidR="00BF154E" w:rsidRPr="002D760F" w:rsidRDefault="00BF154E" w:rsidP="00961219">
      <w:pPr>
        <w:jc w:val="both"/>
        <w:rPr>
          <w:rFonts w:ascii="Arial" w:hAnsi="Arial" w:cs="Arial"/>
          <w:sz w:val="20"/>
          <w:szCs w:val="20"/>
        </w:rPr>
      </w:pPr>
      <w:r w:rsidRPr="002D760F">
        <w:rPr>
          <w:rFonts w:ascii="Arial" w:hAnsi="Arial" w:cs="Arial"/>
          <w:sz w:val="20"/>
          <w:szCs w:val="20"/>
        </w:rPr>
        <w:t>Sajjad, H., &amp; Chauhan, C. (2012). Agrarian distress and indebtedness in rural India: Emerging perspectives and challenges ahead. </w:t>
      </w:r>
      <w:r w:rsidRPr="002D760F">
        <w:rPr>
          <w:rFonts w:ascii="Arial" w:hAnsi="Arial" w:cs="Arial"/>
          <w:i/>
          <w:iCs/>
          <w:sz w:val="20"/>
          <w:szCs w:val="20"/>
        </w:rPr>
        <w:t>Journal of Geography and Regional Planning</w:t>
      </w:r>
      <w:r w:rsidRPr="002D760F">
        <w:rPr>
          <w:rFonts w:ascii="Arial" w:hAnsi="Arial" w:cs="Arial"/>
          <w:sz w:val="20"/>
          <w:szCs w:val="20"/>
        </w:rPr>
        <w:t>, </w:t>
      </w:r>
      <w:r w:rsidRPr="002D760F">
        <w:rPr>
          <w:rFonts w:ascii="Arial" w:hAnsi="Arial" w:cs="Arial"/>
          <w:i/>
          <w:iCs/>
          <w:sz w:val="20"/>
          <w:szCs w:val="20"/>
        </w:rPr>
        <w:t>5</w:t>
      </w:r>
      <w:r w:rsidRPr="002D760F">
        <w:rPr>
          <w:rFonts w:ascii="Arial" w:hAnsi="Arial" w:cs="Arial"/>
          <w:sz w:val="20"/>
          <w:szCs w:val="20"/>
        </w:rPr>
        <w:t>(15), 397.</w:t>
      </w:r>
    </w:p>
    <w:p w14:paraId="5E937B57" w14:textId="77777777" w:rsidR="004D53E1" w:rsidRPr="002D760F" w:rsidRDefault="004D53E1" w:rsidP="00961219">
      <w:pPr>
        <w:jc w:val="both"/>
        <w:rPr>
          <w:rFonts w:ascii="Arial" w:hAnsi="Arial" w:cs="Arial"/>
          <w:sz w:val="20"/>
          <w:szCs w:val="20"/>
        </w:rPr>
      </w:pPr>
      <w:r w:rsidRPr="002D760F">
        <w:rPr>
          <w:rFonts w:ascii="Arial" w:hAnsi="Arial" w:cs="Arial"/>
          <w:sz w:val="20"/>
          <w:szCs w:val="20"/>
        </w:rPr>
        <w:t>Kumar, A., Singh, D. K., &amp; Kumar, P. (2007). Performance of rural credit and factors affecting the choice of credit sources. Indian Journal of Agricultural Economics, 62(3).</w:t>
      </w:r>
    </w:p>
    <w:p w14:paraId="3508631F" w14:textId="4AA76AE8" w:rsidR="004D53E1" w:rsidRPr="002D760F" w:rsidRDefault="004D53E1" w:rsidP="00961219">
      <w:pPr>
        <w:jc w:val="both"/>
        <w:rPr>
          <w:rFonts w:ascii="Arial" w:hAnsi="Arial" w:cs="Arial"/>
          <w:sz w:val="20"/>
          <w:szCs w:val="20"/>
        </w:rPr>
      </w:pPr>
      <w:r w:rsidRPr="002D760F">
        <w:rPr>
          <w:rFonts w:ascii="Arial" w:hAnsi="Arial" w:cs="Arial"/>
          <w:sz w:val="20"/>
          <w:szCs w:val="20"/>
        </w:rPr>
        <w:t>Mishra, S. (2006). Farmers' suicides in Maharashtra. </w:t>
      </w:r>
      <w:r w:rsidRPr="002D760F">
        <w:rPr>
          <w:rFonts w:ascii="Arial" w:hAnsi="Arial" w:cs="Arial"/>
          <w:i/>
          <w:iCs/>
          <w:sz w:val="20"/>
          <w:szCs w:val="20"/>
        </w:rPr>
        <w:t>Economic and political weekly</w:t>
      </w:r>
      <w:r w:rsidRPr="002D760F">
        <w:rPr>
          <w:rFonts w:ascii="Arial" w:hAnsi="Arial" w:cs="Arial"/>
          <w:sz w:val="20"/>
          <w:szCs w:val="20"/>
        </w:rPr>
        <w:t>, 1538-1545.</w:t>
      </w:r>
    </w:p>
    <w:p w14:paraId="3C050C64" w14:textId="2D380A98" w:rsidR="00BF154E" w:rsidRPr="002D760F" w:rsidRDefault="00BF154E" w:rsidP="00961219">
      <w:pPr>
        <w:jc w:val="both"/>
        <w:rPr>
          <w:rFonts w:ascii="Arial" w:hAnsi="Arial" w:cs="Arial"/>
          <w:sz w:val="20"/>
          <w:szCs w:val="20"/>
        </w:rPr>
      </w:pPr>
    </w:p>
    <w:p w14:paraId="5B99DF02" w14:textId="77777777" w:rsidR="00961219" w:rsidRPr="002D760F" w:rsidRDefault="00961219" w:rsidP="00961219">
      <w:pPr>
        <w:jc w:val="both"/>
        <w:rPr>
          <w:rFonts w:ascii="Arial" w:hAnsi="Arial" w:cs="Arial"/>
          <w:sz w:val="20"/>
          <w:szCs w:val="20"/>
        </w:rPr>
      </w:pPr>
    </w:p>
    <w:p w14:paraId="2977687C" w14:textId="77777777" w:rsidR="00961219" w:rsidRPr="002D760F" w:rsidRDefault="00961219" w:rsidP="00961219">
      <w:pPr>
        <w:jc w:val="both"/>
        <w:rPr>
          <w:rFonts w:ascii="Arial" w:hAnsi="Arial" w:cs="Arial"/>
          <w:sz w:val="20"/>
          <w:szCs w:val="20"/>
        </w:rPr>
      </w:pPr>
    </w:p>
    <w:sectPr w:rsidR="00961219" w:rsidRPr="002D760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C732A" w14:textId="77777777" w:rsidR="009736F8" w:rsidRDefault="009736F8" w:rsidP="00BB04F2">
      <w:pPr>
        <w:spacing w:after="0" w:line="240" w:lineRule="auto"/>
      </w:pPr>
      <w:r>
        <w:separator/>
      </w:r>
    </w:p>
  </w:endnote>
  <w:endnote w:type="continuationSeparator" w:id="0">
    <w:p w14:paraId="18ED6CE3" w14:textId="77777777" w:rsidR="009736F8" w:rsidRDefault="009736F8" w:rsidP="00BB0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1F103" w14:textId="77777777" w:rsidR="00D57E8F" w:rsidRDefault="00D57E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549C7" w14:textId="77777777" w:rsidR="00D57E8F" w:rsidRDefault="00D57E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90552" w14:textId="77777777" w:rsidR="00D57E8F" w:rsidRDefault="00D57E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151A1" w14:textId="77777777" w:rsidR="009736F8" w:rsidRDefault="009736F8" w:rsidP="00BB04F2">
      <w:pPr>
        <w:spacing w:after="0" w:line="240" w:lineRule="auto"/>
      </w:pPr>
      <w:r>
        <w:separator/>
      </w:r>
    </w:p>
  </w:footnote>
  <w:footnote w:type="continuationSeparator" w:id="0">
    <w:p w14:paraId="70694A94" w14:textId="77777777" w:rsidR="009736F8" w:rsidRDefault="009736F8" w:rsidP="00BB0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73DB2" w14:textId="503D298E" w:rsidR="00D57E8F" w:rsidRDefault="00D57E8F">
    <w:pPr>
      <w:pStyle w:val="Header"/>
    </w:pPr>
    <w:r>
      <w:rPr>
        <w:noProof/>
      </w:rPr>
      <w:pict w14:anchorId="714071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9324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536D5" w14:textId="3148DEBC" w:rsidR="00D57E8F" w:rsidRDefault="00D57E8F">
    <w:pPr>
      <w:pStyle w:val="Header"/>
    </w:pPr>
    <w:r>
      <w:rPr>
        <w:noProof/>
      </w:rPr>
      <w:pict w14:anchorId="147A42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9324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F3471" w14:textId="2C658521" w:rsidR="00D57E8F" w:rsidRDefault="00D57E8F">
    <w:pPr>
      <w:pStyle w:val="Header"/>
    </w:pPr>
    <w:r>
      <w:rPr>
        <w:noProof/>
      </w:rPr>
      <w:pict w14:anchorId="1EC5FC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9324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Y0MTI2MzSwMDAxNDRQ0lEKTi0uzszPAykwrAUAsMoOBywAAAA="/>
  </w:docVars>
  <w:rsids>
    <w:rsidRoot w:val="00C56A49"/>
    <w:rsid w:val="00027283"/>
    <w:rsid w:val="0003657E"/>
    <w:rsid w:val="00050ECD"/>
    <w:rsid w:val="0006032C"/>
    <w:rsid w:val="00067E68"/>
    <w:rsid w:val="00077889"/>
    <w:rsid w:val="000B00E7"/>
    <w:rsid w:val="000B03B6"/>
    <w:rsid w:val="000D3BBE"/>
    <w:rsid w:val="000F306B"/>
    <w:rsid w:val="001041EE"/>
    <w:rsid w:val="001170F3"/>
    <w:rsid w:val="00121BCB"/>
    <w:rsid w:val="001311E1"/>
    <w:rsid w:val="00131421"/>
    <w:rsid w:val="0013416A"/>
    <w:rsid w:val="0015154C"/>
    <w:rsid w:val="00151ACC"/>
    <w:rsid w:val="00182E87"/>
    <w:rsid w:val="001866A6"/>
    <w:rsid w:val="001A25B1"/>
    <w:rsid w:val="001B1FC9"/>
    <w:rsid w:val="001B47EC"/>
    <w:rsid w:val="001B59B5"/>
    <w:rsid w:val="001C0408"/>
    <w:rsid w:val="001E5F27"/>
    <w:rsid w:val="001F17F6"/>
    <w:rsid w:val="001F2D71"/>
    <w:rsid w:val="001F5151"/>
    <w:rsid w:val="001F559B"/>
    <w:rsid w:val="00204276"/>
    <w:rsid w:val="00212018"/>
    <w:rsid w:val="00214CE0"/>
    <w:rsid w:val="0022691F"/>
    <w:rsid w:val="00227DE0"/>
    <w:rsid w:val="00262DD8"/>
    <w:rsid w:val="00287331"/>
    <w:rsid w:val="0028748F"/>
    <w:rsid w:val="002B04E6"/>
    <w:rsid w:val="002C4EE6"/>
    <w:rsid w:val="002C727D"/>
    <w:rsid w:val="002D4130"/>
    <w:rsid w:val="002D492C"/>
    <w:rsid w:val="002D760F"/>
    <w:rsid w:val="002E2057"/>
    <w:rsid w:val="002F1423"/>
    <w:rsid w:val="002F14FE"/>
    <w:rsid w:val="003058BE"/>
    <w:rsid w:val="00310C7E"/>
    <w:rsid w:val="00320331"/>
    <w:rsid w:val="003336CE"/>
    <w:rsid w:val="0033477C"/>
    <w:rsid w:val="00355DEA"/>
    <w:rsid w:val="00366B24"/>
    <w:rsid w:val="00366DD0"/>
    <w:rsid w:val="00372D8B"/>
    <w:rsid w:val="00376340"/>
    <w:rsid w:val="00394385"/>
    <w:rsid w:val="003B1D1D"/>
    <w:rsid w:val="003C221E"/>
    <w:rsid w:val="003C5D0D"/>
    <w:rsid w:val="003F19F9"/>
    <w:rsid w:val="00401B61"/>
    <w:rsid w:val="004056F5"/>
    <w:rsid w:val="004141CA"/>
    <w:rsid w:val="00417436"/>
    <w:rsid w:val="00420D97"/>
    <w:rsid w:val="00424B69"/>
    <w:rsid w:val="00427A72"/>
    <w:rsid w:val="00454DDE"/>
    <w:rsid w:val="004876CC"/>
    <w:rsid w:val="004B0B3E"/>
    <w:rsid w:val="004B0D7A"/>
    <w:rsid w:val="004D46DA"/>
    <w:rsid w:val="004D53E1"/>
    <w:rsid w:val="004D73C2"/>
    <w:rsid w:val="004F70A6"/>
    <w:rsid w:val="004F7357"/>
    <w:rsid w:val="00500B60"/>
    <w:rsid w:val="00507E3E"/>
    <w:rsid w:val="00515A6A"/>
    <w:rsid w:val="00516DE1"/>
    <w:rsid w:val="005320C9"/>
    <w:rsid w:val="005506EA"/>
    <w:rsid w:val="005603B7"/>
    <w:rsid w:val="00561692"/>
    <w:rsid w:val="005629C1"/>
    <w:rsid w:val="00590541"/>
    <w:rsid w:val="005A754A"/>
    <w:rsid w:val="005B0834"/>
    <w:rsid w:val="005C48E6"/>
    <w:rsid w:val="005C656A"/>
    <w:rsid w:val="005C6D45"/>
    <w:rsid w:val="005D2708"/>
    <w:rsid w:val="005D539A"/>
    <w:rsid w:val="005E05EC"/>
    <w:rsid w:val="005E7376"/>
    <w:rsid w:val="005F42B8"/>
    <w:rsid w:val="005F5CE3"/>
    <w:rsid w:val="005F7A94"/>
    <w:rsid w:val="006123D9"/>
    <w:rsid w:val="00615087"/>
    <w:rsid w:val="00615A38"/>
    <w:rsid w:val="00663D6B"/>
    <w:rsid w:val="00675B37"/>
    <w:rsid w:val="006848B6"/>
    <w:rsid w:val="006948F1"/>
    <w:rsid w:val="006A6FC4"/>
    <w:rsid w:val="006B213D"/>
    <w:rsid w:val="006B7070"/>
    <w:rsid w:val="006E272B"/>
    <w:rsid w:val="007176E4"/>
    <w:rsid w:val="00726172"/>
    <w:rsid w:val="00750D77"/>
    <w:rsid w:val="0076057F"/>
    <w:rsid w:val="007711B6"/>
    <w:rsid w:val="007752BB"/>
    <w:rsid w:val="00775F1A"/>
    <w:rsid w:val="00776EA6"/>
    <w:rsid w:val="00782DD4"/>
    <w:rsid w:val="0079227D"/>
    <w:rsid w:val="00792B8E"/>
    <w:rsid w:val="007A0549"/>
    <w:rsid w:val="007A2E76"/>
    <w:rsid w:val="007A7FEE"/>
    <w:rsid w:val="007C0EAD"/>
    <w:rsid w:val="007E3086"/>
    <w:rsid w:val="00801DD0"/>
    <w:rsid w:val="00803BF5"/>
    <w:rsid w:val="00810BB7"/>
    <w:rsid w:val="00811B4E"/>
    <w:rsid w:val="008157D5"/>
    <w:rsid w:val="00820E48"/>
    <w:rsid w:val="00855143"/>
    <w:rsid w:val="00876C11"/>
    <w:rsid w:val="008934F6"/>
    <w:rsid w:val="008A0AE9"/>
    <w:rsid w:val="008A3524"/>
    <w:rsid w:val="008C60D1"/>
    <w:rsid w:val="008D05C7"/>
    <w:rsid w:val="008D4812"/>
    <w:rsid w:val="008F008B"/>
    <w:rsid w:val="008F4E0B"/>
    <w:rsid w:val="0090395D"/>
    <w:rsid w:val="0091457F"/>
    <w:rsid w:val="00933EC0"/>
    <w:rsid w:val="00942492"/>
    <w:rsid w:val="00961219"/>
    <w:rsid w:val="009736F8"/>
    <w:rsid w:val="00992694"/>
    <w:rsid w:val="00995C59"/>
    <w:rsid w:val="009B3E7E"/>
    <w:rsid w:val="009C363F"/>
    <w:rsid w:val="009C6B37"/>
    <w:rsid w:val="00A01F05"/>
    <w:rsid w:val="00A02E71"/>
    <w:rsid w:val="00A07C1B"/>
    <w:rsid w:val="00A10DEF"/>
    <w:rsid w:val="00A14BBC"/>
    <w:rsid w:val="00A21A4D"/>
    <w:rsid w:val="00A23C09"/>
    <w:rsid w:val="00A436CD"/>
    <w:rsid w:val="00A50ED7"/>
    <w:rsid w:val="00A61F61"/>
    <w:rsid w:val="00A777D6"/>
    <w:rsid w:val="00A83169"/>
    <w:rsid w:val="00A84CAB"/>
    <w:rsid w:val="00AA5F91"/>
    <w:rsid w:val="00AA7F3D"/>
    <w:rsid w:val="00AC4D4C"/>
    <w:rsid w:val="00AD2BDC"/>
    <w:rsid w:val="00AD5A7A"/>
    <w:rsid w:val="00AD6CF8"/>
    <w:rsid w:val="00AE43C5"/>
    <w:rsid w:val="00AF5AE5"/>
    <w:rsid w:val="00AF66FE"/>
    <w:rsid w:val="00B16C75"/>
    <w:rsid w:val="00B25854"/>
    <w:rsid w:val="00B32627"/>
    <w:rsid w:val="00B678F6"/>
    <w:rsid w:val="00B760BC"/>
    <w:rsid w:val="00B8441B"/>
    <w:rsid w:val="00BA5501"/>
    <w:rsid w:val="00BB04F2"/>
    <w:rsid w:val="00BB1236"/>
    <w:rsid w:val="00BB7F28"/>
    <w:rsid w:val="00BC4E99"/>
    <w:rsid w:val="00BD1BE2"/>
    <w:rsid w:val="00BF154E"/>
    <w:rsid w:val="00BF7606"/>
    <w:rsid w:val="00C00013"/>
    <w:rsid w:val="00C063BA"/>
    <w:rsid w:val="00C10F49"/>
    <w:rsid w:val="00C14C1E"/>
    <w:rsid w:val="00C2648C"/>
    <w:rsid w:val="00C3438C"/>
    <w:rsid w:val="00C42064"/>
    <w:rsid w:val="00C532F1"/>
    <w:rsid w:val="00C56A49"/>
    <w:rsid w:val="00C64229"/>
    <w:rsid w:val="00C7419D"/>
    <w:rsid w:val="00C761A3"/>
    <w:rsid w:val="00C87847"/>
    <w:rsid w:val="00C90E4E"/>
    <w:rsid w:val="00CA046D"/>
    <w:rsid w:val="00CA6CAB"/>
    <w:rsid w:val="00CB3ADC"/>
    <w:rsid w:val="00CB7575"/>
    <w:rsid w:val="00CC3EE2"/>
    <w:rsid w:val="00CC7814"/>
    <w:rsid w:val="00CE5353"/>
    <w:rsid w:val="00D07046"/>
    <w:rsid w:val="00D16296"/>
    <w:rsid w:val="00D243EC"/>
    <w:rsid w:val="00D40561"/>
    <w:rsid w:val="00D4538C"/>
    <w:rsid w:val="00D57E8F"/>
    <w:rsid w:val="00D618B3"/>
    <w:rsid w:val="00D6668C"/>
    <w:rsid w:val="00D71FD4"/>
    <w:rsid w:val="00D87858"/>
    <w:rsid w:val="00D87D40"/>
    <w:rsid w:val="00D87E3B"/>
    <w:rsid w:val="00DA220D"/>
    <w:rsid w:val="00DC0BFD"/>
    <w:rsid w:val="00DD2CD6"/>
    <w:rsid w:val="00DD6345"/>
    <w:rsid w:val="00DD7F34"/>
    <w:rsid w:val="00DE1B6A"/>
    <w:rsid w:val="00E017B0"/>
    <w:rsid w:val="00E023CE"/>
    <w:rsid w:val="00E05B61"/>
    <w:rsid w:val="00E23049"/>
    <w:rsid w:val="00E3330E"/>
    <w:rsid w:val="00E539C7"/>
    <w:rsid w:val="00E66B71"/>
    <w:rsid w:val="00E702A0"/>
    <w:rsid w:val="00E81220"/>
    <w:rsid w:val="00E941BE"/>
    <w:rsid w:val="00E96D0C"/>
    <w:rsid w:val="00E973B7"/>
    <w:rsid w:val="00ED0465"/>
    <w:rsid w:val="00EE1553"/>
    <w:rsid w:val="00EE2267"/>
    <w:rsid w:val="00F0138F"/>
    <w:rsid w:val="00F24963"/>
    <w:rsid w:val="00F272A5"/>
    <w:rsid w:val="00F41A39"/>
    <w:rsid w:val="00F54E75"/>
    <w:rsid w:val="00F6153C"/>
    <w:rsid w:val="00F707FC"/>
    <w:rsid w:val="00F73D08"/>
    <w:rsid w:val="00F93794"/>
    <w:rsid w:val="00F95EBD"/>
    <w:rsid w:val="00FB5B33"/>
    <w:rsid w:val="00FC35B5"/>
    <w:rsid w:val="00FD74F8"/>
    <w:rsid w:val="00FE2F70"/>
    <w:rsid w:val="00FE629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74FF129"/>
  <w15:chartTrackingRefBased/>
  <w15:docId w15:val="{5737B24E-4D68-4648-991D-B52ED931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6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514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PlaceholderText">
    <w:name w:val="Placeholder Text"/>
    <w:basedOn w:val="DefaultParagraphFont"/>
    <w:uiPriority w:val="99"/>
    <w:semiHidden/>
    <w:rsid w:val="00992694"/>
    <w:rPr>
      <w:color w:val="666666"/>
    </w:rPr>
  </w:style>
  <w:style w:type="paragraph" w:styleId="FootnoteText">
    <w:name w:val="footnote text"/>
    <w:basedOn w:val="Normal"/>
    <w:link w:val="FootnoteTextChar"/>
    <w:uiPriority w:val="99"/>
    <w:semiHidden/>
    <w:unhideWhenUsed/>
    <w:rsid w:val="00BB04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04F2"/>
    <w:rPr>
      <w:sz w:val="20"/>
      <w:szCs w:val="20"/>
    </w:rPr>
  </w:style>
  <w:style w:type="character" w:styleId="FootnoteReference">
    <w:name w:val="footnote reference"/>
    <w:basedOn w:val="DefaultParagraphFont"/>
    <w:uiPriority w:val="99"/>
    <w:semiHidden/>
    <w:unhideWhenUsed/>
    <w:rsid w:val="00BB04F2"/>
    <w:rPr>
      <w:vertAlign w:val="superscript"/>
    </w:rPr>
  </w:style>
  <w:style w:type="character" w:styleId="Hyperlink">
    <w:name w:val="Hyperlink"/>
    <w:basedOn w:val="DefaultParagraphFont"/>
    <w:uiPriority w:val="99"/>
    <w:unhideWhenUsed/>
    <w:rsid w:val="005C48E6"/>
    <w:rPr>
      <w:color w:val="0563C1" w:themeColor="hyperlink"/>
      <w:u w:val="single"/>
    </w:rPr>
  </w:style>
  <w:style w:type="character" w:styleId="UnresolvedMention">
    <w:name w:val="Unresolved Mention"/>
    <w:basedOn w:val="DefaultParagraphFont"/>
    <w:uiPriority w:val="99"/>
    <w:semiHidden/>
    <w:unhideWhenUsed/>
    <w:rsid w:val="005C48E6"/>
    <w:rPr>
      <w:color w:val="605E5C"/>
      <w:shd w:val="clear" w:color="auto" w:fill="E1DFDD"/>
    </w:rPr>
  </w:style>
  <w:style w:type="paragraph" w:styleId="Bibliography">
    <w:name w:val="Bibliography"/>
    <w:basedOn w:val="Normal"/>
    <w:next w:val="Normal"/>
    <w:uiPriority w:val="37"/>
    <w:unhideWhenUsed/>
    <w:rsid w:val="005A754A"/>
  </w:style>
  <w:style w:type="paragraph" w:styleId="Header">
    <w:name w:val="header"/>
    <w:basedOn w:val="Normal"/>
    <w:link w:val="HeaderChar"/>
    <w:uiPriority w:val="99"/>
    <w:unhideWhenUsed/>
    <w:rsid w:val="00D57E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E8F"/>
  </w:style>
  <w:style w:type="paragraph" w:styleId="Footer">
    <w:name w:val="footer"/>
    <w:basedOn w:val="Normal"/>
    <w:link w:val="FooterChar"/>
    <w:uiPriority w:val="99"/>
    <w:unhideWhenUsed/>
    <w:rsid w:val="00D57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3041">
      <w:bodyDiv w:val="1"/>
      <w:marLeft w:val="0"/>
      <w:marRight w:val="0"/>
      <w:marTop w:val="0"/>
      <w:marBottom w:val="0"/>
      <w:divBdr>
        <w:top w:val="none" w:sz="0" w:space="0" w:color="auto"/>
        <w:left w:val="none" w:sz="0" w:space="0" w:color="auto"/>
        <w:bottom w:val="none" w:sz="0" w:space="0" w:color="auto"/>
        <w:right w:val="none" w:sz="0" w:space="0" w:color="auto"/>
      </w:divBdr>
    </w:div>
    <w:div w:id="15547855">
      <w:bodyDiv w:val="1"/>
      <w:marLeft w:val="0"/>
      <w:marRight w:val="0"/>
      <w:marTop w:val="0"/>
      <w:marBottom w:val="0"/>
      <w:divBdr>
        <w:top w:val="none" w:sz="0" w:space="0" w:color="auto"/>
        <w:left w:val="none" w:sz="0" w:space="0" w:color="auto"/>
        <w:bottom w:val="none" w:sz="0" w:space="0" w:color="auto"/>
        <w:right w:val="none" w:sz="0" w:space="0" w:color="auto"/>
      </w:divBdr>
    </w:div>
    <w:div w:id="33895421">
      <w:bodyDiv w:val="1"/>
      <w:marLeft w:val="0"/>
      <w:marRight w:val="0"/>
      <w:marTop w:val="0"/>
      <w:marBottom w:val="0"/>
      <w:divBdr>
        <w:top w:val="none" w:sz="0" w:space="0" w:color="auto"/>
        <w:left w:val="none" w:sz="0" w:space="0" w:color="auto"/>
        <w:bottom w:val="none" w:sz="0" w:space="0" w:color="auto"/>
        <w:right w:val="none" w:sz="0" w:space="0" w:color="auto"/>
      </w:divBdr>
    </w:div>
    <w:div w:id="154148727">
      <w:bodyDiv w:val="1"/>
      <w:marLeft w:val="0"/>
      <w:marRight w:val="0"/>
      <w:marTop w:val="0"/>
      <w:marBottom w:val="0"/>
      <w:divBdr>
        <w:top w:val="none" w:sz="0" w:space="0" w:color="auto"/>
        <w:left w:val="none" w:sz="0" w:space="0" w:color="auto"/>
        <w:bottom w:val="none" w:sz="0" w:space="0" w:color="auto"/>
        <w:right w:val="none" w:sz="0" w:space="0" w:color="auto"/>
      </w:divBdr>
    </w:div>
    <w:div w:id="173157187">
      <w:bodyDiv w:val="1"/>
      <w:marLeft w:val="0"/>
      <w:marRight w:val="0"/>
      <w:marTop w:val="0"/>
      <w:marBottom w:val="0"/>
      <w:divBdr>
        <w:top w:val="none" w:sz="0" w:space="0" w:color="auto"/>
        <w:left w:val="none" w:sz="0" w:space="0" w:color="auto"/>
        <w:bottom w:val="none" w:sz="0" w:space="0" w:color="auto"/>
        <w:right w:val="none" w:sz="0" w:space="0" w:color="auto"/>
      </w:divBdr>
    </w:div>
    <w:div w:id="185872315">
      <w:bodyDiv w:val="1"/>
      <w:marLeft w:val="0"/>
      <w:marRight w:val="0"/>
      <w:marTop w:val="0"/>
      <w:marBottom w:val="0"/>
      <w:divBdr>
        <w:top w:val="none" w:sz="0" w:space="0" w:color="auto"/>
        <w:left w:val="none" w:sz="0" w:space="0" w:color="auto"/>
        <w:bottom w:val="none" w:sz="0" w:space="0" w:color="auto"/>
        <w:right w:val="none" w:sz="0" w:space="0" w:color="auto"/>
      </w:divBdr>
    </w:div>
    <w:div w:id="187646443">
      <w:bodyDiv w:val="1"/>
      <w:marLeft w:val="0"/>
      <w:marRight w:val="0"/>
      <w:marTop w:val="0"/>
      <w:marBottom w:val="0"/>
      <w:divBdr>
        <w:top w:val="none" w:sz="0" w:space="0" w:color="auto"/>
        <w:left w:val="none" w:sz="0" w:space="0" w:color="auto"/>
        <w:bottom w:val="none" w:sz="0" w:space="0" w:color="auto"/>
        <w:right w:val="none" w:sz="0" w:space="0" w:color="auto"/>
      </w:divBdr>
    </w:div>
    <w:div w:id="290669463">
      <w:bodyDiv w:val="1"/>
      <w:marLeft w:val="0"/>
      <w:marRight w:val="0"/>
      <w:marTop w:val="0"/>
      <w:marBottom w:val="0"/>
      <w:divBdr>
        <w:top w:val="none" w:sz="0" w:space="0" w:color="auto"/>
        <w:left w:val="none" w:sz="0" w:space="0" w:color="auto"/>
        <w:bottom w:val="none" w:sz="0" w:space="0" w:color="auto"/>
        <w:right w:val="none" w:sz="0" w:space="0" w:color="auto"/>
      </w:divBdr>
    </w:div>
    <w:div w:id="434179672">
      <w:bodyDiv w:val="1"/>
      <w:marLeft w:val="0"/>
      <w:marRight w:val="0"/>
      <w:marTop w:val="0"/>
      <w:marBottom w:val="0"/>
      <w:divBdr>
        <w:top w:val="none" w:sz="0" w:space="0" w:color="auto"/>
        <w:left w:val="none" w:sz="0" w:space="0" w:color="auto"/>
        <w:bottom w:val="none" w:sz="0" w:space="0" w:color="auto"/>
        <w:right w:val="none" w:sz="0" w:space="0" w:color="auto"/>
      </w:divBdr>
    </w:div>
    <w:div w:id="445780462">
      <w:bodyDiv w:val="1"/>
      <w:marLeft w:val="0"/>
      <w:marRight w:val="0"/>
      <w:marTop w:val="0"/>
      <w:marBottom w:val="0"/>
      <w:divBdr>
        <w:top w:val="none" w:sz="0" w:space="0" w:color="auto"/>
        <w:left w:val="none" w:sz="0" w:space="0" w:color="auto"/>
        <w:bottom w:val="none" w:sz="0" w:space="0" w:color="auto"/>
        <w:right w:val="none" w:sz="0" w:space="0" w:color="auto"/>
      </w:divBdr>
    </w:div>
    <w:div w:id="457769332">
      <w:bodyDiv w:val="1"/>
      <w:marLeft w:val="0"/>
      <w:marRight w:val="0"/>
      <w:marTop w:val="0"/>
      <w:marBottom w:val="0"/>
      <w:divBdr>
        <w:top w:val="none" w:sz="0" w:space="0" w:color="auto"/>
        <w:left w:val="none" w:sz="0" w:space="0" w:color="auto"/>
        <w:bottom w:val="none" w:sz="0" w:space="0" w:color="auto"/>
        <w:right w:val="none" w:sz="0" w:space="0" w:color="auto"/>
      </w:divBdr>
    </w:div>
    <w:div w:id="508494146">
      <w:bodyDiv w:val="1"/>
      <w:marLeft w:val="0"/>
      <w:marRight w:val="0"/>
      <w:marTop w:val="0"/>
      <w:marBottom w:val="0"/>
      <w:divBdr>
        <w:top w:val="none" w:sz="0" w:space="0" w:color="auto"/>
        <w:left w:val="none" w:sz="0" w:space="0" w:color="auto"/>
        <w:bottom w:val="none" w:sz="0" w:space="0" w:color="auto"/>
        <w:right w:val="none" w:sz="0" w:space="0" w:color="auto"/>
      </w:divBdr>
    </w:div>
    <w:div w:id="530729381">
      <w:bodyDiv w:val="1"/>
      <w:marLeft w:val="0"/>
      <w:marRight w:val="0"/>
      <w:marTop w:val="0"/>
      <w:marBottom w:val="0"/>
      <w:divBdr>
        <w:top w:val="none" w:sz="0" w:space="0" w:color="auto"/>
        <w:left w:val="none" w:sz="0" w:space="0" w:color="auto"/>
        <w:bottom w:val="none" w:sz="0" w:space="0" w:color="auto"/>
        <w:right w:val="none" w:sz="0" w:space="0" w:color="auto"/>
      </w:divBdr>
    </w:div>
    <w:div w:id="561526319">
      <w:bodyDiv w:val="1"/>
      <w:marLeft w:val="0"/>
      <w:marRight w:val="0"/>
      <w:marTop w:val="0"/>
      <w:marBottom w:val="0"/>
      <w:divBdr>
        <w:top w:val="none" w:sz="0" w:space="0" w:color="auto"/>
        <w:left w:val="none" w:sz="0" w:space="0" w:color="auto"/>
        <w:bottom w:val="none" w:sz="0" w:space="0" w:color="auto"/>
        <w:right w:val="none" w:sz="0" w:space="0" w:color="auto"/>
      </w:divBdr>
    </w:div>
    <w:div w:id="584656855">
      <w:bodyDiv w:val="1"/>
      <w:marLeft w:val="0"/>
      <w:marRight w:val="0"/>
      <w:marTop w:val="0"/>
      <w:marBottom w:val="0"/>
      <w:divBdr>
        <w:top w:val="none" w:sz="0" w:space="0" w:color="auto"/>
        <w:left w:val="none" w:sz="0" w:space="0" w:color="auto"/>
        <w:bottom w:val="none" w:sz="0" w:space="0" w:color="auto"/>
        <w:right w:val="none" w:sz="0" w:space="0" w:color="auto"/>
      </w:divBdr>
    </w:div>
    <w:div w:id="598684607">
      <w:bodyDiv w:val="1"/>
      <w:marLeft w:val="0"/>
      <w:marRight w:val="0"/>
      <w:marTop w:val="0"/>
      <w:marBottom w:val="0"/>
      <w:divBdr>
        <w:top w:val="none" w:sz="0" w:space="0" w:color="auto"/>
        <w:left w:val="none" w:sz="0" w:space="0" w:color="auto"/>
        <w:bottom w:val="none" w:sz="0" w:space="0" w:color="auto"/>
        <w:right w:val="none" w:sz="0" w:space="0" w:color="auto"/>
      </w:divBdr>
    </w:div>
    <w:div w:id="607978507">
      <w:bodyDiv w:val="1"/>
      <w:marLeft w:val="0"/>
      <w:marRight w:val="0"/>
      <w:marTop w:val="0"/>
      <w:marBottom w:val="0"/>
      <w:divBdr>
        <w:top w:val="none" w:sz="0" w:space="0" w:color="auto"/>
        <w:left w:val="none" w:sz="0" w:space="0" w:color="auto"/>
        <w:bottom w:val="none" w:sz="0" w:space="0" w:color="auto"/>
        <w:right w:val="none" w:sz="0" w:space="0" w:color="auto"/>
      </w:divBdr>
    </w:div>
    <w:div w:id="620456984">
      <w:bodyDiv w:val="1"/>
      <w:marLeft w:val="0"/>
      <w:marRight w:val="0"/>
      <w:marTop w:val="0"/>
      <w:marBottom w:val="0"/>
      <w:divBdr>
        <w:top w:val="none" w:sz="0" w:space="0" w:color="auto"/>
        <w:left w:val="none" w:sz="0" w:space="0" w:color="auto"/>
        <w:bottom w:val="none" w:sz="0" w:space="0" w:color="auto"/>
        <w:right w:val="none" w:sz="0" w:space="0" w:color="auto"/>
      </w:divBdr>
    </w:div>
    <w:div w:id="628243628">
      <w:bodyDiv w:val="1"/>
      <w:marLeft w:val="0"/>
      <w:marRight w:val="0"/>
      <w:marTop w:val="0"/>
      <w:marBottom w:val="0"/>
      <w:divBdr>
        <w:top w:val="none" w:sz="0" w:space="0" w:color="auto"/>
        <w:left w:val="none" w:sz="0" w:space="0" w:color="auto"/>
        <w:bottom w:val="none" w:sz="0" w:space="0" w:color="auto"/>
        <w:right w:val="none" w:sz="0" w:space="0" w:color="auto"/>
      </w:divBdr>
    </w:div>
    <w:div w:id="781727309">
      <w:bodyDiv w:val="1"/>
      <w:marLeft w:val="0"/>
      <w:marRight w:val="0"/>
      <w:marTop w:val="0"/>
      <w:marBottom w:val="0"/>
      <w:divBdr>
        <w:top w:val="none" w:sz="0" w:space="0" w:color="auto"/>
        <w:left w:val="none" w:sz="0" w:space="0" w:color="auto"/>
        <w:bottom w:val="none" w:sz="0" w:space="0" w:color="auto"/>
        <w:right w:val="none" w:sz="0" w:space="0" w:color="auto"/>
      </w:divBdr>
    </w:div>
    <w:div w:id="844051793">
      <w:bodyDiv w:val="1"/>
      <w:marLeft w:val="0"/>
      <w:marRight w:val="0"/>
      <w:marTop w:val="0"/>
      <w:marBottom w:val="0"/>
      <w:divBdr>
        <w:top w:val="none" w:sz="0" w:space="0" w:color="auto"/>
        <w:left w:val="none" w:sz="0" w:space="0" w:color="auto"/>
        <w:bottom w:val="none" w:sz="0" w:space="0" w:color="auto"/>
        <w:right w:val="none" w:sz="0" w:space="0" w:color="auto"/>
      </w:divBdr>
    </w:div>
    <w:div w:id="890967571">
      <w:bodyDiv w:val="1"/>
      <w:marLeft w:val="0"/>
      <w:marRight w:val="0"/>
      <w:marTop w:val="0"/>
      <w:marBottom w:val="0"/>
      <w:divBdr>
        <w:top w:val="none" w:sz="0" w:space="0" w:color="auto"/>
        <w:left w:val="none" w:sz="0" w:space="0" w:color="auto"/>
        <w:bottom w:val="none" w:sz="0" w:space="0" w:color="auto"/>
        <w:right w:val="none" w:sz="0" w:space="0" w:color="auto"/>
      </w:divBdr>
    </w:div>
    <w:div w:id="939025250">
      <w:bodyDiv w:val="1"/>
      <w:marLeft w:val="0"/>
      <w:marRight w:val="0"/>
      <w:marTop w:val="0"/>
      <w:marBottom w:val="0"/>
      <w:divBdr>
        <w:top w:val="none" w:sz="0" w:space="0" w:color="auto"/>
        <w:left w:val="none" w:sz="0" w:space="0" w:color="auto"/>
        <w:bottom w:val="none" w:sz="0" w:space="0" w:color="auto"/>
        <w:right w:val="none" w:sz="0" w:space="0" w:color="auto"/>
      </w:divBdr>
    </w:div>
    <w:div w:id="974994621">
      <w:bodyDiv w:val="1"/>
      <w:marLeft w:val="0"/>
      <w:marRight w:val="0"/>
      <w:marTop w:val="0"/>
      <w:marBottom w:val="0"/>
      <w:divBdr>
        <w:top w:val="none" w:sz="0" w:space="0" w:color="auto"/>
        <w:left w:val="none" w:sz="0" w:space="0" w:color="auto"/>
        <w:bottom w:val="none" w:sz="0" w:space="0" w:color="auto"/>
        <w:right w:val="none" w:sz="0" w:space="0" w:color="auto"/>
      </w:divBdr>
    </w:div>
    <w:div w:id="1016737079">
      <w:bodyDiv w:val="1"/>
      <w:marLeft w:val="0"/>
      <w:marRight w:val="0"/>
      <w:marTop w:val="0"/>
      <w:marBottom w:val="0"/>
      <w:divBdr>
        <w:top w:val="none" w:sz="0" w:space="0" w:color="auto"/>
        <w:left w:val="none" w:sz="0" w:space="0" w:color="auto"/>
        <w:bottom w:val="none" w:sz="0" w:space="0" w:color="auto"/>
        <w:right w:val="none" w:sz="0" w:space="0" w:color="auto"/>
      </w:divBdr>
    </w:div>
    <w:div w:id="1019504802">
      <w:bodyDiv w:val="1"/>
      <w:marLeft w:val="0"/>
      <w:marRight w:val="0"/>
      <w:marTop w:val="0"/>
      <w:marBottom w:val="0"/>
      <w:divBdr>
        <w:top w:val="none" w:sz="0" w:space="0" w:color="auto"/>
        <w:left w:val="none" w:sz="0" w:space="0" w:color="auto"/>
        <w:bottom w:val="none" w:sz="0" w:space="0" w:color="auto"/>
        <w:right w:val="none" w:sz="0" w:space="0" w:color="auto"/>
      </w:divBdr>
    </w:div>
    <w:div w:id="1061517944">
      <w:bodyDiv w:val="1"/>
      <w:marLeft w:val="0"/>
      <w:marRight w:val="0"/>
      <w:marTop w:val="0"/>
      <w:marBottom w:val="0"/>
      <w:divBdr>
        <w:top w:val="none" w:sz="0" w:space="0" w:color="auto"/>
        <w:left w:val="none" w:sz="0" w:space="0" w:color="auto"/>
        <w:bottom w:val="none" w:sz="0" w:space="0" w:color="auto"/>
        <w:right w:val="none" w:sz="0" w:space="0" w:color="auto"/>
      </w:divBdr>
    </w:div>
    <w:div w:id="1135871614">
      <w:bodyDiv w:val="1"/>
      <w:marLeft w:val="0"/>
      <w:marRight w:val="0"/>
      <w:marTop w:val="0"/>
      <w:marBottom w:val="0"/>
      <w:divBdr>
        <w:top w:val="none" w:sz="0" w:space="0" w:color="auto"/>
        <w:left w:val="none" w:sz="0" w:space="0" w:color="auto"/>
        <w:bottom w:val="none" w:sz="0" w:space="0" w:color="auto"/>
        <w:right w:val="none" w:sz="0" w:space="0" w:color="auto"/>
      </w:divBdr>
    </w:div>
    <w:div w:id="1153182799">
      <w:bodyDiv w:val="1"/>
      <w:marLeft w:val="0"/>
      <w:marRight w:val="0"/>
      <w:marTop w:val="0"/>
      <w:marBottom w:val="0"/>
      <w:divBdr>
        <w:top w:val="none" w:sz="0" w:space="0" w:color="auto"/>
        <w:left w:val="none" w:sz="0" w:space="0" w:color="auto"/>
        <w:bottom w:val="none" w:sz="0" w:space="0" w:color="auto"/>
        <w:right w:val="none" w:sz="0" w:space="0" w:color="auto"/>
      </w:divBdr>
    </w:div>
    <w:div w:id="1154831314">
      <w:bodyDiv w:val="1"/>
      <w:marLeft w:val="0"/>
      <w:marRight w:val="0"/>
      <w:marTop w:val="0"/>
      <w:marBottom w:val="0"/>
      <w:divBdr>
        <w:top w:val="none" w:sz="0" w:space="0" w:color="auto"/>
        <w:left w:val="none" w:sz="0" w:space="0" w:color="auto"/>
        <w:bottom w:val="none" w:sz="0" w:space="0" w:color="auto"/>
        <w:right w:val="none" w:sz="0" w:space="0" w:color="auto"/>
      </w:divBdr>
    </w:div>
    <w:div w:id="1203248969">
      <w:bodyDiv w:val="1"/>
      <w:marLeft w:val="0"/>
      <w:marRight w:val="0"/>
      <w:marTop w:val="0"/>
      <w:marBottom w:val="0"/>
      <w:divBdr>
        <w:top w:val="none" w:sz="0" w:space="0" w:color="auto"/>
        <w:left w:val="none" w:sz="0" w:space="0" w:color="auto"/>
        <w:bottom w:val="none" w:sz="0" w:space="0" w:color="auto"/>
        <w:right w:val="none" w:sz="0" w:space="0" w:color="auto"/>
      </w:divBdr>
    </w:div>
    <w:div w:id="1251625679">
      <w:bodyDiv w:val="1"/>
      <w:marLeft w:val="0"/>
      <w:marRight w:val="0"/>
      <w:marTop w:val="0"/>
      <w:marBottom w:val="0"/>
      <w:divBdr>
        <w:top w:val="none" w:sz="0" w:space="0" w:color="auto"/>
        <w:left w:val="none" w:sz="0" w:space="0" w:color="auto"/>
        <w:bottom w:val="none" w:sz="0" w:space="0" w:color="auto"/>
        <w:right w:val="none" w:sz="0" w:space="0" w:color="auto"/>
      </w:divBdr>
    </w:div>
    <w:div w:id="1305624742">
      <w:bodyDiv w:val="1"/>
      <w:marLeft w:val="0"/>
      <w:marRight w:val="0"/>
      <w:marTop w:val="0"/>
      <w:marBottom w:val="0"/>
      <w:divBdr>
        <w:top w:val="none" w:sz="0" w:space="0" w:color="auto"/>
        <w:left w:val="none" w:sz="0" w:space="0" w:color="auto"/>
        <w:bottom w:val="none" w:sz="0" w:space="0" w:color="auto"/>
        <w:right w:val="none" w:sz="0" w:space="0" w:color="auto"/>
      </w:divBdr>
    </w:div>
    <w:div w:id="1321811086">
      <w:bodyDiv w:val="1"/>
      <w:marLeft w:val="0"/>
      <w:marRight w:val="0"/>
      <w:marTop w:val="0"/>
      <w:marBottom w:val="0"/>
      <w:divBdr>
        <w:top w:val="none" w:sz="0" w:space="0" w:color="auto"/>
        <w:left w:val="none" w:sz="0" w:space="0" w:color="auto"/>
        <w:bottom w:val="none" w:sz="0" w:space="0" w:color="auto"/>
        <w:right w:val="none" w:sz="0" w:space="0" w:color="auto"/>
      </w:divBdr>
    </w:div>
    <w:div w:id="1601790213">
      <w:bodyDiv w:val="1"/>
      <w:marLeft w:val="0"/>
      <w:marRight w:val="0"/>
      <w:marTop w:val="0"/>
      <w:marBottom w:val="0"/>
      <w:divBdr>
        <w:top w:val="none" w:sz="0" w:space="0" w:color="auto"/>
        <w:left w:val="none" w:sz="0" w:space="0" w:color="auto"/>
        <w:bottom w:val="none" w:sz="0" w:space="0" w:color="auto"/>
        <w:right w:val="none" w:sz="0" w:space="0" w:color="auto"/>
      </w:divBdr>
    </w:div>
    <w:div w:id="1764036056">
      <w:bodyDiv w:val="1"/>
      <w:marLeft w:val="0"/>
      <w:marRight w:val="0"/>
      <w:marTop w:val="0"/>
      <w:marBottom w:val="0"/>
      <w:divBdr>
        <w:top w:val="none" w:sz="0" w:space="0" w:color="auto"/>
        <w:left w:val="none" w:sz="0" w:space="0" w:color="auto"/>
        <w:bottom w:val="none" w:sz="0" w:space="0" w:color="auto"/>
        <w:right w:val="none" w:sz="0" w:space="0" w:color="auto"/>
      </w:divBdr>
    </w:div>
    <w:div w:id="1780947422">
      <w:bodyDiv w:val="1"/>
      <w:marLeft w:val="0"/>
      <w:marRight w:val="0"/>
      <w:marTop w:val="0"/>
      <w:marBottom w:val="0"/>
      <w:divBdr>
        <w:top w:val="none" w:sz="0" w:space="0" w:color="auto"/>
        <w:left w:val="none" w:sz="0" w:space="0" w:color="auto"/>
        <w:bottom w:val="none" w:sz="0" w:space="0" w:color="auto"/>
        <w:right w:val="none" w:sz="0" w:space="0" w:color="auto"/>
      </w:divBdr>
    </w:div>
    <w:div w:id="1908301306">
      <w:bodyDiv w:val="1"/>
      <w:marLeft w:val="0"/>
      <w:marRight w:val="0"/>
      <w:marTop w:val="0"/>
      <w:marBottom w:val="0"/>
      <w:divBdr>
        <w:top w:val="none" w:sz="0" w:space="0" w:color="auto"/>
        <w:left w:val="none" w:sz="0" w:space="0" w:color="auto"/>
        <w:bottom w:val="none" w:sz="0" w:space="0" w:color="auto"/>
        <w:right w:val="none" w:sz="0" w:space="0" w:color="auto"/>
      </w:divBdr>
    </w:div>
    <w:div w:id="1951624641">
      <w:bodyDiv w:val="1"/>
      <w:marLeft w:val="0"/>
      <w:marRight w:val="0"/>
      <w:marTop w:val="0"/>
      <w:marBottom w:val="0"/>
      <w:divBdr>
        <w:top w:val="none" w:sz="0" w:space="0" w:color="auto"/>
        <w:left w:val="none" w:sz="0" w:space="0" w:color="auto"/>
        <w:bottom w:val="none" w:sz="0" w:space="0" w:color="auto"/>
        <w:right w:val="none" w:sz="0" w:space="0" w:color="auto"/>
      </w:divBdr>
    </w:div>
    <w:div w:id="2076780484">
      <w:bodyDiv w:val="1"/>
      <w:marLeft w:val="0"/>
      <w:marRight w:val="0"/>
      <w:marTop w:val="0"/>
      <w:marBottom w:val="0"/>
      <w:divBdr>
        <w:top w:val="none" w:sz="0" w:space="0" w:color="auto"/>
        <w:left w:val="none" w:sz="0" w:space="0" w:color="auto"/>
        <w:bottom w:val="none" w:sz="0" w:space="0" w:color="auto"/>
        <w:right w:val="none" w:sz="0" w:space="0" w:color="auto"/>
      </w:divBdr>
    </w:div>
    <w:div w:id="210299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IN" sz="1000">
                <a:latin typeface="Arial" panose="020B0604020202020204" pitchFamily="34" charset="0"/>
                <a:cs typeface="Arial" panose="020B0604020202020204" pitchFamily="34" charset="0"/>
              </a:rPr>
              <a:t>fig 1. Agriculture</a:t>
            </a:r>
            <a:r>
              <a:rPr lang="en-IN" sz="1000" baseline="0">
                <a:latin typeface="Arial" panose="020B0604020202020204" pitchFamily="34" charset="0"/>
                <a:cs typeface="Arial" panose="020B0604020202020204" pitchFamily="34" charset="0"/>
              </a:rPr>
              <a:t> credit in india</a:t>
            </a:r>
            <a:endParaRPr lang="en-IN" sz="10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Formal </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Sheet1!$A$2:$A$9</c:f>
              <c:strCache>
                <c:ptCount val="8"/>
                <c:pt idx="0">
                  <c:v>1951-52</c:v>
                </c:pt>
                <c:pt idx="1">
                  <c:v>1961-62</c:v>
                </c:pt>
                <c:pt idx="2">
                  <c:v>1971-72</c:v>
                </c:pt>
                <c:pt idx="3">
                  <c:v>1981-82</c:v>
                </c:pt>
                <c:pt idx="4">
                  <c:v>1991-92</c:v>
                </c:pt>
                <c:pt idx="5">
                  <c:v>2002-03</c:v>
                </c:pt>
                <c:pt idx="6">
                  <c:v>2012-13</c:v>
                </c:pt>
                <c:pt idx="7">
                  <c:v>2018-19</c:v>
                </c:pt>
              </c:strCache>
            </c:strRef>
          </c:cat>
          <c:val>
            <c:numRef>
              <c:f>Sheet1!$B$2:$B$9</c:f>
              <c:numCache>
                <c:formatCode>General</c:formatCode>
                <c:ptCount val="8"/>
                <c:pt idx="0">
                  <c:v>10.199999999999999</c:v>
                </c:pt>
                <c:pt idx="1">
                  <c:v>20.9</c:v>
                </c:pt>
                <c:pt idx="2">
                  <c:v>32</c:v>
                </c:pt>
                <c:pt idx="3">
                  <c:v>56.2</c:v>
                </c:pt>
                <c:pt idx="4">
                  <c:v>54.7</c:v>
                </c:pt>
                <c:pt idx="5">
                  <c:v>55.1</c:v>
                </c:pt>
                <c:pt idx="6">
                  <c:v>60.2</c:v>
                </c:pt>
                <c:pt idx="7">
                  <c:v>62.42</c:v>
                </c:pt>
              </c:numCache>
            </c:numRef>
          </c:val>
          <c:extLst>
            <c:ext xmlns:c16="http://schemas.microsoft.com/office/drawing/2014/chart" uri="{C3380CC4-5D6E-409C-BE32-E72D297353CC}">
              <c16:uniqueId val="{00000000-B615-40BC-85DD-8AED9067B08A}"/>
            </c:ext>
          </c:extLst>
        </c:ser>
        <c:ser>
          <c:idx val="1"/>
          <c:order val="1"/>
          <c:tx>
            <c:strRef>
              <c:f>Sheet1!$C$1</c:f>
              <c:strCache>
                <c:ptCount val="1"/>
                <c:pt idx="0">
                  <c:v>Informal</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Sheet1!$A$2:$A$9</c:f>
              <c:strCache>
                <c:ptCount val="8"/>
                <c:pt idx="0">
                  <c:v>1951-52</c:v>
                </c:pt>
                <c:pt idx="1">
                  <c:v>1961-62</c:v>
                </c:pt>
                <c:pt idx="2">
                  <c:v>1971-72</c:v>
                </c:pt>
                <c:pt idx="3">
                  <c:v>1981-82</c:v>
                </c:pt>
                <c:pt idx="4">
                  <c:v>1991-92</c:v>
                </c:pt>
                <c:pt idx="5">
                  <c:v>2002-03</c:v>
                </c:pt>
                <c:pt idx="6">
                  <c:v>2012-13</c:v>
                </c:pt>
                <c:pt idx="7">
                  <c:v>2018-19</c:v>
                </c:pt>
              </c:strCache>
            </c:strRef>
          </c:cat>
          <c:val>
            <c:numRef>
              <c:f>Sheet1!$C$2:$C$9</c:f>
              <c:numCache>
                <c:formatCode>General</c:formatCode>
                <c:ptCount val="8"/>
                <c:pt idx="0">
                  <c:v>89.8</c:v>
                </c:pt>
                <c:pt idx="1">
                  <c:v>79.099999999999994</c:v>
                </c:pt>
                <c:pt idx="2">
                  <c:v>68</c:v>
                </c:pt>
                <c:pt idx="3">
                  <c:v>43.8</c:v>
                </c:pt>
                <c:pt idx="4">
                  <c:v>45.3</c:v>
                </c:pt>
                <c:pt idx="5">
                  <c:v>44.9</c:v>
                </c:pt>
                <c:pt idx="6">
                  <c:v>39.799999999999997</c:v>
                </c:pt>
                <c:pt idx="7">
                  <c:v>37.58</c:v>
                </c:pt>
              </c:numCache>
            </c:numRef>
          </c:val>
          <c:extLst>
            <c:ext xmlns:c16="http://schemas.microsoft.com/office/drawing/2014/chart" uri="{C3380CC4-5D6E-409C-BE32-E72D297353CC}">
              <c16:uniqueId val="{00000001-B615-40BC-85DD-8AED9067B08A}"/>
            </c:ext>
          </c:extLst>
        </c:ser>
        <c:dLbls>
          <c:dLblPos val="outEnd"/>
          <c:showLegendKey val="0"/>
          <c:showVal val="1"/>
          <c:showCatName val="0"/>
          <c:showSerName val="0"/>
          <c:showPercent val="0"/>
          <c:showBubbleSize val="0"/>
        </c:dLbls>
        <c:gapWidth val="444"/>
        <c:overlap val="-90"/>
        <c:axId val="927670287"/>
        <c:axId val="927670767"/>
      </c:barChart>
      <c:catAx>
        <c:axId val="92767028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927670767"/>
        <c:crosses val="autoZero"/>
        <c:auto val="1"/>
        <c:lblAlgn val="ctr"/>
        <c:lblOffset val="100"/>
        <c:noMultiLvlLbl val="0"/>
      </c:catAx>
      <c:valAx>
        <c:axId val="927670767"/>
        <c:scaling>
          <c:orientation val="minMax"/>
        </c:scaling>
        <c:delete val="1"/>
        <c:axPos val="l"/>
        <c:numFmt formatCode="General" sourceLinked="1"/>
        <c:majorTickMark val="none"/>
        <c:minorTickMark val="none"/>
        <c:tickLblPos val="nextTo"/>
        <c:crossAx val="927670287"/>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GUL19</b:Tag>
    <b:SourceType>JournalArticle</b:SourceType>
    <b:Guid>{16FFD54D-F3F5-485C-82D9-DB9EA08BE0A5}</b:Guid>
    <b:Title>Agricultural credit system in India: Evolution, effectiveness and innovations</b:Title>
    <b:JournalName> ZEF Working Paper Series, No. 184</b:JournalName>
    <b:Year>2019</b:Year>
    <b:Author>
      <b:Author>
        <b:NameList>
          <b:Person>
            <b:Last>GULATI </b:Last>
            <b:First>ASHOK </b:First>
          </b:Person>
          <b:Person>
            <b:Last>JUNEJA</b:Last>
            <b:First>RITIKA </b:First>
          </b:Person>
        </b:NameList>
      </b:Author>
    </b:Author>
    <b:RefOrder>1</b:RefOrder>
  </b:Source>
  <b:Source>
    <b:Tag>Han</b:Tag>
    <b:SourceType>JournalArticle</b:SourceType>
    <b:Guid>{E5F9378A-1558-4316-87B3-B756D8EB418C}</b:Guid>
    <b:Author>
      <b:Author>
        <b:NameList>
          <b:Person>
            <b:Last>H.</b:Last>
            <b:First>Hanumanthappa </b:First>
          </b:Person>
        </b:NameList>
      </b:Author>
    </b:Author>
    <b:Title>An overview on Agricultural credit in India: Status, issues and future agenda</b:Title>
    <b:JournalName>Indian J. Applied &amp; Pure Bio. Vol 39.3</b:JournalName>
    <b:Year>2024</b:Year>
    <b:RefOrder>2</b:RefOrder>
  </b:Source>
  <b:Source>
    <b:Tag>Cre</b:Tag>
    <b:SourceType>Report</b:SourceType>
    <b:Guid>{EBF4431B-41BF-4A16-9DE0-532009A2C79B}</b:Guid>
    <b:Title>Credit to agriculture Global and regional trends 2012–2021 </b:Title>
    <b:Publisher>Food anad Agriculture Organisation of the United States</b:Publisher>
    <b:RefOrder>3</b:RefOrder>
  </b:Source>
  <b:Source>
    <b:Tag>NAB21</b:Tag>
    <b:SourceType>Report</b:SourceType>
    <b:Guid>{C2AFFACF-2DA0-4FAA-9E43-74E1DB884F3A}</b:Guid>
    <b:Author>
      <b:Author>
        <b:NameList>
          <b:Person>
            <b:Last>NABARD</b:Last>
          </b:Person>
        </b:NameList>
      </b:Author>
    </b:Author>
    <b:Year>2021</b:Year>
    <b:RefOrder>4</b:RefOrder>
  </b:Source>
  <b:Source>
    <b:Tag>PSH19</b:Tag>
    <b:SourceType>JournalArticle</b:SourceType>
    <b:Guid>{6D0502A5-853C-49DB-858D-C71313E35384}</b:Guid>
    <b:Title>Impact of institutional credit on agricultural productivity in India: A time series analysis</b:Title>
    <b:Year>2019</b:Year>
    <b:Publisher>The Indian Journal of Agricultural Sciences </b:Publisher>
    <b:Author>
      <b:Author>
        <b:NameList>
          <b:Person>
            <b:Last>P</b:Last>
            <b:Middle>G</b:Middle>
            <b:First>SHIVASWAMY </b:First>
          </b:Person>
          <b:Person>
            <b:Last>J</b:Last>
            <b:Middle>K</b:Middle>
            <b:First>RAGHAVENDRA</b:First>
          </b:Person>
          <b:Person>
            <b:Last>R</b:Last>
            <b:Middle>A</b:Middle>
            <b:First> ANUJA </b:First>
          </b:Person>
          <b:Person>
            <b:Last>Singh</b:Last>
            <b:Middle>N</b:Middle>
            <b:First>K</b:First>
          </b:Person>
          <b:Person>
            <b:Last>T</b:Last>
            <b:First>RAJESH </b:First>
          </b:Person>
          <b:Person>
            <b:Last> KUMAR</b:Last>
            <b:First>HARISH</b:First>
          </b:Person>
        </b:NameList>
      </b:Author>
    </b:Author>
    <b:JournalName>The Indian Journal of Agricultural Sciences </b:JournalName>
    <b:Pages>412-417</b:Pages>
    <b:RefOrder>5</b:RefOrder>
  </b:Source>
  <b:Source>
    <b:Tag>Sat22</b:Tag>
    <b:SourceType>JournalArticle</b:SourceType>
    <b:Guid>{9CAB5986-ECB3-4273-B839-3600C48B0010}</b:Guid>
    <b:Title>Inequalities among Agricultural Households: An Exploration Through Various Agricultural Surveys</b:Title>
    <b:Year>2022</b:Year>
    <b:Pages>129-148</b:Pages>
    <b:Author>
      <b:Author>
        <b:NameList>
          <b:Person>
            <b:Last>Satyasai</b:Last>
            <b:Middle>J</b:Middle>
            <b:First>K </b:First>
          </b:Person>
          <b:Person>
            <b:Last>Jadhav</b:Last>
            <b:First>Vinay </b:First>
          </b:Person>
        </b:NameList>
      </b:Author>
    </b:Author>
    <b:RefOrder>7</b:RefOrder>
  </b:Source>
  <b:Source>
    <b:Tag>Kum22</b:Tag>
    <b:SourceType>JournalArticle</b:SourceType>
    <b:Guid>{D32BB201-0B9A-4E48-9D7F-9827B3B4A16A}</b:Guid>
    <b:Title>Regional Disparities in Institutional Credit to Agriculture in India: A District Level Analysis</b:Title>
    <b:JournalName>Agric. Econ. Res. Rev 35</b:JournalName>
    <b:Year>2022</b:Year>
    <b:Pages>49-60</b:Pages>
    <b:Author>
      <b:Author>
        <b:NameList>
          <b:Person>
            <b:Last>Kumar </b:Last>
            <b:First>Dr. Vinod </b:First>
          </b:Person>
          <b:Person>
            <b:Last>Afroz</b:Last>
            <b:Middle>Bin </b:Middle>
            <b:First>Saad </b:First>
          </b:Person>
        </b:NameList>
      </b:Author>
    </b:Author>
    <b:RefOrder>8</b:RefOrder>
  </b:Source>
  <b:Source>
    <b:Tag>Nai24</b:Tag>
    <b:SourceType>JournalArticle</b:SourceType>
    <b:Guid>{10C0DAAB-E1AD-4896-820D-6E33C1CF912E}</b:Guid>
    <b:Title>Household Access to Institutional Agricultural Credit: Performance and Key Determinants</b:Title>
    <b:JournalName>Indian Journal of Agricultural Economics</b:JournalName>
    <b:Year>2024</b:Year>
    <b:Pages>775-786</b:Pages>
    <b:Author>
      <b:Author>
        <b:NameList>
          <b:Person>
            <b:Last>Naik</b:Last>
            <b:First>Sunil </b:First>
          </b:Person>
          <b:Person>
            <b:Last>Rohith  </b:Last>
            <b:First>S. </b:First>
          </b:Person>
          <b:Person>
            <b:Last>Mondal</b:Last>
            <b:First>Indrajit </b:First>
          </b:Person>
          <b:Person>
            <b:Last>Nayak</b:Last>
            <b:Middle> Harshita </b:Middle>
            <b:First>S.</b:First>
          </b:Person>
        </b:NameList>
      </b:Author>
    </b:Author>
    <b:RefOrder>9</b:RefOrder>
  </b:Source>
  <b:Source>
    <b:Tag>Kap18</b:Tag>
    <b:SourceType>Report</b:SourceType>
    <b:Guid>{FD56B1B7-7921-44EC-8D24-2C0AA1D407AD}</b:Guid>
    <b:Title>Study on Informal Sector Lending Practices in India</b:Title>
    <b:Year>2018</b:Year>
    <b:Publisher>IMRM, LEAD</b:Publisher>
    <b:Author>
      <b:Author>
        <b:NameList>
          <b:Person>
            <b:Last>Kapur</b:Last>
            <b:Middle>Kumar </b:Middle>
            <b:First>Ajay </b:First>
          </b:Person>
        </b:NameList>
      </b:Author>
    </b:Author>
    <b:RefOrder>10</b:RefOrder>
  </b:Source>
  <b:Source>
    <b:Tag>Bas24</b:Tag>
    <b:SourceType>JournalArticle</b:SourceType>
    <b:Guid>{C99F6D42-527D-453D-B368-3FA6402495DB}</b:Guid>
    <b:Title>Informal Credits in India’s Agriculture Sector: Debt Incidence, Size and Distribution across Major Farm-size Groups</b:Title>
    <b:Year>2024</b:Year>
    <b:Publisher>International Journal of Rural Management </b:Publisher>
    <b:Author>
      <b:Author>
        <b:NameList>
          <b:Person>
            <b:Last> Basumatary</b:Last>
            <b:First>Rupon</b:First>
          </b:Person>
          <b:Person>
            <b:Last>Kalita</b:Last>
            <b:First>Simi </b:First>
          </b:Person>
          <b:Person>
            <b:Last>Bharadwaj</b:Last>
            <b:First>Himakshi </b:First>
          </b:Person>
        </b:NameList>
      </b:Author>
    </b:Author>
    <b:JournalName>International Journal of Rural Management </b:JournalName>
    <b:Pages>392-412.</b:Pages>
    <b:RefOrder>11</b:RefOrder>
  </b:Source>
  <b:Source>
    <b:Tag>Kum21</b:Tag>
    <b:SourceType>JournalArticle</b:SourceType>
    <b:Guid>{8EFD6784-12A2-439B-B369-D411A0EC862E}</b:Guid>
    <b:Title>Trends and Patterns in Agriculture Credit in India: A district level analysis of Uttar Pradesh.</b:Title>
    <b:JournalName>National Bank for Agriculture and Rural Development, Working Paper 1</b:JournalName>
    <b:Year>2021</b:Year>
    <b:Author>
      <b:Author>
        <b:NameList>
          <b:Person>
            <b:Last>Kumar </b:Last>
            <b:First>Vinod </b:First>
          </b:Person>
        </b:NameList>
      </b:Author>
    </b:Author>
    <b:RefOrder>6</b:RefOrder>
  </b:Source>
  <b:Source>
    <b:Tag>Cha20</b:Tag>
    <b:SourceType>JournalArticle</b:SourceType>
    <b:Guid>{D524B59B-5952-4BF7-8480-E446B93B9DCE}</b:Guid>
    <b:Title>Women’s access to banking in India: Policy context, trends, and predictors</b:Title>
    <b:JournalName> Review of Agrarian Studies</b:JournalName>
    <b:Year>2020</b:Year>
    <b:Author>
      <b:Author>
        <b:NameList>
          <b:Person>
            <b:Last>Chavan</b:Last>
            <b:First>Pallavi</b:First>
          </b:Person>
        </b:NameList>
      </b:Author>
    </b:Author>
    <b:RefOrder>12</b:RefOrder>
  </b:Source>
  <b:Source>
    <b:Tag>Kar20</b:Tag>
    <b:SourceType>JournalArticle</b:SourceType>
    <b:Guid>{419F0CE2-E306-4A1A-926B-6A3E2BA44EDE}</b:Guid>
    <b:Title>DETERMINANTS OF AGRICULTURAL CREDIT IN RURAL INDIA BY SOCIAL GROUP</b:Title>
    <b:JournalName>Institute for Social and Economic Change</b:JournalName>
    <b:Year>2020</b:Year>
    <b:Author>
      <b:Author>
        <b:NameList>
          <b:Person>
            <b:Last> Karthick</b:Last>
            <b:First>V.</b:First>
          </b:Person>
          <b:Person>
            <b:Last>Madheswaran</b:Last>
            <b:First>S</b:First>
          </b:Person>
        </b:NameList>
      </b:Author>
    </b:Author>
    <b:RefOrder>13</b:RefOrder>
  </b:Source>
  <b:Source>
    <b:Tag>Das23</b:Tag>
    <b:SourceType>JournalArticle</b:SourceType>
    <b:Guid>{CE5E538E-55A5-42B8-A32A-E82C70203A07}</b:Guid>
    <b:Title>Financial Literacy across Different States of India: An Empirical Analysis</b:Title>
    <b:JournalName>RIS, Research and Information System for Developing Countries</b:JournalName>
    <b:Year>2023</b:Year>
    <b:Author>
      <b:Author>
        <b:NameList>
          <b:Person>
            <b:Last>Dash</b:Last>
            <b:First>Priyadarshi </b:First>
          </b:Person>
          <b:Person>
            <b:Last>Ranjan</b:Last>
            <b:First>Rahul </b:First>
          </b:Person>
        </b:NameList>
      </b:Author>
    </b:Author>
    <b:RefOrder>14</b:RefOrder>
  </b:Source>
</b:Sources>
</file>

<file path=customXml/itemProps1.xml><?xml version="1.0" encoding="utf-8"?>
<ds:datastoreItem xmlns:ds="http://schemas.openxmlformats.org/officeDocument/2006/customXml" ds:itemID="{ADE05D54-A6DA-4AA6-AF11-D797EE8BA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4059</Words>
  <Characters>23140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Shivansh Tripathi</dc:creator>
  <cp:keywords/>
  <dc:description/>
  <cp:lastModifiedBy>SDI 1084</cp:lastModifiedBy>
  <cp:revision>21</cp:revision>
  <cp:lastPrinted>2025-02-17T09:29:00Z</cp:lastPrinted>
  <dcterms:created xsi:type="dcterms:W3CDTF">2025-10-02T12:19:00Z</dcterms:created>
  <dcterms:modified xsi:type="dcterms:W3CDTF">2025-10-03T07:37:00Z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56b6bb73-661d-4c26-8856-271b23973c14</vt:lpwstr>
  </property>
</Properties>
</file>