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4CDFD" w14:textId="49F25C0E" w:rsidR="00951D7F" w:rsidRPr="00951D7F" w:rsidRDefault="00951D7F" w:rsidP="00951D7F">
      <w:pPr>
        <w:spacing w:before="0" w:after="0"/>
        <w:jc w:val="left"/>
        <w:rPr>
          <w:rFonts w:cs="Arial"/>
          <w:b/>
          <w:sz w:val="36"/>
          <w:szCs w:val="36"/>
          <w:u w:val="single"/>
        </w:rPr>
      </w:pPr>
      <w:r w:rsidRPr="00951D7F">
        <w:rPr>
          <w:rFonts w:cs="Arial"/>
          <w:b/>
          <w:sz w:val="36"/>
          <w:szCs w:val="36"/>
          <w:u w:val="single"/>
        </w:rPr>
        <w:t>Original Research Article</w:t>
      </w:r>
    </w:p>
    <w:p w14:paraId="03F5805C" w14:textId="77777777" w:rsidR="00951D7F" w:rsidRDefault="00951D7F" w:rsidP="009921C3">
      <w:pPr>
        <w:spacing w:before="0" w:after="0"/>
        <w:jc w:val="right"/>
        <w:rPr>
          <w:rFonts w:cs="Arial"/>
          <w:b/>
          <w:sz w:val="36"/>
          <w:szCs w:val="36"/>
        </w:rPr>
      </w:pPr>
    </w:p>
    <w:p w14:paraId="1889773B" w14:textId="77777777" w:rsidR="00951D7F" w:rsidRDefault="00951D7F" w:rsidP="009921C3">
      <w:pPr>
        <w:spacing w:before="0" w:after="0"/>
        <w:jc w:val="right"/>
        <w:rPr>
          <w:rFonts w:cs="Arial"/>
          <w:b/>
          <w:sz w:val="36"/>
          <w:szCs w:val="36"/>
        </w:rPr>
      </w:pPr>
    </w:p>
    <w:p w14:paraId="7F17719D" w14:textId="676B402A" w:rsidR="00353B71" w:rsidRDefault="004D2C5A" w:rsidP="009921C3">
      <w:pPr>
        <w:spacing w:before="0" w:after="0"/>
        <w:jc w:val="right"/>
        <w:rPr>
          <w:rFonts w:cs="Arial"/>
          <w:b/>
          <w:sz w:val="36"/>
          <w:szCs w:val="36"/>
        </w:rPr>
      </w:pPr>
      <w:r w:rsidRPr="00587A1F">
        <w:rPr>
          <w:rFonts w:cs="Arial"/>
          <w:b/>
          <w:sz w:val="36"/>
          <w:szCs w:val="36"/>
        </w:rPr>
        <w:t xml:space="preserve">Household Socioeconomic factors </w:t>
      </w:r>
      <w:r w:rsidR="006829A5" w:rsidRPr="00587A1F">
        <w:rPr>
          <w:rFonts w:cs="Arial"/>
          <w:b/>
          <w:sz w:val="36"/>
          <w:szCs w:val="36"/>
        </w:rPr>
        <w:t xml:space="preserve">influence on </w:t>
      </w:r>
      <w:r w:rsidRPr="00587A1F">
        <w:rPr>
          <w:rFonts w:cs="Arial"/>
          <w:b/>
          <w:sz w:val="36"/>
          <w:szCs w:val="36"/>
        </w:rPr>
        <w:t>agro</w:t>
      </w:r>
      <w:r w:rsidR="007A2563" w:rsidRPr="00587A1F">
        <w:rPr>
          <w:rFonts w:cs="Arial"/>
          <w:b/>
          <w:sz w:val="36"/>
          <w:szCs w:val="36"/>
        </w:rPr>
        <w:t>-</w:t>
      </w:r>
      <w:r w:rsidRPr="00587A1F">
        <w:rPr>
          <w:rFonts w:cs="Arial"/>
          <w:b/>
          <w:sz w:val="36"/>
          <w:szCs w:val="36"/>
        </w:rPr>
        <w:t>pastoralists</w:t>
      </w:r>
      <w:r w:rsidR="00861CCA" w:rsidRPr="00587A1F">
        <w:rPr>
          <w:rFonts w:cs="Arial"/>
          <w:b/>
          <w:sz w:val="36"/>
          <w:szCs w:val="36"/>
        </w:rPr>
        <w:t xml:space="preserve"> farming practices</w:t>
      </w:r>
      <w:r w:rsidRPr="00587A1F">
        <w:rPr>
          <w:rFonts w:cs="Arial"/>
          <w:b/>
          <w:sz w:val="36"/>
          <w:szCs w:val="36"/>
        </w:rPr>
        <w:t xml:space="preserve"> in dryland ar</w:t>
      </w:r>
      <w:r w:rsidR="004B70EE" w:rsidRPr="00587A1F">
        <w:rPr>
          <w:rFonts w:cs="Arial"/>
          <w:b/>
          <w:sz w:val="36"/>
          <w:szCs w:val="36"/>
        </w:rPr>
        <w:t>eas of West Pokot County, Kenya</w:t>
      </w:r>
    </w:p>
    <w:p w14:paraId="7906DFF6" w14:textId="77777777" w:rsidR="009D4BBD" w:rsidRPr="00587A1F" w:rsidRDefault="009D4BBD" w:rsidP="009921C3">
      <w:pPr>
        <w:spacing w:before="0" w:after="0"/>
        <w:jc w:val="right"/>
        <w:rPr>
          <w:rFonts w:cs="Arial"/>
          <w:b/>
          <w:sz w:val="36"/>
          <w:szCs w:val="36"/>
        </w:rPr>
      </w:pPr>
    </w:p>
    <w:p w14:paraId="22F6F617" w14:textId="77777777" w:rsidR="006829A5" w:rsidRPr="00587A1F" w:rsidRDefault="006829A5" w:rsidP="009921C3">
      <w:pPr>
        <w:spacing w:before="0" w:after="0"/>
        <w:jc w:val="right"/>
        <w:rPr>
          <w:rFonts w:cs="Arial"/>
        </w:rPr>
      </w:pPr>
    </w:p>
    <w:p w14:paraId="03BDDA4C" w14:textId="44254F61" w:rsidR="00353B71" w:rsidRPr="00587A1F" w:rsidRDefault="004B70FD" w:rsidP="00FC3AE4">
      <w:pPr>
        <w:pStyle w:val="Heading2"/>
        <w:numPr>
          <w:ilvl w:val="0"/>
          <w:numId w:val="0"/>
        </w:numPr>
        <w:spacing w:before="100" w:after="100"/>
        <w:ind w:left="432"/>
        <w:rPr>
          <w:rFonts w:eastAsia="Times New Roman" w:cs="Arial"/>
        </w:rPr>
      </w:pPr>
      <w:bookmarkStart w:id="0" w:name="_Toc172620792"/>
      <w:r w:rsidRPr="00587A1F">
        <w:rPr>
          <w:rFonts w:eastAsia="Times New Roman" w:cs="Arial"/>
          <w:szCs w:val="22"/>
        </w:rPr>
        <w:t>ABSTRACT</w:t>
      </w:r>
      <w:bookmarkEnd w:id="0"/>
      <w:r w:rsidRPr="00587A1F">
        <w:rPr>
          <w:rFonts w:eastAsia="Times New Roman" w:cs="Arial"/>
        </w:rPr>
        <w:t xml:space="preserve"> </w:t>
      </w:r>
    </w:p>
    <w:p w14:paraId="256C3D79" w14:textId="4928DD3E" w:rsidR="00353B71" w:rsidRPr="00587A1F" w:rsidRDefault="004D2C5A" w:rsidP="00924D7C">
      <w:pPr>
        <w:rPr>
          <w:rFonts w:cs="Arial"/>
        </w:rPr>
      </w:pPr>
      <w:r w:rsidRPr="00587A1F">
        <w:rPr>
          <w:rFonts w:cs="Arial"/>
        </w:rPr>
        <w:t>Agro-</w:t>
      </w:r>
      <w:r w:rsidR="004B70FD" w:rsidRPr="00587A1F">
        <w:rPr>
          <w:rFonts w:cs="Arial"/>
        </w:rPr>
        <w:t xml:space="preserve">pastoralist </w:t>
      </w:r>
      <w:r w:rsidRPr="00587A1F">
        <w:rPr>
          <w:rFonts w:cs="Arial"/>
        </w:rPr>
        <w:t xml:space="preserve">communities residing in dryland regions rely on both livestock and crop production as the main </w:t>
      </w:r>
      <w:r w:rsidR="007D23D2" w:rsidRPr="00587A1F">
        <w:rPr>
          <w:rFonts w:cs="Arial"/>
        </w:rPr>
        <w:t xml:space="preserve">source of </w:t>
      </w:r>
      <w:r w:rsidRPr="00587A1F">
        <w:rPr>
          <w:rFonts w:cs="Arial"/>
        </w:rPr>
        <w:t>livelihood. How</w:t>
      </w:r>
      <w:r w:rsidR="00141678" w:rsidRPr="00587A1F">
        <w:rPr>
          <w:rFonts w:cs="Arial"/>
        </w:rPr>
        <w:t xml:space="preserve">ever, </w:t>
      </w:r>
      <w:r w:rsidR="000D7403" w:rsidRPr="00587A1F">
        <w:rPr>
          <w:rFonts w:cs="Arial"/>
        </w:rPr>
        <w:t>information on their socioeconomic characteristics and its contribution in shaping their farming practice is very limited</w:t>
      </w:r>
      <w:r w:rsidR="00344F8D" w:rsidRPr="00587A1F">
        <w:rPr>
          <w:rFonts w:cs="Arial"/>
        </w:rPr>
        <w:t xml:space="preserve">. </w:t>
      </w:r>
      <w:r w:rsidR="0051384C" w:rsidRPr="00587A1F">
        <w:rPr>
          <w:rFonts w:cs="Arial"/>
        </w:rPr>
        <w:t>This hinders policy interventions</w:t>
      </w:r>
      <w:r w:rsidR="0092572A" w:rsidRPr="00587A1F">
        <w:rPr>
          <w:rFonts w:cs="Arial"/>
        </w:rPr>
        <w:t xml:space="preserve"> in addressing constraints affecting farmers making them vulnerable in the challenging </w:t>
      </w:r>
      <w:r w:rsidR="0051384C" w:rsidRPr="00587A1F">
        <w:rPr>
          <w:rFonts w:cs="Arial"/>
        </w:rPr>
        <w:t xml:space="preserve">arid and semi-arid </w:t>
      </w:r>
      <w:r w:rsidR="0092572A" w:rsidRPr="00587A1F">
        <w:rPr>
          <w:rFonts w:cs="Arial"/>
        </w:rPr>
        <w:t>conditions. This study c</w:t>
      </w:r>
      <w:r w:rsidR="0009567F" w:rsidRPr="00587A1F">
        <w:rPr>
          <w:rFonts w:cs="Arial"/>
        </w:rPr>
        <w:t>onducted in dryland areas of West Pokot County in Kenya</w:t>
      </w:r>
      <w:r w:rsidR="004E1A22" w:rsidRPr="00587A1F">
        <w:rPr>
          <w:rFonts w:cs="Arial"/>
        </w:rPr>
        <w:t xml:space="preserve"> involved </w:t>
      </w:r>
      <w:r w:rsidR="0092572A" w:rsidRPr="00587A1F">
        <w:rPr>
          <w:rFonts w:cs="Arial"/>
        </w:rPr>
        <w:t>m</w:t>
      </w:r>
      <w:r w:rsidRPr="00587A1F">
        <w:rPr>
          <w:rFonts w:cs="Arial"/>
        </w:rPr>
        <w:t>ultistage sampling approach</w:t>
      </w:r>
      <w:r w:rsidR="0009567F" w:rsidRPr="00587A1F">
        <w:rPr>
          <w:rFonts w:cs="Arial"/>
        </w:rPr>
        <w:t xml:space="preserve">es that </w:t>
      </w:r>
      <w:r w:rsidR="0092572A" w:rsidRPr="00587A1F">
        <w:rPr>
          <w:rFonts w:cs="Arial"/>
        </w:rPr>
        <w:t xml:space="preserve">used </w:t>
      </w:r>
      <w:r w:rsidR="0009567F" w:rsidRPr="00587A1F">
        <w:rPr>
          <w:rFonts w:cs="Arial"/>
        </w:rPr>
        <w:t xml:space="preserve">stratification and systematic random sampling </w:t>
      </w:r>
      <w:r w:rsidR="0092572A" w:rsidRPr="00587A1F">
        <w:rPr>
          <w:rFonts w:cs="Arial"/>
        </w:rPr>
        <w:t>to draw a representative sample</w:t>
      </w:r>
      <w:r w:rsidR="0009567F" w:rsidRPr="00587A1F">
        <w:rPr>
          <w:rFonts w:cs="Arial"/>
        </w:rPr>
        <w:t>.</w:t>
      </w:r>
      <w:r w:rsidRPr="00587A1F">
        <w:rPr>
          <w:rFonts w:cs="Arial"/>
        </w:rPr>
        <w:t xml:space="preserve"> Data on socioeconomic variables and farming practices was collected</w:t>
      </w:r>
      <w:r w:rsidR="00BC0C1B" w:rsidRPr="00587A1F">
        <w:rPr>
          <w:rFonts w:cs="Arial"/>
        </w:rPr>
        <w:t xml:space="preserve"> using questionnaires and </w:t>
      </w:r>
      <w:r w:rsidRPr="00587A1F">
        <w:rPr>
          <w:rFonts w:cs="Arial"/>
        </w:rPr>
        <w:t>focu</w:t>
      </w:r>
      <w:r w:rsidR="00BC0C1B" w:rsidRPr="00587A1F">
        <w:rPr>
          <w:rFonts w:cs="Arial"/>
        </w:rPr>
        <w:t>s</w:t>
      </w:r>
      <w:r w:rsidRPr="00587A1F">
        <w:rPr>
          <w:rFonts w:cs="Arial"/>
        </w:rPr>
        <w:t xml:space="preserve">ed group discussion. </w:t>
      </w:r>
      <w:r w:rsidR="00E81E16" w:rsidRPr="00587A1F">
        <w:rPr>
          <w:rFonts w:cs="Arial"/>
        </w:rPr>
        <w:t xml:space="preserve">Descriptive statistics and logistic regression </w:t>
      </w:r>
      <w:r w:rsidR="007A2563" w:rsidRPr="00587A1F">
        <w:rPr>
          <w:rFonts w:cs="Arial"/>
        </w:rPr>
        <w:t>were</w:t>
      </w:r>
      <w:r w:rsidR="00E81E16" w:rsidRPr="00587A1F">
        <w:rPr>
          <w:rFonts w:cs="Arial"/>
        </w:rPr>
        <w:t xml:space="preserve"> used to analyse the data.</w:t>
      </w:r>
      <w:r w:rsidRPr="00587A1F">
        <w:rPr>
          <w:rFonts w:cs="Arial"/>
        </w:rPr>
        <w:t xml:space="preserve"> The findings showed that household heads </w:t>
      </w:r>
      <w:r w:rsidR="007A2563" w:rsidRPr="00587A1F">
        <w:rPr>
          <w:rFonts w:cs="Arial"/>
        </w:rPr>
        <w:t>were mostly</w:t>
      </w:r>
      <w:r w:rsidRPr="00587A1F">
        <w:rPr>
          <w:rFonts w:cs="Arial"/>
        </w:rPr>
        <w:t xml:space="preserve"> male</w:t>
      </w:r>
      <w:r w:rsidR="00B3189C" w:rsidRPr="00587A1F">
        <w:rPr>
          <w:rFonts w:cs="Arial"/>
        </w:rPr>
        <w:t xml:space="preserve"> dominated</w:t>
      </w:r>
      <w:r w:rsidR="0092572A" w:rsidRPr="00587A1F">
        <w:rPr>
          <w:rFonts w:cs="Arial"/>
        </w:rPr>
        <w:t xml:space="preserve"> (82%), educated </w:t>
      </w:r>
      <w:r w:rsidRPr="00587A1F">
        <w:rPr>
          <w:rFonts w:cs="Arial"/>
        </w:rPr>
        <w:t>(59%), had an average age of 38 years and</w:t>
      </w:r>
      <w:r w:rsidR="00BC0C1B" w:rsidRPr="00587A1F">
        <w:rPr>
          <w:rFonts w:cs="Arial"/>
        </w:rPr>
        <w:t xml:space="preserve"> </w:t>
      </w:r>
      <w:r w:rsidRPr="00587A1F">
        <w:rPr>
          <w:rFonts w:cs="Arial"/>
        </w:rPr>
        <w:t xml:space="preserve">with a mean family size of </w:t>
      </w:r>
      <w:r w:rsidR="004E1A22" w:rsidRPr="00587A1F">
        <w:rPr>
          <w:rFonts w:cs="Arial"/>
        </w:rPr>
        <w:t>seven</w:t>
      </w:r>
      <w:r w:rsidRPr="00587A1F">
        <w:rPr>
          <w:rFonts w:cs="Arial"/>
        </w:rPr>
        <w:t xml:space="preserve"> members. </w:t>
      </w:r>
      <w:r w:rsidR="00E81E16" w:rsidRPr="00587A1F">
        <w:rPr>
          <w:rFonts w:cs="Arial"/>
        </w:rPr>
        <w:t xml:space="preserve">Crop production and livestock sales </w:t>
      </w:r>
      <w:r w:rsidR="007D23D2" w:rsidRPr="00587A1F">
        <w:rPr>
          <w:rFonts w:cs="Arial"/>
        </w:rPr>
        <w:t xml:space="preserve">were </w:t>
      </w:r>
      <w:r w:rsidR="00E81E16" w:rsidRPr="00587A1F">
        <w:rPr>
          <w:rFonts w:cs="Arial"/>
        </w:rPr>
        <w:t>identified as the primary source of income by 84% and 45% of the respondents</w:t>
      </w:r>
      <w:r w:rsidR="00254A4E" w:rsidRPr="00587A1F">
        <w:rPr>
          <w:rFonts w:cs="Arial"/>
        </w:rPr>
        <w:t>,</w:t>
      </w:r>
      <w:r w:rsidR="00E81E16" w:rsidRPr="00587A1F">
        <w:rPr>
          <w:rFonts w:cs="Arial"/>
        </w:rPr>
        <w:t xml:space="preserve"> respectively</w:t>
      </w:r>
      <w:r w:rsidRPr="00587A1F">
        <w:rPr>
          <w:rFonts w:cs="Arial"/>
        </w:rPr>
        <w:t>.</w:t>
      </w:r>
      <w:r w:rsidR="0055095E" w:rsidRPr="00587A1F">
        <w:rPr>
          <w:rFonts w:cs="Arial"/>
        </w:rPr>
        <w:t xml:space="preserve"> </w:t>
      </w:r>
      <w:r w:rsidR="00B3189C" w:rsidRPr="00587A1F">
        <w:rPr>
          <w:rFonts w:cs="Arial"/>
        </w:rPr>
        <w:t xml:space="preserve">Farming practices showed that </w:t>
      </w:r>
      <w:r w:rsidR="0055095E" w:rsidRPr="00587A1F">
        <w:rPr>
          <w:rFonts w:cs="Arial"/>
        </w:rPr>
        <w:t>crop farming</w:t>
      </w:r>
      <w:r w:rsidR="00B3189C" w:rsidRPr="00587A1F">
        <w:rPr>
          <w:rFonts w:cs="Arial"/>
        </w:rPr>
        <w:t xml:space="preserve"> was small</w:t>
      </w:r>
      <w:r w:rsidR="00403468" w:rsidRPr="00587A1F">
        <w:rPr>
          <w:rFonts w:cs="Arial"/>
        </w:rPr>
        <w:t>-</w:t>
      </w:r>
      <w:r w:rsidR="00B3189C" w:rsidRPr="00587A1F">
        <w:rPr>
          <w:rFonts w:cs="Arial"/>
        </w:rPr>
        <w:t>scale in less than 2 acres</w:t>
      </w:r>
      <w:r w:rsidR="00403468" w:rsidRPr="00587A1F">
        <w:rPr>
          <w:rFonts w:cs="Arial"/>
        </w:rPr>
        <w:t xml:space="preserve"> of land</w:t>
      </w:r>
      <w:r w:rsidR="00E2090A" w:rsidRPr="00587A1F">
        <w:rPr>
          <w:rFonts w:cs="Arial"/>
        </w:rPr>
        <w:t xml:space="preserve"> (</w:t>
      </w:r>
      <w:r w:rsidR="001E4A3F" w:rsidRPr="00587A1F">
        <w:rPr>
          <w:rFonts w:cs="Arial"/>
        </w:rPr>
        <w:t>75</w:t>
      </w:r>
      <w:r w:rsidR="00E2090A" w:rsidRPr="00587A1F">
        <w:rPr>
          <w:rFonts w:cs="Arial"/>
        </w:rPr>
        <w:t>%)</w:t>
      </w:r>
      <w:r w:rsidRPr="00587A1F">
        <w:rPr>
          <w:rFonts w:cs="Arial"/>
        </w:rPr>
        <w:t>, mainly under mixed cropping systems (69%)</w:t>
      </w:r>
      <w:r w:rsidR="0055095E" w:rsidRPr="00587A1F">
        <w:rPr>
          <w:rFonts w:cs="Arial"/>
        </w:rPr>
        <w:t xml:space="preserve"> and incorporating </w:t>
      </w:r>
      <w:r w:rsidRPr="00587A1F">
        <w:rPr>
          <w:rFonts w:cs="Arial"/>
        </w:rPr>
        <w:t xml:space="preserve">organic manure </w:t>
      </w:r>
      <w:r w:rsidR="0055095E" w:rsidRPr="00587A1F">
        <w:rPr>
          <w:rFonts w:cs="Arial"/>
        </w:rPr>
        <w:t>(62%)</w:t>
      </w:r>
      <w:r w:rsidR="00E2090A" w:rsidRPr="00587A1F">
        <w:rPr>
          <w:rFonts w:cs="Arial"/>
        </w:rPr>
        <w:t xml:space="preserve"> using hand hoe (56%) and tractor (42%) for farming operations</w:t>
      </w:r>
      <w:r w:rsidR="0055095E" w:rsidRPr="00587A1F">
        <w:rPr>
          <w:rFonts w:cs="Arial"/>
        </w:rPr>
        <w:t>.</w:t>
      </w:r>
      <w:r w:rsidR="002970DF" w:rsidRPr="00587A1F">
        <w:rPr>
          <w:rFonts w:cs="Arial"/>
        </w:rPr>
        <w:t xml:space="preserve"> The logistic regression analysis revealed significant influence of socioeconomic factors on farming practices, </w:t>
      </w:r>
      <w:r w:rsidR="006F467E" w:rsidRPr="00587A1F">
        <w:rPr>
          <w:rFonts w:cs="Arial"/>
        </w:rPr>
        <w:t>helping in understanding the adoption of adaptive strategies for</w:t>
      </w:r>
      <w:r w:rsidR="00E2090A" w:rsidRPr="00587A1F">
        <w:rPr>
          <w:rFonts w:cs="Arial"/>
        </w:rPr>
        <w:t xml:space="preserve"> improving </w:t>
      </w:r>
      <w:r w:rsidR="002970DF" w:rsidRPr="00587A1F">
        <w:rPr>
          <w:rFonts w:cs="Arial"/>
        </w:rPr>
        <w:t xml:space="preserve">soil health and </w:t>
      </w:r>
      <w:r w:rsidR="00E2090A" w:rsidRPr="00587A1F">
        <w:rPr>
          <w:rFonts w:cs="Arial"/>
        </w:rPr>
        <w:t xml:space="preserve">farm </w:t>
      </w:r>
      <w:r w:rsidR="00206278" w:rsidRPr="00587A1F">
        <w:rPr>
          <w:rFonts w:cs="Arial"/>
        </w:rPr>
        <w:t xml:space="preserve">productivity. These practices promotes agricultural resilience by addressing challenges like climate variability while supporting food security, nutrition, and sustainable livelihoods in the fragile dryland ecosystems. </w:t>
      </w:r>
      <w:r w:rsidR="00E81E16" w:rsidRPr="00587A1F">
        <w:rPr>
          <w:rFonts w:cs="Arial"/>
        </w:rPr>
        <w:t>With the great potential of crop production in the dryland areas, this study recomme</w:t>
      </w:r>
      <w:r w:rsidR="00395954" w:rsidRPr="00587A1F">
        <w:rPr>
          <w:rFonts w:cs="Arial"/>
        </w:rPr>
        <w:t xml:space="preserve">nds deliberate support from actors </w:t>
      </w:r>
      <w:r w:rsidR="00E81E16" w:rsidRPr="00587A1F">
        <w:rPr>
          <w:rFonts w:cs="Arial"/>
        </w:rPr>
        <w:t xml:space="preserve">to </w:t>
      </w:r>
      <w:r w:rsidR="00395954" w:rsidRPr="00587A1F">
        <w:rPr>
          <w:rFonts w:cs="Arial"/>
        </w:rPr>
        <w:t xml:space="preserve">support inclusive farmer extension services, trainings, access of farm inputs and tractor service provision to improve operation efficiency and expand cultivated land. </w:t>
      </w:r>
      <w:r w:rsidRPr="00587A1F">
        <w:rPr>
          <w:rFonts w:cs="Arial"/>
        </w:rPr>
        <w:t>These findings will contribute to actionable insights for policy and development for improving the livelihoods of agro-pastoralists in the</w:t>
      </w:r>
      <w:r w:rsidR="00395954" w:rsidRPr="00587A1F">
        <w:rPr>
          <w:rFonts w:cs="Arial"/>
        </w:rPr>
        <w:t xml:space="preserve"> drylands </w:t>
      </w:r>
      <w:r w:rsidRPr="00587A1F">
        <w:rPr>
          <w:rFonts w:cs="Arial"/>
        </w:rPr>
        <w:t>regions.</w:t>
      </w:r>
    </w:p>
    <w:p w14:paraId="722F6BC7" w14:textId="6DC2DA93" w:rsidR="004B70FD" w:rsidRPr="00587A1F" w:rsidRDefault="004B70FD" w:rsidP="00924D7C">
      <w:pPr>
        <w:rPr>
          <w:rFonts w:cs="Arial"/>
          <w:i/>
          <w:szCs w:val="20"/>
        </w:rPr>
      </w:pPr>
      <w:r w:rsidRPr="00587A1F">
        <w:rPr>
          <w:rFonts w:cs="Arial"/>
          <w:i/>
          <w:szCs w:val="20"/>
        </w:rPr>
        <w:t>Keywords:</w:t>
      </w:r>
      <w:r w:rsidR="00D62ED0" w:rsidRPr="00587A1F">
        <w:rPr>
          <w:rFonts w:cs="Arial"/>
          <w:i/>
          <w:szCs w:val="20"/>
        </w:rPr>
        <w:t xml:space="preserve"> Agro</w:t>
      </w:r>
      <w:r w:rsidR="007A2563" w:rsidRPr="00587A1F">
        <w:rPr>
          <w:rFonts w:cs="Arial"/>
          <w:i/>
          <w:szCs w:val="20"/>
        </w:rPr>
        <w:t>-</w:t>
      </w:r>
      <w:r w:rsidR="00D62ED0" w:rsidRPr="00587A1F">
        <w:rPr>
          <w:rFonts w:cs="Arial"/>
          <w:i/>
          <w:szCs w:val="20"/>
        </w:rPr>
        <w:t>pastoral</w:t>
      </w:r>
      <w:r w:rsidR="007A2563" w:rsidRPr="00587A1F">
        <w:rPr>
          <w:rFonts w:cs="Arial"/>
          <w:i/>
          <w:szCs w:val="20"/>
        </w:rPr>
        <w:t>ism</w:t>
      </w:r>
      <w:r w:rsidR="00D62ED0" w:rsidRPr="00587A1F">
        <w:rPr>
          <w:rFonts w:cs="Arial"/>
          <w:i/>
          <w:szCs w:val="20"/>
        </w:rPr>
        <w:t>, dryland</w:t>
      </w:r>
      <w:r w:rsidR="007A2563" w:rsidRPr="00587A1F">
        <w:rPr>
          <w:rFonts w:cs="Arial"/>
          <w:i/>
          <w:szCs w:val="20"/>
        </w:rPr>
        <w:t>s</w:t>
      </w:r>
      <w:r w:rsidR="00D62ED0" w:rsidRPr="00587A1F">
        <w:rPr>
          <w:rFonts w:cs="Arial"/>
          <w:i/>
          <w:szCs w:val="20"/>
        </w:rPr>
        <w:t>, cli</w:t>
      </w:r>
      <w:r w:rsidR="008F55CC" w:rsidRPr="00587A1F">
        <w:rPr>
          <w:rFonts w:cs="Arial"/>
          <w:i/>
          <w:szCs w:val="20"/>
        </w:rPr>
        <w:t>mate change</w:t>
      </w:r>
      <w:r w:rsidR="00F43C6E" w:rsidRPr="00587A1F">
        <w:rPr>
          <w:rFonts w:cs="Arial"/>
          <w:i/>
          <w:szCs w:val="20"/>
        </w:rPr>
        <w:t>, cropping</w:t>
      </w:r>
      <w:r w:rsidR="008F55CC" w:rsidRPr="00587A1F">
        <w:rPr>
          <w:rFonts w:cs="Arial"/>
          <w:i/>
          <w:szCs w:val="20"/>
        </w:rPr>
        <w:t xml:space="preserve"> system</w:t>
      </w:r>
      <w:r w:rsidR="00F43C6E" w:rsidRPr="00587A1F">
        <w:rPr>
          <w:rFonts w:cs="Arial"/>
          <w:i/>
          <w:szCs w:val="20"/>
        </w:rPr>
        <w:t>,</w:t>
      </w:r>
      <w:r w:rsidR="008F55CC" w:rsidRPr="00587A1F">
        <w:rPr>
          <w:rFonts w:cs="Arial"/>
          <w:i/>
          <w:szCs w:val="20"/>
        </w:rPr>
        <w:t xml:space="preserve"> arid and semi-arid</w:t>
      </w:r>
    </w:p>
    <w:p w14:paraId="447F16B6" w14:textId="77777777" w:rsidR="00353B71" w:rsidRPr="00587A1F" w:rsidRDefault="00353B71" w:rsidP="00924D7C">
      <w:pPr>
        <w:pStyle w:val="ListParagraph"/>
        <w:keepNext/>
        <w:keepLines/>
        <w:numPr>
          <w:ilvl w:val="0"/>
          <w:numId w:val="1"/>
        </w:numPr>
        <w:spacing w:beforeAutospacing="1" w:after="0"/>
        <w:contextualSpacing w:val="0"/>
        <w:outlineLvl w:val="1"/>
        <w:rPr>
          <w:rFonts w:eastAsiaTheme="majorEastAsia" w:cs="Arial"/>
          <w:b/>
          <w:vanish/>
          <w:szCs w:val="26"/>
        </w:rPr>
      </w:pPr>
      <w:bookmarkStart w:id="1" w:name="_Toc172620793"/>
      <w:bookmarkStart w:id="2" w:name="_Toc172602165"/>
      <w:bookmarkStart w:id="3" w:name="_Toc172557501"/>
      <w:bookmarkStart w:id="4" w:name="_Toc172555152"/>
      <w:bookmarkStart w:id="5" w:name="_Toc172260201"/>
      <w:bookmarkStart w:id="6" w:name="_Toc172123226"/>
      <w:bookmarkStart w:id="7" w:name="_Toc172106921"/>
      <w:bookmarkStart w:id="8" w:name="_Toc172103570"/>
      <w:bookmarkEnd w:id="1"/>
      <w:bookmarkEnd w:id="2"/>
      <w:bookmarkEnd w:id="3"/>
      <w:bookmarkEnd w:id="4"/>
      <w:bookmarkEnd w:id="5"/>
      <w:bookmarkEnd w:id="6"/>
      <w:bookmarkEnd w:id="7"/>
      <w:bookmarkEnd w:id="8"/>
    </w:p>
    <w:p w14:paraId="5A971018" w14:textId="2D9E04E7" w:rsidR="00353B71" w:rsidRPr="00587A1F" w:rsidRDefault="004B70FD" w:rsidP="00DB7A3D">
      <w:pPr>
        <w:pStyle w:val="Heading1"/>
        <w:rPr>
          <w:rFonts w:cs="Arial"/>
        </w:rPr>
      </w:pPr>
      <w:bookmarkStart w:id="9" w:name="_Toc172620794"/>
      <w:r w:rsidRPr="00587A1F">
        <w:rPr>
          <w:rFonts w:cs="Arial"/>
        </w:rPr>
        <w:t>INTRODUCTION</w:t>
      </w:r>
      <w:bookmarkEnd w:id="9"/>
    </w:p>
    <w:p w14:paraId="79816D76" w14:textId="20C08157" w:rsidR="00353B71" w:rsidRPr="00587A1F" w:rsidRDefault="00F47804" w:rsidP="00EE462D">
      <w:pPr>
        <w:pStyle w:val="NormalWeb"/>
        <w:spacing w:before="280" w:after="280"/>
        <w:rPr>
          <w:rFonts w:cs="Arial"/>
          <w:szCs w:val="20"/>
        </w:rPr>
      </w:pPr>
      <w:r w:rsidRPr="00587A1F">
        <w:rPr>
          <w:rFonts w:cs="Arial"/>
          <w:szCs w:val="20"/>
        </w:rPr>
        <w:t xml:space="preserve">Dryland </w:t>
      </w:r>
      <w:r w:rsidR="00F43C6E" w:rsidRPr="00587A1F">
        <w:rPr>
          <w:rFonts w:cs="Arial"/>
          <w:szCs w:val="20"/>
        </w:rPr>
        <w:t xml:space="preserve">conditions </w:t>
      </w:r>
      <w:r w:rsidRPr="00587A1F">
        <w:rPr>
          <w:rFonts w:cs="Arial"/>
          <w:szCs w:val="20"/>
        </w:rPr>
        <w:t xml:space="preserve">play a critical role </w:t>
      </w:r>
      <w:r w:rsidR="009218F6" w:rsidRPr="00587A1F">
        <w:rPr>
          <w:rFonts w:cs="Arial"/>
          <w:szCs w:val="20"/>
        </w:rPr>
        <w:t xml:space="preserve">in </w:t>
      </w:r>
      <w:r w:rsidRPr="00587A1F">
        <w:rPr>
          <w:rFonts w:cs="Arial"/>
          <w:szCs w:val="20"/>
        </w:rPr>
        <w:t xml:space="preserve">the livelihood of many farmers inhabiting these regions. </w:t>
      </w:r>
      <w:r w:rsidR="008F55CC" w:rsidRPr="00587A1F">
        <w:rPr>
          <w:rFonts w:cs="Arial"/>
          <w:szCs w:val="20"/>
        </w:rPr>
        <w:t>C</w:t>
      </w:r>
      <w:r w:rsidR="004D2C5A" w:rsidRPr="00587A1F">
        <w:rPr>
          <w:rFonts w:cs="Arial"/>
          <w:szCs w:val="20"/>
        </w:rPr>
        <w:t xml:space="preserve">haracterized by precipitation deficits </w:t>
      </w:r>
      <w:r w:rsidR="008F55CC" w:rsidRPr="00587A1F">
        <w:rPr>
          <w:rFonts w:cs="Arial"/>
          <w:szCs w:val="20"/>
        </w:rPr>
        <w:t xml:space="preserve">of </w:t>
      </w:r>
      <w:r w:rsidR="00504B5B" w:rsidRPr="00587A1F">
        <w:rPr>
          <w:rFonts w:cs="Arial"/>
          <w:szCs w:val="20"/>
        </w:rPr>
        <w:t xml:space="preserve">potential </w:t>
      </w:r>
      <w:r w:rsidR="004D2C5A" w:rsidRPr="00587A1F">
        <w:rPr>
          <w:rFonts w:cs="Arial"/>
          <w:szCs w:val="20"/>
        </w:rPr>
        <w:t xml:space="preserve">evaporation </w:t>
      </w:r>
      <w:r w:rsidR="00504B5B" w:rsidRPr="00587A1F">
        <w:rPr>
          <w:rFonts w:cs="Arial"/>
          <w:szCs w:val="20"/>
        </w:rPr>
        <w:t xml:space="preserve">ratio </w:t>
      </w:r>
      <w:r w:rsidR="008F55CC" w:rsidRPr="00587A1F">
        <w:rPr>
          <w:rFonts w:cs="Arial"/>
          <w:szCs w:val="20"/>
        </w:rPr>
        <w:t>of</w:t>
      </w:r>
      <w:r w:rsidR="00504B5B" w:rsidRPr="00587A1F">
        <w:rPr>
          <w:rFonts w:cs="Arial"/>
          <w:szCs w:val="20"/>
        </w:rPr>
        <w:t xml:space="preserve"> &lt; 0. 4 </w:t>
      </w:r>
      <w:r w:rsidR="00D62ED0" w:rsidRPr="00587A1F">
        <w:rPr>
          <w:rFonts w:cs="Arial"/>
          <w:szCs w:val="20"/>
        </w:rPr>
        <w:fldChar w:fldCharType="begin"/>
      </w:r>
      <w:r w:rsidR="00D62ED0" w:rsidRPr="00587A1F">
        <w:rPr>
          <w:rFonts w:cs="Arial"/>
          <w:szCs w:val="20"/>
        </w:rPr>
        <w:instrText xml:space="preserve"> ADDIN ZOTERO_ITEM CSL_CITATION {"citationID":"FocKiNQR","properties":{"formattedCitation":"(Hirwa et al., 2022)","plainCitation":"(Hirwa et al., 2022)","noteIndex":0},"citationItems":[{"id":2471,"uris":["http://zotero.org/users/5110088/items/HTPC8YSH"],"itemData":{"id":2471,"type":"article-journal","abstract":"&lt;p&gt;Climate change impacts on drylands pose more vexing risks to socio-ecological systems, resulting in food security issues, biodiversity loss, and livelihood shifts in Africa. This study critically reviewed relevant literature to evaluate the complexities and feedback loops between the climate–drylands–food security (CDF) nexus, which helps assess tactics to attain sustainable dryland ecosystem management under the changing environment. Comprehensive CDF frameworks are explored for dryland dynamics, ecosystem services, and food security (FS), and current high-precision ecosystem observation networks are used to detect regional-level climate variability and identify hotspots. In addition, this review also examines challenges and uncertainties for CDF systems and effective agrarian innovations as a way forward. To bridge the gap from science to policy making in the CDF nexus, it is vital to enhance the impacts and feedbacks of ecohydrological processes on agrarian production, ecosystem service tradeoffs and their effects on livelihoods, and regional development and preservation by optimization of the ecological water security pattern. This state-of-the-art assessment uses acquired information and knowledge to conceptually evaluate the past, current, and future impacts and risks and facilitates decision making through the delivery of long-term sustainability and socio-ecological resilience.&lt;/p&gt;","container-title":"Frontiers in Environmental Science","DOI":"10.3389/fenvs.2022.851249","ISSN":"2296-665X","journalAbbreviation":"Front. Environ. Sci.","language":"English","note":"publisher: Frontiers","source":"Frontiers","title":"Climate change–drylands–food security nexus in Africa: From the perspective of technical advances, challenges, and opportunities","title-short":"Climate change–drylands–food security nexus in Africa","URL":"https://www.frontiersin.org/journals/environmental-science/articles/10.3389/fenvs.2022.851249/full","volume":"10","author":[{"family":"Hirwa","given":"Hubert"},{"family":"Li","given":"Fadong"},{"family":"Qiao","given":"Yunfeng"},{"family":"Measho","given":"Simon"},{"family":"Muhirwa","given":"Fabien"},{"family":"Tian","given":"Chao"},{"family":"Leng","given":"Peifang"},{"family":"Ingabire","given":"Romaine"},{"family":"Itangishaka","given":"Auguste Cesar"},{"family":"Chen","given":"Gang"},{"family":"Turyasingura","given":"Benson"}],"accessed":{"date-parts":[["2024",10,15]]},"issued":{"date-parts":[["2022",9,6]]}}}],"schema":"https://github.com/citation-style-language/schema/raw/master/csl-citation.json"} </w:instrText>
      </w:r>
      <w:r w:rsidR="00D62ED0" w:rsidRPr="00587A1F">
        <w:rPr>
          <w:rFonts w:cs="Arial"/>
          <w:szCs w:val="20"/>
        </w:rPr>
        <w:fldChar w:fldCharType="separate"/>
      </w:r>
      <w:r w:rsidR="00D62ED0" w:rsidRPr="00587A1F">
        <w:rPr>
          <w:rFonts w:cs="Arial"/>
        </w:rPr>
        <w:t>(Hirwa et al., 2022)</w:t>
      </w:r>
      <w:r w:rsidR="00D62ED0" w:rsidRPr="00587A1F">
        <w:rPr>
          <w:rFonts w:cs="Arial"/>
          <w:szCs w:val="20"/>
        </w:rPr>
        <w:fldChar w:fldCharType="end"/>
      </w:r>
      <w:r w:rsidR="008F55CC" w:rsidRPr="00587A1F">
        <w:rPr>
          <w:rFonts w:cs="Arial"/>
          <w:szCs w:val="20"/>
        </w:rPr>
        <w:t>, a</w:t>
      </w:r>
      <w:r w:rsidR="00F43C6E" w:rsidRPr="00587A1F">
        <w:rPr>
          <w:rFonts w:cs="Arial"/>
          <w:szCs w:val="20"/>
        </w:rPr>
        <w:t xml:space="preserve">rid and semi-arid lands (ASALs) </w:t>
      </w:r>
      <w:r w:rsidR="004D2C5A" w:rsidRPr="00587A1F">
        <w:rPr>
          <w:rFonts w:cs="Arial"/>
          <w:szCs w:val="20"/>
        </w:rPr>
        <w:t>cove</w:t>
      </w:r>
      <w:r w:rsidR="00F828F6" w:rsidRPr="00587A1F">
        <w:rPr>
          <w:rFonts w:cs="Arial"/>
          <w:szCs w:val="20"/>
        </w:rPr>
        <w:t>r</w:t>
      </w:r>
      <w:r w:rsidR="00F43C6E" w:rsidRPr="00587A1F">
        <w:rPr>
          <w:rFonts w:cs="Arial"/>
          <w:szCs w:val="20"/>
        </w:rPr>
        <w:t>s</w:t>
      </w:r>
      <w:r w:rsidR="004D2C5A" w:rsidRPr="00587A1F">
        <w:rPr>
          <w:rFonts w:cs="Arial"/>
          <w:szCs w:val="20"/>
        </w:rPr>
        <w:t xml:space="preserve"> approximately 41% of the global land area</w:t>
      </w:r>
      <w:r w:rsidR="00F828F6" w:rsidRPr="00587A1F">
        <w:rPr>
          <w:rFonts w:cs="Arial"/>
          <w:szCs w:val="20"/>
        </w:rPr>
        <w:t xml:space="preserve"> providing ecological support to </w:t>
      </w:r>
      <w:r w:rsidR="004D2C5A" w:rsidRPr="00587A1F">
        <w:rPr>
          <w:rFonts w:cs="Arial"/>
          <w:szCs w:val="20"/>
        </w:rPr>
        <w:t xml:space="preserve">over 2.7 billion people </w:t>
      </w:r>
      <w:r w:rsidR="00D62ED0" w:rsidRPr="00587A1F">
        <w:rPr>
          <w:rFonts w:cs="Arial"/>
          <w:szCs w:val="20"/>
        </w:rPr>
        <w:fldChar w:fldCharType="begin"/>
      </w:r>
      <w:r w:rsidR="00D62ED0" w:rsidRPr="00587A1F">
        <w:rPr>
          <w:rFonts w:cs="Arial"/>
          <w:szCs w:val="20"/>
        </w:rPr>
        <w:instrText xml:space="preserve"> ADDIN ZOTERO_ITEM CSL_CITATION {"citationID":"mzA7G4BL","properties":{"formattedCitation":"(PBL, 2017)","plainCitation":"(PBL, 2017)","noteIndex":0},"citationItems":[{"id":2844,"uris":["http://zotero.org/users/5110088/items/BPX8BINR"],"itemData":{"id":2844,"type":"report","event-place":"The Netherlands","publisher":"The Hague","publisher-place":"The Netherlands","title":"Population Growth in Drylands; PBL Netherlands Environmental Assessment Agency","URL":"http://www.pbl.nl/en/aboutpbl","author":[{"family":"PBL","given":""}],"issued":{"date-parts":[["2017"]]}}}],"schema":"https://github.com/citation-style-language/schema/raw/master/csl-citation.json"} </w:instrText>
      </w:r>
      <w:r w:rsidR="00D62ED0" w:rsidRPr="00587A1F">
        <w:rPr>
          <w:rFonts w:cs="Arial"/>
          <w:szCs w:val="20"/>
        </w:rPr>
        <w:fldChar w:fldCharType="separate"/>
      </w:r>
      <w:r w:rsidR="00D62ED0" w:rsidRPr="00587A1F">
        <w:rPr>
          <w:rFonts w:cs="Arial"/>
        </w:rPr>
        <w:t>(PBL, 2017)</w:t>
      </w:r>
      <w:r w:rsidR="00D62ED0" w:rsidRPr="00587A1F">
        <w:rPr>
          <w:rFonts w:cs="Arial"/>
          <w:szCs w:val="20"/>
        </w:rPr>
        <w:fldChar w:fldCharType="end"/>
      </w:r>
      <w:r w:rsidR="00D62ED0" w:rsidRPr="00587A1F">
        <w:rPr>
          <w:rFonts w:cs="Arial"/>
          <w:szCs w:val="20"/>
        </w:rPr>
        <w:t>.</w:t>
      </w:r>
      <w:r w:rsidR="004D2C5A" w:rsidRPr="00587A1F">
        <w:rPr>
          <w:rFonts w:cs="Arial"/>
          <w:szCs w:val="20"/>
        </w:rPr>
        <w:t xml:space="preserve"> In Africa, drylands make up about 60% of the continent's land area, influencing over 525 million people (Fu &amp; Stafford-Smith, 2024). </w:t>
      </w:r>
      <w:r w:rsidR="00F828F6" w:rsidRPr="00587A1F">
        <w:rPr>
          <w:rFonts w:cs="Arial"/>
          <w:szCs w:val="20"/>
        </w:rPr>
        <w:t xml:space="preserve">However, in </w:t>
      </w:r>
      <w:r w:rsidR="004D2C5A" w:rsidRPr="00587A1F">
        <w:rPr>
          <w:rFonts w:cs="Arial"/>
          <w:szCs w:val="20"/>
        </w:rPr>
        <w:t>Kenya,</w:t>
      </w:r>
      <w:r w:rsidR="00BB549C" w:rsidRPr="00587A1F">
        <w:rPr>
          <w:rFonts w:cs="Arial"/>
          <w:szCs w:val="20"/>
        </w:rPr>
        <w:t xml:space="preserve"> </w:t>
      </w:r>
      <w:r w:rsidR="00F828F6" w:rsidRPr="00587A1F">
        <w:rPr>
          <w:rFonts w:cs="Arial"/>
          <w:szCs w:val="20"/>
        </w:rPr>
        <w:t>ASALs cover 88% of the arable land but provides ecological support to about 70 and 90 % of the total livestock and wildlife population, respectively</w:t>
      </w:r>
      <w:r w:rsidR="00DB1FF5" w:rsidRPr="00587A1F">
        <w:rPr>
          <w:rFonts w:cs="Arial"/>
          <w:szCs w:val="20"/>
        </w:rPr>
        <w:t xml:space="preserve"> </w:t>
      </w:r>
      <w:r w:rsidR="00F828F6" w:rsidRPr="00587A1F">
        <w:rPr>
          <w:rFonts w:cs="Arial"/>
          <w:szCs w:val="20"/>
        </w:rPr>
        <w:t xml:space="preserve"> </w:t>
      </w:r>
      <w:r w:rsidR="00D62ED0" w:rsidRPr="00587A1F">
        <w:rPr>
          <w:rFonts w:cs="Arial"/>
          <w:szCs w:val="20"/>
        </w:rPr>
        <w:fldChar w:fldCharType="begin"/>
      </w:r>
      <w:r w:rsidR="00DB1FF5" w:rsidRPr="00587A1F">
        <w:rPr>
          <w:rFonts w:cs="Arial"/>
          <w:szCs w:val="20"/>
        </w:rPr>
        <w:instrText xml:space="preserve"> ADDIN ZOTERO_ITEM CSL_CITATION {"citationID":"v223pzgm","properties":{"formattedCitation":"(Gerwen et al., 2018; Nganga et al., 2021)","plainCitation":"(Gerwen et al., 2018; Nganga et al., 2021)","noteIndex":0},"citationItems":[{"id":2846,"uris":["http://zotero.org/users/5110088/items/E5PHWJGB"],"itemData":{"id":2846,"type":"article-journal","title":"Drylands Development External programme Review Volume II MDF Training &amp; Consultancy.","URL":"https://wash-alliance.org/wp-content/ uploads/sites/ 50/2019/06/8724_ Dry_Dev_Kenya _Final _HR.pdf","author":[{"family":"Gerwen","given":"F."},{"family":"Nelen","given":"J."},{"family":"Hopkins","given":"M"},{"family":"Adimo","given":"O"},{"family":"Souley","given":"A."},{"family":"Bergmann","given":"N"}],"issued":{"date-parts":[["2018"]]}}},{"id":2845,"uris":["http://zotero.org/users/5110088/items/HE4ERRM5"],"itemData":{"id":2845,"type":"article-journal","DOI":"https://doi. org/10.1016/j.jclepro.2021.126764","journalAbbreviation":"Journal of Cleaner Production","title":"An oasis in the dryland of Kenya! The case of irrigation as an adaptation strategy among the transitioning pastoralists and agro-pastoralists of Laikipia County, Kenya","author":[{"family":"Nganga","given":"T. W"},{"family":"Coulibaly","given":"J. Y."},{"family":"Gachene","given":"C. K. K."},{"family":"Kironchia","given":"G."}],"issued":{"date-parts":[["2021"]]}}}],"schema":"https://github.com/citation-style-language/schema/raw/master/csl-citation.json"} </w:instrText>
      </w:r>
      <w:r w:rsidR="00D62ED0" w:rsidRPr="00587A1F">
        <w:rPr>
          <w:rFonts w:cs="Arial"/>
          <w:szCs w:val="20"/>
        </w:rPr>
        <w:fldChar w:fldCharType="separate"/>
      </w:r>
      <w:r w:rsidR="00DB1FF5" w:rsidRPr="00587A1F">
        <w:rPr>
          <w:rFonts w:cs="Arial"/>
        </w:rPr>
        <w:t>(Gerwen et al., 2018; Nganga et al., 2021)</w:t>
      </w:r>
      <w:r w:rsidR="00D62ED0" w:rsidRPr="00587A1F">
        <w:rPr>
          <w:rFonts w:cs="Arial"/>
          <w:szCs w:val="20"/>
        </w:rPr>
        <w:fldChar w:fldCharType="end"/>
      </w:r>
      <w:r w:rsidR="00D62ED0" w:rsidRPr="00587A1F">
        <w:rPr>
          <w:rFonts w:cs="Arial"/>
          <w:szCs w:val="20"/>
        </w:rPr>
        <w:t xml:space="preserve">. </w:t>
      </w:r>
      <w:r w:rsidR="004D2C5A" w:rsidRPr="00587A1F">
        <w:rPr>
          <w:rFonts w:cs="Arial"/>
          <w:szCs w:val="20"/>
        </w:rPr>
        <w:t>D</w:t>
      </w:r>
      <w:r w:rsidR="00EE462D" w:rsidRPr="00587A1F">
        <w:rPr>
          <w:rFonts w:cs="Arial"/>
          <w:szCs w:val="20"/>
        </w:rPr>
        <w:t xml:space="preserve">espite supporting diverse livelihoods, these areas face multiple challenges that include </w:t>
      </w:r>
      <w:r w:rsidR="004D2C5A" w:rsidRPr="00587A1F">
        <w:rPr>
          <w:rFonts w:cs="Arial"/>
          <w:szCs w:val="20"/>
        </w:rPr>
        <w:t>erratic rainfall,</w:t>
      </w:r>
      <w:r w:rsidR="00790317" w:rsidRPr="00587A1F">
        <w:rPr>
          <w:rFonts w:cs="Arial"/>
          <w:szCs w:val="20"/>
        </w:rPr>
        <w:t xml:space="preserve"> prolonged droughts,</w:t>
      </w:r>
      <w:r w:rsidR="004D2C5A" w:rsidRPr="00587A1F">
        <w:rPr>
          <w:rFonts w:cs="Arial"/>
          <w:szCs w:val="20"/>
        </w:rPr>
        <w:t xml:space="preserve"> water scarcity, desertificati</w:t>
      </w:r>
      <w:r w:rsidR="00EE462D" w:rsidRPr="00587A1F">
        <w:rPr>
          <w:rFonts w:cs="Arial"/>
          <w:szCs w:val="20"/>
        </w:rPr>
        <w:t>on, and soil degradation</w:t>
      </w:r>
      <w:r w:rsidR="00790317" w:rsidRPr="00587A1F">
        <w:rPr>
          <w:rFonts w:cs="Arial"/>
          <w:szCs w:val="20"/>
        </w:rPr>
        <w:t xml:space="preserve"> </w:t>
      </w:r>
      <w:r w:rsidR="00996333" w:rsidRPr="00587A1F">
        <w:rPr>
          <w:rFonts w:cs="Arial"/>
          <w:szCs w:val="20"/>
        </w:rPr>
        <w:fldChar w:fldCharType="begin"/>
      </w:r>
      <w:r w:rsidR="00996333" w:rsidRPr="00587A1F">
        <w:rPr>
          <w:rFonts w:cs="Arial"/>
          <w:szCs w:val="20"/>
        </w:rPr>
        <w:instrText xml:space="preserve"> ADDIN ZOTERO_ITEM CSL_CITATION {"citationID":"7H9mc8Ms","properties":{"formattedCitation":"(Churu et al., 2024)","plainCitation":"(Churu et al., 2024)","noteIndex":0},"citationItems":[{"id":2053,"uris":["http://zotero.org/users/5110088/items/46S9XA2V"],"itemData":{"id":2053,"type":"article-journal","container-title":"Asian Journal of Soil Science and Plant Nutrition","issue":"2","page":"13–26","source":"Google Scholar","title":"Drivers of Gully Erosion and its Socio-economic and Environmental Effects in a Tropical Semi-arid Environment","volume":"10","author":[{"family":"Churu","given":"Harrison"},{"family":"Kamau","given":"Solomon"},{"family":"Ng’etich","given":"Wilson"},{"family":"Magiroi","given":"Keziah"},{"family":"Alkamoi","given":"Bonface"},{"family":"Kebeney","given":"Syphyline"},{"family":"Wamalwa","given":"Fred"},{"family":"Mumo","given":"James"}],"issued":{"date-parts":[["2024"]]}}}],"schema":"https://github.com/citation-style-language/schema/raw/master/csl-citation.json"} </w:instrText>
      </w:r>
      <w:r w:rsidR="00996333" w:rsidRPr="00587A1F">
        <w:rPr>
          <w:rFonts w:cs="Arial"/>
          <w:szCs w:val="20"/>
        </w:rPr>
        <w:fldChar w:fldCharType="separate"/>
      </w:r>
      <w:r w:rsidR="00996333" w:rsidRPr="00587A1F">
        <w:rPr>
          <w:rFonts w:cs="Arial"/>
        </w:rPr>
        <w:t>(Churu et al., 2024)</w:t>
      </w:r>
      <w:r w:rsidR="00996333" w:rsidRPr="00587A1F">
        <w:rPr>
          <w:rFonts w:cs="Arial"/>
          <w:szCs w:val="20"/>
        </w:rPr>
        <w:fldChar w:fldCharType="end"/>
      </w:r>
      <w:r w:rsidR="00EE462D" w:rsidRPr="00587A1F">
        <w:rPr>
          <w:rFonts w:cs="Arial"/>
          <w:szCs w:val="20"/>
        </w:rPr>
        <w:t>. Th</w:t>
      </w:r>
      <w:r w:rsidR="00BD0605" w:rsidRPr="00587A1F">
        <w:rPr>
          <w:rFonts w:cs="Arial"/>
          <w:szCs w:val="20"/>
        </w:rPr>
        <w:t>i</w:t>
      </w:r>
      <w:r w:rsidR="00EE462D" w:rsidRPr="00587A1F">
        <w:rPr>
          <w:rFonts w:cs="Arial"/>
          <w:szCs w:val="20"/>
        </w:rPr>
        <w:t xml:space="preserve">s </w:t>
      </w:r>
      <w:r w:rsidR="004D2C5A" w:rsidRPr="00587A1F">
        <w:rPr>
          <w:rFonts w:cs="Arial"/>
          <w:szCs w:val="20"/>
        </w:rPr>
        <w:t>contribu</w:t>
      </w:r>
      <w:r w:rsidR="00BD0605" w:rsidRPr="00587A1F">
        <w:rPr>
          <w:rFonts w:cs="Arial"/>
          <w:szCs w:val="20"/>
        </w:rPr>
        <w:t>tes</w:t>
      </w:r>
      <w:r w:rsidR="004D2C5A" w:rsidRPr="00587A1F">
        <w:rPr>
          <w:rFonts w:cs="Arial"/>
          <w:szCs w:val="20"/>
        </w:rPr>
        <w:t xml:space="preserve"> to food insecurity, poverty,</w:t>
      </w:r>
      <w:r w:rsidR="00790317" w:rsidRPr="00587A1F">
        <w:rPr>
          <w:rFonts w:cs="Arial"/>
          <w:szCs w:val="20"/>
        </w:rPr>
        <w:t xml:space="preserve"> water shortage, loss of biodiversity and acute malnutrition</w:t>
      </w:r>
      <w:r w:rsidR="004D2C5A" w:rsidRPr="00587A1F">
        <w:rPr>
          <w:rFonts w:cs="Arial"/>
          <w:szCs w:val="20"/>
        </w:rPr>
        <w:t xml:space="preserve"> </w:t>
      </w:r>
      <w:r w:rsidR="00790317" w:rsidRPr="00587A1F">
        <w:rPr>
          <w:rFonts w:cs="Arial"/>
          <w:szCs w:val="20"/>
        </w:rPr>
        <w:t xml:space="preserve">exacerbating the </w:t>
      </w:r>
      <w:r w:rsidR="004D2C5A" w:rsidRPr="00587A1F">
        <w:rPr>
          <w:rFonts w:cs="Arial"/>
          <w:szCs w:val="20"/>
        </w:rPr>
        <w:t>vulnerability of rural populations to climate change (Fu &amp; Stafford-Smith, 2024; Hirwa et al., 2022). In response, agro-pastoralism</w:t>
      </w:r>
      <w:r w:rsidR="00BD0605" w:rsidRPr="00587A1F">
        <w:rPr>
          <w:rFonts w:cs="Arial"/>
          <w:szCs w:val="20"/>
        </w:rPr>
        <w:t>,</w:t>
      </w:r>
      <w:r w:rsidR="00EE462D" w:rsidRPr="00587A1F">
        <w:rPr>
          <w:rFonts w:cs="Arial"/>
          <w:szCs w:val="20"/>
        </w:rPr>
        <w:t xml:space="preserve"> </w:t>
      </w:r>
      <w:r w:rsidR="00BD0605" w:rsidRPr="00587A1F">
        <w:rPr>
          <w:rFonts w:cs="Arial"/>
          <w:szCs w:val="20"/>
        </w:rPr>
        <w:t xml:space="preserve">which </w:t>
      </w:r>
      <w:r w:rsidR="00EE462D" w:rsidRPr="00587A1F">
        <w:rPr>
          <w:rFonts w:cs="Arial"/>
          <w:szCs w:val="20"/>
        </w:rPr>
        <w:t xml:space="preserve">involves </w:t>
      </w:r>
      <w:r w:rsidR="004D2C5A" w:rsidRPr="00587A1F">
        <w:rPr>
          <w:rFonts w:cs="Arial"/>
          <w:szCs w:val="20"/>
        </w:rPr>
        <w:t>combin</w:t>
      </w:r>
      <w:r w:rsidR="00EE462D" w:rsidRPr="00587A1F">
        <w:rPr>
          <w:rFonts w:cs="Arial"/>
          <w:szCs w:val="20"/>
        </w:rPr>
        <w:t xml:space="preserve">ing </w:t>
      </w:r>
      <w:r w:rsidR="004D2C5A" w:rsidRPr="00587A1F">
        <w:rPr>
          <w:rFonts w:cs="Arial"/>
          <w:szCs w:val="20"/>
        </w:rPr>
        <w:t>crop cultivation with livestock rearing</w:t>
      </w:r>
      <w:r w:rsidR="00BD0605" w:rsidRPr="00587A1F">
        <w:rPr>
          <w:rFonts w:cs="Arial"/>
          <w:szCs w:val="20"/>
        </w:rPr>
        <w:t>,</w:t>
      </w:r>
      <w:r w:rsidR="00EE462D" w:rsidRPr="00587A1F">
        <w:rPr>
          <w:rFonts w:cs="Arial"/>
          <w:szCs w:val="20"/>
        </w:rPr>
        <w:t xml:space="preserve"> </w:t>
      </w:r>
      <w:r w:rsidR="004D2C5A" w:rsidRPr="00587A1F">
        <w:rPr>
          <w:rFonts w:cs="Arial"/>
          <w:szCs w:val="20"/>
        </w:rPr>
        <w:t>ha</w:t>
      </w:r>
      <w:r w:rsidR="00EE462D" w:rsidRPr="00587A1F">
        <w:rPr>
          <w:rFonts w:cs="Arial"/>
          <w:szCs w:val="20"/>
        </w:rPr>
        <w:t>d</w:t>
      </w:r>
      <w:r w:rsidR="004D2C5A" w:rsidRPr="00587A1F">
        <w:rPr>
          <w:rFonts w:cs="Arial"/>
          <w:szCs w:val="20"/>
        </w:rPr>
        <w:t xml:space="preserve"> been a key livelihood strategy</w:t>
      </w:r>
      <w:r w:rsidR="00EE462D" w:rsidRPr="00587A1F">
        <w:rPr>
          <w:rFonts w:cs="Arial"/>
          <w:szCs w:val="20"/>
        </w:rPr>
        <w:t xml:space="preserve"> for the </w:t>
      </w:r>
      <w:r w:rsidR="004D2C5A" w:rsidRPr="00587A1F">
        <w:rPr>
          <w:rFonts w:cs="Arial"/>
          <w:szCs w:val="20"/>
        </w:rPr>
        <w:t>rural communities</w:t>
      </w:r>
      <w:r w:rsidR="00EE462D" w:rsidRPr="00587A1F">
        <w:rPr>
          <w:rFonts w:cs="Arial"/>
          <w:szCs w:val="20"/>
        </w:rPr>
        <w:t xml:space="preserve"> </w:t>
      </w:r>
      <w:r w:rsidR="00D62ED0" w:rsidRPr="00587A1F">
        <w:rPr>
          <w:rFonts w:cs="Arial"/>
          <w:szCs w:val="20"/>
        </w:rPr>
        <w:fldChar w:fldCharType="begin"/>
      </w:r>
      <w:r w:rsidR="00D62ED0" w:rsidRPr="00587A1F">
        <w:rPr>
          <w:rFonts w:cs="Arial"/>
          <w:szCs w:val="20"/>
        </w:rPr>
        <w:instrText xml:space="preserve"> ADDIN ZOTERO_ITEM CSL_CITATION {"citationID":"Th1C5CN5","properties":{"formattedCitation":"(Stavi et al., 2022)","plainCitation":"(Stavi et al., 2022)","noteIndex":0},"citationItems":[{"id":1410,"uris":["http://zotero.org/users/5110088/items/877BKVH8"],"itemData":{"id":1410,"type":"article-journal","abstract":"During the last decades, pastoralist, and agropastoralist populations of the world’s drylands have become exceedingly vulnerable to regional and global changes. Specifically, exacerbated stressors imposed on these populations have adversely affected their food security status, causing humanitarian emergencies and catastrophes. Of these stressors, climate variability and change, land-use and management practices, and dynamics of human demography are of a special importance. These factors affect all four pillars of food security, namely, food availability, access to food, food utilization, and food stability. The objective of this study was to critically review relevant literature to assess the complex web of interrelations and feedbacks that affect these factors. The increasing pressures on the world’s drylands necessitate a comprehensive analysis to advise policy makers regarding the complexity and linkages among factors, and to improve global action. The acquired insights may be the basis for alleviating food insecurity of vulnerable dryland populations.","container-title":"The Anthropocene Review","DOI":"10.1177/20530196211007512","ISSN":"2053-0196","issue":"3","language":"en","note":"publisher: SAGE Publications","page":"299-323","source":"SAGE Journals","title":"Food security among dryland pastoralists and agropastoralists: The climate, land-use change, and population dynamics nexus","title-short":"Food security among dryland pastoralists and agropastoralists","volume":"9","author":[{"family":"Stavi","given":"Ilan"},{"family":"Roque de Pinho","given":"Joana"},{"family":"Paschalidou","given":"Anastasia K"},{"family":"Adamo","given":"Susana B"},{"family":"Galvin","given":"Kathleen"},{"family":"Sherbinin","given":"Alex","non-dropping-particle":"de"},{"family":"Even","given":"Trevor"},{"family":"Heaviside","given":"Clare"},{"family":"Geest","given":"Kees","non-dropping-particle":"van der"}],"issued":{"date-parts":[["2022",12,1]]}}}],"schema":"https://github.com/citation-style-language/schema/raw/master/csl-citation.json"} </w:instrText>
      </w:r>
      <w:r w:rsidR="00D62ED0" w:rsidRPr="00587A1F">
        <w:rPr>
          <w:rFonts w:cs="Arial"/>
          <w:szCs w:val="20"/>
        </w:rPr>
        <w:fldChar w:fldCharType="separate"/>
      </w:r>
      <w:r w:rsidR="00D62ED0" w:rsidRPr="00587A1F">
        <w:rPr>
          <w:rFonts w:cs="Arial"/>
        </w:rPr>
        <w:t>(Stavi et al., 2022)</w:t>
      </w:r>
      <w:r w:rsidR="00D62ED0" w:rsidRPr="00587A1F">
        <w:rPr>
          <w:rFonts w:cs="Arial"/>
          <w:szCs w:val="20"/>
        </w:rPr>
        <w:fldChar w:fldCharType="end"/>
      </w:r>
      <w:r w:rsidR="00AB257A" w:rsidRPr="00587A1F">
        <w:rPr>
          <w:rFonts w:cs="Arial"/>
          <w:szCs w:val="20"/>
        </w:rPr>
        <w:t xml:space="preserve"> </w:t>
      </w:r>
      <w:r w:rsidR="00E823C8" w:rsidRPr="00587A1F">
        <w:rPr>
          <w:rFonts w:cs="Arial"/>
          <w:szCs w:val="20"/>
        </w:rPr>
        <w:t>to enhance their resilience</w:t>
      </w:r>
      <w:r w:rsidR="00AB257A" w:rsidRPr="00587A1F">
        <w:rPr>
          <w:rFonts w:cs="Arial"/>
          <w:szCs w:val="20"/>
        </w:rPr>
        <w:t xml:space="preserve"> </w:t>
      </w:r>
      <w:r w:rsidR="00E823C8" w:rsidRPr="00587A1F">
        <w:rPr>
          <w:rFonts w:cs="Arial"/>
          <w:szCs w:val="20"/>
        </w:rPr>
        <w:t>to climate change -induced socio-economic shocks</w:t>
      </w:r>
      <w:r w:rsidR="00AB257A" w:rsidRPr="00587A1F">
        <w:rPr>
          <w:rFonts w:cs="Arial"/>
          <w:szCs w:val="20"/>
        </w:rPr>
        <w:t xml:space="preserve"> </w:t>
      </w:r>
      <w:r w:rsidR="00D62ED0" w:rsidRPr="00587A1F">
        <w:rPr>
          <w:rFonts w:cs="Arial"/>
          <w:szCs w:val="20"/>
        </w:rPr>
        <w:fldChar w:fldCharType="begin"/>
      </w:r>
      <w:r w:rsidR="00D62ED0" w:rsidRPr="00587A1F">
        <w:rPr>
          <w:rFonts w:cs="Arial"/>
          <w:szCs w:val="20"/>
        </w:rPr>
        <w:instrText xml:space="preserve"> ADDIN ZOTERO_ITEM CSL_CITATION {"citationID":"Pl6Np3z7","properties":{"formattedCitation":"(KEFRI/JICA, 2023)","plainCitation":"(KEFRI/JICA, 2023)","noteIndex":0},"citationItems":[{"id":2801,"uris":["http://zotero.org/users/5110088/items/ZYBUBBTF"],"itemData":{"id":2801,"type":"book","ISBN":"ISBN: 978-9914-723-46-5","number-of-pages":"1-215","publisher":"Kenya Forestry Research Institute (KEFRI)","title":"Dryland Forestry Research and Development in Kenya: Achievements and Lessons of Four Decades of Kenya/Japan Cooperation in Forestry. KEFRI, Kenya.","URL":"https://www.kefri.org/assets/publications/BooksnChapters/KEFRI-JICATICADBooklet.pdf","author":[{"family":"KEFRI/JICA","given":""}],"accessed":{"date-parts":[["2024",11,7]]},"issued":{"date-parts":[["2023"]]}}}],"schema":"https://github.com/citation-style-language/schema/raw/master/csl-citation.json"} </w:instrText>
      </w:r>
      <w:r w:rsidR="00D62ED0" w:rsidRPr="00587A1F">
        <w:rPr>
          <w:rFonts w:cs="Arial"/>
          <w:szCs w:val="20"/>
        </w:rPr>
        <w:fldChar w:fldCharType="separate"/>
      </w:r>
      <w:r w:rsidR="00D62ED0" w:rsidRPr="00587A1F">
        <w:rPr>
          <w:rFonts w:cs="Arial"/>
        </w:rPr>
        <w:t>(KEFRI/JICA, 2023)</w:t>
      </w:r>
      <w:r w:rsidR="00D62ED0" w:rsidRPr="00587A1F">
        <w:rPr>
          <w:rFonts w:cs="Arial"/>
          <w:szCs w:val="20"/>
        </w:rPr>
        <w:fldChar w:fldCharType="end"/>
      </w:r>
      <w:r w:rsidR="004D2C5A" w:rsidRPr="00587A1F">
        <w:rPr>
          <w:rFonts w:cs="Arial"/>
          <w:szCs w:val="20"/>
        </w:rPr>
        <w:t>.</w:t>
      </w:r>
    </w:p>
    <w:p w14:paraId="7E516844" w14:textId="046CAC4D" w:rsidR="003E30B7" w:rsidRPr="00587A1F" w:rsidRDefault="00E823C8" w:rsidP="00BF25FD">
      <w:pPr>
        <w:rPr>
          <w:rFonts w:cs="Arial"/>
          <w:szCs w:val="24"/>
        </w:rPr>
      </w:pPr>
      <w:r w:rsidRPr="00587A1F">
        <w:rPr>
          <w:rFonts w:cs="Arial"/>
          <w:szCs w:val="20"/>
        </w:rPr>
        <w:lastRenderedPageBreak/>
        <w:t>To enhance resilience of crop</w:t>
      </w:r>
      <w:r w:rsidR="00B261F7" w:rsidRPr="00587A1F">
        <w:rPr>
          <w:rFonts w:cs="Arial"/>
          <w:szCs w:val="20"/>
        </w:rPr>
        <w:t xml:space="preserve"> and livestock</w:t>
      </w:r>
      <w:r w:rsidRPr="00587A1F">
        <w:rPr>
          <w:rFonts w:cs="Arial"/>
          <w:szCs w:val="20"/>
        </w:rPr>
        <w:t xml:space="preserve"> production systems</w:t>
      </w:r>
      <w:r w:rsidR="00B261F7" w:rsidRPr="00587A1F">
        <w:rPr>
          <w:rFonts w:cs="Arial"/>
          <w:szCs w:val="20"/>
        </w:rPr>
        <w:t xml:space="preserve"> to climate change</w:t>
      </w:r>
      <w:r w:rsidRPr="00587A1F">
        <w:rPr>
          <w:rFonts w:cs="Arial"/>
          <w:szCs w:val="20"/>
        </w:rPr>
        <w:t xml:space="preserve">, farmers adopt farming systems that are </w:t>
      </w:r>
      <w:r w:rsidR="00AB257A" w:rsidRPr="00587A1F">
        <w:rPr>
          <w:rFonts w:cs="Arial"/>
          <w:szCs w:val="20"/>
        </w:rPr>
        <w:t xml:space="preserve">responsive to water scarcity and </w:t>
      </w:r>
      <w:r w:rsidR="004D2C5A" w:rsidRPr="00587A1F">
        <w:rPr>
          <w:rFonts w:cs="Arial"/>
          <w:szCs w:val="20"/>
        </w:rPr>
        <w:t xml:space="preserve">poor soil fertility. These </w:t>
      </w:r>
      <w:r w:rsidR="00AB257A" w:rsidRPr="00587A1F">
        <w:rPr>
          <w:rFonts w:cs="Arial"/>
          <w:szCs w:val="20"/>
        </w:rPr>
        <w:t xml:space="preserve">include the </w:t>
      </w:r>
      <w:r w:rsidR="004D2C5A" w:rsidRPr="00587A1F">
        <w:rPr>
          <w:rFonts w:cs="Arial"/>
          <w:szCs w:val="20"/>
        </w:rPr>
        <w:t>adoption of crop diversification st</w:t>
      </w:r>
      <w:r w:rsidR="00D95D8F" w:rsidRPr="00587A1F">
        <w:rPr>
          <w:rFonts w:cs="Arial"/>
          <w:szCs w:val="20"/>
        </w:rPr>
        <w:t xml:space="preserve">rategies, such as </w:t>
      </w:r>
      <w:r w:rsidRPr="00587A1F">
        <w:rPr>
          <w:rFonts w:cs="Arial"/>
          <w:szCs w:val="20"/>
        </w:rPr>
        <w:t>intercropping</w:t>
      </w:r>
      <w:r w:rsidR="00F43C6E" w:rsidRPr="00587A1F">
        <w:rPr>
          <w:rFonts w:cs="Arial"/>
          <w:szCs w:val="20"/>
        </w:rPr>
        <w:t xml:space="preserve"> of</w:t>
      </w:r>
      <w:r w:rsidR="00636071" w:rsidRPr="00587A1F">
        <w:rPr>
          <w:rFonts w:cs="Arial"/>
          <w:szCs w:val="20"/>
        </w:rPr>
        <w:t xml:space="preserve"> legumes </w:t>
      </w:r>
      <w:r w:rsidRPr="00587A1F">
        <w:rPr>
          <w:rFonts w:cs="Arial"/>
          <w:szCs w:val="20"/>
        </w:rPr>
        <w:t xml:space="preserve">with </w:t>
      </w:r>
      <w:r w:rsidR="00636071" w:rsidRPr="00587A1F">
        <w:rPr>
          <w:rFonts w:cs="Arial"/>
          <w:szCs w:val="20"/>
        </w:rPr>
        <w:t>cereals</w:t>
      </w:r>
      <w:r w:rsidR="004B33A5" w:rsidRPr="00587A1F">
        <w:rPr>
          <w:rFonts w:cs="Arial"/>
          <w:szCs w:val="20"/>
        </w:rPr>
        <w:t xml:space="preserve"> or root crops</w:t>
      </w:r>
      <w:r w:rsidR="00636071" w:rsidRPr="00587A1F">
        <w:rPr>
          <w:rFonts w:cs="Arial"/>
          <w:szCs w:val="20"/>
        </w:rPr>
        <w:t xml:space="preserve"> </w:t>
      </w:r>
      <w:r w:rsidRPr="00587A1F">
        <w:rPr>
          <w:rFonts w:cs="Arial"/>
          <w:szCs w:val="20"/>
        </w:rPr>
        <w:t xml:space="preserve">to </w:t>
      </w:r>
      <w:r w:rsidR="004D2C5A" w:rsidRPr="00587A1F">
        <w:rPr>
          <w:rFonts w:cs="Arial"/>
          <w:szCs w:val="20"/>
        </w:rPr>
        <w:t>improve</w:t>
      </w:r>
      <w:r w:rsidR="00636071" w:rsidRPr="00587A1F">
        <w:rPr>
          <w:rFonts w:cs="Arial"/>
          <w:szCs w:val="20"/>
        </w:rPr>
        <w:t xml:space="preserve">s </w:t>
      </w:r>
      <w:r w:rsidR="004D2C5A" w:rsidRPr="00587A1F">
        <w:rPr>
          <w:rFonts w:cs="Arial"/>
          <w:szCs w:val="20"/>
        </w:rPr>
        <w:t xml:space="preserve">water use efficiency, </w:t>
      </w:r>
      <w:r w:rsidR="003E30B7" w:rsidRPr="00587A1F">
        <w:rPr>
          <w:rFonts w:cs="Arial"/>
          <w:szCs w:val="20"/>
        </w:rPr>
        <w:t xml:space="preserve">soil health, </w:t>
      </w:r>
      <w:r w:rsidR="00636071" w:rsidRPr="00587A1F">
        <w:rPr>
          <w:rFonts w:cs="Arial"/>
          <w:szCs w:val="20"/>
        </w:rPr>
        <w:t>food and nutrition security</w:t>
      </w:r>
      <w:r w:rsidR="003E30B7" w:rsidRPr="00587A1F">
        <w:rPr>
          <w:rFonts w:cs="Arial"/>
          <w:szCs w:val="20"/>
        </w:rPr>
        <w:t xml:space="preserve">, </w:t>
      </w:r>
      <w:r w:rsidR="004B33A5" w:rsidRPr="00587A1F">
        <w:rPr>
          <w:rFonts w:cs="Arial"/>
          <w:szCs w:val="24"/>
        </w:rPr>
        <w:t>and increased household incomes</w:t>
      </w:r>
      <w:r w:rsidR="003E30B7" w:rsidRPr="00587A1F">
        <w:rPr>
          <w:rFonts w:cs="Arial"/>
          <w:szCs w:val="24"/>
        </w:rPr>
        <w:t xml:space="preserve"> </w:t>
      </w:r>
      <w:r w:rsidR="00D62ED0" w:rsidRPr="00587A1F">
        <w:rPr>
          <w:rFonts w:cs="Arial"/>
          <w:szCs w:val="24"/>
        </w:rPr>
        <w:fldChar w:fldCharType="begin"/>
      </w:r>
      <w:r w:rsidR="00D62ED0" w:rsidRPr="00587A1F">
        <w:rPr>
          <w:rFonts w:cs="Arial"/>
          <w:szCs w:val="24"/>
        </w:rPr>
        <w:instrText xml:space="preserve"> ADDIN ZOTERO_ITEM CSL_CITATION {"citationID":"v0MPpE5W","properties":{"formattedCitation":"(Bass et al., 2024; Ben-chuan et al., 2022; Vernooy, 2022)","plainCitation":"(Bass et al., 2024; Ben-chuan et al., 2022; Vernooy, 2022)","noteIndex":0},"citationItems":[{"id":2592,"uris":["http://zotero.org/users/5110088/items/H47YS3E8"],"itemData":{"id":2592,"type":"article-journal","abstract":"Intercropping is drawing increasing attention as a strategy to increase crop yields and manage pest pressure, however the mechanisms of associational resistance in diversified cropping systems remain controversial. We conducted a controlled experiment to assess the impact of co-planting with silverleaf Desmodium (Desmodium uncinatum) on maize secondary metabolism and resistance to herbivory by the spotted stemborer (Chilo partellus). Maize plants were grown either in the same pot with a Desmodium plant or adjacent to it in a separate pot. Our findings indicate that co-planting with Desmodium influences maize secondary metabolism and herbivore resistance through both above and below-ground mechanisms. Maize growing in the same pot with a Desmodium neighbor was less attractive for oviposition by spotted stemborer adults. However, maize exposed only to above-ground Desmodium cues generally showed increased susceptibility to spotted stemborer herbivory (through both increased oviposition and larval consumption). VOC emissions and tissue secondary metabolite titers were also altered in maize plants exposed to Desmodium cues, with stronger effects being observed when maize and Desmodium shared the same pot. Specifically, benzoxazinoids were strongly suppressed in maize roots by direct contact with a Desmodium neighbor while headspace emissions of short-chain aldehydes and alkylbenzenes were increased. These results imply that direct root contact or soil-borne cues play an important role in mediating associational effects on plant resistance in this system.","container-title":"Journal of Chemical Ecology","DOI":"10.1007/s10886-024-01470-5","ISSN":"1573-1561","issue":"5","journalAbbreviation":"J Chem Ecol","language":"en","page":"299-318","source":"Springer Link","title":"Associational Effects of Desmodium Intercropping on Maize Resistance and Secondary Metabolism","volume":"50","author":[{"family":"Bass","given":"Ethan"},{"family":"Mutyambai","given":"Daniel M."},{"family":"Midega","given":"Charles A. O."},{"family":"Khan","given":"Zeyaur R."},{"family":"Kessler","given":"André"}],"issued":{"date-parts":[["2024",6,1]]}}},{"id":2541,"uris":["http://zotero.org/users/5110088/items/EDG4NA2G"],"itemData":{"id":2541,"type":"article-journal","abstract":"Legume cultivars affect N uptake, component crop growth, and soil physical and chemical characteristics in maize–legume intercropping systems. However, how belowground interactions mediate root growth, N fixation, and nodulation of different legumes to affect N uptake is still unclear. Hence, a two-year experiment was conducted with five planting patterns, i.e., maize–soybean strip intercropping (IMS), maize–peanut strip intercropping (IMP), and corresponding monocultures (monoculture maize (MM), monoculture soybean (MS), and monoculture peanut (MP)), and two N application rates, i.e., no N fertilizer (N–) and conventional N fertilizer (N+), to examine relationships between N uptake and root distribution of crops, legume nodulation and soil N availability. Results showed that the averaged N uptake per unit area of intercrops was significantly lower than the corresponding monocultures. Compared with the monoculture system, the N uptake of the intercropping systems increased by 31.7–45.4% in IMS and by 7.4–12.2% in IMP, respectively. The N uptake per plant of intercropped maize and soybean significantly increased by 61.6 and 31.8%, and that of intercropped peanuts significantly decreased by 46.6% compared with the corresponding monocultures. Maize and soybean showed asymmetrical distribution of roots in strip intercropping systems. The root length density (RLD) and root surface area density (RSAD) of intercropped maize and soybean were significantly greater than that of the corresponding monocultures. The roots of intercropped peanuts were confined, which resulted in decreased RLD and RSAD compared with the monoculture. The nodule number and nodule fresh weight of soybean were significantly greater in IMS than in MS, and those of peanut were significantly lower in IMP than in MP. The soil protease, urease, and nitrate reductase activities of maize and soybean were significantly greater in IMS and IMP than in the corresponding monoculture, while the enzyme activities of peanut were significantly lower in IMP than in MP. The soil available N of maize and soybean was significantly greater increased in IMS and IMP than in the corresponding monocultures, while that of IMP was significantly lower than in MP. In summary, the IMS system was more beneficial to N uptake than the IMP system. The intercropping of maize and legumes can promote the N uptake of maize, thus reducing the need for N application and improving agricultural sustainability.","container-title":"Journal of Integrative Agriculture","DOI":"10.1016/S2095-3119(21)63730-9","ISSN":"2095-3119","issue":"6","journalAbbreviation":"Journal of Integrative Agriculture","page":"1755-1771","source":"ScienceDirect","title":"Maize–legume intercropping promote N uptake through changing the root spatial distribution, legume nodulation capacity, and soil N availability","volume":"21","author":[{"family":"Ben-chuan","given":"ZHENG"},{"family":"Ying","given":"ZHOU"},{"family":"Ping","given":"CHEN"},{"family":"Xiao-na","given":"ZHANG"},{"family":"Qing","given":"DU"},{"family":"Huan","given":"YANG"},{"family":"Xiao-chun","given":"WANG"},{"family":"Feng","given":"YANG"},{"family":"Te","given":"XIAO"},{"family":"Long","given":"LI"},{"family":"Wen-yu","given":"YANG"},{"family":"Tai-wen","given":"YONG"}],"issued":{"date-parts":[["2022",6,1]]}}},{"id":2545,"uris":["http://zotero.org/users/5110088/items/MB44N532"],"itemData":{"id":2545,"type":"article-journal","abstract":"In recent years, CGIAR researchers have investigated the effectiveness of using agrobiodiversity, and more particularly crop and crop varietal diversity, as an adaptive practice to mitigate climate-change impacts on agriculture and to contribute to rural household and community resilience. The hypothesis informing this research is that the sustained practice of crop diversification leads to ecological redundancy, which allows farmer households and their communities to produce multiple positive livelihood benefits. The validity of this hypothesis is investigated by means of an extensive literature review (covering 2015–2020). Findings reveal ample evidence of positive outcomes, including increased yields and household incomes, improved nutrition and food security, new marketing opportunities, reduced poverty, and strengthened adaptive and innovative capacity. However, the evidence is far less convincing about the last part of the hypothetical impact pathway, i.e. the link between positive livelihood benefits and (increased) resilience. This shortcoming is addressed through the elaboration of a more clearly articulated theory of change for crop diversification and a refined methodology to support farmers in making appropriate diversification decisions. At the same time, the critical review opens a window on an important, novel perspective, which is to look at the role that crop diversification could play in a wider societal transition toward a more sustainable future.","container-title":"Agroecology and Sustainable Food Systems","DOI":"10.1080/21683565.2022.2076184","ISSN":"2168-3565","issue":"6","note":"publisher: Taylor &amp; Francis\n_eprint: https://doi.org/10.1080/21683565.2022.2076184","page":"877-901","source":"Taylor and Francis+NEJM","title":"Does crop diversification lead to climate-related resilience? Improving the theory through insights on practice","title-short":"Does crop diversification lead to climate-related resilience?","volume":"46","author":[{"family":"Vernooy","given":"Ronnie"}],"issued":{"date-parts":[["2022",7,3]]}}}],"schema":"https://github.com/citation-style-language/schema/raw/master/csl-citation.json"} </w:instrText>
      </w:r>
      <w:r w:rsidR="00D62ED0" w:rsidRPr="00587A1F">
        <w:rPr>
          <w:rFonts w:cs="Arial"/>
          <w:szCs w:val="24"/>
        </w:rPr>
        <w:fldChar w:fldCharType="separate"/>
      </w:r>
      <w:r w:rsidR="00D62ED0" w:rsidRPr="00587A1F">
        <w:rPr>
          <w:rFonts w:cs="Arial"/>
        </w:rPr>
        <w:t>(Bass et al., 2024; Ben-chuan et al., 2022; Vernooy, 2022)</w:t>
      </w:r>
      <w:r w:rsidR="00D62ED0" w:rsidRPr="00587A1F">
        <w:rPr>
          <w:rFonts w:cs="Arial"/>
          <w:szCs w:val="24"/>
        </w:rPr>
        <w:fldChar w:fldCharType="end"/>
      </w:r>
      <w:r w:rsidR="004D2C5A" w:rsidRPr="00587A1F">
        <w:rPr>
          <w:rFonts w:cs="Arial"/>
          <w:szCs w:val="20"/>
        </w:rPr>
        <w:t>.</w:t>
      </w:r>
      <w:r w:rsidR="00D95D8F" w:rsidRPr="00587A1F">
        <w:rPr>
          <w:rFonts w:cs="Arial"/>
          <w:szCs w:val="20"/>
        </w:rPr>
        <w:t xml:space="preserve"> </w:t>
      </w:r>
      <w:r w:rsidR="004B33A5" w:rsidRPr="00587A1F">
        <w:rPr>
          <w:rFonts w:cs="Arial"/>
          <w:szCs w:val="20"/>
        </w:rPr>
        <w:t>Adoption of legume-cereal intercropping systems have been shown to suppress pests and diseases while protecting the soil against soil erosion</w:t>
      </w:r>
      <w:r w:rsidR="004B33A5" w:rsidRPr="00587A1F">
        <w:rPr>
          <w:rFonts w:cs="Arial"/>
          <w:szCs w:val="24"/>
        </w:rPr>
        <w:t xml:space="preserve"> </w:t>
      </w:r>
      <w:r w:rsidR="00D95D8F" w:rsidRPr="00587A1F">
        <w:rPr>
          <w:rFonts w:cs="Arial"/>
        </w:rPr>
        <w:fldChar w:fldCharType="begin"/>
      </w:r>
      <w:r w:rsidR="00D95D8F" w:rsidRPr="00587A1F">
        <w:rPr>
          <w:rFonts w:cs="Arial"/>
          <w:szCs w:val="24"/>
        </w:rPr>
        <w:instrText>ADDIN ZOTERO_ITEM CSL_CITATION {"citationID":"hg1sTq9w","properties":{"formattedCitation":"(Bass et al., 2024; Mir et al., 2022; Talukdar et al., 2022)","plainCitation":"(Bass et al., 2024; Mir et al., 2022; Talukdar et al., 2022)","noteIndex":0},"citationItems":[{"id":2592,"uris":["http://zotero.org/users/5110088/items/H47YS3E8"],"itemData":{"id":2592,"type":"article-journal","abstract":"Intercropping is drawing increasing attention as a strategy to increase crop yields and manage pest pressure, however the mechanisms of associational resistance in diversified cropping systems remain controversial. We conducted a controlled experiment to assess the impact of co-planting with silverleaf Desmodium (Desmodium uncinatum) on maize secondary metabolism and resistance to herbivory by the spotted stemborer (Chilo partellus). Maize plants were grown either in the same pot with a Desmodium plant or adjacent to it in a separate pot. Our findings indicate that co-planting with Desmodium influences maize secondary metabolism and herbivore resistance through both above and below-ground mechanisms. Maize growing in the same pot with a Desmodium neighbor was less attractive for oviposition by spotted stemborer adults. However, maize exposed only to above-ground Desmodium cues generally showed increased susceptibility to spotted stemborer herbivory (through both increased oviposition and larval consumption). VOC emissions and tissue secondary metabolite titers were also altered in maize plants exposed to Desmodium cues, with stronger effects being observed when maize and Desmodium shared the same pot. Specifically, benzoxazinoids were strongly suppressed in maize roots by direct contact with a Desmodium neighbor while headspace emissions of short-chain aldehydes and alkylbenzenes were increased. These results imply that direct root contact or soil-borne cues play an important role in mediating associational effects on plant resistance in this system.","container-title":"Journal of Chemical Ecology","DOI":"10.1007/s10886-024-01470-5","ISSN":"1573-1561","issue":"5","journalAbbreviation":"J Chem Ecol","language":"en","page":"299-318","source":"Springer Link","title":"Associational Effects of Desmodium Intercropping on Maize Resistance and Secondary Metabolism","volume":"50","author":[{"family":"Bass","given":"Ethan"},{"family":"Mutyambai","given":"Daniel M."},{"family":"Midega","given":"Charles A. O."},{"family":"Khan","given":"Zeyaur R."},{"family":"Kessler","given":"André"}],"issued":{"date-parts":[["2024",6,1]]}}},{"id":2599,"uris":["http://zotero.org/users/5110088/items/GTYGD7U9"],"itemData":{"id":2599,"type":"article-journal","abstract":"Reduced soil fertility and rising pest and disease pressures are contributing to the already serious problem of global food insecurity. Monoculture is the most labour and resource-intensive form of crop production around the globe. Unfortunately, monocultures are more vulnerable to pests, diseases, and weeds, so the expansion of this system is accompanied by a host of biological issues. Negative effects on the environment, human health, and ecosystem stability are all associated with monocropping because it relies so heavily on the use of chemical plant protection products of all generations of pesticides. Although crop production strategies are important for overall enhancement in production, the intercropping can help farmers in attaining raised economic returns by taking multiple crops in a single season. Intercropping is an alternative strategy for improved resource use efficiency, environmental safety, and sustainable pest management without the use of chemical pesticides that can help mitigate these risks. Intercropping (two or more crop species coexisting) is a cultural practice in pest management that reduces insect pests by increasing ecosystem diversity. Intercropping and planting crops that kill or repel pests, attract natural enemies, or have antibacterial effects can reduce disease and pest damage and pesticide use. Intercropping, where crops grow between main crops, reduces the likelihood of pest infestation. Intercropping is a potential pest management practice because it diversifies crops in an agro-ecosystem to reduce insect populations and attacks. Intercropping relies on a deep understanding of insect ecology and crop traits. Intercropping can be used alone or in combination with host-plant resistance and biological control. Intercropping ensures crop yield stability, protects against crop failure, improves soil fertility, increases soil conservation, and reduces pesticide use, minimizing agriculture's environmental impact. The aim is to define the role and importance of intercropping as a strategy in crop pest management and as a boost for crop production vis-à-vis soil fertility.","container-title":"International Journal of Environment and Climate Change","issue":"11","language":"en","note":"number: 11","page":"3390-3403","source":"publications.articalerewriter.com","title":"Role of Intercropping in Sustainable Insect-Pest Management: A Review","title-short":"Role of Intercropping in Sustainable Insect-Pest Management","volume":"12","author":[{"family":"Mir","given":"Mohd Salim"},{"family":"Saxena","given":"Amal"},{"family":"Kanth","given":"Raihana Habib"},{"family":"Raja","given":"Waseem"},{"family":"Dar","given":"Khursheed Ahmad"},{"family":"Mahdi","given":"S. S."},{"family":"Bhat","given":"Tauseef Ahmad"},{"family":"Naikoo","given":"Nasir Bashir"},{"family":"Nazir","given":"Aijaz"},{"family":"Amin","given":"Zakir"},{"family":"Mansoor","given":"Tajamul"},{"family":"Myint","given":"May Zar"},{"family":"Khan","given":"Mohammad Rafiq"},{"family":"Mohammad","given":"Idrees"},{"family":"Mir","given":"Suhail Ahmad"}],"issued":{"date-parts":[["2022",10,27]]}}},{"id":2596,"uris":["http://zotero.org/users/5110088/items/2YFGY26R"],"itemData":{"id":2596,"type":"article-journal","abstract":"Background: The intercropping of maize with legumes is beneficial in multifaceted aspects. Advantages of maize-legume intercropping is pronounced in the form of higher yield and greater utilization of available resources, benefits in weeds, pests and disease management, fixation of biological nitrogen by legumes and transfer of nitrogen to associated maize and control of erosion by covering a large extent of ground area. The current investigation aimed to study the effect of maize-French bean and maize-soybean intercropping on growth and yield of maize under rainfed condition of Namsai district of Arunachal Pradesh.\nMethods: The field experiment was conducted during 2021 in randomized block design consisting of 3 treatments i.e. T1- sole maize, T2- maize + French bean and T3- maize + soybean with four replications. Observations on growth and yield parameters and yield of maize were recorded on harvesting of the crop. The results were analysed using standard statistical procedures of ANOVA. Result: In maize + French bean and maize + soybean intercropping, the growth and yield parameters as well as yield of maize was higher in maize + soybean intercropping as compared to maize + French bean system. The grain yield of maize under maize + soybean intercropping was 5541.67 kg ha-1. From this study, it can be concluded that the intercropping of maize with soybean would be profitable due to higher yield of maize (2 rows of maize and 2 rows of soybean) under farmer’s field condition of Namsai district of Arunachal Pradesh.","container-title":"Agricultural Reviews","DOI":"10.18805/ag.R-2474","ISSN":"0976-0741, 0253-1496","issue":"Of","journalAbbreviation":"AG","source":"Semantic Scholar","title":"Growth and Yield of Maize (Zea mays) as Influenced by Intercropping of French Bean and Soybean","URL":"http://arccjournals.com/journal/agricultural-reviews/R-2474","author":[{"family":"Talukdar","given":"Tamanna Pathak"},{"family":"Tamuli","given":"Babita"},{"family":"Boruah","given":"Rashmi Rekha"},{"family":"Richo","given":"Millo K."}],"accessed":{"date-parts":[["2024",10,17]]},"issued":{"date-parts":[["2022",10,27]]}}}],"schema":"https://github.com/citation-style-language/schema/raw/master/csl-citation.json"}</w:instrText>
      </w:r>
      <w:r w:rsidR="00D95D8F" w:rsidRPr="00587A1F">
        <w:rPr>
          <w:rFonts w:cs="Arial"/>
          <w:szCs w:val="24"/>
        </w:rPr>
        <w:fldChar w:fldCharType="separate"/>
      </w:r>
      <w:r w:rsidR="00D95D8F" w:rsidRPr="00587A1F">
        <w:rPr>
          <w:rFonts w:cs="Arial"/>
          <w:szCs w:val="24"/>
        </w:rPr>
        <w:t>(Bass et al., 2024; Mir et al., 2022; Talukdar et al., 2022)</w:t>
      </w:r>
      <w:r w:rsidR="00D95D8F" w:rsidRPr="00587A1F">
        <w:rPr>
          <w:rFonts w:cs="Arial"/>
          <w:szCs w:val="24"/>
        </w:rPr>
        <w:fldChar w:fldCharType="end"/>
      </w:r>
      <w:r w:rsidR="00D95D8F" w:rsidRPr="00587A1F">
        <w:rPr>
          <w:rFonts w:cs="Arial"/>
        </w:rPr>
        <w:t>.</w:t>
      </w:r>
      <w:r w:rsidR="00BF25FD" w:rsidRPr="00587A1F">
        <w:rPr>
          <w:rStyle w:val="citation"/>
          <w:rFonts w:eastAsiaTheme="majorEastAsia" w:cs="Arial"/>
          <w:szCs w:val="20"/>
        </w:rPr>
        <w:t xml:space="preserve"> In addition, i</w:t>
      </w:r>
      <w:r w:rsidR="00BF25FD" w:rsidRPr="00587A1F">
        <w:rPr>
          <w:rFonts w:cs="Arial"/>
          <w:szCs w:val="24"/>
        </w:rPr>
        <w:t xml:space="preserve">nclusion of perennial food crops supports in the </w:t>
      </w:r>
      <w:r w:rsidR="00BF25FD" w:rsidRPr="00587A1F">
        <w:rPr>
          <w:rFonts w:cs="Arial"/>
          <w:szCs w:val="24"/>
          <w:shd w:val="clear" w:color="auto" w:fill="FFFFFF"/>
        </w:rPr>
        <w:t>improvement of soil health and carbon sequestration which ultimately enhances the overall ecosystem resilience in the drylands</w:t>
      </w:r>
      <w:r w:rsidR="00BF25FD" w:rsidRPr="00587A1F">
        <w:rPr>
          <w:rFonts w:cs="Arial"/>
          <w:szCs w:val="24"/>
        </w:rPr>
        <w:t xml:space="preserve"> </w:t>
      </w:r>
      <w:r w:rsidR="00BF25FD" w:rsidRPr="00587A1F">
        <w:rPr>
          <w:rFonts w:cs="Arial"/>
        </w:rPr>
        <w:fldChar w:fldCharType="begin"/>
      </w:r>
      <w:r w:rsidR="00BF25FD" w:rsidRPr="00587A1F">
        <w:rPr>
          <w:rFonts w:cs="Arial"/>
          <w:szCs w:val="24"/>
        </w:rPr>
        <w:instrText>ADDIN ZOTERO_ITEM CSL_CITATION {"citationID":"3d5A7cpA","properties":{"formattedCitation":"(Kuyah et al., 2023; Muchomba et al., 2023)","plainCitation":"(Kuyah et al., 2023; Muchomba et al., 2023)","noteIndex":0},"citationItems":[{"id":2565,"uris":["http://zotero.org/users/5110088/items/FA937S4T"],"itemData":{"id":2565,"type":"article-journal","abstract":"Grain legumes and drylands cereals including chickpea (Cicer arietinum), common bean (Phaseolus vulgaris), cowpea (Vigna unguiculata), groundnut (Arachis hypogaea), lentil (Lens culinaris), pigeon pea (Cajanus cajan), soybean (Glycine max), finger millet (Eleusine coracana), pearl millet (Pennisetum glaucum) and sorghum (Sorghum bicolor) are the leading sources of food grain in drylands of Africa and South Asia. These crops can help smallholder agriculture to become more resilient, productive, and profitable, but their quantitative impact on carbon sequestration is unknown. The aim of this review study was to quantify their contribution to carbon sequestration across the drylands of Africa and South Asia based on 437 publications with 1319 observations in studies conducted across 32 countries. Cropping systems with grain legumes showed the greatest increase in soil organic carbon (SOC) concentrations, while cereals (and pigeon pea) gave the largest amount of aboveground carbon stock (&gt;2 Mg C ha−1). Estimated carbon stock in post-harvest residues of these crops was 1.51 ± 0.05 Mg C ha−1 in Africa and 2.29 ± 0.10 Mg C ha−1 in South Asia. These crops produced more aboveground carbon, and significantly increased SOC, when grown as intercrops. Soils with low initial SOC (&lt;1%) and high clay content (&gt;32%) showed the greatest potential for carbon sequestration when cropped with grain legumes and dryland cereals. This study is the first of its kind to provide evidence that grain legumes and drylands cereals improve carbon sequestration across Africa and South Asia.","container-title":"Agriculture, Ecosystems &amp; Environment","DOI":"10.1016/j.agee.2023.108583","ISSN":"0167-8809","journalAbbreviation":"Agriculture, Ecosystems &amp; Environment","page":"108583","source":"ScienceDirect","title":"Grain legumes and dryland cereals contribute to carbon sequestration in the drylands of Africa and South Asia","volume":"355","author":[{"family":"Kuyah","given":"Shem"},{"family":"Muoni","given":"Tarirai"},{"family":"Bayala","given":"Jules"},{"family":"Chopin","given":"Pierre"},{"family":"Dahlin","given":"A. Sigrun"},{"family":"Hughes","given":"Karl"},{"family":"Jonsson","given":"Mattias"},{"family":"Kumar","given":"Shalander"},{"family":"Sileshi","given":"Gudeta Weldesemayat"},{"family":"Dimobe","given":"Kangbéni"},{"family":"Öborn","given":"Ingrid"}],"issued":{"date-parts":[["2023",10,1]]}}},{"id":2562,"uris":["http://zotero.org/users/5110088/items/YAI6Y3MT"],"itemData":{"id":2562,"type":"article-journal","abstract":"Green gram (Vigna radiata L. Wilczek), also known as mung bean, is an important grain legume containing a high amount of digestible protein, amino acids, sugar, minerals, soluble dietary fibers, and vitamins. In Kenya, green gram production is done mainly by smallholder farmers for food and sale. The crop is mainly grown in arid and semi-arid regions and plays important role towards achieving improved human nutrition and health conditions, reducing poverty through food security and enhancing ecosystem resilience as a source of human food, animal feed, soil nitrogen and soil health. Statistics show that though average area under production has been growing since 1978, average production has been fluctuating and consumption increasing steadily upholding constant deficit which is catered for through imports. The country’s average green gram yield ranges between 0.5-0.6 ton/ha compared to crop potential of 1.5 ton/ha and global average yield of 0.73 tons/ha. The production is mainly constrained by myriad of factors such as climate change effects, pest and disease prevalence, poor agronomic practices, land degradation and soil health decline. Other challenges included: lack of structured marketing systems and poor research- extension- farmer linkages, Possession of limiting climate smart agriculture knowledge and skills. Access to credit facilities and agro processing technologies as well as narrow post-harvest loss management knowledge and skills was also identified as other key green gram production constraints more so for small scale farmers. It was however noted that the country has potential to achieve optimal greengram production and optimal production require adoption of climate smart technologies, improved flow of information, streamlined government policies, credit facilities as well as structured market system. The current work reviews green gram crop, with emphasis on its biology, economic importance, ecological requirements, current production status in Kenya, production constraints and their management.","container-title":"Journal of Agriculture and Ecology Research International","DOI":"10.9734/jaeri/2023/v24i2520","ISSN":"2394-1073","issue":"2","language":"en","note":"number-of-pages: 11\nnumber: 2","page":"1-11","source":"info.openarchivespress.com","title":"Overview of Green Gram (Vigna radiata L.) Crop, Its Economic Importance, Ecological Requirements and Production Constraints in Kenya","volume":"24","author":[{"family":"Muchomba","given":"Mercy Kiende"},{"family":"Muindi","given":"Esther Mwende"},{"family":"Mulinge","given":"Jackson Muema"}],"issued":{"date-parts":[["2023",2,23]]}}}],"schema":"https://github.com/citation-style-language/schema/raw/master/csl-citation.json"}</w:instrText>
      </w:r>
      <w:r w:rsidR="00BF25FD" w:rsidRPr="00587A1F">
        <w:rPr>
          <w:rFonts w:cs="Arial"/>
          <w:szCs w:val="24"/>
        </w:rPr>
        <w:fldChar w:fldCharType="separate"/>
      </w:r>
      <w:r w:rsidR="00BF25FD" w:rsidRPr="00587A1F">
        <w:rPr>
          <w:rFonts w:cs="Arial"/>
          <w:szCs w:val="24"/>
        </w:rPr>
        <w:t>(Kuyah et al., 2023; Muchomba et al., 2023)</w:t>
      </w:r>
      <w:r w:rsidR="00BF25FD" w:rsidRPr="00587A1F">
        <w:rPr>
          <w:rFonts w:cs="Arial"/>
          <w:szCs w:val="24"/>
        </w:rPr>
        <w:fldChar w:fldCharType="end"/>
      </w:r>
      <w:r w:rsidR="00BF25FD" w:rsidRPr="00587A1F">
        <w:rPr>
          <w:rFonts w:cs="Arial"/>
          <w:szCs w:val="24"/>
        </w:rPr>
        <w:t xml:space="preserve">. </w:t>
      </w:r>
      <w:r w:rsidR="00BF25FD" w:rsidRPr="00587A1F">
        <w:rPr>
          <w:rStyle w:val="citation"/>
          <w:rFonts w:eastAsiaTheme="majorEastAsia" w:cs="Arial"/>
          <w:szCs w:val="20"/>
        </w:rPr>
        <w:t>Furthermore, s</w:t>
      </w:r>
      <w:r w:rsidR="003E30B7" w:rsidRPr="00587A1F">
        <w:rPr>
          <w:rFonts w:cs="Arial"/>
          <w:szCs w:val="20"/>
        </w:rPr>
        <w:t xml:space="preserve">oil amendments, including the use of organic fertilizers, have also been used to increase agricultural productivity </w:t>
      </w:r>
      <w:r w:rsidR="00D62A1E" w:rsidRPr="00587A1F">
        <w:rPr>
          <w:rFonts w:cs="Arial"/>
          <w:szCs w:val="20"/>
        </w:rPr>
        <w:t>while sustaining ecosystem functions in the drylands</w:t>
      </w:r>
      <w:r w:rsidR="003E30B7" w:rsidRPr="00587A1F">
        <w:rPr>
          <w:rFonts w:cs="Arial"/>
          <w:szCs w:val="20"/>
        </w:rPr>
        <w:t xml:space="preserve"> </w:t>
      </w:r>
      <w:r w:rsidR="008713D9" w:rsidRPr="00587A1F">
        <w:rPr>
          <w:rFonts w:cs="Arial"/>
          <w:szCs w:val="20"/>
        </w:rPr>
        <w:fldChar w:fldCharType="begin"/>
      </w:r>
      <w:r w:rsidR="008713D9" w:rsidRPr="00587A1F">
        <w:rPr>
          <w:rFonts w:cs="Arial"/>
          <w:szCs w:val="20"/>
        </w:rPr>
        <w:instrText xml:space="preserve"> ADDIN ZOTERO_ITEM CSL_CITATION {"citationID":"4yUu9Nol","properties":{"formattedCitation":"(Cai et al., 2019; Du et al., 2020; Ejigu et al., 2021; Githongo et al., 2023; Han et al., 2021)","plainCitation":"(Cai et al., 2019; Du et al., 2020; Ejigu et al., 2021; Githongo et al., 2023; Han et al., 2021)","noteIndex":0},"citationItems":[{"id":2619,"uris":["http://zotero.org/users/5110088/items/K5R3NDVU"],"itemData":{"id":2619,"type":"article-journal","abstract":"Fertilization is an important management strategy for crop yields by mediating soil fertility. However, rare studies quantitatively assessed the interactions among fertilization, crop yields, and soil fertility. Here, data from a 25-year fertilization experiment in the humid subtropical region of Southern China were used to evaluate and quantify the effect of fertilization on crop yields via soil fertility. Seven treatments were chosen: CK (non-fertilizer); N (synthetic nitrogen); NP (synthetic N and phosphorus); NPK (synthetic N, P and potassium); NPKM1 (synthetic NPK with manure); 1.5NPKM1 (1.5 times of NPKM1); and M2 (manure alone). Overall, the crop yields of wheat and maize under manure (1.36–1.58 and 3.85-5.82 Mg ha−1) were higher than those under CK (0.34 and 0.25 Mg ha−1) and synthetic fertilized treatments (0.27–0.97 and 0.48–2.65 Mg ha−1), as the averaged of 1991–2015. Higher SOC stocks were found under the NPKM1, 1.5NPKM1, and M2 treatments with a pronounced increase in SOC over the first 10 years and stable over the last 15 years. By the boosted regression trees, manure, synthetic fertilizer and soil properties (SOC storage, soil pH, and soil nutrients) accounted for 39%, 21%, and 40% of the variation of the relative yield, respectively. Path analysis identified a network of inter-relations of manure, synthetic fertilizer, and soil properties in the relative yields. Compared to synthetic fertilized treatments, manure application strongly and positively affected the relative yield by increasing SOC storage, soil nutrients, and soil pH (path coefficients: 0.90, 0.88, and 0.76). These factors explained 72% of the crop yields' variance. These results suggest that manure application is a viable strategy for regulating crop yields due to its improvement in soil fertility.","container-title":"Soil and Tillage Research","DOI":"10.1016/j.still.2018.12.022","ISSN":"0167-1987","journalAbbreviation":"Soil and Tillage Research","page":"168-175","source":"ScienceDirect","title":"Manure acts as a better fertilizer for increasing crop yields than synthetic fertilizer does by improving soil fertility","volume":"189","author":[{"family":"Cai","given":"Andong"},{"family":"Xu","given":"Minggang"},{"family":"Wang","given":"Boren"},{"family":"Zhang","given":"Wenju"},{"family":"Liang","given":"Guopeng"},{"family":"Hou","given":"Enqing"},{"family":"Luo","given":"Yiqi"}],"issued":{"date-parts":[["2019",6,1]]}}},{"id":2623,"uris":["http://zotero.org/users/5110088/items/QZGFQUDB"],"itemData":{"id":2623,"type":"article-journal","abstract":"The intensive use of mineral fertilizer may have negative effects on plant growth and the soil environment, but the application of manure could alleviate these problems. However, the effects of manure application on crop yield and soil properties in different climates, soil conditions, and management practices should be investigated before we could conclude that it is universally practical. We performed a meta-analysis of 774 comparisons from 141 published studies and found that manure application increased yield by an average of 7.6% compared to mineral fertilizer. The effects of manure application were more pronounced in acidic soils, warm and/or humid climates, and longer experimental periods. Manure application also increased soil pH (3.3%), water-stable aggregation (28.8%), soil organic carbon (17.7%), total (15.5%) and available nitrogen (16.0%), available phosphorus (66.2%), available potassium (19.1%), the activities of urease (23.5%), sucrase (18.3%), and catalase (16.1%), and the abundances of bacteria (60.0%), fungi (27.7%), and actinomyces (38.0%). Manure application decreased soil bulk density (−3.9%). Increases in the nutrient pool and decompositional capacity of the soil may explain the positive effects of manure application on yield. Our results indicate that long-term manure application may improve sustainable soil productivity and crop yield in China.","container-title":"CATENA","DOI":"10.1016/j.catena.2020.104617","ISSN":"0341-8162","journalAbbreviation":"CATENA","page":"104617","source":"ScienceDirect","title":"Effects of manure fertilizer on crop yield and soil properties in China: A meta-analysis","title-short":"Effects of manure fertilizer on crop yield and soil properties in China","volume":"193","author":[{"family":"Du","given":"Yadan"},{"family":"Cui","given":"Bingjing"},{"family":"zhang","given":"Qian"},{"family":"Wang","given":"Zhen"},{"family":"Sun","given":"Jun"},{"family":"Niu","given":"Wenquan"}],"issued":{"date-parts":[["2020",10,1]]}}},{"id":2644,"uris":["http://zotero.org/users/5110088/items/S94BS76E"],"itemData":{"id":2644,"type":"article-journal","abstract":"Soil fertility depletion is emerging as a serious challenge causing low crop yields and food insecurity in Ethiopia. An on-farm experiment was conducted in 2017/2018 cropping season to investigate the effects of combined application of compost and mineral fertilizer on selected soil properties and maize yield in North-western Ethiopia. Treatments were factorial combinations of three rates of Urea/NPSB (0/0, 50/50 and 100/100 kg ha-1) and three rates of compost (0, 5 and 10 t ha-1). The field experiment was arranged in randomized complete block design (RCBD) with three replications. Results showed that combined application of compost and mineral fertilizer significantly (p &lt; 0.05) increased soil pH, organic carbon (OC), total nitrogen (TN), available phosphorus (AP), available sulphur (AS) and cation exchange capacity (CEC) compared to sole mineral fertilizer application and the control. On the other hand, there was significant (p &lt; 0.01) decrease in soil bulk density. Plots amended with 10 t ha-1 compost and 100/100 kg ha-1 Urea/NPSB provided the highest maize dry biomass (18.62 t ha-1) and grain yield (6.07 t ha-1). Conversely, the lowest biomass (5.70 t ha-1) and grain (1.17 t ha-1) yields were obtained from the control. The partial budget analysis also showed that the highest net benefit (32700 Birr ha-1) was obtained from combined addition of organic and mineral fertilizer which was significantly higher than applying the highest rate of sole mineral fertilizer (27438 Birr ha-1), highest rate of sole compost (9011.3 Birr ha-1) and the control (7660 Birr ha-1). Therefore, we concluded that integrated fertilizer management improves soil properties and crop yield in the highlands of north-western Ethiopia.","container-title":"Heliyon","DOI":"10.1016/j.heliyon.2021.e06074","ISSN":"2405-8440","issue":"2","journalAbbreviation":"Heliyon","language":"eng","note":"PMID: 33598575\nPMCID: PMC7868810","page":"e06074","source":"PubMed","title":"Integrated fertilizer application improves soil properties and maize (Zea mays L.) yield on Nitisols in Northwestern Ethiopia","volume":"7","author":[{"family":"Ejigu","given":"Workineh"},{"family":"G Selassie","given":"Yihenew"},{"family":"Elias","given":"Eyasu"},{"family":"Damte","given":"Matebe"}],"issued":{"date-parts":[["2021",2]]}}},{"id":2530,"uris":["http://zotero.org/users/5110088/items/FRMB3SN5"],"itemData":{"id":2530,"type":"article-journal","abstract":"Soil health and fertility are indexed by soil organic carbon (SOC) content. Soil management through good agricultural practices that enhance and sustain SOC is vital for soil fertility. We examined the influence of soil fertility management strategies on SOC concentrations in different particle size fractions under a maize cropping system. We laid the experiment in a randomized complete block design, with 14 treatments replicated 4 times, and used the following inputs: inorganic fertilizer (Mf), maize residue +inorganic fertilizer (RMf), maize residue + inorganic fertilizer, and goat manure (RMfM), maize residue + goat manure + Dolichos Lablab L intercrop (RML), maize residue + Tithonia diversifolia + goat manure (RTiM) and maize residue + Tithonia diversifolia + phosphate rock (Minjingu) (RTiP) and a Control (no inputs) under reduced tillage (Mt) or conventional tillage (Ct). Soil samples were collected from two depths, 0–5 cm, and 5–15 cm. We determined the content of organic carbon in three physical fractionation: coarse fractions (1.7 mm, 500 µm sieve), medium fractions (250 µm and 90 µm), and a fine fraction (75 µm). Results showed that treatment with maize residues, goat manure, and legume intercrop (MtRML and CtRML) resulted in higher SOC in most fractions, irrespective of the soil depth. The SOC concentration significantly (p &lt; 0.0001) differed across treatments and depth. It was followed by maize residue, goat manure, and inorganic fertilizer treatments, and the least was inorganic fertilizer treatment. This underpins the importance of manure application and crop residue retention in increasing SOC amounts. Reduced tillage did not influence the SOC amounts during the sampling period in the experimentation site. This study highlights the possibility of improving agricultural productivity by improving soil fertility through a combination of different agricultural soil fertility amendments in Sub-Saharan Africa.","container-title":"Sustainability","DOI":"10.3390/su15010683","ISSN":"2071-1050","issue":"1","language":"en","license":"http://creativecommons.org/licenses/by/3.0/","note":"number: 1\npublisher: Multidisciplinary Digital Publishing Institute","page":"683","source":"www.mdpi.com","title":"Organic Carbon Content in Fractions of Soils Managed for Soil Fertility Improvement in Sub-Humid Agroecosystems of Kenya","volume":"15","author":[{"family":"Githongo","given":"Miriam"},{"family":"Kiboi","given":"Milka"},{"family":"Muriuki","given":"Anne"},{"family":"Fliessbach","given":"Andreas"},{"family":"Musafiri","given":"Collins"},{"family":"Ngetich","given":"Felix K."}],"issued":{"date-parts":[["2023",1]]}}},{"id":2621,"uris":["http://zotero.org/users/5110088/items/ALABL2NY"],"itemData":{"id":2621,"type":"article-journal","abstract":"Improving the soil quality of cultivated land generated by the Gully Land Consolidation Project could promote sustainable economic and ecological development in the hilly gully area of the Loess Plateau, China. A pot experiment with maize crop was conducted to assess the effects of different organic amendments and chemical fertilizer reduction on soil fertility and the microbial community in newly cultivated land, of which the amount of chemical fertilizer applied was half of the local conventional maize field (90 kg ha−1 of CO(NH2)2, 45 kg ha−1 of P2O5, and 60 kg ha−1 of K2O). The experiment involved six treatments: bare soil (CK), only maize (M), maize + chemical fertilizer (MF), maize + chemical fertilizer + organic fertilizer (MFO), maize + chemical fertilizer + biochar (MFB), and maize + chemical fertilizer + polyacrylamide (MFP). The results are as follows: (1) compared with the MF treatment, the MFO treatment exhibited the best effect on improving soil physicochemical properties, such as electrical conductivity (EC), soil organic carbon (SOC), nitrate nitrogen (NO3−-N), total nitrogen (TN), available phosphorus (AP) and available potassium (AK), followed by MFB and MFP. (2) The MFO treatment significantly (P &lt; 0.05) improved the Species richness and Shannon indices of the bacteria, but its effects on fungal diversity index are not significant. (3) The MFO treatment increased the relative abundance of Betaproteobacteria, Alphaproteobacteria, Gammaproteobacteria and Gemmatimonadetes and decreased the relative abundance of Sordariomycetes and Agaricomycetes, and it also increased the functional abundance of Amino acid metabolism, Membrane transport, Xenobiotics biodegradation and metabolism, Undefined Saprotrophs and Arbuscular Mycorrhizal Fungi. (4) The TN and EC were the main driving factors of bacterial community structural variation, while TN and NO3−-N were the main factors for variation of fungal community structure. (5) The fresh weight and dry weight of maize increased significantly (P &lt; 0.05) under all amendment treatments, among which the MFO treatment had the greatest effect. In conclusion, organic fertilizer application is the most effective measure for rapidly improving soil fertility and microbial community structure. Our findings have valuable implications for agricultural land productivity, food security and long-term sustainability of the environment.","container-title":"Applied Soil Ecology","DOI":"10.1016/j.apsoil.2021.103966","ISSN":"0929-1393","journalAbbreviation":"Applied Soil Ecology","page":"103966","source":"ScienceDirect","title":"Chemical fertilizer reduction with organic fertilizer effectively improve soil fertility and microbial community from newly cultivated land in the Loess Plateau of China","volume":"165","author":[{"family":"Han","given":"Jianqiao"},{"family":"Dong","given":"Yunyun"},{"family":"Zhang","given":"Man"}],"issued":{"date-parts":[["2021",9,1]]}}}],"schema":"https://github.com/citation-style-language/schema/raw/master/csl-citation.json"} </w:instrText>
      </w:r>
      <w:r w:rsidR="008713D9" w:rsidRPr="00587A1F">
        <w:rPr>
          <w:rFonts w:cs="Arial"/>
          <w:szCs w:val="20"/>
        </w:rPr>
        <w:fldChar w:fldCharType="separate"/>
      </w:r>
      <w:r w:rsidR="008713D9" w:rsidRPr="00587A1F">
        <w:rPr>
          <w:rFonts w:cs="Arial"/>
        </w:rPr>
        <w:t>(Cai et al., 2019; Du et al., 2020; Ejigu et al., 2021; Githongo et al., 2023; Han et al., 2021)</w:t>
      </w:r>
      <w:r w:rsidR="008713D9" w:rsidRPr="00587A1F">
        <w:rPr>
          <w:rFonts w:cs="Arial"/>
          <w:szCs w:val="20"/>
        </w:rPr>
        <w:fldChar w:fldCharType="end"/>
      </w:r>
      <w:r w:rsidR="008713D9" w:rsidRPr="00587A1F">
        <w:rPr>
          <w:rFonts w:cs="Arial"/>
          <w:szCs w:val="20"/>
        </w:rPr>
        <w:t>.</w:t>
      </w:r>
      <w:r w:rsidR="00D62A1E" w:rsidRPr="00587A1F">
        <w:rPr>
          <w:rFonts w:cs="Arial"/>
          <w:szCs w:val="20"/>
        </w:rPr>
        <w:t xml:space="preserve"> Knowledge on farming practices adopted by farmers in ASALs of Kenya is scanty which hinders</w:t>
      </w:r>
      <w:r w:rsidR="00CE5707" w:rsidRPr="00587A1F">
        <w:rPr>
          <w:rFonts w:cs="Arial"/>
          <w:szCs w:val="20"/>
        </w:rPr>
        <w:t xml:space="preserve"> effective</w:t>
      </w:r>
      <w:r w:rsidR="00D62A1E" w:rsidRPr="00587A1F">
        <w:rPr>
          <w:rFonts w:cs="Arial"/>
          <w:szCs w:val="20"/>
        </w:rPr>
        <w:t xml:space="preserve"> interventions by private sector, county and national governments in </w:t>
      </w:r>
      <w:r w:rsidR="00CE5707" w:rsidRPr="00587A1F">
        <w:rPr>
          <w:rFonts w:cs="Arial"/>
          <w:szCs w:val="20"/>
        </w:rPr>
        <w:t xml:space="preserve">effective planning, </w:t>
      </w:r>
      <w:r w:rsidR="00D62A1E" w:rsidRPr="00587A1F">
        <w:rPr>
          <w:rFonts w:cs="Arial"/>
          <w:szCs w:val="20"/>
        </w:rPr>
        <w:t>developing suitable agricultural policies</w:t>
      </w:r>
      <w:r w:rsidR="00CE5707" w:rsidRPr="00587A1F">
        <w:rPr>
          <w:rFonts w:cs="Arial"/>
          <w:szCs w:val="20"/>
        </w:rPr>
        <w:t xml:space="preserve"> and</w:t>
      </w:r>
      <w:r w:rsidR="00D62A1E" w:rsidRPr="00587A1F">
        <w:rPr>
          <w:rFonts w:cs="Arial"/>
          <w:szCs w:val="20"/>
        </w:rPr>
        <w:t xml:space="preserve"> </w:t>
      </w:r>
      <w:r w:rsidR="00CE5707" w:rsidRPr="00587A1F">
        <w:rPr>
          <w:rFonts w:cs="Arial"/>
          <w:szCs w:val="20"/>
        </w:rPr>
        <w:t>resource mobilization aimed at either enhancing resilience of the agro-pastoralists to climate change</w:t>
      </w:r>
      <w:r w:rsidR="00F62F85" w:rsidRPr="00587A1F">
        <w:rPr>
          <w:rFonts w:cs="Arial"/>
          <w:szCs w:val="20"/>
        </w:rPr>
        <w:t xml:space="preserve"> related </w:t>
      </w:r>
      <w:r w:rsidR="00CE5707" w:rsidRPr="00587A1F">
        <w:rPr>
          <w:rFonts w:cs="Arial"/>
          <w:szCs w:val="20"/>
        </w:rPr>
        <w:t>shocks or accelerating</w:t>
      </w:r>
      <w:r w:rsidR="00F62F85" w:rsidRPr="00587A1F">
        <w:rPr>
          <w:rFonts w:cs="Arial"/>
          <w:szCs w:val="20"/>
        </w:rPr>
        <w:t xml:space="preserve"> their</w:t>
      </w:r>
      <w:r w:rsidR="00CE5707" w:rsidRPr="00587A1F">
        <w:rPr>
          <w:rFonts w:cs="Arial"/>
          <w:szCs w:val="20"/>
        </w:rPr>
        <w:t xml:space="preserve"> recovery.  </w:t>
      </w:r>
    </w:p>
    <w:p w14:paraId="74E52312" w14:textId="1102139F" w:rsidR="00353B71" w:rsidRPr="00587A1F" w:rsidRDefault="00B261F7" w:rsidP="00C0550D">
      <w:pPr>
        <w:pStyle w:val="NormalWeb"/>
        <w:spacing w:before="280" w:after="280"/>
        <w:rPr>
          <w:rFonts w:cs="Arial"/>
          <w:szCs w:val="20"/>
        </w:rPr>
      </w:pPr>
      <w:r w:rsidRPr="00587A1F">
        <w:rPr>
          <w:rFonts w:cs="Arial"/>
          <w:szCs w:val="20"/>
        </w:rPr>
        <w:t>Household</w:t>
      </w:r>
      <w:r w:rsidR="00F62F85" w:rsidRPr="00587A1F">
        <w:rPr>
          <w:rFonts w:cs="Arial"/>
          <w:szCs w:val="20"/>
        </w:rPr>
        <w:t xml:space="preserve"> s</w:t>
      </w:r>
      <w:r w:rsidR="004D2C5A" w:rsidRPr="00587A1F">
        <w:rPr>
          <w:rFonts w:cs="Arial"/>
          <w:szCs w:val="20"/>
        </w:rPr>
        <w:t xml:space="preserve">ocioeconomic </w:t>
      </w:r>
      <w:r w:rsidR="00636071" w:rsidRPr="00587A1F">
        <w:rPr>
          <w:rFonts w:cs="Arial"/>
          <w:szCs w:val="20"/>
        </w:rPr>
        <w:t xml:space="preserve">characteristics </w:t>
      </w:r>
      <w:r w:rsidR="00F62F85" w:rsidRPr="00587A1F">
        <w:rPr>
          <w:rFonts w:cs="Arial"/>
          <w:szCs w:val="20"/>
        </w:rPr>
        <w:t>dictate their adaptation to climate change or even time taken to recove</w:t>
      </w:r>
      <w:r w:rsidRPr="00587A1F">
        <w:rPr>
          <w:rFonts w:cs="Arial"/>
          <w:szCs w:val="20"/>
        </w:rPr>
        <w:t>r</w:t>
      </w:r>
      <w:r w:rsidR="00F62F85" w:rsidRPr="00587A1F">
        <w:rPr>
          <w:rFonts w:cs="Arial"/>
          <w:szCs w:val="20"/>
        </w:rPr>
        <w:t xml:space="preserve"> from climate change related shocks</w:t>
      </w:r>
      <w:r w:rsidR="004D2C5A" w:rsidRPr="00587A1F">
        <w:rPr>
          <w:rFonts w:cs="Arial"/>
          <w:szCs w:val="20"/>
        </w:rPr>
        <w:t xml:space="preserve">. </w:t>
      </w:r>
      <w:r w:rsidR="00636071" w:rsidRPr="00587A1F">
        <w:rPr>
          <w:rFonts w:cs="Arial"/>
          <w:szCs w:val="20"/>
        </w:rPr>
        <w:t>Recent s</w:t>
      </w:r>
      <w:r w:rsidR="00603846" w:rsidRPr="00587A1F">
        <w:rPr>
          <w:rFonts w:cs="Arial"/>
          <w:szCs w:val="20"/>
        </w:rPr>
        <w:t>tudies have shown that f</w:t>
      </w:r>
      <w:r w:rsidR="004D2C5A" w:rsidRPr="00587A1F">
        <w:rPr>
          <w:rFonts w:cs="Arial"/>
          <w:szCs w:val="20"/>
        </w:rPr>
        <w:t>actors such as age, education, household size, and income</w:t>
      </w:r>
      <w:r w:rsidR="00AB257A" w:rsidRPr="00587A1F">
        <w:rPr>
          <w:rFonts w:cs="Arial"/>
          <w:szCs w:val="20"/>
        </w:rPr>
        <w:t xml:space="preserve"> </w:t>
      </w:r>
      <w:r w:rsidR="00603846" w:rsidRPr="00587A1F">
        <w:rPr>
          <w:rFonts w:cs="Arial"/>
          <w:szCs w:val="20"/>
        </w:rPr>
        <w:t>i</w:t>
      </w:r>
      <w:r w:rsidR="004D2C5A" w:rsidRPr="00587A1F">
        <w:rPr>
          <w:rFonts w:cs="Arial"/>
          <w:szCs w:val="20"/>
        </w:rPr>
        <w:t>nfluence</w:t>
      </w:r>
      <w:r w:rsidR="00603846" w:rsidRPr="00587A1F">
        <w:rPr>
          <w:rFonts w:cs="Arial"/>
          <w:szCs w:val="20"/>
        </w:rPr>
        <w:t>s</w:t>
      </w:r>
      <w:r w:rsidR="004D2C5A" w:rsidRPr="00587A1F">
        <w:rPr>
          <w:rFonts w:cs="Arial"/>
          <w:szCs w:val="20"/>
        </w:rPr>
        <w:t xml:space="preserve"> farming decisions, access to resources, and the adoption of improved agricultural technologies </w:t>
      </w:r>
      <w:r w:rsidR="008713D9" w:rsidRPr="00587A1F">
        <w:rPr>
          <w:rFonts w:cs="Arial"/>
          <w:szCs w:val="20"/>
        </w:rPr>
        <w:fldChar w:fldCharType="begin"/>
      </w:r>
      <w:r w:rsidR="00DB1FF5" w:rsidRPr="00587A1F">
        <w:rPr>
          <w:rFonts w:cs="Arial"/>
          <w:szCs w:val="20"/>
        </w:rPr>
        <w:instrText xml:space="preserve"> ADDIN ZOTERO_ITEM CSL_CITATION {"citationID":"UE3oTlGA","properties":{"formattedCitation":"(Mohamed Shaffril et al., 2024; F. Wamalwa et al., 2024)","plainCitation":"(Mohamed Shaffril et al., 2024; F. Wamalwa et al., 2024)","dontUpdate":true,"noteIndex":0},"citationItems":[{"id":2715,"uris":["http://zotero.org/users/5110088/items/7369B2BH"],"itemData":{"id":2715,"type":"article-journal","abstract":"The primary objective of this study is to systematically review the literature on the diversification of agriculture practice as one of the many ways farmers in low-income countries can respond and adapt to the worsening impacts of climate change. To ascertain the rigor in its methodology, this systematic literature review (SLR) adhered to guidelines outlined in RepOrting standards for Systematic Evidence Syntheses (ROSES); the research question was formulated based on the mnemonics of Population, Interest, and Context (PICo), the inclusion and exclusion criteria were based on timeline publication, document type, language, low-income countries and focused on reviewing empirical evidence studies; the quality was appraised based on Mixed Method Appraisal Tools (MMAT), while data extraction and analyses were executed using thematic analysis. The analytical outcomes yielded three main themes. First is the theme related to crops and varieties-related strategies, which consist of four sub-themes: early maturing crops, use of the drought-tolerant variety, abandoning crops, and introduction of new crop/crop rotation/crop diversity/mixed crop. The second theme is soil and water conservation techniques, which later produced another six sub-themes, namely the use of organic/inorganic fertilizer, water harvesting, irrigation and drainage, tree planting and agroforestry, terracing/contour farming to prevent soil erosion, mulching/stone barriers and agriculture mechanisation related activities. The last theme is planting-related strategies, which consist of three sub-themes: rescheduling the planting calendar, increasing pesticide/herbicide/integrated pest management, and selecting and expanding new areas. Referring to this SLR, there is a pressing need to facilitate farmers facing inadequate resources to adapt effectively to environmental and other change forms. Upon comprehending the present adaptation practices used by farmers, interested parties may offer ideas to strategize effective adaptation plans tailored to farmers’ needs, abilities, and interests across low-income countries.","container-title":"Climate Services","DOI":"10.1016/j.cliser.2024.100508","ISSN":"2405-8807","journalAbbreviation":"Climate Services","page":"100508","source":"ScienceDirect","title":"Diversification of agriculture practices as a response to climate change impacts among farmers in low-income countries: A systematic literature review","title-short":"Diversification of agriculture practices as a response to climate change impacts among farmers in low-income countries","volume":"35","author":[{"family":"Mohamed Shaffril","given":"Hayrol Azril"},{"family":"Abu Samah","given":"Asnarulkhadi"},{"family":"Samsuddin","given":"Samsul Farid"},{"family":"Ahmad","given":"Nobaya"},{"family":"Tangang","given":"Fredoline"},{"family":"Ahmad Sidique","given":"Shaufique Fahmi"},{"family":"Abdul Rahman","given":"Haliza"},{"family":"Burhan","given":"Nik Ahmad Sufian"},{"family":"Arif Shah","given":"Jasmin"},{"family":"Amiera Khalid","given":"Nurul"}],"issued":{"date-parts":[["2024",8,1]]}}},{"id":2569,"uris":["http://zotero.org/users/5110088/items/HKCLZ4FW"],"itemData":{"id":2569,"type":"article-journal","title":"The effect of socioeconomic factors on household agro-enterprise incomes amongst dryland farming communities in Chepareria ward, Kenya","author":[{"family":"Wamalwa","given":"Fred"},{"family":"Nge’tich","given":"Wilson"},{"family":"Kebeney","given":"Syphyline"},{"family":"Alkamoi","given":"Boniface"},{"family":"Churu","given":"Harrison"}],"issued":{"date-parts":[["2024"]]}}}],"schema":"https://github.com/citation-style-language/schema/raw/master/csl-citation.json"} </w:instrText>
      </w:r>
      <w:r w:rsidR="008713D9" w:rsidRPr="00587A1F">
        <w:rPr>
          <w:rFonts w:cs="Arial"/>
          <w:szCs w:val="20"/>
        </w:rPr>
        <w:fldChar w:fldCharType="separate"/>
      </w:r>
      <w:r w:rsidR="008713D9" w:rsidRPr="00587A1F">
        <w:rPr>
          <w:rFonts w:cs="Arial"/>
        </w:rPr>
        <w:t xml:space="preserve"> </w:t>
      </w:r>
      <w:r w:rsidR="00F62F85" w:rsidRPr="00587A1F">
        <w:rPr>
          <w:rFonts w:cs="Arial"/>
        </w:rPr>
        <w:t>(</w:t>
      </w:r>
      <w:r w:rsidR="008713D9" w:rsidRPr="00587A1F">
        <w:rPr>
          <w:rFonts w:cs="Arial"/>
        </w:rPr>
        <w:t>Shaffril et al., 2024; Wamalwa et al., 2024)</w:t>
      </w:r>
      <w:r w:rsidR="008713D9" w:rsidRPr="00587A1F">
        <w:rPr>
          <w:rFonts w:cs="Arial"/>
          <w:szCs w:val="20"/>
        </w:rPr>
        <w:fldChar w:fldCharType="end"/>
      </w:r>
      <w:r w:rsidR="008713D9" w:rsidRPr="00587A1F">
        <w:rPr>
          <w:rFonts w:cs="Arial"/>
          <w:szCs w:val="20"/>
        </w:rPr>
        <w:t xml:space="preserve">. </w:t>
      </w:r>
      <w:r w:rsidR="00636071" w:rsidRPr="00587A1F">
        <w:rPr>
          <w:rFonts w:cs="Arial"/>
          <w:szCs w:val="20"/>
        </w:rPr>
        <w:t xml:space="preserve">In addition, other studies have highlighted the role of </w:t>
      </w:r>
      <w:r w:rsidR="004D2C5A" w:rsidRPr="00587A1F">
        <w:rPr>
          <w:rFonts w:cs="Arial"/>
          <w:szCs w:val="20"/>
        </w:rPr>
        <w:t>household members</w:t>
      </w:r>
      <w:r w:rsidR="00636071" w:rsidRPr="00587A1F">
        <w:rPr>
          <w:rFonts w:cs="Arial"/>
          <w:szCs w:val="20"/>
        </w:rPr>
        <w:t>hip</w:t>
      </w:r>
      <w:r w:rsidR="004D2C5A" w:rsidRPr="00587A1F">
        <w:rPr>
          <w:rFonts w:cs="Arial"/>
          <w:szCs w:val="20"/>
        </w:rPr>
        <w:t xml:space="preserve">, particularly </w:t>
      </w:r>
      <w:r w:rsidR="00636071" w:rsidRPr="00587A1F">
        <w:rPr>
          <w:rFonts w:cs="Arial"/>
          <w:szCs w:val="20"/>
        </w:rPr>
        <w:t>farmers</w:t>
      </w:r>
      <w:r w:rsidR="004D2C5A" w:rsidRPr="00587A1F">
        <w:rPr>
          <w:rFonts w:cs="Arial"/>
          <w:szCs w:val="20"/>
        </w:rPr>
        <w:t xml:space="preserve"> engag</w:t>
      </w:r>
      <w:r w:rsidR="00636071" w:rsidRPr="00587A1F">
        <w:rPr>
          <w:rFonts w:cs="Arial"/>
          <w:szCs w:val="20"/>
        </w:rPr>
        <w:t xml:space="preserve">ing </w:t>
      </w:r>
      <w:r w:rsidR="004D2C5A" w:rsidRPr="00587A1F">
        <w:rPr>
          <w:rFonts w:cs="Arial"/>
          <w:szCs w:val="20"/>
        </w:rPr>
        <w:t>in non-fa</w:t>
      </w:r>
      <w:r w:rsidR="008A5743" w:rsidRPr="00587A1F">
        <w:rPr>
          <w:rFonts w:cs="Arial"/>
          <w:szCs w:val="20"/>
        </w:rPr>
        <w:t xml:space="preserve">rm income-generating activities have been shown to </w:t>
      </w:r>
      <w:r w:rsidR="004D2C5A" w:rsidRPr="00587A1F">
        <w:rPr>
          <w:rFonts w:cs="Arial"/>
          <w:szCs w:val="20"/>
        </w:rPr>
        <w:t xml:space="preserve">contribute to increase household resilience and access to agricultural inputs, improving overall productivity and </w:t>
      </w:r>
      <w:r w:rsidR="00D914B9" w:rsidRPr="00587A1F">
        <w:rPr>
          <w:rFonts w:cs="Arial"/>
          <w:szCs w:val="20"/>
        </w:rPr>
        <w:t xml:space="preserve">household </w:t>
      </w:r>
      <w:r w:rsidR="004D2C5A" w:rsidRPr="00587A1F">
        <w:rPr>
          <w:rFonts w:cs="Arial"/>
          <w:szCs w:val="20"/>
        </w:rPr>
        <w:t xml:space="preserve">food security </w:t>
      </w:r>
      <w:r w:rsidR="008713D9" w:rsidRPr="00587A1F">
        <w:rPr>
          <w:rFonts w:cs="Arial"/>
          <w:szCs w:val="20"/>
        </w:rPr>
        <w:fldChar w:fldCharType="begin"/>
      </w:r>
      <w:r w:rsidR="008713D9" w:rsidRPr="00587A1F">
        <w:rPr>
          <w:rFonts w:cs="Arial"/>
          <w:szCs w:val="20"/>
        </w:rPr>
        <w:instrText xml:space="preserve"> ADDIN ZOTERO_ITEM CSL_CITATION {"citationID":"60KEHX6O","properties":{"formattedCitation":"(Ayaz &amp; Mughal, 2024; Baker &amp; Nuno, 2021; Mzyece &amp; Ng\\uc0\\u8217{}ombe, 2021)","plainCitation":"(Ayaz &amp; Mughal, 2024; Baker &amp; Nuno, 2021; Mzyece &amp; Ng’ombe, 2021)","noteIndex":0},"citationItems":[{"id":2722,"uris":["http://zotero.org/users/5110088/items/9C9C5R4W","http://zotero.org/users/5110088/items/K57XM2GC"],"itemData":{"id":2722,"type":"article-journal","container-title":"Economic Development and Cultural Change","issue":"2","note":"ISBN: 0013-0079\npublisher: The University of Chicago Press Chicago, IL","page":"959-995","title":"Farm Size and Productivity: The Role of Family Labor","volume":"72","author":[{"family":"Ayaz","given":"Muhammad"},{"family":"Mughal","given":"Mazhar"}],"issued":{"date-parts":[["2024"]]}}},{"id":2540,"uris":["http://zotero.org/users/5110088/items/6BFXAC5T"],"itemData":{"id":2540,"type":"article-journal","abstract":"Agricultural sector is a mainstay of farmers’ livelihoods in Ethiopia. Maize is a largest crop being grown in Ethiopia; however, currently, yield gaps are the challenges faced by the producers. This study has an objective of identifying the determinants of maize production of smallholder farmers. Data were collected from 200 farmers living in the selected kebeles (communes) of Meta district in the East Hararge zone of Oromia region, Ethiopia. The collected data was analyzed using multiple linear regression model. The result showed that the production of maize was influenced by several factors. Non-farm activity had a positive impact on the production of maize. Thus, the farmers who had money from non-farm sources utilized these additional incomes as inputs to gain more maize production. The cultivated areas of land have a positive influence on the higher yields of maize. The maize crop production of smallholder farmers was negatively affected by Development Agent’s office. The study suggests that policy makers should encourage the current maize production by supplying improved seeds and fertilizers, which tend to support improving the smallholder farms.","container-title":"Grassroots Journal of Natural Resources","DOI":"10.33002/nr2581.6853.040103","ISSN":"2581-6853","issue":"1","journalAbbreviation":"GJNR","language":"en","license":"http://creativecommons.org/licenses/by/4.0/","page":"29-39","source":"DOI.org (Crossref)","title":"Socio-Economic Determinants of Maize Production of Smallholder Farmers in Eastern Oromia, Ethiopia","volume":"4","author":[{"family":"Baker","given":"Murad Mohammed"},{"family":"Nuno","given":"Desta Bati"}],"issued":{"date-parts":[["2021",3,25]]}}},{"id":2717,"uris":["http://zotero.org/users/5110088/items/U2HRE7LD"],"itemData":{"id":2717,"type":"article-journal","abstract":"Crop diversification has been shown to help mitigate climate change effects for farmers. While previous research shows that crop diversification may increase or decrease technical efficiency in different regions, research on whether crop diversification involves a tradeoff between technical efficiency and income variability is limited. Using agricultural production data from Northern Ghana, this study uses the stochastic input distance function to examine the effects of crop diversification on technical efficiency. The study further explores effects of crop diversification on income variability using an ordinary least square regression to understand the nexus between technical efficiency and income variability in crop diversification. The results show evidence against a ‘tradeoff’ between technical efficiency and income stability for farmers in Northern Ghana. We find that crop diversification significantly improves efficiency and reduces income variability in Northern Ghana, so farmers do not have to give up efficiency for income stability or vice versa. This suggests that crop diversification could be an ideal Climate Smart Agricultural (CSA) strategy for promoting agricultural growth and resilience in Northern Ghana. While our data has a maximum of three crops, which could limit generalization of results to farmers who grow more than three crops, our results make a novel contribution to the literature on crop diversification.","container-title":"Journal of Agriculture and Food Research","DOI":"10.1016/j.jafr.2021.100162","ISSN":"2666-1543","journalAbbreviation":"Journal of Agriculture and Food Research","page":"100162","source":"ScienceDirect","title":"Crop diversification improves technical efficiency and reduces income variability in Northern Ghana","volume":"5","author":[{"family":"Mzyece","given":"Agness"},{"family":"Ng'ombe","given":"John N."}],"issued":{"date-parts":[["2021",9,1]]}}}],"schema":"https://github.com/citation-style-language/schema/raw/master/csl-citation.json"} </w:instrText>
      </w:r>
      <w:r w:rsidR="008713D9" w:rsidRPr="00587A1F">
        <w:rPr>
          <w:rFonts w:cs="Arial"/>
          <w:szCs w:val="20"/>
        </w:rPr>
        <w:fldChar w:fldCharType="separate"/>
      </w:r>
      <w:r w:rsidR="008713D9" w:rsidRPr="00587A1F">
        <w:rPr>
          <w:rFonts w:cs="Arial"/>
        </w:rPr>
        <w:t>(Ayaz &amp; Mughal, 2024; Baker &amp; Nuno, 2021; Mzyece &amp; Ng’ombe, 2021)</w:t>
      </w:r>
      <w:r w:rsidR="008713D9" w:rsidRPr="00587A1F">
        <w:rPr>
          <w:rFonts w:cs="Arial"/>
          <w:szCs w:val="20"/>
        </w:rPr>
        <w:fldChar w:fldCharType="end"/>
      </w:r>
      <w:r w:rsidR="008713D9" w:rsidRPr="00587A1F">
        <w:rPr>
          <w:rFonts w:cs="Arial"/>
          <w:szCs w:val="20"/>
        </w:rPr>
        <w:t>.</w:t>
      </w:r>
      <w:r w:rsidR="00A44FE0" w:rsidRPr="00587A1F">
        <w:rPr>
          <w:rFonts w:cs="Arial"/>
          <w:szCs w:val="20"/>
        </w:rPr>
        <w:t xml:space="preserve"> </w:t>
      </w:r>
      <w:r w:rsidR="00C0550D" w:rsidRPr="00587A1F">
        <w:rPr>
          <w:rFonts w:cs="Arial"/>
          <w:szCs w:val="20"/>
        </w:rPr>
        <w:t xml:space="preserve">However, the contribution of the socioeconomic factors in the dryland areas have not fully </w:t>
      </w:r>
      <w:r w:rsidR="007A2563" w:rsidRPr="00587A1F">
        <w:rPr>
          <w:rFonts w:cs="Arial"/>
          <w:szCs w:val="20"/>
        </w:rPr>
        <w:t>been</w:t>
      </w:r>
      <w:r w:rsidR="00C0550D" w:rsidRPr="00587A1F">
        <w:rPr>
          <w:rFonts w:cs="Arial"/>
          <w:szCs w:val="20"/>
        </w:rPr>
        <w:t xml:space="preserve"> explored thus leaving critical gaps describ</w:t>
      </w:r>
      <w:r w:rsidR="00A44FE0" w:rsidRPr="00587A1F">
        <w:rPr>
          <w:rFonts w:cs="Arial"/>
          <w:szCs w:val="20"/>
        </w:rPr>
        <w:t xml:space="preserve">ing </w:t>
      </w:r>
      <w:r w:rsidR="00C0550D" w:rsidRPr="00587A1F">
        <w:rPr>
          <w:rFonts w:cs="Arial"/>
          <w:szCs w:val="20"/>
        </w:rPr>
        <w:t xml:space="preserve">agro-pastoralist farmers. </w:t>
      </w:r>
      <w:r w:rsidR="004D2C5A" w:rsidRPr="00587A1F">
        <w:rPr>
          <w:rFonts w:cs="Arial"/>
          <w:szCs w:val="20"/>
        </w:rPr>
        <w:t xml:space="preserve">This study therefore </w:t>
      </w:r>
      <w:r w:rsidR="00C0550D" w:rsidRPr="00587A1F">
        <w:rPr>
          <w:rFonts w:cs="Arial"/>
          <w:szCs w:val="20"/>
        </w:rPr>
        <w:t xml:space="preserve">described </w:t>
      </w:r>
      <w:r w:rsidR="001E4A3F" w:rsidRPr="00587A1F">
        <w:rPr>
          <w:rFonts w:cs="Arial"/>
          <w:szCs w:val="20"/>
        </w:rPr>
        <w:t xml:space="preserve">the </w:t>
      </w:r>
      <w:r w:rsidR="00C0550D" w:rsidRPr="00587A1F">
        <w:rPr>
          <w:rFonts w:cs="Arial"/>
          <w:szCs w:val="20"/>
        </w:rPr>
        <w:t xml:space="preserve">influence of socioeconomic factors on farming practices of the </w:t>
      </w:r>
      <w:r w:rsidR="004D2C5A" w:rsidRPr="00587A1F">
        <w:rPr>
          <w:rFonts w:cs="Arial"/>
          <w:szCs w:val="20"/>
        </w:rPr>
        <w:t>agro-pastoralist</w:t>
      </w:r>
      <w:r w:rsidR="00C0550D" w:rsidRPr="00587A1F">
        <w:rPr>
          <w:rFonts w:cs="Arial"/>
          <w:szCs w:val="20"/>
        </w:rPr>
        <w:t xml:space="preserve"> farmers in the </w:t>
      </w:r>
      <w:r w:rsidR="004D2C5A" w:rsidRPr="00587A1F">
        <w:rPr>
          <w:rFonts w:cs="Arial"/>
          <w:szCs w:val="20"/>
        </w:rPr>
        <w:t>dryland areas of West Pokot County</w:t>
      </w:r>
      <w:r w:rsidR="00C0550D" w:rsidRPr="00587A1F">
        <w:rPr>
          <w:rFonts w:cs="Arial"/>
          <w:szCs w:val="20"/>
        </w:rPr>
        <w:t xml:space="preserve"> in Kenya</w:t>
      </w:r>
      <w:r w:rsidR="004D2C5A" w:rsidRPr="00587A1F">
        <w:rPr>
          <w:rFonts w:cs="Arial"/>
          <w:szCs w:val="20"/>
        </w:rPr>
        <w:t xml:space="preserve">. </w:t>
      </w:r>
    </w:p>
    <w:p w14:paraId="555300F9" w14:textId="77777777" w:rsidR="00353B71" w:rsidRPr="00587A1F" w:rsidRDefault="004D2C5A" w:rsidP="00DB7A3D">
      <w:pPr>
        <w:pStyle w:val="Heading1"/>
        <w:rPr>
          <w:rFonts w:cs="Arial"/>
        </w:rPr>
      </w:pPr>
      <w:bookmarkStart w:id="10" w:name="_Toc36568364"/>
      <w:bookmarkStart w:id="11" w:name="_Toc172620795"/>
      <w:bookmarkEnd w:id="10"/>
      <w:r w:rsidRPr="00587A1F">
        <w:rPr>
          <w:rFonts w:cs="Arial"/>
        </w:rPr>
        <w:t>Materials and Methods</w:t>
      </w:r>
      <w:bookmarkEnd w:id="11"/>
    </w:p>
    <w:p w14:paraId="6C592A38" w14:textId="77777777" w:rsidR="00353B71" w:rsidRPr="00587A1F" w:rsidRDefault="00353B71" w:rsidP="00924D7C">
      <w:pPr>
        <w:pStyle w:val="ListParagraph"/>
        <w:keepNext/>
        <w:keepLines/>
        <w:numPr>
          <w:ilvl w:val="0"/>
          <w:numId w:val="1"/>
        </w:numPr>
        <w:spacing w:beforeAutospacing="1" w:after="0"/>
        <w:contextualSpacing w:val="0"/>
        <w:outlineLvl w:val="1"/>
        <w:rPr>
          <w:rFonts w:eastAsiaTheme="majorEastAsia" w:cs="Arial"/>
          <w:b/>
          <w:vanish/>
          <w:szCs w:val="26"/>
        </w:rPr>
      </w:pPr>
    </w:p>
    <w:p w14:paraId="33B59769" w14:textId="77777777" w:rsidR="00353B71" w:rsidRPr="00587A1F" w:rsidRDefault="004D2C5A" w:rsidP="00BC0C1B">
      <w:pPr>
        <w:pStyle w:val="Heading2"/>
        <w:spacing w:before="100" w:after="100"/>
        <w:rPr>
          <w:rFonts w:cs="Arial"/>
        </w:rPr>
      </w:pPr>
      <w:bookmarkStart w:id="12" w:name="_Toc172620796"/>
      <w:r w:rsidRPr="00587A1F">
        <w:rPr>
          <w:rFonts w:cs="Arial"/>
        </w:rPr>
        <w:t>Study site</w:t>
      </w:r>
      <w:bookmarkEnd w:id="12"/>
    </w:p>
    <w:p w14:paraId="7713DA6B" w14:textId="1DA68F3E" w:rsidR="0018060F" w:rsidRPr="00587A1F" w:rsidRDefault="004D2C5A" w:rsidP="006829A5">
      <w:pPr>
        <w:rPr>
          <w:rFonts w:cs="Arial"/>
        </w:rPr>
      </w:pPr>
      <w:r w:rsidRPr="00587A1F">
        <w:rPr>
          <w:rFonts w:cs="Arial"/>
        </w:rPr>
        <w:t xml:space="preserve">The study was done in West Pokot County, which </w:t>
      </w:r>
      <w:r w:rsidR="004064BE" w:rsidRPr="00587A1F">
        <w:rPr>
          <w:rFonts w:cs="Arial"/>
        </w:rPr>
        <w:t>is</w:t>
      </w:r>
      <w:r w:rsidRPr="00587A1F">
        <w:rPr>
          <w:rFonts w:cs="Arial"/>
        </w:rPr>
        <w:t xml:space="preserve"> approximately 9,169.4 km² </w:t>
      </w:r>
      <w:r w:rsidR="004064BE" w:rsidRPr="00587A1F">
        <w:rPr>
          <w:rFonts w:cs="Arial"/>
        </w:rPr>
        <w:t xml:space="preserve">in size </w:t>
      </w:r>
      <w:r w:rsidRPr="00587A1F">
        <w:rPr>
          <w:rFonts w:cs="Arial"/>
        </w:rPr>
        <w:t xml:space="preserve">and is subdivided into four sub-counties: Pokot Central, North Pokot, South Pokot, and </w:t>
      </w:r>
      <w:r w:rsidR="00F43C6E" w:rsidRPr="00587A1F">
        <w:rPr>
          <w:rFonts w:cs="Arial"/>
        </w:rPr>
        <w:t>Kapenguria (</w:t>
      </w:r>
      <w:r w:rsidRPr="00587A1F">
        <w:rPr>
          <w:rFonts w:cs="Arial"/>
        </w:rPr>
        <w:t>West Pokot</w:t>
      </w:r>
      <w:r w:rsidR="00F43C6E" w:rsidRPr="00587A1F">
        <w:rPr>
          <w:rFonts w:cs="Arial"/>
        </w:rPr>
        <w:t>)</w:t>
      </w:r>
      <w:r w:rsidRPr="00587A1F">
        <w:rPr>
          <w:rFonts w:cs="Arial"/>
        </w:rPr>
        <w:t>. Situated in North-</w:t>
      </w:r>
      <w:r w:rsidR="00A71F6F" w:rsidRPr="00587A1F">
        <w:rPr>
          <w:rFonts w:cs="Arial"/>
        </w:rPr>
        <w:t xml:space="preserve">Western </w:t>
      </w:r>
      <w:r w:rsidRPr="00587A1F">
        <w:rPr>
          <w:rFonts w:cs="Arial"/>
        </w:rPr>
        <w:t xml:space="preserve">Kenya, the county shares a border with Uganda and has a population of 621,135 </w:t>
      </w:r>
      <w:r w:rsidR="008713D9" w:rsidRPr="00587A1F">
        <w:rPr>
          <w:rFonts w:cs="Arial"/>
        </w:rPr>
        <w:fldChar w:fldCharType="begin"/>
      </w:r>
      <w:r w:rsidR="008713D9" w:rsidRPr="00587A1F">
        <w:rPr>
          <w:rFonts w:cs="Arial"/>
        </w:rPr>
        <w:instrText xml:space="preserve"> ADDIN ZOTERO_ITEM CSL_CITATION {"citationID":"F1HdYxOG","properties":{"formattedCitation":"(KNBS, 2019)","plainCitation":"(KNBS, 2019)","noteIndex":0},"citationItems":[{"id":2854,"uris":["http://zotero.org/users/5110088/items/I6QXAU5F"],"itemData":{"id":2854,"type":"report","event-place":"Nairobi","number":"Vol III","publisher":"KNBS","publisher-place":"Nairobi","title":"Kenya Population and Housing Census Analytical Report on Population Dynamics","URL":"https://www.knbs.or.ke/wp-content/uploads/2024/05/2019-Kenya-Population-and-Housing-Census-Analytical-Report-on-Population-Dynamics-Vol-VIII.pdf","author":[{"family":"KNBS","given":""}],"accessed":{"date-parts":[["2024",11,13]]},"issued":{"date-parts":[["2019"]]}}}],"schema":"https://github.com/citation-style-language/schema/raw/master/csl-citation.json"} </w:instrText>
      </w:r>
      <w:r w:rsidR="008713D9" w:rsidRPr="00587A1F">
        <w:rPr>
          <w:rFonts w:cs="Arial"/>
        </w:rPr>
        <w:fldChar w:fldCharType="separate"/>
      </w:r>
      <w:r w:rsidR="008713D9" w:rsidRPr="00587A1F">
        <w:rPr>
          <w:rFonts w:cs="Arial"/>
        </w:rPr>
        <w:t>(KNBS, 2019)</w:t>
      </w:r>
      <w:r w:rsidR="008713D9" w:rsidRPr="00587A1F">
        <w:rPr>
          <w:rFonts w:cs="Arial"/>
        </w:rPr>
        <w:fldChar w:fldCharType="end"/>
      </w:r>
      <w:r w:rsidRPr="00587A1F">
        <w:rPr>
          <w:rFonts w:cs="Arial"/>
        </w:rPr>
        <w:t xml:space="preserve">. </w:t>
      </w:r>
      <w:r w:rsidR="006829A5" w:rsidRPr="00587A1F">
        <w:rPr>
          <w:rFonts w:cs="Arial"/>
        </w:rPr>
        <w:t xml:space="preserve">The study area </w:t>
      </w:r>
      <w:r w:rsidR="0018060F" w:rsidRPr="00587A1F">
        <w:rPr>
          <w:rFonts w:cs="Arial"/>
        </w:rPr>
        <w:t xml:space="preserve">exhibits varied altitudes, resulting in diverse climatic and agro-ecological zones. The area experiences a bimodal rainfall pattern, with long rains occurring towards the end of March to June, and short rains from October to December </w:t>
      </w:r>
      <w:r w:rsidR="0018060F" w:rsidRPr="00587A1F">
        <w:rPr>
          <w:rFonts w:cs="Arial"/>
        </w:rPr>
        <w:fldChar w:fldCharType="begin"/>
      </w:r>
      <w:r w:rsidR="0018060F" w:rsidRPr="00587A1F">
        <w:rPr>
          <w:rFonts w:cs="Arial"/>
        </w:rPr>
        <w:instrText xml:space="preserve"> ADDIN ZOTERO_ITEM CSL_CITATION {"citationID":"mHFgtbtW","properties":{"formattedCitation":"(NDMA, 2024)","plainCitation":"(NDMA, 2024)","noteIndex":0},"citationItems":[{"id":2921,"uris":["http://zotero.org/users/5110088/items/S5Q3VLL8"],"itemData":{"id":2921,"type":"report","page":"1 - 20","publisher":"National Drought Management Authority","title":"West Pokot Drought Early Warning Bulletin for July, 2024","author":[{"family":"NDMA","given":""}],"issued":{"date-parts":[["2024"]]}}}],"schema":"https://github.com/citation-style-language/schema/raw/master/csl-citation.json"} </w:instrText>
      </w:r>
      <w:r w:rsidR="0018060F" w:rsidRPr="00587A1F">
        <w:rPr>
          <w:rFonts w:cs="Arial"/>
        </w:rPr>
        <w:fldChar w:fldCharType="separate"/>
      </w:r>
      <w:r w:rsidR="0018060F" w:rsidRPr="00587A1F">
        <w:rPr>
          <w:rFonts w:cs="Arial"/>
        </w:rPr>
        <w:t>(NDMA, 2024)</w:t>
      </w:r>
      <w:r w:rsidR="0018060F" w:rsidRPr="00587A1F">
        <w:rPr>
          <w:rFonts w:cs="Arial"/>
        </w:rPr>
        <w:fldChar w:fldCharType="end"/>
      </w:r>
      <w:r w:rsidR="0018060F" w:rsidRPr="00587A1F">
        <w:rPr>
          <w:rFonts w:cs="Arial"/>
        </w:rPr>
        <w:t xml:space="preserve">. The lower altitude regions receive an average annual rainfall of approximately 600 mm, while the highland catchment areas may receive up to 2000 mm per year </w:t>
      </w:r>
      <w:r w:rsidR="0018060F" w:rsidRPr="00587A1F">
        <w:rPr>
          <w:rFonts w:cs="Arial"/>
        </w:rPr>
        <w:fldChar w:fldCharType="begin"/>
      </w:r>
      <w:r w:rsidR="0018060F" w:rsidRPr="00587A1F">
        <w:rPr>
          <w:rFonts w:cs="Arial"/>
        </w:rPr>
        <w:instrText xml:space="preserve"> ADDIN ZOTERO_ITEM CSL_CITATION {"citationID":"njv2JEld","properties":{"formattedCitation":"(NDMA, 2024)","plainCitation":"(NDMA, 2024)","noteIndex":0},"citationItems":[{"id":2921,"uris":["http://zotero.org/users/5110088/items/S5Q3VLL8"],"itemData":{"id":2921,"type":"report","page":"1 - 20","publisher":"National Drought Management Authority","title":"West Pokot Drought Early Warning Bulletin for July, 2024","author":[{"family":"NDMA","given":""}],"issued":{"date-parts":[["2024"]]}}}],"schema":"https://github.com/citation-style-language/schema/raw/master/csl-citation.json"} </w:instrText>
      </w:r>
      <w:r w:rsidR="0018060F" w:rsidRPr="00587A1F">
        <w:rPr>
          <w:rFonts w:cs="Arial"/>
        </w:rPr>
        <w:fldChar w:fldCharType="separate"/>
      </w:r>
      <w:r w:rsidR="0018060F" w:rsidRPr="00587A1F">
        <w:rPr>
          <w:rFonts w:cs="Arial"/>
        </w:rPr>
        <w:t>(NDMA, 2024)</w:t>
      </w:r>
      <w:r w:rsidR="0018060F" w:rsidRPr="00587A1F">
        <w:rPr>
          <w:rFonts w:cs="Arial"/>
        </w:rPr>
        <w:fldChar w:fldCharType="end"/>
      </w:r>
      <w:r w:rsidR="0018060F" w:rsidRPr="00587A1F">
        <w:rPr>
          <w:rFonts w:cs="Arial"/>
        </w:rPr>
        <w:t xml:space="preserve">. The county’s mean annual temperature ranges between 10°C in the highlands and 30°C in the arid lowlands </w:t>
      </w:r>
      <w:r w:rsidR="0018060F" w:rsidRPr="00587A1F">
        <w:rPr>
          <w:rFonts w:cs="Arial"/>
        </w:rPr>
        <w:fldChar w:fldCharType="begin"/>
      </w:r>
      <w:r w:rsidR="0018060F" w:rsidRPr="00587A1F">
        <w:rPr>
          <w:rFonts w:cs="Arial"/>
        </w:rPr>
        <w:instrText xml:space="preserve"> ADDIN ZOTERO_ITEM CSL_CITATION {"citationID":"QLNryxV3","properties":{"formattedCitation":"(Nyberg et al., 2015)","plainCitation":"(Nyberg et al., 2015)","noteIndex":0},"citationItems":[{"id":2873,"uris":["http://zotero.org/users/5110088/items/WX2TXNVB"],"itemData":{"id":2873,"type":"article-journal","abstract":"Dryland livestock production systems are changing in many parts of the world, as a result of growing human populations and associated pressure on water and land. Based on a combination of social and natural science methods, we studied a 30-year transformation process from pastoralism to a livestock-based agro-pastoral system in northwestern Kenya, with the overall aim to increase the understanding of the ongoing transition towards intensified agro-pastoralist production systems in dryland East Africa. Key to this transformation was the use of enclosures for land rehabilitation, fodder production, and land and livestock management. Enclosures have more soil carbon and a higher vegetation cover than adjacent areas with open grazing. The level of adoption of enclosures as a management tool has been very high, and their use has enabled agricultural diversification, e.g. increased crop agriculture, poultry production and the inclusion of improved livestock. Following the use of enclosures, livelihoods have become less dependent on livestock migration, are increasingly directed towards agribusinesses and present new opportunities and constraints for women. These livelihood changes are closely associated with, and depend on, an ongoing privatization of land under different tenure regimes. The results indicate that the observed transformation provides opportunities for a pathway towards a sustainable livestock-based agro-pastoral system that could be valid in many dryland areas in East Africa. However, we also show that emergent risks of conflicts and inequalities in relation to land, triggered by the weakening of collective property rights, pose a threat to the sustainability of this pathway.","container-title":"Pastoralism","DOI":"10.1186/s13570-015-0044-7","ISSN":"2041-7136","issue":"1","journalAbbreviation":"Pastoralism","language":"en","page":"25","source":"DOI.org (Crossref)","title":"Enclosures in West Pokot, Kenya: Transforming land, livestock and livelihoods in drylands","title-short":"Enclosures in West Pokot, Kenya","volume":"5","author":[{"family":"Nyberg","given":"Gert"},{"family":"Knutsson","given":"Per"},{"family":"Ostwald","given":"Madelene"},{"family":"Öborn","given":"Ingrid"},{"family":"Wredle","given":"Ewa"},{"family":"Otieno","given":"David Jakinda"},{"family":"Mureithi","given":"Stephen"},{"family":"Mwangi","given":"Peter"},{"family":"Said","given":"Mohammed Y."},{"family":"Jirström","given":"Magnus"},{"family":"Grönvall","given":"Antonia"},{"family":"Wernersson","given":"Julia"},{"family":"Svanlund","given":"Sara"},{"family":"Saxer","given":"Laura"},{"family":"Geutjes","given":"Lotje"},{"family":"Karmebäck","given":"Vera"},{"family":"Wairore","given":"John N."},{"family":"Wambui","given":"Regina"},{"family":"De Leeuw","given":"Jan"},{"family":"Malmer","given":"Anders"}],"issued":{"date-parts":[["2015",12]]}}}],"schema":"https://github.com/citation-style-language/schema/raw/master/csl-citation.json"} </w:instrText>
      </w:r>
      <w:r w:rsidR="0018060F" w:rsidRPr="00587A1F">
        <w:rPr>
          <w:rFonts w:cs="Arial"/>
        </w:rPr>
        <w:fldChar w:fldCharType="separate"/>
      </w:r>
      <w:r w:rsidR="0018060F" w:rsidRPr="00587A1F">
        <w:rPr>
          <w:rFonts w:cs="Arial"/>
        </w:rPr>
        <w:t>(Nyberg et al., 2015)</w:t>
      </w:r>
      <w:r w:rsidR="0018060F" w:rsidRPr="00587A1F">
        <w:rPr>
          <w:rFonts w:cs="Arial"/>
        </w:rPr>
        <w:fldChar w:fldCharType="end"/>
      </w:r>
      <w:r w:rsidR="0018060F" w:rsidRPr="00587A1F">
        <w:rPr>
          <w:rFonts w:cs="Arial"/>
        </w:rPr>
        <w:t>.</w:t>
      </w:r>
    </w:p>
    <w:p w14:paraId="4CB5D9BA" w14:textId="5F83E6A5" w:rsidR="0043435B" w:rsidRPr="00587A1F" w:rsidRDefault="004064BE" w:rsidP="0043435B">
      <w:pPr>
        <w:pStyle w:val="NormalWeb"/>
        <w:spacing w:before="100" w:after="0" w:afterAutospacing="0"/>
        <w:rPr>
          <w:rFonts w:cs="Arial"/>
        </w:rPr>
      </w:pPr>
      <w:r w:rsidRPr="00587A1F">
        <w:rPr>
          <w:rFonts w:cs="Arial"/>
        </w:rPr>
        <w:t>The region has</w:t>
      </w:r>
      <w:r w:rsidR="004D2C5A" w:rsidRPr="00587A1F">
        <w:rPr>
          <w:rFonts w:cs="Arial"/>
        </w:rPr>
        <w:t xml:space="preserve"> three distinct livelihood zones: mixed farming, pastoral and agro-pastoral. Mixed farmers and agro-pastoralists cultivate food crops and rear livestock whereas pastoralist primarily keep livestock</w:t>
      </w:r>
      <w:r w:rsidRPr="00587A1F">
        <w:rPr>
          <w:rFonts w:cs="Arial"/>
        </w:rPr>
        <w:t xml:space="preserve"> such as camels, cattle and goats</w:t>
      </w:r>
      <w:r w:rsidR="004D2C5A" w:rsidRPr="00587A1F">
        <w:rPr>
          <w:rFonts w:cs="Arial"/>
        </w:rPr>
        <w:t>. Livestock production thus supports 69, 26 and 30 percent of cash income in the pastoral, agro-pastoral and mixed farming livelihood zones</w:t>
      </w:r>
      <w:r w:rsidRPr="00587A1F">
        <w:rPr>
          <w:rFonts w:cs="Arial"/>
        </w:rPr>
        <w:t>,</w:t>
      </w:r>
      <w:r w:rsidR="004D2C5A" w:rsidRPr="00587A1F">
        <w:rPr>
          <w:rFonts w:cs="Arial"/>
        </w:rPr>
        <w:t xml:space="preserve"> respectively </w:t>
      </w:r>
      <w:r w:rsidR="008713D9" w:rsidRPr="00587A1F">
        <w:rPr>
          <w:rFonts w:cs="Arial"/>
        </w:rPr>
        <w:fldChar w:fldCharType="begin"/>
      </w:r>
      <w:r w:rsidR="008713D9" w:rsidRPr="00587A1F">
        <w:rPr>
          <w:rFonts w:cs="Arial"/>
        </w:rPr>
        <w:instrText xml:space="preserve"> ADDIN ZOTERO_ITEM CSL_CITATION {"citationID":"zsYTzsbq","properties":{"formattedCitation":"(KFSSG &amp; CSG, 2023)","plainCitation":"(KFSSG &amp; CSG, 2023)","noteIndex":0},"citationItems":[{"id":2918,"uris":["http://zotero.org/users/5110088/items/8LKN7E8Q"],"itemData":{"id":2918,"type":"report","event-place":"West Pokot County","page":"1 -44","publisher":"Kenya Food Security Steering Group team","publisher-place":"West Pokot County","title":"West Pokot County 2023 Short Rains Food and Nutrition Security Assessment Report","author":[{"family":"KFSSG","given":""},{"family":"CSG","given":""}],"issued":{"date-parts":[["2023"]]}}}],"schema":"https://github.com/citation-style-language/schema/raw/master/csl-citation.json"} </w:instrText>
      </w:r>
      <w:r w:rsidR="008713D9" w:rsidRPr="00587A1F">
        <w:rPr>
          <w:rFonts w:cs="Arial"/>
        </w:rPr>
        <w:fldChar w:fldCharType="separate"/>
      </w:r>
      <w:r w:rsidR="008713D9" w:rsidRPr="00587A1F">
        <w:rPr>
          <w:rFonts w:cs="Arial"/>
        </w:rPr>
        <w:t>(KFSSG &amp; CSG, 2023)</w:t>
      </w:r>
      <w:r w:rsidR="008713D9" w:rsidRPr="00587A1F">
        <w:rPr>
          <w:rFonts w:cs="Arial"/>
        </w:rPr>
        <w:fldChar w:fldCharType="end"/>
      </w:r>
      <w:r w:rsidR="004D2C5A" w:rsidRPr="00587A1F">
        <w:rPr>
          <w:rFonts w:cs="Arial"/>
        </w:rPr>
        <w:t>. Major crops cultivated include maize, finger millet, sorghum, and beans, with smaller quantities of potatoes, onions, sweet potatoes, green grams, peas, and bananas</w:t>
      </w:r>
      <w:r w:rsidR="00A71F6F" w:rsidRPr="00587A1F">
        <w:rPr>
          <w:rFonts w:cs="Arial"/>
        </w:rPr>
        <w:t xml:space="preserve"> as well as</w:t>
      </w:r>
      <w:r w:rsidR="004D2C5A" w:rsidRPr="00587A1F">
        <w:rPr>
          <w:rFonts w:cs="Arial"/>
        </w:rPr>
        <w:t xml:space="preserve"> cash crops such as coffee, tea, pyrethrum and cotton </w:t>
      </w:r>
      <w:r w:rsidR="008713D9" w:rsidRPr="00587A1F">
        <w:rPr>
          <w:rFonts w:cs="Arial"/>
        </w:rPr>
        <w:fldChar w:fldCharType="begin"/>
      </w:r>
      <w:r w:rsidR="00A12C02" w:rsidRPr="00587A1F">
        <w:rPr>
          <w:rFonts w:cs="Arial"/>
        </w:rPr>
        <w:instrText xml:space="preserve"> ADDIN ZOTERO_ITEM CSL_CITATION {"citationID":"Cqw4Ofvg","properties":{"formattedCitation":"(CIDP, 2023)","plainCitation":"(CIDP, 2023)","noteIndex":0},"citationItems":[{"id":2916,"uris":["http://zotero.org/users/5110088/items/CN7ZJEA3"],"itemData":{"id":2916,"type":"document","title":"West Pokot County Integrated development plan 2023 - 2027","author":[{"family":"CIDP","given":""}],"issued":{"date-parts":[["2023"]]}}}],"schema":"https://github.com/citation-style-language/schema/raw/master/csl-citation.json"} </w:instrText>
      </w:r>
      <w:r w:rsidR="008713D9" w:rsidRPr="00587A1F">
        <w:rPr>
          <w:rFonts w:cs="Arial"/>
        </w:rPr>
        <w:fldChar w:fldCharType="separate"/>
      </w:r>
      <w:r w:rsidR="00A12C02" w:rsidRPr="00587A1F">
        <w:rPr>
          <w:rFonts w:cs="Arial"/>
        </w:rPr>
        <w:t>(CIDP, 2023)</w:t>
      </w:r>
      <w:r w:rsidR="008713D9" w:rsidRPr="00587A1F">
        <w:rPr>
          <w:rFonts w:cs="Arial"/>
        </w:rPr>
        <w:fldChar w:fldCharType="end"/>
      </w:r>
      <w:r w:rsidR="004D2C5A" w:rsidRPr="00587A1F">
        <w:rPr>
          <w:rFonts w:cs="Arial"/>
        </w:rPr>
        <w:t xml:space="preserve">. Despite these agricultural activities, poverty remains prevalent, with 61.4% of the population living below the poverty line </w:t>
      </w:r>
      <w:r w:rsidR="008713D9" w:rsidRPr="00587A1F">
        <w:rPr>
          <w:rFonts w:cs="Arial"/>
        </w:rPr>
        <w:fldChar w:fldCharType="begin"/>
      </w:r>
      <w:r w:rsidR="008713D9" w:rsidRPr="00587A1F">
        <w:rPr>
          <w:rFonts w:cs="Arial"/>
        </w:rPr>
        <w:instrText xml:space="preserve"> ADDIN ZOTERO_ITEM CSL_CITATION {"citationID":"BxUBl1d7","properties":{"formattedCitation":"(KNBS, 2021)","plainCitation":"(KNBS, 2021)","noteIndex":0},"citationItems":[{"id":2890,"uris":["http://zotero.org/users/5110088/items/9DTLKYY4"],"itemData":{"id":2890,"type":"report","page":"1 - 101","title":"The Kenya Poverty Report 2021: Kenya Continuous Household  Survey","URL":"https://new.knbs.or.ke/wp-content/uploads/2023/09/The-Kenya-Poverty-Report-2021.pdf","author":[{"family":"KNBS","given":""}],"accessed":{"date-parts":[["2024",11,14]]},"issued":{"date-parts":[["2021"]]}}}],"schema":"https://github.com/citation-style-language/schema/raw/master/csl-citation.json"} </w:instrText>
      </w:r>
      <w:r w:rsidR="008713D9" w:rsidRPr="00587A1F">
        <w:rPr>
          <w:rFonts w:cs="Arial"/>
        </w:rPr>
        <w:fldChar w:fldCharType="separate"/>
      </w:r>
      <w:r w:rsidR="008713D9" w:rsidRPr="00587A1F">
        <w:rPr>
          <w:rFonts w:cs="Arial"/>
        </w:rPr>
        <w:t>(KNBS, 2021)</w:t>
      </w:r>
      <w:r w:rsidR="008713D9" w:rsidRPr="00587A1F">
        <w:rPr>
          <w:rFonts w:cs="Arial"/>
        </w:rPr>
        <w:fldChar w:fldCharType="end"/>
      </w:r>
      <w:r w:rsidR="004D2C5A" w:rsidRPr="00587A1F">
        <w:rPr>
          <w:rFonts w:cs="Arial"/>
        </w:rPr>
        <w:t>.</w:t>
      </w:r>
    </w:p>
    <w:p w14:paraId="6D85FAA8" w14:textId="77777777" w:rsidR="00353B71" w:rsidRPr="00587A1F" w:rsidRDefault="004D2C5A" w:rsidP="00BC0C1B">
      <w:pPr>
        <w:pStyle w:val="Heading2"/>
        <w:spacing w:before="100" w:after="100"/>
        <w:rPr>
          <w:rFonts w:cs="Arial"/>
        </w:rPr>
      </w:pPr>
      <w:bookmarkStart w:id="13" w:name="_Toc172620797"/>
      <w:r w:rsidRPr="00587A1F">
        <w:rPr>
          <w:rFonts w:cs="Arial"/>
        </w:rPr>
        <w:lastRenderedPageBreak/>
        <w:t xml:space="preserve">Study design </w:t>
      </w:r>
      <w:bookmarkEnd w:id="13"/>
    </w:p>
    <w:p w14:paraId="47EE0108" w14:textId="0C499735" w:rsidR="00353B71" w:rsidRPr="00587A1F" w:rsidRDefault="004D2C5A" w:rsidP="00924D7C">
      <w:pPr>
        <w:rPr>
          <w:rFonts w:cs="Arial"/>
          <w:bCs/>
          <w:szCs w:val="24"/>
        </w:rPr>
      </w:pPr>
      <w:r w:rsidRPr="00587A1F">
        <w:rPr>
          <w:rFonts w:cs="Arial"/>
          <w:bCs/>
          <w:szCs w:val="24"/>
        </w:rPr>
        <w:t>Multistage sampling technique was used to draw a representative sample that reflected the diversity within the agro-pastoralist population. The area was stratified based on altitude informed by the assumption that agricultural practices and socioeconomic characteristics vary across different altitudinal zones. The lowland areas</w:t>
      </w:r>
      <w:r w:rsidR="004551CE" w:rsidRPr="00587A1F">
        <w:rPr>
          <w:rFonts w:cs="Arial"/>
          <w:bCs/>
          <w:szCs w:val="24"/>
        </w:rPr>
        <w:t xml:space="preserve"> below 1500 meters above sea level</w:t>
      </w:r>
      <w:r w:rsidRPr="00587A1F">
        <w:rPr>
          <w:rFonts w:cs="Arial"/>
          <w:bCs/>
          <w:szCs w:val="24"/>
        </w:rPr>
        <w:t xml:space="preserve">, which are predominantly populated by agro-pastoralists farmers was selected for this study. Systematic random sampling was used in the selected area to include </w:t>
      </w:r>
      <w:r w:rsidR="009868FB" w:rsidRPr="00587A1F">
        <w:rPr>
          <w:rFonts w:cs="Arial"/>
          <w:bCs/>
          <w:szCs w:val="24"/>
        </w:rPr>
        <w:t xml:space="preserve">into </w:t>
      </w:r>
      <w:r w:rsidR="00CA1253" w:rsidRPr="00587A1F">
        <w:rPr>
          <w:rFonts w:cs="Arial"/>
          <w:bCs/>
          <w:szCs w:val="24"/>
        </w:rPr>
        <w:t>the study every 5</w:t>
      </w:r>
      <w:r w:rsidR="00CA1253" w:rsidRPr="00587A1F">
        <w:rPr>
          <w:rFonts w:cs="Arial"/>
          <w:bCs/>
          <w:szCs w:val="24"/>
          <w:vertAlign w:val="superscript"/>
        </w:rPr>
        <w:t>th</w:t>
      </w:r>
      <w:r w:rsidR="00CA1253" w:rsidRPr="00587A1F">
        <w:rPr>
          <w:rFonts w:cs="Arial"/>
          <w:bCs/>
          <w:szCs w:val="24"/>
        </w:rPr>
        <w:t xml:space="preserve"> </w:t>
      </w:r>
      <w:r w:rsidRPr="00587A1F">
        <w:rPr>
          <w:rFonts w:cs="Arial"/>
          <w:bCs/>
          <w:szCs w:val="24"/>
        </w:rPr>
        <w:t xml:space="preserve">farmer along a defined transect established by the targeted economic activity of agro-pastoralism. The sampled areas include Sook, </w:t>
      </w:r>
      <w:proofErr w:type="spellStart"/>
      <w:r w:rsidRPr="00587A1F">
        <w:rPr>
          <w:rFonts w:cs="Arial"/>
          <w:bCs/>
          <w:szCs w:val="24"/>
        </w:rPr>
        <w:t>Endugh</w:t>
      </w:r>
      <w:proofErr w:type="spellEnd"/>
      <w:r w:rsidRPr="00587A1F">
        <w:rPr>
          <w:rFonts w:cs="Arial"/>
          <w:bCs/>
          <w:szCs w:val="24"/>
        </w:rPr>
        <w:t xml:space="preserve"> and </w:t>
      </w:r>
      <w:proofErr w:type="spellStart"/>
      <w:r w:rsidRPr="00587A1F">
        <w:rPr>
          <w:rFonts w:cs="Arial"/>
          <w:bCs/>
          <w:szCs w:val="24"/>
        </w:rPr>
        <w:t>Riwo</w:t>
      </w:r>
      <w:proofErr w:type="spellEnd"/>
      <w:r w:rsidRPr="00587A1F">
        <w:rPr>
          <w:rFonts w:cs="Arial"/>
          <w:bCs/>
          <w:szCs w:val="24"/>
        </w:rPr>
        <w:t xml:space="preserve"> wards in </w:t>
      </w:r>
      <w:proofErr w:type="spellStart"/>
      <w:r w:rsidR="00F43C6E" w:rsidRPr="00587A1F">
        <w:rPr>
          <w:rFonts w:cs="Arial"/>
          <w:bCs/>
          <w:szCs w:val="24"/>
        </w:rPr>
        <w:t>Kapenguria</w:t>
      </w:r>
      <w:proofErr w:type="spellEnd"/>
      <w:r w:rsidRPr="00587A1F">
        <w:rPr>
          <w:rFonts w:cs="Arial"/>
          <w:bCs/>
          <w:szCs w:val="24"/>
        </w:rPr>
        <w:t xml:space="preserve"> sub-county, </w:t>
      </w:r>
      <w:proofErr w:type="spellStart"/>
      <w:r w:rsidRPr="00587A1F">
        <w:rPr>
          <w:rFonts w:cs="Arial"/>
          <w:bCs/>
          <w:szCs w:val="24"/>
        </w:rPr>
        <w:t>Lomut</w:t>
      </w:r>
      <w:proofErr w:type="spellEnd"/>
      <w:r w:rsidRPr="00587A1F">
        <w:rPr>
          <w:rFonts w:cs="Arial"/>
          <w:bCs/>
          <w:szCs w:val="24"/>
        </w:rPr>
        <w:t xml:space="preserve">, </w:t>
      </w:r>
      <w:proofErr w:type="spellStart"/>
      <w:r w:rsidRPr="00587A1F">
        <w:rPr>
          <w:rFonts w:cs="Arial"/>
          <w:bCs/>
          <w:szCs w:val="24"/>
        </w:rPr>
        <w:t>Masol</w:t>
      </w:r>
      <w:proofErr w:type="spellEnd"/>
      <w:r w:rsidRPr="00587A1F">
        <w:rPr>
          <w:rFonts w:cs="Arial"/>
          <w:bCs/>
          <w:szCs w:val="24"/>
        </w:rPr>
        <w:t xml:space="preserve"> and </w:t>
      </w:r>
      <w:proofErr w:type="spellStart"/>
      <w:r w:rsidRPr="00587A1F">
        <w:rPr>
          <w:rFonts w:cs="Arial"/>
          <w:bCs/>
          <w:szCs w:val="24"/>
        </w:rPr>
        <w:t>Sekerr</w:t>
      </w:r>
      <w:proofErr w:type="spellEnd"/>
      <w:r w:rsidRPr="00587A1F">
        <w:rPr>
          <w:rFonts w:cs="Arial"/>
          <w:bCs/>
          <w:szCs w:val="24"/>
        </w:rPr>
        <w:t xml:space="preserve"> in Pokot Central sub-county, </w:t>
      </w:r>
      <w:proofErr w:type="spellStart"/>
      <w:r w:rsidRPr="00587A1F">
        <w:rPr>
          <w:rFonts w:cs="Arial"/>
          <w:bCs/>
          <w:szCs w:val="24"/>
        </w:rPr>
        <w:t>Suam</w:t>
      </w:r>
      <w:proofErr w:type="spellEnd"/>
      <w:r w:rsidRPr="00587A1F">
        <w:rPr>
          <w:rFonts w:cs="Arial"/>
          <w:bCs/>
          <w:szCs w:val="24"/>
        </w:rPr>
        <w:t xml:space="preserve">, Kasei, </w:t>
      </w:r>
      <w:proofErr w:type="spellStart"/>
      <w:r w:rsidRPr="00587A1F">
        <w:rPr>
          <w:rFonts w:cs="Arial"/>
          <w:bCs/>
          <w:szCs w:val="24"/>
        </w:rPr>
        <w:t>Kiwawa</w:t>
      </w:r>
      <w:proofErr w:type="spellEnd"/>
      <w:r w:rsidRPr="00587A1F">
        <w:rPr>
          <w:rFonts w:cs="Arial"/>
          <w:bCs/>
          <w:szCs w:val="24"/>
        </w:rPr>
        <w:t xml:space="preserve"> and </w:t>
      </w:r>
      <w:proofErr w:type="spellStart"/>
      <w:r w:rsidRPr="00587A1F">
        <w:rPr>
          <w:rFonts w:cs="Arial"/>
          <w:bCs/>
          <w:szCs w:val="24"/>
        </w:rPr>
        <w:t>Alale</w:t>
      </w:r>
      <w:proofErr w:type="spellEnd"/>
      <w:r w:rsidRPr="00587A1F">
        <w:rPr>
          <w:rFonts w:cs="Arial"/>
          <w:bCs/>
          <w:szCs w:val="24"/>
        </w:rPr>
        <w:t xml:space="preserve"> in North Pokot sub-county, and </w:t>
      </w:r>
      <w:proofErr w:type="spellStart"/>
      <w:r w:rsidRPr="00587A1F">
        <w:rPr>
          <w:rFonts w:cs="Arial"/>
          <w:bCs/>
          <w:szCs w:val="24"/>
        </w:rPr>
        <w:t>Chepareria</w:t>
      </w:r>
      <w:proofErr w:type="spellEnd"/>
      <w:r w:rsidRPr="00587A1F">
        <w:rPr>
          <w:rFonts w:cs="Arial"/>
          <w:bCs/>
          <w:szCs w:val="24"/>
        </w:rPr>
        <w:t xml:space="preserve"> and </w:t>
      </w:r>
      <w:proofErr w:type="spellStart"/>
      <w:r w:rsidRPr="00587A1F">
        <w:rPr>
          <w:rFonts w:cs="Arial"/>
          <w:bCs/>
          <w:szCs w:val="24"/>
        </w:rPr>
        <w:t>Bate</w:t>
      </w:r>
      <w:r w:rsidR="00F60786" w:rsidRPr="00587A1F">
        <w:rPr>
          <w:rFonts w:cs="Arial"/>
          <w:bCs/>
          <w:szCs w:val="24"/>
        </w:rPr>
        <w:t>i</w:t>
      </w:r>
      <w:proofErr w:type="spellEnd"/>
      <w:r w:rsidR="00F60786" w:rsidRPr="00587A1F">
        <w:rPr>
          <w:rFonts w:cs="Arial"/>
          <w:bCs/>
          <w:szCs w:val="24"/>
        </w:rPr>
        <w:t xml:space="preserve"> in South Pokot sub-county. </w:t>
      </w:r>
      <w:r w:rsidRPr="00587A1F">
        <w:rPr>
          <w:rFonts w:cs="Arial"/>
          <w:bCs/>
          <w:szCs w:val="24"/>
        </w:rPr>
        <w:t xml:space="preserve">The study </w:t>
      </w:r>
      <w:r w:rsidRPr="00587A1F">
        <w:rPr>
          <w:rFonts w:cs="Arial"/>
          <w:szCs w:val="24"/>
        </w:rPr>
        <w:t xml:space="preserve">sample size was determined using </w:t>
      </w:r>
      <w:r w:rsidR="008713D9" w:rsidRPr="00587A1F">
        <w:rPr>
          <w:rFonts w:cs="Arial"/>
          <w:szCs w:val="24"/>
        </w:rPr>
        <w:fldChar w:fldCharType="begin"/>
      </w:r>
      <w:r w:rsidR="00DD4E16" w:rsidRPr="00587A1F">
        <w:rPr>
          <w:rFonts w:cs="Arial"/>
          <w:szCs w:val="24"/>
        </w:rPr>
        <w:instrText xml:space="preserve"> ADDIN ZOTERO_ITEM CSL_CITATION {"citationID":"XlEEbtlC","properties":{"formattedCitation":"(Kotrlik &amp; Higgins, 2001)","plainCitation":"(Kotrlik &amp; Higgins, 2001)","noteIndex":0},"citationItems":[{"id":6547,"uris":["http://zotero.org/users/5110088/items/VNXXMLWE"],"itemData":{"id":6547,"type":"article-journal","container-title":"Information technology, learning, and performance journal","issue":"1","journalAbbreviation":"Information technology, learning, and performance journal","page":"43","title":"Organizational research: Determining appropriate sample size in survey research appropriate sample size in survey research","volume":"19","author":[{"family":"Kotrlik","given":"JWKJW"},{"family":"Higgins","given":"CCHCC"}],"issued":{"date-parts":[["2001"]]}}}],"schema":"https://github.com/citation-style-language/schema/raw/master/csl-citation.json"} </w:instrText>
      </w:r>
      <w:r w:rsidR="008713D9" w:rsidRPr="00587A1F">
        <w:rPr>
          <w:rFonts w:cs="Arial"/>
          <w:szCs w:val="24"/>
        </w:rPr>
        <w:fldChar w:fldCharType="separate"/>
      </w:r>
      <w:r w:rsidR="00DD4E16" w:rsidRPr="00587A1F">
        <w:rPr>
          <w:rFonts w:cs="Arial"/>
        </w:rPr>
        <w:t>(Kotrlik &amp; Higgins, 2001)</w:t>
      </w:r>
      <w:r w:rsidR="008713D9" w:rsidRPr="00587A1F">
        <w:rPr>
          <w:rFonts w:cs="Arial"/>
          <w:szCs w:val="24"/>
        </w:rPr>
        <w:fldChar w:fldCharType="end"/>
      </w:r>
      <w:r w:rsidRPr="00587A1F">
        <w:rPr>
          <w:rFonts w:cs="Arial"/>
          <w:szCs w:val="24"/>
        </w:rPr>
        <w:t xml:space="preserve"> equation, where from a total number of 116,182 farmers across the four sub-counties </w:t>
      </w:r>
      <w:r w:rsidR="008178CE" w:rsidRPr="00587A1F">
        <w:rPr>
          <w:rFonts w:cs="Arial"/>
          <w:szCs w:val="24"/>
        </w:rPr>
        <w:t xml:space="preserve">as stated by </w:t>
      </w:r>
      <w:r w:rsidRPr="00587A1F">
        <w:rPr>
          <w:rFonts w:cs="Arial"/>
          <w:szCs w:val="24"/>
        </w:rPr>
        <w:t xml:space="preserve">KNBS (2019), at least 394 farmers were selected for the study. </w:t>
      </w:r>
    </w:p>
    <w:p w14:paraId="10AA6F71" w14:textId="6AA767FA" w:rsidR="00353B71" w:rsidRPr="00587A1F" w:rsidRDefault="004D2C5A" w:rsidP="00BC0C1B">
      <w:pPr>
        <w:pStyle w:val="Heading2"/>
        <w:spacing w:before="100" w:after="100"/>
        <w:rPr>
          <w:rFonts w:cs="Arial"/>
        </w:rPr>
      </w:pPr>
      <w:bookmarkStart w:id="14" w:name="_Toc172620798"/>
      <w:r w:rsidRPr="00587A1F">
        <w:rPr>
          <w:rFonts w:cs="Arial"/>
        </w:rPr>
        <w:t>Data collection</w:t>
      </w:r>
      <w:bookmarkEnd w:id="14"/>
      <w:r w:rsidRPr="00587A1F">
        <w:rPr>
          <w:rFonts w:cs="Arial"/>
        </w:rPr>
        <w:t xml:space="preserve"> </w:t>
      </w:r>
      <w:r w:rsidR="009C50A2" w:rsidRPr="00587A1F">
        <w:rPr>
          <w:rFonts w:cs="Arial"/>
        </w:rPr>
        <w:t xml:space="preserve">and analysis </w:t>
      </w:r>
    </w:p>
    <w:p w14:paraId="4F20D42B" w14:textId="0F3EA774" w:rsidR="00B955AC" w:rsidRPr="00587A1F" w:rsidRDefault="004D2C5A" w:rsidP="00924D7C">
      <w:pPr>
        <w:rPr>
          <w:rFonts w:cs="Arial"/>
          <w:bCs/>
          <w:szCs w:val="24"/>
        </w:rPr>
      </w:pPr>
      <w:r w:rsidRPr="00587A1F">
        <w:rPr>
          <w:rFonts w:cs="Arial"/>
          <w:bCs/>
          <w:szCs w:val="24"/>
        </w:rPr>
        <w:t>Household survey was conducted using a pre-tested questionnaire to collect quantitative data</w:t>
      </w:r>
      <w:r w:rsidR="009868FB" w:rsidRPr="00587A1F">
        <w:rPr>
          <w:rFonts w:cs="Arial"/>
          <w:bCs/>
          <w:szCs w:val="24"/>
        </w:rPr>
        <w:t xml:space="preserve"> from respondents, whereas a </w:t>
      </w:r>
      <w:r w:rsidRPr="00587A1F">
        <w:rPr>
          <w:rFonts w:cs="Arial"/>
          <w:bCs/>
          <w:szCs w:val="24"/>
        </w:rPr>
        <w:t>semi-structured and open-end</w:t>
      </w:r>
      <w:r w:rsidR="00F60786" w:rsidRPr="00587A1F">
        <w:rPr>
          <w:rFonts w:cs="Arial"/>
          <w:bCs/>
          <w:szCs w:val="24"/>
        </w:rPr>
        <w:t xml:space="preserve">ed questionnaire was used to </w:t>
      </w:r>
      <w:r w:rsidRPr="00587A1F">
        <w:rPr>
          <w:rFonts w:cs="Arial"/>
          <w:bCs/>
          <w:szCs w:val="24"/>
        </w:rPr>
        <w:t xml:space="preserve">capture qualitative data from key informants. The household survey questionnaires were digitized using </w:t>
      </w:r>
      <w:proofErr w:type="spellStart"/>
      <w:r w:rsidRPr="00587A1F">
        <w:rPr>
          <w:rFonts w:cs="Arial"/>
          <w:bCs/>
          <w:szCs w:val="24"/>
        </w:rPr>
        <w:t>KoboCollect</w:t>
      </w:r>
      <w:proofErr w:type="spellEnd"/>
      <w:r w:rsidRPr="00587A1F">
        <w:rPr>
          <w:rFonts w:cs="Arial"/>
          <w:bCs/>
          <w:szCs w:val="24"/>
        </w:rPr>
        <w:t>, a mobile-based application part of the Open Data Kit (ODK), allowing for real-time data collection via smartphones. This approach enhanced data accuracy and efficiency during fieldwork.</w:t>
      </w:r>
      <w:r w:rsidR="009C50A2" w:rsidRPr="00587A1F">
        <w:rPr>
          <w:rFonts w:cs="Arial"/>
          <w:bCs/>
          <w:szCs w:val="24"/>
        </w:rPr>
        <w:t xml:space="preserve"> </w:t>
      </w:r>
      <w:r w:rsidRPr="00587A1F">
        <w:rPr>
          <w:rFonts w:cs="Arial"/>
          <w:bCs/>
          <w:szCs w:val="24"/>
        </w:rPr>
        <w:t xml:space="preserve">Once data collection was completed, the quantitative data </w:t>
      </w:r>
      <w:r w:rsidR="00974B53" w:rsidRPr="00587A1F">
        <w:rPr>
          <w:rFonts w:cs="Arial"/>
          <w:bCs/>
          <w:szCs w:val="24"/>
        </w:rPr>
        <w:t>was</w:t>
      </w:r>
      <w:r w:rsidRPr="00587A1F">
        <w:rPr>
          <w:rFonts w:cs="Arial"/>
          <w:bCs/>
          <w:szCs w:val="24"/>
        </w:rPr>
        <w:t xml:space="preserve"> cleaned and organized</w:t>
      </w:r>
      <w:r w:rsidR="009C50A2" w:rsidRPr="00587A1F">
        <w:rPr>
          <w:rFonts w:cs="Arial"/>
          <w:bCs/>
          <w:szCs w:val="24"/>
        </w:rPr>
        <w:t xml:space="preserve"> for analysis.</w:t>
      </w:r>
      <w:r w:rsidRPr="00587A1F">
        <w:rPr>
          <w:rFonts w:cs="Arial"/>
          <w:bCs/>
          <w:szCs w:val="24"/>
        </w:rPr>
        <w:t xml:space="preserve"> Handling of missing data was done through imputation or exclusion and addressing of outliers</w:t>
      </w:r>
      <w:r w:rsidR="009C50A2" w:rsidRPr="00587A1F">
        <w:rPr>
          <w:rFonts w:cs="Arial"/>
          <w:bCs/>
          <w:szCs w:val="24"/>
        </w:rPr>
        <w:t xml:space="preserve"> where necessary</w:t>
      </w:r>
      <w:r w:rsidRPr="00587A1F">
        <w:rPr>
          <w:rFonts w:cs="Arial"/>
          <w:bCs/>
          <w:szCs w:val="24"/>
        </w:rPr>
        <w:t xml:space="preserve">. Descriptive analysis was done using </w:t>
      </w:r>
      <w:r w:rsidRPr="00587A1F">
        <w:rPr>
          <w:rFonts w:cs="Arial"/>
        </w:rPr>
        <w:t>frequency distribution (</w:t>
      </w:r>
      <w:proofErr w:type="spellStart"/>
      <w:r w:rsidRPr="00587A1F">
        <w:rPr>
          <w:rFonts w:cs="Arial"/>
        </w:rPr>
        <w:t>Eq</w:t>
      </w:r>
      <w:proofErr w:type="spellEnd"/>
      <w:r w:rsidRPr="00587A1F">
        <w:rPr>
          <w:rFonts w:cs="Arial"/>
        </w:rPr>
        <w:t xml:space="preserve"> 1.) to calculate the percentage of farmers in each of the study variable.</w:t>
      </w:r>
    </w:p>
    <w:tbl>
      <w:tblPr>
        <w:tblStyle w:val="22"/>
        <w:tblW w:w="8296" w:type="dxa"/>
        <w:tblBorders>
          <w:top w:val="nil"/>
          <w:left w:val="nil"/>
          <w:bottom w:val="nil"/>
          <w:right w:val="nil"/>
          <w:insideH w:val="nil"/>
          <w:insideV w:val="nil"/>
        </w:tblBorders>
        <w:tblLayout w:type="fixed"/>
        <w:tblLook w:val="0400" w:firstRow="0" w:lastRow="0" w:firstColumn="0" w:lastColumn="0" w:noHBand="0" w:noVBand="1"/>
      </w:tblPr>
      <w:tblGrid>
        <w:gridCol w:w="4148"/>
        <w:gridCol w:w="4148"/>
      </w:tblGrid>
      <w:tr w:rsidR="00F81D57" w:rsidRPr="00587A1F" w14:paraId="48283495" w14:textId="77777777" w:rsidTr="00223CD1">
        <w:tc>
          <w:tcPr>
            <w:tcW w:w="4148" w:type="dxa"/>
          </w:tcPr>
          <w:p w14:paraId="343F75EB" w14:textId="7942CD21" w:rsidR="00F81D57" w:rsidRPr="00587A1F" w:rsidRDefault="00381FA9" w:rsidP="00F81D57">
            <w:pPr>
              <w:rPr>
                <w:rFonts w:eastAsia="Cambria Math" w:cs="Arial"/>
              </w:rPr>
            </w:pPr>
            <m:oMathPara>
              <m:oMath>
                <m:sSub>
                  <m:sSubPr>
                    <m:ctrlPr>
                      <w:rPr>
                        <w:rFonts w:ascii="Cambria Math" w:hAnsi="Cambria Math" w:cs="Arial"/>
                      </w:rPr>
                    </m:ctrlPr>
                  </m:sSubPr>
                  <m:e>
                    <m:r>
                      <w:rPr>
                        <w:rFonts w:ascii="Cambria Math" w:hAnsi="Cambria Math" w:cs="Arial"/>
                      </w:rPr>
                      <m:t>f</m:t>
                    </m:r>
                  </m:e>
                  <m:sub>
                    <m:r>
                      <w:rPr>
                        <w:rFonts w:ascii="Cambria Math" w:hAnsi="Cambria Math" w:cs="Arial"/>
                      </w:rPr>
                      <m:t>i</m:t>
                    </m:r>
                  </m:sub>
                </m:sSub>
                <m:r>
                  <w:rPr>
                    <w:rFonts w:ascii="Cambria Math" w:hAnsi="Cambria Math" w:cs="Arial"/>
                  </w:rPr>
                  <m:t>=</m:t>
                </m:r>
                <m:nary>
                  <m:naryPr>
                    <m:chr m:val="∑"/>
                    <m:ctrlPr>
                      <w:rPr>
                        <w:rFonts w:ascii="Cambria Math" w:hAnsi="Cambria Math" w:cs="Arial"/>
                      </w:rPr>
                    </m:ctrlPr>
                  </m:naryPr>
                  <m:sub>
                    <m:r>
                      <w:rPr>
                        <w:rFonts w:ascii="Cambria Math" w:hAnsi="Cambria Math" w:cs="Arial"/>
                      </w:rPr>
                      <m:t>j</m:t>
                    </m:r>
                    <m:r>
                      <w:rPr>
                        <w:rFonts w:ascii="Cambria Math" w:hAnsi="Cambria Math" w:cs="Arial"/>
                      </w:rPr>
                      <m:t>-</m:t>
                    </m:r>
                    <m:r>
                      <w:rPr>
                        <w:rFonts w:ascii="Cambria Math" w:hAnsi="Cambria Math" w:cs="Arial"/>
                      </w:rPr>
                      <m:t>1</m:t>
                    </m:r>
                  </m:sub>
                  <m:sup>
                    <m:r>
                      <w:rPr>
                        <w:rFonts w:ascii="Cambria Math" w:hAnsi="Cambria Math" w:cs="Arial"/>
                      </w:rPr>
                      <m:t>n</m:t>
                    </m:r>
                  </m:sup>
                  <m:e>
                    <m:r>
                      <w:rPr>
                        <w:rFonts w:ascii="Cambria Math" w:hAnsi="Cambria Math" w:cs="Arial"/>
                      </w:rPr>
                      <m:t>I</m:t>
                    </m:r>
                    <m:d>
                      <m:dPr>
                        <m:ctrlPr>
                          <w:rPr>
                            <w:rFonts w:ascii="Cambria Math" w:hAnsi="Cambria Math" w:cs="Arial"/>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j</m:t>
                            </m:r>
                          </m:sub>
                        </m:sSub>
                        <m:r>
                          <w:rPr>
                            <w:rFonts w:ascii="Cambria Math" w:hAnsi="Cambria Math" w:cs="Arial"/>
                          </w:rPr>
                          <m:t>=</m:t>
                        </m:r>
                        <m:sSub>
                          <m:sSubPr>
                            <m:ctrlPr>
                              <w:rPr>
                                <w:rFonts w:ascii="Cambria Math" w:hAnsi="Cambria Math" w:cs="Arial"/>
                              </w:rPr>
                            </m:ctrlPr>
                          </m:sSubPr>
                          <m:e>
                            <m:r>
                              <w:rPr>
                                <w:rFonts w:ascii="Cambria Math" w:hAnsi="Cambria Math" w:cs="Arial"/>
                              </w:rPr>
                              <m:t>c</m:t>
                            </m:r>
                          </m:e>
                          <m:sub>
                            <m:r>
                              <w:rPr>
                                <w:rFonts w:ascii="Cambria Math" w:hAnsi="Cambria Math" w:cs="Arial"/>
                              </w:rPr>
                              <m:t>i</m:t>
                            </m:r>
                          </m:sub>
                        </m:sSub>
                      </m:e>
                    </m:d>
                  </m:e>
                </m:nary>
              </m:oMath>
            </m:oMathPara>
          </w:p>
        </w:tc>
        <w:tc>
          <w:tcPr>
            <w:tcW w:w="4148" w:type="dxa"/>
          </w:tcPr>
          <w:p w14:paraId="019B9177" w14:textId="71C91769" w:rsidR="00F81D57" w:rsidRPr="00587A1F" w:rsidRDefault="00F81D57" w:rsidP="00F81D57">
            <w:pPr>
              <w:jc w:val="right"/>
              <w:rPr>
                <w:rFonts w:cs="Arial"/>
              </w:rPr>
            </w:pPr>
            <w:r w:rsidRPr="00587A1F">
              <w:rPr>
                <w:rFonts w:eastAsia="Cambria Math" w:cs="Arial"/>
                <w:sz w:val="22"/>
                <w:szCs w:val="22"/>
              </w:rPr>
              <w:t>Eq.1</w:t>
            </w:r>
          </w:p>
        </w:tc>
      </w:tr>
    </w:tbl>
    <w:p w14:paraId="1AD1E92A" w14:textId="5B347CD9" w:rsidR="00353B71" w:rsidRPr="00587A1F" w:rsidRDefault="004D2C5A" w:rsidP="00924D7C">
      <w:pPr>
        <w:rPr>
          <w:rFonts w:cs="Arial"/>
        </w:rPr>
      </w:pPr>
      <w:r w:rsidRPr="00587A1F">
        <w:rPr>
          <w:rFonts w:cs="Arial"/>
        </w:rPr>
        <w:t>Where:</w:t>
      </w:r>
    </w:p>
    <w:p w14:paraId="01EAB319" w14:textId="77777777" w:rsidR="00353B71" w:rsidRPr="00587A1F" w:rsidRDefault="004D2C5A" w:rsidP="00924D7C">
      <w:pPr>
        <w:rPr>
          <w:rFonts w:cs="Arial"/>
        </w:rPr>
      </w:pPr>
      <w:r w:rsidRPr="00587A1F">
        <w:rPr>
          <w:rFonts w:cs="Arial"/>
        </w:rPr>
        <w:t xml:space="preserve">     - </w:t>
      </w:r>
      <m:oMath>
        <m:sSub>
          <m:sSubPr>
            <m:ctrlPr>
              <w:rPr>
                <w:rFonts w:ascii="Cambria Math" w:hAnsi="Cambria Math" w:cs="Arial"/>
              </w:rPr>
            </m:ctrlPr>
          </m:sSubPr>
          <m:e>
            <m:r>
              <w:rPr>
                <w:rFonts w:ascii="Cambria Math" w:hAnsi="Cambria Math" w:cs="Arial"/>
              </w:rPr>
              <m:t>f</m:t>
            </m:r>
          </m:e>
          <m:sub>
            <m:r>
              <w:rPr>
                <w:rFonts w:ascii="Cambria Math" w:hAnsi="Cambria Math" w:cs="Arial"/>
              </w:rPr>
              <m:t>i</m:t>
            </m:r>
          </m:sub>
        </m:sSub>
      </m:oMath>
      <w:r w:rsidRPr="00587A1F">
        <w:rPr>
          <w:rFonts w:cs="Arial"/>
        </w:rPr>
        <w:t xml:space="preserve"> is the frequency of category </w:t>
      </w:r>
      <m:oMath>
        <m:sSub>
          <m:sSubPr>
            <m:ctrlPr>
              <w:rPr>
                <w:rFonts w:ascii="Cambria Math" w:hAnsi="Cambria Math" w:cs="Arial"/>
              </w:rPr>
            </m:ctrlPr>
          </m:sSubPr>
          <m:e>
            <m:r>
              <w:rPr>
                <w:rFonts w:ascii="Cambria Math" w:hAnsi="Cambria Math" w:cs="Arial"/>
              </w:rPr>
              <m:t>c</m:t>
            </m:r>
          </m:e>
          <m:sub>
            <m:r>
              <w:rPr>
                <w:rFonts w:ascii="Cambria Math" w:hAnsi="Cambria Math" w:cs="Arial"/>
              </w:rPr>
              <m:t>i</m:t>
            </m:r>
          </m:sub>
        </m:sSub>
        <m:r>
          <w:rPr>
            <w:rFonts w:ascii="Cambria Math" w:hAnsi="Cambria Math" w:cs="Arial"/>
          </w:rPr>
          <m:t>.</m:t>
        </m:r>
      </m:oMath>
    </w:p>
    <w:p w14:paraId="23E57A75" w14:textId="77777777" w:rsidR="00353B71" w:rsidRPr="00587A1F" w:rsidRDefault="004D2C5A" w:rsidP="00924D7C">
      <w:pPr>
        <w:rPr>
          <w:rFonts w:cs="Arial"/>
        </w:rPr>
      </w:pPr>
      <w:r w:rsidRPr="00587A1F">
        <w:rPr>
          <w:rFonts w:cs="Arial"/>
        </w:rPr>
        <w:t xml:space="preserve">     - </w:t>
      </w:r>
      <m:oMath>
        <m:r>
          <w:rPr>
            <w:rFonts w:ascii="Cambria Math" w:hAnsi="Cambria Math" w:cs="Arial"/>
          </w:rPr>
          <m:t>I</m:t>
        </m:r>
        <m:d>
          <m:dPr>
            <m:ctrlPr>
              <w:rPr>
                <w:rFonts w:ascii="Cambria Math" w:hAnsi="Cambria Math" w:cs="Arial"/>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j</m:t>
                </m:r>
              </m:sub>
            </m:sSub>
            <m:r>
              <w:rPr>
                <w:rFonts w:ascii="Cambria Math" w:hAnsi="Cambria Math" w:cs="Arial"/>
              </w:rPr>
              <m:t>=</m:t>
            </m:r>
            <m:sSub>
              <m:sSubPr>
                <m:ctrlPr>
                  <w:rPr>
                    <w:rFonts w:ascii="Cambria Math" w:hAnsi="Cambria Math" w:cs="Arial"/>
                  </w:rPr>
                </m:ctrlPr>
              </m:sSubPr>
              <m:e>
                <m:r>
                  <w:rPr>
                    <w:rFonts w:ascii="Cambria Math" w:hAnsi="Cambria Math" w:cs="Arial"/>
                  </w:rPr>
                  <m:t>c</m:t>
                </m:r>
              </m:e>
              <m:sub>
                <m:r>
                  <w:rPr>
                    <w:rFonts w:ascii="Cambria Math" w:hAnsi="Cambria Math" w:cs="Arial"/>
                  </w:rPr>
                  <m:t>i</m:t>
                </m:r>
              </m:sub>
            </m:sSub>
          </m:e>
        </m:d>
      </m:oMath>
      <w:r w:rsidRPr="00587A1F">
        <w:rPr>
          <w:rFonts w:cs="Arial"/>
        </w:rPr>
        <w:t xml:space="preserve"> is an indicator function that equals 1 if observation </w:t>
      </w:r>
      <m:oMath>
        <m:sSub>
          <m:sSubPr>
            <m:ctrlPr>
              <w:rPr>
                <w:rFonts w:ascii="Cambria Math" w:hAnsi="Cambria Math" w:cs="Arial"/>
              </w:rPr>
            </m:ctrlPr>
          </m:sSubPr>
          <m:e>
            <m:r>
              <w:rPr>
                <w:rFonts w:ascii="Cambria Math" w:hAnsi="Cambria Math" w:cs="Arial"/>
              </w:rPr>
              <m:t>x</m:t>
            </m:r>
          </m:e>
          <m:sub>
            <m:r>
              <w:rPr>
                <w:rFonts w:ascii="Cambria Math" w:hAnsi="Cambria Math" w:cs="Arial"/>
              </w:rPr>
              <m:t>j</m:t>
            </m:r>
          </m:sub>
        </m:sSub>
      </m:oMath>
      <w:r w:rsidRPr="00587A1F">
        <w:rPr>
          <w:rFonts w:cs="Arial"/>
        </w:rPr>
        <w:t xml:space="preserve"> belongs to category </w:t>
      </w:r>
      <m:oMath>
        <m:sSub>
          <m:sSubPr>
            <m:ctrlPr>
              <w:rPr>
                <w:rFonts w:ascii="Cambria Math" w:hAnsi="Cambria Math" w:cs="Arial"/>
              </w:rPr>
            </m:ctrlPr>
          </m:sSubPr>
          <m:e>
            <m:r>
              <w:rPr>
                <w:rFonts w:ascii="Cambria Math" w:hAnsi="Cambria Math" w:cs="Arial"/>
              </w:rPr>
              <m:t>c</m:t>
            </m:r>
          </m:e>
          <m:sub>
            <m:r>
              <w:rPr>
                <w:rFonts w:ascii="Cambria Math" w:hAnsi="Cambria Math" w:cs="Arial"/>
              </w:rPr>
              <m:t>i</m:t>
            </m:r>
          </m:sub>
        </m:sSub>
        <m:r>
          <w:rPr>
            <w:rFonts w:ascii="Cambria Math" w:hAnsi="Cambria Math" w:cs="Arial"/>
          </w:rPr>
          <m:t>,</m:t>
        </m:r>
      </m:oMath>
      <w:r w:rsidRPr="00587A1F">
        <w:rPr>
          <w:rFonts w:cs="Arial"/>
        </w:rPr>
        <w:t xml:space="preserve"> and 0 otherwise.</w:t>
      </w:r>
    </w:p>
    <w:p w14:paraId="3597B313" w14:textId="77777777" w:rsidR="00353B71" w:rsidRPr="00587A1F" w:rsidRDefault="004D2C5A" w:rsidP="00924D7C">
      <w:pPr>
        <w:rPr>
          <w:rFonts w:cs="Arial"/>
        </w:rPr>
      </w:pPr>
      <w:r w:rsidRPr="00587A1F">
        <w:rPr>
          <w:rFonts w:cs="Arial"/>
        </w:rPr>
        <w:t xml:space="preserve">     - </w:t>
      </w:r>
      <m:oMath>
        <m:r>
          <w:rPr>
            <w:rFonts w:ascii="Cambria Math" w:hAnsi="Cambria Math" w:cs="Arial"/>
          </w:rPr>
          <m:t>n</m:t>
        </m:r>
      </m:oMath>
      <w:r w:rsidRPr="00587A1F">
        <w:rPr>
          <w:rFonts w:cs="Arial"/>
        </w:rPr>
        <w:t xml:space="preserve"> is the total number of observations.</w:t>
      </w:r>
    </w:p>
    <w:p w14:paraId="2652CEE2" w14:textId="77777777" w:rsidR="009A7962" w:rsidRPr="00587A1F" w:rsidRDefault="003C3E97" w:rsidP="00F81D57">
      <w:pPr>
        <w:rPr>
          <w:rFonts w:cs="Arial"/>
          <w:bCs/>
          <w:szCs w:val="24"/>
        </w:rPr>
      </w:pPr>
      <w:r w:rsidRPr="00587A1F">
        <w:rPr>
          <w:rFonts w:cs="Arial"/>
          <w:bCs/>
          <w:szCs w:val="24"/>
        </w:rPr>
        <w:t xml:space="preserve">Table 1 presents the characteristics of </w:t>
      </w:r>
      <w:r w:rsidR="009227DD" w:rsidRPr="00587A1F">
        <w:rPr>
          <w:rFonts w:cs="Arial"/>
          <w:bCs/>
          <w:szCs w:val="24"/>
        </w:rPr>
        <w:t>the variables used in the study, where, in t</w:t>
      </w:r>
      <w:r w:rsidR="00C8082A" w:rsidRPr="00587A1F">
        <w:rPr>
          <w:rFonts w:cs="Arial"/>
          <w:bCs/>
          <w:szCs w:val="24"/>
        </w:rPr>
        <w:t xml:space="preserve">he </w:t>
      </w:r>
      <w:r w:rsidR="001A0407" w:rsidRPr="00587A1F">
        <w:rPr>
          <w:rFonts w:cs="Arial"/>
          <w:bCs/>
          <w:szCs w:val="24"/>
        </w:rPr>
        <w:t xml:space="preserve">exception of </w:t>
      </w:r>
      <w:r w:rsidR="009227DD" w:rsidRPr="00587A1F">
        <w:rPr>
          <w:rFonts w:cs="Arial"/>
          <w:bCs/>
          <w:szCs w:val="24"/>
        </w:rPr>
        <w:t xml:space="preserve">the size of household and age of the household head that are </w:t>
      </w:r>
      <w:r w:rsidR="001A0407" w:rsidRPr="00587A1F">
        <w:rPr>
          <w:rFonts w:cs="Arial"/>
          <w:bCs/>
          <w:szCs w:val="24"/>
        </w:rPr>
        <w:t>count data</w:t>
      </w:r>
      <w:r w:rsidR="009227DD" w:rsidRPr="00587A1F">
        <w:rPr>
          <w:rFonts w:cs="Arial"/>
          <w:bCs/>
          <w:szCs w:val="24"/>
        </w:rPr>
        <w:t>, all the other variables were recorded as binary. Logistic regression model was used to describe the existing relationship between the household socioeconomic factors (independent variables) and farming practices. The reference categories</w:t>
      </w:r>
      <w:r w:rsidR="00055054" w:rsidRPr="00587A1F">
        <w:rPr>
          <w:rFonts w:cs="Arial"/>
          <w:bCs/>
          <w:szCs w:val="24"/>
        </w:rPr>
        <w:t xml:space="preserve"> in each of the</w:t>
      </w:r>
      <w:r w:rsidR="009227DD" w:rsidRPr="00587A1F">
        <w:rPr>
          <w:rFonts w:cs="Arial"/>
          <w:bCs/>
          <w:szCs w:val="24"/>
        </w:rPr>
        <w:t xml:space="preserve"> </w:t>
      </w:r>
      <w:r w:rsidR="00055054" w:rsidRPr="00587A1F">
        <w:rPr>
          <w:rFonts w:cs="Arial"/>
          <w:bCs/>
          <w:szCs w:val="24"/>
        </w:rPr>
        <w:t>dependent</w:t>
      </w:r>
      <w:r w:rsidR="009227DD" w:rsidRPr="00587A1F">
        <w:rPr>
          <w:rFonts w:cs="Arial"/>
          <w:bCs/>
          <w:szCs w:val="24"/>
        </w:rPr>
        <w:t xml:space="preserve"> variables</w:t>
      </w:r>
      <w:r w:rsidR="00056003" w:rsidRPr="00587A1F">
        <w:rPr>
          <w:rFonts w:cs="Arial"/>
          <w:bCs/>
          <w:szCs w:val="24"/>
        </w:rPr>
        <w:t xml:space="preserve"> was “No” choice for all the variables with “Yes/No” answer, small scale for farm size and “No formal” for </w:t>
      </w:r>
      <w:r w:rsidR="009A7962" w:rsidRPr="00587A1F">
        <w:rPr>
          <w:rFonts w:cs="Arial"/>
          <w:bCs/>
          <w:szCs w:val="24"/>
        </w:rPr>
        <w:t xml:space="preserve">the level of </w:t>
      </w:r>
      <w:r w:rsidR="00056003" w:rsidRPr="00587A1F">
        <w:rPr>
          <w:rFonts w:cs="Arial"/>
          <w:bCs/>
          <w:szCs w:val="24"/>
        </w:rPr>
        <w:t>education</w:t>
      </w:r>
      <w:r w:rsidR="009A7962" w:rsidRPr="00587A1F">
        <w:rPr>
          <w:rFonts w:cs="Arial"/>
          <w:bCs/>
          <w:szCs w:val="24"/>
        </w:rPr>
        <w:t>.</w:t>
      </w:r>
    </w:p>
    <w:p w14:paraId="569B2852" w14:textId="5AA6597F" w:rsidR="00B9577A" w:rsidRPr="00587A1F" w:rsidRDefault="00B9577A" w:rsidP="00B9577A">
      <w:pPr>
        <w:pStyle w:val="Caption"/>
        <w:keepNext/>
        <w:rPr>
          <w:rFonts w:cs="Arial"/>
          <w:b/>
          <w:color w:val="auto"/>
          <w:sz w:val="20"/>
          <w:szCs w:val="20"/>
        </w:rPr>
      </w:pPr>
      <w:r w:rsidRPr="00587A1F">
        <w:rPr>
          <w:rFonts w:cs="Arial"/>
          <w:b/>
          <w:color w:val="auto"/>
          <w:sz w:val="20"/>
          <w:szCs w:val="20"/>
        </w:rPr>
        <w:t xml:space="preserve">Table </w:t>
      </w:r>
      <w:r w:rsidRPr="00587A1F">
        <w:rPr>
          <w:rFonts w:cs="Arial"/>
          <w:b/>
          <w:color w:val="auto"/>
          <w:sz w:val="20"/>
          <w:szCs w:val="20"/>
        </w:rPr>
        <w:fldChar w:fldCharType="begin"/>
      </w:r>
      <w:r w:rsidRPr="00587A1F">
        <w:rPr>
          <w:rFonts w:cs="Arial"/>
          <w:b/>
          <w:color w:val="auto"/>
          <w:sz w:val="20"/>
          <w:szCs w:val="20"/>
        </w:rPr>
        <w:instrText xml:space="preserve"> SEQ Table \* ARABIC </w:instrText>
      </w:r>
      <w:r w:rsidRPr="00587A1F">
        <w:rPr>
          <w:rFonts w:cs="Arial"/>
          <w:b/>
          <w:color w:val="auto"/>
          <w:sz w:val="20"/>
          <w:szCs w:val="20"/>
        </w:rPr>
        <w:fldChar w:fldCharType="separate"/>
      </w:r>
      <w:r w:rsidRPr="00587A1F">
        <w:rPr>
          <w:rFonts w:cs="Arial"/>
          <w:b/>
          <w:noProof/>
          <w:color w:val="auto"/>
          <w:sz w:val="20"/>
          <w:szCs w:val="20"/>
        </w:rPr>
        <w:t>1</w:t>
      </w:r>
      <w:r w:rsidRPr="00587A1F">
        <w:rPr>
          <w:rFonts w:cs="Arial"/>
          <w:b/>
          <w:color w:val="auto"/>
          <w:sz w:val="20"/>
          <w:szCs w:val="20"/>
        </w:rPr>
        <w:fldChar w:fldCharType="end"/>
      </w:r>
      <w:r w:rsidRPr="00587A1F">
        <w:rPr>
          <w:rFonts w:cs="Arial"/>
          <w:b/>
          <w:color w:val="auto"/>
          <w:sz w:val="20"/>
          <w:szCs w:val="20"/>
        </w:rPr>
        <w:t>. Description of the dependent variables characterizing the farming practices and independent variables depicting household socioeconomic characteristics of the agro-pastoralist farmer</w:t>
      </w:r>
    </w:p>
    <w:tbl>
      <w:tblPr>
        <w:tblW w:w="4936" w:type="pct"/>
        <w:tblLook w:val="04A0" w:firstRow="1" w:lastRow="0" w:firstColumn="1" w:lastColumn="0" w:noHBand="0" w:noVBand="1"/>
      </w:tblPr>
      <w:tblGrid>
        <w:gridCol w:w="491"/>
        <w:gridCol w:w="2176"/>
        <w:gridCol w:w="4466"/>
        <w:gridCol w:w="1777"/>
      </w:tblGrid>
      <w:tr w:rsidR="003C3E97" w:rsidRPr="00587A1F" w14:paraId="2AD6096A" w14:textId="77777777" w:rsidTr="003C3E97">
        <w:trPr>
          <w:trHeight w:val="297"/>
        </w:trPr>
        <w:tc>
          <w:tcPr>
            <w:tcW w:w="1497" w:type="pct"/>
            <w:gridSpan w:val="2"/>
            <w:tcBorders>
              <w:top w:val="single" w:sz="4" w:space="0" w:color="auto"/>
              <w:left w:val="nil"/>
              <w:bottom w:val="nil"/>
              <w:right w:val="nil"/>
            </w:tcBorders>
            <w:vAlign w:val="center"/>
            <w:hideMark/>
          </w:tcPr>
          <w:p w14:paraId="1EEEBD8D" w14:textId="77777777" w:rsidR="003C3E97" w:rsidRPr="00587A1F" w:rsidRDefault="003C3E97" w:rsidP="003C3E97">
            <w:pPr>
              <w:suppressAutoHyphens w:val="0"/>
              <w:spacing w:before="0" w:after="0"/>
              <w:jc w:val="center"/>
              <w:rPr>
                <w:rFonts w:eastAsia="Times New Roman" w:cs="Arial"/>
                <w:b/>
                <w:bCs/>
                <w:color w:val="000000"/>
                <w:szCs w:val="20"/>
                <w:lang w:val="en-US"/>
              </w:rPr>
            </w:pPr>
            <w:r w:rsidRPr="00587A1F">
              <w:rPr>
                <w:rFonts w:eastAsia="Times New Roman" w:cs="Arial"/>
                <w:b/>
                <w:bCs/>
                <w:color w:val="000000"/>
                <w:szCs w:val="20"/>
              </w:rPr>
              <w:t>Variable</w:t>
            </w:r>
          </w:p>
        </w:tc>
        <w:tc>
          <w:tcPr>
            <w:tcW w:w="2506" w:type="pct"/>
            <w:tcBorders>
              <w:top w:val="single" w:sz="4" w:space="0" w:color="auto"/>
              <w:left w:val="nil"/>
              <w:bottom w:val="single" w:sz="8" w:space="0" w:color="000000"/>
              <w:right w:val="nil"/>
            </w:tcBorders>
            <w:vAlign w:val="center"/>
            <w:hideMark/>
          </w:tcPr>
          <w:p w14:paraId="47EA9500" w14:textId="77777777" w:rsidR="003C3E97" w:rsidRPr="00587A1F" w:rsidRDefault="003C3E97" w:rsidP="003C3E97">
            <w:pPr>
              <w:suppressAutoHyphens w:val="0"/>
              <w:spacing w:before="0" w:after="0"/>
              <w:rPr>
                <w:rFonts w:eastAsia="Times New Roman" w:cs="Arial"/>
                <w:b/>
                <w:bCs/>
                <w:color w:val="000000"/>
                <w:szCs w:val="20"/>
                <w:lang w:val="en-US"/>
              </w:rPr>
            </w:pPr>
            <w:r w:rsidRPr="00587A1F">
              <w:rPr>
                <w:rFonts w:eastAsia="Times New Roman" w:cs="Arial"/>
                <w:b/>
                <w:bCs/>
                <w:color w:val="000000"/>
                <w:szCs w:val="20"/>
              </w:rPr>
              <w:t>Description</w:t>
            </w:r>
          </w:p>
        </w:tc>
        <w:tc>
          <w:tcPr>
            <w:tcW w:w="997" w:type="pct"/>
            <w:tcBorders>
              <w:top w:val="single" w:sz="8" w:space="0" w:color="000000"/>
              <w:left w:val="nil"/>
              <w:bottom w:val="single" w:sz="8" w:space="0" w:color="000000"/>
              <w:right w:val="nil"/>
            </w:tcBorders>
            <w:vAlign w:val="center"/>
            <w:hideMark/>
          </w:tcPr>
          <w:p w14:paraId="0D63057B" w14:textId="77777777" w:rsidR="003C3E97" w:rsidRPr="00587A1F" w:rsidRDefault="003C3E97" w:rsidP="003C3E97">
            <w:pPr>
              <w:suppressAutoHyphens w:val="0"/>
              <w:spacing w:before="0" w:after="0"/>
              <w:rPr>
                <w:rFonts w:eastAsia="Times New Roman" w:cs="Arial"/>
                <w:b/>
                <w:bCs/>
                <w:color w:val="000000"/>
                <w:szCs w:val="20"/>
                <w:lang w:val="en-US"/>
              </w:rPr>
            </w:pPr>
            <w:r w:rsidRPr="00587A1F">
              <w:rPr>
                <w:rFonts w:eastAsia="Times New Roman" w:cs="Arial"/>
                <w:b/>
                <w:bCs/>
                <w:color w:val="000000"/>
                <w:szCs w:val="20"/>
              </w:rPr>
              <w:t>Category</w:t>
            </w:r>
          </w:p>
        </w:tc>
      </w:tr>
      <w:tr w:rsidR="003C3E97" w:rsidRPr="00587A1F" w14:paraId="2E0EA11B" w14:textId="77777777" w:rsidTr="003C3E97">
        <w:trPr>
          <w:trHeight w:val="282"/>
        </w:trPr>
        <w:tc>
          <w:tcPr>
            <w:tcW w:w="276" w:type="pct"/>
            <w:vMerge w:val="restart"/>
            <w:tcBorders>
              <w:top w:val="single" w:sz="4" w:space="0" w:color="auto"/>
              <w:left w:val="nil"/>
              <w:bottom w:val="single" w:sz="4" w:space="0" w:color="000000"/>
              <w:right w:val="nil"/>
            </w:tcBorders>
            <w:noWrap/>
            <w:textDirection w:val="btLr"/>
            <w:vAlign w:val="bottom"/>
            <w:hideMark/>
          </w:tcPr>
          <w:p w14:paraId="7033F727" w14:textId="77777777" w:rsidR="003C3E97" w:rsidRPr="00587A1F" w:rsidRDefault="003C3E97" w:rsidP="003C3E97">
            <w:pPr>
              <w:suppressAutoHyphens w:val="0"/>
              <w:spacing w:before="0" w:after="0"/>
              <w:jc w:val="center"/>
              <w:rPr>
                <w:rFonts w:eastAsia="Times New Roman" w:cs="Arial"/>
                <w:b/>
                <w:bCs/>
                <w:color w:val="000000"/>
                <w:sz w:val="22"/>
                <w:lang w:val="en-US"/>
              </w:rPr>
            </w:pPr>
            <w:r w:rsidRPr="00587A1F">
              <w:rPr>
                <w:rFonts w:eastAsia="Times New Roman" w:cs="Arial"/>
                <w:b/>
                <w:bCs/>
                <w:color w:val="000000"/>
                <w:sz w:val="22"/>
                <w:lang w:val="en-US"/>
              </w:rPr>
              <w:t>Dependent</w:t>
            </w:r>
          </w:p>
        </w:tc>
        <w:tc>
          <w:tcPr>
            <w:tcW w:w="1221" w:type="pct"/>
            <w:tcBorders>
              <w:top w:val="single" w:sz="8" w:space="0" w:color="000000"/>
              <w:left w:val="nil"/>
              <w:bottom w:val="nil"/>
              <w:right w:val="nil"/>
            </w:tcBorders>
            <w:vAlign w:val="center"/>
            <w:hideMark/>
          </w:tcPr>
          <w:p w14:paraId="149D9698"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Farm size</w:t>
            </w:r>
          </w:p>
        </w:tc>
        <w:tc>
          <w:tcPr>
            <w:tcW w:w="2506" w:type="pct"/>
            <w:tcBorders>
              <w:top w:val="nil"/>
              <w:left w:val="nil"/>
              <w:bottom w:val="nil"/>
              <w:right w:val="nil"/>
            </w:tcBorders>
            <w:vAlign w:val="center"/>
            <w:hideMark/>
          </w:tcPr>
          <w:p w14:paraId="7CA70FC5"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Binary, the size of the land for food crop</w:t>
            </w:r>
          </w:p>
        </w:tc>
        <w:tc>
          <w:tcPr>
            <w:tcW w:w="997" w:type="pct"/>
            <w:tcBorders>
              <w:top w:val="nil"/>
              <w:left w:val="nil"/>
              <w:bottom w:val="nil"/>
              <w:right w:val="nil"/>
            </w:tcBorders>
            <w:vAlign w:val="center"/>
            <w:hideMark/>
          </w:tcPr>
          <w:p w14:paraId="3014EE81" w14:textId="77777777" w:rsidR="003C3E97" w:rsidRPr="00587A1F" w:rsidRDefault="003C3E97" w:rsidP="003C3E97">
            <w:pPr>
              <w:suppressAutoHyphens w:val="0"/>
              <w:spacing w:before="0" w:after="0"/>
              <w:rPr>
                <w:rFonts w:eastAsia="Times New Roman" w:cs="Arial"/>
                <w:color w:val="000000"/>
                <w:szCs w:val="20"/>
                <w:lang w:val="en-US"/>
              </w:rPr>
            </w:pPr>
            <w:r w:rsidRPr="00587A1F">
              <w:rPr>
                <w:rFonts w:eastAsia="Times New Roman" w:cs="Arial"/>
                <w:color w:val="000000"/>
                <w:szCs w:val="20"/>
              </w:rPr>
              <w:t>Small/Large scale</w:t>
            </w:r>
          </w:p>
        </w:tc>
      </w:tr>
      <w:tr w:rsidR="003C3E97" w:rsidRPr="00587A1F" w14:paraId="587C306C" w14:textId="77777777" w:rsidTr="003C3E97">
        <w:trPr>
          <w:trHeight w:val="282"/>
        </w:trPr>
        <w:tc>
          <w:tcPr>
            <w:tcW w:w="276" w:type="pct"/>
            <w:vMerge/>
            <w:tcBorders>
              <w:top w:val="single" w:sz="4" w:space="0" w:color="auto"/>
              <w:left w:val="nil"/>
              <w:bottom w:val="single" w:sz="4" w:space="0" w:color="000000"/>
              <w:right w:val="nil"/>
            </w:tcBorders>
            <w:vAlign w:val="center"/>
            <w:hideMark/>
          </w:tcPr>
          <w:p w14:paraId="02476546" w14:textId="77777777" w:rsidR="003C3E97" w:rsidRPr="00587A1F" w:rsidRDefault="003C3E97" w:rsidP="003C3E97">
            <w:pPr>
              <w:suppressAutoHyphens w:val="0"/>
              <w:spacing w:before="0" w:after="0"/>
              <w:jc w:val="left"/>
              <w:rPr>
                <w:rFonts w:eastAsia="Times New Roman" w:cs="Arial"/>
                <w:b/>
                <w:bCs/>
                <w:color w:val="000000"/>
                <w:sz w:val="22"/>
                <w:lang w:val="en-US"/>
              </w:rPr>
            </w:pPr>
          </w:p>
        </w:tc>
        <w:tc>
          <w:tcPr>
            <w:tcW w:w="1221" w:type="pct"/>
            <w:tcBorders>
              <w:top w:val="nil"/>
              <w:left w:val="nil"/>
              <w:bottom w:val="nil"/>
              <w:right w:val="nil"/>
            </w:tcBorders>
            <w:vAlign w:val="center"/>
            <w:hideMark/>
          </w:tcPr>
          <w:p w14:paraId="0804E774"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 xml:space="preserve">Hand ploughing </w:t>
            </w:r>
          </w:p>
        </w:tc>
        <w:tc>
          <w:tcPr>
            <w:tcW w:w="2506" w:type="pct"/>
            <w:tcBorders>
              <w:top w:val="nil"/>
              <w:left w:val="nil"/>
              <w:bottom w:val="nil"/>
              <w:right w:val="nil"/>
            </w:tcBorders>
            <w:vAlign w:val="center"/>
            <w:hideMark/>
          </w:tcPr>
          <w:p w14:paraId="3F300963" w14:textId="77777777" w:rsidR="003C3E97" w:rsidRPr="00587A1F" w:rsidRDefault="003C3E97" w:rsidP="003C3E97">
            <w:pPr>
              <w:suppressAutoHyphens w:val="0"/>
              <w:spacing w:before="0" w:after="0"/>
              <w:rPr>
                <w:rFonts w:eastAsia="Times New Roman" w:cs="Arial"/>
                <w:color w:val="000000"/>
                <w:szCs w:val="20"/>
                <w:lang w:val="en-US"/>
              </w:rPr>
            </w:pPr>
            <w:r w:rsidRPr="00587A1F">
              <w:rPr>
                <w:rFonts w:eastAsia="Times New Roman" w:cs="Arial"/>
                <w:color w:val="000000"/>
                <w:szCs w:val="20"/>
              </w:rPr>
              <w:t>Binary, If household use hand tools</w:t>
            </w:r>
          </w:p>
        </w:tc>
        <w:tc>
          <w:tcPr>
            <w:tcW w:w="997" w:type="pct"/>
            <w:tcBorders>
              <w:top w:val="nil"/>
              <w:left w:val="nil"/>
              <w:bottom w:val="nil"/>
              <w:right w:val="nil"/>
            </w:tcBorders>
            <w:vAlign w:val="center"/>
            <w:hideMark/>
          </w:tcPr>
          <w:p w14:paraId="30E4E6EF" w14:textId="77777777" w:rsidR="003C3E97" w:rsidRPr="00587A1F" w:rsidRDefault="003C3E97" w:rsidP="003C3E97">
            <w:pPr>
              <w:suppressAutoHyphens w:val="0"/>
              <w:spacing w:before="0" w:after="0"/>
              <w:rPr>
                <w:rFonts w:eastAsia="Times New Roman" w:cs="Arial"/>
                <w:color w:val="000000"/>
                <w:szCs w:val="20"/>
                <w:lang w:val="en-US"/>
              </w:rPr>
            </w:pPr>
            <w:r w:rsidRPr="00587A1F">
              <w:rPr>
                <w:rFonts w:eastAsia="Times New Roman" w:cs="Arial"/>
                <w:color w:val="000000"/>
                <w:szCs w:val="20"/>
                <w:lang w:val="en-US"/>
              </w:rPr>
              <w:t>Yes/No</w:t>
            </w:r>
          </w:p>
        </w:tc>
      </w:tr>
      <w:tr w:rsidR="003C3E97" w:rsidRPr="00587A1F" w14:paraId="139482AF" w14:textId="77777777" w:rsidTr="003C3E97">
        <w:trPr>
          <w:trHeight w:val="282"/>
        </w:trPr>
        <w:tc>
          <w:tcPr>
            <w:tcW w:w="276" w:type="pct"/>
            <w:vMerge/>
            <w:tcBorders>
              <w:top w:val="single" w:sz="4" w:space="0" w:color="auto"/>
              <w:left w:val="nil"/>
              <w:bottom w:val="single" w:sz="4" w:space="0" w:color="000000"/>
              <w:right w:val="nil"/>
            </w:tcBorders>
            <w:vAlign w:val="center"/>
            <w:hideMark/>
          </w:tcPr>
          <w:p w14:paraId="2F5A71A8" w14:textId="77777777" w:rsidR="003C3E97" w:rsidRPr="00587A1F" w:rsidRDefault="003C3E97" w:rsidP="003C3E97">
            <w:pPr>
              <w:suppressAutoHyphens w:val="0"/>
              <w:spacing w:before="0" w:after="0"/>
              <w:jc w:val="left"/>
              <w:rPr>
                <w:rFonts w:eastAsia="Times New Roman" w:cs="Arial"/>
                <w:b/>
                <w:bCs/>
                <w:color w:val="000000"/>
                <w:sz w:val="22"/>
                <w:lang w:val="en-US"/>
              </w:rPr>
            </w:pPr>
          </w:p>
        </w:tc>
        <w:tc>
          <w:tcPr>
            <w:tcW w:w="1221" w:type="pct"/>
            <w:tcBorders>
              <w:top w:val="nil"/>
              <w:left w:val="nil"/>
              <w:bottom w:val="nil"/>
              <w:right w:val="nil"/>
            </w:tcBorders>
            <w:vAlign w:val="center"/>
            <w:hideMark/>
          </w:tcPr>
          <w:p w14:paraId="3BC70C61"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 xml:space="preserve">Tractor ploughing </w:t>
            </w:r>
          </w:p>
        </w:tc>
        <w:tc>
          <w:tcPr>
            <w:tcW w:w="2506" w:type="pct"/>
            <w:tcBorders>
              <w:top w:val="nil"/>
              <w:left w:val="nil"/>
              <w:bottom w:val="nil"/>
              <w:right w:val="nil"/>
            </w:tcBorders>
            <w:vAlign w:val="center"/>
            <w:hideMark/>
          </w:tcPr>
          <w:p w14:paraId="5E32B09D" w14:textId="77777777" w:rsidR="003C3E97" w:rsidRPr="00587A1F" w:rsidRDefault="003C3E97" w:rsidP="003C3E97">
            <w:pPr>
              <w:suppressAutoHyphens w:val="0"/>
              <w:spacing w:before="0" w:after="0"/>
              <w:rPr>
                <w:rFonts w:eastAsia="Times New Roman" w:cs="Arial"/>
                <w:color w:val="000000"/>
                <w:szCs w:val="20"/>
                <w:lang w:val="en-US"/>
              </w:rPr>
            </w:pPr>
            <w:r w:rsidRPr="00587A1F">
              <w:rPr>
                <w:rFonts w:eastAsia="Times New Roman" w:cs="Arial"/>
                <w:color w:val="000000"/>
                <w:szCs w:val="20"/>
              </w:rPr>
              <w:t>Binary, If the household uses tractor services</w:t>
            </w:r>
          </w:p>
        </w:tc>
        <w:tc>
          <w:tcPr>
            <w:tcW w:w="997" w:type="pct"/>
            <w:tcBorders>
              <w:top w:val="nil"/>
              <w:left w:val="nil"/>
              <w:bottom w:val="nil"/>
              <w:right w:val="nil"/>
            </w:tcBorders>
            <w:vAlign w:val="center"/>
            <w:hideMark/>
          </w:tcPr>
          <w:p w14:paraId="59AE6CE5" w14:textId="77777777" w:rsidR="003C3E97" w:rsidRPr="00587A1F" w:rsidRDefault="003C3E97" w:rsidP="003C3E97">
            <w:pPr>
              <w:suppressAutoHyphens w:val="0"/>
              <w:spacing w:before="0" w:after="0"/>
              <w:rPr>
                <w:rFonts w:eastAsia="Times New Roman" w:cs="Arial"/>
                <w:color w:val="000000"/>
                <w:szCs w:val="20"/>
                <w:lang w:val="en-US"/>
              </w:rPr>
            </w:pPr>
            <w:r w:rsidRPr="00587A1F">
              <w:rPr>
                <w:rFonts w:eastAsia="Times New Roman" w:cs="Arial"/>
                <w:color w:val="000000"/>
                <w:szCs w:val="20"/>
              </w:rPr>
              <w:t>Yes/No</w:t>
            </w:r>
          </w:p>
        </w:tc>
      </w:tr>
      <w:tr w:rsidR="003C3E97" w:rsidRPr="00587A1F" w14:paraId="643FA7E3" w14:textId="77777777" w:rsidTr="003C3E97">
        <w:trPr>
          <w:trHeight w:val="282"/>
        </w:trPr>
        <w:tc>
          <w:tcPr>
            <w:tcW w:w="276" w:type="pct"/>
            <w:vMerge/>
            <w:tcBorders>
              <w:top w:val="single" w:sz="4" w:space="0" w:color="auto"/>
              <w:left w:val="nil"/>
              <w:bottom w:val="single" w:sz="4" w:space="0" w:color="000000"/>
              <w:right w:val="nil"/>
            </w:tcBorders>
            <w:vAlign w:val="center"/>
            <w:hideMark/>
          </w:tcPr>
          <w:p w14:paraId="43661FDB" w14:textId="77777777" w:rsidR="003C3E97" w:rsidRPr="00587A1F" w:rsidRDefault="003C3E97" w:rsidP="003C3E97">
            <w:pPr>
              <w:suppressAutoHyphens w:val="0"/>
              <w:spacing w:before="0" w:after="0"/>
              <w:jc w:val="left"/>
              <w:rPr>
                <w:rFonts w:eastAsia="Times New Roman" w:cs="Arial"/>
                <w:b/>
                <w:bCs/>
                <w:color w:val="000000"/>
                <w:sz w:val="22"/>
                <w:lang w:val="en-US"/>
              </w:rPr>
            </w:pPr>
          </w:p>
        </w:tc>
        <w:tc>
          <w:tcPr>
            <w:tcW w:w="1221" w:type="pct"/>
            <w:tcBorders>
              <w:top w:val="nil"/>
              <w:left w:val="nil"/>
              <w:bottom w:val="nil"/>
              <w:right w:val="nil"/>
            </w:tcBorders>
            <w:vAlign w:val="center"/>
            <w:hideMark/>
          </w:tcPr>
          <w:p w14:paraId="3FE0FBCF"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 xml:space="preserve">Cropping system </w:t>
            </w:r>
          </w:p>
        </w:tc>
        <w:tc>
          <w:tcPr>
            <w:tcW w:w="2506" w:type="pct"/>
            <w:tcBorders>
              <w:top w:val="nil"/>
              <w:left w:val="nil"/>
              <w:bottom w:val="nil"/>
              <w:right w:val="nil"/>
            </w:tcBorders>
            <w:vAlign w:val="center"/>
            <w:hideMark/>
          </w:tcPr>
          <w:p w14:paraId="35291994"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Binary, the cropping system for food crop</w:t>
            </w:r>
          </w:p>
        </w:tc>
        <w:tc>
          <w:tcPr>
            <w:tcW w:w="997" w:type="pct"/>
            <w:tcBorders>
              <w:top w:val="nil"/>
              <w:left w:val="nil"/>
              <w:bottom w:val="nil"/>
              <w:right w:val="nil"/>
            </w:tcBorders>
            <w:vAlign w:val="center"/>
            <w:hideMark/>
          </w:tcPr>
          <w:p w14:paraId="04C71364" w14:textId="77777777" w:rsidR="003C3E97" w:rsidRPr="00587A1F" w:rsidRDefault="003C3E97" w:rsidP="003C3E97">
            <w:pPr>
              <w:suppressAutoHyphens w:val="0"/>
              <w:spacing w:before="0" w:after="0"/>
              <w:rPr>
                <w:rFonts w:eastAsia="Times New Roman" w:cs="Arial"/>
                <w:color w:val="000000"/>
                <w:szCs w:val="20"/>
                <w:lang w:val="en-US"/>
              </w:rPr>
            </w:pPr>
            <w:r w:rsidRPr="00587A1F">
              <w:rPr>
                <w:rFonts w:eastAsia="Times New Roman" w:cs="Arial"/>
                <w:color w:val="000000"/>
                <w:szCs w:val="20"/>
              </w:rPr>
              <w:t>Mixed/Mono</w:t>
            </w:r>
          </w:p>
        </w:tc>
      </w:tr>
      <w:tr w:rsidR="003C3E97" w:rsidRPr="00587A1F" w14:paraId="1657DA47" w14:textId="77777777" w:rsidTr="003C3E97">
        <w:trPr>
          <w:trHeight w:val="282"/>
        </w:trPr>
        <w:tc>
          <w:tcPr>
            <w:tcW w:w="276" w:type="pct"/>
            <w:vMerge/>
            <w:tcBorders>
              <w:top w:val="single" w:sz="4" w:space="0" w:color="auto"/>
              <w:left w:val="nil"/>
              <w:bottom w:val="single" w:sz="4" w:space="0" w:color="000000"/>
              <w:right w:val="nil"/>
            </w:tcBorders>
            <w:vAlign w:val="center"/>
            <w:hideMark/>
          </w:tcPr>
          <w:p w14:paraId="79189105" w14:textId="77777777" w:rsidR="003C3E97" w:rsidRPr="00587A1F" w:rsidRDefault="003C3E97" w:rsidP="003C3E97">
            <w:pPr>
              <w:suppressAutoHyphens w:val="0"/>
              <w:spacing w:before="0" w:after="0"/>
              <w:jc w:val="left"/>
              <w:rPr>
                <w:rFonts w:eastAsia="Times New Roman" w:cs="Arial"/>
                <w:b/>
                <w:bCs/>
                <w:color w:val="000000"/>
                <w:sz w:val="22"/>
                <w:lang w:val="en-US"/>
              </w:rPr>
            </w:pPr>
          </w:p>
        </w:tc>
        <w:tc>
          <w:tcPr>
            <w:tcW w:w="1221" w:type="pct"/>
            <w:tcBorders>
              <w:top w:val="nil"/>
              <w:left w:val="nil"/>
              <w:bottom w:val="nil"/>
              <w:right w:val="nil"/>
            </w:tcBorders>
            <w:vAlign w:val="center"/>
            <w:hideMark/>
          </w:tcPr>
          <w:p w14:paraId="3E8059B0"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 xml:space="preserve">Inorganic fertilizer </w:t>
            </w:r>
          </w:p>
        </w:tc>
        <w:tc>
          <w:tcPr>
            <w:tcW w:w="2506" w:type="pct"/>
            <w:tcBorders>
              <w:top w:val="nil"/>
              <w:left w:val="nil"/>
              <w:bottom w:val="nil"/>
              <w:right w:val="nil"/>
            </w:tcBorders>
            <w:vAlign w:val="center"/>
            <w:hideMark/>
          </w:tcPr>
          <w:p w14:paraId="5CFD8BEE" w14:textId="77777777" w:rsidR="003C3E97" w:rsidRPr="00587A1F" w:rsidRDefault="003C3E97" w:rsidP="003C3E97">
            <w:pPr>
              <w:suppressAutoHyphens w:val="0"/>
              <w:spacing w:before="0" w:after="0"/>
              <w:rPr>
                <w:rFonts w:eastAsia="Times New Roman" w:cs="Arial"/>
                <w:color w:val="000000"/>
                <w:szCs w:val="20"/>
                <w:lang w:val="en-US"/>
              </w:rPr>
            </w:pPr>
            <w:r w:rsidRPr="00587A1F">
              <w:rPr>
                <w:rFonts w:eastAsia="Times New Roman" w:cs="Arial"/>
                <w:color w:val="000000"/>
                <w:szCs w:val="20"/>
              </w:rPr>
              <w:t>Binary, household uses inorganic fertilizer</w:t>
            </w:r>
          </w:p>
        </w:tc>
        <w:tc>
          <w:tcPr>
            <w:tcW w:w="997" w:type="pct"/>
            <w:tcBorders>
              <w:top w:val="nil"/>
              <w:left w:val="nil"/>
              <w:bottom w:val="nil"/>
              <w:right w:val="nil"/>
            </w:tcBorders>
            <w:vAlign w:val="center"/>
            <w:hideMark/>
          </w:tcPr>
          <w:p w14:paraId="05EDFEE2" w14:textId="77777777" w:rsidR="003C3E97" w:rsidRPr="00587A1F" w:rsidRDefault="003C3E97" w:rsidP="003C3E97">
            <w:pPr>
              <w:suppressAutoHyphens w:val="0"/>
              <w:spacing w:before="0" w:after="0"/>
              <w:rPr>
                <w:rFonts w:eastAsia="Times New Roman" w:cs="Arial"/>
                <w:color w:val="000000"/>
                <w:szCs w:val="20"/>
                <w:lang w:val="en-US"/>
              </w:rPr>
            </w:pPr>
            <w:r w:rsidRPr="00587A1F">
              <w:rPr>
                <w:rFonts w:eastAsia="Times New Roman" w:cs="Arial"/>
                <w:color w:val="000000"/>
                <w:szCs w:val="20"/>
              </w:rPr>
              <w:t>Yes/No</w:t>
            </w:r>
          </w:p>
        </w:tc>
      </w:tr>
      <w:tr w:rsidR="003C3E97" w:rsidRPr="00587A1F" w14:paraId="57F8A1BA" w14:textId="77777777" w:rsidTr="003C3E97">
        <w:trPr>
          <w:trHeight w:val="297"/>
        </w:trPr>
        <w:tc>
          <w:tcPr>
            <w:tcW w:w="276" w:type="pct"/>
            <w:vMerge/>
            <w:tcBorders>
              <w:top w:val="single" w:sz="4" w:space="0" w:color="auto"/>
              <w:left w:val="nil"/>
              <w:bottom w:val="single" w:sz="4" w:space="0" w:color="000000"/>
              <w:right w:val="nil"/>
            </w:tcBorders>
            <w:vAlign w:val="center"/>
            <w:hideMark/>
          </w:tcPr>
          <w:p w14:paraId="435D95C8" w14:textId="77777777" w:rsidR="003C3E97" w:rsidRPr="00587A1F" w:rsidRDefault="003C3E97" w:rsidP="003C3E97">
            <w:pPr>
              <w:suppressAutoHyphens w:val="0"/>
              <w:spacing w:before="0" w:after="0"/>
              <w:jc w:val="left"/>
              <w:rPr>
                <w:rFonts w:eastAsia="Times New Roman" w:cs="Arial"/>
                <w:b/>
                <w:bCs/>
                <w:color w:val="000000"/>
                <w:sz w:val="22"/>
                <w:lang w:val="en-US"/>
              </w:rPr>
            </w:pPr>
          </w:p>
        </w:tc>
        <w:tc>
          <w:tcPr>
            <w:tcW w:w="1221" w:type="pct"/>
            <w:tcBorders>
              <w:top w:val="nil"/>
              <w:left w:val="nil"/>
              <w:bottom w:val="single" w:sz="8" w:space="0" w:color="000000"/>
              <w:right w:val="nil"/>
            </w:tcBorders>
            <w:vAlign w:val="center"/>
            <w:hideMark/>
          </w:tcPr>
          <w:p w14:paraId="7847F823"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 xml:space="preserve">Organic fertilizer </w:t>
            </w:r>
          </w:p>
        </w:tc>
        <w:tc>
          <w:tcPr>
            <w:tcW w:w="2506" w:type="pct"/>
            <w:tcBorders>
              <w:top w:val="nil"/>
              <w:left w:val="nil"/>
              <w:bottom w:val="single" w:sz="8" w:space="0" w:color="000000"/>
              <w:right w:val="nil"/>
            </w:tcBorders>
            <w:vAlign w:val="center"/>
            <w:hideMark/>
          </w:tcPr>
          <w:p w14:paraId="7C0758C9" w14:textId="77777777" w:rsidR="003C3E97" w:rsidRPr="00587A1F" w:rsidRDefault="003C3E97" w:rsidP="003C3E97">
            <w:pPr>
              <w:suppressAutoHyphens w:val="0"/>
              <w:spacing w:before="0" w:after="0"/>
              <w:rPr>
                <w:rFonts w:eastAsia="Times New Roman" w:cs="Arial"/>
                <w:color w:val="000000"/>
                <w:szCs w:val="20"/>
                <w:lang w:val="en-US"/>
              </w:rPr>
            </w:pPr>
            <w:r w:rsidRPr="00587A1F">
              <w:rPr>
                <w:rFonts w:eastAsia="Times New Roman" w:cs="Arial"/>
                <w:color w:val="000000"/>
                <w:szCs w:val="20"/>
              </w:rPr>
              <w:t>Binary, household uses organic fertilizer</w:t>
            </w:r>
          </w:p>
        </w:tc>
        <w:tc>
          <w:tcPr>
            <w:tcW w:w="997" w:type="pct"/>
            <w:tcBorders>
              <w:top w:val="nil"/>
              <w:left w:val="nil"/>
              <w:bottom w:val="single" w:sz="8" w:space="0" w:color="000000"/>
              <w:right w:val="nil"/>
            </w:tcBorders>
            <w:vAlign w:val="center"/>
            <w:hideMark/>
          </w:tcPr>
          <w:p w14:paraId="40E623CF" w14:textId="77777777" w:rsidR="003C3E97" w:rsidRPr="00587A1F" w:rsidRDefault="003C3E97" w:rsidP="003C3E97">
            <w:pPr>
              <w:suppressAutoHyphens w:val="0"/>
              <w:spacing w:before="0" w:after="0"/>
              <w:rPr>
                <w:rFonts w:eastAsia="Times New Roman" w:cs="Arial"/>
                <w:color w:val="000000"/>
                <w:szCs w:val="20"/>
                <w:lang w:val="en-US"/>
              </w:rPr>
            </w:pPr>
            <w:r w:rsidRPr="00587A1F">
              <w:rPr>
                <w:rFonts w:eastAsia="Times New Roman" w:cs="Arial"/>
                <w:color w:val="000000"/>
                <w:szCs w:val="20"/>
              </w:rPr>
              <w:t>Yes/No</w:t>
            </w:r>
          </w:p>
        </w:tc>
      </w:tr>
      <w:tr w:rsidR="003C3E97" w:rsidRPr="00587A1F" w14:paraId="6E11638E" w14:textId="77777777" w:rsidTr="003C3E97">
        <w:trPr>
          <w:trHeight w:val="282"/>
        </w:trPr>
        <w:tc>
          <w:tcPr>
            <w:tcW w:w="276" w:type="pct"/>
            <w:vMerge w:val="restart"/>
            <w:tcBorders>
              <w:top w:val="nil"/>
              <w:left w:val="nil"/>
              <w:bottom w:val="nil"/>
              <w:right w:val="nil"/>
            </w:tcBorders>
            <w:noWrap/>
            <w:textDirection w:val="btLr"/>
            <w:vAlign w:val="bottom"/>
            <w:hideMark/>
          </w:tcPr>
          <w:p w14:paraId="78613B20" w14:textId="77777777" w:rsidR="003C3E97" w:rsidRPr="00587A1F" w:rsidRDefault="003C3E97" w:rsidP="003C3E97">
            <w:pPr>
              <w:suppressAutoHyphens w:val="0"/>
              <w:spacing w:before="0" w:after="0"/>
              <w:jc w:val="center"/>
              <w:rPr>
                <w:rFonts w:eastAsia="Times New Roman" w:cs="Arial"/>
                <w:b/>
                <w:bCs/>
                <w:color w:val="000000"/>
                <w:sz w:val="22"/>
                <w:lang w:val="en-US"/>
              </w:rPr>
            </w:pPr>
            <w:r w:rsidRPr="00587A1F">
              <w:rPr>
                <w:rFonts w:eastAsia="Times New Roman" w:cs="Arial"/>
                <w:b/>
                <w:bCs/>
                <w:color w:val="000000"/>
                <w:sz w:val="22"/>
                <w:lang w:val="en-US"/>
              </w:rPr>
              <w:t>Independent</w:t>
            </w:r>
          </w:p>
        </w:tc>
        <w:tc>
          <w:tcPr>
            <w:tcW w:w="1221" w:type="pct"/>
            <w:tcBorders>
              <w:top w:val="nil"/>
              <w:left w:val="nil"/>
              <w:bottom w:val="nil"/>
              <w:right w:val="nil"/>
            </w:tcBorders>
            <w:vAlign w:val="center"/>
            <w:hideMark/>
          </w:tcPr>
          <w:p w14:paraId="452643AB" w14:textId="77777777" w:rsidR="003C3E97" w:rsidRPr="00587A1F" w:rsidRDefault="003C3E97" w:rsidP="003C3E97">
            <w:pPr>
              <w:suppressAutoHyphens w:val="0"/>
              <w:spacing w:before="0" w:after="0"/>
              <w:rPr>
                <w:rFonts w:eastAsia="Times New Roman" w:cs="Arial"/>
                <w:color w:val="000000"/>
                <w:szCs w:val="20"/>
                <w:lang w:val="en-US"/>
              </w:rPr>
            </w:pPr>
            <w:r w:rsidRPr="00587A1F">
              <w:rPr>
                <w:rFonts w:eastAsia="Times New Roman" w:cs="Arial"/>
                <w:color w:val="000000"/>
                <w:szCs w:val="20"/>
              </w:rPr>
              <w:t>Size of household</w:t>
            </w:r>
          </w:p>
        </w:tc>
        <w:tc>
          <w:tcPr>
            <w:tcW w:w="2506" w:type="pct"/>
            <w:tcBorders>
              <w:top w:val="nil"/>
              <w:left w:val="nil"/>
              <w:bottom w:val="nil"/>
              <w:right w:val="nil"/>
            </w:tcBorders>
            <w:vAlign w:val="center"/>
            <w:hideMark/>
          </w:tcPr>
          <w:p w14:paraId="67FED980"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Scale, number of persons in the household</w:t>
            </w:r>
          </w:p>
        </w:tc>
        <w:tc>
          <w:tcPr>
            <w:tcW w:w="997" w:type="pct"/>
            <w:tcBorders>
              <w:top w:val="nil"/>
              <w:left w:val="nil"/>
              <w:bottom w:val="nil"/>
              <w:right w:val="nil"/>
            </w:tcBorders>
            <w:vAlign w:val="center"/>
            <w:hideMark/>
          </w:tcPr>
          <w:p w14:paraId="36EAF04C"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 xml:space="preserve">Mean </w:t>
            </w:r>
          </w:p>
        </w:tc>
      </w:tr>
      <w:tr w:rsidR="003C3E97" w:rsidRPr="00587A1F" w14:paraId="58E6DD3A" w14:textId="77777777" w:rsidTr="003C3E97">
        <w:trPr>
          <w:trHeight w:val="480"/>
        </w:trPr>
        <w:tc>
          <w:tcPr>
            <w:tcW w:w="276" w:type="pct"/>
            <w:vMerge/>
            <w:tcBorders>
              <w:top w:val="nil"/>
              <w:left w:val="nil"/>
              <w:bottom w:val="nil"/>
              <w:right w:val="nil"/>
            </w:tcBorders>
            <w:vAlign w:val="center"/>
            <w:hideMark/>
          </w:tcPr>
          <w:p w14:paraId="2C253786" w14:textId="77777777" w:rsidR="003C3E97" w:rsidRPr="00587A1F" w:rsidRDefault="003C3E97" w:rsidP="003C3E97">
            <w:pPr>
              <w:suppressAutoHyphens w:val="0"/>
              <w:spacing w:before="0" w:after="0"/>
              <w:jc w:val="left"/>
              <w:rPr>
                <w:rFonts w:eastAsia="Times New Roman" w:cs="Arial"/>
                <w:b/>
                <w:bCs/>
                <w:color w:val="000000"/>
                <w:sz w:val="22"/>
                <w:lang w:val="en-US"/>
              </w:rPr>
            </w:pPr>
          </w:p>
        </w:tc>
        <w:tc>
          <w:tcPr>
            <w:tcW w:w="1221" w:type="pct"/>
            <w:tcBorders>
              <w:top w:val="nil"/>
              <w:left w:val="nil"/>
              <w:bottom w:val="nil"/>
              <w:right w:val="nil"/>
            </w:tcBorders>
            <w:vAlign w:val="center"/>
            <w:hideMark/>
          </w:tcPr>
          <w:p w14:paraId="2ACFC9C0" w14:textId="237B43AA" w:rsidR="003C3E97" w:rsidRPr="00587A1F" w:rsidRDefault="003C3E97" w:rsidP="003C3E97">
            <w:pPr>
              <w:suppressAutoHyphens w:val="0"/>
              <w:spacing w:before="0" w:after="0"/>
              <w:rPr>
                <w:rFonts w:eastAsia="Times New Roman" w:cs="Arial"/>
                <w:color w:val="000000"/>
                <w:szCs w:val="20"/>
                <w:lang w:val="en-US"/>
              </w:rPr>
            </w:pPr>
            <w:r w:rsidRPr="00587A1F">
              <w:rPr>
                <w:rFonts w:eastAsia="Times New Roman" w:cs="Arial"/>
                <w:color w:val="000000"/>
                <w:szCs w:val="20"/>
              </w:rPr>
              <w:t>Age</w:t>
            </w:r>
          </w:p>
        </w:tc>
        <w:tc>
          <w:tcPr>
            <w:tcW w:w="2506" w:type="pct"/>
            <w:tcBorders>
              <w:top w:val="nil"/>
              <w:left w:val="nil"/>
              <w:bottom w:val="nil"/>
              <w:right w:val="nil"/>
            </w:tcBorders>
            <w:vAlign w:val="center"/>
            <w:hideMark/>
          </w:tcPr>
          <w:p w14:paraId="007B9BD4" w14:textId="5CE0A36B"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Scale, number of years of the household head</w:t>
            </w:r>
          </w:p>
        </w:tc>
        <w:tc>
          <w:tcPr>
            <w:tcW w:w="997" w:type="pct"/>
            <w:tcBorders>
              <w:top w:val="nil"/>
              <w:left w:val="nil"/>
              <w:bottom w:val="nil"/>
              <w:right w:val="nil"/>
            </w:tcBorders>
            <w:vAlign w:val="center"/>
            <w:hideMark/>
          </w:tcPr>
          <w:p w14:paraId="2115B5A9"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 xml:space="preserve">Mean </w:t>
            </w:r>
          </w:p>
        </w:tc>
      </w:tr>
      <w:tr w:rsidR="003C3E97" w:rsidRPr="00587A1F" w14:paraId="734C8A07" w14:textId="77777777" w:rsidTr="003C3E97">
        <w:trPr>
          <w:trHeight w:val="282"/>
        </w:trPr>
        <w:tc>
          <w:tcPr>
            <w:tcW w:w="276" w:type="pct"/>
            <w:vMerge/>
            <w:tcBorders>
              <w:top w:val="nil"/>
              <w:left w:val="nil"/>
              <w:bottom w:val="nil"/>
              <w:right w:val="nil"/>
            </w:tcBorders>
            <w:vAlign w:val="center"/>
            <w:hideMark/>
          </w:tcPr>
          <w:p w14:paraId="2BC1CE54" w14:textId="77777777" w:rsidR="003C3E97" w:rsidRPr="00587A1F" w:rsidRDefault="003C3E97" w:rsidP="003C3E97">
            <w:pPr>
              <w:suppressAutoHyphens w:val="0"/>
              <w:spacing w:before="0" w:after="0"/>
              <w:jc w:val="left"/>
              <w:rPr>
                <w:rFonts w:eastAsia="Times New Roman" w:cs="Arial"/>
                <w:b/>
                <w:bCs/>
                <w:color w:val="000000"/>
                <w:sz w:val="22"/>
                <w:lang w:val="en-US"/>
              </w:rPr>
            </w:pPr>
          </w:p>
        </w:tc>
        <w:tc>
          <w:tcPr>
            <w:tcW w:w="1221" w:type="pct"/>
            <w:tcBorders>
              <w:top w:val="nil"/>
              <w:left w:val="nil"/>
              <w:bottom w:val="nil"/>
              <w:right w:val="nil"/>
            </w:tcBorders>
            <w:vAlign w:val="center"/>
            <w:hideMark/>
          </w:tcPr>
          <w:p w14:paraId="45153CFD"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Gender</w:t>
            </w:r>
          </w:p>
        </w:tc>
        <w:tc>
          <w:tcPr>
            <w:tcW w:w="2506" w:type="pct"/>
            <w:tcBorders>
              <w:top w:val="nil"/>
              <w:left w:val="nil"/>
              <w:bottom w:val="nil"/>
              <w:right w:val="nil"/>
            </w:tcBorders>
            <w:vAlign w:val="center"/>
            <w:hideMark/>
          </w:tcPr>
          <w:p w14:paraId="5AD192E5"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Binary, gender of household head</w:t>
            </w:r>
          </w:p>
        </w:tc>
        <w:tc>
          <w:tcPr>
            <w:tcW w:w="997" w:type="pct"/>
            <w:tcBorders>
              <w:top w:val="nil"/>
              <w:left w:val="nil"/>
              <w:bottom w:val="nil"/>
              <w:right w:val="nil"/>
            </w:tcBorders>
            <w:vAlign w:val="center"/>
            <w:hideMark/>
          </w:tcPr>
          <w:p w14:paraId="34FD44FE"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Male/Female</w:t>
            </w:r>
          </w:p>
        </w:tc>
      </w:tr>
      <w:tr w:rsidR="003C3E97" w:rsidRPr="00587A1F" w14:paraId="6FA83754" w14:textId="77777777" w:rsidTr="003C3E97">
        <w:trPr>
          <w:trHeight w:val="282"/>
        </w:trPr>
        <w:tc>
          <w:tcPr>
            <w:tcW w:w="276" w:type="pct"/>
            <w:vMerge/>
            <w:tcBorders>
              <w:top w:val="nil"/>
              <w:left w:val="nil"/>
              <w:bottom w:val="nil"/>
              <w:right w:val="nil"/>
            </w:tcBorders>
            <w:vAlign w:val="center"/>
            <w:hideMark/>
          </w:tcPr>
          <w:p w14:paraId="5A5832DD" w14:textId="77777777" w:rsidR="003C3E97" w:rsidRPr="00587A1F" w:rsidRDefault="003C3E97" w:rsidP="003C3E97">
            <w:pPr>
              <w:suppressAutoHyphens w:val="0"/>
              <w:spacing w:before="0" w:after="0"/>
              <w:jc w:val="left"/>
              <w:rPr>
                <w:rFonts w:eastAsia="Times New Roman" w:cs="Arial"/>
                <w:b/>
                <w:bCs/>
                <w:color w:val="000000"/>
                <w:sz w:val="22"/>
                <w:lang w:val="en-US"/>
              </w:rPr>
            </w:pPr>
          </w:p>
        </w:tc>
        <w:tc>
          <w:tcPr>
            <w:tcW w:w="1221" w:type="pct"/>
            <w:tcBorders>
              <w:top w:val="nil"/>
              <w:left w:val="nil"/>
              <w:bottom w:val="nil"/>
              <w:right w:val="nil"/>
            </w:tcBorders>
            <w:vAlign w:val="center"/>
            <w:hideMark/>
          </w:tcPr>
          <w:p w14:paraId="04A44019"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Level of education</w:t>
            </w:r>
          </w:p>
        </w:tc>
        <w:tc>
          <w:tcPr>
            <w:tcW w:w="2506" w:type="pct"/>
            <w:tcBorders>
              <w:top w:val="nil"/>
              <w:left w:val="nil"/>
              <w:bottom w:val="nil"/>
              <w:right w:val="nil"/>
            </w:tcBorders>
            <w:vAlign w:val="center"/>
            <w:hideMark/>
          </w:tcPr>
          <w:p w14:paraId="2C3BC391"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 xml:space="preserve">Binary, education level of the farmer </w:t>
            </w:r>
          </w:p>
        </w:tc>
        <w:tc>
          <w:tcPr>
            <w:tcW w:w="997" w:type="pct"/>
            <w:tcBorders>
              <w:top w:val="nil"/>
              <w:left w:val="nil"/>
              <w:bottom w:val="nil"/>
              <w:right w:val="nil"/>
            </w:tcBorders>
            <w:vAlign w:val="center"/>
            <w:hideMark/>
          </w:tcPr>
          <w:p w14:paraId="0BCA6C45"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No formal/Formal</w:t>
            </w:r>
          </w:p>
        </w:tc>
      </w:tr>
      <w:tr w:rsidR="003C3E97" w:rsidRPr="00587A1F" w14:paraId="27A299E3" w14:textId="77777777" w:rsidTr="003C3E97">
        <w:trPr>
          <w:trHeight w:val="282"/>
        </w:trPr>
        <w:tc>
          <w:tcPr>
            <w:tcW w:w="276" w:type="pct"/>
            <w:vMerge/>
            <w:tcBorders>
              <w:top w:val="nil"/>
              <w:left w:val="nil"/>
              <w:bottom w:val="nil"/>
              <w:right w:val="nil"/>
            </w:tcBorders>
            <w:vAlign w:val="center"/>
            <w:hideMark/>
          </w:tcPr>
          <w:p w14:paraId="235F8E6C" w14:textId="77777777" w:rsidR="003C3E97" w:rsidRPr="00587A1F" w:rsidRDefault="003C3E97" w:rsidP="003C3E97">
            <w:pPr>
              <w:suppressAutoHyphens w:val="0"/>
              <w:spacing w:before="0" w:after="0"/>
              <w:jc w:val="left"/>
              <w:rPr>
                <w:rFonts w:eastAsia="Times New Roman" w:cs="Arial"/>
                <w:b/>
                <w:bCs/>
                <w:color w:val="000000"/>
                <w:sz w:val="22"/>
                <w:lang w:val="en-US"/>
              </w:rPr>
            </w:pPr>
          </w:p>
        </w:tc>
        <w:tc>
          <w:tcPr>
            <w:tcW w:w="1221" w:type="pct"/>
            <w:tcBorders>
              <w:top w:val="nil"/>
              <w:left w:val="nil"/>
              <w:bottom w:val="nil"/>
              <w:right w:val="nil"/>
            </w:tcBorders>
            <w:vAlign w:val="center"/>
            <w:hideMark/>
          </w:tcPr>
          <w:p w14:paraId="23E79748" w14:textId="77777777" w:rsidR="003C3E97" w:rsidRPr="00587A1F" w:rsidRDefault="003C3E97" w:rsidP="003C3E97">
            <w:pPr>
              <w:suppressAutoHyphens w:val="0"/>
              <w:spacing w:before="0" w:after="0"/>
              <w:rPr>
                <w:rFonts w:eastAsia="Times New Roman" w:cs="Arial"/>
                <w:color w:val="000000"/>
                <w:szCs w:val="20"/>
                <w:lang w:val="en-US"/>
              </w:rPr>
            </w:pPr>
            <w:r w:rsidRPr="00587A1F">
              <w:rPr>
                <w:rFonts w:eastAsia="Times New Roman" w:cs="Arial"/>
                <w:color w:val="000000"/>
                <w:szCs w:val="20"/>
              </w:rPr>
              <w:t>Crop production</w:t>
            </w:r>
          </w:p>
        </w:tc>
        <w:tc>
          <w:tcPr>
            <w:tcW w:w="2506" w:type="pct"/>
            <w:tcBorders>
              <w:top w:val="nil"/>
              <w:left w:val="nil"/>
              <w:bottom w:val="nil"/>
              <w:right w:val="nil"/>
            </w:tcBorders>
            <w:vAlign w:val="center"/>
            <w:hideMark/>
          </w:tcPr>
          <w:p w14:paraId="06A37B07"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Binary, household depends on crop production</w:t>
            </w:r>
          </w:p>
        </w:tc>
        <w:tc>
          <w:tcPr>
            <w:tcW w:w="997" w:type="pct"/>
            <w:tcBorders>
              <w:top w:val="nil"/>
              <w:left w:val="nil"/>
              <w:bottom w:val="nil"/>
              <w:right w:val="nil"/>
            </w:tcBorders>
            <w:vAlign w:val="center"/>
            <w:hideMark/>
          </w:tcPr>
          <w:p w14:paraId="48B3752A"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Yes/No</w:t>
            </w:r>
          </w:p>
        </w:tc>
      </w:tr>
      <w:tr w:rsidR="003C3E97" w:rsidRPr="00587A1F" w14:paraId="25CB7C67" w14:textId="77777777" w:rsidTr="003C3E97">
        <w:trPr>
          <w:trHeight w:val="282"/>
        </w:trPr>
        <w:tc>
          <w:tcPr>
            <w:tcW w:w="276" w:type="pct"/>
            <w:vMerge/>
            <w:tcBorders>
              <w:top w:val="nil"/>
              <w:left w:val="nil"/>
              <w:bottom w:val="nil"/>
              <w:right w:val="nil"/>
            </w:tcBorders>
            <w:vAlign w:val="center"/>
            <w:hideMark/>
          </w:tcPr>
          <w:p w14:paraId="23F653D6" w14:textId="77777777" w:rsidR="003C3E97" w:rsidRPr="00587A1F" w:rsidRDefault="003C3E97" w:rsidP="003C3E97">
            <w:pPr>
              <w:suppressAutoHyphens w:val="0"/>
              <w:spacing w:before="0" w:after="0"/>
              <w:jc w:val="left"/>
              <w:rPr>
                <w:rFonts w:eastAsia="Times New Roman" w:cs="Arial"/>
                <w:b/>
                <w:bCs/>
                <w:color w:val="000000"/>
                <w:sz w:val="22"/>
                <w:lang w:val="en-US"/>
              </w:rPr>
            </w:pPr>
          </w:p>
        </w:tc>
        <w:tc>
          <w:tcPr>
            <w:tcW w:w="1221" w:type="pct"/>
            <w:tcBorders>
              <w:top w:val="nil"/>
              <w:left w:val="nil"/>
              <w:bottom w:val="nil"/>
              <w:right w:val="nil"/>
            </w:tcBorders>
            <w:vAlign w:val="center"/>
            <w:hideMark/>
          </w:tcPr>
          <w:p w14:paraId="3BFAFF53" w14:textId="77777777" w:rsidR="003C3E97" w:rsidRPr="00587A1F" w:rsidRDefault="003C3E97" w:rsidP="003C3E97">
            <w:pPr>
              <w:suppressAutoHyphens w:val="0"/>
              <w:spacing w:before="0" w:after="0"/>
              <w:rPr>
                <w:rFonts w:eastAsia="Times New Roman" w:cs="Arial"/>
                <w:color w:val="000000"/>
                <w:szCs w:val="20"/>
                <w:lang w:val="en-US"/>
              </w:rPr>
            </w:pPr>
            <w:r w:rsidRPr="00587A1F">
              <w:rPr>
                <w:rFonts w:eastAsia="Times New Roman" w:cs="Arial"/>
                <w:color w:val="000000"/>
                <w:szCs w:val="20"/>
              </w:rPr>
              <w:t>Livestock sale</w:t>
            </w:r>
          </w:p>
        </w:tc>
        <w:tc>
          <w:tcPr>
            <w:tcW w:w="2506" w:type="pct"/>
            <w:tcBorders>
              <w:top w:val="nil"/>
              <w:left w:val="nil"/>
              <w:bottom w:val="nil"/>
              <w:right w:val="nil"/>
            </w:tcBorders>
            <w:vAlign w:val="center"/>
            <w:hideMark/>
          </w:tcPr>
          <w:p w14:paraId="2721F10A"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 xml:space="preserve">Binary, household depends on livestock sale </w:t>
            </w:r>
          </w:p>
        </w:tc>
        <w:tc>
          <w:tcPr>
            <w:tcW w:w="997" w:type="pct"/>
            <w:tcBorders>
              <w:top w:val="nil"/>
              <w:left w:val="nil"/>
              <w:bottom w:val="nil"/>
              <w:right w:val="nil"/>
            </w:tcBorders>
            <w:vAlign w:val="center"/>
            <w:hideMark/>
          </w:tcPr>
          <w:p w14:paraId="5C28D6F6"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Yes/No</w:t>
            </w:r>
          </w:p>
        </w:tc>
      </w:tr>
      <w:tr w:rsidR="003C3E97" w:rsidRPr="00587A1F" w14:paraId="0A297A18" w14:textId="77777777" w:rsidTr="003C3E97">
        <w:trPr>
          <w:trHeight w:val="282"/>
        </w:trPr>
        <w:tc>
          <w:tcPr>
            <w:tcW w:w="276" w:type="pct"/>
            <w:vMerge/>
            <w:tcBorders>
              <w:top w:val="nil"/>
              <w:left w:val="nil"/>
              <w:bottom w:val="nil"/>
              <w:right w:val="nil"/>
            </w:tcBorders>
            <w:vAlign w:val="center"/>
            <w:hideMark/>
          </w:tcPr>
          <w:p w14:paraId="0A703784" w14:textId="77777777" w:rsidR="003C3E97" w:rsidRPr="00587A1F" w:rsidRDefault="003C3E97" w:rsidP="003C3E97">
            <w:pPr>
              <w:suppressAutoHyphens w:val="0"/>
              <w:spacing w:before="0" w:after="0"/>
              <w:jc w:val="left"/>
              <w:rPr>
                <w:rFonts w:eastAsia="Times New Roman" w:cs="Arial"/>
                <w:b/>
                <w:bCs/>
                <w:color w:val="000000"/>
                <w:sz w:val="22"/>
                <w:lang w:val="en-US"/>
              </w:rPr>
            </w:pPr>
          </w:p>
        </w:tc>
        <w:tc>
          <w:tcPr>
            <w:tcW w:w="1221" w:type="pct"/>
            <w:tcBorders>
              <w:top w:val="nil"/>
              <w:left w:val="nil"/>
              <w:bottom w:val="nil"/>
              <w:right w:val="nil"/>
            </w:tcBorders>
            <w:vAlign w:val="center"/>
            <w:hideMark/>
          </w:tcPr>
          <w:p w14:paraId="0E0E69FF" w14:textId="77777777" w:rsidR="003C3E97" w:rsidRPr="00587A1F" w:rsidRDefault="003C3E97" w:rsidP="003C3E97">
            <w:pPr>
              <w:suppressAutoHyphens w:val="0"/>
              <w:spacing w:before="0" w:after="0"/>
              <w:rPr>
                <w:rFonts w:eastAsia="Times New Roman" w:cs="Arial"/>
                <w:color w:val="000000"/>
                <w:szCs w:val="20"/>
                <w:lang w:val="en-US"/>
              </w:rPr>
            </w:pPr>
            <w:r w:rsidRPr="00587A1F">
              <w:rPr>
                <w:rFonts w:eastAsia="Times New Roman" w:cs="Arial"/>
                <w:color w:val="000000"/>
                <w:szCs w:val="20"/>
              </w:rPr>
              <w:t>Livestock products</w:t>
            </w:r>
          </w:p>
        </w:tc>
        <w:tc>
          <w:tcPr>
            <w:tcW w:w="2506" w:type="pct"/>
            <w:tcBorders>
              <w:top w:val="nil"/>
              <w:left w:val="nil"/>
              <w:bottom w:val="nil"/>
              <w:right w:val="nil"/>
            </w:tcBorders>
            <w:vAlign w:val="center"/>
            <w:hideMark/>
          </w:tcPr>
          <w:p w14:paraId="5A050119"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 xml:space="preserve">Binary, household depends on livestock products </w:t>
            </w:r>
          </w:p>
        </w:tc>
        <w:tc>
          <w:tcPr>
            <w:tcW w:w="997" w:type="pct"/>
            <w:tcBorders>
              <w:top w:val="nil"/>
              <w:left w:val="nil"/>
              <w:bottom w:val="nil"/>
              <w:right w:val="nil"/>
            </w:tcBorders>
            <w:vAlign w:val="center"/>
            <w:hideMark/>
          </w:tcPr>
          <w:p w14:paraId="0D081565"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Yes/No</w:t>
            </w:r>
          </w:p>
        </w:tc>
      </w:tr>
      <w:tr w:rsidR="003C3E97" w:rsidRPr="00587A1F" w14:paraId="2B13ED09" w14:textId="77777777" w:rsidTr="003C3E97">
        <w:trPr>
          <w:trHeight w:val="282"/>
        </w:trPr>
        <w:tc>
          <w:tcPr>
            <w:tcW w:w="276" w:type="pct"/>
            <w:vMerge/>
            <w:tcBorders>
              <w:top w:val="nil"/>
              <w:left w:val="nil"/>
              <w:bottom w:val="nil"/>
              <w:right w:val="nil"/>
            </w:tcBorders>
            <w:vAlign w:val="center"/>
            <w:hideMark/>
          </w:tcPr>
          <w:p w14:paraId="743D993F" w14:textId="77777777" w:rsidR="003C3E97" w:rsidRPr="00587A1F" w:rsidRDefault="003C3E97" w:rsidP="003C3E97">
            <w:pPr>
              <w:suppressAutoHyphens w:val="0"/>
              <w:spacing w:before="0" w:after="0"/>
              <w:jc w:val="left"/>
              <w:rPr>
                <w:rFonts w:eastAsia="Times New Roman" w:cs="Arial"/>
                <w:b/>
                <w:bCs/>
                <w:color w:val="000000"/>
                <w:sz w:val="22"/>
                <w:lang w:val="en-US"/>
              </w:rPr>
            </w:pPr>
          </w:p>
        </w:tc>
        <w:tc>
          <w:tcPr>
            <w:tcW w:w="1221" w:type="pct"/>
            <w:tcBorders>
              <w:top w:val="nil"/>
              <w:left w:val="nil"/>
              <w:bottom w:val="nil"/>
              <w:right w:val="nil"/>
            </w:tcBorders>
            <w:vAlign w:val="center"/>
            <w:hideMark/>
          </w:tcPr>
          <w:p w14:paraId="7A2CFE5E" w14:textId="77777777" w:rsidR="003C3E97" w:rsidRPr="00587A1F" w:rsidRDefault="003C3E97" w:rsidP="003C3E97">
            <w:pPr>
              <w:suppressAutoHyphens w:val="0"/>
              <w:spacing w:before="0" w:after="0"/>
              <w:rPr>
                <w:rFonts w:eastAsia="Times New Roman" w:cs="Arial"/>
                <w:color w:val="000000"/>
                <w:szCs w:val="20"/>
                <w:lang w:val="en-US"/>
              </w:rPr>
            </w:pPr>
            <w:r w:rsidRPr="00587A1F">
              <w:rPr>
                <w:rFonts w:eastAsia="Times New Roman" w:cs="Arial"/>
                <w:color w:val="000000"/>
                <w:szCs w:val="20"/>
              </w:rPr>
              <w:t>Petty trade</w:t>
            </w:r>
          </w:p>
        </w:tc>
        <w:tc>
          <w:tcPr>
            <w:tcW w:w="2506" w:type="pct"/>
            <w:tcBorders>
              <w:top w:val="nil"/>
              <w:left w:val="nil"/>
              <w:bottom w:val="nil"/>
              <w:right w:val="nil"/>
            </w:tcBorders>
            <w:vAlign w:val="center"/>
            <w:hideMark/>
          </w:tcPr>
          <w:p w14:paraId="2B275F59"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Binary, household depends on petty trade</w:t>
            </w:r>
          </w:p>
        </w:tc>
        <w:tc>
          <w:tcPr>
            <w:tcW w:w="997" w:type="pct"/>
            <w:tcBorders>
              <w:top w:val="nil"/>
              <w:left w:val="nil"/>
              <w:bottom w:val="nil"/>
              <w:right w:val="nil"/>
            </w:tcBorders>
            <w:vAlign w:val="center"/>
            <w:hideMark/>
          </w:tcPr>
          <w:p w14:paraId="2081B545"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Yes/No</w:t>
            </w:r>
          </w:p>
        </w:tc>
      </w:tr>
      <w:tr w:rsidR="003C3E97" w:rsidRPr="00587A1F" w14:paraId="56324BDE" w14:textId="77777777" w:rsidTr="003C3E97">
        <w:trPr>
          <w:trHeight w:val="282"/>
        </w:trPr>
        <w:tc>
          <w:tcPr>
            <w:tcW w:w="276" w:type="pct"/>
            <w:vMerge/>
            <w:tcBorders>
              <w:top w:val="nil"/>
              <w:left w:val="nil"/>
              <w:bottom w:val="nil"/>
              <w:right w:val="nil"/>
            </w:tcBorders>
            <w:vAlign w:val="center"/>
            <w:hideMark/>
          </w:tcPr>
          <w:p w14:paraId="36794B5C" w14:textId="77777777" w:rsidR="003C3E97" w:rsidRPr="00587A1F" w:rsidRDefault="003C3E97" w:rsidP="003C3E97">
            <w:pPr>
              <w:suppressAutoHyphens w:val="0"/>
              <w:spacing w:before="0" w:after="0"/>
              <w:jc w:val="left"/>
              <w:rPr>
                <w:rFonts w:eastAsia="Times New Roman" w:cs="Arial"/>
                <w:b/>
                <w:bCs/>
                <w:color w:val="000000"/>
                <w:sz w:val="22"/>
                <w:lang w:val="en-US"/>
              </w:rPr>
            </w:pPr>
          </w:p>
        </w:tc>
        <w:tc>
          <w:tcPr>
            <w:tcW w:w="1221" w:type="pct"/>
            <w:tcBorders>
              <w:top w:val="nil"/>
              <w:left w:val="nil"/>
              <w:bottom w:val="nil"/>
              <w:right w:val="nil"/>
            </w:tcBorders>
            <w:vAlign w:val="center"/>
            <w:hideMark/>
          </w:tcPr>
          <w:p w14:paraId="664CE123" w14:textId="77777777" w:rsidR="003C3E97" w:rsidRPr="00587A1F" w:rsidRDefault="003C3E97" w:rsidP="003C3E97">
            <w:pPr>
              <w:suppressAutoHyphens w:val="0"/>
              <w:spacing w:before="0" w:after="0"/>
              <w:rPr>
                <w:rFonts w:eastAsia="Times New Roman" w:cs="Arial"/>
                <w:color w:val="000000"/>
                <w:szCs w:val="20"/>
                <w:lang w:val="en-US"/>
              </w:rPr>
            </w:pPr>
            <w:r w:rsidRPr="00587A1F">
              <w:rPr>
                <w:rFonts w:eastAsia="Times New Roman" w:cs="Arial"/>
                <w:color w:val="000000"/>
                <w:szCs w:val="20"/>
              </w:rPr>
              <w:t>Salary</w:t>
            </w:r>
          </w:p>
        </w:tc>
        <w:tc>
          <w:tcPr>
            <w:tcW w:w="2506" w:type="pct"/>
            <w:tcBorders>
              <w:top w:val="nil"/>
              <w:left w:val="nil"/>
              <w:bottom w:val="nil"/>
              <w:right w:val="nil"/>
            </w:tcBorders>
            <w:vAlign w:val="center"/>
            <w:hideMark/>
          </w:tcPr>
          <w:p w14:paraId="2E65D7F4"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 xml:space="preserve">Binary, household depends on salary </w:t>
            </w:r>
          </w:p>
        </w:tc>
        <w:tc>
          <w:tcPr>
            <w:tcW w:w="997" w:type="pct"/>
            <w:tcBorders>
              <w:top w:val="nil"/>
              <w:left w:val="nil"/>
              <w:bottom w:val="nil"/>
              <w:right w:val="nil"/>
            </w:tcBorders>
            <w:vAlign w:val="center"/>
            <w:hideMark/>
          </w:tcPr>
          <w:p w14:paraId="141A761F"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Yes/No</w:t>
            </w:r>
          </w:p>
        </w:tc>
      </w:tr>
      <w:tr w:rsidR="003C3E97" w:rsidRPr="00587A1F" w14:paraId="7C272197" w14:textId="77777777" w:rsidTr="003C3E97">
        <w:trPr>
          <w:trHeight w:val="282"/>
        </w:trPr>
        <w:tc>
          <w:tcPr>
            <w:tcW w:w="276" w:type="pct"/>
            <w:vMerge/>
            <w:tcBorders>
              <w:top w:val="nil"/>
              <w:left w:val="nil"/>
              <w:bottom w:val="nil"/>
              <w:right w:val="nil"/>
            </w:tcBorders>
            <w:vAlign w:val="center"/>
            <w:hideMark/>
          </w:tcPr>
          <w:p w14:paraId="62955DDC" w14:textId="77777777" w:rsidR="003C3E97" w:rsidRPr="00587A1F" w:rsidRDefault="003C3E97" w:rsidP="003C3E97">
            <w:pPr>
              <w:suppressAutoHyphens w:val="0"/>
              <w:spacing w:before="0" w:after="0"/>
              <w:jc w:val="left"/>
              <w:rPr>
                <w:rFonts w:eastAsia="Times New Roman" w:cs="Arial"/>
                <w:b/>
                <w:bCs/>
                <w:color w:val="000000"/>
                <w:sz w:val="22"/>
                <w:lang w:val="en-US"/>
              </w:rPr>
            </w:pPr>
          </w:p>
        </w:tc>
        <w:tc>
          <w:tcPr>
            <w:tcW w:w="1221" w:type="pct"/>
            <w:tcBorders>
              <w:top w:val="nil"/>
              <w:left w:val="nil"/>
              <w:bottom w:val="nil"/>
              <w:right w:val="nil"/>
            </w:tcBorders>
            <w:vAlign w:val="center"/>
            <w:hideMark/>
          </w:tcPr>
          <w:p w14:paraId="173EB570" w14:textId="77777777" w:rsidR="003C3E97" w:rsidRPr="00587A1F" w:rsidRDefault="003C3E97" w:rsidP="003C3E97">
            <w:pPr>
              <w:suppressAutoHyphens w:val="0"/>
              <w:spacing w:before="0" w:after="0"/>
              <w:rPr>
                <w:rFonts w:eastAsia="Times New Roman" w:cs="Arial"/>
                <w:color w:val="000000"/>
                <w:szCs w:val="20"/>
                <w:lang w:val="en-US"/>
              </w:rPr>
            </w:pPr>
            <w:r w:rsidRPr="00587A1F">
              <w:rPr>
                <w:rFonts w:eastAsia="Times New Roman" w:cs="Arial"/>
                <w:color w:val="000000"/>
                <w:szCs w:val="20"/>
              </w:rPr>
              <w:t>On-farm daily labour</w:t>
            </w:r>
          </w:p>
        </w:tc>
        <w:tc>
          <w:tcPr>
            <w:tcW w:w="2506" w:type="pct"/>
            <w:tcBorders>
              <w:top w:val="nil"/>
              <w:left w:val="nil"/>
              <w:bottom w:val="nil"/>
              <w:right w:val="nil"/>
            </w:tcBorders>
            <w:vAlign w:val="center"/>
            <w:hideMark/>
          </w:tcPr>
          <w:p w14:paraId="5BC34E78"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 xml:space="preserve">Binary, household depends on on-farm daily labour </w:t>
            </w:r>
          </w:p>
        </w:tc>
        <w:tc>
          <w:tcPr>
            <w:tcW w:w="997" w:type="pct"/>
            <w:tcBorders>
              <w:top w:val="nil"/>
              <w:left w:val="nil"/>
              <w:bottom w:val="nil"/>
              <w:right w:val="nil"/>
            </w:tcBorders>
            <w:vAlign w:val="center"/>
            <w:hideMark/>
          </w:tcPr>
          <w:p w14:paraId="6EA6480E"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Yes/No</w:t>
            </w:r>
          </w:p>
        </w:tc>
      </w:tr>
      <w:tr w:rsidR="003C3E97" w:rsidRPr="00587A1F" w14:paraId="2E45814B" w14:textId="77777777" w:rsidTr="003C3E97">
        <w:trPr>
          <w:trHeight w:val="282"/>
        </w:trPr>
        <w:tc>
          <w:tcPr>
            <w:tcW w:w="276" w:type="pct"/>
            <w:vMerge/>
            <w:tcBorders>
              <w:top w:val="nil"/>
              <w:left w:val="nil"/>
              <w:bottom w:val="nil"/>
              <w:right w:val="nil"/>
            </w:tcBorders>
            <w:vAlign w:val="center"/>
            <w:hideMark/>
          </w:tcPr>
          <w:p w14:paraId="04409C43" w14:textId="77777777" w:rsidR="003C3E97" w:rsidRPr="00587A1F" w:rsidRDefault="003C3E97" w:rsidP="003C3E97">
            <w:pPr>
              <w:suppressAutoHyphens w:val="0"/>
              <w:spacing w:before="0" w:after="0"/>
              <w:jc w:val="left"/>
              <w:rPr>
                <w:rFonts w:eastAsia="Times New Roman" w:cs="Arial"/>
                <w:b/>
                <w:bCs/>
                <w:color w:val="000000"/>
                <w:sz w:val="22"/>
                <w:lang w:val="en-US"/>
              </w:rPr>
            </w:pPr>
          </w:p>
        </w:tc>
        <w:tc>
          <w:tcPr>
            <w:tcW w:w="1221" w:type="pct"/>
            <w:tcBorders>
              <w:top w:val="nil"/>
              <w:left w:val="nil"/>
              <w:bottom w:val="nil"/>
              <w:right w:val="nil"/>
            </w:tcBorders>
            <w:vAlign w:val="center"/>
            <w:hideMark/>
          </w:tcPr>
          <w:p w14:paraId="3DB77A4D" w14:textId="77777777" w:rsidR="003C3E97" w:rsidRPr="00587A1F" w:rsidRDefault="003C3E97" w:rsidP="003C3E97">
            <w:pPr>
              <w:suppressAutoHyphens w:val="0"/>
              <w:spacing w:before="0" w:after="0"/>
              <w:rPr>
                <w:rFonts w:eastAsia="Times New Roman" w:cs="Arial"/>
                <w:color w:val="000000"/>
                <w:szCs w:val="20"/>
                <w:lang w:val="en-US"/>
              </w:rPr>
            </w:pPr>
            <w:r w:rsidRPr="00587A1F">
              <w:rPr>
                <w:rFonts w:eastAsia="Times New Roman" w:cs="Arial"/>
                <w:color w:val="000000"/>
                <w:szCs w:val="20"/>
              </w:rPr>
              <w:t>Sale of charcoal</w:t>
            </w:r>
          </w:p>
        </w:tc>
        <w:tc>
          <w:tcPr>
            <w:tcW w:w="2506" w:type="pct"/>
            <w:tcBorders>
              <w:top w:val="nil"/>
              <w:left w:val="nil"/>
              <w:bottom w:val="nil"/>
              <w:right w:val="nil"/>
            </w:tcBorders>
            <w:vAlign w:val="center"/>
            <w:hideMark/>
          </w:tcPr>
          <w:p w14:paraId="42DBAC25"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 xml:space="preserve">Binary, household depends on sale of charcoal </w:t>
            </w:r>
          </w:p>
        </w:tc>
        <w:tc>
          <w:tcPr>
            <w:tcW w:w="997" w:type="pct"/>
            <w:tcBorders>
              <w:top w:val="nil"/>
              <w:left w:val="nil"/>
              <w:bottom w:val="nil"/>
              <w:right w:val="nil"/>
            </w:tcBorders>
            <w:vAlign w:val="center"/>
            <w:hideMark/>
          </w:tcPr>
          <w:p w14:paraId="0067EEEC"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Yes/No</w:t>
            </w:r>
          </w:p>
        </w:tc>
      </w:tr>
      <w:tr w:rsidR="003C3E97" w:rsidRPr="00587A1F" w14:paraId="01674B53" w14:textId="77777777" w:rsidTr="003C3E97">
        <w:trPr>
          <w:trHeight w:val="282"/>
        </w:trPr>
        <w:tc>
          <w:tcPr>
            <w:tcW w:w="276" w:type="pct"/>
            <w:vMerge/>
            <w:tcBorders>
              <w:top w:val="nil"/>
              <w:left w:val="nil"/>
              <w:bottom w:val="nil"/>
              <w:right w:val="nil"/>
            </w:tcBorders>
            <w:vAlign w:val="center"/>
            <w:hideMark/>
          </w:tcPr>
          <w:p w14:paraId="3B7DDE82" w14:textId="77777777" w:rsidR="003C3E97" w:rsidRPr="00587A1F" w:rsidRDefault="003C3E97" w:rsidP="003C3E97">
            <w:pPr>
              <w:suppressAutoHyphens w:val="0"/>
              <w:spacing w:before="0" w:after="0"/>
              <w:jc w:val="left"/>
              <w:rPr>
                <w:rFonts w:eastAsia="Times New Roman" w:cs="Arial"/>
                <w:b/>
                <w:bCs/>
                <w:color w:val="000000"/>
                <w:sz w:val="22"/>
                <w:lang w:val="en-US"/>
              </w:rPr>
            </w:pPr>
          </w:p>
        </w:tc>
        <w:tc>
          <w:tcPr>
            <w:tcW w:w="1221" w:type="pct"/>
            <w:tcBorders>
              <w:top w:val="nil"/>
              <w:left w:val="nil"/>
              <w:bottom w:val="nil"/>
              <w:right w:val="nil"/>
            </w:tcBorders>
            <w:vAlign w:val="center"/>
            <w:hideMark/>
          </w:tcPr>
          <w:p w14:paraId="66CDF54B" w14:textId="77777777" w:rsidR="003C3E97" w:rsidRPr="00587A1F" w:rsidRDefault="003C3E97" w:rsidP="003C3E97">
            <w:pPr>
              <w:suppressAutoHyphens w:val="0"/>
              <w:spacing w:before="0" w:after="0"/>
              <w:rPr>
                <w:rFonts w:eastAsia="Times New Roman" w:cs="Arial"/>
                <w:color w:val="000000"/>
                <w:szCs w:val="20"/>
                <w:lang w:val="en-US"/>
              </w:rPr>
            </w:pPr>
            <w:r w:rsidRPr="00587A1F">
              <w:rPr>
                <w:rFonts w:eastAsia="Times New Roman" w:cs="Arial"/>
                <w:color w:val="000000"/>
                <w:szCs w:val="20"/>
              </w:rPr>
              <w:t>Mining</w:t>
            </w:r>
          </w:p>
        </w:tc>
        <w:tc>
          <w:tcPr>
            <w:tcW w:w="2506" w:type="pct"/>
            <w:tcBorders>
              <w:top w:val="nil"/>
              <w:left w:val="nil"/>
              <w:bottom w:val="nil"/>
              <w:right w:val="nil"/>
            </w:tcBorders>
            <w:vAlign w:val="center"/>
            <w:hideMark/>
          </w:tcPr>
          <w:p w14:paraId="064836CF"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Binary, household depends on mining</w:t>
            </w:r>
          </w:p>
        </w:tc>
        <w:tc>
          <w:tcPr>
            <w:tcW w:w="997" w:type="pct"/>
            <w:tcBorders>
              <w:top w:val="nil"/>
              <w:left w:val="nil"/>
              <w:bottom w:val="nil"/>
              <w:right w:val="nil"/>
            </w:tcBorders>
            <w:vAlign w:val="center"/>
            <w:hideMark/>
          </w:tcPr>
          <w:p w14:paraId="1B6B60A5"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Yes/No</w:t>
            </w:r>
          </w:p>
        </w:tc>
      </w:tr>
      <w:tr w:rsidR="003C3E97" w:rsidRPr="00587A1F" w14:paraId="2A08E09C" w14:textId="77777777" w:rsidTr="003C3E97">
        <w:trPr>
          <w:trHeight w:val="282"/>
        </w:trPr>
        <w:tc>
          <w:tcPr>
            <w:tcW w:w="276" w:type="pct"/>
            <w:vMerge/>
            <w:tcBorders>
              <w:top w:val="nil"/>
              <w:left w:val="nil"/>
              <w:bottom w:val="nil"/>
              <w:right w:val="nil"/>
            </w:tcBorders>
            <w:vAlign w:val="center"/>
            <w:hideMark/>
          </w:tcPr>
          <w:p w14:paraId="72C15729" w14:textId="77777777" w:rsidR="003C3E97" w:rsidRPr="00587A1F" w:rsidRDefault="003C3E97" w:rsidP="003C3E97">
            <w:pPr>
              <w:suppressAutoHyphens w:val="0"/>
              <w:spacing w:before="0" w:after="0"/>
              <w:jc w:val="left"/>
              <w:rPr>
                <w:rFonts w:eastAsia="Times New Roman" w:cs="Arial"/>
                <w:b/>
                <w:bCs/>
                <w:color w:val="000000"/>
                <w:sz w:val="22"/>
                <w:lang w:val="en-US"/>
              </w:rPr>
            </w:pPr>
          </w:p>
        </w:tc>
        <w:tc>
          <w:tcPr>
            <w:tcW w:w="1221" w:type="pct"/>
            <w:tcBorders>
              <w:top w:val="nil"/>
              <w:left w:val="nil"/>
              <w:bottom w:val="nil"/>
              <w:right w:val="nil"/>
            </w:tcBorders>
            <w:vAlign w:val="center"/>
            <w:hideMark/>
          </w:tcPr>
          <w:p w14:paraId="7E39BFF2" w14:textId="77777777" w:rsidR="003C3E97" w:rsidRPr="00587A1F" w:rsidRDefault="003C3E97" w:rsidP="003C3E97">
            <w:pPr>
              <w:suppressAutoHyphens w:val="0"/>
              <w:spacing w:before="0" w:after="0"/>
              <w:rPr>
                <w:rFonts w:eastAsia="Times New Roman" w:cs="Arial"/>
                <w:color w:val="000000"/>
                <w:szCs w:val="20"/>
                <w:lang w:val="en-US"/>
              </w:rPr>
            </w:pPr>
            <w:r w:rsidRPr="00587A1F">
              <w:rPr>
                <w:rFonts w:eastAsia="Times New Roman" w:cs="Arial"/>
                <w:color w:val="000000"/>
                <w:szCs w:val="20"/>
              </w:rPr>
              <w:t>Off-Farm Daily Labour</w:t>
            </w:r>
          </w:p>
        </w:tc>
        <w:tc>
          <w:tcPr>
            <w:tcW w:w="2506" w:type="pct"/>
            <w:tcBorders>
              <w:top w:val="nil"/>
              <w:left w:val="nil"/>
              <w:bottom w:val="nil"/>
              <w:right w:val="nil"/>
            </w:tcBorders>
            <w:vAlign w:val="center"/>
            <w:hideMark/>
          </w:tcPr>
          <w:p w14:paraId="08859CA1"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Binary, household depends on off-farm daily labour</w:t>
            </w:r>
          </w:p>
        </w:tc>
        <w:tc>
          <w:tcPr>
            <w:tcW w:w="997" w:type="pct"/>
            <w:tcBorders>
              <w:top w:val="nil"/>
              <w:left w:val="nil"/>
              <w:bottom w:val="nil"/>
              <w:right w:val="nil"/>
            </w:tcBorders>
            <w:vAlign w:val="center"/>
            <w:hideMark/>
          </w:tcPr>
          <w:p w14:paraId="08D68DC1"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Yes/No</w:t>
            </w:r>
          </w:p>
        </w:tc>
      </w:tr>
      <w:tr w:rsidR="003C3E97" w:rsidRPr="00587A1F" w14:paraId="16FB6AC9" w14:textId="77777777" w:rsidTr="003C3E97">
        <w:trPr>
          <w:trHeight w:val="282"/>
        </w:trPr>
        <w:tc>
          <w:tcPr>
            <w:tcW w:w="276" w:type="pct"/>
            <w:vMerge/>
            <w:tcBorders>
              <w:top w:val="nil"/>
              <w:left w:val="nil"/>
              <w:bottom w:val="nil"/>
              <w:right w:val="nil"/>
            </w:tcBorders>
            <w:vAlign w:val="center"/>
            <w:hideMark/>
          </w:tcPr>
          <w:p w14:paraId="319D7CB1" w14:textId="77777777" w:rsidR="003C3E97" w:rsidRPr="00587A1F" w:rsidRDefault="003C3E97" w:rsidP="003C3E97">
            <w:pPr>
              <w:suppressAutoHyphens w:val="0"/>
              <w:spacing w:before="0" w:after="0"/>
              <w:jc w:val="left"/>
              <w:rPr>
                <w:rFonts w:eastAsia="Times New Roman" w:cs="Arial"/>
                <w:b/>
                <w:bCs/>
                <w:color w:val="000000"/>
                <w:sz w:val="22"/>
                <w:lang w:val="en-US"/>
              </w:rPr>
            </w:pPr>
          </w:p>
        </w:tc>
        <w:tc>
          <w:tcPr>
            <w:tcW w:w="1221" w:type="pct"/>
            <w:tcBorders>
              <w:top w:val="nil"/>
              <w:left w:val="nil"/>
              <w:bottom w:val="nil"/>
              <w:right w:val="nil"/>
            </w:tcBorders>
            <w:vAlign w:val="center"/>
            <w:hideMark/>
          </w:tcPr>
          <w:p w14:paraId="01C558BD" w14:textId="77777777" w:rsidR="003C3E97" w:rsidRPr="00587A1F" w:rsidRDefault="003C3E97" w:rsidP="003C3E97">
            <w:pPr>
              <w:suppressAutoHyphens w:val="0"/>
              <w:spacing w:before="0" w:after="0"/>
              <w:rPr>
                <w:rFonts w:eastAsia="Times New Roman" w:cs="Arial"/>
                <w:color w:val="000000"/>
                <w:szCs w:val="20"/>
                <w:lang w:val="en-US"/>
              </w:rPr>
            </w:pPr>
            <w:r w:rsidRPr="00587A1F">
              <w:rPr>
                <w:rFonts w:eastAsia="Times New Roman" w:cs="Arial"/>
                <w:color w:val="000000"/>
                <w:szCs w:val="20"/>
              </w:rPr>
              <w:t>Hunting</w:t>
            </w:r>
          </w:p>
        </w:tc>
        <w:tc>
          <w:tcPr>
            <w:tcW w:w="2506" w:type="pct"/>
            <w:tcBorders>
              <w:top w:val="nil"/>
              <w:left w:val="nil"/>
              <w:bottom w:val="nil"/>
              <w:right w:val="nil"/>
            </w:tcBorders>
            <w:vAlign w:val="center"/>
            <w:hideMark/>
          </w:tcPr>
          <w:p w14:paraId="0AE9F440"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Binary, household depends on hunting</w:t>
            </w:r>
          </w:p>
        </w:tc>
        <w:tc>
          <w:tcPr>
            <w:tcW w:w="997" w:type="pct"/>
            <w:tcBorders>
              <w:top w:val="nil"/>
              <w:left w:val="nil"/>
              <w:bottom w:val="nil"/>
              <w:right w:val="nil"/>
            </w:tcBorders>
            <w:vAlign w:val="center"/>
            <w:hideMark/>
          </w:tcPr>
          <w:p w14:paraId="4C4BE776"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Yes/No</w:t>
            </w:r>
          </w:p>
        </w:tc>
      </w:tr>
      <w:tr w:rsidR="003C3E97" w:rsidRPr="00587A1F" w14:paraId="7412CC93" w14:textId="77777777" w:rsidTr="003C3E97">
        <w:trPr>
          <w:trHeight w:val="297"/>
        </w:trPr>
        <w:tc>
          <w:tcPr>
            <w:tcW w:w="276" w:type="pct"/>
            <w:vMerge/>
            <w:tcBorders>
              <w:top w:val="nil"/>
              <w:left w:val="nil"/>
              <w:bottom w:val="single" w:sz="4" w:space="0" w:color="auto"/>
              <w:right w:val="nil"/>
            </w:tcBorders>
            <w:vAlign w:val="center"/>
            <w:hideMark/>
          </w:tcPr>
          <w:p w14:paraId="463C4BCE" w14:textId="77777777" w:rsidR="003C3E97" w:rsidRPr="00587A1F" w:rsidRDefault="003C3E97" w:rsidP="003C3E97">
            <w:pPr>
              <w:suppressAutoHyphens w:val="0"/>
              <w:spacing w:before="0" w:after="0"/>
              <w:jc w:val="left"/>
              <w:rPr>
                <w:rFonts w:eastAsia="Times New Roman" w:cs="Arial"/>
                <w:b/>
                <w:bCs/>
                <w:color w:val="000000"/>
                <w:sz w:val="22"/>
                <w:lang w:val="en-US"/>
              </w:rPr>
            </w:pPr>
          </w:p>
        </w:tc>
        <w:tc>
          <w:tcPr>
            <w:tcW w:w="1221" w:type="pct"/>
            <w:tcBorders>
              <w:top w:val="nil"/>
              <w:left w:val="nil"/>
              <w:bottom w:val="single" w:sz="4" w:space="0" w:color="auto"/>
              <w:right w:val="nil"/>
            </w:tcBorders>
            <w:vAlign w:val="center"/>
            <w:hideMark/>
          </w:tcPr>
          <w:p w14:paraId="1234ECD0" w14:textId="77777777" w:rsidR="003C3E97" w:rsidRPr="00587A1F" w:rsidRDefault="003C3E97" w:rsidP="003C3E97">
            <w:pPr>
              <w:suppressAutoHyphens w:val="0"/>
              <w:spacing w:before="0" w:after="0"/>
              <w:rPr>
                <w:rFonts w:eastAsia="Times New Roman" w:cs="Arial"/>
                <w:color w:val="000000"/>
                <w:szCs w:val="20"/>
                <w:lang w:val="en-US"/>
              </w:rPr>
            </w:pPr>
            <w:r w:rsidRPr="00587A1F">
              <w:rPr>
                <w:rFonts w:eastAsia="Times New Roman" w:cs="Arial"/>
                <w:color w:val="000000"/>
                <w:szCs w:val="20"/>
              </w:rPr>
              <w:t>Pension earning</w:t>
            </w:r>
          </w:p>
        </w:tc>
        <w:tc>
          <w:tcPr>
            <w:tcW w:w="2506" w:type="pct"/>
            <w:tcBorders>
              <w:top w:val="nil"/>
              <w:left w:val="nil"/>
              <w:bottom w:val="single" w:sz="8" w:space="0" w:color="000000"/>
              <w:right w:val="nil"/>
            </w:tcBorders>
            <w:vAlign w:val="center"/>
            <w:hideMark/>
          </w:tcPr>
          <w:p w14:paraId="136DAC46" w14:textId="77777777" w:rsidR="003C3E97" w:rsidRPr="00587A1F" w:rsidRDefault="003C3E97" w:rsidP="003C3E97">
            <w:pPr>
              <w:suppressAutoHyphens w:val="0"/>
              <w:spacing w:before="0" w:after="0"/>
              <w:jc w:val="left"/>
              <w:rPr>
                <w:rFonts w:eastAsia="Times New Roman" w:cs="Arial"/>
                <w:color w:val="000000"/>
                <w:szCs w:val="20"/>
                <w:lang w:val="en-US"/>
              </w:rPr>
            </w:pPr>
            <w:r w:rsidRPr="00587A1F">
              <w:rPr>
                <w:rFonts w:eastAsia="Times New Roman" w:cs="Arial"/>
                <w:color w:val="000000"/>
                <w:szCs w:val="20"/>
              </w:rPr>
              <w:t>Binary, household depends on pension</w:t>
            </w:r>
          </w:p>
        </w:tc>
        <w:tc>
          <w:tcPr>
            <w:tcW w:w="997" w:type="pct"/>
            <w:tcBorders>
              <w:top w:val="nil"/>
              <w:left w:val="nil"/>
              <w:bottom w:val="single" w:sz="8" w:space="0" w:color="000000"/>
              <w:right w:val="nil"/>
            </w:tcBorders>
            <w:vAlign w:val="center"/>
            <w:hideMark/>
          </w:tcPr>
          <w:p w14:paraId="7176C28F" w14:textId="77777777" w:rsidR="003C3E97" w:rsidRPr="00587A1F" w:rsidRDefault="003C3E97" w:rsidP="003C3E97">
            <w:pPr>
              <w:keepNext/>
              <w:suppressAutoHyphens w:val="0"/>
              <w:spacing w:before="0" w:after="0"/>
              <w:jc w:val="left"/>
              <w:rPr>
                <w:rFonts w:eastAsia="Times New Roman" w:cs="Arial"/>
                <w:color w:val="000000"/>
                <w:szCs w:val="20"/>
                <w:lang w:val="en-US"/>
              </w:rPr>
            </w:pPr>
            <w:r w:rsidRPr="00587A1F">
              <w:rPr>
                <w:rFonts w:eastAsia="Times New Roman" w:cs="Arial"/>
                <w:color w:val="000000"/>
                <w:szCs w:val="20"/>
              </w:rPr>
              <w:t>Yes/No</w:t>
            </w:r>
          </w:p>
        </w:tc>
      </w:tr>
    </w:tbl>
    <w:p w14:paraId="6EAD3755" w14:textId="41D49012" w:rsidR="00F81D57" w:rsidRPr="00587A1F" w:rsidRDefault="00F81D57" w:rsidP="00F81D57">
      <w:pPr>
        <w:rPr>
          <w:rFonts w:cs="Arial"/>
        </w:rPr>
      </w:pPr>
      <w:r w:rsidRPr="00587A1F">
        <w:rPr>
          <w:rFonts w:cs="Arial"/>
          <w:bCs/>
          <w:szCs w:val="20"/>
        </w:rPr>
        <w:t>T</w:t>
      </w:r>
      <w:r w:rsidRPr="00587A1F">
        <w:rPr>
          <w:rFonts w:cs="Arial"/>
          <w:szCs w:val="20"/>
        </w:rPr>
        <w:t>he statistical model used in each case of dependent</w:t>
      </w:r>
      <w:r w:rsidR="00F23D69" w:rsidRPr="00587A1F">
        <w:rPr>
          <w:rFonts w:cs="Arial"/>
          <w:szCs w:val="20"/>
        </w:rPr>
        <w:t xml:space="preserve"> variable was binary regression. In this case, the </w:t>
      </w:r>
      <w:r w:rsidRPr="00587A1F">
        <w:rPr>
          <w:rFonts w:cs="Arial"/>
          <w:szCs w:val="20"/>
        </w:rPr>
        <w:t>logit of the dependent variable was predicted by the logistic model from the independent variables</w:t>
      </w:r>
      <w:r w:rsidR="00C8082A" w:rsidRPr="00587A1F">
        <w:rPr>
          <w:rFonts w:cs="Arial"/>
          <w:szCs w:val="20"/>
        </w:rPr>
        <w:t xml:space="preserve"> s</w:t>
      </w:r>
      <w:r w:rsidRPr="00587A1F">
        <w:rPr>
          <w:rFonts w:cs="Arial"/>
          <w:szCs w:val="20"/>
        </w:rPr>
        <w:t>uch that, the likelihood of given farming practice would be predicted by the odds (Y=1), that represents the ratio of the probability that Y equals 1 to the probability that Y does not equal to 1 as shown in</w:t>
      </w:r>
      <w:bookmarkStart w:id="15" w:name="_heading=h.3q5sasy" w:colFirst="0" w:colLast="0"/>
      <w:bookmarkEnd w:id="15"/>
      <w:r w:rsidRPr="00587A1F">
        <w:rPr>
          <w:rFonts w:cs="Arial"/>
          <w:szCs w:val="20"/>
        </w:rPr>
        <w:t xml:space="preserve"> Equation 2. The odds of an event </w:t>
      </w:r>
      <w:r w:rsidRPr="00587A1F">
        <w:rPr>
          <w:rFonts w:ascii="Cambria Math" w:eastAsia="Cambria Math" w:hAnsi="Cambria Math" w:cs="Cambria Math"/>
          <w:szCs w:val="20"/>
        </w:rPr>
        <w:t>𝑌</w:t>
      </w:r>
      <w:r w:rsidRPr="00587A1F">
        <w:rPr>
          <w:rFonts w:cs="Arial"/>
          <w:szCs w:val="20"/>
        </w:rPr>
        <w:t xml:space="preserve"> occurring</w:t>
      </w:r>
    </w:p>
    <w:tbl>
      <w:tblPr>
        <w:tblStyle w:val="22"/>
        <w:tblW w:w="8296" w:type="dxa"/>
        <w:tblBorders>
          <w:top w:val="nil"/>
          <w:left w:val="nil"/>
          <w:bottom w:val="nil"/>
          <w:right w:val="nil"/>
          <w:insideH w:val="nil"/>
          <w:insideV w:val="nil"/>
        </w:tblBorders>
        <w:tblLayout w:type="fixed"/>
        <w:tblLook w:val="0400" w:firstRow="0" w:lastRow="0" w:firstColumn="0" w:lastColumn="0" w:noHBand="0" w:noVBand="1"/>
      </w:tblPr>
      <w:tblGrid>
        <w:gridCol w:w="4148"/>
        <w:gridCol w:w="4148"/>
      </w:tblGrid>
      <w:tr w:rsidR="00F81D57" w:rsidRPr="00587A1F" w14:paraId="29D34170" w14:textId="77777777" w:rsidTr="00223CD1">
        <w:tc>
          <w:tcPr>
            <w:tcW w:w="4148" w:type="dxa"/>
          </w:tcPr>
          <w:p w14:paraId="0630B1DE" w14:textId="75995DD4" w:rsidR="00F81D57" w:rsidRPr="00587A1F" w:rsidRDefault="007F53BC" w:rsidP="007F53BC">
            <w:pPr>
              <w:rPr>
                <w:rFonts w:eastAsia="Cambria Math" w:cs="Arial"/>
              </w:rPr>
            </w:pPr>
            <m:oMathPara>
              <m:oMath>
                <m:r>
                  <w:rPr>
                    <w:rFonts w:ascii="Cambria Math" w:hAnsi="Cambria Math" w:cs="Arial"/>
                  </w:rPr>
                  <m:t>Odds (Y)=</m:t>
                </m:r>
                <m:d>
                  <m:dPr>
                    <m:ctrlPr>
                      <w:rPr>
                        <w:rFonts w:ascii="Cambria Math" w:eastAsiaTheme="minorHAnsi" w:hAnsi="Cambria Math" w:cs="Arial"/>
                        <w:i/>
                        <w:szCs w:val="22"/>
                      </w:rPr>
                    </m:ctrlPr>
                  </m:dPr>
                  <m:e>
                    <m:f>
                      <m:fPr>
                        <m:ctrlPr>
                          <w:rPr>
                            <w:rFonts w:ascii="Cambria Math" w:hAnsi="Cambria Math" w:cs="Arial"/>
                          </w:rPr>
                        </m:ctrlPr>
                      </m:fPr>
                      <m:num>
                        <m:r>
                          <w:rPr>
                            <w:rFonts w:ascii="Cambria Math" w:hAnsi="Cambria Math" w:cs="Arial"/>
                          </w:rPr>
                          <m:t>P(</m:t>
                        </m:r>
                        <m:sSub>
                          <m:sSubPr>
                            <m:ctrlPr>
                              <w:rPr>
                                <w:rFonts w:ascii="Cambria Math" w:eastAsia="Cambria Math" w:hAnsi="Cambria Math" w:cs="Arial"/>
                              </w:rPr>
                            </m:ctrlPr>
                          </m:sSubPr>
                          <m:e>
                            <m:r>
                              <w:rPr>
                                <w:rFonts w:ascii="Cambria Math" w:eastAsia="Cambria Math" w:hAnsi="Cambria Math" w:cs="Arial"/>
                              </w:rPr>
                              <m:t>Y</m:t>
                            </m:r>
                          </m:e>
                          <m:sub>
                            <m:r>
                              <w:rPr>
                                <w:rFonts w:ascii="Cambria Math" w:eastAsia="Cambria Math" w:hAnsi="Cambria Math" w:cs="Arial"/>
                              </w:rPr>
                              <m:t>i</m:t>
                            </m:r>
                          </m:sub>
                        </m:sSub>
                        <m:r>
                          <w:rPr>
                            <w:rFonts w:ascii="Cambria Math" w:hAnsi="Cambria Math" w:cs="Arial"/>
                          </w:rPr>
                          <m:t>=1</m:t>
                        </m:r>
                      </m:num>
                      <m:den>
                        <m:r>
                          <w:rPr>
                            <w:rFonts w:ascii="Cambria Math" w:hAnsi="Cambria Math" w:cs="Arial"/>
                          </w:rPr>
                          <m:t>1-P(</m:t>
                        </m:r>
                        <m:sSub>
                          <m:sSubPr>
                            <m:ctrlPr>
                              <w:rPr>
                                <w:rFonts w:ascii="Cambria Math" w:eastAsia="Cambria Math" w:hAnsi="Cambria Math" w:cs="Arial"/>
                              </w:rPr>
                            </m:ctrlPr>
                          </m:sSubPr>
                          <m:e>
                            <m:r>
                              <w:rPr>
                                <w:rFonts w:ascii="Cambria Math" w:eastAsia="Cambria Math" w:hAnsi="Cambria Math" w:cs="Arial"/>
                              </w:rPr>
                              <m:t>Y</m:t>
                            </m:r>
                          </m:e>
                          <m:sub>
                            <m:r>
                              <w:rPr>
                                <w:rFonts w:ascii="Cambria Math" w:eastAsia="Cambria Math" w:hAnsi="Cambria Math" w:cs="Arial"/>
                              </w:rPr>
                              <m:t>i</m:t>
                            </m:r>
                          </m:sub>
                        </m:sSub>
                        <m:r>
                          <w:rPr>
                            <w:rFonts w:ascii="Cambria Math" w:hAnsi="Cambria Math" w:cs="Arial"/>
                          </w:rPr>
                          <m:t>=1</m:t>
                        </m:r>
                      </m:den>
                    </m:f>
                  </m:e>
                </m:d>
              </m:oMath>
            </m:oMathPara>
          </w:p>
        </w:tc>
        <w:tc>
          <w:tcPr>
            <w:tcW w:w="4148" w:type="dxa"/>
          </w:tcPr>
          <w:p w14:paraId="15243A0A" w14:textId="3621A9B1" w:rsidR="00F81D57" w:rsidRPr="00587A1F" w:rsidRDefault="00F81D57" w:rsidP="00F81D57">
            <w:pPr>
              <w:jc w:val="right"/>
              <w:rPr>
                <w:rFonts w:cs="Arial"/>
              </w:rPr>
            </w:pPr>
            <w:r w:rsidRPr="00587A1F">
              <w:rPr>
                <w:rFonts w:eastAsia="Cambria Math" w:cs="Arial"/>
                <w:sz w:val="22"/>
                <w:szCs w:val="22"/>
              </w:rPr>
              <w:t>Eq. 2</w:t>
            </w:r>
          </w:p>
        </w:tc>
      </w:tr>
    </w:tbl>
    <w:p w14:paraId="27253738" w14:textId="61A0F9A0" w:rsidR="00F81D57" w:rsidRPr="00587A1F" w:rsidRDefault="00F81D57" w:rsidP="00F81D57">
      <w:pPr>
        <w:rPr>
          <w:rFonts w:cs="Arial"/>
        </w:rPr>
      </w:pPr>
      <w:r w:rsidRPr="00587A1F">
        <w:rPr>
          <w:rFonts w:cs="Arial"/>
        </w:rPr>
        <w:t xml:space="preserve"> By rearranging Equation 2 and taking natural log on both sides, leads to Equation 3, derived as</w:t>
      </w:r>
    </w:p>
    <w:tbl>
      <w:tblPr>
        <w:tblStyle w:val="21"/>
        <w:tblW w:w="12137" w:type="dxa"/>
        <w:tblBorders>
          <w:top w:val="nil"/>
          <w:left w:val="nil"/>
          <w:bottom w:val="nil"/>
          <w:right w:val="nil"/>
          <w:insideH w:val="nil"/>
          <w:insideV w:val="nil"/>
        </w:tblBorders>
        <w:tblLayout w:type="fixed"/>
        <w:tblLook w:val="0400" w:firstRow="0" w:lastRow="0" w:firstColumn="0" w:lastColumn="0" w:noHBand="0" w:noVBand="1"/>
      </w:tblPr>
      <w:tblGrid>
        <w:gridCol w:w="6120"/>
        <w:gridCol w:w="2186"/>
        <w:gridCol w:w="3831"/>
      </w:tblGrid>
      <w:tr w:rsidR="00F81D57" w:rsidRPr="00587A1F" w14:paraId="122EC06A" w14:textId="77777777" w:rsidTr="007F53BC">
        <w:tc>
          <w:tcPr>
            <w:tcW w:w="6120" w:type="dxa"/>
            <w:vAlign w:val="center"/>
          </w:tcPr>
          <w:p w14:paraId="59C41B36" w14:textId="7BCEE71A" w:rsidR="00F81D57" w:rsidRPr="00587A1F" w:rsidRDefault="00F81D57" w:rsidP="007F53BC">
            <w:pPr>
              <w:rPr>
                <w:rFonts w:eastAsia="Cambria Math" w:cs="Arial"/>
              </w:rPr>
            </w:pPr>
            <m:oMathPara>
              <m:oMath>
                <m:r>
                  <w:rPr>
                    <w:rFonts w:ascii="Cambria Math" w:eastAsia="Cambria Math" w:hAnsi="Cambria Math" w:cs="Arial"/>
                  </w:rPr>
                  <m:t>ln</m:t>
                </m:r>
                <m:d>
                  <m:dPr>
                    <m:ctrlPr>
                      <w:rPr>
                        <w:rFonts w:ascii="Cambria Math" w:eastAsiaTheme="minorHAnsi" w:hAnsi="Cambria Math" w:cs="Arial"/>
                        <w:i/>
                        <w:szCs w:val="22"/>
                      </w:rPr>
                    </m:ctrlPr>
                  </m:dPr>
                  <m:e>
                    <m:f>
                      <m:fPr>
                        <m:ctrlPr>
                          <w:rPr>
                            <w:rFonts w:ascii="Cambria Math" w:hAnsi="Cambria Math" w:cs="Arial"/>
                          </w:rPr>
                        </m:ctrlPr>
                      </m:fPr>
                      <m:num>
                        <m:r>
                          <w:rPr>
                            <w:rFonts w:ascii="Cambria Math" w:hAnsi="Cambria Math" w:cs="Arial"/>
                          </w:rPr>
                          <m:t>P(</m:t>
                        </m:r>
                        <m:sSub>
                          <m:sSubPr>
                            <m:ctrlPr>
                              <w:rPr>
                                <w:rFonts w:ascii="Cambria Math" w:eastAsia="Cambria Math" w:hAnsi="Cambria Math" w:cs="Arial"/>
                              </w:rPr>
                            </m:ctrlPr>
                          </m:sSubPr>
                          <m:e>
                            <m:r>
                              <w:rPr>
                                <w:rFonts w:ascii="Cambria Math" w:eastAsia="Cambria Math" w:hAnsi="Cambria Math" w:cs="Arial"/>
                              </w:rPr>
                              <m:t>Y</m:t>
                            </m:r>
                          </m:e>
                          <m:sub>
                            <m:r>
                              <w:rPr>
                                <w:rFonts w:ascii="Cambria Math" w:eastAsia="Cambria Math" w:hAnsi="Cambria Math" w:cs="Arial"/>
                              </w:rPr>
                              <m:t>i</m:t>
                            </m:r>
                          </m:sub>
                        </m:sSub>
                        <m:r>
                          <w:rPr>
                            <w:rFonts w:ascii="Cambria Math" w:hAnsi="Cambria Math" w:cs="Arial"/>
                          </w:rPr>
                          <m:t>=1)</m:t>
                        </m:r>
                      </m:num>
                      <m:den>
                        <m:r>
                          <w:rPr>
                            <w:rFonts w:ascii="Cambria Math" w:hAnsi="Cambria Math" w:cs="Arial"/>
                          </w:rPr>
                          <m:t>1-P(</m:t>
                        </m:r>
                        <m:sSub>
                          <m:sSubPr>
                            <m:ctrlPr>
                              <w:rPr>
                                <w:rFonts w:ascii="Cambria Math" w:eastAsia="Cambria Math" w:hAnsi="Cambria Math" w:cs="Arial"/>
                              </w:rPr>
                            </m:ctrlPr>
                          </m:sSubPr>
                          <m:e>
                            <m:r>
                              <w:rPr>
                                <w:rFonts w:ascii="Cambria Math" w:eastAsia="Cambria Math" w:hAnsi="Cambria Math" w:cs="Arial"/>
                              </w:rPr>
                              <m:t>Y</m:t>
                            </m:r>
                          </m:e>
                          <m:sub>
                            <m:r>
                              <w:rPr>
                                <w:rFonts w:ascii="Cambria Math" w:eastAsia="Cambria Math" w:hAnsi="Cambria Math" w:cs="Arial"/>
                              </w:rPr>
                              <m:t>i</m:t>
                            </m:r>
                          </m:sub>
                        </m:sSub>
                        <m:r>
                          <w:rPr>
                            <w:rFonts w:ascii="Cambria Math" w:hAnsi="Cambria Math" w:cs="Arial"/>
                          </w:rPr>
                          <m:t>=1)</m:t>
                        </m:r>
                      </m:den>
                    </m:f>
                  </m:e>
                </m:d>
                <m:r>
                  <w:rPr>
                    <w:rFonts w:ascii="Cambria Math" w:eastAsia="Cambria Math" w:hAnsi="Cambria Math" w:cs="Arial"/>
                  </w:rPr>
                  <m:t>=</m:t>
                </m:r>
                <m:sSub>
                  <m:sSubPr>
                    <m:ctrlPr>
                      <w:rPr>
                        <w:rFonts w:ascii="Cambria Math" w:eastAsia="Cambria Math" w:hAnsi="Cambria Math" w:cs="Arial"/>
                      </w:rPr>
                    </m:ctrlPr>
                  </m:sSubPr>
                  <m:e>
                    <m:r>
                      <w:rPr>
                        <w:rFonts w:ascii="Cambria Math" w:eastAsia="Cambria Math" w:hAnsi="Cambria Math" w:cs="Arial"/>
                      </w:rPr>
                      <m:t>β</m:t>
                    </m:r>
                  </m:e>
                  <m:sub>
                    <m:r>
                      <w:rPr>
                        <w:rFonts w:ascii="Cambria Math" w:eastAsia="Cambria Math" w:hAnsi="Cambria Math" w:cs="Arial"/>
                      </w:rPr>
                      <m:t>0</m:t>
                    </m:r>
                  </m:sub>
                </m:sSub>
                <m:r>
                  <w:rPr>
                    <w:rFonts w:ascii="Cambria Math" w:eastAsia="Cambria Math" w:hAnsi="Cambria Math" w:cs="Arial"/>
                  </w:rPr>
                  <m:t>+∑</m:t>
                </m:r>
                <m:sSub>
                  <m:sSubPr>
                    <m:ctrlPr>
                      <w:rPr>
                        <w:rFonts w:ascii="Cambria Math" w:eastAsia="Cambria Math" w:hAnsi="Cambria Math" w:cs="Arial"/>
                      </w:rPr>
                    </m:ctrlPr>
                  </m:sSubPr>
                  <m:e>
                    <m:r>
                      <w:rPr>
                        <w:rFonts w:ascii="Cambria Math" w:eastAsia="Cambria Math" w:hAnsi="Cambria Math" w:cs="Arial"/>
                      </w:rPr>
                      <m:t>β</m:t>
                    </m:r>
                  </m:e>
                  <m:sub>
                    <m:r>
                      <w:rPr>
                        <w:rFonts w:ascii="Cambria Math" w:eastAsia="Cambria Math" w:hAnsi="Cambria Math" w:cs="Arial"/>
                      </w:rPr>
                      <m:t>1</m:t>
                    </m:r>
                  </m:sub>
                </m:sSub>
                <m:sSub>
                  <m:sSubPr>
                    <m:ctrlPr>
                      <w:rPr>
                        <w:rFonts w:ascii="Cambria Math" w:eastAsia="Cambria Math" w:hAnsi="Cambria Math" w:cs="Arial"/>
                      </w:rPr>
                    </m:ctrlPr>
                  </m:sSubPr>
                  <m:e>
                    <m:r>
                      <w:rPr>
                        <w:rFonts w:ascii="Cambria Math" w:eastAsia="Cambria Math" w:hAnsi="Cambria Math" w:cs="Arial"/>
                      </w:rPr>
                      <m:t>X</m:t>
                    </m:r>
                  </m:e>
                  <m:sub>
                    <m:r>
                      <w:rPr>
                        <w:rFonts w:ascii="Cambria Math" w:eastAsia="Cambria Math" w:hAnsi="Cambria Math" w:cs="Arial"/>
                      </w:rPr>
                      <m:t>1</m:t>
                    </m:r>
                  </m:sub>
                </m:sSub>
                <m:r>
                  <w:rPr>
                    <w:rFonts w:ascii="Cambria Math" w:eastAsia="Cambria Math" w:hAnsi="Cambria Math" w:cs="Arial"/>
                  </w:rPr>
                  <m:t xml:space="preserve">+ </m:t>
                </m:r>
                <m:sSub>
                  <m:sSubPr>
                    <m:ctrlPr>
                      <w:rPr>
                        <w:rFonts w:ascii="Cambria Math" w:eastAsia="Cambria Math" w:hAnsi="Cambria Math" w:cs="Arial"/>
                      </w:rPr>
                    </m:ctrlPr>
                  </m:sSubPr>
                  <m:e>
                    <m:r>
                      <w:rPr>
                        <w:rFonts w:ascii="Cambria Math" w:eastAsia="Cambria Math" w:hAnsi="Cambria Math" w:cs="Arial"/>
                      </w:rPr>
                      <m:t>β</m:t>
                    </m:r>
                  </m:e>
                  <m:sub>
                    <m:r>
                      <w:rPr>
                        <w:rFonts w:ascii="Cambria Math" w:eastAsia="Cambria Math" w:hAnsi="Cambria Math" w:cs="Arial"/>
                      </w:rPr>
                      <m:t>2</m:t>
                    </m:r>
                  </m:sub>
                </m:sSub>
                <m:sSub>
                  <m:sSubPr>
                    <m:ctrlPr>
                      <w:rPr>
                        <w:rFonts w:ascii="Cambria Math" w:eastAsia="Cambria Math" w:hAnsi="Cambria Math" w:cs="Arial"/>
                      </w:rPr>
                    </m:ctrlPr>
                  </m:sSubPr>
                  <m:e>
                    <m:r>
                      <w:rPr>
                        <w:rFonts w:ascii="Cambria Math" w:eastAsia="Cambria Math" w:hAnsi="Cambria Math" w:cs="Arial"/>
                      </w:rPr>
                      <m:t>X</m:t>
                    </m:r>
                  </m:e>
                  <m:sub>
                    <m:r>
                      <w:rPr>
                        <w:rFonts w:ascii="Cambria Math" w:eastAsia="Cambria Math" w:hAnsi="Cambria Math" w:cs="Arial"/>
                      </w:rPr>
                      <m:t>2</m:t>
                    </m:r>
                  </m:sub>
                </m:sSub>
                <m:r>
                  <w:rPr>
                    <w:rFonts w:ascii="Cambria Math" w:eastAsia="Cambria Math" w:hAnsi="Cambria Math" w:cs="Arial"/>
                  </w:rPr>
                  <m:t xml:space="preserve">+ </m:t>
                </m:r>
                <m:sSub>
                  <m:sSubPr>
                    <m:ctrlPr>
                      <w:rPr>
                        <w:rFonts w:ascii="Cambria Math" w:eastAsia="Cambria Math" w:hAnsi="Cambria Math" w:cs="Arial"/>
                      </w:rPr>
                    </m:ctrlPr>
                  </m:sSubPr>
                  <m:e>
                    <m:r>
                      <w:rPr>
                        <w:rFonts w:ascii="Cambria Math" w:eastAsia="Cambria Math" w:hAnsi="Cambria Math" w:cs="Arial"/>
                      </w:rPr>
                      <m:t>β</m:t>
                    </m:r>
                  </m:e>
                  <m:sub>
                    <m:r>
                      <w:rPr>
                        <w:rFonts w:ascii="Cambria Math" w:eastAsia="Cambria Math" w:hAnsi="Cambria Math" w:cs="Arial"/>
                      </w:rPr>
                      <m:t>3</m:t>
                    </m:r>
                  </m:sub>
                </m:sSub>
                <m:sSub>
                  <m:sSubPr>
                    <m:ctrlPr>
                      <w:rPr>
                        <w:rFonts w:ascii="Cambria Math" w:eastAsia="Cambria Math" w:hAnsi="Cambria Math" w:cs="Arial"/>
                      </w:rPr>
                    </m:ctrlPr>
                  </m:sSubPr>
                  <m:e>
                    <m:r>
                      <w:rPr>
                        <w:rFonts w:ascii="Cambria Math" w:eastAsia="Cambria Math" w:hAnsi="Cambria Math" w:cs="Arial"/>
                      </w:rPr>
                      <m:t>X</m:t>
                    </m:r>
                  </m:e>
                  <m:sub>
                    <m:r>
                      <w:rPr>
                        <w:rFonts w:ascii="Cambria Math" w:eastAsia="Cambria Math" w:hAnsi="Cambria Math" w:cs="Arial"/>
                      </w:rPr>
                      <m:t>3</m:t>
                    </m:r>
                  </m:sub>
                </m:sSub>
                <m:r>
                  <w:rPr>
                    <w:rFonts w:ascii="Cambria Math" w:eastAsia="Cambria Math" w:hAnsi="Cambria Math" w:cs="Arial"/>
                  </w:rPr>
                  <m:t xml:space="preserve">+ …+ </m:t>
                </m:r>
                <m:sSub>
                  <m:sSubPr>
                    <m:ctrlPr>
                      <w:rPr>
                        <w:rFonts w:ascii="Cambria Math" w:eastAsia="Cambria Math" w:hAnsi="Cambria Math" w:cs="Arial"/>
                      </w:rPr>
                    </m:ctrlPr>
                  </m:sSubPr>
                  <m:e>
                    <m:r>
                      <w:rPr>
                        <w:rFonts w:ascii="Cambria Math" w:eastAsia="Cambria Math" w:hAnsi="Cambria Math" w:cs="Arial"/>
                      </w:rPr>
                      <m:t>β</m:t>
                    </m:r>
                  </m:e>
                  <m:sub>
                    <m:r>
                      <w:rPr>
                        <w:rFonts w:ascii="Cambria Math" w:eastAsia="Cambria Math" w:hAnsi="Cambria Math" w:cs="Arial"/>
                      </w:rPr>
                      <m:t>n</m:t>
                    </m:r>
                  </m:sub>
                </m:sSub>
                <m:sSub>
                  <m:sSubPr>
                    <m:ctrlPr>
                      <w:rPr>
                        <w:rFonts w:ascii="Cambria Math" w:eastAsia="Cambria Math" w:hAnsi="Cambria Math" w:cs="Arial"/>
                      </w:rPr>
                    </m:ctrlPr>
                  </m:sSubPr>
                  <m:e>
                    <m:r>
                      <w:rPr>
                        <w:rFonts w:ascii="Cambria Math" w:eastAsia="Cambria Math" w:hAnsi="Cambria Math" w:cs="Arial"/>
                      </w:rPr>
                      <m:t>X</m:t>
                    </m:r>
                  </m:e>
                  <m:sub>
                    <m:r>
                      <w:rPr>
                        <w:rFonts w:ascii="Cambria Math" w:eastAsia="Cambria Math" w:hAnsi="Cambria Math" w:cs="Arial"/>
                      </w:rPr>
                      <m:t>n</m:t>
                    </m:r>
                  </m:sub>
                </m:sSub>
              </m:oMath>
            </m:oMathPara>
          </w:p>
        </w:tc>
        <w:tc>
          <w:tcPr>
            <w:tcW w:w="2186" w:type="dxa"/>
          </w:tcPr>
          <w:p w14:paraId="5354C57A" w14:textId="73CDCF7D" w:rsidR="00F81D57" w:rsidRPr="00587A1F" w:rsidRDefault="00F81D57" w:rsidP="00F81D57">
            <w:pPr>
              <w:keepNext/>
              <w:tabs>
                <w:tab w:val="left" w:pos="1005"/>
              </w:tabs>
              <w:jc w:val="right"/>
              <w:rPr>
                <w:rFonts w:cs="Arial"/>
              </w:rPr>
            </w:pPr>
            <w:r w:rsidRPr="00587A1F">
              <w:rPr>
                <w:rFonts w:eastAsia="Cambria Math" w:cs="Arial"/>
                <w:sz w:val="22"/>
                <w:szCs w:val="22"/>
              </w:rPr>
              <w:t>Eq. 3</w:t>
            </w:r>
          </w:p>
        </w:tc>
        <w:tc>
          <w:tcPr>
            <w:tcW w:w="3831" w:type="dxa"/>
          </w:tcPr>
          <w:p w14:paraId="7628B182" w14:textId="77777777" w:rsidR="00F81D57" w:rsidRPr="00587A1F" w:rsidRDefault="00F81D57" w:rsidP="00223CD1">
            <w:pPr>
              <w:keepNext/>
              <w:tabs>
                <w:tab w:val="left" w:pos="1005"/>
              </w:tabs>
              <w:rPr>
                <w:rFonts w:cs="Arial"/>
              </w:rPr>
            </w:pPr>
          </w:p>
        </w:tc>
      </w:tr>
    </w:tbl>
    <w:p w14:paraId="26986379" w14:textId="45434C09" w:rsidR="00F81D57" w:rsidRPr="00587A1F" w:rsidRDefault="00F81D57" w:rsidP="00F81D57">
      <w:pPr>
        <w:spacing w:after="0"/>
        <w:rPr>
          <w:rFonts w:cs="Arial"/>
        </w:rPr>
      </w:pPr>
      <w:r w:rsidRPr="00587A1F">
        <w:rPr>
          <w:rFonts w:cs="Arial"/>
        </w:rPr>
        <w:t>Where</w:t>
      </w:r>
      <w:r w:rsidR="00C8082A" w:rsidRPr="00587A1F">
        <w:rPr>
          <w:rFonts w:cs="Arial"/>
        </w:rPr>
        <w:t>:</w:t>
      </w:r>
    </w:p>
    <w:p w14:paraId="3F2CDEF1" w14:textId="55DA1837" w:rsidR="00F81D57" w:rsidRPr="00587A1F" w:rsidRDefault="00381FA9" w:rsidP="00F81D57">
      <w:pPr>
        <w:spacing w:after="0"/>
        <w:rPr>
          <w:rFonts w:cs="Arial"/>
        </w:rPr>
      </w:pPr>
      <m:oMath>
        <m:sSub>
          <m:sSubPr>
            <m:ctrlPr>
              <w:rPr>
                <w:rFonts w:ascii="Cambria Math" w:eastAsia="Cambria Math" w:hAnsi="Cambria Math" w:cs="Arial"/>
              </w:rPr>
            </m:ctrlPr>
          </m:sSubPr>
          <m:e>
            <m:r>
              <w:rPr>
                <w:rFonts w:ascii="Cambria Math" w:eastAsia="Cambria Math" w:hAnsi="Cambria Math" w:cs="Arial"/>
              </w:rPr>
              <m:t>Y</m:t>
            </m:r>
          </m:e>
          <m:sub>
            <m:r>
              <w:rPr>
                <w:rFonts w:ascii="Cambria Math" w:eastAsia="Cambria Math" w:hAnsi="Cambria Math" w:cs="Arial"/>
              </w:rPr>
              <m:t>i</m:t>
            </m:r>
          </m:sub>
        </m:sSub>
      </m:oMath>
      <w:r w:rsidR="00F81D57" w:rsidRPr="00587A1F">
        <w:rPr>
          <w:rFonts w:cs="Arial"/>
        </w:rPr>
        <w:t xml:space="preserve"> = the dependent variable (e.g.</w:t>
      </w:r>
      <w:r w:rsidR="007A2563" w:rsidRPr="00587A1F">
        <w:rPr>
          <w:rFonts w:cs="Arial"/>
        </w:rPr>
        <w:t>,</w:t>
      </w:r>
      <w:r w:rsidR="00F81D57" w:rsidRPr="00587A1F">
        <w:rPr>
          <w:rFonts w:cs="Arial"/>
        </w:rPr>
        <w:t xml:space="preserve"> Cropping system) with 1= Mixed and 0 = Mono</w:t>
      </w:r>
    </w:p>
    <w:p w14:paraId="3771900E" w14:textId="00C8C42A" w:rsidR="00F81D57" w:rsidRPr="00587A1F" w:rsidRDefault="00381FA9" w:rsidP="00F81D57">
      <w:pPr>
        <w:spacing w:after="0"/>
        <w:rPr>
          <w:rFonts w:cs="Arial"/>
        </w:rPr>
      </w:pPr>
      <m:oMath>
        <m:sSub>
          <m:sSubPr>
            <m:ctrlPr>
              <w:rPr>
                <w:rFonts w:ascii="Cambria Math" w:eastAsia="Cambria Math" w:hAnsi="Cambria Math" w:cs="Arial"/>
              </w:rPr>
            </m:ctrlPr>
          </m:sSubPr>
          <m:e>
            <m:r>
              <w:rPr>
                <w:rFonts w:ascii="Cambria Math" w:eastAsia="Cambria Math" w:hAnsi="Cambria Math" w:cs="Arial"/>
              </w:rPr>
              <m:t>β</m:t>
            </m:r>
          </m:e>
          <m:sub>
            <m:r>
              <w:rPr>
                <w:rFonts w:ascii="Cambria Math" w:eastAsia="Cambria Math" w:hAnsi="Cambria Math" w:cs="Arial"/>
              </w:rPr>
              <m:t>0</m:t>
            </m:r>
          </m:sub>
        </m:sSub>
      </m:oMath>
      <w:r w:rsidR="00F81D57" w:rsidRPr="00587A1F">
        <w:rPr>
          <w:rFonts w:cs="Arial"/>
        </w:rPr>
        <w:t xml:space="preserve"> = intercept</w:t>
      </w:r>
    </w:p>
    <w:p w14:paraId="1AB02E06" w14:textId="402F8453" w:rsidR="00F81D57" w:rsidRPr="00587A1F" w:rsidRDefault="00381FA9" w:rsidP="00F81D57">
      <w:pPr>
        <w:spacing w:after="0"/>
        <w:rPr>
          <w:rFonts w:cs="Arial"/>
        </w:rPr>
      </w:pPr>
      <m:oMath>
        <m:sSub>
          <m:sSubPr>
            <m:ctrlPr>
              <w:rPr>
                <w:rFonts w:ascii="Cambria Math" w:eastAsia="Cambria Math" w:hAnsi="Cambria Math" w:cs="Arial"/>
              </w:rPr>
            </m:ctrlPr>
          </m:sSubPr>
          <m:e>
            <m:r>
              <w:rPr>
                <w:rFonts w:ascii="Cambria Math" w:eastAsia="Cambria Math" w:hAnsi="Cambria Math" w:cs="Arial"/>
              </w:rPr>
              <m:t>β</m:t>
            </m:r>
          </m:e>
          <m:sub>
            <m:r>
              <w:rPr>
                <w:rFonts w:ascii="Cambria Math" w:eastAsia="Cambria Math" w:hAnsi="Cambria Math" w:cs="Arial"/>
              </w:rPr>
              <m:t>1</m:t>
            </m:r>
          </m:sub>
        </m:sSub>
        <m:r>
          <w:rPr>
            <w:rFonts w:ascii="Cambria Math" w:eastAsia="Cambria Math" w:hAnsi="Cambria Math" w:cs="Arial"/>
          </w:rPr>
          <m:t xml:space="preserve"> </m:t>
        </m:r>
      </m:oMath>
      <w:r w:rsidR="00E54ED2" w:rsidRPr="00587A1F">
        <w:rPr>
          <w:rFonts w:cs="Arial"/>
        </w:rPr>
        <w:t xml:space="preserve">to </w:t>
      </w:r>
      <m:oMath>
        <m:sSub>
          <m:sSubPr>
            <m:ctrlPr>
              <w:rPr>
                <w:rFonts w:ascii="Cambria Math" w:eastAsia="Cambria Math" w:hAnsi="Cambria Math" w:cs="Arial"/>
              </w:rPr>
            </m:ctrlPr>
          </m:sSubPr>
          <m:e>
            <m:r>
              <w:rPr>
                <w:rFonts w:ascii="Cambria Math" w:hAnsi="Cambria Math" w:cs="Arial"/>
              </w:rPr>
              <m:t>β</m:t>
            </m:r>
          </m:e>
          <m:sub>
            <m:r>
              <w:rPr>
                <w:rFonts w:ascii="Cambria Math" w:eastAsia="Cambria Math" w:hAnsi="Cambria Math" w:cs="Arial"/>
              </w:rPr>
              <m:t>n</m:t>
            </m:r>
          </m:sub>
        </m:sSub>
      </m:oMath>
      <w:r w:rsidR="00F81D57" w:rsidRPr="00587A1F">
        <w:rPr>
          <w:rFonts w:cs="Arial"/>
        </w:rPr>
        <w:t xml:space="preserve">= </w:t>
      </w:r>
      <w:r w:rsidR="00E54ED2" w:rsidRPr="00587A1F">
        <w:rPr>
          <w:rFonts w:cs="Arial"/>
        </w:rPr>
        <w:t xml:space="preserve">Regression coefficients </w:t>
      </w:r>
      <w:r w:rsidR="00F81D57" w:rsidRPr="00587A1F">
        <w:rPr>
          <w:rFonts w:cs="Arial"/>
        </w:rPr>
        <w:t>of</w:t>
      </w:r>
      <w:r w:rsidR="00E54ED2" w:rsidRPr="00587A1F">
        <w:rPr>
          <w:rFonts w:cs="Arial"/>
        </w:rPr>
        <w:t xml:space="preserve"> each independent variable</w:t>
      </w:r>
    </w:p>
    <w:p w14:paraId="73E253D9" w14:textId="6A2B4AB5" w:rsidR="00F81D57" w:rsidRPr="00587A1F" w:rsidRDefault="00381FA9" w:rsidP="00F81D57">
      <w:pPr>
        <w:spacing w:after="0"/>
        <w:rPr>
          <w:rFonts w:cs="Arial"/>
        </w:rPr>
      </w:pPr>
      <m:oMath>
        <m:sSub>
          <m:sSubPr>
            <m:ctrlPr>
              <w:rPr>
                <w:rFonts w:ascii="Cambria Math" w:eastAsia="Cambria Math" w:hAnsi="Cambria Math" w:cs="Arial"/>
              </w:rPr>
            </m:ctrlPr>
          </m:sSubPr>
          <m:e>
            <m:r>
              <w:rPr>
                <w:rFonts w:ascii="Cambria Math" w:eastAsia="Cambria Math" w:hAnsi="Cambria Math" w:cs="Arial"/>
              </w:rPr>
              <m:t>X</m:t>
            </m:r>
          </m:e>
          <m:sub>
            <m:r>
              <w:rPr>
                <w:rFonts w:ascii="Cambria Math" w:eastAsia="Cambria Math" w:hAnsi="Cambria Math" w:cs="Arial"/>
              </w:rPr>
              <m:t>1</m:t>
            </m:r>
          </m:sub>
        </m:sSub>
      </m:oMath>
      <w:r w:rsidR="00E54ED2" w:rsidRPr="00587A1F">
        <w:rPr>
          <w:rFonts w:cs="Arial"/>
        </w:rPr>
        <w:t xml:space="preserve"> to </w:t>
      </w:r>
      <m:oMath>
        <m:sSub>
          <m:sSubPr>
            <m:ctrlPr>
              <w:rPr>
                <w:rFonts w:ascii="Cambria Math" w:eastAsia="Cambria Math" w:hAnsi="Cambria Math" w:cs="Arial"/>
              </w:rPr>
            </m:ctrlPr>
          </m:sSubPr>
          <m:e>
            <m:r>
              <w:rPr>
                <w:rFonts w:ascii="Cambria Math" w:eastAsia="Cambria Math" w:hAnsi="Cambria Math" w:cs="Arial"/>
              </w:rPr>
              <m:t>X</m:t>
            </m:r>
          </m:e>
          <m:sub>
            <m:r>
              <w:rPr>
                <w:rFonts w:ascii="Cambria Math" w:eastAsia="Cambria Math" w:hAnsi="Cambria Math" w:cs="Arial"/>
              </w:rPr>
              <m:t>n</m:t>
            </m:r>
          </m:sub>
        </m:sSub>
      </m:oMath>
      <w:r w:rsidR="00F81D57" w:rsidRPr="00587A1F">
        <w:rPr>
          <w:rFonts w:cs="Arial"/>
        </w:rPr>
        <w:t xml:space="preserve"> = the independent variables</w:t>
      </w:r>
    </w:p>
    <w:p w14:paraId="4CB7AA76" w14:textId="4B63FA92" w:rsidR="00F81D57" w:rsidRPr="00587A1F" w:rsidRDefault="00756867" w:rsidP="00F81D57">
      <w:pPr>
        <w:spacing w:after="0"/>
        <w:rPr>
          <w:rFonts w:cs="Arial"/>
        </w:rPr>
      </w:pPr>
      <m:oMath>
        <m:r>
          <w:rPr>
            <w:rFonts w:ascii="Cambria Math" w:hAnsi="Cambria Math" w:cs="Arial"/>
          </w:rPr>
          <w:lastRenderedPageBreak/>
          <m:t>P(</m:t>
        </m:r>
        <m:sSub>
          <m:sSubPr>
            <m:ctrlPr>
              <w:rPr>
                <w:rFonts w:ascii="Cambria Math" w:eastAsia="Cambria Math" w:hAnsi="Cambria Math" w:cs="Arial"/>
              </w:rPr>
            </m:ctrlPr>
          </m:sSubPr>
          <m:e>
            <m:r>
              <w:rPr>
                <w:rFonts w:ascii="Cambria Math" w:eastAsia="Cambria Math" w:hAnsi="Cambria Math" w:cs="Arial"/>
              </w:rPr>
              <m:t>Y</m:t>
            </m:r>
          </m:e>
          <m:sub>
            <m:r>
              <w:rPr>
                <w:rFonts w:ascii="Cambria Math" w:eastAsia="Cambria Math" w:hAnsi="Cambria Math" w:cs="Arial"/>
              </w:rPr>
              <m:t>i</m:t>
            </m:r>
          </m:sub>
        </m:sSub>
        <m:r>
          <w:rPr>
            <w:rFonts w:ascii="Cambria Math" w:hAnsi="Cambria Math" w:cs="Arial"/>
          </w:rPr>
          <m:t>=1)</m:t>
        </m:r>
      </m:oMath>
      <w:r w:rsidR="00F81D57" w:rsidRPr="00587A1F">
        <w:rPr>
          <w:rFonts w:cs="Arial"/>
        </w:rPr>
        <w:t>= probability of farmers to</w:t>
      </w:r>
      <w:r w:rsidR="00996638" w:rsidRPr="00587A1F">
        <w:rPr>
          <w:rFonts w:cs="Arial"/>
        </w:rPr>
        <w:t xml:space="preserve"> use mixed cropping system</w:t>
      </w:r>
    </w:p>
    <w:p w14:paraId="3D1349CF" w14:textId="28C291E6" w:rsidR="00F81D57" w:rsidRPr="00587A1F" w:rsidRDefault="00756867" w:rsidP="00F81D57">
      <w:pPr>
        <w:rPr>
          <w:rFonts w:eastAsiaTheme="minorEastAsia" w:cs="Arial"/>
        </w:rPr>
      </w:pPr>
      <m:oMath>
        <m:r>
          <w:rPr>
            <w:rFonts w:ascii="Cambria Math" w:hAnsi="Cambria Math" w:cs="Arial"/>
          </w:rPr>
          <m:t>1-P(</m:t>
        </m:r>
        <m:sSub>
          <m:sSubPr>
            <m:ctrlPr>
              <w:rPr>
                <w:rFonts w:ascii="Cambria Math" w:eastAsia="Cambria Math" w:hAnsi="Cambria Math" w:cs="Arial"/>
              </w:rPr>
            </m:ctrlPr>
          </m:sSubPr>
          <m:e>
            <m:r>
              <w:rPr>
                <w:rFonts w:ascii="Cambria Math" w:eastAsia="Cambria Math" w:hAnsi="Cambria Math" w:cs="Arial"/>
              </w:rPr>
              <m:t>Y</m:t>
            </m:r>
          </m:e>
          <m:sub>
            <m:r>
              <w:rPr>
                <w:rFonts w:ascii="Cambria Math" w:eastAsia="Cambria Math" w:hAnsi="Cambria Math" w:cs="Arial"/>
              </w:rPr>
              <m:t>i</m:t>
            </m:r>
          </m:sub>
        </m:sSub>
        <m:r>
          <w:rPr>
            <w:rFonts w:ascii="Cambria Math" w:hAnsi="Cambria Math" w:cs="Arial"/>
          </w:rPr>
          <m:t>=1</m:t>
        </m:r>
      </m:oMath>
      <w:r w:rsidRPr="00587A1F">
        <w:rPr>
          <w:rFonts w:cs="Arial"/>
        </w:rPr>
        <w:t xml:space="preserve">) </w:t>
      </w:r>
      <w:r w:rsidR="00F81D57" w:rsidRPr="00587A1F">
        <w:rPr>
          <w:rFonts w:cs="Arial"/>
        </w:rPr>
        <w:t xml:space="preserve">= probability of farmers </w:t>
      </w:r>
      <w:r w:rsidR="00996638" w:rsidRPr="00587A1F">
        <w:rPr>
          <w:rFonts w:cs="Arial"/>
        </w:rPr>
        <w:t>to use mono cropping system</w:t>
      </w:r>
    </w:p>
    <w:p w14:paraId="53AE03F2" w14:textId="1C6D6730" w:rsidR="00996638" w:rsidRPr="00587A1F" w:rsidRDefault="00F81D57" w:rsidP="00F81D57">
      <w:pPr>
        <w:rPr>
          <w:rFonts w:cs="Arial"/>
        </w:rPr>
      </w:pPr>
      <w:r w:rsidRPr="00587A1F">
        <w:rPr>
          <w:rFonts w:cs="Arial"/>
        </w:rPr>
        <w:t>Stepwise regression using backward stepwise selection in</w:t>
      </w:r>
      <w:r w:rsidR="004B424B" w:rsidRPr="00587A1F">
        <w:rPr>
          <w:rFonts w:cs="Arial"/>
        </w:rPr>
        <w:t xml:space="preserve"> step Akaike information Criterion</w:t>
      </w:r>
      <w:r w:rsidRPr="00587A1F">
        <w:rPr>
          <w:rFonts w:cs="Arial"/>
        </w:rPr>
        <w:t xml:space="preserve"> “</w:t>
      </w:r>
      <w:proofErr w:type="spellStart"/>
      <w:r w:rsidRPr="00587A1F">
        <w:rPr>
          <w:rFonts w:cs="Arial"/>
        </w:rPr>
        <w:t>stepAIC</w:t>
      </w:r>
      <w:proofErr w:type="spellEnd"/>
      <w:r w:rsidRPr="00587A1F">
        <w:rPr>
          <w:rFonts w:cs="Arial"/>
        </w:rPr>
        <w:t xml:space="preserve">” function of MASS package </w:t>
      </w:r>
      <w:r w:rsidRPr="00587A1F">
        <w:rPr>
          <w:rFonts w:cs="Arial"/>
        </w:rPr>
        <w:fldChar w:fldCharType="begin"/>
      </w:r>
      <w:r w:rsidRPr="00587A1F">
        <w:rPr>
          <w:rFonts w:cs="Arial"/>
        </w:rPr>
        <w:instrText xml:space="preserve"> ADDIN ZOTERO_ITEM CSL_CITATION {"citationID":"a11sk1lm0q0","properties":{"formattedCitation":"(Venables &amp; Ripley, 2002)","plainCitation":"(Venables &amp; Ripley, 2002)","noteIndex":0},"citationItems":[{"id":2304,"uris":["http://zotero.org/users/5110088/items/3URBQKEN"],"itemData":{"id":2304,"type":"book","edition":"Fourth","event-place":"New York","publisher":"Springer","publisher-place":"New York","title":"Modern Applied Statistics with S","URL":"https://www.stats.ox.ac.uk/pub/MASS4/","author":[{"family":"Venables","given":"W. N."},{"family":"Ripley","given":"B. D."}],"issued":{"date-parts":[["2002"]]}}}],"schema":"https://github.com/citation-style-language/schema/raw/master/csl-citation.json"} </w:instrText>
      </w:r>
      <w:r w:rsidRPr="00587A1F">
        <w:rPr>
          <w:rFonts w:cs="Arial"/>
        </w:rPr>
        <w:fldChar w:fldCharType="separate"/>
      </w:r>
      <w:r w:rsidRPr="00587A1F">
        <w:rPr>
          <w:rFonts w:cs="Arial"/>
        </w:rPr>
        <w:t>(Venables &amp; Ripley, 2002)</w:t>
      </w:r>
      <w:r w:rsidRPr="00587A1F">
        <w:rPr>
          <w:rFonts w:cs="Arial"/>
        </w:rPr>
        <w:fldChar w:fldCharType="end"/>
      </w:r>
      <w:r w:rsidRPr="00587A1F">
        <w:rPr>
          <w:rFonts w:cs="Arial"/>
        </w:rPr>
        <w:t xml:space="preserve"> was done to identify key predictors </w:t>
      </w:r>
      <w:r w:rsidR="00996638" w:rsidRPr="00587A1F">
        <w:rPr>
          <w:rFonts w:cs="Arial"/>
        </w:rPr>
        <w:t>in a logistic regression model retaining the model</w:t>
      </w:r>
      <w:r w:rsidR="00C608E9" w:rsidRPr="00587A1F">
        <w:rPr>
          <w:rFonts w:cs="Arial"/>
        </w:rPr>
        <w:t>s</w:t>
      </w:r>
      <w:r w:rsidR="00996638" w:rsidRPr="00587A1F">
        <w:rPr>
          <w:rFonts w:cs="Arial"/>
        </w:rPr>
        <w:t xml:space="preserve"> with the </w:t>
      </w:r>
      <w:r w:rsidR="00C608E9" w:rsidRPr="00587A1F">
        <w:rPr>
          <w:rFonts w:cs="Arial"/>
        </w:rPr>
        <w:t xml:space="preserve">lowest AIC, implying </w:t>
      </w:r>
      <w:r w:rsidRPr="00587A1F">
        <w:rPr>
          <w:rFonts w:cs="Arial"/>
        </w:rPr>
        <w:t>the most significant predictors</w:t>
      </w:r>
      <w:r w:rsidR="00996638" w:rsidRPr="00587A1F">
        <w:rPr>
          <w:rFonts w:cs="Arial"/>
        </w:rPr>
        <w:t xml:space="preserve"> to enhance </w:t>
      </w:r>
      <w:r w:rsidRPr="00587A1F">
        <w:rPr>
          <w:rFonts w:cs="Arial"/>
        </w:rPr>
        <w:t>interpretability of the results.</w:t>
      </w:r>
    </w:p>
    <w:p w14:paraId="60838E1F" w14:textId="209C3269" w:rsidR="00353B71" w:rsidRPr="00587A1F" w:rsidRDefault="004D2C5A" w:rsidP="00924D7C">
      <w:pPr>
        <w:pStyle w:val="Heading1"/>
        <w:rPr>
          <w:rFonts w:cs="Arial"/>
        </w:rPr>
      </w:pPr>
      <w:bookmarkStart w:id="16" w:name="_Toc176788507"/>
      <w:r w:rsidRPr="00587A1F">
        <w:rPr>
          <w:rFonts w:cs="Arial"/>
        </w:rPr>
        <w:t>Results</w:t>
      </w:r>
      <w:bookmarkEnd w:id="16"/>
      <w:r w:rsidR="00DB7A3D" w:rsidRPr="00587A1F">
        <w:rPr>
          <w:rFonts w:cs="Arial"/>
        </w:rPr>
        <w:t xml:space="preserve"> and discussion</w:t>
      </w:r>
    </w:p>
    <w:p w14:paraId="31F02A4E" w14:textId="77777777" w:rsidR="00353B71" w:rsidRPr="00587A1F" w:rsidRDefault="00353B71" w:rsidP="00924D7C">
      <w:pPr>
        <w:pStyle w:val="ListParagraph"/>
        <w:keepNext/>
        <w:keepLines/>
        <w:numPr>
          <w:ilvl w:val="0"/>
          <w:numId w:val="1"/>
        </w:numPr>
        <w:spacing w:beforeAutospacing="1" w:after="0"/>
        <w:contextualSpacing w:val="0"/>
        <w:outlineLvl w:val="1"/>
        <w:rPr>
          <w:rFonts w:eastAsia="Times New Roman" w:cs="Arial"/>
          <w:b/>
          <w:vanish/>
          <w:szCs w:val="26"/>
        </w:rPr>
      </w:pPr>
      <w:bookmarkStart w:id="17" w:name="_Toc176788508"/>
      <w:bookmarkStart w:id="18" w:name="_Toc176788384"/>
      <w:bookmarkStart w:id="19" w:name="_Toc173159207"/>
      <w:bookmarkStart w:id="20" w:name="_Toc173158625"/>
      <w:bookmarkStart w:id="21" w:name="_Toc173158500"/>
      <w:bookmarkStart w:id="22" w:name="_Toc172881687"/>
      <w:bookmarkStart w:id="23" w:name="_Toc172881564"/>
      <w:bookmarkEnd w:id="17"/>
      <w:bookmarkEnd w:id="18"/>
      <w:bookmarkEnd w:id="19"/>
      <w:bookmarkEnd w:id="20"/>
      <w:bookmarkEnd w:id="21"/>
      <w:bookmarkEnd w:id="22"/>
      <w:bookmarkEnd w:id="23"/>
    </w:p>
    <w:p w14:paraId="56EDDF7B" w14:textId="05ACFEB4" w:rsidR="00F341D1" w:rsidRPr="00587A1F" w:rsidRDefault="00F341D1" w:rsidP="00BC0C1B">
      <w:pPr>
        <w:pStyle w:val="Heading2"/>
        <w:spacing w:before="100" w:after="100"/>
        <w:rPr>
          <w:rFonts w:cs="Arial"/>
        </w:rPr>
      </w:pPr>
      <w:bookmarkStart w:id="24" w:name="_Toc176788512"/>
      <w:bookmarkStart w:id="25" w:name="_Toc176788510"/>
      <w:r w:rsidRPr="00587A1F">
        <w:rPr>
          <w:rFonts w:cs="Arial"/>
        </w:rPr>
        <w:t xml:space="preserve">Characteristics of </w:t>
      </w:r>
      <w:r w:rsidR="009C50A2" w:rsidRPr="00587A1F">
        <w:rPr>
          <w:rFonts w:cs="Arial"/>
        </w:rPr>
        <w:t xml:space="preserve">dryland </w:t>
      </w:r>
      <w:r w:rsidRPr="00587A1F">
        <w:rPr>
          <w:rFonts w:cs="Arial"/>
        </w:rPr>
        <w:t>farming</w:t>
      </w:r>
      <w:bookmarkEnd w:id="24"/>
    </w:p>
    <w:p w14:paraId="306D0E97" w14:textId="79F253D7" w:rsidR="00F60786" w:rsidRPr="00587A1F" w:rsidRDefault="00F341D1" w:rsidP="00F60786">
      <w:pPr>
        <w:rPr>
          <w:rFonts w:cs="Arial"/>
          <w:szCs w:val="24"/>
        </w:rPr>
      </w:pPr>
      <w:r w:rsidRPr="00587A1F">
        <w:rPr>
          <w:rFonts w:cs="Arial"/>
        </w:rPr>
        <w:t xml:space="preserve">The results of farming practices presented in </w:t>
      </w:r>
      <w:r w:rsidR="00F23D69" w:rsidRPr="00587A1F">
        <w:rPr>
          <w:rFonts w:cs="Arial"/>
        </w:rPr>
        <w:t xml:space="preserve">Figure </w:t>
      </w:r>
      <w:r w:rsidR="001504FE" w:rsidRPr="00587A1F">
        <w:rPr>
          <w:rFonts w:cs="Arial"/>
        </w:rPr>
        <w:t>1</w:t>
      </w:r>
      <w:r w:rsidR="00D606D9" w:rsidRPr="00587A1F">
        <w:rPr>
          <w:rFonts w:cs="Arial"/>
        </w:rPr>
        <w:t xml:space="preserve"> </w:t>
      </w:r>
      <w:r w:rsidRPr="00587A1F">
        <w:rPr>
          <w:rFonts w:cs="Arial"/>
        </w:rPr>
        <w:t>shows that 75% of the farmers produce their crops in less than 2 acres of land, indicating that majority of the hous</w:t>
      </w:r>
      <w:r w:rsidR="00F60786" w:rsidRPr="00587A1F">
        <w:rPr>
          <w:rFonts w:cs="Arial"/>
        </w:rPr>
        <w:t xml:space="preserve">eholds are smallholder farmers. </w:t>
      </w:r>
      <w:r w:rsidR="00F60786" w:rsidRPr="00587A1F">
        <w:rPr>
          <w:rFonts w:cs="Arial"/>
          <w:szCs w:val="24"/>
        </w:rPr>
        <w:t xml:space="preserve">Despite </w:t>
      </w:r>
      <w:r w:rsidR="000C3299" w:rsidRPr="00587A1F">
        <w:rPr>
          <w:rFonts w:cs="Arial"/>
          <w:szCs w:val="24"/>
        </w:rPr>
        <w:t xml:space="preserve">the field observation showing that </w:t>
      </w:r>
      <w:r w:rsidR="00F60786" w:rsidRPr="00587A1F">
        <w:rPr>
          <w:rFonts w:cs="Arial"/>
          <w:szCs w:val="24"/>
        </w:rPr>
        <w:t xml:space="preserve">most of the households own relatively large farm holding, the limited space allocated for crop production could </w:t>
      </w:r>
      <w:r w:rsidR="005C3E0B" w:rsidRPr="00587A1F">
        <w:rPr>
          <w:rFonts w:cs="Arial"/>
          <w:szCs w:val="24"/>
        </w:rPr>
        <w:t>be</w:t>
      </w:r>
      <w:r w:rsidR="009C50A2" w:rsidRPr="00587A1F">
        <w:rPr>
          <w:rFonts w:cs="Arial"/>
          <w:szCs w:val="24"/>
        </w:rPr>
        <w:t xml:space="preserve"> </w:t>
      </w:r>
      <w:r w:rsidR="005C3E0B" w:rsidRPr="00587A1F">
        <w:rPr>
          <w:rFonts w:cs="Arial"/>
          <w:szCs w:val="24"/>
        </w:rPr>
        <w:t xml:space="preserve">attributed to a number of reasons. Firstly, it is an indicator of </w:t>
      </w:r>
      <w:r w:rsidR="00F60786" w:rsidRPr="00587A1F">
        <w:rPr>
          <w:rFonts w:cs="Arial"/>
          <w:szCs w:val="24"/>
        </w:rPr>
        <w:t>trade-off with livestock husbandry</w:t>
      </w:r>
      <w:r w:rsidR="00BD09C3" w:rsidRPr="00587A1F">
        <w:rPr>
          <w:rFonts w:cs="Arial"/>
          <w:szCs w:val="24"/>
        </w:rPr>
        <w:t xml:space="preserve"> leading to more land </w:t>
      </w:r>
      <w:r w:rsidR="005C3E0B" w:rsidRPr="00587A1F">
        <w:rPr>
          <w:rFonts w:cs="Arial"/>
          <w:szCs w:val="24"/>
        </w:rPr>
        <w:t xml:space="preserve">allocated </w:t>
      </w:r>
      <w:r w:rsidR="00BD09C3" w:rsidRPr="00587A1F">
        <w:rPr>
          <w:rFonts w:cs="Arial"/>
          <w:szCs w:val="24"/>
        </w:rPr>
        <w:t>as</w:t>
      </w:r>
      <w:r w:rsidR="005C3E0B" w:rsidRPr="00587A1F">
        <w:rPr>
          <w:rFonts w:cs="Arial"/>
          <w:szCs w:val="24"/>
        </w:rPr>
        <w:t xml:space="preserve"> grazing fields. Secondly, </w:t>
      </w:r>
      <w:r w:rsidR="00D86CD1" w:rsidRPr="00587A1F">
        <w:rPr>
          <w:rFonts w:cs="Arial"/>
          <w:szCs w:val="24"/>
        </w:rPr>
        <w:t xml:space="preserve">limited financial capacity </w:t>
      </w:r>
      <w:r w:rsidR="00BD09C3" w:rsidRPr="00587A1F">
        <w:rPr>
          <w:rFonts w:cs="Arial"/>
          <w:szCs w:val="24"/>
        </w:rPr>
        <w:t xml:space="preserve">since most of the farmers in this region have low access to credit </w:t>
      </w:r>
      <w:r w:rsidR="00BD09C3" w:rsidRPr="00587A1F">
        <w:rPr>
          <w:rFonts w:cs="Arial"/>
          <w:szCs w:val="24"/>
        </w:rPr>
        <w:fldChar w:fldCharType="begin"/>
      </w:r>
      <w:r w:rsidR="00BD09C3" w:rsidRPr="00587A1F">
        <w:rPr>
          <w:rFonts w:cs="Arial"/>
          <w:szCs w:val="24"/>
        </w:rPr>
        <w:instrText xml:space="preserve"> ADDIN ZOTERO_ITEM CSL_CITATION {"citationID":"xwWBoSQf","properties":{"formattedCitation":"(Bostedt et al., 2021)","plainCitation":"(Bostedt et al., 2021)","noteIndex":0},"citationItems":[{"id":6551,"uris":["http://zotero.org/users/5110088/items/VNRBKE6M"],"itemData":{"id":6551,"type":"article-journal","abstract":"Financial inclusion is an important development impetus, where knowledge of saving and borrowing behaviour provides valuable insights. This study focuses on access to and use of financial services among agropastoralists in rural Kenya, using survey-based household data from 2007 and 2017. Surveys show that households with savings increased from about 57% to 71%—coinciding with increased access to financial training and growing use of informal group-based savings organizations. Share of households that had access to credit also increased during this period, from about 26% to 54%. Support to group-based savings organizations can stimulate financial inclusion among agropastoralists.","container-title":"Journal of International Development","DOI":"10.1002/jid.3560","ISSN":"1099-1328","issue":"6","language":"en","license":"© 2021 The Authors. Journal of International Development published by John Wiley &amp; Sons Ltd.","note":"_eprint: https://onlinelibrary.wiley.com/doi/pdf/10.1002/jid.3560","page":"1043-1062","source":"Wiley Online Library","title":"Saving and borrowing behaviour among agropastoralists in West Pokot County, Kenya","volume":"33","author":[{"family":"Bostedt","given":"Göran"},{"family":"Mukoya","given":"Lonah"},{"family":"Muricho","given":"Deborah"},{"family":"Nyberg","given":"Gert"}],"issued":{"date-parts":[["2021"]]}}}],"schema":"https://github.com/citation-style-language/schema/raw/master/csl-citation.json"} </w:instrText>
      </w:r>
      <w:r w:rsidR="00BD09C3" w:rsidRPr="00587A1F">
        <w:rPr>
          <w:rFonts w:cs="Arial"/>
          <w:szCs w:val="24"/>
        </w:rPr>
        <w:fldChar w:fldCharType="separate"/>
      </w:r>
      <w:r w:rsidR="00BD09C3" w:rsidRPr="00587A1F">
        <w:rPr>
          <w:rFonts w:cs="Arial"/>
        </w:rPr>
        <w:t>(Bostedt et al., 2021)</w:t>
      </w:r>
      <w:r w:rsidR="00BD09C3" w:rsidRPr="00587A1F">
        <w:rPr>
          <w:rFonts w:cs="Arial"/>
          <w:szCs w:val="24"/>
        </w:rPr>
        <w:fldChar w:fldCharType="end"/>
      </w:r>
      <w:r w:rsidR="005C3E0B" w:rsidRPr="00587A1F">
        <w:rPr>
          <w:rFonts w:cs="Arial"/>
          <w:szCs w:val="24"/>
        </w:rPr>
        <w:t xml:space="preserve">. Thirdly, this indicates the </w:t>
      </w:r>
      <w:r w:rsidR="00F60786" w:rsidRPr="00587A1F">
        <w:rPr>
          <w:rFonts w:cs="Arial"/>
          <w:szCs w:val="24"/>
        </w:rPr>
        <w:t xml:space="preserve">gradual increase in </w:t>
      </w:r>
      <w:r w:rsidR="005C3E0B" w:rsidRPr="00587A1F">
        <w:rPr>
          <w:rFonts w:cs="Arial"/>
          <w:szCs w:val="24"/>
        </w:rPr>
        <w:t xml:space="preserve">land under </w:t>
      </w:r>
      <w:r w:rsidR="00F60786" w:rsidRPr="00587A1F">
        <w:rPr>
          <w:rFonts w:cs="Arial"/>
          <w:szCs w:val="24"/>
        </w:rPr>
        <w:t xml:space="preserve">crop production </w:t>
      </w:r>
      <w:r w:rsidR="000B22C1" w:rsidRPr="00587A1F">
        <w:rPr>
          <w:rFonts w:cs="Arial"/>
          <w:szCs w:val="24"/>
        </w:rPr>
        <w:t xml:space="preserve">with positive climate change </w:t>
      </w:r>
      <w:r w:rsidR="00F60786" w:rsidRPr="00587A1F">
        <w:rPr>
          <w:rFonts w:cs="Arial"/>
          <w:szCs w:val="24"/>
        </w:rPr>
        <w:t xml:space="preserve">given that historically </w:t>
      </w:r>
      <w:r w:rsidR="007A2563" w:rsidRPr="00587A1F">
        <w:rPr>
          <w:rFonts w:cs="Arial"/>
          <w:szCs w:val="24"/>
        </w:rPr>
        <w:t>these farmers</w:t>
      </w:r>
      <w:r w:rsidR="00F60786" w:rsidRPr="00587A1F">
        <w:rPr>
          <w:rFonts w:cs="Arial"/>
          <w:szCs w:val="24"/>
        </w:rPr>
        <w:t xml:space="preserve"> were known for being nomadic pastoralist</w:t>
      </w:r>
      <w:r w:rsidR="000B22C1" w:rsidRPr="00587A1F">
        <w:rPr>
          <w:rFonts w:cs="Arial"/>
          <w:szCs w:val="24"/>
        </w:rPr>
        <w:t xml:space="preserve"> </w:t>
      </w:r>
      <w:r w:rsidR="000B22C1" w:rsidRPr="00587A1F">
        <w:rPr>
          <w:rFonts w:cs="Arial"/>
          <w:szCs w:val="24"/>
        </w:rPr>
        <w:fldChar w:fldCharType="begin"/>
      </w:r>
      <w:r w:rsidR="000B22C1" w:rsidRPr="00587A1F">
        <w:rPr>
          <w:rFonts w:cs="Arial"/>
          <w:szCs w:val="24"/>
        </w:rPr>
        <w:instrText xml:space="preserve"> ADDIN ZOTERO_ITEM CSL_CITATION {"citationID":"seYFXUHo","properties":{"formattedCitation":"(Kiplagat et al., 2023)","plainCitation":"(Kiplagat et al., 2023)","noteIndex":0},"citationItems":[{"id":6556,"uris":["http://zotero.org/users/5110088/items/Z24G6W8Y"],"itemData":{"id":6556,"type":"article-journal","container-title":"East African Agricultural and Forestry Journal","ISSN":"0012-8325","issue":"3&amp;4","journalAbbreviation":"East African Agricultural and Forestry Journal","page":"20-20","title":"Effect of Climate Variability on Agricultural Yields in West Pokot County, Kenya","volume":"87","author":[{"family":"Kiplagat","given":"WK"},{"family":"Ouma","given":"GO"},{"family":"Ali","given":"AA"},{"family":"Omondi","given":"PO"},{"family":"Lolemtum","given":"JT"}],"issued":{"date-parts":[["2023"]]}}}],"schema":"https://github.com/citation-style-language/schema/raw/master/csl-citation.json"} </w:instrText>
      </w:r>
      <w:r w:rsidR="000B22C1" w:rsidRPr="00587A1F">
        <w:rPr>
          <w:rFonts w:cs="Arial"/>
          <w:szCs w:val="24"/>
        </w:rPr>
        <w:fldChar w:fldCharType="separate"/>
      </w:r>
      <w:r w:rsidR="000B22C1" w:rsidRPr="00587A1F">
        <w:rPr>
          <w:rFonts w:cs="Arial"/>
        </w:rPr>
        <w:t>(Kiplagat et al., 2023)</w:t>
      </w:r>
      <w:r w:rsidR="000B22C1" w:rsidRPr="00587A1F">
        <w:rPr>
          <w:rFonts w:cs="Arial"/>
          <w:szCs w:val="24"/>
        </w:rPr>
        <w:fldChar w:fldCharType="end"/>
      </w:r>
      <w:r w:rsidR="005C3E0B" w:rsidRPr="00587A1F">
        <w:rPr>
          <w:rFonts w:cs="Arial"/>
          <w:szCs w:val="24"/>
        </w:rPr>
        <w:t xml:space="preserve">. </w:t>
      </w:r>
      <w:r w:rsidR="00AE170D" w:rsidRPr="00587A1F">
        <w:rPr>
          <w:rFonts w:cs="Arial"/>
          <w:szCs w:val="24"/>
        </w:rPr>
        <w:t>Fourthly</w:t>
      </w:r>
      <w:r w:rsidR="00FD442F" w:rsidRPr="00587A1F">
        <w:rPr>
          <w:rFonts w:cs="Arial"/>
          <w:szCs w:val="24"/>
        </w:rPr>
        <w:t>, th</w:t>
      </w:r>
      <w:r w:rsidR="009C50A2" w:rsidRPr="00587A1F">
        <w:rPr>
          <w:rFonts w:cs="Arial"/>
          <w:szCs w:val="24"/>
        </w:rPr>
        <w:t xml:space="preserve">e </w:t>
      </w:r>
      <w:r w:rsidR="00FD442F" w:rsidRPr="00587A1F">
        <w:rPr>
          <w:rFonts w:cs="Arial"/>
          <w:szCs w:val="24"/>
        </w:rPr>
        <w:t>s</w:t>
      </w:r>
      <w:r w:rsidR="00D7768F" w:rsidRPr="00587A1F">
        <w:rPr>
          <w:rFonts w:cs="Arial"/>
          <w:szCs w:val="24"/>
        </w:rPr>
        <w:t xml:space="preserve">evere land degradation reducing arable farm sizes as observed by Churu </w:t>
      </w:r>
      <w:r w:rsidR="00D7768F" w:rsidRPr="00587A1F">
        <w:rPr>
          <w:rFonts w:cs="Arial"/>
          <w:i/>
          <w:iCs/>
          <w:szCs w:val="24"/>
        </w:rPr>
        <w:t>et al.</w:t>
      </w:r>
      <w:r w:rsidR="00D7768F" w:rsidRPr="00587A1F">
        <w:rPr>
          <w:rFonts w:cs="Arial"/>
          <w:szCs w:val="24"/>
        </w:rPr>
        <w:t xml:space="preserve"> (2024)</w:t>
      </w:r>
      <w:r w:rsidR="009C50A2" w:rsidRPr="00587A1F">
        <w:rPr>
          <w:rFonts w:cs="Arial"/>
          <w:szCs w:val="24"/>
        </w:rPr>
        <w:t xml:space="preserve"> and l</w:t>
      </w:r>
      <w:r w:rsidR="00FD442F" w:rsidRPr="00587A1F">
        <w:rPr>
          <w:rFonts w:cs="Arial"/>
          <w:szCs w:val="24"/>
        </w:rPr>
        <w:t>astly,</w:t>
      </w:r>
      <w:r w:rsidR="004825CC" w:rsidRPr="00587A1F">
        <w:rPr>
          <w:rFonts w:cs="Arial"/>
          <w:szCs w:val="24"/>
        </w:rPr>
        <w:t xml:space="preserve"> </w:t>
      </w:r>
      <w:r w:rsidR="00FD442F" w:rsidRPr="00587A1F">
        <w:rPr>
          <w:rFonts w:cs="Arial"/>
          <w:szCs w:val="24"/>
        </w:rPr>
        <w:t xml:space="preserve">increasing household population and land fragmentation, thus reducing arable land sizes. </w:t>
      </w:r>
      <w:r w:rsidR="00F60786" w:rsidRPr="00587A1F">
        <w:rPr>
          <w:rFonts w:cs="Arial"/>
          <w:szCs w:val="24"/>
        </w:rPr>
        <w:t xml:space="preserve">This result corroborates well with the findings of </w:t>
      </w:r>
      <w:r w:rsidR="00F60786" w:rsidRPr="00587A1F">
        <w:rPr>
          <w:rFonts w:cs="Arial"/>
        </w:rPr>
        <w:fldChar w:fldCharType="begin"/>
      </w:r>
      <w:r w:rsidR="00DB1FF5" w:rsidRPr="00587A1F">
        <w:rPr>
          <w:rFonts w:cs="Arial"/>
          <w:szCs w:val="24"/>
        </w:rPr>
        <w:instrText xml:space="preserve"> ADDIN ZOTERO_ITEM CSL_CITATION {"citationID":"l4Oe9vUy","properties":{"formattedCitation":"(F. Wamalwa et al., 2024)","plainCitation":"(F. Wamalwa et al., 2024)","dontUpdate":true,"noteIndex":0},"citationItems":[{"id":2569,"uris":["http://zotero.org/users/5110088/items/HKCLZ4FW"],"itemData":{"id":2569,"type":"article-journal","title":"The effect of socioeconomic factors on household agro-enterprise incomes amongst dryland farming communities in Chepareria ward, Kenya","author":[{"family":"Wamalwa","given":"Fred"},{"family":"Nge’tich","given":"Wilson"},{"family":"Kebeney","given":"Syphyline"},{"family":"Alkamoi","given":"Boniface"},{"family":"Churu","given":"Harrison"}],"issued":{"date-parts":[["2024"]]}}}],"schema":"https://github.com/citation-style-language/schema/raw/master/csl-citation.json"} </w:instrText>
      </w:r>
      <w:r w:rsidR="00F60786" w:rsidRPr="00587A1F">
        <w:rPr>
          <w:rFonts w:cs="Arial"/>
          <w:szCs w:val="24"/>
        </w:rPr>
        <w:fldChar w:fldCharType="separate"/>
      </w:r>
      <w:r w:rsidR="00F60786" w:rsidRPr="00587A1F">
        <w:rPr>
          <w:rFonts w:cs="Arial"/>
        </w:rPr>
        <w:t>(Wamalwa et al., 2024)</w:t>
      </w:r>
      <w:r w:rsidR="00F60786" w:rsidRPr="00587A1F">
        <w:rPr>
          <w:rFonts w:cs="Arial"/>
          <w:szCs w:val="24"/>
        </w:rPr>
        <w:fldChar w:fldCharType="end"/>
      </w:r>
      <w:r w:rsidR="00F60786" w:rsidRPr="00587A1F">
        <w:rPr>
          <w:rFonts w:cs="Arial"/>
          <w:szCs w:val="24"/>
        </w:rPr>
        <w:t xml:space="preserve"> investigating household agro-enterprise incomes among drylands farming communities in the same area. The authors found that majority of the farmers are producing their food crops in between 1 – 3 acres of land. The prevalence of smallholder farms in any farming system could </w:t>
      </w:r>
      <w:r w:rsidR="008307DA" w:rsidRPr="00587A1F">
        <w:rPr>
          <w:rFonts w:cs="Arial"/>
          <w:szCs w:val="24"/>
        </w:rPr>
        <w:t xml:space="preserve">have </w:t>
      </w:r>
      <w:r w:rsidR="00CA1253" w:rsidRPr="00587A1F">
        <w:rPr>
          <w:rFonts w:cs="Arial"/>
          <w:szCs w:val="24"/>
        </w:rPr>
        <w:t>significant implications</w:t>
      </w:r>
      <w:r w:rsidR="00F60786" w:rsidRPr="00587A1F">
        <w:rPr>
          <w:rFonts w:cs="Arial"/>
          <w:szCs w:val="24"/>
        </w:rPr>
        <w:t xml:space="preserve"> on productivity and the types of farming techniques used. </w:t>
      </w:r>
    </w:p>
    <w:p w14:paraId="5C4CC96B" w14:textId="73C44328" w:rsidR="00F60786" w:rsidRPr="00587A1F" w:rsidRDefault="00F341D1" w:rsidP="00F341D1">
      <w:pPr>
        <w:rPr>
          <w:rFonts w:cs="Arial"/>
        </w:rPr>
      </w:pPr>
      <w:r w:rsidRPr="00587A1F">
        <w:rPr>
          <w:rFonts w:cs="Arial"/>
        </w:rPr>
        <w:t xml:space="preserve">Land preparation using hand tools such as hoe and other traditional implements was popular among 55% of the farmers, whereas 42% have mechanized tillage using hired tractors. </w:t>
      </w:r>
      <w:r w:rsidR="00F60786" w:rsidRPr="00587A1F">
        <w:rPr>
          <w:rFonts w:cs="Arial"/>
        </w:rPr>
        <w:t xml:space="preserve">Using small </w:t>
      </w:r>
      <w:r w:rsidR="007A2563" w:rsidRPr="00587A1F">
        <w:rPr>
          <w:rFonts w:cs="Arial"/>
        </w:rPr>
        <w:t>hand-held</w:t>
      </w:r>
      <w:r w:rsidR="00F60786" w:rsidRPr="00587A1F">
        <w:rPr>
          <w:rFonts w:cs="Arial"/>
        </w:rPr>
        <w:t xml:space="preserve"> equipment for land preparation and subsequent farm operation is still very common among farmers because of the small farm sizes allocated </w:t>
      </w:r>
      <w:r w:rsidR="009C50A2" w:rsidRPr="00587A1F">
        <w:rPr>
          <w:rFonts w:cs="Arial"/>
        </w:rPr>
        <w:t>to</w:t>
      </w:r>
      <w:r w:rsidR="00F60786" w:rsidRPr="00587A1F">
        <w:rPr>
          <w:rFonts w:cs="Arial"/>
        </w:rPr>
        <w:t xml:space="preserve"> crop production, poor terrain for farmers </w:t>
      </w:r>
      <w:r w:rsidR="00FC782D" w:rsidRPr="00587A1F">
        <w:rPr>
          <w:rFonts w:cs="Arial"/>
        </w:rPr>
        <w:t xml:space="preserve">living </w:t>
      </w:r>
      <w:r w:rsidR="00F60786" w:rsidRPr="00587A1F">
        <w:rPr>
          <w:rFonts w:cs="Arial"/>
        </w:rPr>
        <w:t>in hilly areas and</w:t>
      </w:r>
      <w:r w:rsidR="00B54D0E" w:rsidRPr="00587A1F">
        <w:rPr>
          <w:rFonts w:cs="Arial"/>
        </w:rPr>
        <w:t xml:space="preserve"> the ease of affordability of owning </w:t>
      </w:r>
      <w:r w:rsidR="00872B8C" w:rsidRPr="00587A1F">
        <w:rPr>
          <w:rFonts w:cs="Arial"/>
        </w:rPr>
        <w:t>these simple</w:t>
      </w:r>
      <w:r w:rsidR="00B54D0E" w:rsidRPr="00587A1F">
        <w:rPr>
          <w:rFonts w:cs="Arial"/>
        </w:rPr>
        <w:t xml:space="preserve"> farm implement</w:t>
      </w:r>
      <w:r w:rsidR="00872B8C" w:rsidRPr="00587A1F">
        <w:rPr>
          <w:rFonts w:cs="Arial"/>
        </w:rPr>
        <w:t>s</w:t>
      </w:r>
      <w:r w:rsidR="00B54D0E" w:rsidRPr="00587A1F">
        <w:rPr>
          <w:rFonts w:cs="Arial"/>
        </w:rPr>
        <w:t xml:space="preserve">. In addition, this study observed notable </w:t>
      </w:r>
      <w:r w:rsidR="00B54D0E" w:rsidRPr="00587A1F">
        <w:rPr>
          <w:rFonts w:cs="Arial"/>
          <w:szCs w:val="24"/>
        </w:rPr>
        <w:t>use of mechanization by some farmers showing a positive trend in appreciating the efficiency, quality service</w:t>
      </w:r>
      <w:r w:rsidR="00D7768F" w:rsidRPr="00587A1F">
        <w:rPr>
          <w:rFonts w:cs="Arial"/>
          <w:szCs w:val="24"/>
        </w:rPr>
        <w:t xml:space="preserve">, </w:t>
      </w:r>
      <w:r w:rsidR="00B54D0E" w:rsidRPr="00587A1F">
        <w:rPr>
          <w:rFonts w:cs="Arial"/>
          <w:szCs w:val="24"/>
        </w:rPr>
        <w:t xml:space="preserve">increased production and income associated with adoption of new technologies </w:t>
      </w:r>
      <w:r w:rsidR="00B54D0E" w:rsidRPr="00587A1F">
        <w:rPr>
          <w:rFonts w:cs="Arial"/>
        </w:rPr>
        <w:fldChar w:fldCharType="begin"/>
      </w:r>
      <w:r w:rsidR="00B54D0E" w:rsidRPr="00587A1F">
        <w:rPr>
          <w:rFonts w:cs="Arial"/>
          <w:szCs w:val="24"/>
        </w:rPr>
        <w:instrText>ADDIN ZOTERO_ITEM CSL_CITATION {"citationID":"4n7k96ew","properties":{"formattedCitation":"(Adu-Baffour et al., 2019; Umar et al., 2021)","plainCitation":"(Adu-Baffour et al., 2019; Umar et al., 2021)","noteIndex":0},"citationItems":[{"id":2578,"uris":["http://zotero.org/users/5110088/items/E2AT4BIA"],"itemData":{"id":2578,"type":"article-journal","abstract":"After years of neglect, there is a renewed interest in agricultural mechanization in Africa. Since government initiatives to promote mechanization are confronted with major governance challenges, private-sector initiatives may offer a promising alternative. However, given limited scientific studies on such private-sector options such approaches are often viewed skeptically. One concern is that multi-national agribusiness companies take advantage of smallholder farmers. Another concern is that mechanization causes rural unemployment. To shed light on these concerns, this paper analyzes an initiative of the agricultural machinery manufacturer John Deere to promote smallholder mechanization in Zambia through a contractor model. The analysis focuses on the impact of this initiative on farmers who receive tractor services using Propensity Score Matching. The results indicate that farmers can almost double their income by cultivating a much larger share of their land. The analysis suggests that the increased income is used for children’s education and more food, but does not result in increased food diversity. The demand for hired labor increases due to land expansion and due to a shift from family labor, including that of children, to hired labor. Questions that require further investigation are identified, including strategies to incentivize tractor owners to provide services, to also increase land productivity, and to avoid new forms of dependency of agricultural laborers that may result from a shift in the timing of the labor demand.","container-title":"Food Policy","DOI":"10.1016/j.foodpol.2019.03.007","ISSN":"0306-9192","journalAbbreviation":"Food Policy","page":"133-145","source":"ScienceDirect","title":"Can small farms benefit from big companies’ initiatives to promote mechanization in Africa? A case study from Zambia","title-short":"Can small farms benefit from big companies’ initiatives to promote mechanization in Africa?","volume":"84","author":[{"family":"Adu-Baffour","given":"Ferdinand"},{"family":"Daum","given":"Thomas"},{"family":"Birner","given":"Regina"}],"issued":{"date-parts":[["2019",4,1]]}}},{"id":2570,"uris":["http://zotero.org/users/5110088/items/KMDUDEFC"],"itemData":{"id":2570,"type":"paper-conference","abstract":"The objectives of this study were to examine the role of tractor use in agricultural mechanisation, explore the prospects of tractor use in Nigeria and identify the challenges of tractor use in agriculture in Nigeria. The study adopted literature review; whereby secondary data have been used. The assumption of the study was that improvement in farming is directly connected with improvement in farmer’s income and livelihood. Also, that mechanised agriculture is necessary for productivity, and by implication increases profit in farm production. Tractor is one of the major farm tools that enhance mechanisation in agriculture. Therefore, incorporating the mechanisation, notably tractor is essential because it affects the farmer’s livelihoods and living conditions. The finding of the study indicated that tractor plays significant role as it is established that crop-production increased through tractor use, which increased the farmers’ income, giving room for increased production capacity thereby enabling the farmers to settle some of their outstanding debts. The study also found that tractor has prospect in Nigeria because recent development in economic diversification which emphasised agribusiness in the country portends movement towards application of intensive farm labour. However, there are some noticeable challenges associated with tractor use in Nigeria. One of these challenges is un-affordability because tractor use is very costly. Other challenges are under-utilisation, lackof knowledgeable personnel to manage the tool, lack of spare parts; and government-run tractor hire schemes are not effective because they are in a state of collapse. The study therefore concluded that tractor use is a necessary evil in Nigeria, because despite its  displacement tendency and cost, the increasing population of Nigeria calls for investing in mechanised agriculture for increasing  productivity, improving farmers’ income and livelihood, and above all achieving food security. \nKey words: agricultural mechanisation, productivity, Nigeria, tractor","container-title":"Agro-Science","DOI":"10.4314/as.v20i2.1","note":"ISSN: 1119-7455\nissue: 2\njournalAbbreviation: Agro-Sci.","page":"1-8","source":"Semantic Scholar","title":"Tractor use and agricultural productivity in Nigeria: Prospects and challenges","title-short":"Tractor use and agricultural productivity in Nigeria","URL":"https://www.ajol.info/index.php/as/article/view/209713","volume":"20","author":[{"family":"Umar","given":"M.B."},{"family":"Yarima","given":"M.M."},{"family":"Yusuf","given":"O.E."},{"family":"Adetayo","given":"A."},{"family":"Salihu","given":"M."}],"accessed":{"date-parts":[["2024",10,17]]},"issued":{"date-parts":[["2021",6,30]]}}}],"schema":"https://github.com/citation-style-language/schema/raw/master/csl-citation.json"}</w:instrText>
      </w:r>
      <w:r w:rsidR="00B54D0E" w:rsidRPr="00587A1F">
        <w:rPr>
          <w:rFonts w:cs="Arial"/>
          <w:szCs w:val="24"/>
        </w:rPr>
        <w:fldChar w:fldCharType="separate"/>
      </w:r>
      <w:r w:rsidR="00B54D0E" w:rsidRPr="00587A1F">
        <w:rPr>
          <w:rFonts w:cs="Arial"/>
          <w:szCs w:val="24"/>
        </w:rPr>
        <w:t>(Adu-Baffour et al., 2019; Umar et al., 2021)</w:t>
      </w:r>
      <w:r w:rsidR="00B54D0E" w:rsidRPr="00587A1F">
        <w:rPr>
          <w:rFonts w:cs="Arial"/>
          <w:szCs w:val="24"/>
        </w:rPr>
        <w:fldChar w:fldCharType="end"/>
      </w:r>
      <w:r w:rsidR="00B54D0E" w:rsidRPr="00587A1F">
        <w:rPr>
          <w:rFonts w:cs="Arial"/>
          <w:szCs w:val="24"/>
        </w:rPr>
        <w:t xml:space="preserve">. However, the limited number of farmers using tractor plough </w:t>
      </w:r>
      <w:r w:rsidR="00872B8C" w:rsidRPr="00587A1F">
        <w:rPr>
          <w:rFonts w:cs="Arial"/>
          <w:szCs w:val="24"/>
        </w:rPr>
        <w:t xml:space="preserve">and other largescale implements </w:t>
      </w:r>
      <w:r w:rsidR="00C06652" w:rsidRPr="00587A1F">
        <w:rPr>
          <w:rFonts w:cs="Arial"/>
          <w:szCs w:val="24"/>
        </w:rPr>
        <w:t>during planting season</w:t>
      </w:r>
      <w:r w:rsidR="00B54D0E" w:rsidRPr="00587A1F">
        <w:rPr>
          <w:rFonts w:cs="Arial"/>
          <w:szCs w:val="24"/>
        </w:rPr>
        <w:t xml:space="preserve"> could possibl</w:t>
      </w:r>
      <w:r w:rsidR="00613CD8" w:rsidRPr="00587A1F">
        <w:rPr>
          <w:rFonts w:cs="Arial"/>
          <w:szCs w:val="24"/>
        </w:rPr>
        <w:t>y</w:t>
      </w:r>
      <w:r w:rsidR="00B54D0E" w:rsidRPr="00587A1F">
        <w:rPr>
          <w:rFonts w:cs="Arial"/>
          <w:szCs w:val="24"/>
        </w:rPr>
        <w:t xml:space="preserve"> suggest </w:t>
      </w:r>
      <w:r w:rsidR="00C06652" w:rsidRPr="00587A1F">
        <w:rPr>
          <w:rFonts w:cs="Arial"/>
          <w:szCs w:val="24"/>
        </w:rPr>
        <w:t xml:space="preserve">barriers affecting access to modern farming techniques and equipment, such as cost, availability or limited awareness on alternative-efficient options </w:t>
      </w:r>
      <w:r w:rsidR="00C06652" w:rsidRPr="00587A1F">
        <w:rPr>
          <w:rFonts w:cs="Arial"/>
        </w:rPr>
        <w:fldChar w:fldCharType="begin"/>
      </w:r>
      <w:r w:rsidR="00C06652" w:rsidRPr="00587A1F">
        <w:rPr>
          <w:rFonts w:cs="Arial"/>
          <w:szCs w:val="24"/>
        </w:rPr>
        <w:instrText>ADDIN ZOTERO_ITEM CSL_CITATION {"citationID":"QeEDUrzW","properties":{"formattedCitation":"(Onomu et al., 2020; Umar et al., 2021)","plainCitation":"(Onomu et al., 2020; Umar et al., 2021)","noteIndex":0},"citationItems":[{"id":2573,"uris":["http://zotero.org/users/5110088/items/9GG3A28F"],"itemData":{"id":2573,"type":"article-journal","abstract":"Many smallholder farmers, particularly those in developing countries do not practice mechanisation such as the use of tractor due to some plethora of issues among which include: lack of demand, problematic supply model and failed mechanisation programmes. Based on the problems associated with smallholder mechanisation and the roles lack of demand played in past mechanisation programmes, this research investigated the characteristics and the challenges of tractor service providers, as well as the analyses of the current demand trends by the sampled smallholder farmers for tractor services, while forecasting the future demand in Delta and Benue States of Nigeria. The study employed a snowball sampling technique to collect field survey data from 20 private tractor service providers (SMEs) and 6 government tractor service providers in four local government areas of Delta and Benue States. Descriptive statistics, weighted mean score and trend analyses were used to interpret the result. The study finds that tractor services provide employment for rural dweller, particularly male; use less of household labour and the majority of those involved own only a tractor.  Among the different challenges such as the inability of smallholders to pay a high price, long distance to get mechanic, and the high cost of maintenance/high cost of the spare part; too few qualified tractor mechanics is ranked the most severe challenge. While both SMEs and government tractor service providers face some common challenges, poor maintenance and corruption predominates government tractor services. There has been a constant increase in the demand for tractor services by the smallholder farmers from 2013 to 2016 and the demand is forecast to continue. Based on the different challenges associated with the provision of tractor services to the smallholder, it was suggested that the government should support market driver tractor service provision","container-title":"Journal of Agribusiness and Rural Development","DOI":"10.17306/J.JARD.2020.01288","ISSN":"18995241, 18995772","issue":"4","journalAbbreviation":"J. Agribus. Rural Dev.","license":"http://creativecommons.org/licenses/by-nc/4.0","page":"379-391","source":"Semantic Scholar","title":"Tractor services challenges and current demand trends by smallholder farmers in Nigeria","volume":"58","author":[{"family":"Onomu","given":"Achoja Roland"},{"family":"Aliber","given":"Michael"},{"family":"Agbugba","given":"Ikechi Kelechi"}],"issued":{"date-parts":[["2020",12,30]]}}},{"id":2570,"uris":["http://zotero.org/users/5110088/items/KMDUDEFC"],"itemData":{"id":2570,"type":"paper-conference","abstract":"The objectives of this study were to examine the role of tractor use in agricultural mechanisation, explore the prospects of tractor use in Nigeria and identify the challenges of tractor use in agriculture in Nigeria. The study adopted literature review; whereby secondary data have been used. The assumption of the study was that improvement in farming is directly connected with improvement in farmer’s income and livelihood. Also, that mechanised agriculture is necessary for productivity, and by implication increases profit in farm production. Tractor is one of the major farm tools that enhance mechanisation in agriculture. Therefore, incorporating the mechanisation, notably tractor is essential because it affects the farmer’s livelihoods and living conditions. The finding of the study indicated that tractor plays significant role as it is established that crop-production increased through tractor use, which increased the farmers’ income, giving room for increased production capacity thereby enabling the farmers to settle some of their outstanding debts. The study also found that tractor has prospect in Nigeria because recent development in economic diversification which emphasised agribusiness in the country portends movement towards application of intensive farm labour. However, there are some noticeable challenges associated with tractor use in Nigeria. One of these challenges is un-affordability because tractor use is very costly. Other challenges are under-utilisation, lackof knowledgeable personnel to manage the tool, lack of spare parts; and government-run tractor hire schemes are not effective because they are in a state of collapse. The study therefore concluded that tractor use is a necessary evil in Nigeria, because despite its  displacement tendency and cost, the increasing population of Nigeria calls for investing in mechanised agriculture for increasing  productivity, improving farmers’ income and livelihood, and above all achieving food security. \nKey words: agricultural mechanisation, productivity, Nigeria, tractor","container-title":"Agro-Science","DOI":"10.4314/as.v20i2.1","note":"ISSN: 1119-7455\nissue: 2\njournalAbbreviation: Agro-Sci.","page":"1-8","source":"Semantic Scholar","title":"Tractor use and agricultural productivity in Nigeria: Prospects and challenges","title-short":"Tractor use and agricultural productivity in Nigeria","URL":"https://www.ajol.info/index.php/as/article/view/209713","volume":"20","author":[{"family":"Umar","given":"M.B."},{"family":"Yarima","given":"M.M."},{"family":"Yusuf","given":"O.E."},{"family":"Adetayo","given":"A."},{"family":"Salihu","given":"M."}],"accessed":{"date-parts":[["2024",10,17]]},"issued":{"date-parts":[["2021",6,30]]}}}],"schema":"https://github.com/citation-style-language/schema/raw/master/csl-citation.json"}</w:instrText>
      </w:r>
      <w:r w:rsidR="00C06652" w:rsidRPr="00587A1F">
        <w:rPr>
          <w:rFonts w:cs="Arial"/>
          <w:szCs w:val="24"/>
        </w:rPr>
        <w:fldChar w:fldCharType="separate"/>
      </w:r>
      <w:r w:rsidR="00C06652" w:rsidRPr="00587A1F">
        <w:rPr>
          <w:rFonts w:cs="Arial"/>
          <w:szCs w:val="24"/>
        </w:rPr>
        <w:t>(Onomu et al., 2020; Umar et al., 2021)</w:t>
      </w:r>
      <w:r w:rsidR="00C06652" w:rsidRPr="00587A1F">
        <w:rPr>
          <w:rFonts w:cs="Arial"/>
          <w:szCs w:val="24"/>
        </w:rPr>
        <w:fldChar w:fldCharType="end"/>
      </w:r>
    </w:p>
    <w:p w14:paraId="1A41E804" w14:textId="1648A887" w:rsidR="00C06652" w:rsidRPr="00587A1F" w:rsidRDefault="00F341D1" w:rsidP="007534E8">
      <w:pPr>
        <w:rPr>
          <w:rFonts w:cs="Arial"/>
          <w:szCs w:val="24"/>
        </w:rPr>
      </w:pPr>
      <w:r w:rsidRPr="00587A1F">
        <w:rPr>
          <w:rFonts w:cs="Arial"/>
        </w:rPr>
        <w:t xml:space="preserve">Mixed cropping was the main cropping system practiced by 69% of the farmers, whereas 31% </w:t>
      </w:r>
      <w:r w:rsidR="00613CD8" w:rsidRPr="00587A1F">
        <w:rPr>
          <w:rFonts w:cs="Arial"/>
        </w:rPr>
        <w:t xml:space="preserve">did </w:t>
      </w:r>
      <w:r w:rsidRPr="00587A1F">
        <w:rPr>
          <w:rFonts w:cs="Arial"/>
        </w:rPr>
        <w:t>mono cropping.</w:t>
      </w:r>
      <w:r w:rsidR="00C06652" w:rsidRPr="00587A1F">
        <w:rPr>
          <w:rFonts w:cs="Arial"/>
          <w:szCs w:val="24"/>
        </w:rPr>
        <w:t xml:space="preserve"> </w:t>
      </w:r>
      <w:r w:rsidR="00613CD8" w:rsidRPr="00587A1F">
        <w:rPr>
          <w:rFonts w:cs="Arial"/>
          <w:szCs w:val="24"/>
        </w:rPr>
        <w:t>The popularity of m</w:t>
      </w:r>
      <w:r w:rsidR="00C06652" w:rsidRPr="00587A1F">
        <w:rPr>
          <w:rFonts w:cs="Arial"/>
          <w:szCs w:val="24"/>
        </w:rPr>
        <w:t xml:space="preserve">ixed cropping </w:t>
      </w:r>
      <w:r w:rsidR="00613CD8" w:rsidRPr="00587A1F">
        <w:rPr>
          <w:rFonts w:cs="Arial"/>
          <w:szCs w:val="24"/>
        </w:rPr>
        <w:t>among the farmers</w:t>
      </w:r>
      <w:r w:rsidR="007534E8" w:rsidRPr="00587A1F">
        <w:rPr>
          <w:rFonts w:cs="Arial"/>
          <w:szCs w:val="24"/>
        </w:rPr>
        <w:t xml:space="preserve"> mainly involving maize and beans as well as sparingly sorghum, millet, vegetables, potatoes, bananas, carrots and cassava shows that farmers appreciate the value of crop diversification. These benefits </w:t>
      </w:r>
      <w:r w:rsidR="00C06652" w:rsidRPr="00587A1F">
        <w:rPr>
          <w:rFonts w:cs="Arial"/>
          <w:szCs w:val="24"/>
        </w:rPr>
        <w:t xml:space="preserve">includes enhanced greater utilization of available resources leading to improved crop productivity, grain yields and biomass </w:t>
      </w:r>
      <w:r w:rsidR="00D7768F" w:rsidRPr="00587A1F">
        <w:rPr>
          <w:rFonts w:cs="Arial"/>
          <w:szCs w:val="24"/>
        </w:rPr>
        <w:t>per unit area</w:t>
      </w:r>
      <w:r w:rsidR="009C50A2" w:rsidRPr="00587A1F">
        <w:rPr>
          <w:rFonts w:cs="Arial"/>
          <w:szCs w:val="24"/>
        </w:rPr>
        <w:t xml:space="preserve"> among other benefits </w:t>
      </w:r>
      <w:r w:rsidR="00C06652" w:rsidRPr="00587A1F">
        <w:rPr>
          <w:rFonts w:cs="Arial"/>
        </w:rPr>
        <w:fldChar w:fldCharType="begin"/>
      </w:r>
      <w:r w:rsidR="00A12C02" w:rsidRPr="00587A1F">
        <w:rPr>
          <w:rFonts w:cs="Arial"/>
          <w:szCs w:val="24"/>
        </w:rPr>
        <w:instrText xml:space="preserve"> ADDIN ZOTERO_ITEM CSL_CITATION {"citationID":"JZqY4r0J","properties":{"formattedCitation":"(Abate &amp; Alemayehu, 2018; Bass et al., 2024; Naeem Khan, 2020)","plainCitation":"(Abate &amp; Alemayehu, 2018; Bass et al., 2024; Naeem Khan, 2020)","noteIndex":0},"citationItems":[{"id":6550,"uris":["http://zotero.org/users/5110088/items/EDG6D3PP"],"itemData":{"id":6550,"type":"article-journal","abstract":"An on-farm experiment was conducted in the dry season of 2012/2013under irrigation at Jigna rural village of Dera District, South Gonder Zone/Ethiopia. The experiment was conducted to assess the biological benefits of intercropping maize with fenugreek, field pea and haricot bean. A field have a total of 7 treatments, namely three intercropping of fenugreek, field pea and haricot bean with maize and their four sole cropping, were laid out in randomized complete block design (RCBD) with three replications. Gross plot size of each treatment was 3m × 2.7m (8.1m&lt;sup&gt;2&lt;/sup&gt;), but net plot size varied up on the crop types. Spacing between adjacent replications and plots was 1.5m and 1.0m, respectively. Fenugreek, field pea and haricot bean as sole crops were planted at inter-row and intra-row spacing of 20cm × 5cm, 20cm × 5cm and 40cm × 10cm, respectively. In both intercropping and sole cropping  maize  was planted at 75cm× 30cm inter- and intra- row spacing, while fenugreek, field pea and haricot bean were intercropped in the middle of two maize rows at their recommended intra-spacing. Varieties used for the present study were BH-540 maize hybrid, \"&lt;i&gt;Challa&lt;/i&gt;” fenugreek, \"&lt;i&gt;Burkitu&lt;/i&gt;\" field pea and \"&lt;i&gt;Awash Melkassa&lt;/i&gt;\" haricot bean. Data of phenological, vegetative growth and, yield related crop parameters were timely collected following their respective standard methods and procedures, and further subjected to analysis of variance (ANOVA) using SAS version 9.2. Whenever the ANOVA result showed significant difference among treatments for a parameter   mean separation was further done using Duncan’s New Multiple Range Test (DNMRT). Intercropping didn’t show any significant effect statistically (p&lt;0.05) on phenological, vegetative growth and yield related parameters of the component crops. However, concerning biomass of fenugreek, field pea and haricot bean, the analysis of variance showed that there has significant difference (p≤0.05) between intercropping and sole cropping. On the contrary, intercropped field pea produced higher pod per plant, plant height and seed per pod than that of sole field pea. Intercropped Haricot bean was also produced slightly higher plant height, seed per pod and thousand grain weights than its sole crops. Therefore, in the present study area during dry season under irrigation, maize intercropping with haricot bean and field pea was more advantageous than their respective sole crops.","container-title":"Agriculture, Forestry and Fisheries","DOI":"10.11648/j.aff.20180701.14","ISSN":"2328-5648","issue":"1","journalAbbreviation":"Agric. For. Fish.","language":"En","license":"2018 The Author(s)","note":"number: 1\npublisher: Science Publishing Group","page":"19-35","source":"www.sciencepublishinggroup.com","title":"Biological Benefits of Intercropping Maize (Zea mays L) with Fenugreek, Field Pea and Haricot Bean Under Irrigation in Fogera Plain, South Gonder Zone, Ethiopia","volume":"7","author":[{"family":"Abate","given":"Molla"},{"family":"Alemayehu","given":"Getachew"}],"issued":{"date-parts":[["2018",2]]}}},{"id":2592,"uris":["http://zotero.org/users/5110088/items/H47YS3E8"],"itemData":{"id":2592,"type":"article-journal","abstract":"Intercropping is drawing increasing attention as a strategy to increase crop yields and manage pest pressure, however the mechanisms of associational resistance in diversified cropping systems remain controversial. We conducted a controlled experiment to assess the impact of co-planting with silverleaf Desmodium (Desmodium uncinatum) on maize secondary metabolism and resistance to herbivory by the spotted stemborer (Chilo partellus). Maize plants were grown either in the same pot with a Desmodium plant or adjacent to it in a separate pot. Our findings indicate that co-planting with Desmodium influences maize secondary metabolism and herbivore resistance through both above and below-ground mechanisms. Maize growing in the same pot with a Desmodium neighbor was less attractive for oviposition by spotted stemborer adults. However, maize exposed only to above-ground Desmodium cues generally showed increased susceptibility to spotted stemborer herbivory (through both increased oviposition and larval consumption). VOC emissions and tissue secondary metabolite titers were also altered in maize plants exposed to Desmodium cues, with stronger effects being observed when maize and Desmodium shared the same pot. Specifically, benzoxazinoids were strongly suppressed in maize roots by direct contact with a Desmodium neighbor while headspace emissions of short-chain aldehydes and alkylbenzenes were increased. These results imply that direct root contact or soil-borne cues play an important role in mediating associational effects on plant resistance in this system.","container-title":"Journal of Chemical Ecology","DOI":"10.1007/s10886-024-01470-5","ISSN":"1573-1561","issue":"5","journalAbbreviation":"J Chem Ecol","language":"en","page":"299-318","source":"Springer Link","title":"Associational Effects of Desmodium Intercropping on Maize Resistance and Secondary Metabolism","volume":"50","author":[{"family":"Bass","given":"Ethan"},{"family":"Mutyambai","given":"Daniel M."},{"family":"Midega","given":"Charles A. O."},{"family":"Khan","given":"Zeyaur R."},{"family":"Kessler","given":"André"}],"issued":{"date-parts":[["2024",6,1]]}}},{"id":2583,"uris":["http://zotero.org/users/5110088/items/YX8UBDDY"],"itemData":{"id":2583,"type":"article-journal","abstract":"The aim of this study was to assess the option of intercropping mungbean (MB) in late season cotton to enhance productivity of the system. Mungbean was intercropped with cotton under two planting techniques practiced in Punjab for cotton sowing. Treatments consist of mungbean broadcast in 75 cm spaced drilled cotton rows (IS1), alternative rows of cotton and mungbean (IS2), two rows of mungbean between cotton rows (IS3) while in fourth treatment (IS4) two mungbean rows were sown on top of 105 cm wide double ridge-furrow (beds hereafter). Results showed that mungbean presence adversely affected the number of opened, total bolls plant, opened boll percentage and seed cotton yield in all intercropping systems. However in bed intercropping, cotton produced 21.84 % higher seed cotton yield than sole cotton. Alike, number of pods plant and number of grains pod of mungbean decreased in intercropping treatments compared to sole mungbean. On average, mungbean yield was 21.1 % less in intercropping treatments than sole mungbean. Yield advantage indicated by LER and ATER values was observed in all intercropping treatments except in IT3 where ATER suggested disadvantage. Highest LER (1.92) and ATER (1.58) were recorded in IS4. Aggressivity value indicates that bed structure favoured the cotton growth compared to mungbean. All intercropping systems showed positive values of system productivity index and monitory advantage index. This study concludes that productivity of late season cotton could be better enhanced by sowing two rows of mungbean on top of the 105 cm wide cotton beds.","container-title":"Asian Journal of Agriculture and Biology","DOI":"10.35495/ajab.2020.03.187","ISSN":"23078553","journalAbbreviation":"Asian J Agric Biol","source":"Semantic Scholar","title":"Mungbean (Vigna radiata) intercropping enhances productivity of late season irrigated cotton in Punjab","URL":"https://www.asianjab.com/wp-content/uploads/2020/10/AJAB-2020-03-187.pdf","author":[{"family":"Naeem Khan","given":"Muhammad"}],"accessed":{"date-parts":[["2024",10,17]]},"issued":{"date-parts":[["2020",7]]}}}],"schema":"https://github.com/citation-style-language/schema/raw/master/csl-citation.json"} </w:instrText>
      </w:r>
      <w:r w:rsidR="00C06652" w:rsidRPr="00587A1F">
        <w:rPr>
          <w:rFonts w:cs="Arial"/>
          <w:szCs w:val="24"/>
        </w:rPr>
        <w:fldChar w:fldCharType="separate"/>
      </w:r>
      <w:r w:rsidR="00A12C02" w:rsidRPr="00587A1F">
        <w:rPr>
          <w:rFonts w:cs="Arial"/>
        </w:rPr>
        <w:t>(Abate &amp; Alemayehu, 2018; Bass et al., 2024; Naeem Khan, 2020)</w:t>
      </w:r>
      <w:r w:rsidR="00C06652" w:rsidRPr="00587A1F">
        <w:rPr>
          <w:rFonts w:cs="Arial"/>
          <w:szCs w:val="24"/>
        </w:rPr>
        <w:fldChar w:fldCharType="end"/>
      </w:r>
      <w:r w:rsidR="00C06652" w:rsidRPr="00587A1F">
        <w:rPr>
          <w:rFonts w:cs="Arial"/>
          <w:szCs w:val="24"/>
        </w:rPr>
        <w:t xml:space="preserve">. </w:t>
      </w:r>
      <w:r w:rsidR="007534E8" w:rsidRPr="00587A1F">
        <w:rPr>
          <w:rFonts w:cs="Arial"/>
          <w:szCs w:val="24"/>
        </w:rPr>
        <w:t xml:space="preserve">It also promotes </w:t>
      </w:r>
      <w:r w:rsidR="00C06652" w:rsidRPr="00587A1F">
        <w:rPr>
          <w:rFonts w:cs="Arial"/>
          <w:szCs w:val="24"/>
        </w:rPr>
        <w:t>the interaction effects between several plants prov</w:t>
      </w:r>
      <w:r w:rsidR="00F53789" w:rsidRPr="00587A1F">
        <w:rPr>
          <w:rFonts w:cs="Arial"/>
          <w:szCs w:val="24"/>
        </w:rPr>
        <w:t>id</w:t>
      </w:r>
      <w:r w:rsidR="00C06652" w:rsidRPr="00587A1F">
        <w:rPr>
          <w:rFonts w:cs="Arial"/>
          <w:szCs w:val="24"/>
        </w:rPr>
        <w:t xml:space="preserve">ing a great potential for efficient </w:t>
      </w:r>
      <w:r w:rsidR="009D1F52" w:rsidRPr="00587A1F">
        <w:rPr>
          <w:rFonts w:cs="Arial"/>
          <w:szCs w:val="24"/>
        </w:rPr>
        <w:t xml:space="preserve">utilization of resources and </w:t>
      </w:r>
      <w:r w:rsidR="00F53789" w:rsidRPr="00587A1F">
        <w:rPr>
          <w:rFonts w:cs="Arial"/>
          <w:szCs w:val="24"/>
        </w:rPr>
        <w:t>labour</w:t>
      </w:r>
      <w:r w:rsidR="00C06652" w:rsidRPr="00587A1F">
        <w:rPr>
          <w:rFonts w:cs="Arial"/>
          <w:szCs w:val="24"/>
        </w:rPr>
        <w:t xml:space="preserve"> </w:t>
      </w:r>
      <w:r w:rsidR="00C06652" w:rsidRPr="00587A1F">
        <w:rPr>
          <w:rFonts w:cs="Arial"/>
        </w:rPr>
        <w:fldChar w:fldCharType="begin"/>
      </w:r>
      <w:r w:rsidR="00C06652" w:rsidRPr="00587A1F">
        <w:rPr>
          <w:rFonts w:cs="Arial"/>
          <w:szCs w:val="24"/>
        </w:rPr>
        <w:instrText>ADDIN ZOTERO_ITEM CSL_CITATION {"citationID":"c8YP0NZg","properties":{"formattedCitation":"(Toker et al., 2024)","plainCitation":"(Toker et al., 2024)","noteIndex":0},"citationItems":[{"id":2590,"uris":["http://zotero.org/users/5110088/items/URMPVNSF"],"itemData":{"id":2590,"type":"article-journal","abstract":"Intercropping is an agricultural technique where many crops are grown together on the same field, and it is becoming more widely acknowledged for its ability to improve productivity in food and forage production. This farming method allows for the strategic integration of a profitable crop with cover or non-profitable crops to achieve reciprocal benefits, while also spreading advantages across different agricultural systems. Intercropping designs differ to attain greater crop yields, reduce the use of chemicals and fertilizers, and enhance water-use efficiency, especially in the demanding circumstances of arid and semi-arid countries. This study examines new mechanisms via which intercropping enhances sustainable agriculture, including recent progress in ecological, genetic, and microbial interactions that enhance plant growth and resilience. The adaptability of the Mediterranean region, for varied agricultural methods is also assessed, with a particular focus on the possibilities for implementing intercropping systems. This study provides a thorough analysis of existing research, emphasizing the many advantages of intercropping and its contribution to the progress of sustainable agriculture.","container-title":"Plant Production Science","DOI":"10.1080/1343943X.2024.2372878","ISSN":"1343-943X","issue":"3","note":"publisher: Taylor &amp; Francis\n_eprint: https://doi.org/10.1080/1343943X.2024.2372878","page":"155-169","source":"Taylor and Francis+NEJM","title":"The advantages of intercropping to improve productivity in food and forage production – a review","volume":"27","author":[{"family":"Toker","given":"Pelin"},{"family":"Canci","given":"Huseyin"},{"family":"Turhan","given":"Irfan"},{"family":"Isci","given":"Aslı"},{"family":"Scherzinger","given":"Marvin"},{"family":"Kordrostami","given":"Mojtaba"},{"family":"Yol","given":"Engin"}],"issued":{"date-parts":[["2024",7,2]]}}}],"schema":"https://github.com/citation-style-language/schema/raw/master/csl-citation.json"}</w:instrText>
      </w:r>
      <w:r w:rsidR="00C06652" w:rsidRPr="00587A1F">
        <w:rPr>
          <w:rFonts w:cs="Arial"/>
          <w:szCs w:val="24"/>
        </w:rPr>
        <w:fldChar w:fldCharType="separate"/>
      </w:r>
      <w:r w:rsidR="00C06652" w:rsidRPr="00587A1F">
        <w:rPr>
          <w:rFonts w:cs="Arial"/>
          <w:szCs w:val="24"/>
        </w:rPr>
        <w:t>(Toker et al., 2024)</w:t>
      </w:r>
      <w:r w:rsidR="00C06652" w:rsidRPr="00587A1F">
        <w:rPr>
          <w:rFonts w:cs="Arial"/>
          <w:szCs w:val="24"/>
        </w:rPr>
        <w:fldChar w:fldCharType="end"/>
      </w:r>
      <w:r w:rsidR="00C06652" w:rsidRPr="00587A1F">
        <w:rPr>
          <w:rFonts w:cs="Arial"/>
          <w:szCs w:val="24"/>
        </w:rPr>
        <w:t xml:space="preserve">. </w:t>
      </w:r>
    </w:p>
    <w:p w14:paraId="0B6567EB" w14:textId="47B5F444" w:rsidR="00D95D8F" w:rsidRPr="00587A1F" w:rsidRDefault="00F341D1" w:rsidP="005D1DF8">
      <w:pPr>
        <w:rPr>
          <w:rFonts w:cs="Arial"/>
          <w:szCs w:val="24"/>
        </w:rPr>
      </w:pPr>
      <w:r w:rsidRPr="00587A1F">
        <w:rPr>
          <w:rFonts w:cs="Arial"/>
        </w:rPr>
        <w:t>Fertilizer use such as organic f</w:t>
      </w:r>
      <w:r w:rsidR="001D1DB7" w:rsidRPr="00587A1F">
        <w:rPr>
          <w:rFonts w:cs="Arial"/>
        </w:rPr>
        <w:t xml:space="preserve">ertilizer, including </w:t>
      </w:r>
      <w:r w:rsidRPr="00587A1F">
        <w:rPr>
          <w:rFonts w:cs="Arial"/>
        </w:rPr>
        <w:t xml:space="preserve">farm yard and compost manure were more </w:t>
      </w:r>
      <w:r w:rsidR="000773FA" w:rsidRPr="00587A1F">
        <w:rPr>
          <w:rFonts w:cs="Arial"/>
        </w:rPr>
        <w:t>predominant</w:t>
      </w:r>
      <w:r w:rsidRPr="00587A1F">
        <w:rPr>
          <w:rFonts w:cs="Arial"/>
        </w:rPr>
        <w:t xml:space="preserve"> with 62% of the farmers compared to 38% who were using inorganic fertilizers such as Di-ammonium Phosphate (DAP), Calcium Ammonium Nitrate (CAN) among others. </w:t>
      </w:r>
      <w:r w:rsidR="00C06652" w:rsidRPr="00587A1F">
        <w:rPr>
          <w:rFonts w:cs="Arial"/>
        </w:rPr>
        <w:t xml:space="preserve">The use of organic fertilizers, a by-product from livestock husbandry was very common in the areas because livestock keeping is the mainstay economic activities in the area. </w:t>
      </w:r>
      <w:r w:rsidR="00C06652" w:rsidRPr="00587A1F">
        <w:rPr>
          <w:rFonts w:cs="Arial"/>
          <w:szCs w:val="24"/>
        </w:rPr>
        <w:t xml:space="preserve">These organic fertilizers are very beneficial </w:t>
      </w:r>
      <w:r w:rsidR="009C50A2" w:rsidRPr="00587A1F">
        <w:rPr>
          <w:rFonts w:cs="Arial"/>
          <w:szCs w:val="24"/>
        </w:rPr>
        <w:t xml:space="preserve">in </w:t>
      </w:r>
      <w:r w:rsidR="00C06652" w:rsidRPr="00587A1F">
        <w:rPr>
          <w:rFonts w:cs="Arial"/>
          <w:szCs w:val="24"/>
        </w:rPr>
        <w:t>improv</w:t>
      </w:r>
      <w:r w:rsidR="009C50A2" w:rsidRPr="00587A1F">
        <w:rPr>
          <w:rFonts w:cs="Arial"/>
          <w:szCs w:val="24"/>
        </w:rPr>
        <w:t xml:space="preserve">ing </w:t>
      </w:r>
      <w:r w:rsidR="00C06652" w:rsidRPr="00587A1F">
        <w:rPr>
          <w:rFonts w:cs="Arial"/>
          <w:szCs w:val="24"/>
        </w:rPr>
        <w:t xml:space="preserve">soil fertility </w:t>
      </w:r>
      <w:r w:rsidR="009C50A2" w:rsidRPr="00587A1F">
        <w:rPr>
          <w:rFonts w:cs="Arial"/>
          <w:szCs w:val="24"/>
        </w:rPr>
        <w:t>and productivity through; a</w:t>
      </w:r>
      <w:r w:rsidR="000773FA" w:rsidRPr="00587A1F">
        <w:rPr>
          <w:rFonts w:cs="Arial"/>
          <w:szCs w:val="24"/>
        </w:rPr>
        <w:t xml:space="preserve">meliorating soil pH and </w:t>
      </w:r>
      <w:r w:rsidR="00C06652" w:rsidRPr="00587A1F">
        <w:rPr>
          <w:rFonts w:cs="Arial"/>
          <w:szCs w:val="24"/>
        </w:rPr>
        <w:t xml:space="preserve">increasing soil organic carbon </w:t>
      </w:r>
      <w:r w:rsidR="00C06652" w:rsidRPr="00587A1F">
        <w:rPr>
          <w:rFonts w:cs="Arial"/>
        </w:rPr>
        <w:fldChar w:fldCharType="begin"/>
      </w:r>
      <w:r w:rsidR="00C06652" w:rsidRPr="00587A1F">
        <w:rPr>
          <w:rFonts w:cs="Arial"/>
          <w:szCs w:val="24"/>
        </w:rPr>
        <w:instrText>ADDIN ZOTERO_ITEM CSL_CITATION {"citationID":"6kQbqi6x","properties":{"formattedCitation":"(Cai et al., 2019; Chandra et al., 2021; Muindi et al., 2020; Shabnam &amp; Sharma, 2023; Thakur et al., 2021)","plainCitation":"(Cai et al., 2019; Chandra et al., 2021; Muindi et al., 2020; Shabnam &amp; Sharma, 2023; Thakur et al., 2021)","noteIndex":0},"citationItems":[{"id":2619,"uris":["http://zotero.org/users/5110088/items/K5R3NDVU"],"itemData":{"id":2619,"type":"article-journal","abstract":"Fertilization is an important management strategy for crop yields by mediating soil fertility. However, rare studies quantitatively assessed the interactions among fertilization, crop yields, and soil fertility. Here, data from a 25-year fertilization experiment in the humid subtropical region of Southern China were used to evaluate and quantify the effect of fertilization on crop yields via soil fertility. Seven treatments were chosen: CK (non-fertilizer); N (synthetic nitrogen); NP (synthetic N and phosphorus); NPK (synthetic N, P and potassium); NPKM1 (synthetic NPK with manure); 1.5NPKM1 (1.5 times of NPKM1); and M2 (manure alone). Overall, the crop yields of wheat and maize under manure (1.36–1.58 and 3.85-5.82 Mg ha−1) were higher than those under CK (0.34 and 0.25 Mg ha−1) and synthetic fertilized treatments (0.27–0.97 and 0.48–2.65 Mg ha−1), as the averaged of 1991–2015. Higher SOC stocks were found under the NPKM1, 1.5NPKM1, and M2 treatments with a pronounced increase in SOC over the first 10 years and stable over the last 15 years. By the boosted regression trees, manure, synthetic fertilizer and soil properties (SOC storage, soil pH, and soil nutrients) accounted for 39%, 21%, and 40% of the variation of the relative yield, respectively. Path analysis identified a network of inter-relations of manure, synthetic fertilizer, and soil properties in the relative yields. Compared to synthetic fertilized treatments, manure application strongly and positively affected the relative yield by increasing SOC storage, soil nutrients, and soil pH (path coefficients: 0.90, 0.88, and 0.76). These factors explained 72% of the crop yields' variance. These results suggest that manure application is a viable strategy for regulating crop yields due to its improvement in soil fertility.","container-title":"Soil and Tillage Research","DOI":"10.1016/j.still.2018.12.022","ISSN":"0167-1987","journalAbbreviation":"Soil and Tillage Research","page":"168-175","source":"ScienceDirect","title":"Manure acts as a better fertilizer for increasing crop yields than synthetic fertilizer does by improving soil fertility","volume":"189","author":[{"family":"Cai","given":"Andong"},{"family":"Xu","given":"Minggang"},{"family":"Wang","given":"Boren"},{"family":"Zhang","given":"Wenju"},{"family":"Liang","given":"Guopeng"},{"family":"Hou","given":"Enqing"},{"family":"Luo","given":"Yiqi"}],"issued":{"date-parts":[["2019",6,1]]}}},{"id":2602,"uris":["http://zotero.org/users/5110088/items/LA2URDUN"],"itemData":{"id":2602,"type":"article-journal","abstract":"Crops, livestock and forests are interlinked components of Central Himalayan agro-ecosystems. Traditionally, farm yard manure is produced from forest leaf litter and excreta of livestock obtaining &gt; 50% feed from forests. Chemical fertilizers are not used in rainfed farms on slopes. Experiments were conducted to test whether increase in FYM input rates results improvement in economic and environmental functions of agro-ecosystems. Increase in FYM input rate from 30 t/ha/crop-season currently practiced by farmers to 60 t/ha/crop-season showed substantial increase in crop yield and soil quality. Rice and wheat were more responsive to FYM input than the legume black gram. Harvest index is maximum for 60 t/ha/crop-season FYM treatment for rice and wheat. In blackgram maximum harvest index was obtained when no FYM was provided. During the 3 years of study, soil pH decreased (becoming more acidic) as compared to that recorded at the start of the study. Soil organic carbon generally declined upto second kharif season and then improved during second rabi (fallow) under no input treatment, and 16t/ha/crop-season FYM treatment and levels of N, P and Mg too showed patterns similar to soil organic carbon, but the trends varied for Ca, Na and K. Soils of fields put to 0 and 16 t/ha/crop-season FYM treatments showed a net decrease in concentration of these elements and those put to 30 and 60 t/ha/crop-season FYM treatments showed increase in their level.","container-title":"Vegetos","DOI":"10.1007/s42535-020-00167-w","ISSN":"2229-4473","issue":"1","journalAbbreviation":"Vegetos","language":"en","page":"249-262","source":"Semantic Scholar","title":"Impact of farm yard manure on cropping cycle in a rainfed agroecosystem of Central Himalaya","volume":"34","author":[{"family":"Chandra","given":"Abhishek"},{"family":"Pardha-Saradhi","given":"P."},{"family":"Maikhuri","given":"R. K."},{"family":"Saxena","given":"K. G."},{"family":"Rao","given":"K. S."}],"issued":{"date-parts":[["2021",3]]}}},{"id":2606,"uris":["http://zotero.org/users/5110088/items/E6G9L92R"],"itemData":{"id":2606,"type":"article-journal","abstract":"Green gram (Vigna radiate l.) is an important legume grown within Kenyan Coast. Despite the crops importance as a locally available nutrient supplement, its production is constrained by declining soil fertility caused by poor agronomic practices. A field experiment was established during the March-June, 2019 long rains in multi locational sites at Matuga and Mivumoni in Kwale County. The experiment was aimed at investigating the effect of integrating farm yard manure, zinc and starter nitrogen and phosphorus on soil fertility, growth and yield of green grams. The experiment was laid out in Randomized Complete Block Design (RCBD) with three replications. Treatments included: Zinc, NP, Manure, Manure+ zinc, NP+ zinc and control. Green gram variety tested was KS20. Data collected included: Initial soil chemical properties, plant height, number of leaves per plant, number of pods per plant, grains per pod, weight of 100 grains, biomass and grain yield. Results showed that Zinc+ manure significantly promoted the highest plant height, number of leaves, grain yield. Plots treated with zinc+ manure recorded 32% higher plant height and 46% higher grain yield compared to NP applied plots. In conclusion, integration of manure and zinc was most effective in promoting green grams growth and yield. Since, this research was carried out on station in ferralic, chromic Luvisols; there is need for long term trials in farmers’ fields with diverse soil properties and environmental conditions.","container-title":"Journal of Agriculture and Ecology Research International","DOI":"10.9734/jaeri/2019/v20i430117","ISSN":"2394-1073","journalAbbreviation":"JAERI","page":"1-9","source":"Semantic Scholar","title":"The Effects of Combining Farm Yard Manure, Starter Nitrogen, Phosphorus and Zinc on Growth and Yield of Green Grams","author":[{"family":"Muindi","given":"Esther Mwende"},{"family":"Muindi","given":"Consalata Mueni"},{"family":"Ndiso","given":"James"}],"issued":{"date-parts":[["2020",1,22]]}}},{"id":2614,"uris":["http://zotero.org/users/5110088/items/BYATR7QL"],"itemData":{"id":2614,"type":"article-journal","abstract":"ABSTRACT This investigation took place on a continuing soil test crop response (STCR) based fertilizer experiment, initiated during June, 2007, in a maize-wheat cropping sequence, which was laid in a randomized block design with eight treatments replicated thrice. Surface soil samples from a depth of 0–0.15 m were collected after the harvest of maize (June 2013 to October 2013) and were analyzed for soil physical, chemical and biological properties. Statistically significant physical, chemical and biological parameters were reduced to Minimum Data set (MDS) using Principal Component Analysis (PCA) and further integrated to compute Soil Quality Index (SQI). Highest SQI (2.84) was observed under treatment comprising prescription based fertilizers application for 40 q ha−1 along with farmyard manure (FYM). Whereas, control with no external application of fertilizers and FYM has observed lowest SQI (1.85). Conjunctive application of prescription-based fertilizers and FYM application improved soil quality over conventional general recommended dose and soil test-based application.","container-title":"Communications in Soil Science and Plant Analysis","DOI":"10.1080/00103624.2023.2211615","ISSN":"0010-3624, 1532-2416","issue":"15","journalAbbreviation":"Communications in Soil Science and Plant Analysis","language":"en","page":"2157-2173","source":"Semantic Scholar","title":"Effect of Six Year Continuous Targeted Yield Based Chemical Fertilizer and FYM Application on Soil Quality and Productivity of Maize in an Acid Alfisol of North-Western Himalayas","volume":"54","author":[{"literal":"Shabnam"},{"family":"Sharma","given":"Sanjay Kumar"}],"issued":{"date-parts":[["2023",8,22]]}}},{"id":2611,"uris":["http://zotero.org/users/5110088/items/UH5JYWZ8"],"itemData":{"id":2611,"type":"article-journal","abstract":"ABSTRACT An understanding of maize nutritional quality response to fertilization is important to counter the widespread nutritional deficiencies among humans; however, little work has been done in this context. This study aimed to evaluate the effect of continuous application of fertilizers, FYM, and lime on the quality and yield of maize (Zea mays L.) in a 46-year long-term experiment in an acid Alfisol of Himachal Pradesh, India. The experiment consisted of 10 treatments and one control in three replications in a randomized block design. Results revealed that 100% NPK+FYM and 100% NPK+lime recorded 48% and 37% higher maize grain yield than 100% NPK, respectively. The highest starch (67.09%), reducing (1.13%), and non-reducing sugar content (0.59%) were recorded in 100% NPK+FYM and lowest in control. The omission of sulfur and potassium (100% NPK (-S) and 100% NP, respectively) recorded significantly lower crude protein, fat, and fiber content compared to the treatments where sulfur and potassium were applied along with nitrogen and phosphorus. The grain calcium and zinc content were recorded highest in 100% NPK+lime and 100% NPK+Zn, respectively, whereas phosphorus, magnesium, and iron content in 100% NPK+FYM and lowest in control. From the study, it can be concluded that higher crop yield and better nutritional quality can be achieved with a balanced application of NPK fertilizers along with FYM and lime.","container-title":"Communications in Soil Science and Plant Analysis","DOI":"10.1080/00103624.2020.1854289","ISSN":"0010-3624, 1532-2416","issue":"2","journalAbbreviation":"Communications in Soil Science and Plant Analysis","language":"en","page":"149-160","source":"Semantic Scholar","title":"Maize Grain Quality as Influenced by 46 Years’ Continuous Application of Fertilizers, Farmyard Manure (FYM), and Lime in an Alfisol of North-western Himalayas","volume":"52","author":[{"family":"Thakur","given":"Anjali"},{"family":"Sharma","given":"R. P."},{"family":"Sankhyan","given":"N. K."},{"family":"Kumar","given":"Rameshwar"}],"issued":{"date-parts":[["2021",1,19]]}}}],"schema":"https://github.com/citation-style-language/schema/raw/master/csl-citation.json"}</w:instrText>
      </w:r>
      <w:r w:rsidR="00C06652" w:rsidRPr="00587A1F">
        <w:rPr>
          <w:rFonts w:cs="Arial"/>
          <w:szCs w:val="24"/>
        </w:rPr>
        <w:fldChar w:fldCharType="separate"/>
      </w:r>
      <w:r w:rsidR="00C06652" w:rsidRPr="00587A1F">
        <w:rPr>
          <w:rFonts w:cs="Arial"/>
        </w:rPr>
        <w:t xml:space="preserve">(Cai et al., 2019; Chandra et al., 2021; Muindi et al., 2020; Shabnam &amp; Sharma, 2023; Thakur et al., </w:t>
      </w:r>
      <w:r w:rsidR="00C06652" w:rsidRPr="00587A1F">
        <w:rPr>
          <w:rFonts w:cs="Arial"/>
        </w:rPr>
        <w:lastRenderedPageBreak/>
        <w:t>2021)</w:t>
      </w:r>
      <w:r w:rsidR="00C06652" w:rsidRPr="00587A1F">
        <w:rPr>
          <w:rFonts w:cs="Arial"/>
          <w:szCs w:val="24"/>
        </w:rPr>
        <w:fldChar w:fldCharType="end"/>
      </w:r>
      <w:r w:rsidR="00293C26" w:rsidRPr="00587A1F">
        <w:rPr>
          <w:rFonts w:cs="Arial"/>
          <w:szCs w:val="24"/>
        </w:rPr>
        <w:t>. This</w:t>
      </w:r>
      <w:r w:rsidR="00C06652" w:rsidRPr="00587A1F">
        <w:rPr>
          <w:rFonts w:cs="Arial"/>
          <w:szCs w:val="24"/>
        </w:rPr>
        <w:t xml:space="preserve"> </w:t>
      </w:r>
      <w:r w:rsidR="009C50A2" w:rsidRPr="00587A1F">
        <w:rPr>
          <w:rFonts w:cs="Arial"/>
          <w:szCs w:val="24"/>
        </w:rPr>
        <w:t>enhanc</w:t>
      </w:r>
      <w:r w:rsidR="00293C26" w:rsidRPr="00587A1F">
        <w:rPr>
          <w:rFonts w:cs="Arial"/>
          <w:szCs w:val="24"/>
        </w:rPr>
        <w:t xml:space="preserve">es </w:t>
      </w:r>
      <w:r w:rsidR="009C50A2" w:rsidRPr="00587A1F">
        <w:rPr>
          <w:rFonts w:cs="Arial"/>
          <w:szCs w:val="24"/>
        </w:rPr>
        <w:t xml:space="preserve">the availability of </w:t>
      </w:r>
      <w:r w:rsidR="00C06652" w:rsidRPr="00587A1F">
        <w:rPr>
          <w:rFonts w:cs="Arial"/>
          <w:szCs w:val="24"/>
        </w:rPr>
        <w:t xml:space="preserve">soil nutrients such as; available phosphorus, total nitrogen, </w:t>
      </w:r>
      <w:r w:rsidR="007A2563" w:rsidRPr="00587A1F">
        <w:rPr>
          <w:rFonts w:cs="Arial"/>
          <w:szCs w:val="24"/>
        </w:rPr>
        <w:t>sulphur</w:t>
      </w:r>
      <w:r w:rsidR="00C06652" w:rsidRPr="00587A1F">
        <w:rPr>
          <w:rFonts w:cs="Arial"/>
          <w:szCs w:val="24"/>
        </w:rPr>
        <w:t xml:space="preserve">, boron, exchangeable bases, micronutrients such as copper, manganese &amp; zinc </w:t>
      </w:r>
      <w:r w:rsidR="00C06652" w:rsidRPr="00587A1F">
        <w:rPr>
          <w:rFonts w:cs="Arial"/>
        </w:rPr>
        <w:fldChar w:fldCharType="begin"/>
      </w:r>
      <w:r w:rsidR="00C06652" w:rsidRPr="00587A1F">
        <w:rPr>
          <w:rFonts w:cs="Arial"/>
          <w:szCs w:val="24"/>
        </w:rPr>
        <w:instrText>ADDIN ZOTERO_ITEM CSL_CITATION {"citationID":"hwYXqXjc","properties":{"formattedCitation":"(Lishan &amp; Alemu, 2024)","plainCitation":"(Lishan &amp; Alemu, 2024)","noteIndex":0},"citationItems":[{"id":2625,"uris":["http://zotero.org/users/5110088/items/GI5PK4EK"],"itemData":{"id":2625,"type":"article-journal","abstract":"Soil nutrient depletion is the main problem in Ethiopia for agriculture sector. Comparison of organic and inorganic source of fertilizer is needed for soil physicochemical properties improvement. Hence, the current study was investigated to investigate the sole application of farmyard manure and blended NPSB fertilizer on soil properties. For this investigation, farm yard manure at three level (0,5, and 10 t ha-1) and NPSB at four level (0, 50, 100, and 150 kg ha-1). All collected data were analysed by GenStat software. Sole application of farm yard manure significantly improves soil bulk density ((1.23 gcm3 to 1.11 gcm3 at kuja Guraferda, and 2.22 gcm3 to 1.12 g/cm3 deka Maenit-Goldia) and soil moisture content from 12.14 % to 33.79 % at kuja, and 11.88 % to 36.01%at deka). More over application of farm yard manure improve soil pH (6.15) organic carbon (6.20 mg/kg) available phosphorus (18.94 mg/kg, total nitrogen (0.32), sulfur (18.27), boron, exchangeable base, cation exchange capacity, micronutrients (copper, manganese &amp; zinc). Application of NPSB fertilizer improves only, total nitrogen, available phosphorus, sulfur and boron. Application of Farm yard manure significantly improve soil physicochemical properties than NPSB mineral fertilizer in comparison. Therefore, application of farm yard manure is more important than mineral NPSB fertilizer for sustainable soil physical and chemical properties improvement from soil management aspect. Thus, application farmyard manure at 10 t/ha is recommended for the studied soil at West Omo zone Maenit-Goldia district, Deka kebele, and Bench-Skako zone, Guraferda district at Koyi kebele, south west people regional state, South West Ethiopia.","container-title":"Heliyon","DOI":"10.1016/j.heliyon.2023.e22908","ISSN":"2405-8440","issue":"1","journalAbbreviation":"Heliyon","page":"e22908","source":"ScienceDirect","title":"Elucidating sole application of farmyard manure and blended NPSB fertilizer effects on soil properties at Bench Shako and West Omo zone, South West Ethiopia","volume":"10","author":[{"family":"Lishan","given":"Tesfaye"},{"family":"Alemu","given":"Fessha"}],"issued":{"date-parts":[["2024",1,15]]}}}],"schema":"https://github.com/citation-style-language/schema/raw/master/csl-citation.json"}</w:instrText>
      </w:r>
      <w:r w:rsidR="00C06652" w:rsidRPr="00587A1F">
        <w:rPr>
          <w:rFonts w:cs="Arial"/>
          <w:szCs w:val="24"/>
        </w:rPr>
        <w:fldChar w:fldCharType="separate"/>
      </w:r>
      <w:r w:rsidR="00C06652" w:rsidRPr="00587A1F">
        <w:rPr>
          <w:rFonts w:cs="Arial"/>
          <w:szCs w:val="24"/>
        </w:rPr>
        <w:t>(Lishan &amp; Alemu, 2024)</w:t>
      </w:r>
      <w:r w:rsidR="00C06652" w:rsidRPr="00587A1F">
        <w:rPr>
          <w:rFonts w:cs="Arial"/>
          <w:szCs w:val="24"/>
        </w:rPr>
        <w:fldChar w:fldCharType="end"/>
      </w:r>
      <w:r w:rsidR="00C06652" w:rsidRPr="00587A1F">
        <w:rPr>
          <w:rFonts w:cs="Arial"/>
          <w:szCs w:val="24"/>
        </w:rPr>
        <w:t xml:space="preserve">. They also improve the soil fauna and microbial community structure </w:t>
      </w:r>
      <w:r w:rsidR="00C06652" w:rsidRPr="00587A1F">
        <w:rPr>
          <w:rFonts w:cs="Arial"/>
          <w:szCs w:val="20"/>
        </w:rPr>
        <w:fldChar w:fldCharType="begin"/>
      </w:r>
      <w:r w:rsidR="00C06652" w:rsidRPr="00587A1F">
        <w:rPr>
          <w:rFonts w:cs="Arial"/>
          <w:szCs w:val="20"/>
        </w:rPr>
        <w:instrText>ADDIN ZOTERO_ITEM CSL_CITATION {"citationID":"FzoOWAvH","properties":{"formattedCitation":"(Han et al., 2021; Zhou et al., 2022)","plainCitation":"(Han et al., 2021; Zhou et al., 2022)","noteIndex":0},"citationItems":[{"id":2621,"uris":["http://zotero.org/users/5110088/items/ALABL2NY"],"itemData":{"id":2621,"type":"article-journal","abstract":"Improving the soil quality of cultivated land generated by the Gully Land Consolidation Project could promote sustainable economic and ecological development in the hilly gully area of the Loess Plateau, China. A pot experiment with maize crop was conducted to assess the effects of different organic amendments and chemical fertilizer reduction on soil fertility and the microbial community in newly cultivated land, of which the amount of chemical fertilizer applied was half of the local conventional maize field (90 kg ha−1 of CO(NH2)2, 45 kg ha−1 of P2O5, and 60 kg ha−1 of K2O). The experiment involved six treatments: bare soil (CK), only maize (M), maize + chemical fertilizer (MF), maize + chemical fertilizer + organic fertilizer (MFO), maize + chemical fertilizer + biochar (MFB), and maize + chemical fertilizer + polyacrylamide (MFP). The results are as follows: (1) compared with the MF treatment, the MFO treatment exhibited the best effect on improving soil physicochemical properties, such as electrical conductivity (EC), soil organic carbon (SOC), nitrate nitrogen (NO3−-N), total nitrogen (TN), available phosphorus (AP) and available potassium (AK), followed by MFB and MFP. (2) The MFO treatment significantly (P &lt; 0.05) improved the Species richness and Shannon indices of the bacteria, but its effects on fungal diversity index are not significant. (3) The MFO treatment increased the relative abundance of Betaproteobacteria, Alphaproteobacteria, Gammaproteobacteria and Gemmatimonadetes and decreased the relative abundance of Sordariomycetes and Agaricomycetes, and it also increased the functional abundance of Amino acid metabolism, Membrane transport, Xenobiotics biodegradation and metabolism, Undefined Saprotrophs and Arbuscular Mycorrhizal Fungi. (4) The TN and EC were the main driving factors of bacterial community structural variation, while TN and NO3−-N were the main factors for variation of fungal community structure. (5) The fresh weight and dry weight of maize increased significantly (P &lt; 0.05) under all amendment treatments, among which the MFO treatment had the greatest effect. In conclusion, organic fertilizer application is the most effective measure for rapidly improving soil fertility and microbial community structure. Our findings have valuable implications for agricultural land productivity, food security and long-term sustainability of the environment.","container-title":"Applied Soil Ecology","DOI":"10.1016/j.apsoil.2021.103966","ISSN":"0929-1393","journalAbbreviation":"Applied Soil Ecology","page":"103966","source":"ScienceDirect","title":"Chemical fertilizer reduction with organic fertilizer effectively improve soil fertility and microbial community from newly cultivated land in the Loess Plateau of China","volume":"165","author":[{"family":"Han","given":"Jianqiao"},{"family":"Dong","given":"Yunyun"},{"family":"Zhang","given":"Man"}],"issued":{"date-parts":[["2021",9,1]]}}},{"id":2616,"uris":["http://zotero.org/users/5110088/items/6USH5NA7"],"itemData":{"id":2616,"type":"paper-conference","abstract":"The decline in soil quality is becoming a significant process of soil degradation. Optimizing organic fertilizer incorporation practices in cropland is essential to enhancing crop productivity and soil health. However, that requires a comprehensive understanding of crop yield and soil quality reaction across an application gradient of organic fertilizer. We investigated the effect of organic fertilizer incorporation practices on crop yield, soil quality, and fauna feeding activity from fluvo-aquic soils on wheat (\n              Triticum aestivum\n              )-maize (\n              Zea mays\n              ) rotation field. The six treatments included were unfertilized N control (UC), traditional chemical fertilizer application (TF, 600 N kg ha\n              −1\n               year\n              −1\n              ), and recommended chemical fertilization (RF, 400 N kg ha\n              −1\n               year\n              −1\n              ) with no organic fertilizer application rate, low-level 15.0 (RFLO), medium-level 30.0 (RFMO), and high-level 45.0 t ha\n              −1\n               year\n              −1\n              (RFHO) application, respectively. The research findings show that the yield with organic fertilizer incorporation treatments increased 26.4%–44.6% for wheat and 12.5%–40.8% for maize compared to RF plots. The long-term organic fertilizer incorporation rate increased organic carbon from 54.7% to 110.6% versus UC plots and 27.9%–74.0% versus chemical fertilizer (TF and RF) treatments, and the total nitrogen content of soil increased from 41.8% to 59.2%, and 24.6%–39.2%. The long-term inorganic fertilizer combined with organic fertilizer incorporation practices significantly enhanced soil sucrose (30.1%–51.9%), urease (28.4%–38.3%), and β-1,4-glucosidase (34.6%–122.4%) activity. Still, nitrite reductase, polyphenol oxidase, and catalase significantly lower 27.3%–49.9%, 8.5%–26.3% and 23.3%–34.3% than single applications of inorganic N fertilizer groups. Meanwhile, the results showed that organic fertilizer incorporation practices improved soil fauna feeding activity by 35.2%–42.5%, and the excessive application of inorganic N fertilizer reduced the activity level of soil fauna.","container-title":"Frontiers in Environmental Science","DOI":"10.3389/fenvs.2022.1058071","note":"ISSN: 2296-665X\njournalAbbreviation: Front. Environ. Sci.","page":"1058071","source":"Semantic Scholar","title":"Effects of organic fertilizer incorporation practices on crops yield, soil quality, and soil fauna feeding activity in the wheat-maize rotation system","URL":"https://www.frontiersin.org/articles/10.3389/fenvs.2022.1058071/full","volume":"10","author":[{"family":"Zhou","given":"Zhongkai"},{"family":"Zhang","given":"Siyu"},{"family":"Jiang","given":"Na"},{"family":"Xiu","given":"Weiming"},{"family":"Zhao","given":"Jianning"},{"family":"Yang","given":"Dianlin"}],"accessed":{"date-parts":[["2024",10,17]]},"issued":{"date-parts":[["2022",11,17]]}}}],"schema":"https://github.com/citation-style-language/schema/raw/master/csl-citation.json"}</w:instrText>
      </w:r>
      <w:r w:rsidR="00C06652" w:rsidRPr="00587A1F">
        <w:rPr>
          <w:rFonts w:cs="Arial"/>
          <w:szCs w:val="20"/>
        </w:rPr>
        <w:fldChar w:fldCharType="separate"/>
      </w:r>
      <w:r w:rsidR="00C06652" w:rsidRPr="00587A1F">
        <w:rPr>
          <w:rFonts w:cs="Arial"/>
          <w:szCs w:val="20"/>
        </w:rPr>
        <w:t>(Han et al., 2021; Zhou et al., 2022)</w:t>
      </w:r>
      <w:r w:rsidR="00C06652" w:rsidRPr="00587A1F">
        <w:rPr>
          <w:rFonts w:cs="Arial"/>
          <w:szCs w:val="20"/>
        </w:rPr>
        <w:fldChar w:fldCharType="end"/>
      </w:r>
      <w:r w:rsidR="00C06652" w:rsidRPr="00587A1F">
        <w:rPr>
          <w:rFonts w:cs="Arial"/>
          <w:szCs w:val="20"/>
        </w:rPr>
        <w:t xml:space="preserve">, and enhance the crop yield and nutritional quality of farm produce </w:t>
      </w:r>
      <w:r w:rsidR="00C06652" w:rsidRPr="00587A1F">
        <w:rPr>
          <w:rFonts w:cs="Arial"/>
          <w:szCs w:val="20"/>
        </w:rPr>
        <w:fldChar w:fldCharType="begin"/>
      </w:r>
      <w:r w:rsidR="00C06652" w:rsidRPr="00587A1F">
        <w:rPr>
          <w:rFonts w:cs="Arial"/>
          <w:szCs w:val="20"/>
        </w:rPr>
        <w:instrText>ADDIN ZOTERO_ITEM CSL_CITATION {"citationID":"UvUeoBSr","properties":{"formattedCitation":"(Cai et al., 2019; Chauhan et al., 2020; Thakur et al., 2021)","plainCitation":"(Cai et al., 2019; Chauhan et al., 2020; Thakur et al., 2021)","noteIndex":0},"citationItems":[{"id":2619,"uris":["http://zotero.org/users/5110088/items/K5R3NDVU"],"itemData":{"id":2619,"type":"article-journal","abstract":"Fertilization is an important management strategy for crop yields by mediating soil fertility. However, rare studies quantitatively assessed the interactions among fertilization, crop yields, and soil fertility. Here, data from a 25-year fertilization experiment in the humid subtropical region of Southern China were used to evaluate and quantify the effect of fertilization on crop yields via soil fertility. Seven treatments were chosen: CK (non-fertilizer); N (synthetic nitrogen); NP (synthetic N and phosphorus); NPK (synthetic N, P and potassium); NPKM1 (synthetic NPK with manure); 1.5NPKM1 (1.5 times of NPKM1); and M2 (manure alone). Overall, the crop yields of wheat and maize under manure (1.36–1.58 and 3.85-5.82 Mg ha−1) were higher than those under CK (0.34 and 0.25 Mg ha−1) and synthetic fertilized treatments (0.27–0.97 and 0.48–2.65 Mg ha−1), as the averaged of 1991–2015. Higher SOC stocks were found under the NPKM1, 1.5NPKM1, and M2 treatments with a pronounced increase in SOC over the first 10 years and stable over the last 15 years. By the boosted regression trees, manure, synthetic fertilizer and soil properties (SOC storage, soil pH, and soil nutrients) accounted for 39%, 21%, and 40% of the variation of the relative yield, respectively. Path analysis identified a network of inter-relations of manure, synthetic fertilizer, and soil properties in the relative yields. Compared to synthetic fertilized treatments, manure application strongly and positively affected the relative yield by increasing SOC storage, soil nutrients, and soil pH (path coefficients: 0.90, 0.88, and 0.76). These factors explained 72% of the crop yields' variance. These results suggest that manure application is a viable strategy for regulating crop yields due to its improvement in soil fertility.","container-title":"Soil and Tillage Research","DOI":"10.1016/j.still.2018.12.022","ISSN":"0167-1987","journalAbbreviation":"Soil and Tillage Research","page":"168-175","source":"ScienceDirect","title":"Manure acts as a better fertilizer for increasing crop yields than synthetic fertilizer does by improving soil fertility","volume":"189","author":[{"family":"Cai","given":"Andong"},{"family":"Xu","given":"Minggang"},{"family":"Wang","given":"Boren"},{"family":"Zhang","given":"Wenju"},{"family":"Liang","given":"Guopeng"},{"family":"Hou","given":"Enqing"},{"family":"Luo","given":"Yiqi"}],"issued":{"date-parts":[["2019",6,1]]}}},{"id":2609,"uris":["http://zotero.org/users/5110088/items/9NF7ET3I"],"itemData":{"id":2609,"type":"article-journal","abstract":"Abstract The effect of long-term addition of fertilizers and amendments on productivity, quality and nutrient content of wheat (Triticum aestivum L.) in an acid Alfisol was evaluated in field experiment at the research farm of the Department of Soil Science, Chaudhary Sarwan Kumar Himachal Pradesh Krishi Vishvavidyalaya (CSKHPKV) Palampur, Himachal Pradesh (India). The Long-Term Fertilizer Experiment was initiated during 1972 in randomized block design (RBD) with 11 treatments which were replicated three times. The soil of the experimental area was silt loam and classified taxonomically as “Typic Hapludalf”. The highest productivity of wheat (2822 kg ha−1) was recorded in the treatment comprising the recommended dose of fertilizer along with farmyard manure (FYM) @ 10t ha−1 and was statistically comparable with 100% NPK + lime (2589 kg ha−1). Continuous application of nitrogen (N) alone through urea (100%) in an acid alfisol has resulted in zero yield of wheat. Application of FYM and lime along with recommended doses of fertilizers improved all the crop quality parameters viz. crude protein, gluten, ash, fat, fiber and carbohydrate as compared to control and imbalanced fertilization for the last 45 years led to decline in crop quality parameters. Nutrient content in wheat grain i.e., phosphorus (P), magnesium (Mg) and iron (Fe) content was also the highest in FYM amended treatment and lowest in control. Whereas, calcium (Ca) content was the highest in lime amended plot and the lowest in control.","container-title":"Journal of Plant Nutrition","DOI":"10.1080/01904167.2020.1783298","ISSN":"0190-4167, 1532-4087","issue":"17","journalAbbreviation":"Journal of Plant Nutrition","language":"en","page":"2569-2578","source":"Semantic Scholar","title":"Effect of long-term application of inorganic fertilizers, farm yard manure and lime on wheat ( &lt;i&gt;Triticum aestivum&lt;/i&gt; L.) productivity, quality and nutrient content in an acid alfisol","volume":"43","author":[{"family":"Chauhan","given":"Neha"},{"family":"Sankhyan","given":"N. K."},{"family":"Sharma","given":"R. P."},{"family":"Singh","given":"Janardan"},{"literal":"Gourav"}],"issued":{"date-parts":[["2020",10,20]]}}},{"id":2611,"uris":["http://zotero.org/users/5110088/items/UH5JYWZ8"],"itemData":{"id":2611,"type":"article-journal","abstract":"ABSTRACT An understanding of maize nutritional quality response to fertilization is important to counter the widespread nutritional deficiencies among humans; however, little work has been done in this context. This study aimed to evaluate the effect of continuous application of fertilizers, FYM, and lime on the quality and yield of maize (Zea mays L.) in a 46-year long-term experiment in an acid Alfisol of Himachal Pradesh, India. The experiment consisted of 10 treatments and one control in three replications in a randomized block design. Results revealed that 100% NPK+FYM and 100% NPK+lime recorded 48% and 37% higher maize grain yield than 100% NPK, respectively. The highest starch (67.09%), reducing (1.13%), and non-reducing sugar content (0.59%) were recorded in 100% NPK+FYM and lowest in control. The omission of sulfur and potassium (100% NPK (-S) and 100% NP, respectively) recorded significantly lower crude protein, fat, and fiber content compared to the treatments where sulfur and potassium were applied along with nitrogen and phosphorus. The grain calcium and zinc content were recorded highest in 100% NPK+lime and 100% NPK+Zn, respectively, whereas phosphorus, magnesium, and iron content in 100% NPK+FYM and lowest in control. From the study, it can be concluded that higher crop yield and better nutritional quality can be achieved with a balanced application of NPK fertilizers along with FYM and lime.","container-title":"Communications in Soil Science and Plant Analysis","DOI":"10.1080/00103624.2020.1854289","ISSN":"0010-3624, 1532-2416","issue":"2","journalAbbreviation":"Communications in Soil Science and Plant Analysis","language":"en","page":"149-160","source":"Semantic Scholar","title":"Maize Grain Quality as Influenced by 46 Years’ Continuous Application of Fertilizers, Farmyard Manure (FYM), and Lime in an Alfisol of North-western Himalayas","volume":"52","author":[{"family":"Thakur","given":"Anjali"},{"family":"Sharma","given":"R. P."},{"family":"Sankhyan","given":"N. K."},{"family":"Kumar","given":"Rameshwar"}],"issued":{"date-parts":[["2021",1,19]]}}}],"schema":"https://github.com/citation-style-language/schema/raw/master/csl-citation.json"}</w:instrText>
      </w:r>
      <w:r w:rsidR="00C06652" w:rsidRPr="00587A1F">
        <w:rPr>
          <w:rFonts w:cs="Arial"/>
          <w:szCs w:val="20"/>
        </w:rPr>
        <w:fldChar w:fldCharType="separate"/>
      </w:r>
      <w:r w:rsidR="00C06652" w:rsidRPr="00587A1F">
        <w:rPr>
          <w:rFonts w:cs="Arial"/>
          <w:szCs w:val="20"/>
        </w:rPr>
        <w:t>(Cai et al., 2019; Chauhan et al., 2020; Thakur et al., 2021)</w:t>
      </w:r>
      <w:r w:rsidR="00C06652" w:rsidRPr="00587A1F">
        <w:rPr>
          <w:rFonts w:cs="Arial"/>
          <w:szCs w:val="20"/>
        </w:rPr>
        <w:fldChar w:fldCharType="end"/>
      </w:r>
      <w:r w:rsidR="00C06652" w:rsidRPr="00587A1F">
        <w:rPr>
          <w:rFonts w:cs="Arial"/>
          <w:szCs w:val="20"/>
        </w:rPr>
        <w:t xml:space="preserve">. </w:t>
      </w:r>
      <w:r w:rsidR="005877E7" w:rsidRPr="00587A1F">
        <w:rPr>
          <w:rFonts w:cs="Arial"/>
          <w:szCs w:val="20"/>
        </w:rPr>
        <w:t xml:space="preserve">On the other hand, </w:t>
      </w:r>
      <w:r w:rsidR="005D1DF8" w:rsidRPr="00587A1F">
        <w:rPr>
          <w:rFonts w:cs="Arial"/>
          <w:szCs w:val="20"/>
        </w:rPr>
        <w:t>i</w:t>
      </w:r>
      <w:r w:rsidR="005877E7" w:rsidRPr="00587A1F">
        <w:rPr>
          <w:rFonts w:cs="Arial"/>
          <w:szCs w:val="20"/>
        </w:rPr>
        <w:t xml:space="preserve">norganic fertilizers </w:t>
      </w:r>
      <w:r w:rsidR="005D1DF8" w:rsidRPr="00587A1F">
        <w:rPr>
          <w:rFonts w:cs="Arial"/>
          <w:szCs w:val="20"/>
        </w:rPr>
        <w:t xml:space="preserve">provides </w:t>
      </w:r>
      <w:r w:rsidR="005877E7" w:rsidRPr="00587A1F">
        <w:rPr>
          <w:rFonts w:cs="Arial"/>
          <w:szCs w:val="20"/>
        </w:rPr>
        <w:t xml:space="preserve">rapid </w:t>
      </w:r>
      <w:r w:rsidR="005D1DF8" w:rsidRPr="00587A1F">
        <w:rPr>
          <w:rFonts w:cs="Arial"/>
          <w:szCs w:val="20"/>
        </w:rPr>
        <w:t xml:space="preserve">availability of crop nutrients that are </w:t>
      </w:r>
      <w:r w:rsidR="005877E7" w:rsidRPr="00587A1F">
        <w:rPr>
          <w:rFonts w:cs="Arial"/>
          <w:szCs w:val="20"/>
        </w:rPr>
        <w:t>readily solubl</w:t>
      </w:r>
      <w:r w:rsidR="005D1DF8" w:rsidRPr="00587A1F">
        <w:rPr>
          <w:rFonts w:cs="Arial"/>
          <w:szCs w:val="20"/>
        </w:rPr>
        <w:t xml:space="preserve">e and quickly absorbed by crops thus </w:t>
      </w:r>
      <w:r w:rsidR="005D1DF8" w:rsidRPr="00587A1F">
        <w:rPr>
          <w:rFonts w:cs="Arial"/>
          <w:color w:val="222222"/>
          <w:szCs w:val="20"/>
          <w:shd w:val="clear" w:color="auto" w:fill="FFFFFF"/>
        </w:rPr>
        <w:t>increasing crop productivity</w:t>
      </w:r>
      <w:r w:rsidR="005877E7" w:rsidRPr="00587A1F">
        <w:rPr>
          <w:rFonts w:cs="Arial"/>
          <w:szCs w:val="20"/>
        </w:rPr>
        <w:t>.</w:t>
      </w:r>
      <w:r w:rsidR="005877E7" w:rsidRPr="00587A1F">
        <w:rPr>
          <w:rFonts w:cs="Arial"/>
          <w:szCs w:val="24"/>
        </w:rPr>
        <w:t xml:space="preserve"> </w:t>
      </w:r>
      <w:r w:rsidR="00D95D8F" w:rsidRPr="00587A1F">
        <w:rPr>
          <w:rFonts w:cs="Arial"/>
          <w:szCs w:val="24"/>
        </w:rPr>
        <w:t xml:space="preserve">However, the limited adoption of inorganic fertilizers in the drylands could indicate possible challenges that include high purchasing and transportation costs, limited availability during peak seasons, and inadequate extension services. </w:t>
      </w:r>
    </w:p>
    <w:p w14:paraId="2C9C4E92" w14:textId="695EC519" w:rsidR="00C06652" w:rsidRPr="00587A1F" w:rsidRDefault="00C06652" w:rsidP="00C06652">
      <w:pPr>
        <w:rPr>
          <w:rFonts w:cs="Arial"/>
          <w:szCs w:val="24"/>
        </w:rPr>
      </w:pPr>
    </w:p>
    <w:p w14:paraId="3C5F4C91" w14:textId="77777777" w:rsidR="009A7962" w:rsidRPr="00587A1F" w:rsidRDefault="001E4A3F" w:rsidP="009A7962">
      <w:pPr>
        <w:keepNext/>
        <w:rPr>
          <w:rFonts w:cs="Arial"/>
        </w:rPr>
      </w:pPr>
      <w:r w:rsidRPr="00587A1F">
        <w:rPr>
          <w:rFonts w:cs="Arial"/>
          <w:noProof/>
          <w:lang w:val="en-US"/>
        </w:rPr>
        <w:drawing>
          <wp:inline distT="0" distB="0" distL="0" distR="0" wp14:anchorId="7072E8B4" wp14:editId="0EDE828E">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6A189C8" w14:textId="62CE9843" w:rsidR="00DD214C" w:rsidRPr="00587A1F" w:rsidRDefault="009A7962" w:rsidP="009A7962">
      <w:pPr>
        <w:pStyle w:val="Caption"/>
        <w:rPr>
          <w:rFonts w:cs="Arial"/>
          <w:b/>
          <w:color w:val="auto"/>
        </w:rPr>
      </w:pPr>
      <w:r w:rsidRPr="00587A1F">
        <w:rPr>
          <w:rFonts w:cs="Arial"/>
          <w:b/>
          <w:color w:val="auto"/>
        </w:rPr>
        <w:t xml:space="preserve">Figure </w:t>
      </w:r>
      <w:r w:rsidRPr="00587A1F">
        <w:rPr>
          <w:rFonts w:cs="Arial"/>
          <w:b/>
          <w:color w:val="auto"/>
        </w:rPr>
        <w:fldChar w:fldCharType="begin"/>
      </w:r>
      <w:r w:rsidRPr="00587A1F">
        <w:rPr>
          <w:rFonts w:cs="Arial"/>
          <w:b/>
          <w:color w:val="auto"/>
        </w:rPr>
        <w:instrText xml:space="preserve"> SEQ Figure \* ARABIC </w:instrText>
      </w:r>
      <w:r w:rsidRPr="00587A1F">
        <w:rPr>
          <w:rFonts w:cs="Arial"/>
          <w:b/>
          <w:color w:val="auto"/>
        </w:rPr>
        <w:fldChar w:fldCharType="separate"/>
      </w:r>
      <w:r w:rsidRPr="00587A1F">
        <w:rPr>
          <w:rFonts w:cs="Arial"/>
          <w:b/>
          <w:noProof/>
          <w:color w:val="auto"/>
        </w:rPr>
        <w:t>1</w:t>
      </w:r>
      <w:r w:rsidRPr="00587A1F">
        <w:rPr>
          <w:rFonts w:cs="Arial"/>
          <w:b/>
          <w:color w:val="auto"/>
        </w:rPr>
        <w:fldChar w:fldCharType="end"/>
      </w:r>
      <w:r w:rsidRPr="00587A1F">
        <w:rPr>
          <w:rFonts w:cs="Arial"/>
          <w:b/>
          <w:color w:val="auto"/>
        </w:rPr>
        <w:t>. Percentage of farmers adopting each of the farming practices in the dryland areas of West Pokot County based from a survey of 503 participants</w:t>
      </w:r>
    </w:p>
    <w:p w14:paraId="6593D384" w14:textId="1293CBD7" w:rsidR="00353B71" w:rsidRPr="00587A1F" w:rsidRDefault="00477FD8" w:rsidP="00BC0C1B">
      <w:pPr>
        <w:pStyle w:val="Heading2"/>
        <w:spacing w:before="100" w:after="100"/>
        <w:rPr>
          <w:rFonts w:cs="Arial"/>
        </w:rPr>
      </w:pPr>
      <w:r w:rsidRPr="00587A1F">
        <w:rPr>
          <w:rFonts w:cs="Arial"/>
        </w:rPr>
        <w:t>Household Socioeconomic C</w:t>
      </w:r>
      <w:r w:rsidR="004D2C5A" w:rsidRPr="00587A1F">
        <w:rPr>
          <w:rFonts w:cs="Arial"/>
        </w:rPr>
        <w:t xml:space="preserve">haracteristics </w:t>
      </w:r>
      <w:r w:rsidR="00332B0D" w:rsidRPr="00587A1F">
        <w:rPr>
          <w:rFonts w:cs="Arial"/>
        </w:rPr>
        <w:t>and t</w:t>
      </w:r>
      <w:r w:rsidRPr="00587A1F">
        <w:rPr>
          <w:rFonts w:cs="Arial"/>
        </w:rPr>
        <w:t>he</w:t>
      </w:r>
      <w:r w:rsidR="00F23D69" w:rsidRPr="00587A1F">
        <w:rPr>
          <w:rFonts w:cs="Arial"/>
        </w:rPr>
        <w:t>ir</w:t>
      </w:r>
      <w:r w:rsidRPr="00587A1F">
        <w:rPr>
          <w:rFonts w:cs="Arial"/>
        </w:rPr>
        <w:t xml:space="preserve"> I</w:t>
      </w:r>
      <w:r w:rsidR="00332B0D" w:rsidRPr="00587A1F">
        <w:rPr>
          <w:rFonts w:cs="Arial"/>
        </w:rPr>
        <w:t xml:space="preserve">nfluence on </w:t>
      </w:r>
      <w:r w:rsidRPr="00587A1F">
        <w:rPr>
          <w:rFonts w:cs="Arial"/>
        </w:rPr>
        <w:t>F</w:t>
      </w:r>
      <w:r w:rsidR="00332B0D" w:rsidRPr="00587A1F">
        <w:rPr>
          <w:rFonts w:cs="Arial"/>
        </w:rPr>
        <w:t xml:space="preserve">arming </w:t>
      </w:r>
      <w:r w:rsidRPr="00587A1F">
        <w:rPr>
          <w:rFonts w:cs="Arial"/>
        </w:rPr>
        <w:t>P</w:t>
      </w:r>
      <w:r w:rsidR="00332B0D" w:rsidRPr="00587A1F">
        <w:rPr>
          <w:rFonts w:cs="Arial"/>
        </w:rPr>
        <w:t xml:space="preserve">ractices </w:t>
      </w:r>
      <w:bookmarkEnd w:id="25"/>
    </w:p>
    <w:p w14:paraId="7C72F433" w14:textId="4BA3290A" w:rsidR="003022D6" w:rsidRPr="00587A1F" w:rsidRDefault="00086872" w:rsidP="00557354">
      <w:pPr>
        <w:pStyle w:val="NormalWeb"/>
        <w:spacing w:before="100" w:after="100"/>
        <w:rPr>
          <w:rFonts w:cs="Arial"/>
        </w:rPr>
      </w:pPr>
      <w:r w:rsidRPr="00587A1F">
        <w:rPr>
          <w:rFonts w:cs="Arial"/>
          <w:bCs/>
        </w:rPr>
        <w:t>T</w:t>
      </w:r>
      <w:r w:rsidR="004D2C5A" w:rsidRPr="00587A1F">
        <w:rPr>
          <w:rFonts w:cs="Arial"/>
          <w:bCs/>
        </w:rPr>
        <w:t xml:space="preserve">he results </w:t>
      </w:r>
      <w:r w:rsidR="001D1DB7" w:rsidRPr="00587A1F">
        <w:rPr>
          <w:rFonts w:cs="Arial"/>
          <w:bCs/>
        </w:rPr>
        <w:t>of the household’s s</w:t>
      </w:r>
      <w:r w:rsidR="004D2C5A" w:rsidRPr="00587A1F">
        <w:rPr>
          <w:rFonts w:cs="Arial"/>
          <w:bCs/>
        </w:rPr>
        <w:t xml:space="preserve">ocioeconomic characteristics </w:t>
      </w:r>
      <w:r w:rsidRPr="00587A1F">
        <w:rPr>
          <w:rFonts w:cs="Arial"/>
          <w:bCs/>
        </w:rPr>
        <w:t>of agro-pastorali</w:t>
      </w:r>
      <w:r w:rsidR="00CA1253" w:rsidRPr="00587A1F">
        <w:rPr>
          <w:rFonts w:cs="Arial"/>
          <w:bCs/>
        </w:rPr>
        <w:t xml:space="preserve">st farmers and </w:t>
      </w:r>
      <w:r w:rsidR="00D001AA" w:rsidRPr="00587A1F">
        <w:rPr>
          <w:rFonts w:cs="Arial"/>
          <w:bCs/>
        </w:rPr>
        <w:t xml:space="preserve">its </w:t>
      </w:r>
      <w:r w:rsidR="00CA1253" w:rsidRPr="00587A1F">
        <w:rPr>
          <w:rFonts w:cs="Arial"/>
          <w:bCs/>
        </w:rPr>
        <w:t xml:space="preserve">influence </w:t>
      </w:r>
      <w:r w:rsidR="00D001AA" w:rsidRPr="00587A1F">
        <w:rPr>
          <w:rFonts w:cs="Arial"/>
          <w:bCs/>
        </w:rPr>
        <w:t xml:space="preserve">on farming practices are </w:t>
      </w:r>
      <w:r w:rsidRPr="00587A1F">
        <w:rPr>
          <w:rFonts w:cs="Arial"/>
          <w:bCs/>
        </w:rPr>
        <w:t>presented in Table 2 respectively.</w:t>
      </w:r>
      <w:r w:rsidR="001D1DB7" w:rsidRPr="00587A1F">
        <w:rPr>
          <w:rFonts w:cs="Arial"/>
          <w:bCs/>
        </w:rPr>
        <w:t xml:space="preserve"> The household head leadership in the dryland areas showed a high male dominance </w:t>
      </w:r>
      <w:r w:rsidR="004D2C5A" w:rsidRPr="00587A1F">
        <w:rPr>
          <w:rFonts w:cs="Arial"/>
          <w:bCs/>
        </w:rPr>
        <w:t>(82%)</w:t>
      </w:r>
      <w:r w:rsidR="00101941" w:rsidRPr="00587A1F">
        <w:rPr>
          <w:rFonts w:cs="Arial"/>
          <w:bCs/>
        </w:rPr>
        <w:t xml:space="preserve">. </w:t>
      </w:r>
      <w:r w:rsidR="00101941" w:rsidRPr="00587A1F">
        <w:rPr>
          <w:rFonts w:cs="Arial"/>
        </w:rPr>
        <w:t xml:space="preserve">This indicates gender specific roles in household leadership where men are more likely to dominate in household decision making </w:t>
      </w:r>
      <w:r w:rsidR="00101941" w:rsidRPr="00587A1F">
        <w:rPr>
          <w:rFonts w:cs="Arial"/>
        </w:rPr>
        <w:fldChar w:fldCharType="begin"/>
      </w:r>
      <w:r w:rsidR="00101941" w:rsidRPr="00587A1F">
        <w:rPr>
          <w:rFonts w:cs="Arial"/>
        </w:rPr>
        <w:instrText>ADDIN ZOTERO_ITEM CSL_CITATION {"citationID":"vP3sJaUf","properties":{"formattedCitation":"(Shibata et al., 2020)","plainCitation":"(Shibata et al., 2020)","noteIndex":0},"citationItems":[{"id":3569,"uris":["http://zotero.org/users/5110088/items/B6YJ82T8"],"itemData":{"id":3569,"type":"article-journal","abstract":"This article explores intra-household decision-making in smallholder farmers' innovation uptake and use of outputs within a bargaining framework. Research was conducted in selected locations representing contrasting economic, social and agroclimatic environments in Uganda using a combination of qualitative and quantitative methods (including a survey of 531 farmers). Decision-making in innovation processes was highly gendered and shaped by intra-household allocation of production assets as well as social norms. The findings highlight the male capture of decision-making regarding innovation uptake and use of outputs, especially for income-generating crops, and that this can both reflect and reinforce gender inequalities in asset ownership. © 2020 The Authors. Journal of International Development published by John Wiley &amp; Sons Ltd","container-title":"Journal of International Development","DOI":"10.1002/jid.3497","ISSN":"1099-1328","issue":"7","language":"en","license":"© 2020 The Authors. Journal of International Development published by John Wiley &amp; Sons Ltd","note":"_eprint: https://onlinelibrary.wiley.com/doi/pdf/10.1002/jid.3497","page":"1101-1125","source":"Wiley Online Library","title":"Gendered Intra-Household Decision-Making Dynamics in Agricultural Innovation Processes: Assets, Norms and Bargaining Power","title-short":"Gendered Intra-Household Decision-Making Dynamics in Agricultural Innovation Processes","volume":"32","author":[{"family":"Shibata","given":"Rieko"},{"family":"Cardey","given":"Sarah"},{"family":"Dorward","given":"Peter"}],"issued":{"date-parts":[["2020"]]}}}],"schema":"https://github.com/citation-style-language/schema/raw/master/csl-citation.json"}</w:instrText>
      </w:r>
      <w:r w:rsidR="00101941" w:rsidRPr="00587A1F">
        <w:rPr>
          <w:rFonts w:cs="Arial"/>
        </w:rPr>
        <w:fldChar w:fldCharType="separate"/>
      </w:r>
      <w:r w:rsidR="00101941" w:rsidRPr="00587A1F">
        <w:rPr>
          <w:rFonts w:cs="Arial"/>
        </w:rPr>
        <w:t>(Shibata et al., 2020)</w:t>
      </w:r>
      <w:r w:rsidR="00101941" w:rsidRPr="00587A1F">
        <w:rPr>
          <w:rFonts w:cs="Arial"/>
        </w:rPr>
        <w:fldChar w:fldCharType="end"/>
      </w:r>
      <w:r w:rsidR="00101941" w:rsidRPr="00587A1F">
        <w:rPr>
          <w:rFonts w:cs="Arial"/>
        </w:rPr>
        <w:t xml:space="preserve">. It could also be linked to socio-cultural norms and socioeconomic dynamics that influence access to and control over resources, decision making power and gender roles in household management </w:t>
      </w:r>
      <w:r w:rsidR="00101941" w:rsidRPr="00587A1F">
        <w:rPr>
          <w:rFonts w:cs="Arial"/>
        </w:rPr>
        <w:fldChar w:fldCharType="begin"/>
      </w:r>
      <w:r w:rsidR="00101941" w:rsidRPr="00587A1F">
        <w:rPr>
          <w:rFonts w:cs="Arial"/>
        </w:rPr>
        <w:instrText>ADDIN ZOTERO_ITEM CSL_CITATION {"citationID":"hEjYtdCr","properties":{"formattedCitation":"(Gumucio et al., 2020)","plainCitation":"(Gumucio et al., 2020)","noteIndex":0},"citationItems":[{"id":3571,"uris":["http://zotero.org/users/5110088/items/NA5DUAQI"],"itemData":{"id":3571,"type":"article-journal","abstract":"This review assesses the empirical knowledge base on gender-based differences in access, use and benefits from rural climate services to analyse gender equality challenges and identify pathways for making climate services more responsive to the needs of rural women and men. While existing research is limited, the review identifies key gender-related factors and processes that influence inequalities in access and use. Differential access to group processes and to Information and Communications Technologies (ICTs) can significantly limit women’s access to weather and climate information. Moreover, socio-cultural norms that define women’s and men’s labour roles can also influence the resources and decisions under women’s and men’s control, affecting their differing climate information needs and demand. Ways forward suggested by the literature concern inclusion of women’s groups and networks in communication channels and development of ICTs that respond to women’s preferences. Furthermore, meeting women’s climate information needs and pursuing cross-sectoral collaboration will be important to enhance action on climate information. Research opportunities include analyses of the potential for women’s and mixed-gender groups to enhance women’s access to climate information; evaluation of the communication processes that improve women’s understanding of climate information; and further connection with the body of knowledge on intra-household decision-making processes.","container-title":"Climate and Development","DOI":"10.1080/17565529.2019.1613216","ISSN":"1756-5529","issue":"3","note":"publisher: Taylor &amp; Francis\n_eprint: https://doi.org/10.1080/17565529.2019.1613216","page":"241-254","source":"Taylor and Francis+NEJM","title":"Gender-responsive rural climate services: a review of the literature","title-short":"Gender-responsive rural climate services","volume":"12","author":[{"family":"Gumucio","given":"Tatiana"},{"family":"Hansen","given":"James"},{"family":"Huyer","given":"Sophia"},{"family":"Huysen","given":"Tiff","non-dropping-particle":"van"}],"issued":{"date-parts":[["2020",3,15]]}}}],"schema":"https://github.com/citation-style-language/schema/raw/master/csl-citation.json"}</w:instrText>
      </w:r>
      <w:r w:rsidR="00101941" w:rsidRPr="00587A1F">
        <w:rPr>
          <w:rFonts w:cs="Arial"/>
        </w:rPr>
        <w:fldChar w:fldCharType="separate"/>
      </w:r>
      <w:r w:rsidR="00101941" w:rsidRPr="00587A1F">
        <w:rPr>
          <w:rFonts w:cs="Arial"/>
        </w:rPr>
        <w:t>(Gumucio et al., 2020)</w:t>
      </w:r>
      <w:r w:rsidR="00101941" w:rsidRPr="00587A1F">
        <w:rPr>
          <w:rFonts w:cs="Arial"/>
        </w:rPr>
        <w:fldChar w:fldCharType="end"/>
      </w:r>
      <w:r w:rsidR="00101941" w:rsidRPr="00587A1F">
        <w:rPr>
          <w:rFonts w:cs="Arial"/>
        </w:rPr>
        <w:t xml:space="preserve">. </w:t>
      </w:r>
      <w:r w:rsidR="00C06652" w:rsidRPr="00587A1F">
        <w:rPr>
          <w:rFonts w:cs="Arial"/>
        </w:rPr>
        <w:t xml:space="preserve">Similar results </w:t>
      </w:r>
      <w:r w:rsidR="00101941" w:rsidRPr="00587A1F">
        <w:rPr>
          <w:rFonts w:cs="Arial"/>
        </w:rPr>
        <w:t xml:space="preserve">showing male dominance have been </w:t>
      </w:r>
      <w:r w:rsidR="00C06652" w:rsidRPr="00587A1F">
        <w:rPr>
          <w:rFonts w:cs="Arial"/>
        </w:rPr>
        <w:t xml:space="preserve">reported by </w:t>
      </w:r>
      <w:r w:rsidR="00C06652" w:rsidRPr="00587A1F">
        <w:rPr>
          <w:rFonts w:cs="Arial"/>
        </w:rPr>
        <w:fldChar w:fldCharType="begin"/>
      </w:r>
      <w:r w:rsidR="00DB1FF5" w:rsidRPr="00587A1F">
        <w:rPr>
          <w:rFonts w:cs="Arial"/>
        </w:rPr>
        <w:instrText xml:space="preserve"> ADDIN ZOTERO_ITEM CSL_CITATION {"citationID":"Fho1DNZK","properties":{"formattedCitation":"(Kalele et al., 2021)","plainCitation":"(Kalele et al., 2021)","dontUpdate":true,"noteIndex":0},"citationItems":[{"id":2686,"uris":["http://zotero.org/users/5110088/items/BW2W28US"],"itemData":{"id":2686,"type":"article-journal","abstract":"In the recent decades, extreme weather events have increased in frequency, intensity and magnitude threatening and increasing the vulnerability of rural livelihoods particularly in the arid and semi-arid lands. This study explored climate change events, the extent of their impacts on farmers’ livelihoods, farmers’ adaptation strategies and the extent of the strategies on improving farmers' ability to manage the climate change impacts in the Yatta region, Kenya. The study adopted a multi-method approach that integrated qualitative and quantitative data sources. Quantitative data were obtained from 354 household interviews while qualitative data were obtained from 8 focus group discussions. The interview data were analyzed using descriptive and inferential statistics while the discussion data were analyzed using qualitative content analysis. The most experienced climate events were drought (90.7%), crop diseases (79.1%) and floods (33.30%). Livelihoods aspects greatly impacted by the climate change events were food shortage (87.29%), increased food prices (76.27%) and decreased availability of water (72.43%). Although farmers had adopted several on-farm adaptation strategies, the adoption levels remained low. Water management strategies (water conservation and water harvesting) recorded higher adoption rates of 62.71% and 53.95% respectively. The adoption of on-farm adaptation strategies had proved some potential to improve farmers’ ability to deal with the experienced climate change impacts. The regression model showed that farmers were likely to adopt crop and water management practices which they perceived had a higher probability of improving their ability to cope with climate change impacts. The occurrence of climate change events in the study area has affected agriculture productivity, food security and socioeconomic status of the households. Effective integration of potential adaptation strategies into smallholder farming systems calls for measures to address adoption and implementation barriers while ensuring alignment of policies, programs and institutional support systems.","container-title":"Scientific African","DOI":"10.1016/j.sciaf.2021.e00814","ISSN":"2468-2276","journalAbbreviation":"Scientific African","page":"e00814","source":"ScienceDirect","title":"Climate change impacts and relevance of smallholder farmers’ response in arid and semi-arid lands in Kenya","volume":"12","author":[{"family":"Kalele","given":"Dorcas N."},{"family":"Ogara","given":"William O."},{"family":"Oludhe","given":"Christopher"},{"family":"Onono","given":"Joshua O."}],"issued":{"date-parts":[["2021",7,1]]}}}],"schema":"https://github.com/citation-style-language/schema/raw/master/csl-citation.json"} </w:instrText>
      </w:r>
      <w:r w:rsidR="00C06652" w:rsidRPr="00587A1F">
        <w:rPr>
          <w:rFonts w:cs="Arial"/>
        </w:rPr>
        <w:fldChar w:fldCharType="separate"/>
      </w:r>
      <w:r w:rsidR="00BC4B28" w:rsidRPr="00587A1F">
        <w:rPr>
          <w:rFonts w:cs="Arial"/>
        </w:rPr>
        <w:t>Kalele et al. (</w:t>
      </w:r>
      <w:r w:rsidR="00C06652" w:rsidRPr="00587A1F">
        <w:rPr>
          <w:rFonts w:cs="Arial"/>
        </w:rPr>
        <w:t>2021)</w:t>
      </w:r>
      <w:r w:rsidR="00C06652" w:rsidRPr="00587A1F">
        <w:rPr>
          <w:rFonts w:cs="Arial"/>
        </w:rPr>
        <w:fldChar w:fldCharType="end"/>
      </w:r>
      <w:r w:rsidR="00C06652" w:rsidRPr="00587A1F">
        <w:rPr>
          <w:rFonts w:cs="Arial"/>
        </w:rPr>
        <w:t xml:space="preserve"> in a study </w:t>
      </w:r>
      <w:r w:rsidR="00101941" w:rsidRPr="00587A1F">
        <w:rPr>
          <w:rFonts w:cs="Arial"/>
        </w:rPr>
        <w:t>on</w:t>
      </w:r>
      <w:r w:rsidR="00C06652" w:rsidRPr="00587A1F">
        <w:rPr>
          <w:rFonts w:cs="Arial"/>
        </w:rPr>
        <w:t xml:space="preserve"> impacts of climate change to farmer</w:t>
      </w:r>
      <w:r w:rsidR="00C40608" w:rsidRPr="00587A1F">
        <w:rPr>
          <w:rFonts w:cs="Arial"/>
        </w:rPr>
        <w:t>s</w:t>
      </w:r>
      <w:r w:rsidR="00C06652" w:rsidRPr="00587A1F">
        <w:rPr>
          <w:rFonts w:cs="Arial"/>
        </w:rPr>
        <w:t xml:space="preserve"> in arid and semi-arid regions of Yatta</w:t>
      </w:r>
      <w:r w:rsidR="00C40608" w:rsidRPr="00587A1F">
        <w:rPr>
          <w:rFonts w:cs="Arial"/>
        </w:rPr>
        <w:t xml:space="preserve">, </w:t>
      </w:r>
      <w:r w:rsidR="00C06652" w:rsidRPr="00587A1F">
        <w:rPr>
          <w:rFonts w:cs="Arial"/>
        </w:rPr>
        <w:t>Kenya</w:t>
      </w:r>
      <w:r w:rsidR="00101941" w:rsidRPr="00587A1F">
        <w:rPr>
          <w:rFonts w:cs="Arial"/>
        </w:rPr>
        <w:t>.</w:t>
      </w:r>
      <w:r w:rsidR="003022D6" w:rsidRPr="00587A1F">
        <w:rPr>
          <w:rFonts w:cs="Arial"/>
        </w:rPr>
        <w:t xml:space="preserve"> </w:t>
      </w:r>
      <w:r w:rsidR="00E8511C" w:rsidRPr="00587A1F">
        <w:rPr>
          <w:rFonts w:cs="Arial"/>
        </w:rPr>
        <w:t xml:space="preserve">However, our </w:t>
      </w:r>
      <w:r w:rsidRPr="00587A1F">
        <w:rPr>
          <w:rFonts w:cs="Arial"/>
        </w:rPr>
        <w:t xml:space="preserve">study did not </w:t>
      </w:r>
      <w:r w:rsidR="00531906" w:rsidRPr="00587A1F">
        <w:rPr>
          <w:rFonts w:cs="Arial"/>
        </w:rPr>
        <w:t>find</w:t>
      </w:r>
      <w:r w:rsidRPr="00587A1F">
        <w:rPr>
          <w:rFonts w:cs="Arial"/>
        </w:rPr>
        <w:t xml:space="preserve"> significant influence of gender on farming practice, implying that these practices are not </w:t>
      </w:r>
      <w:r w:rsidR="00587A1F" w:rsidRPr="00587A1F">
        <w:rPr>
          <w:rFonts w:cs="Arial"/>
        </w:rPr>
        <w:t xml:space="preserve">gender </w:t>
      </w:r>
      <w:r w:rsidRPr="00587A1F">
        <w:rPr>
          <w:rFonts w:cs="Arial"/>
        </w:rPr>
        <w:t>disaggreg</w:t>
      </w:r>
      <w:r w:rsidR="00587A1F" w:rsidRPr="00587A1F">
        <w:rPr>
          <w:rFonts w:cs="Arial"/>
        </w:rPr>
        <w:t>ated</w:t>
      </w:r>
      <w:r w:rsidRPr="00587A1F">
        <w:rPr>
          <w:rFonts w:cs="Arial"/>
        </w:rPr>
        <w:t>.</w:t>
      </w:r>
      <w:r w:rsidR="004477E0" w:rsidRPr="00587A1F">
        <w:rPr>
          <w:rFonts w:cs="Arial"/>
        </w:rPr>
        <w:t xml:space="preserve"> </w:t>
      </w:r>
    </w:p>
    <w:p w14:paraId="63DC2294" w14:textId="689574BC" w:rsidR="00BF25FD" w:rsidRPr="00587A1F" w:rsidRDefault="00303577" w:rsidP="00BF25FD">
      <w:pPr>
        <w:pStyle w:val="NormalWeb"/>
        <w:spacing w:before="100" w:after="100"/>
        <w:rPr>
          <w:rFonts w:cs="Arial"/>
        </w:rPr>
      </w:pPr>
      <w:r w:rsidRPr="00587A1F">
        <w:rPr>
          <w:rFonts w:cs="Arial"/>
          <w:bCs/>
        </w:rPr>
        <w:t>The average age of the</w:t>
      </w:r>
      <w:r w:rsidR="00101941" w:rsidRPr="00587A1F">
        <w:rPr>
          <w:rFonts w:cs="Arial"/>
          <w:bCs/>
        </w:rPr>
        <w:t xml:space="preserve"> household </w:t>
      </w:r>
      <w:r w:rsidR="00531906" w:rsidRPr="00587A1F">
        <w:rPr>
          <w:rFonts w:cs="Arial"/>
          <w:bCs/>
        </w:rPr>
        <w:t>heads</w:t>
      </w:r>
      <w:r w:rsidR="00101941" w:rsidRPr="00587A1F">
        <w:rPr>
          <w:rFonts w:cs="Arial"/>
          <w:bCs/>
        </w:rPr>
        <w:t xml:space="preserve"> </w:t>
      </w:r>
      <w:r w:rsidRPr="00587A1F">
        <w:rPr>
          <w:rFonts w:cs="Arial"/>
          <w:bCs/>
        </w:rPr>
        <w:t>was</w:t>
      </w:r>
      <w:r w:rsidR="004D2C5A" w:rsidRPr="00587A1F">
        <w:rPr>
          <w:rFonts w:cs="Arial"/>
          <w:bCs/>
        </w:rPr>
        <w:t xml:space="preserve"> 38 </w:t>
      </w:r>
      <w:r w:rsidR="001D1DB7" w:rsidRPr="00587A1F">
        <w:rPr>
          <w:rFonts w:cs="Arial"/>
          <w:bCs/>
        </w:rPr>
        <w:t xml:space="preserve">years </w:t>
      </w:r>
      <w:r w:rsidRPr="00587A1F">
        <w:rPr>
          <w:rFonts w:cs="Arial"/>
          <w:bCs/>
        </w:rPr>
        <w:t xml:space="preserve">(IQR: 29 – 46) </w:t>
      </w:r>
      <w:r w:rsidRPr="00587A1F">
        <w:rPr>
          <w:rFonts w:cs="Arial"/>
        </w:rPr>
        <w:t>showing that majority of the household heads were in their productive age</w:t>
      </w:r>
      <w:r w:rsidR="00FE56C9" w:rsidRPr="00587A1F">
        <w:rPr>
          <w:rFonts w:cs="Arial"/>
        </w:rPr>
        <w:t>. This implies that</w:t>
      </w:r>
      <w:r w:rsidR="00E8511C" w:rsidRPr="00587A1F">
        <w:rPr>
          <w:rFonts w:cs="Arial"/>
        </w:rPr>
        <w:t xml:space="preserve"> </w:t>
      </w:r>
      <w:r w:rsidR="00FE56C9" w:rsidRPr="00587A1F">
        <w:rPr>
          <w:rFonts w:cs="Arial"/>
        </w:rPr>
        <w:t xml:space="preserve">majority of the household heads are </w:t>
      </w:r>
      <w:r w:rsidRPr="00587A1F">
        <w:rPr>
          <w:rFonts w:cs="Arial"/>
        </w:rPr>
        <w:t xml:space="preserve">actively involved in farming and other socioeconomic activities </w:t>
      </w:r>
      <w:r w:rsidR="00D77014" w:rsidRPr="00587A1F">
        <w:rPr>
          <w:rFonts w:cs="Arial"/>
        </w:rPr>
        <w:t>critical in</w:t>
      </w:r>
      <w:r w:rsidRPr="00587A1F">
        <w:rPr>
          <w:rFonts w:cs="Arial"/>
        </w:rPr>
        <w:t xml:space="preserve"> sustain</w:t>
      </w:r>
      <w:r w:rsidR="00D77014" w:rsidRPr="00587A1F">
        <w:rPr>
          <w:rFonts w:cs="Arial"/>
        </w:rPr>
        <w:t>ing</w:t>
      </w:r>
      <w:r w:rsidRPr="00587A1F">
        <w:rPr>
          <w:rFonts w:cs="Arial"/>
        </w:rPr>
        <w:t xml:space="preserve"> the growing</w:t>
      </w:r>
      <w:r w:rsidR="00EC6195" w:rsidRPr="00587A1F">
        <w:rPr>
          <w:rFonts w:cs="Arial"/>
        </w:rPr>
        <w:t xml:space="preserve"> needs of the household.</w:t>
      </w:r>
      <w:r w:rsidRPr="00587A1F">
        <w:rPr>
          <w:rFonts w:cs="Arial"/>
        </w:rPr>
        <w:t xml:space="preserve"> These results </w:t>
      </w:r>
      <w:r w:rsidR="00531906" w:rsidRPr="00587A1F">
        <w:rPr>
          <w:rFonts w:cs="Arial"/>
        </w:rPr>
        <w:t>corroborate</w:t>
      </w:r>
      <w:r w:rsidRPr="00587A1F">
        <w:rPr>
          <w:rFonts w:cs="Arial"/>
        </w:rPr>
        <w:t xml:space="preserve"> the findings of Wamalwa </w:t>
      </w:r>
      <w:r w:rsidRPr="00587A1F">
        <w:rPr>
          <w:rFonts w:cs="Arial"/>
          <w:i/>
          <w:iCs/>
        </w:rPr>
        <w:t>et al.</w:t>
      </w:r>
      <w:r w:rsidRPr="00587A1F">
        <w:rPr>
          <w:rFonts w:cs="Arial"/>
        </w:rPr>
        <w:t xml:space="preserve"> (2024), in a study done in </w:t>
      </w:r>
      <w:proofErr w:type="spellStart"/>
      <w:r w:rsidRPr="00587A1F">
        <w:rPr>
          <w:rFonts w:cs="Arial"/>
        </w:rPr>
        <w:t>Chepareria</w:t>
      </w:r>
      <w:proofErr w:type="spellEnd"/>
      <w:r w:rsidRPr="00587A1F">
        <w:rPr>
          <w:rFonts w:cs="Arial"/>
        </w:rPr>
        <w:t xml:space="preserve"> ward, an area within the study region and with similar environmental and socioeconomic factors. The authors identified a significant positive interaction </w:t>
      </w:r>
      <w:r w:rsidR="00EC6195" w:rsidRPr="00587A1F">
        <w:rPr>
          <w:rFonts w:cs="Arial"/>
        </w:rPr>
        <w:t>between household head age</w:t>
      </w:r>
      <w:r w:rsidRPr="00587A1F">
        <w:rPr>
          <w:rFonts w:cs="Arial"/>
        </w:rPr>
        <w:t xml:space="preserve"> with agro-enterprise income</w:t>
      </w:r>
      <w:r w:rsidR="00EC6195" w:rsidRPr="00587A1F">
        <w:rPr>
          <w:rFonts w:cs="Arial"/>
        </w:rPr>
        <w:t xml:space="preserve">. This confirms that farmers in this age bracket are actively involved in </w:t>
      </w:r>
      <w:r w:rsidRPr="00587A1F">
        <w:rPr>
          <w:rFonts w:cs="Arial"/>
        </w:rPr>
        <w:t xml:space="preserve">more economic activities that enhances their productivity thus supporting their family’s wellbeing. </w:t>
      </w:r>
    </w:p>
    <w:p w14:paraId="45D4458C" w14:textId="522899B2" w:rsidR="0094009E" w:rsidRPr="00587A1F" w:rsidRDefault="004D2C5A" w:rsidP="00BF25FD">
      <w:pPr>
        <w:pStyle w:val="NormalWeb"/>
        <w:spacing w:before="100" w:after="100"/>
        <w:rPr>
          <w:rFonts w:cs="Arial"/>
        </w:rPr>
      </w:pPr>
      <w:r w:rsidRPr="00587A1F">
        <w:rPr>
          <w:rFonts w:cs="Arial"/>
          <w:bCs/>
        </w:rPr>
        <w:lastRenderedPageBreak/>
        <w:t>The size of the households</w:t>
      </w:r>
      <w:r w:rsidR="001D1DB7" w:rsidRPr="00587A1F">
        <w:rPr>
          <w:rFonts w:cs="Arial"/>
          <w:bCs/>
        </w:rPr>
        <w:t xml:space="preserve"> was observed to be large with an average number of </w:t>
      </w:r>
      <w:r w:rsidR="00587A1F" w:rsidRPr="00587A1F">
        <w:rPr>
          <w:rFonts w:cs="Arial"/>
          <w:bCs/>
        </w:rPr>
        <w:t>seven</w:t>
      </w:r>
      <w:r w:rsidR="001D1DB7" w:rsidRPr="00587A1F">
        <w:rPr>
          <w:rFonts w:cs="Arial"/>
          <w:bCs/>
        </w:rPr>
        <w:t xml:space="preserve"> (IQR: 5 – 8) members</w:t>
      </w:r>
      <w:r w:rsidR="007F70EE" w:rsidRPr="00587A1F">
        <w:rPr>
          <w:rFonts w:cs="Arial"/>
          <w:bCs/>
        </w:rPr>
        <w:t xml:space="preserve">. </w:t>
      </w:r>
      <w:r w:rsidR="007F70EE" w:rsidRPr="00587A1F">
        <w:rPr>
          <w:rFonts w:cs="Arial"/>
        </w:rPr>
        <w:t xml:space="preserve">This result corroborates well with the results of </w:t>
      </w:r>
      <w:r w:rsidR="007F70EE" w:rsidRPr="00587A1F">
        <w:rPr>
          <w:rFonts w:cs="Arial"/>
        </w:rPr>
        <w:fldChar w:fldCharType="begin"/>
      </w:r>
      <w:r w:rsidR="00DB1FF5" w:rsidRPr="00587A1F">
        <w:rPr>
          <w:rFonts w:cs="Arial"/>
        </w:rPr>
        <w:instrText xml:space="preserve"> ADDIN ZOTERO_ITEM CSL_CITATION {"citationID":"a1IssYvG","properties":{"formattedCitation":"(Jerop et al., 2023)","plainCitation":"(Jerop et al., 2023)","dontUpdate":true,"noteIndex":0},"citationItems":[{"id":3576,"uris":["http://zotero.org/users/5110088/items/ZGRGGMPM"],"itemData":{"id":3576,"type":"article-journal","abstract":"Livestock production contributes significantly to the development of the Kenyan economy. In West Pokot County, agriculture and livestock sub-sectors account for 84% of the county’s economy. The sub sectors are expected to be the county's major key toward poverty reduction of 30% and a 10% annual economic growth rate. Dairy farms in South and West Pokot Sub-Counties produce less than 2 litres of milk per cow per day as compared to the national average of 8-10 litres per cow per day. This has led to household vulnerability in terms of food and income security and hence have been unable to gather for their daily needs. Therefore, this present research study was aimed at determining the level of technical efficiency in milk production among smallholder dairy farmers in South and West Pokot Sub-Counties, Kenya. The study adopted descriptive and cross-sectional research. Data was collected using a questionnaire and an interview schedule from a sample of 383 smallholder dairy farmers from five wards and 11 key informants in the two sub-counties. Descriptive results showed that the average age of the smallholder dairy farmers was 45.6 years and they owned on average five dairy cows that produced 1.97 litres of milk per cow per day. Maximum likelihood estimates results showed that a unit increase in feeding type, labour, water availability, lactation, mineral salts, animal health and silage had a positive impact on milk production per cow per day by 7.47%, 17.13%, 18.33%, 24.6%, 33.3%, 18.10% and 6.6% respectively. The mean farm technical efficiency in milk production results was 61%. The result shows that dairy farmers were inefficient in milk production. Hence milk production could be increased by 39% through better use of available resources, given the current state of technology without extra costs. Therefore, there is a need for the county and National governments to ensure that dairy farmers are trained through tailor-made dairy extension programmes.","issue":"3","language":"en","source":"Zotero","title":"ESTIMATION OF THE TECHNICAL EFFICIENCY OF SMALLHOLDER DAIRY FARMERS IN SOUTH AND WEST POKOT SUB-COUNTIES, KENYA","volume":"10","author":[{"family":"Jerop","given":"Edith"},{"family":"Ngeno","given":"Elijah K"},{"family":"Wamalwa","given":"Fred"}],"issued":{"date-parts":[["2023"]]}}}],"schema":"https://github.com/citation-style-language/schema/raw/master/csl-citation.json"} </w:instrText>
      </w:r>
      <w:r w:rsidR="007F70EE" w:rsidRPr="00587A1F">
        <w:rPr>
          <w:rFonts w:cs="Arial"/>
        </w:rPr>
        <w:fldChar w:fldCharType="separate"/>
      </w:r>
      <w:r w:rsidR="007F70EE" w:rsidRPr="00587A1F">
        <w:rPr>
          <w:rFonts w:cs="Arial"/>
        </w:rPr>
        <w:t xml:space="preserve">Jerop et al. </w:t>
      </w:r>
      <w:r w:rsidR="00297668" w:rsidRPr="00587A1F">
        <w:rPr>
          <w:rFonts w:cs="Arial"/>
        </w:rPr>
        <w:t>(</w:t>
      </w:r>
      <w:r w:rsidR="007F70EE" w:rsidRPr="00587A1F">
        <w:rPr>
          <w:rFonts w:cs="Arial"/>
        </w:rPr>
        <w:t>2023)</w:t>
      </w:r>
      <w:r w:rsidR="007F70EE" w:rsidRPr="00587A1F">
        <w:rPr>
          <w:rFonts w:cs="Arial"/>
        </w:rPr>
        <w:fldChar w:fldCharType="end"/>
      </w:r>
      <w:r w:rsidR="007F70EE" w:rsidRPr="00587A1F">
        <w:rPr>
          <w:rFonts w:cs="Arial"/>
        </w:rPr>
        <w:t xml:space="preserve"> from a study in the same region</w:t>
      </w:r>
      <w:r w:rsidR="00D77014" w:rsidRPr="00587A1F">
        <w:rPr>
          <w:rFonts w:cs="Arial"/>
        </w:rPr>
        <w:t xml:space="preserve"> who reported the average household size to be</w:t>
      </w:r>
      <w:r w:rsidR="002B063A" w:rsidRPr="00587A1F">
        <w:rPr>
          <w:rFonts w:cs="Arial"/>
        </w:rPr>
        <w:t xml:space="preserve"> 7.2</w:t>
      </w:r>
      <w:r w:rsidR="007F70EE" w:rsidRPr="00587A1F">
        <w:rPr>
          <w:rFonts w:cs="Arial"/>
        </w:rPr>
        <w:t xml:space="preserve">. </w:t>
      </w:r>
      <w:r w:rsidR="00D77014" w:rsidRPr="00587A1F">
        <w:rPr>
          <w:rFonts w:cs="Arial"/>
        </w:rPr>
        <w:t xml:space="preserve">However, KNBS (2019) reports slightly lower household sizes for West Pokot County of 5.3 members. </w:t>
      </w:r>
      <w:r w:rsidR="0094009E" w:rsidRPr="00587A1F">
        <w:rPr>
          <w:rFonts w:cs="Arial"/>
        </w:rPr>
        <w:t xml:space="preserve">An increase in the number of members of a household was associated with an increase in the size of acreage for crop production (β = 0.10, </w:t>
      </w:r>
      <w:r w:rsidR="0094009E" w:rsidRPr="00587A1F">
        <w:rPr>
          <w:rFonts w:cs="Arial"/>
          <w:i/>
        </w:rPr>
        <w:t>P &lt; .001</w:t>
      </w:r>
      <w:r w:rsidR="0094009E" w:rsidRPr="00587A1F">
        <w:rPr>
          <w:rFonts w:cs="Arial"/>
        </w:rPr>
        <w:t xml:space="preserve">), decline in the use of manual hoeing (β = -0.10, </w:t>
      </w:r>
      <w:r w:rsidR="0094009E" w:rsidRPr="00587A1F">
        <w:rPr>
          <w:rFonts w:cs="Arial"/>
          <w:i/>
        </w:rPr>
        <w:t xml:space="preserve">P = </w:t>
      </w:r>
      <w:r w:rsidR="0094009E" w:rsidRPr="00587A1F">
        <w:rPr>
          <w:rFonts w:cs="Arial"/>
        </w:rPr>
        <w:t xml:space="preserve">.001), increased use of tractor services (β = 0.07, </w:t>
      </w:r>
      <w:r w:rsidR="0094009E" w:rsidRPr="00587A1F">
        <w:rPr>
          <w:rFonts w:cs="Arial"/>
          <w:i/>
        </w:rPr>
        <w:t xml:space="preserve">P = </w:t>
      </w:r>
      <w:r w:rsidR="0094009E" w:rsidRPr="00587A1F">
        <w:rPr>
          <w:rFonts w:cs="Arial"/>
        </w:rPr>
        <w:t xml:space="preserve">.01) and increased adoption of mixed cropping (β = -0.06, </w:t>
      </w:r>
      <w:r w:rsidR="0094009E" w:rsidRPr="00587A1F">
        <w:rPr>
          <w:rFonts w:cs="Arial"/>
          <w:i/>
        </w:rPr>
        <w:t xml:space="preserve">P = </w:t>
      </w:r>
      <w:r w:rsidR="0094009E" w:rsidRPr="00587A1F">
        <w:rPr>
          <w:rFonts w:cs="Arial"/>
        </w:rPr>
        <w:t>.05)</w:t>
      </w:r>
      <w:r w:rsidR="007D1D8B" w:rsidRPr="00587A1F">
        <w:rPr>
          <w:rFonts w:cs="Arial"/>
        </w:rPr>
        <w:t>. This shows the pertinent role of the size of the members of a household in influencing several farming pract</w:t>
      </w:r>
      <w:r w:rsidR="00D001AA" w:rsidRPr="00587A1F">
        <w:rPr>
          <w:rFonts w:cs="Arial"/>
        </w:rPr>
        <w:t xml:space="preserve">ices. Similar results were </w:t>
      </w:r>
      <w:r w:rsidR="007D1D8B" w:rsidRPr="00587A1F">
        <w:rPr>
          <w:rFonts w:cs="Arial"/>
        </w:rPr>
        <w:t>observed by recent research work highlight</w:t>
      </w:r>
      <w:r w:rsidR="00D001AA" w:rsidRPr="00587A1F">
        <w:rPr>
          <w:rFonts w:cs="Arial"/>
        </w:rPr>
        <w:t xml:space="preserve">ing </w:t>
      </w:r>
      <w:r w:rsidR="007D1D8B" w:rsidRPr="00587A1F">
        <w:rPr>
          <w:rFonts w:cs="Arial"/>
        </w:rPr>
        <w:t>the implication on household size on overall farm technical efficiency and adoption of technologies</w:t>
      </w:r>
      <w:r w:rsidR="00586DAC" w:rsidRPr="00587A1F">
        <w:rPr>
          <w:rFonts w:cs="Arial"/>
        </w:rPr>
        <w:t xml:space="preserve"> have been reported </w:t>
      </w:r>
      <w:r w:rsidR="00586DAC" w:rsidRPr="00587A1F">
        <w:rPr>
          <w:rFonts w:cs="Arial"/>
        </w:rPr>
        <w:fldChar w:fldCharType="begin"/>
      </w:r>
      <w:r w:rsidR="00586DAC" w:rsidRPr="00587A1F">
        <w:rPr>
          <w:rFonts w:cs="Arial"/>
        </w:rPr>
        <w:instrText xml:space="preserve"> ADDIN ZOTERO_ITEM CSL_CITATION {"citationID":"EgBDDzTf","properties":{"formattedCitation":"(Jerop et al., 2023; Kirui, 2019)","plainCitation":"(Jerop et al., 2023; Kirui, 2019)","noteIndex":0},"citationItems":[{"id":3576,"uris":["http://zotero.org/users/5110088/items/ZGRGGMPM"],"itemData":{"id":3576,"type":"article-journal","abstract":"Livestock production contributes significantly to the development of the Kenyan economy. In West Pokot County, agriculture and livestock sub-sectors account for 84% of the county’s economy. The sub sectors are expected to be the county's major key toward poverty reduction of 30% and a 10% annual economic growth rate. Dairy farms in South and West Pokot Sub-Counties produce less than 2 litres of milk per cow per day as compared to the national average of 8-10 litres per cow per day. This has led to household vulnerability in terms of food and income security and hence have been unable to gather for their daily needs. Therefore, this present research study was aimed at determining the level of technical efficiency in milk production among smallholder dairy farmers in South and West Pokot Sub-Counties, Kenya. The study adopted descriptive and cross-sectional research. Data was collected using a questionnaire and an interview schedule from a sample of 383 smallholder dairy farmers from five wards and 11 key informants in the two sub-counties. Descriptive results showed that the average age of the smallholder dairy farmers was 45.6 years and they owned on average five dairy cows that produced 1.97 litres of milk per cow per day. Maximum likelihood estimates results showed that a unit increase in feeding type, labour, water availability, lactation, mineral salts, animal health and silage had a positive impact on milk production per cow per day by 7.47%, 17.13%, 18.33%, 24.6%, 33.3%, 18.10% and 6.6% respectively. The mean farm technical efficiency in milk production results was 61%. The result shows that dairy farmers were inefficient in milk production. Hence milk production could be increased by 39% through better use of available resources, given the current state of technology without extra costs. Therefore, there is a need for the county and National governments to ensure that dairy farmers are trained through tailor-made dairy extension programmes.","issue":"3","language":"en","source":"Zotero","title":"ESTIMATION OF THE TECHNICAL EFFICIENCY OF SMALLHOLDER DAIRY FARMERS IN SOUTH AND WEST POKOT SUB-COUNTIES, KENYA","volume":"10","author":[{"family":"Jerop","given":"Edith"},{"family":"Ngeno","given":"Elijah K"},{"family":"Wamalwa","given":"Fred"}],"issued":{"date-parts":[["2023"]]}}},{"id":6548,"uris":["http://zotero.org/users/5110088/items/ATMKGIIN"],"itemData":{"id":6548,"type":"article","abstract":"This paper examines the state, drivers and, consequently, the impacts of agricultural mechanization in eleven countries in Africa. Using representative multistage stratified household survey data and robust analytical approaches, findings show light hand-held tools and equipment remain the main type of machinery in most countries – about 48% of the sampled households have access to light machinery compared to 35% that have access to animal-powered machinery, and only about 18% that use tractor-powered machinery. Significant drivers of agricultural mechanization include the size of the household, gender of the household head, participation in off-farm economic activities, distance to the input and output markets, farm size, land tenure, type of farming system, access to extension services, and use of fertilizer and pesticides. This study finds that after controlling for socio-economic, demographic, and regional determinants, agricultural mechanization, significantly increases the amount of cropland cultivated (extensification) and is also accompanied by input intensification especially in countries where land expansion is limited. We further find significant but mixed impact of agricultural mechanization on use of household and hired labor. Finally, agricultural mechanization significantly raises the productivity of maize and rice in all cases. These findings point to the importance of developing favorable arrangements that would avail mechanization to small and medium scale farmers. This would involve providing incentives for private sector to scale agricultural mechanization initiatives and targeting and engaging women farmers and the youth by investing in supportive infrastructure and training.","DOI":"10.2139/ssrn.3368103","event-place":"Rochester, NY","genre":"SSRN Scholarly Paper","language":"en","number":"3368103","publisher":"Social Science Research Network","publisher-place":"Rochester, NY","source":"papers.ssrn.com","title":"The Agricultural Mechanization in Africa: Micro-Level Analysis of State Drivers and Effects","title-short":"The Agricultural Mechanization in Africa","URL":"https://papers.ssrn.com/abstract=3368103","author":[{"family":"Kirui","given":"Oliver"}],"accessed":{"date-parts":[["2025",9,17]]},"issued":{"date-parts":[["2019",4,8]]}}}],"schema":"https://github.com/citation-style-language/schema/raw/master/csl-citation.json"} </w:instrText>
      </w:r>
      <w:r w:rsidR="00586DAC" w:rsidRPr="00587A1F">
        <w:rPr>
          <w:rFonts w:cs="Arial"/>
        </w:rPr>
        <w:fldChar w:fldCharType="separate"/>
      </w:r>
      <w:r w:rsidR="00586DAC" w:rsidRPr="00587A1F">
        <w:rPr>
          <w:rFonts w:cs="Arial"/>
        </w:rPr>
        <w:t>(Jerop et al., 2023; Kirui, 2019)</w:t>
      </w:r>
      <w:r w:rsidR="00586DAC" w:rsidRPr="00587A1F">
        <w:rPr>
          <w:rFonts w:cs="Arial"/>
        </w:rPr>
        <w:fldChar w:fldCharType="end"/>
      </w:r>
      <w:r w:rsidR="007D1D8B" w:rsidRPr="00587A1F">
        <w:rPr>
          <w:rFonts w:cs="Arial"/>
        </w:rPr>
        <w:t xml:space="preserve">. </w:t>
      </w:r>
      <w:r w:rsidR="007D1D8B" w:rsidRPr="00587A1F">
        <w:rPr>
          <w:rFonts w:cs="Arial"/>
        </w:rPr>
        <w:fldChar w:fldCharType="begin"/>
      </w:r>
      <w:r w:rsidR="00DB1FF5" w:rsidRPr="00587A1F">
        <w:rPr>
          <w:rFonts w:cs="Arial"/>
        </w:rPr>
        <w:instrText xml:space="preserve"> ADDIN ZOTERO_ITEM CSL_CITATION {"citationID":"CK8cRnHX","properties":{"formattedCitation":"(Jerop et al., 2023)","plainCitation":"(Jerop et al., 2023)","dontUpdate":true,"noteIndex":0},"citationItems":[{"id":3576,"uris":["http://zotero.org/users/5110088/items/ZGRGGMPM"],"itemData":{"id":3576,"type":"article-journal","abstract":"Livestock production contributes significantly to the development of the Kenyan economy. In West Pokot County, agriculture and livestock sub-sectors account for 84% of the county’s economy. The sub sectors are expected to be the county's major key toward poverty reduction of 30% and a 10% annual economic growth rate. Dairy farms in South and West Pokot Sub-Counties produce less than 2 litres of milk per cow per day as compared to the national average of 8-10 litres per cow per day. This has led to household vulnerability in terms of food and income security and hence have been unable to gather for their daily needs. Therefore, this present research study was aimed at determining the level of technical efficiency in milk production among smallholder dairy farmers in South and West Pokot Sub-Counties, Kenya. The study adopted descriptive and cross-sectional research. Data was collected using a questionnaire and an interview schedule from a sample of 383 smallholder dairy farmers from five wards and 11 key informants in the two sub-counties. Descriptive results showed that the average age of the smallholder dairy farmers was 45.6 years and they owned on average five dairy cows that produced 1.97 litres of milk per cow per day. Maximum likelihood estimates results showed that a unit increase in feeding type, labour, water availability, lactation, mineral salts, animal health and silage had a positive impact on milk production per cow per day by 7.47%, 17.13%, 18.33%, 24.6%, 33.3%, 18.10% and 6.6% respectively. The mean farm technical efficiency in milk production results was 61%. The result shows that dairy farmers were inefficient in milk production. Hence milk production could be increased by 39% through better use of available resources, given the current state of technology without extra costs. Therefore, there is a need for the county and National governments to ensure that dairy farmers are trained through tailor-made dairy extension programmes.","issue":"3","language":"en","source":"Zotero","title":"ESTIMATION OF THE TECHNICAL EFFICIENCY OF SMALLHOLDER DAIRY FARMERS IN SOUTH AND WEST POKOT SUB-COUNTIES, KENYA","volume":"10","author":[{"family":"Jerop","given":"Edith"},{"family":"Ngeno","given":"Elijah K"},{"family":"Wamalwa","given":"Fred"}],"issued":{"date-parts":[["2023"]]}}}],"schema":"https://github.com/citation-style-language/schema/raw/master/csl-citation.json"} </w:instrText>
      </w:r>
      <w:r w:rsidR="007D1D8B" w:rsidRPr="00587A1F">
        <w:rPr>
          <w:rFonts w:cs="Arial"/>
        </w:rPr>
        <w:fldChar w:fldCharType="separate"/>
      </w:r>
      <w:r w:rsidR="00BC4B28" w:rsidRPr="00587A1F">
        <w:rPr>
          <w:rFonts w:cs="Arial"/>
        </w:rPr>
        <w:t>Jerop et al. (</w:t>
      </w:r>
      <w:r w:rsidR="007D1D8B" w:rsidRPr="00587A1F">
        <w:rPr>
          <w:rFonts w:cs="Arial"/>
        </w:rPr>
        <w:t>2023)</w:t>
      </w:r>
      <w:r w:rsidR="007D1D8B" w:rsidRPr="00587A1F">
        <w:rPr>
          <w:rFonts w:cs="Arial"/>
        </w:rPr>
        <w:fldChar w:fldCharType="end"/>
      </w:r>
      <w:r w:rsidR="007D1D8B" w:rsidRPr="00587A1F">
        <w:rPr>
          <w:rFonts w:cs="Arial"/>
        </w:rPr>
        <w:t xml:space="preserve"> </w:t>
      </w:r>
      <w:r w:rsidR="002B063A" w:rsidRPr="00587A1F">
        <w:rPr>
          <w:rFonts w:cs="Arial"/>
        </w:rPr>
        <w:t xml:space="preserve">for example, </w:t>
      </w:r>
      <w:r w:rsidR="007D1D8B" w:rsidRPr="00587A1F">
        <w:rPr>
          <w:rFonts w:cs="Arial"/>
        </w:rPr>
        <w:t>identified household size as a significant factor in labour utilization, where larger family sizes provid</w:t>
      </w:r>
      <w:r w:rsidR="00587A1F" w:rsidRPr="00587A1F">
        <w:rPr>
          <w:rFonts w:cs="Arial"/>
        </w:rPr>
        <w:t xml:space="preserve">ed available labour, thus </w:t>
      </w:r>
      <w:r w:rsidR="007D1D8B" w:rsidRPr="00587A1F">
        <w:rPr>
          <w:rFonts w:cs="Arial"/>
        </w:rPr>
        <w:t xml:space="preserve">improving farm technical efficiency. Similar assertion of household with more children providing labour to increase production, total factor productivity and reduced cost of production had been reported by </w:t>
      </w:r>
      <w:r w:rsidR="007D1D8B" w:rsidRPr="00587A1F">
        <w:rPr>
          <w:rFonts w:cs="Arial"/>
        </w:rPr>
        <w:fldChar w:fldCharType="begin"/>
      </w:r>
      <w:r w:rsidR="00DB1FF5" w:rsidRPr="00587A1F">
        <w:rPr>
          <w:rFonts w:cs="Arial"/>
        </w:rPr>
        <w:instrText xml:space="preserve"> ADDIN ZOTERO_ITEM CSL_CITATION {"citationID":"xGgXztv8","properties":{"formattedCitation":"(Ayaz &amp; Mughal, 2024)","plainCitation":"(Ayaz &amp; Mughal, 2024)","dontUpdate":true,"noteIndex":0},"citationItems":[{"id":2722,"uris":["http://zotero.org/users/5110088/items/9C9C5R4W","http://zotero.org/users/5110088/items/K57XM2GC"],"itemData":{"id":2722,"type":"article-journal","container-title":"Economic Development and Cultural Change","issue":"2","note":"ISBN: 0013-0079\npublisher: The University of Chicago Press Chicago, IL","page":"959-995","title":"Farm Size and Productivity: The Role of Family Labor","volume":"72","author":[{"family":"Ayaz","given":"Muhammad"},{"family":"Mughal","given":"Mazhar"}],"issued":{"date-parts":[["2024"]]}}}],"schema":"https://github.com/citation-style-language/schema/raw/master/csl-citation.json"} </w:instrText>
      </w:r>
      <w:r w:rsidR="007D1D8B" w:rsidRPr="00587A1F">
        <w:rPr>
          <w:rFonts w:cs="Arial"/>
        </w:rPr>
        <w:fldChar w:fldCharType="separate"/>
      </w:r>
      <w:r w:rsidR="00BC4B28" w:rsidRPr="00587A1F">
        <w:rPr>
          <w:rFonts w:cs="Arial"/>
        </w:rPr>
        <w:t>Ayaz and Mughal (</w:t>
      </w:r>
      <w:r w:rsidR="007D1D8B" w:rsidRPr="00587A1F">
        <w:rPr>
          <w:rFonts w:cs="Arial"/>
        </w:rPr>
        <w:t>2024)</w:t>
      </w:r>
      <w:r w:rsidR="007D1D8B" w:rsidRPr="00587A1F">
        <w:rPr>
          <w:rFonts w:cs="Arial"/>
        </w:rPr>
        <w:fldChar w:fldCharType="end"/>
      </w:r>
      <w:r w:rsidR="007D1D8B" w:rsidRPr="00587A1F">
        <w:rPr>
          <w:rFonts w:cs="Arial"/>
        </w:rPr>
        <w:t xml:space="preserve">. Conversely, </w:t>
      </w:r>
      <w:r w:rsidR="007D1D8B" w:rsidRPr="00587A1F">
        <w:rPr>
          <w:rFonts w:cs="Arial"/>
        </w:rPr>
        <w:fldChar w:fldCharType="begin"/>
      </w:r>
      <w:r w:rsidR="00DB1FF5" w:rsidRPr="00587A1F">
        <w:rPr>
          <w:rFonts w:cs="Arial"/>
        </w:rPr>
        <w:instrText xml:space="preserve"> ADDIN ZOTERO_ITEM CSL_CITATION {"citationID":"673MlKS5","properties":{"formattedCitation":"(F. K. Wamalwa, 2020)","plainCitation":"(F. K. Wamalwa, 2020)","dontUpdate":true,"noteIndex":0},"citationItems":[{"id":3528,"uris":["http://zotero.org/users/5110088/items/LEIHRK2J"],"itemData":{"id":3528,"type":"article-journal","container-title":"GSJ","issue":"9","source":"Google Scholar","title":"Household Resource Capabilities and Risk Perception in Dryland Areas: Implications for Development Interventions.","title-short":"Household Resource Capabilities and Risk Perception in Dryland Areas","URL":"https://www.academia.edu/download/76424228/Household_Resource_Capabilities_and_Risk_Perception_in_Dryland_Areas_Implications_for_Development_Interventio.pdf","volume":"8","author":[{"family":"Wamalwa","given":"Fred K."}],"accessed":{"date-parts":[["2025",3,11]]},"issued":{"date-parts":[["2020"]]}}}],"schema":"https://github.com/citation-style-language/schema/raw/master/csl-citation.json"} </w:instrText>
      </w:r>
      <w:r w:rsidR="007D1D8B" w:rsidRPr="00587A1F">
        <w:rPr>
          <w:rFonts w:cs="Arial"/>
        </w:rPr>
        <w:fldChar w:fldCharType="separate"/>
      </w:r>
      <w:r w:rsidR="00BC4B28" w:rsidRPr="00587A1F">
        <w:rPr>
          <w:rFonts w:cs="Arial"/>
        </w:rPr>
        <w:t>Wamalwa</w:t>
      </w:r>
      <w:r w:rsidR="007D1D8B" w:rsidRPr="00587A1F">
        <w:rPr>
          <w:rFonts w:cs="Arial"/>
        </w:rPr>
        <w:t xml:space="preserve"> </w:t>
      </w:r>
      <w:r w:rsidR="00BC4B28" w:rsidRPr="00587A1F">
        <w:rPr>
          <w:rFonts w:cs="Arial"/>
        </w:rPr>
        <w:t>(</w:t>
      </w:r>
      <w:r w:rsidR="007D1D8B" w:rsidRPr="00587A1F">
        <w:rPr>
          <w:rFonts w:cs="Arial"/>
        </w:rPr>
        <w:t>2020)</w:t>
      </w:r>
      <w:r w:rsidR="007D1D8B" w:rsidRPr="00587A1F">
        <w:rPr>
          <w:rFonts w:cs="Arial"/>
        </w:rPr>
        <w:fldChar w:fldCharType="end"/>
      </w:r>
      <w:r w:rsidR="007D1D8B" w:rsidRPr="00587A1F">
        <w:rPr>
          <w:rFonts w:cs="Arial"/>
        </w:rPr>
        <w:t xml:space="preserve"> in a study in Meru County</w:t>
      </w:r>
      <w:r w:rsidR="00327A84" w:rsidRPr="00587A1F">
        <w:rPr>
          <w:rFonts w:cs="Arial"/>
        </w:rPr>
        <w:t xml:space="preserve"> in Kenya</w:t>
      </w:r>
      <w:r w:rsidR="007D1D8B" w:rsidRPr="00587A1F">
        <w:rPr>
          <w:rFonts w:cs="Arial"/>
        </w:rPr>
        <w:t xml:space="preserve">, </w:t>
      </w:r>
      <w:r w:rsidR="00327A84" w:rsidRPr="00587A1F">
        <w:rPr>
          <w:rFonts w:cs="Arial"/>
        </w:rPr>
        <w:t xml:space="preserve">a </w:t>
      </w:r>
      <w:r w:rsidR="007D1D8B" w:rsidRPr="00587A1F">
        <w:rPr>
          <w:rFonts w:cs="Arial"/>
        </w:rPr>
        <w:t>dryland area with similar biophysical characteristics</w:t>
      </w:r>
      <w:r w:rsidR="00327A84" w:rsidRPr="00587A1F">
        <w:rPr>
          <w:rFonts w:cs="Arial"/>
        </w:rPr>
        <w:t xml:space="preserve"> as the current study site</w:t>
      </w:r>
      <w:r w:rsidR="007D1D8B" w:rsidRPr="00587A1F">
        <w:rPr>
          <w:rFonts w:cs="Arial"/>
        </w:rPr>
        <w:t xml:space="preserve">, linked family size to resource endowment, demonstrating that small household sizes were more likely to have low financial stresses compared to large families. Other authors have associated an increase in the number of children to a decline in the likelihood of parents working at post-retirement ages </w:t>
      </w:r>
      <w:r w:rsidR="007D1D8B" w:rsidRPr="00587A1F">
        <w:rPr>
          <w:rFonts w:cs="Arial"/>
        </w:rPr>
        <w:fldChar w:fldCharType="begin"/>
      </w:r>
      <w:r w:rsidR="007D1D8B" w:rsidRPr="00587A1F">
        <w:rPr>
          <w:rFonts w:cs="Arial"/>
        </w:rPr>
        <w:instrText>ADDIN ZOTERO_ITEM CSL_CITATION {"citationID":"U5teGZCZ","properties":{"formattedCitation":"(Rao &amp; Zhang, 2024)","plainCitation":"(Rao &amp; Zhang, 2024)","noteIndex":0},"citationItems":[{"id":2706,"uris":["http://zotero.org/users/5110088/items/TGW5WH4X"],"itemData":{"id":2706,"type":"article-journal","abstract":"In this study, we examine the impact of child quantity and gender on the labor supply of older parents in China, specifically in the context of developing countries where working until physically incapable is a widespread self-insurance strategy. Utilizing an instrumental variable approach that leverages regional family planning policy variations and firstborn child gender, we address potential endogeneity concerns in fertility and child gender composition. Our findings indicate that an additional child reduces the likelihood of parents working at post-retirement ages by 9.9 percentage points, with a more pronounced effect among rural parents and those receiving low pension benefits. Furthermore, having more sons further decreases labor supply compared to having more daughters, given the same number of children. We uncover evidence supporting the “old-age support” mechanism, wherein financial contributions and informal care from children increase, while lifetime labor supply and accumulated wealth decrease. We do not find evidence for adverse impact of fertility on parents’ health or their capacity to work. Having more children can essentially compensate the wage loss due to working less. Our results imply that policies aiming at reducing fertility might inadvertently undermine the well-being of older individuals,especially those who lack sufficient means of support, by forcing them to continue working into poor health during their old age.","container-title":"World Development","DOI":"10.1016/j.worlddev.2024.106661","ISSN":"0305-750X","journalAbbreviation":"World Development","page":"106661","source":"ScienceDirect","title":"Rely on children or work longer? The impact of fertility and child gender on old-age labor supply","title-short":"Rely on children or work longer?","volume":"181","author":[{"family":"Rao","given":"Ziwei"},{"family":"Zhang","given":"Yi"}],"issued":{"date-parts":[["2024",9,1]]}}}],"schema":"https://github.com/citation-style-language/schema/raw/master/csl-citation.json"}</w:instrText>
      </w:r>
      <w:r w:rsidR="007D1D8B" w:rsidRPr="00587A1F">
        <w:rPr>
          <w:rFonts w:cs="Arial"/>
        </w:rPr>
        <w:fldChar w:fldCharType="separate"/>
      </w:r>
      <w:r w:rsidR="007D1D8B" w:rsidRPr="00587A1F">
        <w:rPr>
          <w:rFonts w:cs="Arial"/>
        </w:rPr>
        <w:t>(Rao &amp; Zhang, 2024)</w:t>
      </w:r>
      <w:r w:rsidR="007D1D8B" w:rsidRPr="00587A1F">
        <w:rPr>
          <w:rFonts w:cs="Arial"/>
        </w:rPr>
        <w:fldChar w:fldCharType="end"/>
      </w:r>
      <w:r w:rsidR="007D1D8B" w:rsidRPr="00587A1F">
        <w:rPr>
          <w:rFonts w:cs="Arial"/>
        </w:rPr>
        <w:t xml:space="preserve">. However, food demand always increases with an increase in family size which could affect wealth accumulation due to increased cost of providing the household’s basic needs </w:t>
      </w:r>
      <w:r w:rsidR="007D1D8B" w:rsidRPr="00587A1F">
        <w:rPr>
          <w:rFonts w:cs="Arial"/>
        </w:rPr>
        <w:fldChar w:fldCharType="begin"/>
      </w:r>
      <w:r w:rsidR="007D1D8B" w:rsidRPr="00587A1F">
        <w:rPr>
          <w:rFonts w:cs="Arial"/>
        </w:rPr>
        <w:instrText>ADDIN ZOTERO_ITEM CSL_CITATION {"citationID":"xK1RKX8x","properties":{"formattedCitation":"(Nkoko et al., 2024)","plainCitation":"(Nkoko et al., 2024)","noteIndex":0},"citationItems":[{"id":2703,"uris":["http://zotero.org/users/5110088/items/ULTPQRI6"],"itemData":{"id":2703,"type":"article-journal","abstract":"Food insecurity and malnutrition are persistent challenges worldwide and Lesotho is not an exception. Hunger and poverty have worsened with the dawn of COVID-19 pandemic and on-going Russia–Ukraine war. The study seeks to assess food security and associated socio-economic factors among farming households in Lesotho. Household food security has been assessed using Household Food Access Scale (HFIAS) and Household Dietary Diversity Score (HDDS). Questionnaires were employed to collect data from 236 farming households.","container-title":"Agriculture &amp; Food Security","DOI":"10.1186/s40066-023-00454-0","ISSN":"2048-7010","issue":"1","journalAbbreviation":"Agriculture &amp; Food Security","page":"3","source":"BioMed Central","title":"Factors associated with food security among small-holder farming households in Lesotho","volume":"13","author":[{"family":"Nkoko","given":"Nthabeleng"},{"family":"Cronje","given":"Natasha"},{"family":"Swanepoel","given":"Jan Willem"}],"issued":{"date-parts":[["2024",1,15]]}}}],"schema":"https://github.com/citation-style-language/schema/raw/master/csl-citation.json"}</w:instrText>
      </w:r>
      <w:r w:rsidR="007D1D8B" w:rsidRPr="00587A1F">
        <w:rPr>
          <w:rFonts w:cs="Arial"/>
        </w:rPr>
        <w:fldChar w:fldCharType="separate"/>
      </w:r>
      <w:r w:rsidR="007D1D8B" w:rsidRPr="00587A1F">
        <w:rPr>
          <w:rFonts w:cs="Arial"/>
        </w:rPr>
        <w:t>(Nkoko et al., 2024)</w:t>
      </w:r>
      <w:r w:rsidR="007D1D8B" w:rsidRPr="00587A1F">
        <w:rPr>
          <w:rFonts w:cs="Arial"/>
        </w:rPr>
        <w:fldChar w:fldCharType="end"/>
      </w:r>
      <w:r w:rsidR="00327A84" w:rsidRPr="00587A1F">
        <w:rPr>
          <w:rFonts w:cs="Arial"/>
        </w:rPr>
        <w:t xml:space="preserve">. Thus, this finding contrasts the significance of household size </w:t>
      </w:r>
      <w:r w:rsidR="00AA165C" w:rsidRPr="00587A1F">
        <w:rPr>
          <w:rFonts w:cs="Arial"/>
        </w:rPr>
        <w:t xml:space="preserve">in affecting the farm-management decisions </w:t>
      </w:r>
      <w:r w:rsidR="00327A84" w:rsidRPr="00587A1F">
        <w:rPr>
          <w:rFonts w:cs="Arial"/>
        </w:rPr>
        <w:t>in different regions of the count</w:t>
      </w:r>
      <w:r w:rsidR="00790AF7" w:rsidRPr="00587A1F">
        <w:rPr>
          <w:rFonts w:cs="Arial"/>
        </w:rPr>
        <w:t>r</w:t>
      </w:r>
      <w:r w:rsidR="00327A84" w:rsidRPr="00587A1F">
        <w:rPr>
          <w:rFonts w:cs="Arial"/>
        </w:rPr>
        <w:t>y.</w:t>
      </w:r>
    </w:p>
    <w:p w14:paraId="3FA7EBCE" w14:textId="0DA19CAF" w:rsidR="005D1DF8" w:rsidRPr="00587A1F" w:rsidRDefault="004D2C5A" w:rsidP="003E2048">
      <w:pPr>
        <w:rPr>
          <w:rFonts w:cs="Arial"/>
        </w:rPr>
      </w:pPr>
      <w:r w:rsidRPr="00587A1F">
        <w:rPr>
          <w:rFonts w:cs="Arial"/>
          <w:bCs/>
          <w:szCs w:val="24"/>
        </w:rPr>
        <w:t>The respondents’ level of education showed significant variation, where m</w:t>
      </w:r>
      <w:r w:rsidR="00587A1F" w:rsidRPr="00587A1F">
        <w:rPr>
          <w:rFonts w:cs="Arial"/>
          <w:bCs/>
          <w:szCs w:val="24"/>
        </w:rPr>
        <w:t>in</w:t>
      </w:r>
      <w:r w:rsidRPr="00587A1F">
        <w:rPr>
          <w:rFonts w:cs="Arial"/>
          <w:bCs/>
          <w:szCs w:val="24"/>
        </w:rPr>
        <w:t xml:space="preserve">ority of the farmers, comprising of 41% had no formal education whereas </w:t>
      </w:r>
      <w:r w:rsidR="00587A1F" w:rsidRPr="00587A1F">
        <w:rPr>
          <w:rFonts w:cs="Arial"/>
          <w:bCs/>
          <w:szCs w:val="24"/>
        </w:rPr>
        <w:t>59</w:t>
      </w:r>
      <w:r w:rsidR="00587A1F" w:rsidRPr="00587A1F">
        <w:rPr>
          <w:rFonts w:cs="Arial"/>
        </w:rPr>
        <w:t>% had acquired basic education regardless of the level from primary to tertiary</w:t>
      </w:r>
      <w:r w:rsidRPr="00587A1F">
        <w:rPr>
          <w:rFonts w:cs="Arial"/>
        </w:rPr>
        <w:t xml:space="preserve">. </w:t>
      </w:r>
      <w:r w:rsidR="00477FD8" w:rsidRPr="00587A1F">
        <w:rPr>
          <w:rFonts w:cs="Arial"/>
        </w:rPr>
        <w:t>Cumulatively, this shows that farmers who have ac</w:t>
      </w:r>
      <w:r w:rsidR="007D1D8B" w:rsidRPr="00587A1F">
        <w:rPr>
          <w:rFonts w:cs="Arial"/>
        </w:rPr>
        <w:t>c</w:t>
      </w:r>
      <w:r w:rsidR="00477FD8" w:rsidRPr="00587A1F">
        <w:rPr>
          <w:rFonts w:cs="Arial"/>
        </w:rPr>
        <w:t>e</w:t>
      </w:r>
      <w:r w:rsidR="007D1D8B" w:rsidRPr="00587A1F">
        <w:rPr>
          <w:rFonts w:cs="Arial"/>
        </w:rPr>
        <w:t>s</w:t>
      </w:r>
      <w:r w:rsidR="00477FD8" w:rsidRPr="00587A1F">
        <w:rPr>
          <w:rFonts w:cs="Arial"/>
        </w:rPr>
        <w:t>s to formal education</w:t>
      </w:r>
      <w:r w:rsidR="00587A1F" w:rsidRPr="00587A1F">
        <w:rPr>
          <w:rFonts w:cs="Arial"/>
        </w:rPr>
        <w:t xml:space="preserve"> we</w:t>
      </w:r>
      <w:r w:rsidR="00477FD8" w:rsidRPr="00587A1F">
        <w:rPr>
          <w:rFonts w:cs="Arial"/>
        </w:rPr>
        <w:t xml:space="preserve">re more compared to those with no formal education. </w:t>
      </w:r>
      <w:r w:rsidR="00A172D5" w:rsidRPr="00587A1F">
        <w:rPr>
          <w:rFonts w:cs="Arial"/>
        </w:rPr>
        <w:t xml:space="preserve">Despite the disparities in the level of education, the significant number of farmers with basic education were commendable. Comparable results have been reported by </w:t>
      </w:r>
      <w:r w:rsidR="00A172D5" w:rsidRPr="00587A1F">
        <w:rPr>
          <w:rFonts w:cs="Arial"/>
        </w:rPr>
        <w:fldChar w:fldCharType="begin"/>
      </w:r>
      <w:r w:rsidR="00DB1FF5" w:rsidRPr="00587A1F">
        <w:rPr>
          <w:rFonts w:cs="Arial"/>
        </w:rPr>
        <w:instrText xml:space="preserve"> ADDIN ZOTERO_ITEM CSL_CITATION {"citationID":"CVNQAEbW","properties":{"formattedCitation":"(Kalele et al., 2021)","plainCitation":"(Kalele et al., 2021)","dontUpdate":true,"noteIndex":0},"citationItems":[{"id":2686,"uris":["http://zotero.org/users/5110088/items/BW2W28US"],"itemData":{"id":2686,"type":"article-journal","abstract":"In the recent decades, extreme weather events have increased in frequency, intensity and magnitude threatening and increasing the vulnerability of rural livelihoods particularly in the arid and semi-arid lands. This study explored climate change events, the extent of their impacts on farmers’ livelihoods, farmers’ adaptation strategies and the extent of the strategies on improving farmers' ability to manage the climate change impacts in the Yatta region, Kenya. The study adopted a multi-method approach that integrated qualitative and quantitative data sources. Quantitative data were obtained from 354 household interviews while qualitative data were obtained from 8 focus group discussions. The interview data were analyzed using descriptive and inferential statistics while the discussion data were analyzed using qualitative content analysis. The most experienced climate events were drought (90.7%), crop diseases (79.1%) and floods (33.30%). Livelihoods aspects greatly impacted by the climate change events were food shortage (87.29%), increased food prices (76.27%) and decreased availability of water (72.43%). Although farmers had adopted several on-farm adaptation strategies, the adoption levels remained low. Water management strategies (water conservation and water harvesting) recorded higher adoption rates of 62.71% and 53.95% respectively. The adoption of on-farm adaptation strategies had proved some potential to improve farmers’ ability to deal with the experienced climate change impacts. The regression model showed that farmers were likely to adopt crop and water management practices which they perceived had a higher probability of improving their ability to cope with climate change impacts. The occurrence of climate change events in the study area has affected agriculture productivity, food security and socioeconomic status of the households. Effective integration of potential adaptation strategies into smallholder farming systems calls for measures to address adoption and implementation barriers while ensuring alignment of policies, programs and institutional support systems.","container-title":"Scientific African","DOI":"10.1016/j.sciaf.2021.e00814","ISSN":"2468-2276","journalAbbreviation":"Scientific African","page":"e00814","source":"ScienceDirect","title":"Climate change impacts and relevance of smallholder farmers’ response in arid and semi-arid lands in Kenya","volume":"12","author":[{"family":"Kalele","given":"Dorcas N."},{"family":"Ogara","given":"William O."},{"family":"Oludhe","given":"Christopher"},{"family":"Onono","given":"Joshua O."}],"issued":{"date-parts":[["2021",7,1]]}}}],"schema":"https://github.com/citation-style-language/schema/raw/master/csl-citation.json"} </w:instrText>
      </w:r>
      <w:r w:rsidR="00A172D5" w:rsidRPr="00587A1F">
        <w:rPr>
          <w:rFonts w:cs="Arial"/>
        </w:rPr>
        <w:fldChar w:fldCharType="separate"/>
      </w:r>
      <w:r w:rsidR="00BC4B28" w:rsidRPr="00587A1F">
        <w:rPr>
          <w:rFonts w:cs="Arial"/>
        </w:rPr>
        <w:t>Kalele et al. (</w:t>
      </w:r>
      <w:r w:rsidR="00A172D5" w:rsidRPr="00587A1F">
        <w:rPr>
          <w:rFonts w:cs="Arial"/>
        </w:rPr>
        <w:t>2021)</w:t>
      </w:r>
      <w:r w:rsidR="00A172D5" w:rsidRPr="00587A1F">
        <w:rPr>
          <w:rFonts w:cs="Arial"/>
        </w:rPr>
        <w:fldChar w:fldCharType="end"/>
      </w:r>
      <w:r w:rsidR="00A172D5" w:rsidRPr="00587A1F">
        <w:rPr>
          <w:rFonts w:cs="Arial"/>
        </w:rPr>
        <w:t xml:space="preserve"> that showed a higher percentage of farmers comprising of 87% to having acquired basic formal education. The logistic regression analysis revealed significant trends where f</w:t>
      </w:r>
      <w:r w:rsidR="00C8394D" w:rsidRPr="00587A1F">
        <w:rPr>
          <w:rFonts w:cs="Arial"/>
        </w:rPr>
        <w:t xml:space="preserve">armers with no formal education were observed to be associated with the use of hoe (β = 0.41, </w:t>
      </w:r>
      <w:r w:rsidR="00C8394D" w:rsidRPr="00587A1F">
        <w:rPr>
          <w:rFonts w:cs="Arial"/>
          <w:i/>
        </w:rPr>
        <w:t>P &lt; .01</w:t>
      </w:r>
      <w:r w:rsidR="00C8394D" w:rsidRPr="00587A1F">
        <w:rPr>
          <w:rFonts w:cs="Arial"/>
        </w:rPr>
        <w:t xml:space="preserve">) for farming operations and declined use of inorganic fertilizers (β = - 1.25, </w:t>
      </w:r>
      <w:r w:rsidR="00C8394D" w:rsidRPr="00587A1F">
        <w:rPr>
          <w:rFonts w:cs="Arial"/>
          <w:i/>
        </w:rPr>
        <w:t>P &lt; .001</w:t>
      </w:r>
      <w:r w:rsidR="00C8394D" w:rsidRPr="00587A1F">
        <w:rPr>
          <w:rFonts w:cs="Arial"/>
        </w:rPr>
        <w:t>)</w:t>
      </w:r>
      <w:r w:rsidR="00A172D5" w:rsidRPr="00587A1F">
        <w:rPr>
          <w:rFonts w:cs="Arial"/>
        </w:rPr>
        <w:t xml:space="preserve">. This inclination </w:t>
      </w:r>
      <w:r w:rsidR="00531906" w:rsidRPr="00587A1F">
        <w:rPr>
          <w:rFonts w:cs="Arial"/>
        </w:rPr>
        <w:t>tends</w:t>
      </w:r>
      <w:r w:rsidR="00A172D5" w:rsidRPr="00587A1F">
        <w:rPr>
          <w:rFonts w:cs="Arial"/>
        </w:rPr>
        <w:t xml:space="preserve"> to affect farm productivity in terms of efficiency and crop yields. Past researches supports the role of education with farmers who have attained it are observed to be more enlightened and have good technological literacy that enables them to have access to more information that assists in getting more agricultural information and being food secure </w:t>
      </w:r>
      <w:r w:rsidR="00A172D5" w:rsidRPr="00587A1F">
        <w:rPr>
          <w:rFonts w:cs="Arial"/>
        </w:rPr>
        <w:fldChar w:fldCharType="begin"/>
      </w:r>
      <w:r w:rsidR="00A172D5" w:rsidRPr="00587A1F">
        <w:rPr>
          <w:rFonts w:cs="Arial"/>
        </w:rPr>
        <w:instrText>ADDIN ZOTERO_ITEM CSL_CITATION {"citationID":"WJ7nDdt3","properties":{"formattedCitation":"(Gatobu et al., 2020; Mohamed Shaffril et al., 2024)","plainCitation":"(Gatobu et al., 2020; Mohamed Shaffril et al., 2024)","noteIndex":0},"citationItems":[{"id":3493,"uris":["http://zotero.org/users/5110088/items/DP8MJANQ"],"itemData":{"id":3493,"type":"article-journal","source":"Google Scholar","title":"Socio-Economic Factors that Influence Household Food Security in West Pokot County, Kenya","URL":"https://www.researchsquare.com/article/rs-82001/latest","author":[{"family":"Gatobu","given":"Caroline Kathure"},{"family":"Omboto","given":"Peter"},{"family":"Mining","given":"Pacificah"}],"accessed":{"date-parts":[["2025",3,11]]},"issued":{"date-parts":[["2020"]]}}},{"id":2715,"uris":["http://zotero.org/users/5110088/items/7369B2BH"],"itemData":{"id":2715,"type":"article-journal","abstract":"The primary objective of this study is to systematically review the literature on the diversification of agriculture practice as one of the many ways farmers in low-income countries can respond and adapt to the worsening impacts of climate change. To ascertain the rigor in its methodology, this systematic literature review (SLR) adhered to guidelines outlined in RepOrting standards for Systematic Evidence Syntheses (ROSES); the research question was formulated based on the mnemonics of Population, Interest, and Context (PICo), the inclusion and exclusion criteria were based on timeline publication, document type, language, low-income countries and focused on reviewing empirical evidence studies; the quality was appraised based on Mixed Method Appraisal Tools (MMAT), while data extraction and analyses were executed using thematic analysis. The analytical outcomes yielded three main themes. First is the theme related to crops and varieties-related strategies, which consist of four sub-themes: early maturing crops, use of the drought-tolerant variety, abandoning crops, and introduction of new crop/crop rotation/crop diversity/mixed crop. The second theme is soil and water conservation techniques, which later produced another six sub-themes, namely the use of organic/inorganic fertilizer, water harvesting, irrigation and drainage, tree planting and agroforestry, terracing/contour farming to prevent soil erosion, mulching/stone barriers and agriculture mechanisation related activities. The last theme is planting-related strategies, which consist of three sub-themes: rescheduling the planting calendar, increasing pesticide/herbicide/integrated pest management, and selecting and expanding new areas. Referring to this SLR, there is a pressing need to facilitate farmers facing inadequate resources to adapt effectively to environmental and other change forms. Upon comprehending the present adaptation practices used by farmers, interested parties may offer ideas to strategize effective adaptation plans tailored to farmers’ needs, abilities, and interests across low-income countries.","container-title":"Climate Services","DOI":"10.1016/j.cliser.2024.100508","ISSN":"2405-8807","journalAbbreviation":"Climate Services","page":"100508","source":"ScienceDirect","title":"Diversification of agriculture practices as a response to climate change impacts among farmers in low-income countries: A systematic literature review","title-short":"Diversification of agriculture practices as a response to climate change impacts among farmers in low-income countries","volume":"35","author":[{"family":"Mohamed Shaffril","given":"Hayrol Azril"},{"family":"Abu Samah","given":"Asnarulkhadi"},{"family":"Samsuddin","given":"Samsul Farid"},{"family":"Ahmad","given":"Nobaya"},{"family":"Tangang","given":"Fredoline"},{"family":"Ahmad Sidique","given":"Shaufique Fahmi"},{"family":"Abdul Rahman","given":"Haliza"},{"family":"Burhan","given":"Nik Ahmad Sufian"},{"family":"Arif Shah","given":"Jasmin"},{"family":"Amiera Khalid","given":"Nurul"}],"issued":{"date-parts":[["2024",8,1]]}}}],"schema":"https://github.com/citation-style-language/schema/raw/master/csl-citation.json"}</w:instrText>
      </w:r>
      <w:r w:rsidR="00A172D5" w:rsidRPr="00587A1F">
        <w:rPr>
          <w:rFonts w:cs="Arial"/>
        </w:rPr>
        <w:fldChar w:fldCharType="separate"/>
      </w:r>
      <w:r w:rsidR="00A172D5" w:rsidRPr="00587A1F">
        <w:rPr>
          <w:rFonts w:cs="Arial"/>
        </w:rPr>
        <w:t>(Gatobu et al., 2020; Mohamed Shaffril et al., 2024)</w:t>
      </w:r>
      <w:r w:rsidR="00A172D5" w:rsidRPr="00587A1F">
        <w:rPr>
          <w:rFonts w:cs="Arial"/>
        </w:rPr>
        <w:fldChar w:fldCharType="end"/>
      </w:r>
      <w:r w:rsidR="00A172D5" w:rsidRPr="00587A1F">
        <w:rPr>
          <w:rFonts w:cs="Arial"/>
        </w:rPr>
        <w:t xml:space="preserve">. Furthermore, educated farmers have been found to make informed decisions in choosing priorities, having better perceptions on the future outcomes and taking risks that positively creates social and environmental impact to their family and the community </w:t>
      </w:r>
      <w:r w:rsidR="00A172D5" w:rsidRPr="00587A1F">
        <w:rPr>
          <w:rFonts w:cs="Arial"/>
        </w:rPr>
        <w:fldChar w:fldCharType="begin"/>
      </w:r>
      <w:r w:rsidR="00A172D5" w:rsidRPr="00587A1F">
        <w:rPr>
          <w:rFonts w:cs="Arial"/>
        </w:rPr>
        <w:instrText>ADDIN ZOTERO_ITEM CSL_CITATION {"citationID":"PRiaHeGD","properties":{"formattedCitation":"(Fielke &amp; Bardsley, 2014)","plainCitation":"(Fielke &amp; Bardsley, 2014)","noteIndex":0},"citationItems":[{"id":2708,"uris":["http://zotero.org/users/5110088/items/7G543XWE"],"itemData":{"id":2708,"type":"article-journal","abstract":"There is a significant challenge involved with balancing food security at local and global levels whilst mitigating the environmental and social consequences of the historically productivist agri-food system. This work will address the importance of education in the South Australian agricultural sector as a tool to maximise beneficial outcomes. The results of a blended method research project, which involved farmers and governance stakeholders in South Australia, are presented as empirical evidence highlighting the positive roles that formal education, in particular university education, have in regard to increasing sustainability. It was found that higher levels of formal education contributed to farmers being more likely to prioritise the socio-environmental outcomes of their agricultural land use. There was also a dramatic reduction in farmer concerns with government support mechanisms as education levels went from secondary or less, through to vocational qualifications, and finally university degrees. Interviews with agricultural governance stakeholders emphasised the role of education in building the adaptive capacity of farmers, and the subsequent positive outcomes for the future development of the South Australian agricultural industry. These results suggest that further education provides farmers with the capacity to compete effectively in a liberalised economy.","container-title":"Land Use Policy","DOI":"10.1016/j.landusepol.2014.02.006","ISSN":"0264-8377","journalAbbreviation":"Land Use Policy","page":"301-312","source":"ScienceDirect","title":"The importance of farmer education in South Australia","volume":"39","author":[{"family":"Fielke","given":"Simon J."},{"family":"Bardsley","given":"Douglas K."}],"issued":{"date-parts":[["2014",7,1]]}}}],"schema":"https://github.com/citation-style-language/schema/raw/master/csl-citation.json"}</w:instrText>
      </w:r>
      <w:r w:rsidR="00A172D5" w:rsidRPr="00587A1F">
        <w:rPr>
          <w:rFonts w:cs="Arial"/>
        </w:rPr>
        <w:fldChar w:fldCharType="separate"/>
      </w:r>
      <w:r w:rsidR="00A172D5" w:rsidRPr="00587A1F">
        <w:rPr>
          <w:rFonts w:cs="Arial"/>
        </w:rPr>
        <w:t>(Fielke &amp; Bardsley, 2014)</w:t>
      </w:r>
      <w:r w:rsidR="00A172D5" w:rsidRPr="00587A1F">
        <w:rPr>
          <w:rFonts w:cs="Arial"/>
        </w:rPr>
        <w:fldChar w:fldCharType="end"/>
      </w:r>
      <w:r w:rsidR="00A172D5" w:rsidRPr="00587A1F">
        <w:rPr>
          <w:rFonts w:cs="Arial"/>
        </w:rPr>
        <w:t xml:space="preserve">. This confirms the pertinent contribution of education in influencing farming practices as well as the socioeconomic development in a society. </w:t>
      </w:r>
    </w:p>
    <w:p w14:paraId="414F3873" w14:textId="63DD6C73" w:rsidR="003E2048" w:rsidRPr="00587A1F" w:rsidRDefault="003E2048" w:rsidP="003E2048">
      <w:pPr>
        <w:rPr>
          <w:rFonts w:cs="Arial"/>
        </w:rPr>
      </w:pPr>
      <w:r w:rsidRPr="00587A1F">
        <w:rPr>
          <w:rFonts w:cs="Arial"/>
        </w:rPr>
        <w:t xml:space="preserve">Multiple economic activities </w:t>
      </w:r>
      <w:r w:rsidR="00531906" w:rsidRPr="00587A1F">
        <w:rPr>
          <w:rFonts w:cs="Arial"/>
        </w:rPr>
        <w:t>enhance</w:t>
      </w:r>
      <w:r w:rsidRPr="00587A1F">
        <w:rPr>
          <w:rFonts w:cs="Arial"/>
        </w:rPr>
        <w:t xml:space="preserve"> farmer resilience and wellbeing. The results showed that majority of the farmers were involved in a number of alternative source of livelihoods that supports their household’s needs. Significantly, crop production, selling of livestock and livestock products were identified to be most popular among 84%, 45% and 18% of the respondents respectively. However, few farmers were involved in the selling of charcoal (4%), mining (2%), off-farm daily labour (2%), hunting (2%) and earning from pension (1%). This high distribution of farmers involved in crop production corroborates the work of </w:t>
      </w:r>
      <w:r w:rsidRPr="00587A1F">
        <w:rPr>
          <w:rFonts w:cs="Arial"/>
        </w:rPr>
        <w:fldChar w:fldCharType="begin"/>
      </w:r>
      <w:r w:rsidRPr="00587A1F">
        <w:rPr>
          <w:rFonts w:cs="Arial"/>
        </w:rPr>
        <w:instrText>ADDIN ZOTERO_ITEM CSL_CITATION {"citationID":"hm5DpXxx","properties":{"formattedCitation":"(Budastra et al., 2024)","plainCitation":"(Budastra et al., 2024)","noteIndex":0},"citationItems":[{"id":2694,"uris":["http://zotero.org/users/5110088/items/MAMRFE6B"],"itemData":{"id":2694,"type":"article-journal","container-title":"International Journal of Research and Innovation in Social Science","issue":"7","note":"publisher: International Journal of Research and Innovation in Social Science (IJRISS)","page":"688-694","title":"The Livelihood Strategies of Dry Land Farmers in Karang Bayan Village, Indonesia","volume":"8","author":[{"family":"Budastra","given":"Iketut"},{"family":"Syah","given":"Taslim"},{"family":"Partatanaya","given":"I. G. L."}],"issued":{"date-parts":[["2024"]]}}}],"schema":"https://github.com/citation-style-language/schema/raw/master/csl-citation.json"}</w:instrText>
      </w:r>
      <w:r w:rsidRPr="00587A1F">
        <w:rPr>
          <w:rFonts w:cs="Arial"/>
        </w:rPr>
        <w:fldChar w:fldCharType="separate"/>
      </w:r>
      <w:r w:rsidRPr="00587A1F">
        <w:rPr>
          <w:rFonts w:cs="Arial"/>
        </w:rPr>
        <w:t>(Budastra et al., 2024)</w:t>
      </w:r>
      <w:r w:rsidRPr="00587A1F">
        <w:rPr>
          <w:rFonts w:cs="Arial"/>
        </w:rPr>
        <w:fldChar w:fldCharType="end"/>
      </w:r>
      <w:r w:rsidRPr="00587A1F">
        <w:rPr>
          <w:rFonts w:cs="Arial"/>
        </w:rPr>
        <w:t xml:space="preserve"> in a study on livelihood strategies of dryland farmers in Indonesia, where 88 % of the households derived their main income from agricultural related activities. In addition, the authors observed that farmers were involved in a number of economic activities to </w:t>
      </w:r>
      <w:r w:rsidR="00325A9C" w:rsidRPr="00587A1F">
        <w:rPr>
          <w:rFonts w:cs="Arial"/>
        </w:rPr>
        <w:t xml:space="preserve">diversify </w:t>
      </w:r>
      <w:r w:rsidRPr="00587A1F">
        <w:rPr>
          <w:rFonts w:cs="Arial"/>
        </w:rPr>
        <w:t xml:space="preserve">their livelihoods. Similar mitigation strategies by smallholder farmers to adopt diverse livelihood strategies were also  observed </w:t>
      </w:r>
      <w:r w:rsidR="00A241CA" w:rsidRPr="00587A1F">
        <w:rPr>
          <w:rFonts w:cs="Arial"/>
        </w:rPr>
        <w:t>by</w:t>
      </w:r>
      <w:r w:rsidRPr="00587A1F">
        <w:rPr>
          <w:rFonts w:cs="Arial"/>
        </w:rPr>
        <w:t xml:space="preserve"> </w:t>
      </w:r>
      <w:r w:rsidRPr="00587A1F">
        <w:rPr>
          <w:rFonts w:cs="Arial"/>
        </w:rPr>
        <w:fldChar w:fldCharType="begin"/>
      </w:r>
      <w:r w:rsidR="00DB1FF5" w:rsidRPr="00587A1F">
        <w:rPr>
          <w:rFonts w:cs="Arial"/>
        </w:rPr>
        <w:instrText xml:space="preserve"> ADDIN ZOTERO_ITEM CSL_CITATION {"citationID":"SxPF9pB3","properties":{"formattedCitation":"(Kalele et al., 2021; Touch et al., 2024)","plainCitation":"(Kalele et al., 2021; Touch et al., 2024)","dontUpdate":true,"noteIndex":0},"citationItems":[{"id":2686,"uris":["http://zotero.org/users/5110088/items/BW2W28US"],"itemData":{"id":2686,"type":"article-journal","abstract":"In the recent decades, extreme weather events have increased in frequency, intensity and magnitude threatening and increasing the vulnerability of rural livelihoods particularly in the arid and semi-arid lands. This study explored climate change events, the extent of their impacts on farmers’ livelihoods, farmers’ adaptation strategies and the extent of the strategies on improving farmers' ability to manage the climate change impacts in the Yatta region, Kenya. The study adopted a multi-method approach that integrated qualitative and quantitative data sources. Quantitative data were obtained from 354 household interviews while qualitative data were obtained from 8 focus group discussions. The interview data were analyzed using descriptive and inferential statistics while the discussion data were analyzed using qualitative content analysis. The most experienced climate events were drought (90.7%), crop diseases (79.1%) and floods (33.30%). Livelihoods aspects greatly impacted by the climate change events were food shortage (87.29%), increased food prices (76.27%) and decreased availability of water (72.43%). Although farmers had adopted several on-farm adaptation strategies, the adoption levels remained low. Water management strategies (water conservation and water harvesting) recorded higher adoption rates of 62.71% and 53.95% respectively. The adoption of on-farm adaptation strategies had proved some potential to improve farmers’ ability to deal with the experienced climate change impacts. The regression model showed that farmers were likely to adopt crop and water management practices which they perceived had a higher probability of improving their ability to cope with climate change impacts. The occurrence of climate change events in the study area has affected agriculture productivity, food security and socioeconomic status of the households. Effective integration of potential adaptation strategies into smallholder farming systems calls for measures to address adoption and implementation barriers while ensuring alignment of policies, programs and institutional support systems.","container-title":"Scientific African","DOI":"10.1016/j.sciaf.2021.e00814","ISSN":"2468-2276","journalAbbreviation":"Scientific African","page":"e00814","source":"ScienceDirect","title":"Climate change impacts and relevance of smallholder farmers’ response in arid and semi-arid lands in Kenya","volume":"12","author":[{"family":"Kalele","given":"Dorcas N."},{"family":"Ogara","given":"William O."},{"family":"Oludhe","given":"Christopher"},{"family":"Onono","given":"Joshua O."}],"issued":{"date-parts":[["2021",7,1]]}}},{"id":2477,"uris":["http://zotero.org/users/5110088/items/3CNVM6QE"],"itemData":{"id":2477,"type":"article-journal","abstract":"In an era of growing environmental, socioeconomic, and market uncertainties, understanding the adaptive strategies of smallholder farmers is paramount for sustainable agricultural productivity and environmental management efforts. We adopted a mixed-methods approach to investigate the adaptive strategies of smallholders in Northwest Cambodia. Our methodology included downscaled climate projections to project future climate conditions and scenarios, household surveys to collect detailed demographic and socioeconomic data, crop monitoring and record-keeping to gather data on productivity and profitability, and semi-structured interviews to obtain qualitative insights on constraints and adaptation. Our analyses revealed that all smallholders are increasingly vulnerable to climate change which projections reveal will result in more intense and extreme weather events. Specifically, 92% of respondents reported reductions in household income, and 63% indicated the necessity to cut household expenses, which negatively affect agricultural productivity, as evidenced by 33% of respondents reporting declining crop yields and 10% experiencing food shortages. We also uncovered significant differences in farming strategies to mitigate vulnerability among distinct household clusters. Some households prioritise maximising yields through high-expense production strategies, while others focus on optimising inputs to enhance profit-margins, indirectly minimising their environmental impact. These varying strategies have different implications for poverty, food security, and the environment, but were doing very little to mitigate overall vulnerability. To enhance the adaptive capacity of smallholders, policies should target interventions that balance economic growth with environmental sustainability, tailored to the specific needs of different farmer and household types. Promoting the adoption of climate-resilient agricultural practices, investing in water management infrastructure, enhancing access to timely and accurate climate information, and implementing social protection measures are strongly recommended.","container-title":"Journal of Environmental Management","DOI":"10.1016/j.jenvman.2024.122536","ISSN":"0301-4797","journalAbbreviation":"Journal of Environmental Management","page":"122536","source":"ScienceDirect","title":"Smallholder farmers’ challenges and opportunities: Implications for agricultural production, environment and food security","title-short":"Smallholder farmers’ challenges and opportunities","volume":"370","author":[{"family":"Touch","given":"Van"},{"family":"Tan","given":"Daniel K. Y."},{"family":"Cook","given":"Brian R."},{"family":"Liu","given":"De Li"},{"family":"Cross","given":"Rebecca"},{"family":"Tran","given":"Thong Anh"},{"family":"Utomo","given":"Ariane"},{"family":"Yous","given":"Sophea"},{"family":"Grunbuhel","given":"Clemens"},{"family":"Cowie","given":"Annette"}],"issued":{"date-parts":[["2024",11,1]]}}}],"schema":"https://github.com/citation-style-language/schema/raw/master/csl-citation.json"} </w:instrText>
      </w:r>
      <w:r w:rsidRPr="00587A1F">
        <w:rPr>
          <w:rFonts w:cs="Arial"/>
        </w:rPr>
        <w:fldChar w:fldCharType="separate"/>
      </w:r>
      <w:r w:rsidR="00D62ED0" w:rsidRPr="00587A1F">
        <w:rPr>
          <w:rFonts w:cs="Arial"/>
        </w:rPr>
        <w:t>Kalele et al.</w:t>
      </w:r>
      <w:r w:rsidR="00533184" w:rsidRPr="00587A1F">
        <w:rPr>
          <w:rFonts w:cs="Arial"/>
        </w:rPr>
        <w:t xml:space="preserve"> (</w:t>
      </w:r>
      <w:r w:rsidR="00D62ED0" w:rsidRPr="00587A1F">
        <w:rPr>
          <w:rFonts w:cs="Arial"/>
        </w:rPr>
        <w:t xml:space="preserve"> 2021</w:t>
      </w:r>
      <w:r w:rsidR="00533184" w:rsidRPr="00587A1F">
        <w:rPr>
          <w:rFonts w:cs="Arial"/>
        </w:rPr>
        <w:t>) and</w:t>
      </w:r>
      <w:r w:rsidR="00D62ED0" w:rsidRPr="00587A1F">
        <w:rPr>
          <w:rFonts w:cs="Arial"/>
        </w:rPr>
        <w:t xml:space="preserve"> Touch et al. </w:t>
      </w:r>
      <w:r w:rsidR="00533184" w:rsidRPr="00587A1F">
        <w:rPr>
          <w:rFonts w:cs="Arial"/>
        </w:rPr>
        <w:t>(</w:t>
      </w:r>
      <w:r w:rsidR="00D62ED0" w:rsidRPr="00587A1F">
        <w:rPr>
          <w:rFonts w:cs="Arial"/>
        </w:rPr>
        <w:t>2024)</w:t>
      </w:r>
      <w:r w:rsidRPr="00587A1F">
        <w:rPr>
          <w:rFonts w:cs="Arial"/>
        </w:rPr>
        <w:fldChar w:fldCharType="end"/>
      </w:r>
      <w:r w:rsidRPr="00587A1F">
        <w:rPr>
          <w:rFonts w:cs="Arial"/>
        </w:rPr>
        <w:t xml:space="preserve">. This result showing the high likelihood of households to adopt diversified livelihood options are meant to confront challenges and risks affecting agricultural production which are more dynamic in dryland ecosystem. </w:t>
      </w:r>
      <w:r w:rsidRPr="00587A1F">
        <w:rPr>
          <w:rFonts w:cs="Arial"/>
        </w:rPr>
        <w:fldChar w:fldCharType="begin"/>
      </w:r>
      <w:r w:rsidR="00DB1FF5" w:rsidRPr="00587A1F">
        <w:rPr>
          <w:rFonts w:cs="Arial"/>
        </w:rPr>
        <w:instrText xml:space="preserve"> ADDIN ZOTERO_ITEM CSL_CITATION {"citationID":"ZIA3CeGE","properties":{"formattedCitation":"(Concei\\uc0\\u231{}\\uc0\\u227{}o et al., 2016)","plainCitation":"(Conceição et al., 2016)","dontUpdate":true,"noteIndex":0},"citationItems":[{"id":2467,"uris":["http://zotero.org/users/5110088/items/BUL8LWWT"],"itemData":{"id":2467,"type":"article-journal","abstract":"Food security remains a top development priority and global concern. It is enshrined in the 2030 Agenda for Sustainable Development in Sustainable Development Goal two. Food security is also a core component of the human development and capability paradigm, since food access and entitlements are critical for reinforcing essential human capabilities. In introducing this special issue, this paper argues that agriculture is central to improving food security and reducing poverty in Africa. It suggests that realizing the potential of agriculture in Africa requires rapid increases in land productivity and increases in agricultural yields. A science-based approach that integrates gender and sustainability is critical to meet this goal, through the design and implementation of policies that improve the availability farm inputs and farm technology. The paper concludes by introducing the papers in this special issue.","collection-title":"Towards a food secure future: Ensuring food security for sustainable human development in Sub-Saharan Africa","container-title":"Food Policy","DOI":"10.1016/j.foodpol.2016.02.003","ISSN":"0306-9192","journalAbbreviation":"Food Policy","page":"1-9","source":"ScienceDirect","title":"Toward a food secure future: Ensuring food security for sustainable human development in Sub-Saharan Africa","title-short":"Toward a food secure future","volume":"60","author":[{"family":"Conceição","given":"Pedro"},{"family":"Levine","given":"Sebastian"},{"family":"Lipton","given":"Michael"},{"family":"Warren-Rodríguez","given":"Alex"}],"issued":{"date-parts":[["2016",4,1]]}}}],"schema":"https://github.com/citation-style-language/schema/raw/master/csl-citation.json"} </w:instrText>
      </w:r>
      <w:r w:rsidRPr="00587A1F">
        <w:rPr>
          <w:rFonts w:cs="Arial"/>
        </w:rPr>
        <w:fldChar w:fldCharType="separate"/>
      </w:r>
      <w:r w:rsidR="00BC4B28" w:rsidRPr="00587A1F">
        <w:rPr>
          <w:rFonts w:cs="Arial"/>
        </w:rPr>
        <w:t>Conceição et al. (</w:t>
      </w:r>
      <w:r w:rsidRPr="00587A1F">
        <w:rPr>
          <w:rFonts w:cs="Arial"/>
        </w:rPr>
        <w:t>2016)</w:t>
      </w:r>
      <w:r w:rsidRPr="00587A1F">
        <w:rPr>
          <w:rFonts w:cs="Arial"/>
        </w:rPr>
        <w:fldChar w:fldCharType="end"/>
      </w:r>
      <w:r w:rsidRPr="00587A1F">
        <w:rPr>
          <w:rFonts w:cs="Arial"/>
        </w:rPr>
        <w:t xml:space="preserve"> observed that when a high percentage of households are engaging in farming activities, </w:t>
      </w:r>
      <w:r w:rsidR="00533184" w:rsidRPr="00587A1F">
        <w:rPr>
          <w:rFonts w:cs="Arial"/>
        </w:rPr>
        <w:t xml:space="preserve">as </w:t>
      </w:r>
      <w:r w:rsidR="00D001AA" w:rsidRPr="00587A1F">
        <w:rPr>
          <w:rFonts w:cs="Arial"/>
        </w:rPr>
        <w:t>wa</w:t>
      </w:r>
      <w:r w:rsidRPr="00587A1F">
        <w:rPr>
          <w:rFonts w:cs="Arial"/>
        </w:rPr>
        <w:t xml:space="preserve">s </w:t>
      </w:r>
      <w:r w:rsidR="00533184" w:rsidRPr="00587A1F">
        <w:rPr>
          <w:rFonts w:cs="Arial"/>
        </w:rPr>
        <w:t>observed in</w:t>
      </w:r>
      <w:r w:rsidRPr="00587A1F">
        <w:rPr>
          <w:rFonts w:cs="Arial"/>
        </w:rPr>
        <w:t xml:space="preserve"> th</w:t>
      </w:r>
      <w:r w:rsidR="00533184" w:rsidRPr="00587A1F">
        <w:rPr>
          <w:rFonts w:cs="Arial"/>
        </w:rPr>
        <w:t>e current</w:t>
      </w:r>
      <w:r w:rsidRPr="00587A1F">
        <w:rPr>
          <w:rFonts w:cs="Arial"/>
        </w:rPr>
        <w:t xml:space="preserve"> study, suggests the pertinent role crop production and livestock keeping </w:t>
      </w:r>
      <w:r w:rsidRPr="00587A1F">
        <w:rPr>
          <w:rFonts w:cs="Arial"/>
        </w:rPr>
        <w:lastRenderedPageBreak/>
        <w:t xml:space="preserve">plays as the main backbone of the rural economy supporting income generation, food and nutrition security as well as reducing poverty. </w:t>
      </w:r>
    </w:p>
    <w:p w14:paraId="17357569" w14:textId="39783567" w:rsidR="003E2048" w:rsidRDefault="00F23D69" w:rsidP="003E2048">
      <w:pPr>
        <w:rPr>
          <w:rFonts w:cs="Arial"/>
        </w:rPr>
      </w:pPr>
      <w:r w:rsidRPr="00587A1F">
        <w:rPr>
          <w:rFonts w:cs="Arial"/>
        </w:rPr>
        <w:t xml:space="preserve">Furthermore, this study found significant influence of the economic activities on farming practices as shown in Table 2. In this regard, </w:t>
      </w:r>
      <w:r w:rsidR="003E2048" w:rsidRPr="00587A1F">
        <w:rPr>
          <w:rFonts w:cs="Arial"/>
        </w:rPr>
        <w:t>producing food crops in la</w:t>
      </w:r>
      <w:r w:rsidR="004D6D2F" w:rsidRPr="00587A1F">
        <w:rPr>
          <w:rFonts w:cs="Arial"/>
        </w:rPr>
        <w:t>rge scale farms was observed to</w:t>
      </w:r>
      <w:r w:rsidR="00533184" w:rsidRPr="00587A1F">
        <w:rPr>
          <w:rFonts w:cs="Arial"/>
        </w:rPr>
        <w:t xml:space="preserve"> </w:t>
      </w:r>
      <w:r w:rsidR="003E2048" w:rsidRPr="00587A1F">
        <w:rPr>
          <w:rFonts w:cs="Arial"/>
        </w:rPr>
        <w:t xml:space="preserve">significantly </w:t>
      </w:r>
      <w:r w:rsidR="004D6D2F" w:rsidRPr="00587A1F">
        <w:rPr>
          <w:rFonts w:cs="Arial"/>
        </w:rPr>
        <w:t xml:space="preserve">be </w:t>
      </w:r>
      <w:r w:rsidR="003E2048" w:rsidRPr="00587A1F">
        <w:rPr>
          <w:rFonts w:cs="Arial"/>
        </w:rPr>
        <w:t xml:space="preserve">influenced by household earning income from sales of livestock products (β = 0.81, </w:t>
      </w:r>
      <w:r w:rsidR="003E2048" w:rsidRPr="00587A1F">
        <w:rPr>
          <w:rFonts w:cs="Arial"/>
          <w:i/>
        </w:rPr>
        <w:t>P &lt; .001</w:t>
      </w:r>
      <w:r w:rsidR="003E2048" w:rsidRPr="00587A1F">
        <w:rPr>
          <w:rFonts w:cs="Arial"/>
        </w:rPr>
        <w:t>) and those access</w:t>
      </w:r>
      <w:r w:rsidR="004D6D2F" w:rsidRPr="00587A1F">
        <w:rPr>
          <w:rFonts w:cs="Arial"/>
        </w:rPr>
        <w:t>ing</w:t>
      </w:r>
      <w:r w:rsidR="003E2048" w:rsidRPr="00587A1F">
        <w:rPr>
          <w:rFonts w:cs="Arial"/>
        </w:rPr>
        <w:t xml:space="preserve"> additional income from pension remittances (β = 2.45, </w:t>
      </w:r>
      <w:r w:rsidR="003E2048" w:rsidRPr="00587A1F">
        <w:rPr>
          <w:rFonts w:cs="Arial"/>
          <w:i/>
        </w:rPr>
        <w:t xml:space="preserve">P = </w:t>
      </w:r>
      <w:r w:rsidR="003E2048" w:rsidRPr="00587A1F">
        <w:rPr>
          <w:rFonts w:cs="Arial"/>
        </w:rPr>
        <w:t xml:space="preserve">.05). Conversely, using </w:t>
      </w:r>
      <w:r w:rsidR="00C4474A" w:rsidRPr="00587A1F">
        <w:rPr>
          <w:rFonts w:cs="Arial"/>
        </w:rPr>
        <w:t>hand</w:t>
      </w:r>
      <w:r w:rsidR="003E2048" w:rsidRPr="00587A1F">
        <w:rPr>
          <w:rFonts w:cs="Arial"/>
        </w:rPr>
        <w:t xml:space="preserve"> hoe for land preparation and crop farming was significantly influenced by farmers who have adopted crop production as the main economic activity (β = 0.88, </w:t>
      </w:r>
      <w:r w:rsidR="003E2048" w:rsidRPr="00587A1F">
        <w:rPr>
          <w:rFonts w:cs="Arial"/>
          <w:i/>
        </w:rPr>
        <w:t>P &lt; .001</w:t>
      </w:r>
      <w:r w:rsidR="003E2048" w:rsidRPr="00587A1F">
        <w:rPr>
          <w:rFonts w:cs="Arial"/>
        </w:rPr>
        <w:t xml:space="preserve">), whereas tractor use was associated with earning salary (β = 1.07, </w:t>
      </w:r>
      <w:r w:rsidR="003E2048" w:rsidRPr="00587A1F">
        <w:rPr>
          <w:rFonts w:cs="Arial"/>
          <w:i/>
        </w:rPr>
        <w:t>P &lt; .001</w:t>
      </w:r>
      <w:r w:rsidR="003E2048" w:rsidRPr="00587A1F">
        <w:rPr>
          <w:rFonts w:cs="Arial"/>
        </w:rPr>
        <w:t xml:space="preserve">). Cropping system such as producing of crops under mono cropping system was associated with farmers offering labour services (β = 1.76, </w:t>
      </w:r>
      <w:r w:rsidR="003E2048" w:rsidRPr="00587A1F">
        <w:rPr>
          <w:rFonts w:cs="Arial"/>
          <w:i/>
        </w:rPr>
        <w:t xml:space="preserve">P = </w:t>
      </w:r>
      <w:r w:rsidR="003E2048" w:rsidRPr="00587A1F">
        <w:rPr>
          <w:rFonts w:cs="Arial"/>
        </w:rPr>
        <w:t xml:space="preserve">.01), whereas mixed cropping was associated with farmers earning income from livestock products (β = -0.81, </w:t>
      </w:r>
      <w:r w:rsidR="003E2048" w:rsidRPr="00587A1F">
        <w:rPr>
          <w:rFonts w:cs="Arial"/>
          <w:i/>
        </w:rPr>
        <w:t>P &lt; .001</w:t>
      </w:r>
      <w:r w:rsidR="003E2048" w:rsidRPr="00587A1F">
        <w:rPr>
          <w:rFonts w:cs="Arial"/>
        </w:rPr>
        <w:t xml:space="preserve">). Furthermore, using inorganic fertilizers was associated with farmers earning from daily on-farm labour (β = 1.24, </w:t>
      </w:r>
      <w:r w:rsidR="003E2048" w:rsidRPr="00587A1F">
        <w:rPr>
          <w:rFonts w:cs="Arial"/>
          <w:i/>
        </w:rPr>
        <w:t>P &lt; .001</w:t>
      </w:r>
      <w:r w:rsidR="003E2048" w:rsidRPr="00587A1F">
        <w:rPr>
          <w:rFonts w:cs="Arial"/>
        </w:rPr>
        <w:t xml:space="preserve">), and less likely associated with farmers depending on livestock (β = 0.49, </w:t>
      </w:r>
      <w:r w:rsidR="003E2048" w:rsidRPr="00587A1F">
        <w:rPr>
          <w:rFonts w:cs="Arial"/>
          <w:i/>
        </w:rPr>
        <w:t xml:space="preserve">P = </w:t>
      </w:r>
      <w:r w:rsidR="003E2048" w:rsidRPr="00587A1F">
        <w:rPr>
          <w:rFonts w:cs="Arial"/>
        </w:rPr>
        <w:t>.01). Adopting these farming practices such as increasing the production area, use of tractor services, mixed cropping and use of inorganic fertilizers are linked to the ability of the farmer to acquire extra income from wage earnings, pension remittance or liquidating farm produce and products.</w:t>
      </w:r>
      <w:r w:rsidR="00944585" w:rsidRPr="00587A1F">
        <w:rPr>
          <w:rFonts w:cs="Arial"/>
        </w:rPr>
        <w:t xml:space="preserve"> These include the sale of agricultural products </w:t>
      </w:r>
      <w:r w:rsidR="00CB6B81" w:rsidRPr="00587A1F">
        <w:rPr>
          <w:rFonts w:cs="Arial"/>
        </w:rPr>
        <w:t>such as</w:t>
      </w:r>
      <w:r w:rsidR="00944585" w:rsidRPr="00587A1F">
        <w:rPr>
          <w:rFonts w:cs="Arial"/>
        </w:rPr>
        <w:t xml:space="preserve"> crop produce, livestock products such as milk, eggs, wool, hide and skin among other products contributes significantly to household income.</w:t>
      </w:r>
      <w:r w:rsidR="003E2048" w:rsidRPr="00587A1F">
        <w:rPr>
          <w:rFonts w:cs="Arial"/>
        </w:rPr>
        <w:t xml:space="preserve"> Furthermore, participating in small scale petty trade and sell of agricultural products in the informal markets, enables farmers to diversity their income streams enabling them to cope better with livelihood shocks </w:t>
      </w:r>
      <w:r w:rsidR="003E2048" w:rsidRPr="00587A1F">
        <w:rPr>
          <w:rFonts w:cs="Arial"/>
        </w:rPr>
        <w:fldChar w:fldCharType="begin"/>
      </w:r>
      <w:r w:rsidR="003E2048" w:rsidRPr="00587A1F">
        <w:rPr>
          <w:rFonts w:cs="Arial"/>
        </w:rPr>
        <w:instrText>ADDIN ZOTERO_ITEM CSL_CITATION {"citationID":"IPGXp03R","properties":{"formattedCitation":"(Wang et al., 2024)","plainCitation":"(Wang et al., 2024)","noteIndex":0},"citationItems":[{"id":2713,"uris":["http://zotero.org/users/5110088/items/DGLVQJ9S"],"itemData":{"id":2713,"type":"article-journal","abstract":"CONTEXT\nDiversification is an important strategy used by millions of small-scale food producers globally to improve yields, farm profitability, and food security. Diversification can also enable small-scale producers to cope better with livelihood shocks. However, it is not always clear through which pathways diversification practices can stabilize livelihoods and food security in small-scale production systems, especially in the context of the recent COVID-19 pandemic.\nOBJECTIVE\nIn this study we examined whether and how diversification practices stabilized income and food availability in small-scale food production systems during the COVID-19 pandemic. The diversification practices explored in this study included fish polyculture and integrated aquaculture-agriculture (IAA), and their combination. We compared small-scale systems employing different combinations of these diversification strategies, with systems that did not contain them.\nMETHODS\nWe analyzed 300 surveys of small-scale aquaculture producers in Myanmar. Structural equation modeling was applied to examine the multivariate relationships between the adoption of diversification practices among the small-scale producers, and whether and how the adoption stabilized their livelihoods during the COVID-19 pandemic in Myanmar.\nRESULTS AND CONCLUSIONS\nWe find that the integration of diversification practices in different small-scale aquaculture-agriculture (SSAA) production systems had generally positive effects for the stabilization of income, food availability or both during the COVID-19 pandemic. The novelty of the study is the unraveling of the differentiated pathways between production models that enabled these stabilization processes emerge. We find major divergences in the stabilization potential between polyculture and IAA, both in terms of the magnitudes of the stabilization effects and the pathways. Polyculture generally offered more significant stabilizing effects than IAA. Surprisingly the highest and more significant positive effects for the stabilization of food availability came through the purchase of food items from extra fish/crop income, rather than their increased self-consumption.\nSIGNIFICANCE\nOverall, the SSAA production systems combining different diversification practices could form proactive strategies to help small-scale food producers cope with livelihood shocks.","container-title":"Agricultural Systems","DOI":"10.1016/j.agsy.2024.103935","ISSN":"0308-521X","journalAbbreviation":"Agricultural Systems","page":"103935","source":"ScienceDirect","title":"Diversification strategies have a stabilizing effect for income and food availability during livelihood shocks: Evidence from small-scale aquaculture-agriculture systems in Myanmar during the COVID-19 pandemic","title-short":"Diversification strategies have a stabilizing effect for income and food availability during livelihood shocks","volume":"217","author":[{"family":"Wang","given":"Quanli"},{"family":"Rossignoli","given":"Cristiano M."},{"family":"Dompreh","given":"Eric Brako"},{"family":"Su","given":"Jie"},{"family":"Griffiths","given":"Don"},{"family":"Htoo","given":"Khaing Kyaw"},{"family":"Nway","given":"Hsu Myat"},{"family":"Akester","given":"Michael"},{"family":"Gasparatos","given":"Alexandros"}],"issued":{"date-parts":[["2024",5,1]]}}}],"schema":"https://github.com/citation-style-language/schema/raw/master/csl-citation.json"}</w:instrText>
      </w:r>
      <w:r w:rsidR="003E2048" w:rsidRPr="00587A1F">
        <w:rPr>
          <w:rFonts w:cs="Arial"/>
        </w:rPr>
        <w:fldChar w:fldCharType="separate"/>
      </w:r>
      <w:r w:rsidR="003E2048" w:rsidRPr="00587A1F">
        <w:rPr>
          <w:rFonts w:cs="Arial"/>
        </w:rPr>
        <w:t>(Wang et al., 2024)</w:t>
      </w:r>
      <w:r w:rsidR="003E2048" w:rsidRPr="00587A1F">
        <w:rPr>
          <w:rFonts w:cs="Arial"/>
        </w:rPr>
        <w:fldChar w:fldCharType="end"/>
      </w:r>
      <w:r w:rsidR="003E2048" w:rsidRPr="00587A1F">
        <w:rPr>
          <w:rFonts w:cs="Arial"/>
        </w:rPr>
        <w:t xml:space="preserve"> as well as do critical farm operations. Diversification through the adoption of mixed cropping is an ideal climate smart agricultural strategy for enhancing agricultural growth and resilience </w:t>
      </w:r>
      <w:r w:rsidR="003E2048" w:rsidRPr="00587A1F">
        <w:rPr>
          <w:rFonts w:cs="Arial"/>
        </w:rPr>
        <w:fldChar w:fldCharType="begin"/>
      </w:r>
      <w:r w:rsidR="003E2048" w:rsidRPr="00587A1F">
        <w:rPr>
          <w:rFonts w:cs="Arial"/>
        </w:rPr>
        <w:instrText>ADDIN ZOTERO_ITEM CSL_CITATION {"citationID":"QfZpOk9Q","properties":{"formattedCitation":"(Mzyece &amp; Ng\\uc0\\u8217{}ombe, 2021)","plainCitation":"(Mzyece &amp; Ng’ombe, 2021)","noteIndex":0},"citationItems":[{"id":2717,"uris":["http://zotero.org/users/5110088/items/U2HRE7LD"],"itemData":{"id":2717,"type":"article-journal","abstract":"Crop diversification has been shown to help mitigate climate change effects for farmers. While previous research shows that crop diversification may increase or decrease technical efficiency in different regions, research on whether crop diversification involves a tradeoff between technical efficiency and income variability is limited. Using agricultural production data from Northern Ghana, this study uses the stochastic input distance function to examine the effects of crop diversification on technical efficiency. The study further explores effects of crop diversification on income variability using an ordinary least square regression to understand the nexus between technical efficiency and income variability in crop diversification. The results show evidence against a ‘tradeoff’ between technical efficiency and income stability for farmers in Northern Ghana. We find that crop diversification significantly improves efficiency and reduces income variability in Northern Ghana, so farmers do not have to give up efficiency for income stability or vice versa. This suggests that crop diversification could be an ideal Climate Smart Agricultural (CSA) strategy for promoting agricultural growth and resilience in Northern Ghana. While our data has a maximum of three crops, which could limit generalization of results to farmers who grow more than three crops, our results make a novel contribution to the literature on crop diversification.","container-title":"Journal of Agriculture and Food Research","DOI":"10.1016/j.jafr.2021.100162","ISSN":"2666-1543","journalAbbreviation":"Journal of Agriculture and Food Research","page":"100162","source":"ScienceDirect","title":"Crop diversification improves technical efficiency and reduces income variability in Northern Ghana","volume":"5","author":[{"family":"Mzyece","given":"Agness"},{"family":"Ng'ombe","given":"John N."}],"issued":{"date-parts":[["2021",9,1]]}}}],"schema":"https://github.com/citation-style-language/schema/raw/master/csl-citation.json"}</w:instrText>
      </w:r>
      <w:r w:rsidR="003E2048" w:rsidRPr="00587A1F">
        <w:rPr>
          <w:rFonts w:cs="Arial"/>
        </w:rPr>
        <w:fldChar w:fldCharType="separate"/>
      </w:r>
      <w:r w:rsidR="003E2048" w:rsidRPr="00587A1F">
        <w:rPr>
          <w:rFonts w:cs="Arial"/>
        </w:rPr>
        <w:t>(Mzyece &amp; Ng’ombe, 2021)</w:t>
      </w:r>
      <w:r w:rsidR="003E2048" w:rsidRPr="00587A1F">
        <w:rPr>
          <w:rFonts w:cs="Arial"/>
        </w:rPr>
        <w:fldChar w:fldCharType="end"/>
      </w:r>
      <w:r w:rsidR="003E2048" w:rsidRPr="00587A1F">
        <w:rPr>
          <w:rFonts w:cs="Arial"/>
        </w:rPr>
        <w:t>. These diversified livelihood options</w:t>
      </w:r>
      <w:r w:rsidR="00D001AA" w:rsidRPr="00587A1F">
        <w:rPr>
          <w:rFonts w:cs="Arial"/>
        </w:rPr>
        <w:t xml:space="preserve"> wa</w:t>
      </w:r>
      <w:r w:rsidR="006E1E06" w:rsidRPr="00587A1F">
        <w:rPr>
          <w:rFonts w:cs="Arial"/>
        </w:rPr>
        <w:t xml:space="preserve">s attributed to </w:t>
      </w:r>
      <w:r w:rsidR="003E2048" w:rsidRPr="00587A1F">
        <w:rPr>
          <w:rFonts w:cs="Arial"/>
        </w:rPr>
        <w:t xml:space="preserve">exposure of the farmer to information, knowledge, and education </w:t>
      </w:r>
      <w:r w:rsidR="003E2048" w:rsidRPr="00587A1F">
        <w:rPr>
          <w:rFonts w:cs="Arial"/>
        </w:rPr>
        <w:fldChar w:fldCharType="begin"/>
      </w:r>
      <w:r w:rsidR="003E2048" w:rsidRPr="00587A1F">
        <w:rPr>
          <w:rFonts w:cs="Arial"/>
        </w:rPr>
        <w:instrText>ADDIN ZOTERO_ITEM CSL_CITATION {"citationID":"OnQG1ypv","properties":{"formattedCitation":"(Mohamed Shaffril et al., 2024)","plainCitation":"(Mohamed Shaffril et al., 2024)","noteIndex":0},"citationItems":[{"id":2715,"uris":["http://zotero.org/users/5110088/items/7369B2BH"],"itemData":{"id":2715,"type":"article-journal","abstract":"The primary objective of this study is to systematically review the literature on the diversification of agriculture practice as one of the many ways farmers in low-income countries can respond and adapt to the worsening impacts of climate change. To ascertain the rigor in its methodology, this systematic literature review (SLR) adhered to guidelines outlined in RepOrting standards for Systematic Evidence Syntheses (ROSES); the research question was formulated based on the mnemonics of Population, Interest, and Context (PICo), the inclusion and exclusion criteria were based on timeline publication, document type, language, low-income countries and focused on reviewing empirical evidence studies; the quality was appraised based on Mixed Method Appraisal Tools (MMAT), while data extraction and analyses were executed using thematic analysis. The analytical outcomes yielded three main themes. First is the theme related to crops and varieties-related strategies, which consist of four sub-themes: early maturing crops, use of the drought-tolerant variety, abandoning crops, and introduction of new crop/crop rotation/crop diversity/mixed crop. The second theme is soil and water conservation techniques, which later produced another six sub-themes, namely the use of organic/inorganic fertilizer, water harvesting, irrigation and drainage, tree planting and agroforestry, terracing/contour farming to prevent soil erosion, mulching/stone barriers and agriculture mechanisation related activities. The last theme is planting-related strategies, which consist of three sub-themes: rescheduling the planting calendar, increasing pesticide/herbicide/integrated pest management, and selecting and expanding new areas. Referring to this SLR, there is a pressing need to facilitate farmers facing inadequate resources to adapt effectively to environmental and other change forms. Upon comprehending the present adaptation practices used by farmers, interested parties may offer ideas to strategize effective adaptation plans tailored to farmers’ needs, abilities, and interests across low-income countries.","container-title":"Climate Services","DOI":"10.1016/j.cliser.2024.100508","ISSN":"2405-8807","journalAbbreviation":"Climate Services","page":"100508","source":"ScienceDirect","title":"Diversification of agriculture practices as a response to climate change impacts among farmers in low-income countries: A systematic literature review","title-short":"Diversification of agriculture practices as a response to climate change impacts among farmers in low-income countries","volume":"35","author":[{"family":"Mohamed Shaffril","given":"Hayrol Azril"},{"family":"Abu Samah","given":"Asnarulkhadi"},{"family":"Samsuddin","given":"Samsul Farid"},{"family":"Ahmad","given":"Nobaya"},{"family":"Tangang","given":"Fredoline"},{"family":"Ahmad Sidique","given":"Shaufique Fahmi"},{"family":"Abdul Rahman","given":"Haliza"},{"family":"Burhan","given":"Nik Ahmad Sufian"},{"family":"Arif Shah","given":"Jasmin"},{"family":"Amiera Khalid","given":"Nurul"}],"issued":{"date-parts":[["2024",8,1]]}}}],"schema":"https://github.com/citation-style-language/schema/raw/master/csl-citation.json"}</w:instrText>
      </w:r>
      <w:r w:rsidR="003E2048" w:rsidRPr="00587A1F">
        <w:rPr>
          <w:rFonts w:cs="Arial"/>
        </w:rPr>
        <w:fldChar w:fldCharType="separate"/>
      </w:r>
      <w:r w:rsidR="003E2048" w:rsidRPr="00587A1F">
        <w:rPr>
          <w:rFonts w:cs="Arial"/>
        </w:rPr>
        <w:t>(Mohamed Shaffril et al., 2024)</w:t>
      </w:r>
      <w:r w:rsidR="003E2048" w:rsidRPr="00587A1F">
        <w:rPr>
          <w:rFonts w:cs="Arial"/>
        </w:rPr>
        <w:fldChar w:fldCharType="end"/>
      </w:r>
      <w:r w:rsidR="003E2048" w:rsidRPr="00587A1F">
        <w:rPr>
          <w:rFonts w:cs="Arial"/>
        </w:rPr>
        <w:t xml:space="preserve"> thus positively impacting farm productivity, income, food security, and ecosystem services </w:t>
      </w:r>
      <w:r w:rsidR="003E2048" w:rsidRPr="00587A1F">
        <w:rPr>
          <w:rFonts w:cs="Arial"/>
        </w:rPr>
        <w:fldChar w:fldCharType="begin"/>
      </w:r>
      <w:r w:rsidR="003E2048" w:rsidRPr="00587A1F">
        <w:rPr>
          <w:rFonts w:cs="Arial"/>
        </w:rPr>
        <w:instrText>ADDIN ZOTERO_ITEM CSL_CITATION {"citationID":"2yys7Xr1","properties":{"formattedCitation":"(Wang et al., 2024)","plainCitation":"(Wang et al., 2024)","noteIndex":0},"citationItems":[{"id":2713,"uris":["http://zotero.org/users/5110088/items/DGLVQJ9S"],"itemData":{"id":2713,"type":"article-journal","abstract":"CONTEXT\nDiversification is an important strategy used by millions of small-scale food producers globally to improve yields, farm profitability, and food security. Diversification can also enable small-scale producers to cope better with livelihood shocks. However, it is not always clear through which pathways diversification practices can stabilize livelihoods and food security in small-scale production systems, especially in the context of the recent COVID-19 pandemic.\nOBJECTIVE\nIn this study we examined whether and how diversification practices stabilized income and food availability in small-scale food production systems during the COVID-19 pandemic. The diversification practices explored in this study included fish polyculture and integrated aquaculture-agriculture (IAA), and their combination. We compared small-scale systems employing different combinations of these diversification strategies, with systems that did not contain them.\nMETHODS\nWe analyzed 300 surveys of small-scale aquaculture producers in Myanmar. Structural equation modeling was applied to examine the multivariate relationships between the adoption of diversification practices among the small-scale producers, and whether and how the adoption stabilized their livelihoods during the COVID-19 pandemic in Myanmar.\nRESULTS AND CONCLUSIONS\nWe find that the integration of diversification practices in different small-scale aquaculture-agriculture (SSAA) production systems had generally positive effects for the stabilization of income, food availability or both during the COVID-19 pandemic. The novelty of the study is the unraveling of the differentiated pathways between production models that enabled these stabilization processes emerge. We find major divergences in the stabilization potential between polyculture and IAA, both in terms of the magnitudes of the stabilization effects and the pathways. Polyculture generally offered more significant stabilizing effects than IAA. Surprisingly the highest and more significant positive effects for the stabilization of food availability came through the purchase of food items from extra fish/crop income, rather than their increased self-consumption.\nSIGNIFICANCE\nOverall, the SSAA production systems combining different diversification practices could form proactive strategies to help small-scale food producers cope with livelihood shocks.","container-title":"Agricultural Systems","DOI":"10.1016/j.agsy.2024.103935","ISSN":"0308-521X","journalAbbreviation":"Agricultural Systems","page":"103935","source":"ScienceDirect","title":"Diversification strategies have a stabilizing effect for income and food availability during livelihood shocks: Evidence from small-scale aquaculture-agriculture systems in Myanmar during the COVID-19 pandemic","title-short":"Diversification strategies have a stabilizing effect for income and food availability during livelihood shocks","volume":"217","author":[{"family":"Wang","given":"Quanli"},{"family":"Rossignoli","given":"Cristiano M."},{"family":"Dompreh","given":"Eric Brako"},{"family":"Su","given":"Jie"},{"family":"Griffiths","given":"Don"},{"family":"Htoo","given":"Khaing Kyaw"},{"family":"Nway","given":"Hsu Myat"},{"family":"Akester","given":"Michael"},{"family":"Gasparatos","given":"Alexandros"}],"issued":{"date-parts":[["2024",5,1]]}}}],"schema":"https://github.com/citation-style-language/schema/raw/master/csl-citation.json"}</w:instrText>
      </w:r>
      <w:r w:rsidR="003E2048" w:rsidRPr="00587A1F">
        <w:rPr>
          <w:rFonts w:cs="Arial"/>
        </w:rPr>
        <w:fldChar w:fldCharType="separate"/>
      </w:r>
      <w:r w:rsidR="003E2048" w:rsidRPr="00587A1F">
        <w:rPr>
          <w:rFonts w:cs="Arial"/>
        </w:rPr>
        <w:t>(Wang et al., 2024)</w:t>
      </w:r>
      <w:r w:rsidR="003E2048" w:rsidRPr="00587A1F">
        <w:rPr>
          <w:rFonts w:cs="Arial"/>
        </w:rPr>
        <w:fldChar w:fldCharType="end"/>
      </w:r>
      <w:r w:rsidR="003E2048" w:rsidRPr="00587A1F">
        <w:rPr>
          <w:rFonts w:cs="Arial"/>
        </w:rPr>
        <w:t>.</w:t>
      </w:r>
    </w:p>
    <w:p w14:paraId="1B40107E" w14:textId="77777777" w:rsidR="00BC5D4B" w:rsidRDefault="00BC5D4B" w:rsidP="003E2048">
      <w:pPr>
        <w:rPr>
          <w:rFonts w:cs="Arial"/>
        </w:rPr>
      </w:pPr>
    </w:p>
    <w:p w14:paraId="6A9E2466" w14:textId="77777777" w:rsidR="00BC5D4B" w:rsidRDefault="00BC5D4B" w:rsidP="003E2048">
      <w:pPr>
        <w:rPr>
          <w:rFonts w:cs="Arial"/>
        </w:rPr>
      </w:pPr>
    </w:p>
    <w:p w14:paraId="5E89CA9D" w14:textId="77777777" w:rsidR="00BC5D4B" w:rsidRDefault="00BC5D4B" w:rsidP="003E2048">
      <w:pPr>
        <w:rPr>
          <w:rFonts w:cs="Arial"/>
        </w:rPr>
      </w:pPr>
    </w:p>
    <w:p w14:paraId="3CB52B04" w14:textId="77777777" w:rsidR="00BC5D4B" w:rsidRDefault="00BC5D4B" w:rsidP="003E2048">
      <w:pPr>
        <w:rPr>
          <w:rFonts w:cs="Arial"/>
        </w:rPr>
      </w:pPr>
    </w:p>
    <w:p w14:paraId="4D1CB8B4" w14:textId="77777777" w:rsidR="00BC5D4B" w:rsidRDefault="00BC5D4B" w:rsidP="003E2048">
      <w:pPr>
        <w:rPr>
          <w:rFonts w:cs="Arial"/>
        </w:rPr>
      </w:pPr>
    </w:p>
    <w:p w14:paraId="3E6DFA8D" w14:textId="77777777" w:rsidR="00BC5D4B" w:rsidRDefault="00BC5D4B" w:rsidP="003E2048">
      <w:pPr>
        <w:rPr>
          <w:rFonts w:cs="Arial"/>
        </w:rPr>
      </w:pPr>
    </w:p>
    <w:p w14:paraId="73FAA991" w14:textId="77777777" w:rsidR="00BC5D4B" w:rsidRDefault="00BC5D4B" w:rsidP="003E2048">
      <w:pPr>
        <w:rPr>
          <w:rFonts w:cs="Arial"/>
        </w:rPr>
      </w:pPr>
    </w:p>
    <w:p w14:paraId="4D52FBB0" w14:textId="77777777" w:rsidR="00BC5D4B" w:rsidRDefault="00BC5D4B" w:rsidP="003E2048">
      <w:pPr>
        <w:rPr>
          <w:rFonts w:cs="Arial"/>
        </w:rPr>
      </w:pPr>
    </w:p>
    <w:p w14:paraId="6C2140DA" w14:textId="3E5B5675" w:rsidR="00BC5D4B" w:rsidRDefault="00BC5D4B" w:rsidP="003E2048">
      <w:pPr>
        <w:rPr>
          <w:rFonts w:cs="Arial"/>
        </w:rPr>
      </w:pPr>
    </w:p>
    <w:p w14:paraId="51109FF8" w14:textId="05D5C24B" w:rsidR="00035F56" w:rsidRDefault="00035F56" w:rsidP="003E2048">
      <w:pPr>
        <w:rPr>
          <w:rFonts w:cs="Arial"/>
        </w:rPr>
      </w:pPr>
    </w:p>
    <w:p w14:paraId="748B5883" w14:textId="20CF8C4F" w:rsidR="00035F56" w:rsidRDefault="00035F56" w:rsidP="003E2048">
      <w:pPr>
        <w:rPr>
          <w:rFonts w:cs="Arial"/>
        </w:rPr>
      </w:pPr>
    </w:p>
    <w:p w14:paraId="554669C5" w14:textId="77777777" w:rsidR="00035F56" w:rsidRDefault="00035F56" w:rsidP="003E2048">
      <w:pPr>
        <w:rPr>
          <w:rFonts w:cs="Arial"/>
        </w:rPr>
      </w:pPr>
      <w:bookmarkStart w:id="26" w:name="_GoBack"/>
      <w:bookmarkEnd w:id="26"/>
    </w:p>
    <w:p w14:paraId="572FB9CF" w14:textId="77777777" w:rsidR="00BC5D4B" w:rsidRDefault="00BC5D4B" w:rsidP="003E2048">
      <w:pPr>
        <w:rPr>
          <w:rFonts w:cs="Arial"/>
        </w:rPr>
      </w:pPr>
    </w:p>
    <w:p w14:paraId="50A75888" w14:textId="77777777" w:rsidR="00BC5D4B" w:rsidRPr="00587A1F" w:rsidRDefault="00BC5D4B" w:rsidP="003E2048">
      <w:pPr>
        <w:rPr>
          <w:rFonts w:cs="Arial"/>
        </w:rPr>
      </w:pPr>
    </w:p>
    <w:p w14:paraId="4C7B638E" w14:textId="4E647EB4" w:rsidR="006842AD" w:rsidRPr="00587A1F" w:rsidRDefault="006842AD" w:rsidP="006842AD">
      <w:pPr>
        <w:pStyle w:val="Caption"/>
        <w:keepNext/>
        <w:rPr>
          <w:rFonts w:cs="Arial"/>
          <w:b/>
          <w:color w:val="auto"/>
          <w:sz w:val="20"/>
          <w:szCs w:val="20"/>
        </w:rPr>
      </w:pPr>
      <w:r w:rsidRPr="00587A1F">
        <w:rPr>
          <w:rFonts w:cs="Arial"/>
          <w:b/>
          <w:color w:val="auto"/>
          <w:sz w:val="20"/>
          <w:szCs w:val="20"/>
        </w:rPr>
        <w:lastRenderedPageBreak/>
        <w:t xml:space="preserve">Table </w:t>
      </w:r>
      <w:r w:rsidRPr="00587A1F">
        <w:rPr>
          <w:rFonts w:cs="Arial"/>
          <w:b/>
          <w:color w:val="auto"/>
          <w:sz w:val="20"/>
          <w:szCs w:val="20"/>
        </w:rPr>
        <w:fldChar w:fldCharType="begin"/>
      </w:r>
      <w:r w:rsidRPr="00587A1F">
        <w:rPr>
          <w:rFonts w:cs="Arial"/>
          <w:b/>
          <w:color w:val="auto"/>
          <w:sz w:val="20"/>
          <w:szCs w:val="20"/>
        </w:rPr>
        <w:instrText xml:space="preserve"> SEQ Table \* ARABIC </w:instrText>
      </w:r>
      <w:r w:rsidRPr="00587A1F">
        <w:rPr>
          <w:rFonts w:cs="Arial"/>
          <w:b/>
          <w:color w:val="auto"/>
          <w:sz w:val="20"/>
          <w:szCs w:val="20"/>
        </w:rPr>
        <w:fldChar w:fldCharType="separate"/>
      </w:r>
      <w:r w:rsidR="00B9577A" w:rsidRPr="00587A1F">
        <w:rPr>
          <w:rFonts w:cs="Arial"/>
          <w:b/>
          <w:noProof/>
          <w:color w:val="auto"/>
          <w:sz w:val="20"/>
          <w:szCs w:val="20"/>
        </w:rPr>
        <w:t>2</w:t>
      </w:r>
      <w:r w:rsidRPr="00587A1F">
        <w:rPr>
          <w:rFonts w:cs="Arial"/>
          <w:b/>
          <w:color w:val="auto"/>
          <w:sz w:val="20"/>
          <w:szCs w:val="20"/>
        </w:rPr>
        <w:fldChar w:fldCharType="end"/>
      </w:r>
      <w:r w:rsidRPr="00587A1F">
        <w:rPr>
          <w:rFonts w:cs="Arial"/>
          <w:b/>
          <w:color w:val="auto"/>
          <w:sz w:val="20"/>
          <w:szCs w:val="20"/>
        </w:rPr>
        <w:t xml:space="preserve">. </w:t>
      </w:r>
      <w:r w:rsidR="00CA066F" w:rsidRPr="00587A1F">
        <w:rPr>
          <w:rFonts w:cs="Arial"/>
          <w:b/>
          <w:color w:val="auto"/>
          <w:sz w:val="20"/>
          <w:szCs w:val="20"/>
        </w:rPr>
        <w:t>Estimated coefficients and p-values from logistic regression analysis between farming practices adopted and socioeconomic factors of agro-pastoralist farmers in the dryland areas of West Pokot County</w:t>
      </w:r>
    </w:p>
    <w:tbl>
      <w:tblPr>
        <w:tblW w:w="5000" w:type="pct"/>
        <w:tblLook w:val="04A0" w:firstRow="1" w:lastRow="0" w:firstColumn="1" w:lastColumn="0" w:noHBand="0" w:noVBand="1"/>
      </w:tblPr>
      <w:tblGrid>
        <w:gridCol w:w="2579"/>
        <w:gridCol w:w="1036"/>
        <w:gridCol w:w="1089"/>
        <w:gridCol w:w="856"/>
        <w:gridCol w:w="856"/>
        <w:gridCol w:w="856"/>
        <w:gridCol w:w="877"/>
        <w:gridCol w:w="877"/>
      </w:tblGrid>
      <w:tr w:rsidR="009A7962" w:rsidRPr="009A7962" w14:paraId="53435FFC" w14:textId="77777777" w:rsidTr="00587A1F">
        <w:trPr>
          <w:trHeight w:val="720"/>
        </w:trPr>
        <w:tc>
          <w:tcPr>
            <w:tcW w:w="1428" w:type="pct"/>
            <w:tcBorders>
              <w:top w:val="single" w:sz="4" w:space="0" w:color="auto"/>
              <w:left w:val="nil"/>
              <w:bottom w:val="single" w:sz="4" w:space="0" w:color="auto"/>
              <w:right w:val="nil"/>
            </w:tcBorders>
            <w:vAlign w:val="center"/>
            <w:hideMark/>
          </w:tcPr>
          <w:p w14:paraId="2C8C7F9B" w14:textId="77777777" w:rsidR="009A7962" w:rsidRPr="009A7962" w:rsidRDefault="009A7962" w:rsidP="009A7962">
            <w:pPr>
              <w:suppressAutoHyphens w:val="0"/>
              <w:spacing w:before="0" w:after="0"/>
              <w:jc w:val="left"/>
              <w:rPr>
                <w:rFonts w:eastAsia="Times New Roman" w:cs="Arial"/>
                <w:b/>
                <w:bCs/>
                <w:color w:val="000000"/>
                <w:sz w:val="18"/>
                <w:szCs w:val="18"/>
                <w:lang w:val="en-US"/>
              </w:rPr>
            </w:pPr>
            <w:r w:rsidRPr="009A7962">
              <w:rPr>
                <w:rFonts w:eastAsia="Times New Roman" w:cs="Arial"/>
                <w:b/>
                <w:bCs/>
                <w:color w:val="000000"/>
                <w:sz w:val="18"/>
                <w:szCs w:val="18"/>
              </w:rPr>
              <w:t>Variable</w:t>
            </w:r>
          </w:p>
        </w:tc>
        <w:tc>
          <w:tcPr>
            <w:tcW w:w="574" w:type="pct"/>
            <w:tcBorders>
              <w:top w:val="single" w:sz="4" w:space="0" w:color="auto"/>
              <w:left w:val="nil"/>
              <w:bottom w:val="single" w:sz="4" w:space="0" w:color="auto"/>
              <w:right w:val="nil"/>
            </w:tcBorders>
            <w:vAlign w:val="center"/>
            <w:hideMark/>
          </w:tcPr>
          <w:p w14:paraId="250836B3" w14:textId="77777777" w:rsidR="009A7962" w:rsidRPr="009A7962" w:rsidRDefault="009A7962" w:rsidP="009A7962">
            <w:pPr>
              <w:suppressAutoHyphens w:val="0"/>
              <w:spacing w:before="0" w:after="0"/>
              <w:jc w:val="left"/>
              <w:rPr>
                <w:rFonts w:eastAsia="Times New Roman" w:cs="Arial"/>
                <w:b/>
                <w:bCs/>
                <w:color w:val="000000"/>
                <w:sz w:val="18"/>
                <w:szCs w:val="18"/>
                <w:lang w:val="en-US"/>
              </w:rPr>
            </w:pPr>
            <w:r w:rsidRPr="009A7962">
              <w:rPr>
                <w:rFonts w:eastAsia="Times New Roman" w:cs="Arial"/>
                <w:b/>
                <w:bCs/>
                <w:color w:val="000000"/>
                <w:sz w:val="18"/>
                <w:szCs w:val="18"/>
                <w:lang w:val="en-US"/>
              </w:rPr>
              <w:t>Mean/ Percent</w:t>
            </w:r>
          </w:p>
        </w:tc>
        <w:tc>
          <w:tcPr>
            <w:tcW w:w="603" w:type="pct"/>
            <w:tcBorders>
              <w:top w:val="single" w:sz="4" w:space="0" w:color="auto"/>
              <w:left w:val="nil"/>
              <w:bottom w:val="single" w:sz="4" w:space="0" w:color="auto"/>
              <w:right w:val="nil"/>
            </w:tcBorders>
            <w:vAlign w:val="center"/>
            <w:hideMark/>
          </w:tcPr>
          <w:p w14:paraId="47273F41" w14:textId="7F5B5936" w:rsidR="009A7962" w:rsidRPr="009A7962" w:rsidRDefault="009A7962" w:rsidP="00587A1F">
            <w:pPr>
              <w:suppressAutoHyphens w:val="0"/>
              <w:spacing w:before="0" w:after="0"/>
              <w:jc w:val="left"/>
              <w:rPr>
                <w:rFonts w:eastAsia="Times New Roman" w:cs="Arial"/>
                <w:b/>
                <w:bCs/>
                <w:color w:val="000000"/>
                <w:sz w:val="18"/>
                <w:szCs w:val="18"/>
                <w:lang w:val="en-US"/>
              </w:rPr>
            </w:pPr>
            <w:r w:rsidRPr="009A7962">
              <w:rPr>
                <w:rFonts w:eastAsia="Times New Roman" w:cs="Arial"/>
                <w:b/>
                <w:bCs/>
                <w:color w:val="000000"/>
                <w:sz w:val="18"/>
                <w:szCs w:val="18"/>
              </w:rPr>
              <w:t xml:space="preserve">Acreage </w:t>
            </w:r>
            <w:r w:rsidRPr="009A7962">
              <w:rPr>
                <w:rFonts w:eastAsia="Times New Roman" w:cs="Arial"/>
                <w:bCs/>
                <w:color w:val="000000"/>
                <w:sz w:val="18"/>
                <w:szCs w:val="18"/>
              </w:rPr>
              <w:t>(</w:t>
            </w:r>
            <w:r w:rsidR="00587A1F" w:rsidRPr="00587A1F">
              <w:rPr>
                <w:rFonts w:eastAsia="Times New Roman" w:cs="Arial"/>
                <w:bCs/>
                <w:color w:val="000000"/>
                <w:sz w:val="18"/>
                <w:szCs w:val="18"/>
              </w:rPr>
              <w:t>Ref = small</w:t>
            </w:r>
            <w:r w:rsidRPr="009A7962">
              <w:rPr>
                <w:rFonts w:eastAsia="Times New Roman" w:cs="Arial"/>
                <w:bCs/>
                <w:color w:val="000000"/>
                <w:sz w:val="18"/>
                <w:szCs w:val="18"/>
              </w:rPr>
              <w:t>)</w:t>
            </w:r>
          </w:p>
        </w:tc>
        <w:tc>
          <w:tcPr>
            <w:tcW w:w="474" w:type="pct"/>
            <w:tcBorders>
              <w:top w:val="single" w:sz="4" w:space="0" w:color="auto"/>
              <w:left w:val="nil"/>
              <w:bottom w:val="single" w:sz="4" w:space="0" w:color="auto"/>
              <w:right w:val="nil"/>
            </w:tcBorders>
            <w:vAlign w:val="center"/>
            <w:hideMark/>
          </w:tcPr>
          <w:p w14:paraId="47B26C5E" w14:textId="77777777" w:rsidR="009A7962" w:rsidRPr="009A7962" w:rsidRDefault="009A7962" w:rsidP="009A7962">
            <w:pPr>
              <w:suppressAutoHyphens w:val="0"/>
              <w:spacing w:before="0" w:after="0"/>
              <w:jc w:val="left"/>
              <w:rPr>
                <w:rFonts w:eastAsia="Times New Roman" w:cs="Arial"/>
                <w:b/>
                <w:bCs/>
                <w:color w:val="000000"/>
                <w:sz w:val="18"/>
                <w:szCs w:val="18"/>
                <w:lang w:val="en-US"/>
              </w:rPr>
            </w:pPr>
            <w:r w:rsidRPr="009A7962">
              <w:rPr>
                <w:rFonts w:eastAsia="Times New Roman" w:cs="Arial"/>
                <w:b/>
                <w:bCs/>
                <w:color w:val="000000"/>
                <w:sz w:val="18"/>
                <w:szCs w:val="18"/>
              </w:rPr>
              <w:t>Hoe</w:t>
            </w:r>
          </w:p>
        </w:tc>
        <w:tc>
          <w:tcPr>
            <w:tcW w:w="474" w:type="pct"/>
            <w:tcBorders>
              <w:top w:val="single" w:sz="4" w:space="0" w:color="auto"/>
              <w:left w:val="nil"/>
              <w:bottom w:val="single" w:sz="4" w:space="0" w:color="auto"/>
              <w:right w:val="nil"/>
            </w:tcBorders>
            <w:vAlign w:val="center"/>
            <w:hideMark/>
          </w:tcPr>
          <w:p w14:paraId="22F41E21" w14:textId="77777777" w:rsidR="009A7962" w:rsidRPr="009A7962" w:rsidRDefault="009A7962" w:rsidP="009A7962">
            <w:pPr>
              <w:suppressAutoHyphens w:val="0"/>
              <w:spacing w:before="0" w:after="0"/>
              <w:jc w:val="left"/>
              <w:rPr>
                <w:rFonts w:eastAsia="Times New Roman" w:cs="Arial"/>
                <w:b/>
                <w:bCs/>
                <w:color w:val="000000"/>
                <w:sz w:val="18"/>
                <w:szCs w:val="18"/>
                <w:lang w:val="en-US"/>
              </w:rPr>
            </w:pPr>
            <w:r w:rsidRPr="009A7962">
              <w:rPr>
                <w:rFonts w:eastAsia="Times New Roman" w:cs="Arial"/>
                <w:b/>
                <w:bCs/>
                <w:color w:val="000000"/>
                <w:sz w:val="18"/>
                <w:szCs w:val="18"/>
              </w:rPr>
              <w:t>Tractor</w:t>
            </w:r>
          </w:p>
        </w:tc>
        <w:tc>
          <w:tcPr>
            <w:tcW w:w="474" w:type="pct"/>
            <w:tcBorders>
              <w:top w:val="single" w:sz="4" w:space="0" w:color="auto"/>
              <w:left w:val="nil"/>
              <w:bottom w:val="single" w:sz="4" w:space="0" w:color="auto"/>
              <w:right w:val="nil"/>
            </w:tcBorders>
            <w:vAlign w:val="center"/>
            <w:hideMark/>
          </w:tcPr>
          <w:p w14:paraId="0A349283" w14:textId="7B202030" w:rsidR="009A7962" w:rsidRPr="009A7962" w:rsidRDefault="009A7962" w:rsidP="009A7962">
            <w:pPr>
              <w:suppressAutoHyphens w:val="0"/>
              <w:spacing w:before="0" w:after="0"/>
              <w:jc w:val="left"/>
              <w:rPr>
                <w:rFonts w:eastAsia="Times New Roman" w:cs="Arial"/>
                <w:b/>
                <w:bCs/>
                <w:color w:val="000000"/>
                <w:sz w:val="18"/>
                <w:szCs w:val="18"/>
                <w:lang w:val="en-US"/>
              </w:rPr>
            </w:pPr>
            <w:r w:rsidRPr="009A7962">
              <w:rPr>
                <w:rFonts w:eastAsia="Times New Roman" w:cs="Arial"/>
                <w:b/>
                <w:bCs/>
                <w:color w:val="000000"/>
                <w:sz w:val="18"/>
                <w:szCs w:val="18"/>
              </w:rPr>
              <w:t>Cropping system</w:t>
            </w:r>
            <w:r w:rsidR="00587A1F" w:rsidRPr="00587A1F">
              <w:rPr>
                <w:rFonts w:eastAsia="Times New Roman" w:cs="Arial"/>
                <w:b/>
                <w:bCs/>
                <w:color w:val="000000"/>
                <w:sz w:val="18"/>
                <w:szCs w:val="18"/>
              </w:rPr>
              <w:t xml:space="preserve"> </w:t>
            </w:r>
            <w:r w:rsidR="00587A1F" w:rsidRPr="009A7962">
              <w:rPr>
                <w:rFonts w:eastAsia="Times New Roman" w:cs="Arial"/>
                <w:bCs/>
                <w:color w:val="000000"/>
                <w:sz w:val="18"/>
                <w:szCs w:val="18"/>
              </w:rPr>
              <w:t>(</w:t>
            </w:r>
            <w:r w:rsidR="00587A1F" w:rsidRPr="00587A1F">
              <w:rPr>
                <w:rFonts w:eastAsia="Times New Roman" w:cs="Arial"/>
                <w:bCs/>
                <w:color w:val="000000"/>
                <w:sz w:val="18"/>
                <w:szCs w:val="18"/>
              </w:rPr>
              <w:t>Ref = Mixed</w:t>
            </w:r>
            <w:r w:rsidR="00587A1F" w:rsidRPr="009A7962">
              <w:rPr>
                <w:rFonts w:eastAsia="Times New Roman" w:cs="Arial"/>
                <w:bCs/>
                <w:color w:val="000000"/>
                <w:sz w:val="18"/>
                <w:szCs w:val="18"/>
              </w:rPr>
              <w:t>)</w:t>
            </w:r>
          </w:p>
        </w:tc>
        <w:tc>
          <w:tcPr>
            <w:tcW w:w="486" w:type="pct"/>
            <w:tcBorders>
              <w:top w:val="single" w:sz="4" w:space="0" w:color="auto"/>
              <w:left w:val="nil"/>
              <w:bottom w:val="single" w:sz="4" w:space="0" w:color="auto"/>
              <w:right w:val="nil"/>
            </w:tcBorders>
            <w:vAlign w:val="center"/>
            <w:hideMark/>
          </w:tcPr>
          <w:p w14:paraId="1DE559C0" w14:textId="77777777" w:rsidR="009A7962" w:rsidRPr="009A7962" w:rsidRDefault="009A7962" w:rsidP="009A7962">
            <w:pPr>
              <w:suppressAutoHyphens w:val="0"/>
              <w:spacing w:before="0" w:after="0"/>
              <w:jc w:val="left"/>
              <w:rPr>
                <w:rFonts w:eastAsia="Times New Roman" w:cs="Arial"/>
                <w:b/>
                <w:bCs/>
                <w:color w:val="000000"/>
                <w:sz w:val="18"/>
                <w:szCs w:val="18"/>
                <w:lang w:val="en-US"/>
              </w:rPr>
            </w:pPr>
            <w:r w:rsidRPr="009A7962">
              <w:rPr>
                <w:rFonts w:eastAsia="Times New Roman" w:cs="Arial"/>
                <w:b/>
                <w:bCs/>
                <w:color w:val="000000"/>
                <w:sz w:val="18"/>
                <w:szCs w:val="18"/>
              </w:rPr>
              <w:t>Inorganic fertilizer</w:t>
            </w:r>
          </w:p>
        </w:tc>
        <w:tc>
          <w:tcPr>
            <w:tcW w:w="486" w:type="pct"/>
            <w:tcBorders>
              <w:top w:val="single" w:sz="4" w:space="0" w:color="auto"/>
              <w:left w:val="nil"/>
              <w:bottom w:val="single" w:sz="4" w:space="0" w:color="auto"/>
              <w:right w:val="nil"/>
            </w:tcBorders>
            <w:vAlign w:val="center"/>
            <w:hideMark/>
          </w:tcPr>
          <w:p w14:paraId="02B0CA09" w14:textId="77777777" w:rsidR="009A7962" w:rsidRPr="009A7962" w:rsidRDefault="009A7962" w:rsidP="009A7962">
            <w:pPr>
              <w:suppressAutoHyphens w:val="0"/>
              <w:spacing w:before="0" w:after="0"/>
              <w:jc w:val="left"/>
              <w:rPr>
                <w:rFonts w:eastAsia="Times New Roman" w:cs="Arial"/>
                <w:b/>
                <w:bCs/>
                <w:color w:val="000000"/>
                <w:sz w:val="18"/>
                <w:szCs w:val="18"/>
                <w:lang w:val="en-US"/>
              </w:rPr>
            </w:pPr>
            <w:r w:rsidRPr="009A7962">
              <w:rPr>
                <w:rFonts w:eastAsia="Times New Roman" w:cs="Arial"/>
                <w:b/>
                <w:bCs/>
                <w:color w:val="000000"/>
                <w:sz w:val="18"/>
                <w:szCs w:val="18"/>
              </w:rPr>
              <w:t>Organic fertilizer</w:t>
            </w:r>
          </w:p>
        </w:tc>
      </w:tr>
      <w:tr w:rsidR="009A7962" w:rsidRPr="009A7962" w14:paraId="299845A8" w14:textId="77777777" w:rsidTr="00587A1F">
        <w:trPr>
          <w:trHeight w:val="300"/>
        </w:trPr>
        <w:tc>
          <w:tcPr>
            <w:tcW w:w="1428" w:type="pct"/>
            <w:tcBorders>
              <w:top w:val="nil"/>
              <w:left w:val="nil"/>
              <w:bottom w:val="nil"/>
              <w:right w:val="nil"/>
            </w:tcBorders>
            <w:vAlign w:val="center"/>
            <w:hideMark/>
          </w:tcPr>
          <w:p w14:paraId="5AC62089" w14:textId="77777777" w:rsidR="009A7962" w:rsidRPr="009A7962" w:rsidRDefault="009A7962" w:rsidP="009A7962">
            <w:pPr>
              <w:suppressAutoHyphens w:val="0"/>
              <w:spacing w:before="0" w:after="0"/>
              <w:rPr>
                <w:rFonts w:eastAsia="Times New Roman" w:cs="Arial"/>
                <w:color w:val="000000"/>
                <w:sz w:val="18"/>
                <w:szCs w:val="18"/>
                <w:lang w:val="en-US"/>
              </w:rPr>
            </w:pPr>
            <w:r w:rsidRPr="009A7962">
              <w:rPr>
                <w:rFonts w:eastAsia="Times New Roman" w:cs="Arial"/>
                <w:color w:val="000000"/>
                <w:sz w:val="18"/>
                <w:szCs w:val="18"/>
                <w:lang w:val="en-US"/>
              </w:rPr>
              <w:t>Size of household (Mean)</w:t>
            </w:r>
          </w:p>
        </w:tc>
        <w:tc>
          <w:tcPr>
            <w:tcW w:w="574" w:type="pct"/>
            <w:tcBorders>
              <w:top w:val="nil"/>
              <w:left w:val="nil"/>
              <w:bottom w:val="nil"/>
              <w:right w:val="nil"/>
            </w:tcBorders>
            <w:vAlign w:val="center"/>
            <w:hideMark/>
          </w:tcPr>
          <w:p w14:paraId="7DDB1E61"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6.8 [5.0, 8.0]</w:t>
            </w:r>
          </w:p>
        </w:tc>
        <w:tc>
          <w:tcPr>
            <w:tcW w:w="603" w:type="pct"/>
            <w:tcBorders>
              <w:top w:val="nil"/>
              <w:left w:val="nil"/>
              <w:bottom w:val="nil"/>
              <w:right w:val="nil"/>
            </w:tcBorders>
            <w:vAlign w:val="center"/>
            <w:hideMark/>
          </w:tcPr>
          <w:p w14:paraId="5A295DAE" w14:textId="77777777" w:rsidR="009A7962" w:rsidRPr="009A7962" w:rsidRDefault="009A7962" w:rsidP="009A7962">
            <w:pPr>
              <w:suppressAutoHyphens w:val="0"/>
              <w:spacing w:before="0" w:after="0"/>
              <w:jc w:val="center"/>
              <w:rPr>
                <w:rFonts w:eastAsia="Times New Roman" w:cs="Arial"/>
                <w:color w:val="000000"/>
                <w:sz w:val="18"/>
                <w:szCs w:val="18"/>
                <w:lang w:val="en-US"/>
              </w:rPr>
            </w:pPr>
            <w:r w:rsidRPr="009A7962">
              <w:rPr>
                <w:rFonts w:eastAsia="Times New Roman" w:cs="Arial"/>
                <w:color w:val="000000"/>
                <w:sz w:val="18"/>
                <w:szCs w:val="18"/>
              </w:rPr>
              <w:t>0.10***</w:t>
            </w:r>
          </w:p>
        </w:tc>
        <w:tc>
          <w:tcPr>
            <w:tcW w:w="474" w:type="pct"/>
            <w:tcBorders>
              <w:top w:val="nil"/>
              <w:left w:val="nil"/>
              <w:bottom w:val="nil"/>
              <w:right w:val="nil"/>
            </w:tcBorders>
            <w:vAlign w:val="center"/>
            <w:hideMark/>
          </w:tcPr>
          <w:p w14:paraId="7FFBD285"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-0.10***</w:t>
            </w:r>
          </w:p>
        </w:tc>
        <w:tc>
          <w:tcPr>
            <w:tcW w:w="474" w:type="pct"/>
            <w:tcBorders>
              <w:top w:val="nil"/>
              <w:left w:val="nil"/>
              <w:bottom w:val="nil"/>
              <w:right w:val="nil"/>
            </w:tcBorders>
            <w:vAlign w:val="center"/>
            <w:hideMark/>
          </w:tcPr>
          <w:p w14:paraId="7AC8313F"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0.07**</w:t>
            </w:r>
          </w:p>
        </w:tc>
        <w:tc>
          <w:tcPr>
            <w:tcW w:w="474" w:type="pct"/>
            <w:tcBorders>
              <w:top w:val="nil"/>
              <w:left w:val="nil"/>
              <w:bottom w:val="nil"/>
              <w:right w:val="nil"/>
            </w:tcBorders>
            <w:vAlign w:val="center"/>
            <w:hideMark/>
          </w:tcPr>
          <w:p w14:paraId="6D1644AE"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-0.06*</w:t>
            </w:r>
          </w:p>
        </w:tc>
        <w:tc>
          <w:tcPr>
            <w:tcW w:w="486" w:type="pct"/>
            <w:tcBorders>
              <w:top w:val="nil"/>
              <w:left w:val="nil"/>
              <w:bottom w:val="nil"/>
              <w:right w:val="nil"/>
            </w:tcBorders>
            <w:vAlign w:val="center"/>
            <w:hideMark/>
          </w:tcPr>
          <w:p w14:paraId="0A55BEBA" w14:textId="77777777" w:rsidR="009A7962" w:rsidRPr="009A7962" w:rsidRDefault="009A7962" w:rsidP="009A7962">
            <w:pPr>
              <w:suppressAutoHyphens w:val="0"/>
              <w:spacing w:before="0" w:after="0"/>
              <w:jc w:val="left"/>
              <w:rPr>
                <w:rFonts w:eastAsia="Times New Roman" w:cs="Arial"/>
                <w:color w:val="000000"/>
                <w:sz w:val="18"/>
                <w:szCs w:val="18"/>
                <w:lang w:val="en-US"/>
              </w:rPr>
            </w:pPr>
          </w:p>
        </w:tc>
        <w:tc>
          <w:tcPr>
            <w:tcW w:w="486" w:type="pct"/>
            <w:tcBorders>
              <w:top w:val="nil"/>
              <w:left w:val="nil"/>
              <w:bottom w:val="nil"/>
              <w:right w:val="nil"/>
            </w:tcBorders>
            <w:vAlign w:val="center"/>
            <w:hideMark/>
          </w:tcPr>
          <w:p w14:paraId="16828E42" w14:textId="77777777" w:rsidR="009A7962" w:rsidRPr="009A7962" w:rsidRDefault="009A7962" w:rsidP="009A7962">
            <w:pPr>
              <w:suppressAutoHyphens w:val="0"/>
              <w:spacing w:before="0" w:after="0"/>
              <w:jc w:val="left"/>
              <w:rPr>
                <w:rFonts w:eastAsia="Times New Roman" w:cs="Arial"/>
                <w:szCs w:val="20"/>
                <w:lang w:val="en-US"/>
              </w:rPr>
            </w:pPr>
          </w:p>
        </w:tc>
      </w:tr>
      <w:tr w:rsidR="009A7962" w:rsidRPr="009A7962" w14:paraId="7904B413" w14:textId="77777777" w:rsidTr="00587A1F">
        <w:trPr>
          <w:trHeight w:val="480"/>
        </w:trPr>
        <w:tc>
          <w:tcPr>
            <w:tcW w:w="1428" w:type="pct"/>
            <w:tcBorders>
              <w:top w:val="nil"/>
              <w:left w:val="nil"/>
              <w:bottom w:val="nil"/>
              <w:right w:val="nil"/>
            </w:tcBorders>
            <w:vAlign w:val="center"/>
            <w:hideMark/>
          </w:tcPr>
          <w:p w14:paraId="51B5030A"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Gender of household head (Male)</w:t>
            </w:r>
          </w:p>
        </w:tc>
        <w:tc>
          <w:tcPr>
            <w:tcW w:w="574" w:type="pct"/>
            <w:tcBorders>
              <w:top w:val="nil"/>
              <w:left w:val="nil"/>
              <w:bottom w:val="nil"/>
              <w:right w:val="nil"/>
            </w:tcBorders>
            <w:vAlign w:val="center"/>
            <w:hideMark/>
          </w:tcPr>
          <w:p w14:paraId="28427BA3"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lang w:val="en-US"/>
              </w:rPr>
              <w:t>82%</w:t>
            </w:r>
          </w:p>
        </w:tc>
        <w:tc>
          <w:tcPr>
            <w:tcW w:w="603" w:type="pct"/>
            <w:tcBorders>
              <w:top w:val="nil"/>
              <w:left w:val="nil"/>
              <w:bottom w:val="nil"/>
              <w:right w:val="nil"/>
            </w:tcBorders>
            <w:vAlign w:val="center"/>
            <w:hideMark/>
          </w:tcPr>
          <w:p w14:paraId="198DF05D" w14:textId="77777777" w:rsidR="009A7962" w:rsidRPr="009A7962" w:rsidRDefault="009A7962" w:rsidP="009A7962">
            <w:pPr>
              <w:suppressAutoHyphens w:val="0"/>
              <w:spacing w:before="0" w:after="0"/>
              <w:jc w:val="left"/>
              <w:rPr>
                <w:rFonts w:eastAsia="Times New Roman" w:cs="Arial"/>
                <w:color w:val="000000"/>
                <w:sz w:val="18"/>
                <w:szCs w:val="18"/>
                <w:lang w:val="en-US"/>
              </w:rPr>
            </w:pPr>
          </w:p>
        </w:tc>
        <w:tc>
          <w:tcPr>
            <w:tcW w:w="474" w:type="pct"/>
            <w:tcBorders>
              <w:top w:val="nil"/>
              <w:left w:val="nil"/>
              <w:bottom w:val="nil"/>
              <w:right w:val="nil"/>
            </w:tcBorders>
            <w:vAlign w:val="center"/>
            <w:hideMark/>
          </w:tcPr>
          <w:p w14:paraId="754AD295" w14:textId="77777777" w:rsidR="009A7962" w:rsidRPr="009A7962" w:rsidRDefault="009A7962" w:rsidP="009A7962">
            <w:pPr>
              <w:suppressAutoHyphens w:val="0"/>
              <w:spacing w:before="0" w:after="0"/>
              <w:jc w:val="left"/>
              <w:rPr>
                <w:rFonts w:eastAsia="Times New Roman" w:cs="Arial"/>
                <w:szCs w:val="20"/>
                <w:lang w:val="en-US"/>
              </w:rPr>
            </w:pPr>
          </w:p>
        </w:tc>
        <w:tc>
          <w:tcPr>
            <w:tcW w:w="474" w:type="pct"/>
            <w:tcBorders>
              <w:top w:val="nil"/>
              <w:left w:val="nil"/>
              <w:bottom w:val="nil"/>
              <w:right w:val="nil"/>
            </w:tcBorders>
            <w:vAlign w:val="center"/>
            <w:hideMark/>
          </w:tcPr>
          <w:p w14:paraId="527DA42D" w14:textId="77777777" w:rsidR="009A7962" w:rsidRPr="009A7962" w:rsidRDefault="009A7962" w:rsidP="009A7962">
            <w:pPr>
              <w:suppressAutoHyphens w:val="0"/>
              <w:spacing w:before="0" w:after="0"/>
              <w:jc w:val="left"/>
              <w:rPr>
                <w:rFonts w:eastAsia="Times New Roman" w:cs="Arial"/>
                <w:szCs w:val="20"/>
                <w:lang w:val="en-US"/>
              </w:rPr>
            </w:pPr>
          </w:p>
        </w:tc>
        <w:tc>
          <w:tcPr>
            <w:tcW w:w="474" w:type="pct"/>
            <w:tcBorders>
              <w:top w:val="nil"/>
              <w:left w:val="nil"/>
              <w:bottom w:val="nil"/>
              <w:right w:val="nil"/>
            </w:tcBorders>
            <w:vAlign w:val="center"/>
            <w:hideMark/>
          </w:tcPr>
          <w:p w14:paraId="39102A8A" w14:textId="77777777" w:rsidR="009A7962" w:rsidRPr="009A7962" w:rsidRDefault="009A7962" w:rsidP="009A7962">
            <w:pPr>
              <w:suppressAutoHyphens w:val="0"/>
              <w:spacing w:before="0" w:after="0"/>
              <w:jc w:val="left"/>
              <w:rPr>
                <w:rFonts w:eastAsia="Times New Roman" w:cs="Arial"/>
                <w:szCs w:val="20"/>
                <w:lang w:val="en-US"/>
              </w:rPr>
            </w:pPr>
          </w:p>
        </w:tc>
        <w:tc>
          <w:tcPr>
            <w:tcW w:w="486" w:type="pct"/>
            <w:tcBorders>
              <w:top w:val="nil"/>
              <w:left w:val="nil"/>
              <w:bottom w:val="nil"/>
              <w:right w:val="nil"/>
            </w:tcBorders>
            <w:vAlign w:val="center"/>
            <w:hideMark/>
          </w:tcPr>
          <w:p w14:paraId="3C3CC1F4"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-0.45*</w:t>
            </w:r>
          </w:p>
        </w:tc>
        <w:tc>
          <w:tcPr>
            <w:tcW w:w="486" w:type="pct"/>
            <w:tcBorders>
              <w:top w:val="nil"/>
              <w:left w:val="nil"/>
              <w:bottom w:val="nil"/>
              <w:right w:val="nil"/>
            </w:tcBorders>
            <w:vAlign w:val="center"/>
            <w:hideMark/>
          </w:tcPr>
          <w:p w14:paraId="01E994F9" w14:textId="77777777" w:rsidR="009A7962" w:rsidRPr="009A7962" w:rsidRDefault="009A7962" w:rsidP="009A7962">
            <w:pPr>
              <w:suppressAutoHyphens w:val="0"/>
              <w:spacing w:before="0" w:after="0"/>
              <w:jc w:val="left"/>
              <w:rPr>
                <w:rFonts w:eastAsia="Times New Roman" w:cs="Arial"/>
                <w:color w:val="000000"/>
                <w:sz w:val="18"/>
                <w:szCs w:val="18"/>
                <w:lang w:val="en-US"/>
              </w:rPr>
            </w:pPr>
          </w:p>
        </w:tc>
      </w:tr>
      <w:tr w:rsidR="009A7962" w:rsidRPr="009A7962" w14:paraId="313AFBAD" w14:textId="77777777" w:rsidTr="00587A1F">
        <w:trPr>
          <w:trHeight w:val="300"/>
        </w:trPr>
        <w:tc>
          <w:tcPr>
            <w:tcW w:w="1428" w:type="pct"/>
            <w:tcBorders>
              <w:top w:val="nil"/>
              <w:left w:val="nil"/>
              <w:bottom w:val="nil"/>
              <w:right w:val="nil"/>
            </w:tcBorders>
            <w:vAlign w:val="center"/>
            <w:hideMark/>
          </w:tcPr>
          <w:p w14:paraId="447D2FC5"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Level of Education - No formal</w:t>
            </w:r>
          </w:p>
        </w:tc>
        <w:tc>
          <w:tcPr>
            <w:tcW w:w="574" w:type="pct"/>
            <w:tcBorders>
              <w:top w:val="nil"/>
              <w:left w:val="nil"/>
              <w:bottom w:val="nil"/>
              <w:right w:val="nil"/>
            </w:tcBorders>
            <w:vAlign w:val="center"/>
            <w:hideMark/>
          </w:tcPr>
          <w:p w14:paraId="119E7482"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lang w:val="en-US"/>
              </w:rPr>
              <w:t>41%</w:t>
            </w:r>
          </w:p>
        </w:tc>
        <w:tc>
          <w:tcPr>
            <w:tcW w:w="603" w:type="pct"/>
            <w:tcBorders>
              <w:top w:val="nil"/>
              <w:left w:val="nil"/>
              <w:bottom w:val="nil"/>
              <w:right w:val="nil"/>
            </w:tcBorders>
            <w:vAlign w:val="center"/>
            <w:hideMark/>
          </w:tcPr>
          <w:p w14:paraId="06E84DD6" w14:textId="77777777" w:rsidR="009A7962" w:rsidRPr="009A7962" w:rsidRDefault="009A7962" w:rsidP="009A7962">
            <w:pPr>
              <w:suppressAutoHyphens w:val="0"/>
              <w:spacing w:before="0" w:after="0"/>
              <w:jc w:val="left"/>
              <w:rPr>
                <w:rFonts w:eastAsia="Times New Roman" w:cs="Arial"/>
                <w:color w:val="000000"/>
                <w:sz w:val="18"/>
                <w:szCs w:val="18"/>
                <w:lang w:val="en-US"/>
              </w:rPr>
            </w:pPr>
          </w:p>
        </w:tc>
        <w:tc>
          <w:tcPr>
            <w:tcW w:w="474" w:type="pct"/>
            <w:tcBorders>
              <w:top w:val="nil"/>
              <w:left w:val="nil"/>
              <w:bottom w:val="nil"/>
              <w:right w:val="nil"/>
            </w:tcBorders>
            <w:vAlign w:val="center"/>
            <w:hideMark/>
          </w:tcPr>
          <w:p w14:paraId="18FEBD79"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0.41**</w:t>
            </w:r>
          </w:p>
        </w:tc>
        <w:tc>
          <w:tcPr>
            <w:tcW w:w="474" w:type="pct"/>
            <w:tcBorders>
              <w:top w:val="nil"/>
              <w:left w:val="nil"/>
              <w:bottom w:val="nil"/>
              <w:right w:val="nil"/>
            </w:tcBorders>
            <w:vAlign w:val="center"/>
            <w:hideMark/>
          </w:tcPr>
          <w:p w14:paraId="7FB77D4E" w14:textId="77777777" w:rsidR="009A7962" w:rsidRPr="009A7962" w:rsidRDefault="009A7962" w:rsidP="009A7962">
            <w:pPr>
              <w:suppressAutoHyphens w:val="0"/>
              <w:spacing w:before="0" w:after="0"/>
              <w:jc w:val="left"/>
              <w:rPr>
                <w:rFonts w:eastAsia="Times New Roman" w:cs="Arial"/>
                <w:color w:val="000000"/>
                <w:sz w:val="18"/>
                <w:szCs w:val="18"/>
                <w:lang w:val="en-US"/>
              </w:rPr>
            </w:pPr>
          </w:p>
        </w:tc>
        <w:tc>
          <w:tcPr>
            <w:tcW w:w="474" w:type="pct"/>
            <w:tcBorders>
              <w:top w:val="nil"/>
              <w:left w:val="nil"/>
              <w:bottom w:val="nil"/>
              <w:right w:val="nil"/>
            </w:tcBorders>
            <w:vAlign w:val="center"/>
            <w:hideMark/>
          </w:tcPr>
          <w:p w14:paraId="3D4F1BF0" w14:textId="77777777" w:rsidR="009A7962" w:rsidRPr="009A7962" w:rsidRDefault="009A7962" w:rsidP="009A7962">
            <w:pPr>
              <w:suppressAutoHyphens w:val="0"/>
              <w:spacing w:before="0" w:after="0"/>
              <w:jc w:val="left"/>
              <w:rPr>
                <w:rFonts w:eastAsia="Times New Roman" w:cs="Arial"/>
                <w:szCs w:val="20"/>
                <w:lang w:val="en-US"/>
              </w:rPr>
            </w:pPr>
          </w:p>
        </w:tc>
        <w:tc>
          <w:tcPr>
            <w:tcW w:w="486" w:type="pct"/>
            <w:tcBorders>
              <w:top w:val="nil"/>
              <w:left w:val="nil"/>
              <w:bottom w:val="nil"/>
              <w:right w:val="nil"/>
            </w:tcBorders>
            <w:vAlign w:val="center"/>
            <w:hideMark/>
          </w:tcPr>
          <w:p w14:paraId="1EEF90BE"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-1.25***</w:t>
            </w:r>
          </w:p>
        </w:tc>
        <w:tc>
          <w:tcPr>
            <w:tcW w:w="486" w:type="pct"/>
            <w:tcBorders>
              <w:top w:val="nil"/>
              <w:left w:val="nil"/>
              <w:bottom w:val="nil"/>
              <w:right w:val="nil"/>
            </w:tcBorders>
            <w:vAlign w:val="center"/>
            <w:hideMark/>
          </w:tcPr>
          <w:p w14:paraId="67909898" w14:textId="77777777" w:rsidR="009A7962" w:rsidRPr="009A7962" w:rsidRDefault="009A7962" w:rsidP="009A7962">
            <w:pPr>
              <w:suppressAutoHyphens w:val="0"/>
              <w:spacing w:before="0" w:after="0"/>
              <w:jc w:val="left"/>
              <w:rPr>
                <w:rFonts w:eastAsia="Times New Roman" w:cs="Arial"/>
                <w:color w:val="000000"/>
                <w:sz w:val="18"/>
                <w:szCs w:val="18"/>
                <w:lang w:val="en-US"/>
              </w:rPr>
            </w:pPr>
          </w:p>
        </w:tc>
      </w:tr>
      <w:tr w:rsidR="009A7962" w:rsidRPr="009A7962" w14:paraId="554B3CB7" w14:textId="77777777" w:rsidTr="00587A1F">
        <w:trPr>
          <w:trHeight w:val="300"/>
        </w:trPr>
        <w:tc>
          <w:tcPr>
            <w:tcW w:w="1428" w:type="pct"/>
            <w:tcBorders>
              <w:top w:val="nil"/>
              <w:left w:val="nil"/>
              <w:bottom w:val="nil"/>
              <w:right w:val="nil"/>
            </w:tcBorders>
            <w:vAlign w:val="center"/>
            <w:hideMark/>
          </w:tcPr>
          <w:p w14:paraId="3ED5EA5F"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Crop produce (Yes)</w:t>
            </w:r>
          </w:p>
        </w:tc>
        <w:tc>
          <w:tcPr>
            <w:tcW w:w="574" w:type="pct"/>
            <w:tcBorders>
              <w:top w:val="nil"/>
              <w:left w:val="nil"/>
              <w:bottom w:val="nil"/>
              <w:right w:val="nil"/>
            </w:tcBorders>
            <w:vAlign w:val="center"/>
            <w:hideMark/>
          </w:tcPr>
          <w:p w14:paraId="2F8D2624"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lang w:val="en-US"/>
              </w:rPr>
              <w:t>84%</w:t>
            </w:r>
          </w:p>
        </w:tc>
        <w:tc>
          <w:tcPr>
            <w:tcW w:w="603" w:type="pct"/>
            <w:tcBorders>
              <w:top w:val="nil"/>
              <w:left w:val="nil"/>
              <w:bottom w:val="nil"/>
              <w:right w:val="nil"/>
            </w:tcBorders>
            <w:vAlign w:val="center"/>
            <w:hideMark/>
          </w:tcPr>
          <w:p w14:paraId="54FCEE92" w14:textId="77777777" w:rsidR="009A7962" w:rsidRPr="009A7962" w:rsidRDefault="009A7962" w:rsidP="009A7962">
            <w:pPr>
              <w:suppressAutoHyphens w:val="0"/>
              <w:spacing w:before="0" w:after="0"/>
              <w:jc w:val="left"/>
              <w:rPr>
                <w:rFonts w:eastAsia="Times New Roman" w:cs="Arial"/>
                <w:color w:val="000000"/>
                <w:sz w:val="18"/>
                <w:szCs w:val="18"/>
                <w:lang w:val="en-US"/>
              </w:rPr>
            </w:pPr>
          </w:p>
        </w:tc>
        <w:tc>
          <w:tcPr>
            <w:tcW w:w="474" w:type="pct"/>
            <w:tcBorders>
              <w:top w:val="nil"/>
              <w:left w:val="nil"/>
              <w:bottom w:val="nil"/>
              <w:right w:val="nil"/>
            </w:tcBorders>
            <w:vAlign w:val="center"/>
            <w:hideMark/>
          </w:tcPr>
          <w:p w14:paraId="0659396C"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0.88***</w:t>
            </w:r>
          </w:p>
        </w:tc>
        <w:tc>
          <w:tcPr>
            <w:tcW w:w="474" w:type="pct"/>
            <w:tcBorders>
              <w:top w:val="nil"/>
              <w:left w:val="nil"/>
              <w:bottom w:val="nil"/>
              <w:right w:val="nil"/>
            </w:tcBorders>
            <w:vAlign w:val="center"/>
            <w:hideMark/>
          </w:tcPr>
          <w:p w14:paraId="27FCAAAB" w14:textId="77777777" w:rsidR="009A7962" w:rsidRPr="009A7962" w:rsidRDefault="009A7962" w:rsidP="009A7962">
            <w:pPr>
              <w:suppressAutoHyphens w:val="0"/>
              <w:spacing w:before="0" w:after="0"/>
              <w:jc w:val="left"/>
              <w:rPr>
                <w:rFonts w:eastAsia="Times New Roman" w:cs="Arial"/>
                <w:color w:val="000000"/>
                <w:sz w:val="18"/>
                <w:szCs w:val="18"/>
                <w:lang w:val="en-US"/>
              </w:rPr>
            </w:pPr>
          </w:p>
        </w:tc>
        <w:tc>
          <w:tcPr>
            <w:tcW w:w="474" w:type="pct"/>
            <w:tcBorders>
              <w:top w:val="nil"/>
              <w:left w:val="nil"/>
              <w:bottom w:val="nil"/>
              <w:right w:val="nil"/>
            </w:tcBorders>
            <w:vAlign w:val="center"/>
            <w:hideMark/>
          </w:tcPr>
          <w:p w14:paraId="232C3212" w14:textId="77777777" w:rsidR="009A7962" w:rsidRPr="009A7962" w:rsidRDefault="009A7962" w:rsidP="009A7962">
            <w:pPr>
              <w:suppressAutoHyphens w:val="0"/>
              <w:spacing w:before="0" w:after="0"/>
              <w:jc w:val="left"/>
              <w:rPr>
                <w:rFonts w:eastAsia="Times New Roman" w:cs="Arial"/>
                <w:szCs w:val="20"/>
                <w:lang w:val="en-US"/>
              </w:rPr>
            </w:pPr>
          </w:p>
        </w:tc>
        <w:tc>
          <w:tcPr>
            <w:tcW w:w="486" w:type="pct"/>
            <w:tcBorders>
              <w:top w:val="nil"/>
              <w:left w:val="nil"/>
              <w:bottom w:val="nil"/>
              <w:right w:val="nil"/>
            </w:tcBorders>
            <w:vAlign w:val="center"/>
            <w:hideMark/>
          </w:tcPr>
          <w:p w14:paraId="7189AF1B"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-0.92***</w:t>
            </w:r>
          </w:p>
        </w:tc>
        <w:tc>
          <w:tcPr>
            <w:tcW w:w="486" w:type="pct"/>
            <w:tcBorders>
              <w:top w:val="nil"/>
              <w:left w:val="nil"/>
              <w:bottom w:val="nil"/>
              <w:right w:val="nil"/>
            </w:tcBorders>
            <w:vAlign w:val="center"/>
            <w:hideMark/>
          </w:tcPr>
          <w:p w14:paraId="4A0FA574"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-0.64**</w:t>
            </w:r>
          </w:p>
        </w:tc>
      </w:tr>
      <w:tr w:rsidR="009A7962" w:rsidRPr="009A7962" w14:paraId="6EE4CECF" w14:textId="77777777" w:rsidTr="00587A1F">
        <w:trPr>
          <w:trHeight w:val="300"/>
        </w:trPr>
        <w:tc>
          <w:tcPr>
            <w:tcW w:w="1428" w:type="pct"/>
            <w:tcBorders>
              <w:top w:val="nil"/>
              <w:left w:val="nil"/>
              <w:bottom w:val="nil"/>
              <w:right w:val="nil"/>
            </w:tcBorders>
            <w:vAlign w:val="center"/>
            <w:hideMark/>
          </w:tcPr>
          <w:p w14:paraId="42650FB2"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None on-farm daily labour (Yes)</w:t>
            </w:r>
          </w:p>
        </w:tc>
        <w:tc>
          <w:tcPr>
            <w:tcW w:w="574" w:type="pct"/>
            <w:tcBorders>
              <w:top w:val="nil"/>
              <w:left w:val="nil"/>
              <w:bottom w:val="nil"/>
              <w:right w:val="nil"/>
            </w:tcBorders>
            <w:vAlign w:val="center"/>
            <w:hideMark/>
          </w:tcPr>
          <w:p w14:paraId="3A1809FD"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lang w:val="en-US"/>
              </w:rPr>
              <w:t>2%</w:t>
            </w:r>
          </w:p>
        </w:tc>
        <w:tc>
          <w:tcPr>
            <w:tcW w:w="603" w:type="pct"/>
            <w:tcBorders>
              <w:top w:val="nil"/>
              <w:left w:val="nil"/>
              <w:bottom w:val="nil"/>
              <w:right w:val="nil"/>
            </w:tcBorders>
            <w:vAlign w:val="center"/>
            <w:hideMark/>
          </w:tcPr>
          <w:p w14:paraId="4743FF15" w14:textId="77777777" w:rsidR="009A7962" w:rsidRPr="009A7962" w:rsidRDefault="009A7962" w:rsidP="009A7962">
            <w:pPr>
              <w:suppressAutoHyphens w:val="0"/>
              <w:spacing w:before="0" w:after="0"/>
              <w:jc w:val="left"/>
              <w:rPr>
                <w:rFonts w:eastAsia="Times New Roman" w:cs="Arial"/>
                <w:color w:val="000000"/>
                <w:sz w:val="18"/>
                <w:szCs w:val="18"/>
                <w:lang w:val="en-US"/>
              </w:rPr>
            </w:pPr>
          </w:p>
        </w:tc>
        <w:tc>
          <w:tcPr>
            <w:tcW w:w="474" w:type="pct"/>
            <w:tcBorders>
              <w:top w:val="nil"/>
              <w:left w:val="nil"/>
              <w:bottom w:val="nil"/>
              <w:right w:val="nil"/>
            </w:tcBorders>
            <w:vAlign w:val="center"/>
            <w:hideMark/>
          </w:tcPr>
          <w:p w14:paraId="169DB01C" w14:textId="77777777" w:rsidR="009A7962" w:rsidRPr="009A7962" w:rsidRDefault="009A7962" w:rsidP="009A7962">
            <w:pPr>
              <w:suppressAutoHyphens w:val="0"/>
              <w:spacing w:before="0" w:after="0"/>
              <w:jc w:val="left"/>
              <w:rPr>
                <w:rFonts w:eastAsia="Times New Roman" w:cs="Arial"/>
                <w:szCs w:val="20"/>
                <w:lang w:val="en-US"/>
              </w:rPr>
            </w:pPr>
          </w:p>
        </w:tc>
        <w:tc>
          <w:tcPr>
            <w:tcW w:w="474" w:type="pct"/>
            <w:tcBorders>
              <w:top w:val="nil"/>
              <w:left w:val="nil"/>
              <w:bottom w:val="nil"/>
              <w:right w:val="nil"/>
            </w:tcBorders>
            <w:vAlign w:val="center"/>
            <w:hideMark/>
          </w:tcPr>
          <w:p w14:paraId="3A79CFBB" w14:textId="77777777" w:rsidR="009A7962" w:rsidRPr="009A7962" w:rsidRDefault="009A7962" w:rsidP="009A7962">
            <w:pPr>
              <w:suppressAutoHyphens w:val="0"/>
              <w:spacing w:before="0" w:after="0"/>
              <w:jc w:val="left"/>
              <w:rPr>
                <w:rFonts w:eastAsia="Times New Roman" w:cs="Arial"/>
                <w:szCs w:val="20"/>
                <w:lang w:val="en-US"/>
              </w:rPr>
            </w:pPr>
          </w:p>
        </w:tc>
        <w:tc>
          <w:tcPr>
            <w:tcW w:w="474" w:type="pct"/>
            <w:tcBorders>
              <w:top w:val="nil"/>
              <w:left w:val="nil"/>
              <w:bottom w:val="nil"/>
              <w:right w:val="nil"/>
            </w:tcBorders>
            <w:vAlign w:val="center"/>
            <w:hideMark/>
          </w:tcPr>
          <w:p w14:paraId="6E22FD31"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1.76**</w:t>
            </w:r>
          </w:p>
        </w:tc>
        <w:tc>
          <w:tcPr>
            <w:tcW w:w="486" w:type="pct"/>
            <w:tcBorders>
              <w:top w:val="nil"/>
              <w:left w:val="nil"/>
              <w:bottom w:val="nil"/>
              <w:right w:val="nil"/>
            </w:tcBorders>
            <w:vAlign w:val="center"/>
            <w:hideMark/>
          </w:tcPr>
          <w:p w14:paraId="4F582CD9" w14:textId="77777777" w:rsidR="009A7962" w:rsidRPr="009A7962" w:rsidRDefault="009A7962" w:rsidP="009A7962">
            <w:pPr>
              <w:suppressAutoHyphens w:val="0"/>
              <w:spacing w:before="0" w:after="0"/>
              <w:jc w:val="left"/>
              <w:rPr>
                <w:rFonts w:eastAsia="Times New Roman" w:cs="Arial"/>
                <w:color w:val="000000"/>
                <w:sz w:val="18"/>
                <w:szCs w:val="18"/>
                <w:lang w:val="en-US"/>
              </w:rPr>
            </w:pPr>
          </w:p>
        </w:tc>
        <w:tc>
          <w:tcPr>
            <w:tcW w:w="486" w:type="pct"/>
            <w:tcBorders>
              <w:top w:val="nil"/>
              <w:left w:val="nil"/>
              <w:bottom w:val="nil"/>
              <w:right w:val="nil"/>
            </w:tcBorders>
            <w:vAlign w:val="center"/>
            <w:hideMark/>
          </w:tcPr>
          <w:p w14:paraId="04BD57FA" w14:textId="77777777" w:rsidR="009A7962" w:rsidRPr="009A7962" w:rsidRDefault="009A7962" w:rsidP="009A7962">
            <w:pPr>
              <w:suppressAutoHyphens w:val="0"/>
              <w:spacing w:before="0" w:after="0"/>
              <w:jc w:val="left"/>
              <w:rPr>
                <w:rFonts w:eastAsia="Times New Roman" w:cs="Arial"/>
                <w:szCs w:val="20"/>
                <w:lang w:val="en-US"/>
              </w:rPr>
            </w:pPr>
          </w:p>
        </w:tc>
      </w:tr>
      <w:tr w:rsidR="009A7962" w:rsidRPr="009A7962" w14:paraId="1D55E816" w14:textId="77777777" w:rsidTr="00587A1F">
        <w:trPr>
          <w:trHeight w:val="300"/>
        </w:trPr>
        <w:tc>
          <w:tcPr>
            <w:tcW w:w="1428" w:type="pct"/>
            <w:tcBorders>
              <w:top w:val="nil"/>
              <w:left w:val="nil"/>
              <w:bottom w:val="nil"/>
              <w:right w:val="nil"/>
            </w:tcBorders>
            <w:vAlign w:val="center"/>
            <w:hideMark/>
          </w:tcPr>
          <w:p w14:paraId="5ADED5DB"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Livestock sale (Yes)</w:t>
            </w:r>
          </w:p>
        </w:tc>
        <w:tc>
          <w:tcPr>
            <w:tcW w:w="574" w:type="pct"/>
            <w:tcBorders>
              <w:top w:val="nil"/>
              <w:left w:val="nil"/>
              <w:bottom w:val="nil"/>
              <w:right w:val="nil"/>
            </w:tcBorders>
            <w:vAlign w:val="center"/>
            <w:hideMark/>
          </w:tcPr>
          <w:p w14:paraId="31BF19BC"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lang w:val="en-US"/>
              </w:rPr>
              <w:t>45%</w:t>
            </w:r>
          </w:p>
        </w:tc>
        <w:tc>
          <w:tcPr>
            <w:tcW w:w="603" w:type="pct"/>
            <w:tcBorders>
              <w:top w:val="nil"/>
              <w:left w:val="nil"/>
              <w:bottom w:val="nil"/>
              <w:right w:val="nil"/>
            </w:tcBorders>
            <w:vAlign w:val="center"/>
            <w:hideMark/>
          </w:tcPr>
          <w:p w14:paraId="0B4B1FB6" w14:textId="77777777" w:rsidR="009A7962" w:rsidRPr="009A7962" w:rsidRDefault="009A7962" w:rsidP="009A7962">
            <w:pPr>
              <w:suppressAutoHyphens w:val="0"/>
              <w:spacing w:before="0" w:after="0"/>
              <w:jc w:val="left"/>
              <w:rPr>
                <w:rFonts w:eastAsia="Times New Roman" w:cs="Arial"/>
                <w:color w:val="000000"/>
                <w:sz w:val="18"/>
                <w:szCs w:val="18"/>
                <w:lang w:val="en-US"/>
              </w:rPr>
            </w:pPr>
          </w:p>
        </w:tc>
        <w:tc>
          <w:tcPr>
            <w:tcW w:w="474" w:type="pct"/>
            <w:tcBorders>
              <w:top w:val="nil"/>
              <w:left w:val="nil"/>
              <w:bottom w:val="nil"/>
              <w:right w:val="nil"/>
            </w:tcBorders>
            <w:vAlign w:val="center"/>
            <w:hideMark/>
          </w:tcPr>
          <w:p w14:paraId="5C0C377F" w14:textId="77777777" w:rsidR="009A7962" w:rsidRPr="009A7962" w:rsidRDefault="009A7962" w:rsidP="009A7962">
            <w:pPr>
              <w:suppressAutoHyphens w:val="0"/>
              <w:spacing w:before="0" w:after="0"/>
              <w:jc w:val="left"/>
              <w:rPr>
                <w:rFonts w:eastAsia="Times New Roman" w:cs="Arial"/>
                <w:szCs w:val="20"/>
                <w:lang w:val="en-US"/>
              </w:rPr>
            </w:pPr>
          </w:p>
        </w:tc>
        <w:tc>
          <w:tcPr>
            <w:tcW w:w="474" w:type="pct"/>
            <w:tcBorders>
              <w:top w:val="nil"/>
              <w:left w:val="nil"/>
              <w:bottom w:val="nil"/>
              <w:right w:val="nil"/>
            </w:tcBorders>
            <w:vAlign w:val="center"/>
            <w:hideMark/>
          </w:tcPr>
          <w:p w14:paraId="5BB9EDAF" w14:textId="77777777" w:rsidR="009A7962" w:rsidRPr="009A7962" w:rsidRDefault="009A7962" w:rsidP="009A7962">
            <w:pPr>
              <w:suppressAutoHyphens w:val="0"/>
              <w:spacing w:before="0" w:after="0"/>
              <w:jc w:val="right"/>
              <w:rPr>
                <w:rFonts w:eastAsia="Times New Roman" w:cs="Arial"/>
                <w:color w:val="000000"/>
                <w:sz w:val="18"/>
                <w:szCs w:val="18"/>
                <w:lang w:val="en-US"/>
              </w:rPr>
            </w:pPr>
            <w:r w:rsidRPr="009A7962">
              <w:rPr>
                <w:rFonts w:eastAsia="Times New Roman" w:cs="Arial"/>
                <w:color w:val="000000"/>
                <w:sz w:val="18"/>
                <w:szCs w:val="18"/>
              </w:rPr>
              <w:t>-0.29</w:t>
            </w:r>
          </w:p>
        </w:tc>
        <w:tc>
          <w:tcPr>
            <w:tcW w:w="474" w:type="pct"/>
            <w:tcBorders>
              <w:top w:val="nil"/>
              <w:left w:val="nil"/>
              <w:bottom w:val="nil"/>
              <w:right w:val="nil"/>
            </w:tcBorders>
            <w:vAlign w:val="center"/>
            <w:hideMark/>
          </w:tcPr>
          <w:p w14:paraId="06E037A8" w14:textId="77777777" w:rsidR="009A7962" w:rsidRPr="009A7962" w:rsidRDefault="009A7962" w:rsidP="009A7962">
            <w:pPr>
              <w:suppressAutoHyphens w:val="0"/>
              <w:spacing w:before="0" w:after="0"/>
              <w:jc w:val="right"/>
              <w:rPr>
                <w:rFonts w:eastAsia="Times New Roman" w:cs="Arial"/>
                <w:color w:val="000000"/>
                <w:sz w:val="18"/>
                <w:szCs w:val="18"/>
                <w:lang w:val="en-US"/>
              </w:rPr>
            </w:pPr>
            <w:r w:rsidRPr="009A7962">
              <w:rPr>
                <w:rFonts w:eastAsia="Times New Roman" w:cs="Arial"/>
                <w:color w:val="000000"/>
                <w:sz w:val="18"/>
                <w:szCs w:val="18"/>
              </w:rPr>
              <w:t>-0.29</w:t>
            </w:r>
          </w:p>
        </w:tc>
        <w:tc>
          <w:tcPr>
            <w:tcW w:w="486" w:type="pct"/>
            <w:tcBorders>
              <w:top w:val="nil"/>
              <w:left w:val="nil"/>
              <w:bottom w:val="nil"/>
              <w:right w:val="nil"/>
            </w:tcBorders>
            <w:vAlign w:val="center"/>
            <w:hideMark/>
          </w:tcPr>
          <w:p w14:paraId="62C3DCC7"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-0.49**</w:t>
            </w:r>
          </w:p>
        </w:tc>
        <w:tc>
          <w:tcPr>
            <w:tcW w:w="486" w:type="pct"/>
            <w:tcBorders>
              <w:top w:val="nil"/>
              <w:left w:val="nil"/>
              <w:bottom w:val="nil"/>
              <w:right w:val="nil"/>
            </w:tcBorders>
            <w:vAlign w:val="center"/>
            <w:hideMark/>
          </w:tcPr>
          <w:p w14:paraId="0EF9B9B4" w14:textId="77777777" w:rsidR="009A7962" w:rsidRPr="009A7962" w:rsidRDefault="009A7962" w:rsidP="009A7962">
            <w:pPr>
              <w:suppressAutoHyphens w:val="0"/>
              <w:spacing w:before="0" w:after="0"/>
              <w:jc w:val="left"/>
              <w:rPr>
                <w:rFonts w:eastAsia="Times New Roman" w:cs="Arial"/>
                <w:color w:val="000000"/>
                <w:sz w:val="18"/>
                <w:szCs w:val="18"/>
                <w:lang w:val="en-US"/>
              </w:rPr>
            </w:pPr>
          </w:p>
        </w:tc>
      </w:tr>
      <w:tr w:rsidR="009A7962" w:rsidRPr="009A7962" w14:paraId="28799968" w14:textId="77777777" w:rsidTr="00587A1F">
        <w:trPr>
          <w:trHeight w:val="300"/>
        </w:trPr>
        <w:tc>
          <w:tcPr>
            <w:tcW w:w="1428" w:type="pct"/>
            <w:tcBorders>
              <w:top w:val="nil"/>
              <w:left w:val="nil"/>
              <w:bottom w:val="nil"/>
              <w:right w:val="nil"/>
            </w:tcBorders>
            <w:vAlign w:val="center"/>
            <w:hideMark/>
          </w:tcPr>
          <w:p w14:paraId="03B56897"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Salary (Yes)</w:t>
            </w:r>
          </w:p>
        </w:tc>
        <w:tc>
          <w:tcPr>
            <w:tcW w:w="574" w:type="pct"/>
            <w:tcBorders>
              <w:top w:val="nil"/>
              <w:left w:val="nil"/>
              <w:bottom w:val="nil"/>
              <w:right w:val="nil"/>
            </w:tcBorders>
            <w:vAlign w:val="center"/>
            <w:hideMark/>
          </w:tcPr>
          <w:p w14:paraId="617A1F1A"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lang w:val="en-US"/>
              </w:rPr>
              <w:t>7%</w:t>
            </w:r>
          </w:p>
        </w:tc>
        <w:tc>
          <w:tcPr>
            <w:tcW w:w="603" w:type="pct"/>
            <w:tcBorders>
              <w:top w:val="nil"/>
              <w:left w:val="nil"/>
              <w:bottom w:val="nil"/>
              <w:right w:val="nil"/>
            </w:tcBorders>
            <w:vAlign w:val="center"/>
            <w:hideMark/>
          </w:tcPr>
          <w:p w14:paraId="250815C5" w14:textId="77777777" w:rsidR="009A7962" w:rsidRPr="009A7962" w:rsidRDefault="009A7962" w:rsidP="009A7962">
            <w:pPr>
              <w:suppressAutoHyphens w:val="0"/>
              <w:spacing w:before="0" w:after="0"/>
              <w:jc w:val="left"/>
              <w:rPr>
                <w:rFonts w:eastAsia="Times New Roman" w:cs="Arial"/>
                <w:color w:val="000000"/>
                <w:sz w:val="18"/>
                <w:szCs w:val="18"/>
                <w:lang w:val="en-US"/>
              </w:rPr>
            </w:pPr>
          </w:p>
        </w:tc>
        <w:tc>
          <w:tcPr>
            <w:tcW w:w="474" w:type="pct"/>
            <w:tcBorders>
              <w:top w:val="nil"/>
              <w:left w:val="nil"/>
              <w:bottom w:val="nil"/>
              <w:right w:val="nil"/>
            </w:tcBorders>
            <w:vAlign w:val="center"/>
            <w:hideMark/>
          </w:tcPr>
          <w:p w14:paraId="4237DA91" w14:textId="77777777" w:rsidR="009A7962" w:rsidRPr="009A7962" w:rsidRDefault="009A7962" w:rsidP="009A7962">
            <w:pPr>
              <w:suppressAutoHyphens w:val="0"/>
              <w:spacing w:before="0" w:after="0"/>
              <w:jc w:val="right"/>
              <w:rPr>
                <w:rFonts w:eastAsia="Times New Roman" w:cs="Arial"/>
                <w:color w:val="000000"/>
                <w:sz w:val="18"/>
                <w:szCs w:val="18"/>
                <w:lang w:val="en-US"/>
              </w:rPr>
            </w:pPr>
            <w:r w:rsidRPr="009A7962">
              <w:rPr>
                <w:rFonts w:eastAsia="Times New Roman" w:cs="Arial"/>
                <w:color w:val="000000"/>
                <w:sz w:val="18"/>
                <w:szCs w:val="18"/>
              </w:rPr>
              <w:t>-0.53</w:t>
            </w:r>
          </w:p>
        </w:tc>
        <w:tc>
          <w:tcPr>
            <w:tcW w:w="474" w:type="pct"/>
            <w:tcBorders>
              <w:top w:val="nil"/>
              <w:left w:val="nil"/>
              <w:bottom w:val="nil"/>
              <w:right w:val="nil"/>
            </w:tcBorders>
            <w:vAlign w:val="center"/>
            <w:hideMark/>
          </w:tcPr>
          <w:p w14:paraId="73C8C8C3"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1.07***</w:t>
            </w:r>
          </w:p>
        </w:tc>
        <w:tc>
          <w:tcPr>
            <w:tcW w:w="474" w:type="pct"/>
            <w:tcBorders>
              <w:top w:val="nil"/>
              <w:left w:val="nil"/>
              <w:bottom w:val="nil"/>
              <w:right w:val="nil"/>
            </w:tcBorders>
            <w:vAlign w:val="center"/>
            <w:hideMark/>
          </w:tcPr>
          <w:p w14:paraId="78CAC3BE" w14:textId="77777777" w:rsidR="009A7962" w:rsidRPr="009A7962" w:rsidRDefault="009A7962" w:rsidP="009A7962">
            <w:pPr>
              <w:suppressAutoHyphens w:val="0"/>
              <w:spacing w:before="0" w:after="0"/>
              <w:jc w:val="left"/>
              <w:rPr>
                <w:rFonts w:eastAsia="Times New Roman" w:cs="Arial"/>
                <w:color w:val="000000"/>
                <w:sz w:val="18"/>
                <w:szCs w:val="18"/>
                <w:lang w:val="en-US"/>
              </w:rPr>
            </w:pPr>
          </w:p>
        </w:tc>
        <w:tc>
          <w:tcPr>
            <w:tcW w:w="486" w:type="pct"/>
            <w:tcBorders>
              <w:top w:val="nil"/>
              <w:left w:val="nil"/>
              <w:bottom w:val="nil"/>
              <w:right w:val="nil"/>
            </w:tcBorders>
            <w:vAlign w:val="center"/>
            <w:hideMark/>
          </w:tcPr>
          <w:p w14:paraId="15C4473D" w14:textId="77777777" w:rsidR="009A7962" w:rsidRPr="009A7962" w:rsidRDefault="009A7962" w:rsidP="009A7962">
            <w:pPr>
              <w:suppressAutoHyphens w:val="0"/>
              <w:spacing w:before="0" w:after="0"/>
              <w:jc w:val="left"/>
              <w:rPr>
                <w:rFonts w:eastAsia="Times New Roman" w:cs="Arial"/>
                <w:szCs w:val="20"/>
                <w:lang w:val="en-US"/>
              </w:rPr>
            </w:pPr>
          </w:p>
        </w:tc>
        <w:tc>
          <w:tcPr>
            <w:tcW w:w="486" w:type="pct"/>
            <w:tcBorders>
              <w:top w:val="nil"/>
              <w:left w:val="nil"/>
              <w:bottom w:val="nil"/>
              <w:right w:val="nil"/>
            </w:tcBorders>
            <w:vAlign w:val="center"/>
            <w:hideMark/>
          </w:tcPr>
          <w:p w14:paraId="25EDA257" w14:textId="77777777" w:rsidR="009A7962" w:rsidRPr="009A7962" w:rsidRDefault="009A7962" w:rsidP="009A7962">
            <w:pPr>
              <w:suppressAutoHyphens w:val="0"/>
              <w:spacing w:before="0" w:after="0"/>
              <w:jc w:val="left"/>
              <w:rPr>
                <w:rFonts w:eastAsia="Times New Roman" w:cs="Arial"/>
                <w:szCs w:val="20"/>
                <w:lang w:val="en-US"/>
              </w:rPr>
            </w:pPr>
          </w:p>
        </w:tc>
      </w:tr>
      <w:tr w:rsidR="009A7962" w:rsidRPr="009A7962" w14:paraId="757654AA" w14:textId="77777777" w:rsidTr="00587A1F">
        <w:trPr>
          <w:trHeight w:val="300"/>
        </w:trPr>
        <w:tc>
          <w:tcPr>
            <w:tcW w:w="1428" w:type="pct"/>
            <w:tcBorders>
              <w:top w:val="nil"/>
              <w:left w:val="nil"/>
              <w:bottom w:val="nil"/>
              <w:right w:val="nil"/>
            </w:tcBorders>
            <w:vAlign w:val="center"/>
            <w:hideMark/>
          </w:tcPr>
          <w:p w14:paraId="5BFEEE4A"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Petty trade (Yes)</w:t>
            </w:r>
          </w:p>
        </w:tc>
        <w:tc>
          <w:tcPr>
            <w:tcW w:w="574" w:type="pct"/>
            <w:tcBorders>
              <w:top w:val="nil"/>
              <w:left w:val="nil"/>
              <w:bottom w:val="nil"/>
              <w:right w:val="nil"/>
            </w:tcBorders>
            <w:vAlign w:val="center"/>
            <w:hideMark/>
          </w:tcPr>
          <w:p w14:paraId="5E087FF9"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lang w:val="en-US"/>
              </w:rPr>
              <w:t>9%</w:t>
            </w:r>
          </w:p>
        </w:tc>
        <w:tc>
          <w:tcPr>
            <w:tcW w:w="603" w:type="pct"/>
            <w:tcBorders>
              <w:top w:val="nil"/>
              <w:left w:val="nil"/>
              <w:bottom w:val="nil"/>
              <w:right w:val="nil"/>
            </w:tcBorders>
            <w:vAlign w:val="center"/>
            <w:hideMark/>
          </w:tcPr>
          <w:p w14:paraId="07224D4D" w14:textId="77777777" w:rsidR="009A7962" w:rsidRPr="009A7962" w:rsidRDefault="009A7962" w:rsidP="009A7962">
            <w:pPr>
              <w:suppressAutoHyphens w:val="0"/>
              <w:spacing w:before="0" w:after="0"/>
              <w:jc w:val="left"/>
              <w:rPr>
                <w:rFonts w:eastAsia="Times New Roman" w:cs="Arial"/>
                <w:color w:val="000000"/>
                <w:sz w:val="18"/>
                <w:szCs w:val="18"/>
                <w:lang w:val="en-US"/>
              </w:rPr>
            </w:pPr>
          </w:p>
        </w:tc>
        <w:tc>
          <w:tcPr>
            <w:tcW w:w="474" w:type="pct"/>
            <w:tcBorders>
              <w:top w:val="nil"/>
              <w:left w:val="nil"/>
              <w:bottom w:val="nil"/>
              <w:right w:val="nil"/>
            </w:tcBorders>
            <w:vAlign w:val="center"/>
            <w:hideMark/>
          </w:tcPr>
          <w:p w14:paraId="49FC2E48" w14:textId="77777777" w:rsidR="009A7962" w:rsidRPr="009A7962" w:rsidRDefault="009A7962" w:rsidP="009A7962">
            <w:pPr>
              <w:suppressAutoHyphens w:val="0"/>
              <w:spacing w:before="0" w:after="0"/>
              <w:jc w:val="left"/>
              <w:rPr>
                <w:rFonts w:eastAsia="Times New Roman" w:cs="Arial"/>
                <w:szCs w:val="20"/>
                <w:lang w:val="en-US"/>
              </w:rPr>
            </w:pPr>
          </w:p>
        </w:tc>
        <w:tc>
          <w:tcPr>
            <w:tcW w:w="474" w:type="pct"/>
            <w:tcBorders>
              <w:top w:val="nil"/>
              <w:left w:val="nil"/>
              <w:bottom w:val="nil"/>
              <w:right w:val="nil"/>
            </w:tcBorders>
            <w:vAlign w:val="center"/>
            <w:hideMark/>
          </w:tcPr>
          <w:p w14:paraId="6A88598B" w14:textId="77777777" w:rsidR="009A7962" w:rsidRPr="009A7962" w:rsidRDefault="009A7962" w:rsidP="009A7962">
            <w:pPr>
              <w:suppressAutoHyphens w:val="0"/>
              <w:spacing w:before="0" w:after="0"/>
              <w:jc w:val="left"/>
              <w:rPr>
                <w:rFonts w:eastAsia="Times New Roman" w:cs="Arial"/>
                <w:szCs w:val="20"/>
                <w:lang w:val="en-US"/>
              </w:rPr>
            </w:pPr>
          </w:p>
        </w:tc>
        <w:tc>
          <w:tcPr>
            <w:tcW w:w="474" w:type="pct"/>
            <w:tcBorders>
              <w:top w:val="nil"/>
              <w:left w:val="nil"/>
              <w:bottom w:val="nil"/>
              <w:right w:val="nil"/>
            </w:tcBorders>
            <w:vAlign w:val="center"/>
            <w:hideMark/>
          </w:tcPr>
          <w:p w14:paraId="0BE01E17" w14:textId="77777777" w:rsidR="009A7962" w:rsidRPr="009A7962" w:rsidRDefault="009A7962" w:rsidP="009A7962">
            <w:pPr>
              <w:suppressAutoHyphens w:val="0"/>
              <w:spacing w:before="0" w:after="0"/>
              <w:jc w:val="left"/>
              <w:rPr>
                <w:rFonts w:eastAsia="Times New Roman" w:cs="Arial"/>
                <w:szCs w:val="20"/>
                <w:lang w:val="en-US"/>
              </w:rPr>
            </w:pPr>
          </w:p>
        </w:tc>
        <w:tc>
          <w:tcPr>
            <w:tcW w:w="486" w:type="pct"/>
            <w:tcBorders>
              <w:top w:val="nil"/>
              <w:left w:val="nil"/>
              <w:bottom w:val="nil"/>
              <w:right w:val="nil"/>
            </w:tcBorders>
            <w:vAlign w:val="center"/>
            <w:hideMark/>
          </w:tcPr>
          <w:p w14:paraId="2FEEFDBF" w14:textId="77777777" w:rsidR="009A7962" w:rsidRPr="009A7962" w:rsidRDefault="009A7962" w:rsidP="009A7962">
            <w:pPr>
              <w:suppressAutoHyphens w:val="0"/>
              <w:spacing w:before="0" w:after="0"/>
              <w:jc w:val="left"/>
              <w:rPr>
                <w:rFonts w:eastAsia="Times New Roman" w:cs="Arial"/>
                <w:szCs w:val="20"/>
                <w:lang w:val="en-US"/>
              </w:rPr>
            </w:pPr>
          </w:p>
        </w:tc>
        <w:tc>
          <w:tcPr>
            <w:tcW w:w="486" w:type="pct"/>
            <w:tcBorders>
              <w:top w:val="nil"/>
              <w:left w:val="nil"/>
              <w:bottom w:val="nil"/>
              <w:right w:val="nil"/>
            </w:tcBorders>
            <w:vAlign w:val="center"/>
            <w:hideMark/>
          </w:tcPr>
          <w:p w14:paraId="7E89545C"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-0.76**</w:t>
            </w:r>
          </w:p>
        </w:tc>
      </w:tr>
      <w:tr w:rsidR="009A7962" w:rsidRPr="009A7962" w14:paraId="71414D19" w14:textId="77777777" w:rsidTr="00587A1F">
        <w:trPr>
          <w:trHeight w:val="300"/>
        </w:trPr>
        <w:tc>
          <w:tcPr>
            <w:tcW w:w="1428" w:type="pct"/>
            <w:tcBorders>
              <w:top w:val="nil"/>
              <w:left w:val="nil"/>
              <w:bottom w:val="nil"/>
              <w:right w:val="nil"/>
            </w:tcBorders>
            <w:vAlign w:val="center"/>
            <w:hideMark/>
          </w:tcPr>
          <w:p w14:paraId="579AF8B7"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On-farm daily labour (Yes)</w:t>
            </w:r>
          </w:p>
        </w:tc>
        <w:tc>
          <w:tcPr>
            <w:tcW w:w="574" w:type="pct"/>
            <w:tcBorders>
              <w:top w:val="nil"/>
              <w:left w:val="nil"/>
              <w:bottom w:val="nil"/>
              <w:right w:val="nil"/>
            </w:tcBorders>
            <w:vAlign w:val="center"/>
            <w:hideMark/>
          </w:tcPr>
          <w:p w14:paraId="6F44612A"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lang w:val="en-US"/>
              </w:rPr>
              <w:t>5%</w:t>
            </w:r>
          </w:p>
        </w:tc>
        <w:tc>
          <w:tcPr>
            <w:tcW w:w="603" w:type="pct"/>
            <w:tcBorders>
              <w:top w:val="nil"/>
              <w:left w:val="nil"/>
              <w:bottom w:val="nil"/>
              <w:right w:val="nil"/>
            </w:tcBorders>
            <w:vAlign w:val="center"/>
            <w:hideMark/>
          </w:tcPr>
          <w:p w14:paraId="2D507C8C" w14:textId="77777777" w:rsidR="009A7962" w:rsidRPr="009A7962" w:rsidRDefault="009A7962" w:rsidP="009A7962">
            <w:pPr>
              <w:suppressAutoHyphens w:val="0"/>
              <w:spacing w:before="0" w:after="0"/>
              <w:jc w:val="left"/>
              <w:rPr>
                <w:rFonts w:eastAsia="Times New Roman" w:cs="Arial"/>
                <w:color w:val="000000"/>
                <w:sz w:val="18"/>
                <w:szCs w:val="18"/>
                <w:lang w:val="en-US"/>
              </w:rPr>
            </w:pPr>
          </w:p>
        </w:tc>
        <w:tc>
          <w:tcPr>
            <w:tcW w:w="474" w:type="pct"/>
            <w:tcBorders>
              <w:top w:val="nil"/>
              <w:left w:val="nil"/>
              <w:bottom w:val="nil"/>
              <w:right w:val="nil"/>
            </w:tcBorders>
            <w:vAlign w:val="center"/>
            <w:hideMark/>
          </w:tcPr>
          <w:p w14:paraId="03C6DD1B" w14:textId="77777777" w:rsidR="009A7962" w:rsidRPr="009A7962" w:rsidRDefault="009A7962" w:rsidP="009A7962">
            <w:pPr>
              <w:suppressAutoHyphens w:val="0"/>
              <w:spacing w:before="0" w:after="0"/>
              <w:jc w:val="left"/>
              <w:rPr>
                <w:rFonts w:eastAsia="Times New Roman" w:cs="Arial"/>
                <w:szCs w:val="20"/>
                <w:lang w:val="en-US"/>
              </w:rPr>
            </w:pPr>
          </w:p>
        </w:tc>
        <w:tc>
          <w:tcPr>
            <w:tcW w:w="474" w:type="pct"/>
            <w:tcBorders>
              <w:top w:val="nil"/>
              <w:left w:val="nil"/>
              <w:bottom w:val="nil"/>
              <w:right w:val="nil"/>
            </w:tcBorders>
            <w:vAlign w:val="center"/>
            <w:hideMark/>
          </w:tcPr>
          <w:p w14:paraId="7F1D0AE7" w14:textId="77777777" w:rsidR="009A7962" w:rsidRPr="009A7962" w:rsidRDefault="009A7962" w:rsidP="009A7962">
            <w:pPr>
              <w:suppressAutoHyphens w:val="0"/>
              <w:spacing w:before="0" w:after="0"/>
              <w:jc w:val="left"/>
              <w:rPr>
                <w:rFonts w:eastAsia="Times New Roman" w:cs="Arial"/>
                <w:szCs w:val="20"/>
                <w:lang w:val="en-US"/>
              </w:rPr>
            </w:pPr>
          </w:p>
        </w:tc>
        <w:tc>
          <w:tcPr>
            <w:tcW w:w="474" w:type="pct"/>
            <w:tcBorders>
              <w:top w:val="nil"/>
              <w:left w:val="nil"/>
              <w:bottom w:val="nil"/>
              <w:right w:val="nil"/>
            </w:tcBorders>
            <w:vAlign w:val="center"/>
            <w:hideMark/>
          </w:tcPr>
          <w:p w14:paraId="183845AB"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0.94**</w:t>
            </w:r>
          </w:p>
        </w:tc>
        <w:tc>
          <w:tcPr>
            <w:tcW w:w="486" w:type="pct"/>
            <w:tcBorders>
              <w:top w:val="nil"/>
              <w:left w:val="nil"/>
              <w:bottom w:val="nil"/>
              <w:right w:val="nil"/>
            </w:tcBorders>
            <w:vAlign w:val="center"/>
            <w:hideMark/>
          </w:tcPr>
          <w:p w14:paraId="41D56D70"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1.24***</w:t>
            </w:r>
          </w:p>
        </w:tc>
        <w:tc>
          <w:tcPr>
            <w:tcW w:w="486" w:type="pct"/>
            <w:tcBorders>
              <w:top w:val="nil"/>
              <w:left w:val="nil"/>
              <w:bottom w:val="nil"/>
              <w:right w:val="nil"/>
            </w:tcBorders>
            <w:vAlign w:val="center"/>
            <w:hideMark/>
          </w:tcPr>
          <w:p w14:paraId="33D443FF"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0.87*</w:t>
            </w:r>
          </w:p>
        </w:tc>
      </w:tr>
      <w:tr w:rsidR="009A7962" w:rsidRPr="009A7962" w14:paraId="064E8926" w14:textId="77777777" w:rsidTr="00587A1F">
        <w:trPr>
          <w:trHeight w:val="300"/>
        </w:trPr>
        <w:tc>
          <w:tcPr>
            <w:tcW w:w="1428" w:type="pct"/>
            <w:tcBorders>
              <w:top w:val="nil"/>
              <w:left w:val="nil"/>
              <w:bottom w:val="nil"/>
              <w:right w:val="nil"/>
            </w:tcBorders>
            <w:vAlign w:val="center"/>
            <w:hideMark/>
          </w:tcPr>
          <w:p w14:paraId="7137B283"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Livestock products (Yes)</w:t>
            </w:r>
          </w:p>
        </w:tc>
        <w:tc>
          <w:tcPr>
            <w:tcW w:w="574" w:type="pct"/>
            <w:tcBorders>
              <w:top w:val="nil"/>
              <w:left w:val="nil"/>
              <w:bottom w:val="nil"/>
              <w:right w:val="nil"/>
            </w:tcBorders>
            <w:vAlign w:val="center"/>
            <w:hideMark/>
          </w:tcPr>
          <w:p w14:paraId="00C8444E"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lang w:val="en-US"/>
              </w:rPr>
              <w:t>18%</w:t>
            </w:r>
          </w:p>
        </w:tc>
        <w:tc>
          <w:tcPr>
            <w:tcW w:w="603" w:type="pct"/>
            <w:tcBorders>
              <w:top w:val="nil"/>
              <w:left w:val="nil"/>
              <w:bottom w:val="nil"/>
              <w:right w:val="nil"/>
            </w:tcBorders>
            <w:vAlign w:val="center"/>
            <w:hideMark/>
          </w:tcPr>
          <w:p w14:paraId="1DF1096E" w14:textId="77777777" w:rsidR="009A7962" w:rsidRPr="009A7962" w:rsidRDefault="009A7962" w:rsidP="009A7962">
            <w:pPr>
              <w:suppressAutoHyphens w:val="0"/>
              <w:spacing w:before="0" w:after="0"/>
              <w:jc w:val="center"/>
              <w:rPr>
                <w:rFonts w:eastAsia="Times New Roman" w:cs="Arial"/>
                <w:color w:val="000000"/>
                <w:sz w:val="18"/>
                <w:szCs w:val="18"/>
                <w:lang w:val="en-US"/>
              </w:rPr>
            </w:pPr>
            <w:r w:rsidRPr="009A7962">
              <w:rPr>
                <w:rFonts w:eastAsia="Times New Roman" w:cs="Arial"/>
                <w:color w:val="000000"/>
                <w:sz w:val="18"/>
                <w:szCs w:val="18"/>
              </w:rPr>
              <w:t>0.81***</w:t>
            </w:r>
          </w:p>
        </w:tc>
        <w:tc>
          <w:tcPr>
            <w:tcW w:w="474" w:type="pct"/>
            <w:tcBorders>
              <w:top w:val="nil"/>
              <w:left w:val="nil"/>
              <w:bottom w:val="nil"/>
              <w:right w:val="nil"/>
            </w:tcBorders>
            <w:vAlign w:val="center"/>
            <w:hideMark/>
          </w:tcPr>
          <w:p w14:paraId="43037111" w14:textId="77777777" w:rsidR="009A7962" w:rsidRPr="009A7962" w:rsidRDefault="009A7962" w:rsidP="009A7962">
            <w:pPr>
              <w:suppressAutoHyphens w:val="0"/>
              <w:spacing w:before="0" w:after="0"/>
              <w:jc w:val="center"/>
              <w:rPr>
                <w:rFonts w:eastAsia="Times New Roman" w:cs="Arial"/>
                <w:color w:val="000000"/>
                <w:sz w:val="18"/>
                <w:szCs w:val="18"/>
                <w:lang w:val="en-US"/>
              </w:rPr>
            </w:pPr>
          </w:p>
        </w:tc>
        <w:tc>
          <w:tcPr>
            <w:tcW w:w="474" w:type="pct"/>
            <w:tcBorders>
              <w:top w:val="nil"/>
              <w:left w:val="nil"/>
              <w:bottom w:val="nil"/>
              <w:right w:val="nil"/>
            </w:tcBorders>
            <w:vAlign w:val="center"/>
            <w:hideMark/>
          </w:tcPr>
          <w:p w14:paraId="76156FAD" w14:textId="77777777" w:rsidR="009A7962" w:rsidRPr="009A7962" w:rsidRDefault="009A7962" w:rsidP="009A7962">
            <w:pPr>
              <w:suppressAutoHyphens w:val="0"/>
              <w:spacing w:before="0" w:after="0"/>
              <w:jc w:val="left"/>
              <w:rPr>
                <w:rFonts w:eastAsia="Times New Roman" w:cs="Arial"/>
                <w:szCs w:val="20"/>
                <w:lang w:val="en-US"/>
              </w:rPr>
            </w:pPr>
          </w:p>
        </w:tc>
        <w:tc>
          <w:tcPr>
            <w:tcW w:w="474" w:type="pct"/>
            <w:tcBorders>
              <w:top w:val="nil"/>
              <w:left w:val="nil"/>
              <w:bottom w:val="nil"/>
              <w:right w:val="nil"/>
            </w:tcBorders>
            <w:vAlign w:val="center"/>
            <w:hideMark/>
          </w:tcPr>
          <w:p w14:paraId="2F6A47EB"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-0.81***</w:t>
            </w:r>
          </w:p>
        </w:tc>
        <w:tc>
          <w:tcPr>
            <w:tcW w:w="486" w:type="pct"/>
            <w:tcBorders>
              <w:top w:val="nil"/>
              <w:left w:val="nil"/>
              <w:bottom w:val="nil"/>
              <w:right w:val="nil"/>
            </w:tcBorders>
            <w:vAlign w:val="center"/>
            <w:hideMark/>
          </w:tcPr>
          <w:p w14:paraId="1B55D6D1" w14:textId="77777777" w:rsidR="009A7962" w:rsidRPr="009A7962" w:rsidRDefault="009A7962" w:rsidP="009A7962">
            <w:pPr>
              <w:suppressAutoHyphens w:val="0"/>
              <w:spacing w:before="0" w:after="0"/>
              <w:jc w:val="left"/>
              <w:rPr>
                <w:rFonts w:eastAsia="Times New Roman" w:cs="Arial"/>
                <w:color w:val="000000"/>
                <w:sz w:val="18"/>
                <w:szCs w:val="18"/>
                <w:lang w:val="en-US"/>
              </w:rPr>
            </w:pPr>
          </w:p>
        </w:tc>
        <w:tc>
          <w:tcPr>
            <w:tcW w:w="486" w:type="pct"/>
            <w:tcBorders>
              <w:top w:val="nil"/>
              <w:left w:val="nil"/>
              <w:bottom w:val="nil"/>
              <w:right w:val="nil"/>
            </w:tcBorders>
            <w:vAlign w:val="center"/>
            <w:hideMark/>
          </w:tcPr>
          <w:p w14:paraId="471EDE9A" w14:textId="77777777" w:rsidR="009A7962" w:rsidRPr="009A7962" w:rsidRDefault="009A7962" w:rsidP="009A7962">
            <w:pPr>
              <w:suppressAutoHyphens w:val="0"/>
              <w:spacing w:before="0" w:after="0"/>
              <w:jc w:val="left"/>
              <w:rPr>
                <w:rFonts w:eastAsia="Times New Roman" w:cs="Arial"/>
                <w:szCs w:val="20"/>
                <w:lang w:val="en-US"/>
              </w:rPr>
            </w:pPr>
          </w:p>
        </w:tc>
      </w:tr>
      <w:tr w:rsidR="009A7962" w:rsidRPr="009A7962" w14:paraId="77B36A4F" w14:textId="77777777" w:rsidTr="00587A1F">
        <w:trPr>
          <w:trHeight w:val="300"/>
        </w:trPr>
        <w:tc>
          <w:tcPr>
            <w:tcW w:w="1428" w:type="pct"/>
            <w:tcBorders>
              <w:top w:val="nil"/>
              <w:left w:val="nil"/>
              <w:bottom w:val="nil"/>
              <w:right w:val="nil"/>
            </w:tcBorders>
            <w:vAlign w:val="center"/>
            <w:hideMark/>
          </w:tcPr>
          <w:p w14:paraId="0DF02A0F"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Pension (Yes)</w:t>
            </w:r>
          </w:p>
        </w:tc>
        <w:tc>
          <w:tcPr>
            <w:tcW w:w="574" w:type="pct"/>
            <w:tcBorders>
              <w:top w:val="nil"/>
              <w:left w:val="nil"/>
              <w:bottom w:val="nil"/>
              <w:right w:val="nil"/>
            </w:tcBorders>
            <w:vAlign w:val="center"/>
            <w:hideMark/>
          </w:tcPr>
          <w:p w14:paraId="518A3E37"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lang w:val="en-US"/>
              </w:rPr>
              <w:t>1%</w:t>
            </w:r>
          </w:p>
        </w:tc>
        <w:tc>
          <w:tcPr>
            <w:tcW w:w="603" w:type="pct"/>
            <w:tcBorders>
              <w:top w:val="nil"/>
              <w:left w:val="nil"/>
              <w:bottom w:val="nil"/>
              <w:right w:val="nil"/>
            </w:tcBorders>
            <w:vAlign w:val="center"/>
            <w:hideMark/>
          </w:tcPr>
          <w:p w14:paraId="3F81A9BC" w14:textId="77777777" w:rsidR="009A7962" w:rsidRPr="009A7962" w:rsidRDefault="009A7962" w:rsidP="009A7962">
            <w:pPr>
              <w:suppressAutoHyphens w:val="0"/>
              <w:spacing w:before="0" w:after="0"/>
              <w:jc w:val="center"/>
              <w:rPr>
                <w:rFonts w:eastAsia="Times New Roman" w:cs="Arial"/>
                <w:color w:val="000000"/>
                <w:sz w:val="18"/>
                <w:szCs w:val="18"/>
                <w:lang w:val="en-US"/>
              </w:rPr>
            </w:pPr>
            <w:r w:rsidRPr="009A7962">
              <w:rPr>
                <w:rFonts w:eastAsia="Times New Roman" w:cs="Arial"/>
                <w:color w:val="000000"/>
                <w:sz w:val="18"/>
                <w:szCs w:val="18"/>
              </w:rPr>
              <w:t>2.45*</w:t>
            </w:r>
          </w:p>
        </w:tc>
        <w:tc>
          <w:tcPr>
            <w:tcW w:w="474" w:type="pct"/>
            <w:tcBorders>
              <w:top w:val="nil"/>
              <w:left w:val="nil"/>
              <w:bottom w:val="nil"/>
              <w:right w:val="nil"/>
            </w:tcBorders>
            <w:vAlign w:val="center"/>
            <w:hideMark/>
          </w:tcPr>
          <w:p w14:paraId="6C595E65" w14:textId="77777777" w:rsidR="009A7962" w:rsidRPr="009A7962" w:rsidRDefault="009A7962" w:rsidP="009A7962">
            <w:pPr>
              <w:suppressAutoHyphens w:val="0"/>
              <w:spacing w:before="0" w:after="0"/>
              <w:jc w:val="center"/>
              <w:rPr>
                <w:rFonts w:eastAsia="Times New Roman" w:cs="Arial"/>
                <w:color w:val="000000"/>
                <w:sz w:val="18"/>
                <w:szCs w:val="18"/>
                <w:lang w:val="en-US"/>
              </w:rPr>
            </w:pPr>
          </w:p>
        </w:tc>
        <w:tc>
          <w:tcPr>
            <w:tcW w:w="474" w:type="pct"/>
            <w:tcBorders>
              <w:top w:val="nil"/>
              <w:left w:val="nil"/>
              <w:bottom w:val="nil"/>
              <w:right w:val="nil"/>
            </w:tcBorders>
            <w:vAlign w:val="center"/>
            <w:hideMark/>
          </w:tcPr>
          <w:p w14:paraId="3B87455F" w14:textId="77777777" w:rsidR="009A7962" w:rsidRPr="009A7962" w:rsidRDefault="009A7962" w:rsidP="009A7962">
            <w:pPr>
              <w:suppressAutoHyphens w:val="0"/>
              <w:spacing w:before="0" w:after="0"/>
              <w:jc w:val="left"/>
              <w:rPr>
                <w:rFonts w:eastAsia="Times New Roman" w:cs="Arial"/>
                <w:szCs w:val="20"/>
                <w:lang w:val="en-US"/>
              </w:rPr>
            </w:pPr>
          </w:p>
        </w:tc>
        <w:tc>
          <w:tcPr>
            <w:tcW w:w="474" w:type="pct"/>
            <w:tcBorders>
              <w:top w:val="nil"/>
              <w:left w:val="nil"/>
              <w:bottom w:val="nil"/>
              <w:right w:val="nil"/>
            </w:tcBorders>
            <w:vAlign w:val="center"/>
            <w:hideMark/>
          </w:tcPr>
          <w:p w14:paraId="4F7D30F1" w14:textId="77777777" w:rsidR="009A7962" w:rsidRPr="009A7962" w:rsidRDefault="009A7962" w:rsidP="009A7962">
            <w:pPr>
              <w:suppressAutoHyphens w:val="0"/>
              <w:spacing w:before="0" w:after="0"/>
              <w:jc w:val="left"/>
              <w:rPr>
                <w:rFonts w:eastAsia="Times New Roman" w:cs="Arial"/>
                <w:szCs w:val="20"/>
                <w:lang w:val="en-US"/>
              </w:rPr>
            </w:pPr>
          </w:p>
        </w:tc>
        <w:tc>
          <w:tcPr>
            <w:tcW w:w="486" w:type="pct"/>
            <w:tcBorders>
              <w:top w:val="nil"/>
              <w:left w:val="nil"/>
              <w:bottom w:val="nil"/>
              <w:right w:val="nil"/>
            </w:tcBorders>
            <w:vAlign w:val="center"/>
            <w:hideMark/>
          </w:tcPr>
          <w:p w14:paraId="10CB68D1" w14:textId="77777777" w:rsidR="009A7962" w:rsidRPr="009A7962" w:rsidRDefault="009A7962" w:rsidP="009A7962">
            <w:pPr>
              <w:suppressAutoHyphens w:val="0"/>
              <w:spacing w:before="0" w:after="0"/>
              <w:jc w:val="right"/>
              <w:rPr>
                <w:rFonts w:eastAsia="Times New Roman" w:cs="Arial"/>
                <w:color w:val="000000"/>
                <w:sz w:val="18"/>
                <w:szCs w:val="18"/>
                <w:lang w:val="en-US"/>
              </w:rPr>
            </w:pPr>
            <w:r w:rsidRPr="009A7962">
              <w:rPr>
                <w:rFonts w:eastAsia="Times New Roman" w:cs="Arial"/>
                <w:color w:val="000000"/>
                <w:sz w:val="18"/>
                <w:szCs w:val="18"/>
              </w:rPr>
              <w:t>-15.68</w:t>
            </w:r>
          </w:p>
        </w:tc>
        <w:tc>
          <w:tcPr>
            <w:tcW w:w="486" w:type="pct"/>
            <w:tcBorders>
              <w:top w:val="nil"/>
              <w:left w:val="nil"/>
              <w:bottom w:val="nil"/>
              <w:right w:val="nil"/>
            </w:tcBorders>
            <w:vAlign w:val="center"/>
            <w:hideMark/>
          </w:tcPr>
          <w:p w14:paraId="6680D68A" w14:textId="77777777" w:rsidR="009A7962" w:rsidRPr="009A7962" w:rsidRDefault="009A7962" w:rsidP="009A7962">
            <w:pPr>
              <w:suppressAutoHyphens w:val="0"/>
              <w:spacing w:before="0" w:after="0"/>
              <w:jc w:val="right"/>
              <w:rPr>
                <w:rFonts w:eastAsia="Times New Roman" w:cs="Arial"/>
                <w:color w:val="000000"/>
                <w:sz w:val="18"/>
                <w:szCs w:val="18"/>
                <w:lang w:val="en-US"/>
              </w:rPr>
            </w:pPr>
          </w:p>
        </w:tc>
      </w:tr>
      <w:tr w:rsidR="009A7962" w:rsidRPr="009A7962" w14:paraId="3A207238" w14:textId="77777777" w:rsidTr="00587A1F">
        <w:trPr>
          <w:trHeight w:val="300"/>
        </w:trPr>
        <w:tc>
          <w:tcPr>
            <w:tcW w:w="1428" w:type="pct"/>
            <w:tcBorders>
              <w:top w:val="nil"/>
              <w:left w:val="nil"/>
              <w:bottom w:val="nil"/>
              <w:right w:val="nil"/>
            </w:tcBorders>
            <w:vAlign w:val="center"/>
            <w:hideMark/>
          </w:tcPr>
          <w:p w14:paraId="39025468"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Hunting gathering (Yes)</w:t>
            </w:r>
          </w:p>
        </w:tc>
        <w:tc>
          <w:tcPr>
            <w:tcW w:w="574" w:type="pct"/>
            <w:tcBorders>
              <w:top w:val="nil"/>
              <w:left w:val="nil"/>
              <w:bottom w:val="nil"/>
              <w:right w:val="nil"/>
            </w:tcBorders>
            <w:vAlign w:val="center"/>
            <w:hideMark/>
          </w:tcPr>
          <w:p w14:paraId="296CEF6D"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lang w:val="en-US"/>
              </w:rPr>
              <w:t>2%</w:t>
            </w:r>
          </w:p>
        </w:tc>
        <w:tc>
          <w:tcPr>
            <w:tcW w:w="603" w:type="pct"/>
            <w:tcBorders>
              <w:top w:val="nil"/>
              <w:left w:val="nil"/>
              <w:bottom w:val="nil"/>
              <w:right w:val="nil"/>
            </w:tcBorders>
            <w:vAlign w:val="center"/>
            <w:hideMark/>
          </w:tcPr>
          <w:p w14:paraId="5329F3AD" w14:textId="77777777" w:rsidR="009A7962" w:rsidRPr="009A7962" w:rsidRDefault="009A7962" w:rsidP="009A7962">
            <w:pPr>
              <w:suppressAutoHyphens w:val="0"/>
              <w:spacing w:before="0" w:after="0"/>
              <w:jc w:val="center"/>
              <w:rPr>
                <w:rFonts w:eastAsia="Times New Roman" w:cs="Arial"/>
                <w:color w:val="000000"/>
                <w:sz w:val="18"/>
                <w:szCs w:val="18"/>
                <w:lang w:val="en-US"/>
              </w:rPr>
            </w:pPr>
            <w:r w:rsidRPr="009A7962">
              <w:rPr>
                <w:rFonts w:eastAsia="Times New Roman" w:cs="Arial"/>
                <w:color w:val="000000"/>
                <w:sz w:val="18"/>
                <w:szCs w:val="18"/>
              </w:rPr>
              <w:t>-2.65</w:t>
            </w:r>
          </w:p>
        </w:tc>
        <w:tc>
          <w:tcPr>
            <w:tcW w:w="474" w:type="pct"/>
            <w:tcBorders>
              <w:top w:val="nil"/>
              <w:left w:val="nil"/>
              <w:bottom w:val="nil"/>
              <w:right w:val="nil"/>
            </w:tcBorders>
            <w:vAlign w:val="center"/>
            <w:hideMark/>
          </w:tcPr>
          <w:p w14:paraId="0B760DD7" w14:textId="77777777" w:rsidR="009A7962" w:rsidRPr="009A7962" w:rsidRDefault="009A7962" w:rsidP="009A7962">
            <w:pPr>
              <w:suppressAutoHyphens w:val="0"/>
              <w:spacing w:before="0" w:after="0"/>
              <w:jc w:val="center"/>
              <w:rPr>
                <w:rFonts w:eastAsia="Times New Roman" w:cs="Arial"/>
                <w:color w:val="000000"/>
                <w:sz w:val="18"/>
                <w:szCs w:val="18"/>
                <w:lang w:val="en-US"/>
              </w:rPr>
            </w:pPr>
          </w:p>
        </w:tc>
        <w:tc>
          <w:tcPr>
            <w:tcW w:w="474" w:type="pct"/>
            <w:tcBorders>
              <w:top w:val="nil"/>
              <w:left w:val="nil"/>
              <w:bottom w:val="nil"/>
              <w:right w:val="nil"/>
            </w:tcBorders>
            <w:vAlign w:val="center"/>
            <w:hideMark/>
          </w:tcPr>
          <w:p w14:paraId="4AFDAA5A" w14:textId="77777777" w:rsidR="009A7962" w:rsidRPr="009A7962" w:rsidRDefault="009A7962" w:rsidP="009A7962">
            <w:pPr>
              <w:suppressAutoHyphens w:val="0"/>
              <w:spacing w:before="0" w:after="0"/>
              <w:jc w:val="right"/>
              <w:rPr>
                <w:rFonts w:eastAsia="Times New Roman" w:cs="Arial"/>
                <w:color w:val="000000"/>
                <w:sz w:val="18"/>
                <w:szCs w:val="18"/>
                <w:lang w:val="en-US"/>
              </w:rPr>
            </w:pPr>
            <w:r w:rsidRPr="009A7962">
              <w:rPr>
                <w:rFonts w:eastAsia="Times New Roman" w:cs="Arial"/>
                <w:color w:val="000000"/>
                <w:sz w:val="18"/>
                <w:szCs w:val="18"/>
              </w:rPr>
              <w:t>-1.1</w:t>
            </w:r>
          </w:p>
        </w:tc>
        <w:tc>
          <w:tcPr>
            <w:tcW w:w="474" w:type="pct"/>
            <w:tcBorders>
              <w:top w:val="nil"/>
              <w:left w:val="nil"/>
              <w:bottom w:val="nil"/>
              <w:right w:val="nil"/>
            </w:tcBorders>
            <w:vAlign w:val="center"/>
            <w:hideMark/>
          </w:tcPr>
          <w:p w14:paraId="007D0FD9"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1.20*</w:t>
            </w:r>
          </w:p>
        </w:tc>
        <w:tc>
          <w:tcPr>
            <w:tcW w:w="486" w:type="pct"/>
            <w:tcBorders>
              <w:top w:val="nil"/>
              <w:left w:val="nil"/>
              <w:bottom w:val="nil"/>
              <w:right w:val="nil"/>
            </w:tcBorders>
            <w:vAlign w:val="center"/>
            <w:hideMark/>
          </w:tcPr>
          <w:p w14:paraId="58D5A071" w14:textId="77777777" w:rsidR="009A7962" w:rsidRPr="009A7962" w:rsidRDefault="009A7962" w:rsidP="009A7962">
            <w:pPr>
              <w:suppressAutoHyphens w:val="0"/>
              <w:spacing w:before="0" w:after="0"/>
              <w:jc w:val="right"/>
              <w:rPr>
                <w:rFonts w:eastAsia="Times New Roman" w:cs="Arial"/>
                <w:color w:val="000000"/>
                <w:sz w:val="18"/>
                <w:szCs w:val="18"/>
                <w:lang w:val="en-US"/>
              </w:rPr>
            </w:pPr>
            <w:r w:rsidRPr="009A7962">
              <w:rPr>
                <w:rFonts w:eastAsia="Times New Roman" w:cs="Arial"/>
                <w:color w:val="000000"/>
                <w:sz w:val="18"/>
                <w:szCs w:val="18"/>
              </w:rPr>
              <w:t>-15.21</w:t>
            </w:r>
          </w:p>
        </w:tc>
        <w:tc>
          <w:tcPr>
            <w:tcW w:w="486" w:type="pct"/>
            <w:tcBorders>
              <w:top w:val="nil"/>
              <w:left w:val="nil"/>
              <w:bottom w:val="nil"/>
              <w:right w:val="nil"/>
            </w:tcBorders>
            <w:vAlign w:val="center"/>
            <w:hideMark/>
          </w:tcPr>
          <w:p w14:paraId="1678FA21" w14:textId="77777777" w:rsidR="009A7962" w:rsidRPr="009A7962" w:rsidRDefault="009A7962" w:rsidP="009A7962">
            <w:pPr>
              <w:suppressAutoHyphens w:val="0"/>
              <w:spacing w:before="0" w:after="0"/>
              <w:jc w:val="right"/>
              <w:rPr>
                <w:rFonts w:eastAsia="Times New Roman" w:cs="Arial"/>
                <w:color w:val="000000"/>
                <w:sz w:val="18"/>
                <w:szCs w:val="18"/>
                <w:lang w:val="en-US"/>
              </w:rPr>
            </w:pPr>
          </w:p>
        </w:tc>
      </w:tr>
      <w:tr w:rsidR="009A7962" w:rsidRPr="009A7962" w14:paraId="49CE1FBE" w14:textId="77777777" w:rsidTr="00587A1F">
        <w:trPr>
          <w:trHeight w:val="300"/>
        </w:trPr>
        <w:tc>
          <w:tcPr>
            <w:tcW w:w="1428" w:type="pct"/>
            <w:tcBorders>
              <w:top w:val="nil"/>
              <w:left w:val="nil"/>
              <w:bottom w:val="nil"/>
              <w:right w:val="nil"/>
            </w:tcBorders>
            <w:vAlign w:val="center"/>
            <w:hideMark/>
          </w:tcPr>
          <w:p w14:paraId="09CAAAF5"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Mining (Yes)</w:t>
            </w:r>
          </w:p>
        </w:tc>
        <w:tc>
          <w:tcPr>
            <w:tcW w:w="574" w:type="pct"/>
            <w:tcBorders>
              <w:top w:val="nil"/>
              <w:left w:val="nil"/>
              <w:bottom w:val="nil"/>
              <w:right w:val="nil"/>
            </w:tcBorders>
            <w:vAlign w:val="center"/>
            <w:hideMark/>
          </w:tcPr>
          <w:p w14:paraId="3F0D3FF6"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lang w:val="en-US"/>
              </w:rPr>
              <w:t>2%</w:t>
            </w:r>
          </w:p>
        </w:tc>
        <w:tc>
          <w:tcPr>
            <w:tcW w:w="603" w:type="pct"/>
            <w:tcBorders>
              <w:top w:val="nil"/>
              <w:left w:val="nil"/>
              <w:bottom w:val="nil"/>
              <w:right w:val="nil"/>
            </w:tcBorders>
            <w:vAlign w:val="center"/>
            <w:hideMark/>
          </w:tcPr>
          <w:p w14:paraId="7A5B9ABA" w14:textId="77777777" w:rsidR="009A7962" w:rsidRPr="009A7962" w:rsidRDefault="009A7962" w:rsidP="009A7962">
            <w:pPr>
              <w:suppressAutoHyphens w:val="0"/>
              <w:spacing w:before="0" w:after="0"/>
              <w:jc w:val="left"/>
              <w:rPr>
                <w:rFonts w:eastAsia="Times New Roman" w:cs="Arial"/>
                <w:color w:val="000000"/>
                <w:sz w:val="18"/>
                <w:szCs w:val="18"/>
                <w:lang w:val="en-US"/>
              </w:rPr>
            </w:pPr>
          </w:p>
        </w:tc>
        <w:tc>
          <w:tcPr>
            <w:tcW w:w="474" w:type="pct"/>
            <w:tcBorders>
              <w:top w:val="nil"/>
              <w:left w:val="nil"/>
              <w:bottom w:val="nil"/>
              <w:right w:val="nil"/>
            </w:tcBorders>
            <w:vAlign w:val="center"/>
            <w:hideMark/>
          </w:tcPr>
          <w:p w14:paraId="274BD406" w14:textId="77777777" w:rsidR="009A7962" w:rsidRPr="009A7962" w:rsidRDefault="009A7962" w:rsidP="009A7962">
            <w:pPr>
              <w:suppressAutoHyphens w:val="0"/>
              <w:spacing w:before="0" w:after="0"/>
              <w:jc w:val="left"/>
              <w:rPr>
                <w:rFonts w:eastAsia="Times New Roman" w:cs="Arial"/>
                <w:szCs w:val="20"/>
                <w:lang w:val="en-US"/>
              </w:rPr>
            </w:pPr>
          </w:p>
        </w:tc>
        <w:tc>
          <w:tcPr>
            <w:tcW w:w="474" w:type="pct"/>
            <w:tcBorders>
              <w:top w:val="nil"/>
              <w:left w:val="nil"/>
              <w:bottom w:val="nil"/>
              <w:right w:val="nil"/>
            </w:tcBorders>
            <w:vAlign w:val="center"/>
            <w:hideMark/>
          </w:tcPr>
          <w:p w14:paraId="2311A6CC" w14:textId="77777777" w:rsidR="009A7962" w:rsidRPr="009A7962" w:rsidRDefault="009A7962" w:rsidP="009A7962">
            <w:pPr>
              <w:suppressAutoHyphens w:val="0"/>
              <w:spacing w:before="0" w:after="0"/>
              <w:jc w:val="left"/>
              <w:rPr>
                <w:rFonts w:eastAsia="Times New Roman" w:cs="Arial"/>
                <w:szCs w:val="20"/>
                <w:lang w:val="en-US"/>
              </w:rPr>
            </w:pPr>
          </w:p>
        </w:tc>
        <w:tc>
          <w:tcPr>
            <w:tcW w:w="474" w:type="pct"/>
            <w:tcBorders>
              <w:top w:val="nil"/>
              <w:left w:val="nil"/>
              <w:bottom w:val="nil"/>
              <w:right w:val="nil"/>
            </w:tcBorders>
            <w:vAlign w:val="center"/>
            <w:hideMark/>
          </w:tcPr>
          <w:p w14:paraId="7738B7EC" w14:textId="77777777" w:rsidR="009A7962" w:rsidRPr="009A7962" w:rsidRDefault="009A7962" w:rsidP="009A7962">
            <w:pPr>
              <w:suppressAutoHyphens w:val="0"/>
              <w:spacing w:before="0" w:after="0"/>
              <w:jc w:val="left"/>
              <w:rPr>
                <w:rFonts w:eastAsia="Times New Roman" w:cs="Arial"/>
                <w:szCs w:val="20"/>
                <w:lang w:val="en-US"/>
              </w:rPr>
            </w:pPr>
          </w:p>
        </w:tc>
        <w:tc>
          <w:tcPr>
            <w:tcW w:w="486" w:type="pct"/>
            <w:tcBorders>
              <w:top w:val="nil"/>
              <w:left w:val="nil"/>
              <w:bottom w:val="nil"/>
              <w:right w:val="nil"/>
            </w:tcBorders>
            <w:vAlign w:val="center"/>
            <w:hideMark/>
          </w:tcPr>
          <w:p w14:paraId="55F4D471" w14:textId="77777777" w:rsidR="009A7962" w:rsidRPr="009A7962" w:rsidRDefault="009A7962" w:rsidP="009A7962">
            <w:pPr>
              <w:suppressAutoHyphens w:val="0"/>
              <w:spacing w:before="0" w:after="0"/>
              <w:jc w:val="right"/>
              <w:rPr>
                <w:rFonts w:eastAsia="Times New Roman" w:cs="Arial"/>
                <w:color w:val="000000"/>
                <w:sz w:val="18"/>
                <w:szCs w:val="18"/>
                <w:lang w:val="en-US"/>
              </w:rPr>
            </w:pPr>
            <w:r w:rsidRPr="009A7962">
              <w:rPr>
                <w:rFonts w:eastAsia="Times New Roman" w:cs="Arial"/>
                <w:color w:val="000000"/>
                <w:sz w:val="18"/>
                <w:szCs w:val="18"/>
              </w:rPr>
              <w:t>-1.12</w:t>
            </w:r>
          </w:p>
        </w:tc>
        <w:tc>
          <w:tcPr>
            <w:tcW w:w="486" w:type="pct"/>
            <w:tcBorders>
              <w:top w:val="nil"/>
              <w:left w:val="nil"/>
              <w:bottom w:val="nil"/>
              <w:right w:val="nil"/>
            </w:tcBorders>
            <w:vAlign w:val="center"/>
            <w:hideMark/>
          </w:tcPr>
          <w:p w14:paraId="2C86C8B2" w14:textId="77777777" w:rsidR="009A7962" w:rsidRPr="009A7962" w:rsidRDefault="009A7962" w:rsidP="009A7962">
            <w:pPr>
              <w:suppressAutoHyphens w:val="0"/>
              <w:spacing w:before="0" w:after="0"/>
              <w:jc w:val="right"/>
              <w:rPr>
                <w:rFonts w:eastAsia="Times New Roman" w:cs="Arial"/>
                <w:color w:val="000000"/>
                <w:sz w:val="18"/>
                <w:szCs w:val="18"/>
                <w:lang w:val="en-US"/>
              </w:rPr>
            </w:pPr>
          </w:p>
        </w:tc>
      </w:tr>
      <w:tr w:rsidR="009A7962" w:rsidRPr="009A7962" w14:paraId="248E4803" w14:textId="77777777" w:rsidTr="00587A1F">
        <w:trPr>
          <w:trHeight w:val="300"/>
        </w:trPr>
        <w:tc>
          <w:tcPr>
            <w:tcW w:w="1428" w:type="pct"/>
            <w:tcBorders>
              <w:top w:val="single" w:sz="4" w:space="0" w:color="auto"/>
              <w:left w:val="nil"/>
              <w:bottom w:val="nil"/>
              <w:right w:val="nil"/>
            </w:tcBorders>
            <w:vAlign w:val="center"/>
            <w:hideMark/>
          </w:tcPr>
          <w:p w14:paraId="03A49604"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Constant</w:t>
            </w:r>
          </w:p>
        </w:tc>
        <w:tc>
          <w:tcPr>
            <w:tcW w:w="574" w:type="pct"/>
            <w:tcBorders>
              <w:top w:val="single" w:sz="4" w:space="0" w:color="auto"/>
              <w:left w:val="nil"/>
              <w:bottom w:val="nil"/>
              <w:right w:val="nil"/>
            </w:tcBorders>
            <w:vAlign w:val="center"/>
            <w:hideMark/>
          </w:tcPr>
          <w:p w14:paraId="5C1BD0B2"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lang w:val="en-US"/>
              </w:rPr>
              <w:t> </w:t>
            </w:r>
          </w:p>
        </w:tc>
        <w:tc>
          <w:tcPr>
            <w:tcW w:w="603" w:type="pct"/>
            <w:tcBorders>
              <w:top w:val="single" w:sz="4" w:space="0" w:color="auto"/>
              <w:left w:val="nil"/>
              <w:bottom w:val="nil"/>
              <w:right w:val="nil"/>
            </w:tcBorders>
            <w:vAlign w:val="center"/>
            <w:hideMark/>
          </w:tcPr>
          <w:p w14:paraId="3222342D" w14:textId="77777777" w:rsidR="009A7962" w:rsidRPr="009A7962" w:rsidRDefault="009A7962" w:rsidP="009A7962">
            <w:pPr>
              <w:suppressAutoHyphens w:val="0"/>
              <w:spacing w:before="0" w:after="0"/>
              <w:jc w:val="center"/>
              <w:rPr>
                <w:rFonts w:eastAsia="Times New Roman" w:cs="Arial"/>
                <w:color w:val="000000"/>
                <w:sz w:val="18"/>
                <w:szCs w:val="18"/>
                <w:lang w:val="en-US"/>
              </w:rPr>
            </w:pPr>
            <w:r w:rsidRPr="009A7962">
              <w:rPr>
                <w:rFonts w:eastAsia="Times New Roman" w:cs="Arial"/>
                <w:color w:val="000000"/>
                <w:sz w:val="18"/>
                <w:szCs w:val="18"/>
              </w:rPr>
              <w:t>-1.98***</w:t>
            </w:r>
          </w:p>
        </w:tc>
        <w:tc>
          <w:tcPr>
            <w:tcW w:w="474" w:type="pct"/>
            <w:tcBorders>
              <w:top w:val="single" w:sz="4" w:space="0" w:color="auto"/>
              <w:left w:val="nil"/>
              <w:bottom w:val="nil"/>
              <w:right w:val="nil"/>
            </w:tcBorders>
            <w:vAlign w:val="center"/>
            <w:hideMark/>
          </w:tcPr>
          <w:p w14:paraId="65387152" w14:textId="77777777" w:rsidR="009A7962" w:rsidRPr="009A7962" w:rsidRDefault="009A7962" w:rsidP="009A7962">
            <w:pPr>
              <w:suppressAutoHyphens w:val="0"/>
              <w:spacing w:before="0" w:after="0"/>
              <w:jc w:val="right"/>
              <w:rPr>
                <w:rFonts w:eastAsia="Times New Roman" w:cs="Arial"/>
                <w:color w:val="000000"/>
                <w:sz w:val="18"/>
                <w:szCs w:val="18"/>
                <w:lang w:val="en-US"/>
              </w:rPr>
            </w:pPr>
            <w:r w:rsidRPr="009A7962">
              <w:rPr>
                <w:rFonts w:eastAsia="Times New Roman" w:cs="Arial"/>
                <w:color w:val="000000"/>
                <w:sz w:val="18"/>
                <w:szCs w:val="18"/>
              </w:rPr>
              <w:t>0.02</w:t>
            </w:r>
          </w:p>
        </w:tc>
        <w:tc>
          <w:tcPr>
            <w:tcW w:w="474" w:type="pct"/>
            <w:tcBorders>
              <w:top w:val="single" w:sz="4" w:space="0" w:color="auto"/>
              <w:left w:val="nil"/>
              <w:bottom w:val="nil"/>
              <w:right w:val="nil"/>
            </w:tcBorders>
            <w:vAlign w:val="center"/>
            <w:hideMark/>
          </w:tcPr>
          <w:p w14:paraId="416041DD"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-0.72***</w:t>
            </w:r>
          </w:p>
        </w:tc>
        <w:tc>
          <w:tcPr>
            <w:tcW w:w="474" w:type="pct"/>
            <w:tcBorders>
              <w:top w:val="single" w:sz="4" w:space="0" w:color="auto"/>
              <w:left w:val="nil"/>
              <w:bottom w:val="nil"/>
              <w:right w:val="nil"/>
            </w:tcBorders>
            <w:vAlign w:val="center"/>
            <w:hideMark/>
          </w:tcPr>
          <w:p w14:paraId="24CB846B" w14:textId="77777777" w:rsidR="009A7962" w:rsidRPr="009A7962" w:rsidRDefault="009A7962" w:rsidP="009A7962">
            <w:pPr>
              <w:suppressAutoHyphens w:val="0"/>
              <w:spacing w:before="0" w:after="0"/>
              <w:jc w:val="right"/>
              <w:rPr>
                <w:rFonts w:eastAsia="Times New Roman" w:cs="Arial"/>
                <w:color w:val="000000"/>
                <w:sz w:val="18"/>
                <w:szCs w:val="18"/>
                <w:lang w:val="en-US"/>
              </w:rPr>
            </w:pPr>
            <w:r w:rsidRPr="009A7962">
              <w:rPr>
                <w:rFonts w:eastAsia="Times New Roman" w:cs="Arial"/>
                <w:color w:val="000000"/>
                <w:sz w:val="18"/>
                <w:szCs w:val="18"/>
              </w:rPr>
              <w:t>-0.268</w:t>
            </w:r>
          </w:p>
        </w:tc>
        <w:tc>
          <w:tcPr>
            <w:tcW w:w="486" w:type="pct"/>
            <w:tcBorders>
              <w:top w:val="single" w:sz="4" w:space="0" w:color="auto"/>
              <w:left w:val="nil"/>
              <w:bottom w:val="nil"/>
              <w:right w:val="nil"/>
            </w:tcBorders>
            <w:vAlign w:val="center"/>
            <w:hideMark/>
          </w:tcPr>
          <w:p w14:paraId="2EA3BB23"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1.271***</w:t>
            </w:r>
          </w:p>
        </w:tc>
        <w:tc>
          <w:tcPr>
            <w:tcW w:w="486" w:type="pct"/>
            <w:tcBorders>
              <w:top w:val="single" w:sz="4" w:space="0" w:color="auto"/>
              <w:left w:val="nil"/>
              <w:bottom w:val="nil"/>
              <w:right w:val="nil"/>
            </w:tcBorders>
            <w:vAlign w:val="center"/>
            <w:hideMark/>
          </w:tcPr>
          <w:p w14:paraId="5A4F0561"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1.085***</w:t>
            </w:r>
          </w:p>
        </w:tc>
      </w:tr>
      <w:tr w:rsidR="009A7962" w:rsidRPr="009A7962" w14:paraId="4E641487" w14:textId="77777777" w:rsidTr="00587A1F">
        <w:trPr>
          <w:trHeight w:val="300"/>
        </w:trPr>
        <w:tc>
          <w:tcPr>
            <w:tcW w:w="1428" w:type="pct"/>
            <w:tcBorders>
              <w:top w:val="nil"/>
              <w:left w:val="nil"/>
              <w:bottom w:val="nil"/>
              <w:right w:val="nil"/>
            </w:tcBorders>
            <w:vAlign w:val="center"/>
            <w:hideMark/>
          </w:tcPr>
          <w:p w14:paraId="016D528A"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Observations</w:t>
            </w:r>
          </w:p>
        </w:tc>
        <w:tc>
          <w:tcPr>
            <w:tcW w:w="574" w:type="pct"/>
            <w:tcBorders>
              <w:top w:val="nil"/>
              <w:left w:val="nil"/>
              <w:bottom w:val="nil"/>
              <w:right w:val="nil"/>
            </w:tcBorders>
            <w:vAlign w:val="center"/>
            <w:hideMark/>
          </w:tcPr>
          <w:p w14:paraId="5A043B7E" w14:textId="77777777" w:rsidR="009A7962" w:rsidRPr="009A7962" w:rsidRDefault="009A7962" w:rsidP="009A7962">
            <w:pPr>
              <w:suppressAutoHyphens w:val="0"/>
              <w:spacing w:before="0" w:after="0"/>
              <w:jc w:val="left"/>
              <w:rPr>
                <w:rFonts w:eastAsia="Times New Roman" w:cs="Arial"/>
                <w:color w:val="000000"/>
                <w:sz w:val="18"/>
                <w:szCs w:val="18"/>
                <w:lang w:val="en-US"/>
              </w:rPr>
            </w:pPr>
          </w:p>
        </w:tc>
        <w:tc>
          <w:tcPr>
            <w:tcW w:w="603" w:type="pct"/>
            <w:tcBorders>
              <w:top w:val="nil"/>
              <w:left w:val="nil"/>
              <w:bottom w:val="nil"/>
              <w:right w:val="nil"/>
            </w:tcBorders>
            <w:vAlign w:val="center"/>
            <w:hideMark/>
          </w:tcPr>
          <w:p w14:paraId="6F6B35ED" w14:textId="77777777" w:rsidR="009A7962" w:rsidRPr="009A7962" w:rsidRDefault="009A7962" w:rsidP="009A7962">
            <w:pPr>
              <w:suppressAutoHyphens w:val="0"/>
              <w:spacing w:before="0" w:after="0"/>
              <w:jc w:val="center"/>
              <w:rPr>
                <w:rFonts w:eastAsia="Times New Roman" w:cs="Arial"/>
                <w:color w:val="000000"/>
                <w:sz w:val="18"/>
                <w:szCs w:val="18"/>
                <w:lang w:val="en-US"/>
              </w:rPr>
            </w:pPr>
            <w:r w:rsidRPr="009A7962">
              <w:rPr>
                <w:rFonts w:eastAsia="Times New Roman" w:cs="Arial"/>
                <w:color w:val="000000"/>
                <w:sz w:val="18"/>
                <w:szCs w:val="18"/>
              </w:rPr>
              <w:t>503</w:t>
            </w:r>
          </w:p>
        </w:tc>
        <w:tc>
          <w:tcPr>
            <w:tcW w:w="474" w:type="pct"/>
            <w:tcBorders>
              <w:top w:val="nil"/>
              <w:left w:val="nil"/>
              <w:bottom w:val="nil"/>
              <w:right w:val="nil"/>
            </w:tcBorders>
            <w:vAlign w:val="center"/>
            <w:hideMark/>
          </w:tcPr>
          <w:p w14:paraId="7F00B2A4" w14:textId="77777777" w:rsidR="009A7962" w:rsidRPr="009A7962" w:rsidRDefault="009A7962" w:rsidP="009A7962">
            <w:pPr>
              <w:suppressAutoHyphens w:val="0"/>
              <w:spacing w:before="0" w:after="0"/>
              <w:jc w:val="right"/>
              <w:rPr>
                <w:rFonts w:eastAsia="Times New Roman" w:cs="Arial"/>
                <w:color w:val="000000"/>
                <w:sz w:val="18"/>
                <w:szCs w:val="18"/>
                <w:lang w:val="en-US"/>
              </w:rPr>
            </w:pPr>
            <w:r w:rsidRPr="009A7962">
              <w:rPr>
                <w:rFonts w:eastAsia="Times New Roman" w:cs="Arial"/>
                <w:color w:val="000000"/>
                <w:sz w:val="18"/>
                <w:szCs w:val="18"/>
              </w:rPr>
              <w:t>503</w:t>
            </w:r>
          </w:p>
        </w:tc>
        <w:tc>
          <w:tcPr>
            <w:tcW w:w="474" w:type="pct"/>
            <w:tcBorders>
              <w:top w:val="nil"/>
              <w:left w:val="nil"/>
              <w:bottom w:val="nil"/>
              <w:right w:val="nil"/>
            </w:tcBorders>
            <w:vAlign w:val="center"/>
            <w:hideMark/>
          </w:tcPr>
          <w:p w14:paraId="58D22CFF" w14:textId="77777777" w:rsidR="009A7962" w:rsidRPr="009A7962" w:rsidRDefault="009A7962" w:rsidP="009A7962">
            <w:pPr>
              <w:suppressAutoHyphens w:val="0"/>
              <w:spacing w:before="0" w:after="0"/>
              <w:jc w:val="right"/>
              <w:rPr>
                <w:rFonts w:eastAsia="Times New Roman" w:cs="Arial"/>
                <w:color w:val="000000"/>
                <w:sz w:val="18"/>
                <w:szCs w:val="18"/>
                <w:lang w:val="en-US"/>
              </w:rPr>
            </w:pPr>
            <w:r w:rsidRPr="009A7962">
              <w:rPr>
                <w:rFonts w:eastAsia="Times New Roman" w:cs="Arial"/>
                <w:color w:val="000000"/>
                <w:sz w:val="18"/>
                <w:szCs w:val="18"/>
              </w:rPr>
              <w:t>503</w:t>
            </w:r>
          </w:p>
        </w:tc>
        <w:tc>
          <w:tcPr>
            <w:tcW w:w="474" w:type="pct"/>
            <w:tcBorders>
              <w:top w:val="nil"/>
              <w:left w:val="nil"/>
              <w:bottom w:val="nil"/>
              <w:right w:val="nil"/>
            </w:tcBorders>
            <w:vAlign w:val="center"/>
            <w:hideMark/>
          </w:tcPr>
          <w:p w14:paraId="12151060" w14:textId="77777777" w:rsidR="009A7962" w:rsidRPr="009A7962" w:rsidRDefault="009A7962" w:rsidP="009A7962">
            <w:pPr>
              <w:suppressAutoHyphens w:val="0"/>
              <w:spacing w:before="0" w:after="0"/>
              <w:jc w:val="right"/>
              <w:rPr>
                <w:rFonts w:eastAsia="Times New Roman" w:cs="Arial"/>
                <w:color w:val="000000"/>
                <w:sz w:val="18"/>
                <w:szCs w:val="18"/>
                <w:lang w:val="en-US"/>
              </w:rPr>
            </w:pPr>
            <w:r w:rsidRPr="009A7962">
              <w:rPr>
                <w:rFonts w:eastAsia="Times New Roman" w:cs="Arial"/>
                <w:color w:val="000000"/>
                <w:sz w:val="18"/>
                <w:szCs w:val="18"/>
              </w:rPr>
              <w:t>503</w:t>
            </w:r>
          </w:p>
        </w:tc>
        <w:tc>
          <w:tcPr>
            <w:tcW w:w="486" w:type="pct"/>
            <w:tcBorders>
              <w:top w:val="nil"/>
              <w:left w:val="nil"/>
              <w:bottom w:val="nil"/>
              <w:right w:val="nil"/>
            </w:tcBorders>
            <w:vAlign w:val="center"/>
            <w:hideMark/>
          </w:tcPr>
          <w:p w14:paraId="4D21EF44" w14:textId="77777777" w:rsidR="009A7962" w:rsidRPr="009A7962" w:rsidRDefault="009A7962" w:rsidP="009A7962">
            <w:pPr>
              <w:suppressAutoHyphens w:val="0"/>
              <w:spacing w:before="0" w:after="0"/>
              <w:jc w:val="right"/>
              <w:rPr>
                <w:rFonts w:eastAsia="Times New Roman" w:cs="Arial"/>
                <w:color w:val="000000"/>
                <w:sz w:val="18"/>
                <w:szCs w:val="18"/>
                <w:lang w:val="en-US"/>
              </w:rPr>
            </w:pPr>
            <w:r w:rsidRPr="009A7962">
              <w:rPr>
                <w:rFonts w:eastAsia="Times New Roman" w:cs="Arial"/>
                <w:color w:val="000000"/>
                <w:sz w:val="18"/>
                <w:szCs w:val="18"/>
              </w:rPr>
              <w:t>503</w:t>
            </w:r>
          </w:p>
        </w:tc>
        <w:tc>
          <w:tcPr>
            <w:tcW w:w="486" w:type="pct"/>
            <w:tcBorders>
              <w:top w:val="nil"/>
              <w:left w:val="nil"/>
              <w:bottom w:val="nil"/>
              <w:right w:val="nil"/>
            </w:tcBorders>
            <w:vAlign w:val="center"/>
            <w:hideMark/>
          </w:tcPr>
          <w:p w14:paraId="29E4ECFB" w14:textId="77777777" w:rsidR="009A7962" w:rsidRPr="009A7962" w:rsidRDefault="009A7962" w:rsidP="009A7962">
            <w:pPr>
              <w:suppressAutoHyphens w:val="0"/>
              <w:spacing w:before="0" w:after="0"/>
              <w:jc w:val="right"/>
              <w:rPr>
                <w:rFonts w:eastAsia="Times New Roman" w:cs="Arial"/>
                <w:color w:val="000000"/>
                <w:sz w:val="18"/>
                <w:szCs w:val="18"/>
                <w:lang w:val="en-US"/>
              </w:rPr>
            </w:pPr>
            <w:r w:rsidRPr="009A7962">
              <w:rPr>
                <w:rFonts w:eastAsia="Times New Roman" w:cs="Arial"/>
                <w:color w:val="000000"/>
                <w:sz w:val="18"/>
                <w:szCs w:val="18"/>
              </w:rPr>
              <w:t>503</w:t>
            </w:r>
          </w:p>
        </w:tc>
      </w:tr>
      <w:tr w:rsidR="009A7962" w:rsidRPr="009A7962" w14:paraId="32D0396C" w14:textId="77777777" w:rsidTr="00587A1F">
        <w:trPr>
          <w:trHeight w:val="300"/>
        </w:trPr>
        <w:tc>
          <w:tcPr>
            <w:tcW w:w="1428" w:type="pct"/>
            <w:tcBorders>
              <w:top w:val="nil"/>
              <w:left w:val="nil"/>
              <w:bottom w:val="nil"/>
              <w:right w:val="nil"/>
            </w:tcBorders>
            <w:vAlign w:val="center"/>
            <w:hideMark/>
          </w:tcPr>
          <w:p w14:paraId="7074537C"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Log Likelihood</w:t>
            </w:r>
          </w:p>
        </w:tc>
        <w:tc>
          <w:tcPr>
            <w:tcW w:w="574" w:type="pct"/>
            <w:tcBorders>
              <w:top w:val="nil"/>
              <w:left w:val="nil"/>
              <w:bottom w:val="nil"/>
              <w:right w:val="nil"/>
            </w:tcBorders>
            <w:vAlign w:val="center"/>
            <w:hideMark/>
          </w:tcPr>
          <w:p w14:paraId="39B3B116" w14:textId="77777777" w:rsidR="009A7962" w:rsidRPr="009A7962" w:rsidRDefault="009A7962" w:rsidP="009A7962">
            <w:pPr>
              <w:suppressAutoHyphens w:val="0"/>
              <w:spacing w:before="0" w:after="0"/>
              <w:jc w:val="left"/>
              <w:rPr>
                <w:rFonts w:eastAsia="Times New Roman" w:cs="Arial"/>
                <w:color w:val="000000"/>
                <w:sz w:val="18"/>
                <w:szCs w:val="18"/>
                <w:lang w:val="en-US"/>
              </w:rPr>
            </w:pPr>
          </w:p>
        </w:tc>
        <w:tc>
          <w:tcPr>
            <w:tcW w:w="603" w:type="pct"/>
            <w:tcBorders>
              <w:top w:val="nil"/>
              <w:left w:val="nil"/>
              <w:bottom w:val="nil"/>
              <w:right w:val="nil"/>
            </w:tcBorders>
            <w:vAlign w:val="center"/>
            <w:hideMark/>
          </w:tcPr>
          <w:p w14:paraId="3D9D6857" w14:textId="77777777" w:rsidR="009A7962" w:rsidRPr="009A7962" w:rsidRDefault="009A7962" w:rsidP="009A7962">
            <w:pPr>
              <w:suppressAutoHyphens w:val="0"/>
              <w:spacing w:before="0" w:after="0"/>
              <w:jc w:val="center"/>
              <w:rPr>
                <w:rFonts w:eastAsia="Times New Roman" w:cs="Arial"/>
                <w:color w:val="000000"/>
                <w:sz w:val="18"/>
                <w:szCs w:val="18"/>
                <w:lang w:val="en-US"/>
              </w:rPr>
            </w:pPr>
            <w:r w:rsidRPr="009A7962">
              <w:rPr>
                <w:rFonts w:eastAsia="Times New Roman" w:cs="Arial"/>
                <w:color w:val="000000"/>
                <w:sz w:val="18"/>
                <w:szCs w:val="18"/>
              </w:rPr>
              <w:t>-268.5</w:t>
            </w:r>
          </w:p>
        </w:tc>
        <w:tc>
          <w:tcPr>
            <w:tcW w:w="474" w:type="pct"/>
            <w:tcBorders>
              <w:top w:val="nil"/>
              <w:left w:val="nil"/>
              <w:bottom w:val="nil"/>
              <w:right w:val="nil"/>
            </w:tcBorders>
            <w:vAlign w:val="center"/>
            <w:hideMark/>
          </w:tcPr>
          <w:p w14:paraId="5AB8B928" w14:textId="77777777" w:rsidR="009A7962" w:rsidRPr="009A7962" w:rsidRDefault="009A7962" w:rsidP="009A7962">
            <w:pPr>
              <w:suppressAutoHyphens w:val="0"/>
              <w:spacing w:before="0" w:after="0"/>
              <w:jc w:val="right"/>
              <w:rPr>
                <w:rFonts w:eastAsia="Times New Roman" w:cs="Arial"/>
                <w:color w:val="000000"/>
                <w:sz w:val="18"/>
                <w:szCs w:val="18"/>
                <w:lang w:val="en-US"/>
              </w:rPr>
            </w:pPr>
            <w:r w:rsidRPr="009A7962">
              <w:rPr>
                <w:rFonts w:eastAsia="Times New Roman" w:cs="Arial"/>
                <w:color w:val="000000"/>
                <w:sz w:val="18"/>
                <w:szCs w:val="18"/>
              </w:rPr>
              <w:t>-331.4</w:t>
            </w:r>
          </w:p>
        </w:tc>
        <w:tc>
          <w:tcPr>
            <w:tcW w:w="474" w:type="pct"/>
            <w:tcBorders>
              <w:top w:val="nil"/>
              <w:left w:val="nil"/>
              <w:bottom w:val="nil"/>
              <w:right w:val="nil"/>
            </w:tcBorders>
            <w:vAlign w:val="center"/>
            <w:hideMark/>
          </w:tcPr>
          <w:p w14:paraId="7BA40E6A" w14:textId="77777777" w:rsidR="009A7962" w:rsidRPr="009A7962" w:rsidRDefault="009A7962" w:rsidP="009A7962">
            <w:pPr>
              <w:suppressAutoHyphens w:val="0"/>
              <w:spacing w:before="0" w:after="0"/>
              <w:jc w:val="right"/>
              <w:rPr>
                <w:rFonts w:eastAsia="Times New Roman" w:cs="Arial"/>
                <w:color w:val="000000"/>
                <w:sz w:val="18"/>
                <w:szCs w:val="18"/>
                <w:lang w:val="en-US"/>
              </w:rPr>
            </w:pPr>
            <w:r w:rsidRPr="009A7962">
              <w:rPr>
                <w:rFonts w:eastAsia="Times New Roman" w:cs="Arial"/>
                <w:color w:val="000000"/>
                <w:sz w:val="18"/>
                <w:szCs w:val="18"/>
              </w:rPr>
              <w:t>-332.3</w:t>
            </w:r>
          </w:p>
        </w:tc>
        <w:tc>
          <w:tcPr>
            <w:tcW w:w="474" w:type="pct"/>
            <w:tcBorders>
              <w:top w:val="nil"/>
              <w:left w:val="nil"/>
              <w:bottom w:val="nil"/>
              <w:right w:val="nil"/>
            </w:tcBorders>
            <w:vAlign w:val="center"/>
            <w:hideMark/>
          </w:tcPr>
          <w:p w14:paraId="5FCA055F" w14:textId="77777777" w:rsidR="009A7962" w:rsidRPr="009A7962" w:rsidRDefault="009A7962" w:rsidP="009A7962">
            <w:pPr>
              <w:suppressAutoHyphens w:val="0"/>
              <w:spacing w:before="0" w:after="0"/>
              <w:jc w:val="right"/>
              <w:rPr>
                <w:rFonts w:eastAsia="Times New Roman" w:cs="Arial"/>
                <w:color w:val="000000"/>
                <w:sz w:val="18"/>
                <w:szCs w:val="18"/>
                <w:lang w:val="en-US"/>
              </w:rPr>
            </w:pPr>
            <w:r w:rsidRPr="009A7962">
              <w:rPr>
                <w:rFonts w:eastAsia="Times New Roman" w:cs="Arial"/>
                <w:color w:val="000000"/>
                <w:sz w:val="18"/>
                <w:szCs w:val="18"/>
              </w:rPr>
              <w:t>-298.3</w:t>
            </w:r>
          </w:p>
        </w:tc>
        <w:tc>
          <w:tcPr>
            <w:tcW w:w="486" w:type="pct"/>
            <w:tcBorders>
              <w:top w:val="nil"/>
              <w:left w:val="nil"/>
              <w:bottom w:val="nil"/>
              <w:right w:val="nil"/>
            </w:tcBorders>
            <w:vAlign w:val="center"/>
            <w:hideMark/>
          </w:tcPr>
          <w:p w14:paraId="643CF9EE" w14:textId="77777777" w:rsidR="009A7962" w:rsidRPr="009A7962" w:rsidRDefault="009A7962" w:rsidP="009A7962">
            <w:pPr>
              <w:suppressAutoHyphens w:val="0"/>
              <w:spacing w:before="0" w:after="0"/>
              <w:jc w:val="right"/>
              <w:rPr>
                <w:rFonts w:eastAsia="Times New Roman" w:cs="Arial"/>
                <w:color w:val="000000"/>
                <w:sz w:val="18"/>
                <w:szCs w:val="18"/>
                <w:lang w:val="en-US"/>
              </w:rPr>
            </w:pPr>
            <w:r w:rsidRPr="009A7962">
              <w:rPr>
                <w:rFonts w:eastAsia="Times New Roman" w:cs="Arial"/>
                <w:color w:val="000000"/>
                <w:sz w:val="18"/>
                <w:szCs w:val="18"/>
              </w:rPr>
              <w:t>-290.8</w:t>
            </w:r>
          </w:p>
        </w:tc>
        <w:tc>
          <w:tcPr>
            <w:tcW w:w="486" w:type="pct"/>
            <w:tcBorders>
              <w:top w:val="nil"/>
              <w:left w:val="nil"/>
              <w:bottom w:val="nil"/>
              <w:right w:val="nil"/>
            </w:tcBorders>
            <w:vAlign w:val="center"/>
            <w:hideMark/>
          </w:tcPr>
          <w:p w14:paraId="124D194C" w14:textId="77777777" w:rsidR="009A7962" w:rsidRPr="009A7962" w:rsidRDefault="009A7962" w:rsidP="009A7962">
            <w:pPr>
              <w:suppressAutoHyphens w:val="0"/>
              <w:spacing w:before="0" w:after="0"/>
              <w:jc w:val="right"/>
              <w:rPr>
                <w:rFonts w:eastAsia="Times New Roman" w:cs="Arial"/>
                <w:color w:val="000000"/>
                <w:sz w:val="18"/>
                <w:szCs w:val="18"/>
                <w:lang w:val="en-US"/>
              </w:rPr>
            </w:pPr>
            <w:r w:rsidRPr="009A7962">
              <w:rPr>
                <w:rFonts w:eastAsia="Times New Roman" w:cs="Arial"/>
                <w:color w:val="000000"/>
                <w:sz w:val="18"/>
                <w:szCs w:val="18"/>
              </w:rPr>
              <w:t>-325.4</w:t>
            </w:r>
          </w:p>
        </w:tc>
      </w:tr>
      <w:tr w:rsidR="009A7962" w:rsidRPr="009A7962" w14:paraId="25B21B1B" w14:textId="77777777" w:rsidTr="00587A1F">
        <w:trPr>
          <w:trHeight w:val="300"/>
        </w:trPr>
        <w:tc>
          <w:tcPr>
            <w:tcW w:w="1428" w:type="pct"/>
            <w:tcBorders>
              <w:top w:val="nil"/>
              <w:left w:val="nil"/>
              <w:bottom w:val="single" w:sz="4" w:space="0" w:color="auto"/>
              <w:right w:val="nil"/>
            </w:tcBorders>
            <w:vAlign w:val="center"/>
            <w:hideMark/>
          </w:tcPr>
          <w:p w14:paraId="7937C2A4"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rPr>
              <w:t>Akaike Inf. Crit.</w:t>
            </w:r>
          </w:p>
        </w:tc>
        <w:tc>
          <w:tcPr>
            <w:tcW w:w="574" w:type="pct"/>
            <w:tcBorders>
              <w:top w:val="nil"/>
              <w:left w:val="nil"/>
              <w:bottom w:val="single" w:sz="4" w:space="0" w:color="auto"/>
              <w:right w:val="nil"/>
            </w:tcBorders>
            <w:vAlign w:val="center"/>
            <w:hideMark/>
          </w:tcPr>
          <w:p w14:paraId="6B3308AF" w14:textId="77777777" w:rsidR="009A7962" w:rsidRPr="009A7962" w:rsidRDefault="009A7962" w:rsidP="009A7962">
            <w:pPr>
              <w:suppressAutoHyphens w:val="0"/>
              <w:spacing w:before="0" w:after="0"/>
              <w:jc w:val="left"/>
              <w:rPr>
                <w:rFonts w:eastAsia="Times New Roman" w:cs="Arial"/>
                <w:color w:val="000000"/>
                <w:sz w:val="18"/>
                <w:szCs w:val="18"/>
                <w:lang w:val="en-US"/>
              </w:rPr>
            </w:pPr>
            <w:r w:rsidRPr="009A7962">
              <w:rPr>
                <w:rFonts w:eastAsia="Times New Roman" w:cs="Arial"/>
                <w:color w:val="000000"/>
                <w:sz w:val="18"/>
                <w:szCs w:val="18"/>
                <w:lang w:val="en-US"/>
              </w:rPr>
              <w:t> </w:t>
            </w:r>
          </w:p>
        </w:tc>
        <w:tc>
          <w:tcPr>
            <w:tcW w:w="603" w:type="pct"/>
            <w:tcBorders>
              <w:top w:val="nil"/>
              <w:left w:val="nil"/>
              <w:bottom w:val="single" w:sz="4" w:space="0" w:color="auto"/>
              <w:right w:val="nil"/>
            </w:tcBorders>
            <w:vAlign w:val="center"/>
            <w:hideMark/>
          </w:tcPr>
          <w:p w14:paraId="1FE10C33" w14:textId="77777777" w:rsidR="009A7962" w:rsidRPr="009A7962" w:rsidRDefault="009A7962" w:rsidP="009A7962">
            <w:pPr>
              <w:suppressAutoHyphens w:val="0"/>
              <w:spacing w:before="0" w:after="0"/>
              <w:jc w:val="center"/>
              <w:rPr>
                <w:rFonts w:eastAsia="Times New Roman" w:cs="Arial"/>
                <w:color w:val="000000"/>
                <w:sz w:val="18"/>
                <w:szCs w:val="18"/>
                <w:lang w:val="en-US"/>
              </w:rPr>
            </w:pPr>
            <w:r w:rsidRPr="009A7962">
              <w:rPr>
                <w:rFonts w:eastAsia="Times New Roman" w:cs="Arial"/>
                <w:color w:val="000000"/>
                <w:sz w:val="18"/>
                <w:szCs w:val="18"/>
              </w:rPr>
              <w:t>547.1</w:t>
            </w:r>
          </w:p>
        </w:tc>
        <w:tc>
          <w:tcPr>
            <w:tcW w:w="474" w:type="pct"/>
            <w:tcBorders>
              <w:top w:val="nil"/>
              <w:left w:val="nil"/>
              <w:bottom w:val="single" w:sz="4" w:space="0" w:color="auto"/>
              <w:right w:val="nil"/>
            </w:tcBorders>
            <w:vAlign w:val="center"/>
            <w:hideMark/>
          </w:tcPr>
          <w:p w14:paraId="179DC64A" w14:textId="77777777" w:rsidR="009A7962" w:rsidRPr="009A7962" w:rsidRDefault="009A7962" w:rsidP="009A7962">
            <w:pPr>
              <w:suppressAutoHyphens w:val="0"/>
              <w:spacing w:before="0" w:after="0"/>
              <w:jc w:val="right"/>
              <w:rPr>
                <w:rFonts w:eastAsia="Times New Roman" w:cs="Arial"/>
                <w:color w:val="000000"/>
                <w:sz w:val="18"/>
                <w:szCs w:val="18"/>
                <w:lang w:val="en-US"/>
              </w:rPr>
            </w:pPr>
            <w:r w:rsidRPr="009A7962">
              <w:rPr>
                <w:rFonts w:eastAsia="Times New Roman" w:cs="Arial"/>
                <w:color w:val="000000"/>
                <w:sz w:val="18"/>
                <w:szCs w:val="18"/>
              </w:rPr>
              <w:t>672.9</w:t>
            </w:r>
          </w:p>
        </w:tc>
        <w:tc>
          <w:tcPr>
            <w:tcW w:w="474" w:type="pct"/>
            <w:tcBorders>
              <w:top w:val="nil"/>
              <w:left w:val="nil"/>
              <w:bottom w:val="single" w:sz="4" w:space="0" w:color="auto"/>
              <w:right w:val="nil"/>
            </w:tcBorders>
            <w:vAlign w:val="center"/>
            <w:hideMark/>
          </w:tcPr>
          <w:p w14:paraId="1ACCBC7B" w14:textId="77777777" w:rsidR="009A7962" w:rsidRPr="009A7962" w:rsidRDefault="009A7962" w:rsidP="009A7962">
            <w:pPr>
              <w:suppressAutoHyphens w:val="0"/>
              <w:spacing w:before="0" w:after="0"/>
              <w:jc w:val="right"/>
              <w:rPr>
                <w:rFonts w:eastAsia="Times New Roman" w:cs="Arial"/>
                <w:color w:val="000000"/>
                <w:sz w:val="18"/>
                <w:szCs w:val="18"/>
                <w:lang w:val="en-US"/>
              </w:rPr>
            </w:pPr>
            <w:r w:rsidRPr="009A7962">
              <w:rPr>
                <w:rFonts w:eastAsia="Times New Roman" w:cs="Arial"/>
                <w:color w:val="000000"/>
                <w:sz w:val="18"/>
                <w:szCs w:val="18"/>
              </w:rPr>
              <w:t>674.7</w:t>
            </w:r>
          </w:p>
        </w:tc>
        <w:tc>
          <w:tcPr>
            <w:tcW w:w="474" w:type="pct"/>
            <w:tcBorders>
              <w:top w:val="nil"/>
              <w:left w:val="nil"/>
              <w:bottom w:val="single" w:sz="4" w:space="0" w:color="auto"/>
              <w:right w:val="nil"/>
            </w:tcBorders>
            <w:vAlign w:val="center"/>
            <w:hideMark/>
          </w:tcPr>
          <w:p w14:paraId="3B678BFB" w14:textId="77777777" w:rsidR="009A7962" w:rsidRPr="009A7962" w:rsidRDefault="009A7962" w:rsidP="009A7962">
            <w:pPr>
              <w:suppressAutoHyphens w:val="0"/>
              <w:spacing w:before="0" w:after="0"/>
              <w:jc w:val="right"/>
              <w:rPr>
                <w:rFonts w:eastAsia="Times New Roman" w:cs="Arial"/>
                <w:color w:val="000000"/>
                <w:sz w:val="18"/>
                <w:szCs w:val="18"/>
                <w:lang w:val="en-US"/>
              </w:rPr>
            </w:pPr>
            <w:r w:rsidRPr="009A7962">
              <w:rPr>
                <w:rFonts w:eastAsia="Times New Roman" w:cs="Arial"/>
                <w:color w:val="000000"/>
                <w:sz w:val="18"/>
                <w:szCs w:val="18"/>
              </w:rPr>
              <w:t>610.6</w:t>
            </w:r>
          </w:p>
        </w:tc>
        <w:tc>
          <w:tcPr>
            <w:tcW w:w="486" w:type="pct"/>
            <w:tcBorders>
              <w:top w:val="nil"/>
              <w:left w:val="nil"/>
              <w:bottom w:val="single" w:sz="4" w:space="0" w:color="auto"/>
              <w:right w:val="nil"/>
            </w:tcBorders>
            <w:vAlign w:val="center"/>
            <w:hideMark/>
          </w:tcPr>
          <w:p w14:paraId="0E71F919" w14:textId="77777777" w:rsidR="009A7962" w:rsidRPr="009A7962" w:rsidRDefault="009A7962" w:rsidP="009A7962">
            <w:pPr>
              <w:suppressAutoHyphens w:val="0"/>
              <w:spacing w:before="0" w:after="0"/>
              <w:jc w:val="right"/>
              <w:rPr>
                <w:rFonts w:eastAsia="Times New Roman" w:cs="Arial"/>
                <w:color w:val="000000"/>
                <w:sz w:val="18"/>
                <w:szCs w:val="18"/>
                <w:lang w:val="en-US"/>
              </w:rPr>
            </w:pPr>
            <w:r w:rsidRPr="009A7962">
              <w:rPr>
                <w:rFonts w:eastAsia="Times New Roman" w:cs="Arial"/>
                <w:color w:val="000000"/>
                <w:sz w:val="18"/>
                <w:szCs w:val="18"/>
              </w:rPr>
              <w:t>599.6</w:t>
            </w:r>
          </w:p>
        </w:tc>
        <w:tc>
          <w:tcPr>
            <w:tcW w:w="486" w:type="pct"/>
            <w:tcBorders>
              <w:top w:val="nil"/>
              <w:left w:val="nil"/>
              <w:bottom w:val="single" w:sz="4" w:space="0" w:color="auto"/>
              <w:right w:val="nil"/>
            </w:tcBorders>
            <w:vAlign w:val="center"/>
            <w:hideMark/>
          </w:tcPr>
          <w:p w14:paraId="456DF08D" w14:textId="77777777" w:rsidR="009A7962" w:rsidRPr="009A7962" w:rsidRDefault="009A7962" w:rsidP="009A7962">
            <w:pPr>
              <w:suppressAutoHyphens w:val="0"/>
              <w:spacing w:before="0" w:after="0"/>
              <w:jc w:val="right"/>
              <w:rPr>
                <w:rFonts w:eastAsia="Times New Roman" w:cs="Arial"/>
                <w:color w:val="000000"/>
                <w:sz w:val="18"/>
                <w:szCs w:val="18"/>
                <w:lang w:val="en-US"/>
              </w:rPr>
            </w:pPr>
            <w:r w:rsidRPr="009A7962">
              <w:rPr>
                <w:rFonts w:eastAsia="Times New Roman" w:cs="Arial"/>
                <w:color w:val="000000"/>
                <w:sz w:val="18"/>
                <w:szCs w:val="18"/>
              </w:rPr>
              <w:t>658.8</w:t>
            </w:r>
          </w:p>
        </w:tc>
      </w:tr>
    </w:tbl>
    <w:p w14:paraId="6BE442B4" w14:textId="0AF909B3" w:rsidR="00631CA3" w:rsidRPr="00587A1F" w:rsidRDefault="00631CA3" w:rsidP="00631CA3">
      <w:pPr>
        <w:pStyle w:val="NoSpacing"/>
        <w:rPr>
          <w:rFonts w:ascii="Arial" w:hAnsi="Arial" w:cs="Arial"/>
          <w:sz w:val="16"/>
          <w:szCs w:val="16"/>
        </w:rPr>
      </w:pPr>
      <w:r w:rsidRPr="00587A1F">
        <w:rPr>
          <w:rFonts w:ascii="Arial" w:hAnsi="Arial" w:cs="Arial"/>
          <w:sz w:val="16"/>
          <w:szCs w:val="16"/>
        </w:rPr>
        <w:t>Notes: Level of significance; * p &lt;0.05, ** p&lt;0.01, *** p&lt;0.001</w:t>
      </w:r>
    </w:p>
    <w:p w14:paraId="7C423A07" w14:textId="77777777" w:rsidR="00353B71" w:rsidRPr="00587A1F" w:rsidRDefault="00353B71" w:rsidP="00924D7C">
      <w:pPr>
        <w:pStyle w:val="ListParagraph"/>
        <w:keepNext/>
        <w:keepLines/>
        <w:numPr>
          <w:ilvl w:val="0"/>
          <w:numId w:val="1"/>
        </w:numPr>
        <w:spacing w:beforeAutospacing="1" w:after="0"/>
        <w:contextualSpacing w:val="0"/>
        <w:outlineLvl w:val="1"/>
        <w:rPr>
          <w:rFonts w:eastAsiaTheme="majorEastAsia" w:cs="Arial"/>
          <w:b/>
          <w:vanish/>
          <w:szCs w:val="26"/>
        </w:rPr>
      </w:pPr>
      <w:bookmarkStart w:id="27" w:name="_Toc176788552"/>
      <w:bookmarkStart w:id="28" w:name="_Toc176788554"/>
      <w:bookmarkStart w:id="29" w:name="_Toc176788430"/>
      <w:bookmarkStart w:id="30" w:name="_Toc173159254"/>
      <w:bookmarkStart w:id="31" w:name="_Toc173158672"/>
      <w:bookmarkStart w:id="32" w:name="_Toc173158547"/>
      <w:bookmarkStart w:id="33" w:name="_Toc172881727"/>
      <w:bookmarkStart w:id="34" w:name="_Toc172881604"/>
      <w:bookmarkEnd w:id="27"/>
      <w:bookmarkEnd w:id="28"/>
      <w:bookmarkEnd w:id="29"/>
      <w:bookmarkEnd w:id="30"/>
      <w:bookmarkEnd w:id="31"/>
      <w:bookmarkEnd w:id="32"/>
      <w:bookmarkEnd w:id="33"/>
      <w:bookmarkEnd w:id="34"/>
    </w:p>
    <w:p w14:paraId="13B90FD5" w14:textId="467CF29D" w:rsidR="00353B71" w:rsidRPr="00587A1F" w:rsidRDefault="004D2C5A" w:rsidP="00F80CD3">
      <w:pPr>
        <w:pStyle w:val="Heading1"/>
        <w:rPr>
          <w:rFonts w:cs="Arial"/>
        </w:rPr>
      </w:pPr>
      <w:bookmarkStart w:id="35" w:name="_Toc176788555"/>
      <w:r w:rsidRPr="00587A1F">
        <w:rPr>
          <w:rFonts w:cs="Arial"/>
        </w:rPr>
        <w:t>Conclusion</w:t>
      </w:r>
      <w:bookmarkEnd w:id="35"/>
      <w:r w:rsidR="00F80CD3" w:rsidRPr="00587A1F">
        <w:rPr>
          <w:rFonts w:cs="Arial"/>
        </w:rPr>
        <w:t xml:space="preserve"> and recommendations </w:t>
      </w:r>
    </w:p>
    <w:p w14:paraId="7CE7995B" w14:textId="5D8B42D3" w:rsidR="0040187D" w:rsidRPr="00587A1F" w:rsidRDefault="001B3533" w:rsidP="009E5BDE">
      <w:pPr>
        <w:rPr>
          <w:rFonts w:cs="Arial"/>
        </w:rPr>
      </w:pPr>
      <w:r w:rsidRPr="00587A1F">
        <w:rPr>
          <w:rFonts w:cs="Arial"/>
        </w:rPr>
        <w:t xml:space="preserve">Socioeconomic factors are important components contributing to agricultural development. </w:t>
      </w:r>
      <w:r w:rsidR="00596507" w:rsidRPr="00587A1F">
        <w:rPr>
          <w:rFonts w:cs="Arial"/>
        </w:rPr>
        <w:t>However, the role in</w:t>
      </w:r>
      <w:r w:rsidRPr="00587A1F">
        <w:rPr>
          <w:rFonts w:cs="Arial"/>
        </w:rPr>
        <w:t xml:space="preserve"> influencing farming practices of agro-pastoralist farmers have not received much attention. </w:t>
      </w:r>
      <w:r w:rsidR="0056590E" w:rsidRPr="00587A1F">
        <w:rPr>
          <w:rFonts w:cs="Arial"/>
        </w:rPr>
        <w:t>T</w:t>
      </w:r>
      <w:r w:rsidRPr="00587A1F">
        <w:rPr>
          <w:rFonts w:cs="Arial"/>
        </w:rPr>
        <w:t xml:space="preserve">his research </w:t>
      </w:r>
      <w:r w:rsidR="00596507" w:rsidRPr="00587A1F">
        <w:rPr>
          <w:rFonts w:cs="Arial"/>
        </w:rPr>
        <w:t>investigated</w:t>
      </w:r>
      <w:r w:rsidRPr="00587A1F">
        <w:rPr>
          <w:rFonts w:cs="Arial"/>
        </w:rPr>
        <w:t xml:space="preserve"> the relationships that exists between household socioeconomic factors and farming practices. </w:t>
      </w:r>
      <w:r w:rsidR="0056590E" w:rsidRPr="00587A1F">
        <w:rPr>
          <w:rFonts w:cs="Arial"/>
        </w:rPr>
        <w:t xml:space="preserve">Crop </w:t>
      </w:r>
      <w:r w:rsidR="00596507" w:rsidRPr="00587A1F">
        <w:rPr>
          <w:rFonts w:cs="Arial"/>
        </w:rPr>
        <w:t>production</w:t>
      </w:r>
      <w:r w:rsidR="0056590E" w:rsidRPr="00587A1F">
        <w:rPr>
          <w:rFonts w:cs="Arial"/>
        </w:rPr>
        <w:t xml:space="preserve"> was</w:t>
      </w:r>
      <w:r w:rsidR="00596507" w:rsidRPr="00587A1F">
        <w:rPr>
          <w:rFonts w:cs="Arial"/>
        </w:rPr>
        <w:t xml:space="preserve"> largely small scale, with farmers using hand hoe and tractors for land operations</w:t>
      </w:r>
      <w:r w:rsidR="0056590E" w:rsidRPr="00587A1F">
        <w:rPr>
          <w:rFonts w:cs="Arial"/>
        </w:rPr>
        <w:t xml:space="preserve">, used </w:t>
      </w:r>
      <w:r w:rsidR="00596507" w:rsidRPr="00587A1F">
        <w:rPr>
          <w:rFonts w:cs="Arial"/>
        </w:rPr>
        <w:t xml:space="preserve">mixed cropping </w:t>
      </w:r>
      <w:r w:rsidR="0056590E" w:rsidRPr="00587A1F">
        <w:rPr>
          <w:rFonts w:cs="Arial"/>
        </w:rPr>
        <w:t xml:space="preserve">system </w:t>
      </w:r>
      <w:r w:rsidR="00596507" w:rsidRPr="00587A1F">
        <w:rPr>
          <w:rFonts w:cs="Arial"/>
        </w:rPr>
        <w:t xml:space="preserve">and </w:t>
      </w:r>
      <w:r w:rsidR="0056590E" w:rsidRPr="00587A1F">
        <w:rPr>
          <w:rFonts w:cs="Arial"/>
        </w:rPr>
        <w:t>largely utilized organic fertilizers from livestock to enhance farm productivity.</w:t>
      </w:r>
      <w:r w:rsidR="00596507" w:rsidRPr="00587A1F">
        <w:rPr>
          <w:rFonts w:cs="Arial"/>
        </w:rPr>
        <w:t xml:space="preserve"> </w:t>
      </w:r>
      <w:r w:rsidR="0056590E" w:rsidRPr="00587A1F">
        <w:rPr>
          <w:rFonts w:cs="Arial"/>
        </w:rPr>
        <w:t xml:space="preserve">The reliance of these strategies shows farmers commitment to adaptive approaches that maximizes production and reducing risks in this challenging </w:t>
      </w:r>
      <w:r w:rsidR="00D74457" w:rsidRPr="00587A1F">
        <w:rPr>
          <w:rFonts w:cs="Arial"/>
        </w:rPr>
        <w:t xml:space="preserve">dryland </w:t>
      </w:r>
      <w:r w:rsidR="0056590E" w:rsidRPr="00587A1F">
        <w:rPr>
          <w:rFonts w:cs="Arial"/>
        </w:rPr>
        <w:t>environment. These farming practices were strongly associated with key socioeconomic factors such as age, gender and education level of the household head, size of family and economic activity. The</w:t>
      </w:r>
      <w:r w:rsidR="00D74457" w:rsidRPr="00587A1F">
        <w:rPr>
          <w:rFonts w:cs="Arial"/>
        </w:rPr>
        <w:t xml:space="preserve"> result emphasizes the role of socioeconomic factors in influencing </w:t>
      </w:r>
      <w:r w:rsidR="009E5BDE" w:rsidRPr="00587A1F">
        <w:rPr>
          <w:rFonts w:cs="Arial"/>
        </w:rPr>
        <w:t>farmer’s</w:t>
      </w:r>
      <w:r w:rsidR="00D74457" w:rsidRPr="00587A1F">
        <w:rPr>
          <w:rFonts w:cs="Arial"/>
        </w:rPr>
        <w:t xml:space="preserve"> decision in </w:t>
      </w:r>
      <w:r w:rsidR="009E5BDE" w:rsidRPr="00587A1F">
        <w:rPr>
          <w:rFonts w:cs="Arial"/>
        </w:rPr>
        <w:t>accessing, adopting</w:t>
      </w:r>
      <w:r w:rsidR="00D74457" w:rsidRPr="00587A1F">
        <w:rPr>
          <w:rFonts w:cs="Arial"/>
        </w:rPr>
        <w:t xml:space="preserve"> and </w:t>
      </w:r>
      <w:r w:rsidR="009E5BDE" w:rsidRPr="00587A1F">
        <w:rPr>
          <w:rFonts w:cs="Arial"/>
        </w:rPr>
        <w:t xml:space="preserve">use of agricultural resources and technologies. This implies the need for understanding these factors in order to be relevant in providing appropriate intervention affecting agricultural production and productivity in the drylands. This would contribute </w:t>
      </w:r>
      <w:r w:rsidR="00A02ADE" w:rsidRPr="00587A1F">
        <w:rPr>
          <w:rFonts w:cs="Arial"/>
        </w:rPr>
        <w:t xml:space="preserve">to increased household resilience, improved farm productivity and food security of the agro-pastoralist farmer. </w:t>
      </w:r>
      <w:r w:rsidR="009E3032" w:rsidRPr="00587A1F">
        <w:rPr>
          <w:rFonts w:cs="Arial"/>
        </w:rPr>
        <w:t>Acknowledging the significant contribution of</w:t>
      </w:r>
      <w:r w:rsidR="0040187D" w:rsidRPr="00587A1F">
        <w:rPr>
          <w:rFonts w:cs="Arial"/>
        </w:rPr>
        <w:t xml:space="preserve"> these</w:t>
      </w:r>
      <w:r w:rsidR="00306AB8" w:rsidRPr="00587A1F">
        <w:rPr>
          <w:rFonts w:cs="Arial"/>
        </w:rPr>
        <w:t xml:space="preserve"> socioeconomic factors on farming practices,</w:t>
      </w:r>
      <w:r w:rsidR="0040187D" w:rsidRPr="00587A1F">
        <w:rPr>
          <w:rFonts w:cs="Arial"/>
        </w:rPr>
        <w:t xml:space="preserve"> this paper recommends the promotion of activities that enhances household socioeconomic profiles such as inclusive extension services and trainings, promoting penetration and access of farm inputs and tractor service provision to improve operation efficiency and expand cultivated land, </w:t>
      </w:r>
    </w:p>
    <w:p w14:paraId="721F5747" w14:textId="77777777" w:rsidR="0014077B" w:rsidRPr="00587A1F" w:rsidRDefault="0014077B" w:rsidP="0014077B">
      <w:pPr>
        <w:pStyle w:val="ReferHead"/>
        <w:spacing w:after="0"/>
        <w:jc w:val="both"/>
        <w:rPr>
          <w:rFonts w:ascii="Arial" w:hAnsi="Arial" w:cs="Arial"/>
          <w:bCs/>
        </w:rPr>
      </w:pPr>
      <w:bookmarkStart w:id="36" w:name="_Toc176788557"/>
    </w:p>
    <w:p w14:paraId="4B14F69D" w14:textId="77777777" w:rsidR="0014077B" w:rsidRPr="00587A1F" w:rsidRDefault="0014077B" w:rsidP="0014077B">
      <w:pPr>
        <w:pStyle w:val="ReferHead"/>
        <w:spacing w:after="0"/>
        <w:jc w:val="both"/>
        <w:rPr>
          <w:rFonts w:ascii="Arial" w:hAnsi="Arial" w:cs="Arial"/>
          <w:bCs/>
        </w:rPr>
      </w:pPr>
      <w:r w:rsidRPr="00587A1F">
        <w:rPr>
          <w:rFonts w:ascii="Arial" w:hAnsi="Arial" w:cs="Arial"/>
          <w:bCs/>
        </w:rPr>
        <w:t>Competing interests</w:t>
      </w:r>
    </w:p>
    <w:p w14:paraId="7E45D01B" w14:textId="77777777" w:rsidR="0014077B" w:rsidRPr="00587A1F" w:rsidRDefault="0014077B" w:rsidP="0014077B">
      <w:pPr>
        <w:pStyle w:val="ReferHead"/>
        <w:spacing w:after="0"/>
        <w:jc w:val="both"/>
        <w:rPr>
          <w:rFonts w:ascii="Arial" w:hAnsi="Arial" w:cs="Arial"/>
        </w:rPr>
      </w:pPr>
    </w:p>
    <w:p w14:paraId="3137D4CD" w14:textId="263A48CA" w:rsidR="000C1C2C" w:rsidRDefault="000C1C2C" w:rsidP="0014077B">
      <w:pPr>
        <w:pStyle w:val="ReferHead"/>
        <w:spacing w:after="0"/>
        <w:jc w:val="both"/>
        <w:rPr>
          <w:rFonts w:ascii="Arial" w:hAnsi="Arial" w:cs="Arial"/>
          <w:b w:val="0"/>
          <w:caps w:val="0"/>
          <w:sz w:val="20"/>
        </w:rPr>
      </w:pPr>
      <w:r w:rsidRPr="00587A1F">
        <w:rPr>
          <w:rFonts w:ascii="Arial" w:hAnsi="Arial" w:cs="Arial"/>
          <w:b w:val="0"/>
          <w:caps w:val="0"/>
          <w:sz w:val="20"/>
        </w:rPr>
        <w:t>Authors have declared that no competing interest exists.</w:t>
      </w:r>
    </w:p>
    <w:p w14:paraId="44A1AD34" w14:textId="77777777" w:rsidR="00B55755" w:rsidRDefault="00B55755" w:rsidP="0014077B">
      <w:pPr>
        <w:pStyle w:val="ReferHead"/>
        <w:spacing w:after="0"/>
        <w:jc w:val="both"/>
        <w:rPr>
          <w:rFonts w:ascii="Arial" w:hAnsi="Arial" w:cs="Arial"/>
          <w:b w:val="0"/>
          <w:caps w:val="0"/>
          <w:sz w:val="20"/>
        </w:rPr>
      </w:pPr>
    </w:p>
    <w:p w14:paraId="142E0E64" w14:textId="77777777" w:rsidR="00B55755" w:rsidRPr="00B55755" w:rsidRDefault="00B55755" w:rsidP="00B55755">
      <w:pPr>
        <w:suppressAutoHyphens w:val="0"/>
        <w:spacing w:before="0" w:after="200" w:line="276" w:lineRule="auto"/>
        <w:outlineLvl w:val="0"/>
        <w:rPr>
          <w:rFonts w:eastAsia="Times New Roman" w:cs="Arial"/>
          <w:sz w:val="22"/>
          <w:lang w:eastAsia="en-GB"/>
        </w:rPr>
      </w:pPr>
      <w:r w:rsidRPr="00B55755">
        <w:rPr>
          <w:rFonts w:eastAsia="Times New Roman" w:cs="Arial"/>
          <w:b/>
          <w:bCs/>
          <w:sz w:val="22"/>
          <w:lang w:eastAsia="en-GB"/>
        </w:rPr>
        <w:t>COMPETING INTERESTS DISCLAIMER:</w:t>
      </w:r>
    </w:p>
    <w:p w14:paraId="45EAD085" w14:textId="77777777" w:rsidR="00B55755" w:rsidRPr="00B55755" w:rsidRDefault="00B55755" w:rsidP="00B55755">
      <w:pPr>
        <w:suppressAutoHyphens w:val="0"/>
        <w:spacing w:before="0" w:after="200" w:line="276" w:lineRule="auto"/>
        <w:jc w:val="left"/>
        <w:rPr>
          <w:rFonts w:ascii="Calibri" w:eastAsia="Times New Roman" w:hAnsi="Calibri" w:cs="Times New Roman"/>
          <w:sz w:val="22"/>
          <w:lang w:eastAsia="en-GB"/>
        </w:rPr>
      </w:pPr>
      <w:r w:rsidRPr="00B55755">
        <w:rPr>
          <w:rFonts w:ascii="Calibri" w:eastAsia="Times New Roman" w:hAnsi="Calibri" w:cs="Times New Roman"/>
          <w:sz w:val="22"/>
          <w:lang w:eastAsia="en-GB"/>
        </w:rPr>
        <w:t>Authors have declared that they have no known competing financial interests OR non-financial interests OR personal relationships that could have appeared to influence the work reported in this paper.</w:t>
      </w:r>
    </w:p>
    <w:p w14:paraId="2FD17CB1" w14:textId="77777777" w:rsidR="00B55755" w:rsidRPr="00587A1F" w:rsidRDefault="00B55755" w:rsidP="0014077B">
      <w:pPr>
        <w:pStyle w:val="ReferHead"/>
        <w:spacing w:after="0"/>
        <w:jc w:val="both"/>
        <w:rPr>
          <w:rFonts w:ascii="Arial" w:hAnsi="Arial" w:cs="Arial"/>
          <w:b w:val="0"/>
          <w:caps w:val="0"/>
          <w:sz w:val="20"/>
        </w:rPr>
      </w:pPr>
    </w:p>
    <w:p w14:paraId="54E5ED9A" w14:textId="77777777" w:rsidR="0014077B" w:rsidRPr="00587A1F" w:rsidRDefault="0014077B" w:rsidP="0014077B">
      <w:pPr>
        <w:pStyle w:val="ReferHead"/>
        <w:spacing w:after="0"/>
        <w:jc w:val="both"/>
        <w:rPr>
          <w:rFonts w:ascii="Arial" w:hAnsi="Arial" w:cs="Arial"/>
          <w:b w:val="0"/>
          <w:caps w:val="0"/>
          <w:sz w:val="20"/>
        </w:rPr>
      </w:pPr>
    </w:p>
    <w:p w14:paraId="29E20DAF" w14:textId="77777777" w:rsidR="00353B71" w:rsidRPr="00587A1F" w:rsidRDefault="004D2C5A" w:rsidP="0014077B">
      <w:pPr>
        <w:pStyle w:val="Heading1"/>
        <w:numPr>
          <w:ilvl w:val="0"/>
          <w:numId w:val="0"/>
        </w:numPr>
        <w:ind w:left="360" w:hanging="360"/>
        <w:rPr>
          <w:rFonts w:cs="Arial"/>
        </w:rPr>
      </w:pPr>
      <w:r w:rsidRPr="00587A1F">
        <w:rPr>
          <w:rFonts w:cs="Arial"/>
          <w:caps w:val="0"/>
        </w:rPr>
        <w:t>REFERENCES</w:t>
      </w:r>
      <w:bookmarkEnd w:id="36"/>
    </w:p>
    <w:p w14:paraId="2523A07C" w14:textId="77777777" w:rsidR="00996333" w:rsidRPr="00587A1F" w:rsidRDefault="004D2C5A" w:rsidP="00BC5D4B">
      <w:pPr>
        <w:pStyle w:val="Bibliography"/>
        <w:spacing w:before="0" w:line="240" w:lineRule="auto"/>
        <w:rPr>
          <w:rFonts w:cs="Arial"/>
        </w:rPr>
      </w:pPr>
      <w:r w:rsidRPr="00587A1F">
        <w:rPr>
          <w:rFonts w:cs="Arial"/>
        </w:rPr>
        <w:fldChar w:fldCharType="begin"/>
      </w:r>
      <w:r w:rsidR="00DB1FF5" w:rsidRPr="00587A1F">
        <w:rPr>
          <w:rFonts w:cs="Arial"/>
        </w:rPr>
        <w:instrText xml:space="preserve"> ADDIN ZOTERO_BIBL {"uncited":[],"omitted":[],"custom":[]} CSL_BIBLIOGRAPHY </w:instrText>
      </w:r>
      <w:r w:rsidRPr="00587A1F">
        <w:rPr>
          <w:rFonts w:cs="Arial"/>
        </w:rPr>
        <w:fldChar w:fldCharType="separate"/>
      </w:r>
      <w:r w:rsidR="00996333" w:rsidRPr="00587A1F">
        <w:rPr>
          <w:rFonts w:cs="Arial"/>
        </w:rPr>
        <w:t xml:space="preserve">Abate, M., &amp; Alemayehu, G. (2018). Biological Benefits of Intercropping Maize (Zea mays L) with Fenugreek, Field Pea and Haricot Bean Under Irrigation in Fogera Plain, South Gonder Zone, Ethiopia. </w:t>
      </w:r>
      <w:r w:rsidR="00996333" w:rsidRPr="00587A1F">
        <w:rPr>
          <w:rFonts w:cs="Arial"/>
          <w:i/>
          <w:iCs/>
        </w:rPr>
        <w:t>Agriculture, Forestry and Fisheries</w:t>
      </w:r>
      <w:r w:rsidR="00996333" w:rsidRPr="00587A1F">
        <w:rPr>
          <w:rFonts w:cs="Arial"/>
        </w:rPr>
        <w:t xml:space="preserve">, </w:t>
      </w:r>
      <w:r w:rsidR="00996333" w:rsidRPr="00587A1F">
        <w:rPr>
          <w:rFonts w:cs="Arial"/>
          <w:i/>
          <w:iCs/>
        </w:rPr>
        <w:t>7</w:t>
      </w:r>
      <w:r w:rsidR="00996333" w:rsidRPr="00587A1F">
        <w:rPr>
          <w:rFonts w:cs="Arial"/>
        </w:rPr>
        <w:t>(1), Article 1. https://doi.org/10.11648/j.aff.20180701.14</w:t>
      </w:r>
    </w:p>
    <w:p w14:paraId="62D08BBD" w14:textId="77777777" w:rsidR="00996333" w:rsidRPr="00587A1F" w:rsidRDefault="00996333" w:rsidP="00BC5D4B">
      <w:pPr>
        <w:pStyle w:val="Bibliography"/>
        <w:spacing w:before="0" w:line="240" w:lineRule="auto"/>
        <w:rPr>
          <w:rFonts w:cs="Arial"/>
        </w:rPr>
      </w:pPr>
      <w:r w:rsidRPr="00587A1F">
        <w:rPr>
          <w:rFonts w:cs="Arial"/>
        </w:rPr>
        <w:t xml:space="preserve">Adu-Baffour, F., Daum, T., &amp; Birner, R. (2019). Can small farms benefit from big companies’ initiatives to promote mechanization in Africa? A case study from Zambia. </w:t>
      </w:r>
      <w:r w:rsidRPr="00587A1F">
        <w:rPr>
          <w:rFonts w:cs="Arial"/>
          <w:i/>
          <w:iCs/>
        </w:rPr>
        <w:t>Food Policy</w:t>
      </w:r>
      <w:r w:rsidRPr="00587A1F">
        <w:rPr>
          <w:rFonts w:cs="Arial"/>
        </w:rPr>
        <w:t xml:space="preserve">, </w:t>
      </w:r>
      <w:r w:rsidRPr="00587A1F">
        <w:rPr>
          <w:rFonts w:cs="Arial"/>
          <w:i/>
          <w:iCs/>
        </w:rPr>
        <w:t>84</w:t>
      </w:r>
      <w:r w:rsidRPr="00587A1F">
        <w:rPr>
          <w:rFonts w:cs="Arial"/>
        </w:rPr>
        <w:t>, 133–145. https://doi.org/10.1016/j.foodpol.2019.03.007</w:t>
      </w:r>
    </w:p>
    <w:p w14:paraId="758DB191" w14:textId="77777777" w:rsidR="00996333" w:rsidRPr="00587A1F" w:rsidRDefault="00996333" w:rsidP="00BC5D4B">
      <w:pPr>
        <w:pStyle w:val="Bibliography"/>
        <w:spacing w:before="0" w:line="240" w:lineRule="auto"/>
        <w:rPr>
          <w:rFonts w:cs="Arial"/>
        </w:rPr>
      </w:pPr>
      <w:r w:rsidRPr="00587A1F">
        <w:rPr>
          <w:rFonts w:cs="Arial"/>
        </w:rPr>
        <w:t xml:space="preserve">Ayaz, M., &amp; Mughal, M. (2024). Farm Size and Productivity: The Role of Family Labor. </w:t>
      </w:r>
      <w:r w:rsidRPr="00587A1F">
        <w:rPr>
          <w:rFonts w:cs="Arial"/>
          <w:i/>
          <w:iCs/>
        </w:rPr>
        <w:t>Economic Development and Cultural Change</w:t>
      </w:r>
      <w:r w:rsidRPr="00587A1F">
        <w:rPr>
          <w:rFonts w:cs="Arial"/>
        </w:rPr>
        <w:t xml:space="preserve">, </w:t>
      </w:r>
      <w:r w:rsidRPr="00587A1F">
        <w:rPr>
          <w:rFonts w:cs="Arial"/>
          <w:i/>
          <w:iCs/>
        </w:rPr>
        <w:t>72</w:t>
      </w:r>
      <w:r w:rsidRPr="00587A1F">
        <w:rPr>
          <w:rFonts w:cs="Arial"/>
        </w:rPr>
        <w:t>(2), 959–995.</w:t>
      </w:r>
    </w:p>
    <w:p w14:paraId="57E1F4B2" w14:textId="77777777" w:rsidR="00996333" w:rsidRPr="00587A1F" w:rsidRDefault="00996333" w:rsidP="00BC5D4B">
      <w:pPr>
        <w:pStyle w:val="Bibliography"/>
        <w:spacing w:before="0" w:line="240" w:lineRule="auto"/>
        <w:rPr>
          <w:rFonts w:cs="Arial"/>
        </w:rPr>
      </w:pPr>
      <w:r w:rsidRPr="00587A1F">
        <w:rPr>
          <w:rFonts w:cs="Arial"/>
        </w:rPr>
        <w:t xml:space="preserve">Baker, M. M., &amp; Nuno, D. B. (2021). Socio-Economic Determinants of Maize Production of Smallholder Farmers in Eastern Oromia, Ethiopia. </w:t>
      </w:r>
      <w:r w:rsidRPr="00587A1F">
        <w:rPr>
          <w:rFonts w:cs="Arial"/>
          <w:i/>
          <w:iCs/>
        </w:rPr>
        <w:t>Grassroots Journal of Natural Resources</w:t>
      </w:r>
      <w:r w:rsidRPr="00587A1F">
        <w:rPr>
          <w:rFonts w:cs="Arial"/>
        </w:rPr>
        <w:t xml:space="preserve">, </w:t>
      </w:r>
      <w:r w:rsidRPr="00587A1F">
        <w:rPr>
          <w:rFonts w:cs="Arial"/>
          <w:i/>
          <w:iCs/>
        </w:rPr>
        <w:t>4</w:t>
      </w:r>
      <w:r w:rsidRPr="00587A1F">
        <w:rPr>
          <w:rFonts w:cs="Arial"/>
        </w:rPr>
        <w:t>(1), 29–39. https://doi.org/10.33002/nr2581.6853.040103</w:t>
      </w:r>
    </w:p>
    <w:p w14:paraId="12753598" w14:textId="77777777" w:rsidR="00996333" w:rsidRPr="00587A1F" w:rsidRDefault="00996333" w:rsidP="00BC5D4B">
      <w:pPr>
        <w:pStyle w:val="Bibliography"/>
        <w:spacing w:before="0" w:line="240" w:lineRule="auto"/>
        <w:rPr>
          <w:rFonts w:cs="Arial"/>
        </w:rPr>
      </w:pPr>
      <w:r w:rsidRPr="00587A1F">
        <w:rPr>
          <w:rFonts w:cs="Arial"/>
        </w:rPr>
        <w:t xml:space="preserve">Bass, E., Mutyambai, D. M., Midega, C. A. O., Khan, Z. R., &amp; Kessler, A. (2024). Associational Effects of Desmodium Intercropping on Maize Resistance and Secondary Metabolism. </w:t>
      </w:r>
      <w:r w:rsidRPr="00587A1F">
        <w:rPr>
          <w:rFonts w:cs="Arial"/>
          <w:i/>
          <w:iCs/>
        </w:rPr>
        <w:t>Journal of Chemical Ecology</w:t>
      </w:r>
      <w:r w:rsidRPr="00587A1F">
        <w:rPr>
          <w:rFonts w:cs="Arial"/>
        </w:rPr>
        <w:t xml:space="preserve">, </w:t>
      </w:r>
      <w:r w:rsidRPr="00587A1F">
        <w:rPr>
          <w:rFonts w:cs="Arial"/>
          <w:i/>
          <w:iCs/>
        </w:rPr>
        <w:t>50</w:t>
      </w:r>
      <w:r w:rsidRPr="00587A1F">
        <w:rPr>
          <w:rFonts w:cs="Arial"/>
        </w:rPr>
        <w:t>(5), 299–318. https://doi.org/10.1007/s10886-024-01470-5</w:t>
      </w:r>
    </w:p>
    <w:p w14:paraId="3595D565" w14:textId="77777777" w:rsidR="00996333" w:rsidRPr="00587A1F" w:rsidRDefault="00996333" w:rsidP="00BC5D4B">
      <w:pPr>
        <w:pStyle w:val="Bibliography"/>
        <w:spacing w:before="0" w:line="240" w:lineRule="auto"/>
        <w:rPr>
          <w:rFonts w:cs="Arial"/>
        </w:rPr>
      </w:pPr>
      <w:r w:rsidRPr="00587A1F">
        <w:rPr>
          <w:rFonts w:cs="Arial"/>
        </w:rPr>
        <w:t xml:space="preserve">Ben-chuan, Z., Ying, Z., Ping, C., Xiao-na, Z., Qing, D., Huan, Y., Xiao-chun, W., Feng, Y., Te, X., Long, L., Wen-yu, Y., &amp; Tai-wen, Y. (2022). Maize–legume intercropping promote N uptake through changing the root spatial distribution, legume nodulation capacity, and soil N availability. </w:t>
      </w:r>
      <w:r w:rsidRPr="00587A1F">
        <w:rPr>
          <w:rFonts w:cs="Arial"/>
          <w:i/>
          <w:iCs/>
        </w:rPr>
        <w:t>Journal of Integrative Agriculture</w:t>
      </w:r>
      <w:r w:rsidRPr="00587A1F">
        <w:rPr>
          <w:rFonts w:cs="Arial"/>
        </w:rPr>
        <w:t xml:space="preserve">, </w:t>
      </w:r>
      <w:r w:rsidRPr="00587A1F">
        <w:rPr>
          <w:rFonts w:cs="Arial"/>
          <w:i/>
          <w:iCs/>
        </w:rPr>
        <w:t>21</w:t>
      </w:r>
      <w:r w:rsidRPr="00587A1F">
        <w:rPr>
          <w:rFonts w:cs="Arial"/>
        </w:rPr>
        <w:t>(6), 1755–1771. https://doi.org/10.1016/S2095-3119(21)63730-9</w:t>
      </w:r>
    </w:p>
    <w:p w14:paraId="502860FA" w14:textId="77777777" w:rsidR="00996333" w:rsidRPr="00587A1F" w:rsidRDefault="00996333" w:rsidP="00BC5D4B">
      <w:pPr>
        <w:pStyle w:val="Bibliography"/>
        <w:spacing w:before="0" w:line="240" w:lineRule="auto"/>
        <w:rPr>
          <w:rFonts w:cs="Arial"/>
        </w:rPr>
      </w:pPr>
      <w:r w:rsidRPr="00587A1F">
        <w:rPr>
          <w:rFonts w:cs="Arial"/>
        </w:rPr>
        <w:t xml:space="preserve">Boansi, D., Gyasi, M., Nuamah, S., Tham-Agyekum, E. K., Ankuyi, F., Frimpong, R., Gbafah, A., &amp; Gyan, C. B. (2024). Impact of agricultural credit on productivity, cost and returns from cocoa production in Ghana. </w:t>
      </w:r>
      <w:r w:rsidRPr="00587A1F">
        <w:rPr>
          <w:rFonts w:cs="Arial"/>
          <w:i/>
          <w:iCs/>
        </w:rPr>
        <w:t>Cogent Economics &amp; Finance</w:t>
      </w:r>
      <w:r w:rsidRPr="00587A1F">
        <w:rPr>
          <w:rFonts w:cs="Arial"/>
        </w:rPr>
        <w:t xml:space="preserve">, </w:t>
      </w:r>
      <w:r w:rsidRPr="00587A1F">
        <w:rPr>
          <w:rFonts w:cs="Arial"/>
          <w:i/>
          <w:iCs/>
        </w:rPr>
        <w:t>12</w:t>
      </w:r>
      <w:r w:rsidRPr="00587A1F">
        <w:rPr>
          <w:rFonts w:cs="Arial"/>
        </w:rPr>
        <w:t>(1), 2402035. https://doi.org/10.1080/23322039.2024.2402035</w:t>
      </w:r>
    </w:p>
    <w:p w14:paraId="381D3621" w14:textId="77777777" w:rsidR="00996333" w:rsidRPr="00587A1F" w:rsidRDefault="00996333" w:rsidP="00BC5D4B">
      <w:pPr>
        <w:pStyle w:val="Bibliography"/>
        <w:spacing w:before="0" w:line="240" w:lineRule="auto"/>
        <w:rPr>
          <w:rFonts w:cs="Arial"/>
        </w:rPr>
      </w:pPr>
      <w:r w:rsidRPr="00587A1F">
        <w:rPr>
          <w:rFonts w:cs="Arial"/>
        </w:rPr>
        <w:t xml:space="preserve">Bostedt, G., Mukoya, L., Muricho, D., &amp; Nyberg, G. (2021). Saving and borrowing behaviour among agropastoralists in West Pokot County, Kenya. </w:t>
      </w:r>
      <w:r w:rsidRPr="00587A1F">
        <w:rPr>
          <w:rFonts w:cs="Arial"/>
          <w:i/>
          <w:iCs/>
        </w:rPr>
        <w:t>Journal of International Development</w:t>
      </w:r>
      <w:r w:rsidRPr="00587A1F">
        <w:rPr>
          <w:rFonts w:cs="Arial"/>
        </w:rPr>
        <w:t xml:space="preserve">, </w:t>
      </w:r>
      <w:r w:rsidRPr="00587A1F">
        <w:rPr>
          <w:rFonts w:cs="Arial"/>
          <w:i/>
          <w:iCs/>
        </w:rPr>
        <w:t>33</w:t>
      </w:r>
      <w:r w:rsidRPr="00587A1F">
        <w:rPr>
          <w:rFonts w:cs="Arial"/>
        </w:rPr>
        <w:t>(6), 1043–1062. https://doi.org/10.1002/jid.3560</w:t>
      </w:r>
    </w:p>
    <w:p w14:paraId="53B26BA0" w14:textId="77777777" w:rsidR="00996333" w:rsidRPr="00587A1F" w:rsidRDefault="00996333" w:rsidP="00BC5D4B">
      <w:pPr>
        <w:pStyle w:val="Bibliography"/>
        <w:spacing w:before="0" w:line="240" w:lineRule="auto"/>
        <w:rPr>
          <w:rFonts w:cs="Arial"/>
        </w:rPr>
      </w:pPr>
      <w:r w:rsidRPr="00587A1F">
        <w:rPr>
          <w:rFonts w:cs="Arial"/>
        </w:rPr>
        <w:t xml:space="preserve">Budastra, I., Syah, T., &amp; Partatanaya, I. G. L. (2024). The Livelihood Strategies of Dry Land Farmers in Karang Bayan Village, Indonesia. </w:t>
      </w:r>
      <w:r w:rsidRPr="00587A1F">
        <w:rPr>
          <w:rFonts w:cs="Arial"/>
          <w:i/>
          <w:iCs/>
        </w:rPr>
        <w:t>International Journal of Research and Innovation in Social Science</w:t>
      </w:r>
      <w:r w:rsidRPr="00587A1F">
        <w:rPr>
          <w:rFonts w:cs="Arial"/>
        </w:rPr>
        <w:t xml:space="preserve">, </w:t>
      </w:r>
      <w:r w:rsidRPr="00587A1F">
        <w:rPr>
          <w:rFonts w:cs="Arial"/>
          <w:i/>
          <w:iCs/>
        </w:rPr>
        <w:t>8</w:t>
      </w:r>
      <w:r w:rsidRPr="00587A1F">
        <w:rPr>
          <w:rFonts w:cs="Arial"/>
        </w:rPr>
        <w:t>(7), 688–694.</w:t>
      </w:r>
    </w:p>
    <w:p w14:paraId="7ED7B895" w14:textId="77777777" w:rsidR="00996333" w:rsidRPr="00587A1F" w:rsidRDefault="00996333" w:rsidP="00BC5D4B">
      <w:pPr>
        <w:pStyle w:val="Bibliography"/>
        <w:spacing w:before="0" w:line="240" w:lineRule="auto"/>
        <w:rPr>
          <w:rFonts w:cs="Arial"/>
        </w:rPr>
      </w:pPr>
      <w:r w:rsidRPr="00587A1F">
        <w:rPr>
          <w:rFonts w:cs="Arial"/>
        </w:rPr>
        <w:t xml:space="preserve">Cai, A., Xu, M., Wang, B., Zhang, W., Liang, G., Hou, E., &amp; Luo, Y. (2019). Manure acts as a better fertilizer for increasing crop yields than synthetic fertilizer does by improving soil fertility. </w:t>
      </w:r>
      <w:r w:rsidRPr="00587A1F">
        <w:rPr>
          <w:rFonts w:cs="Arial"/>
          <w:i/>
          <w:iCs/>
        </w:rPr>
        <w:t>Soil and Tillage Research</w:t>
      </w:r>
      <w:r w:rsidRPr="00587A1F">
        <w:rPr>
          <w:rFonts w:cs="Arial"/>
        </w:rPr>
        <w:t xml:space="preserve">, </w:t>
      </w:r>
      <w:r w:rsidRPr="00587A1F">
        <w:rPr>
          <w:rFonts w:cs="Arial"/>
          <w:i/>
          <w:iCs/>
        </w:rPr>
        <w:t>189</w:t>
      </w:r>
      <w:r w:rsidRPr="00587A1F">
        <w:rPr>
          <w:rFonts w:cs="Arial"/>
        </w:rPr>
        <w:t>, 168–175. https://doi.org/10.1016/j.still.2018.12.022</w:t>
      </w:r>
    </w:p>
    <w:p w14:paraId="34D115B4" w14:textId="77777777" w:rsidR="00996333" w:rsidRPr="00587A1F" w:rsidRDefault="00996333" w:rsidP="00BC5D4B">
      <w:pPr>
        <w:pStyle w:val="Bibliography"/>
        <w:spacing w:before="0" w:line="240" w:lineRule="auto"/>
        <w:rPr>
          <w:rFonts w:cs="Arial"/>
        </w:rPr>
      </w:pPr>
      <w:r w:rsidRPr="00587A1F">
        <w:rPr>
          <w:rFonts w:cs="Arial"/>
        </w:rPr>
        <w:t xml:space="preserve">Chandra, A., Pardha-Saradhi, P., Maikhuri, R. K., Saxena, K. G., &amp; Rao, K. S. (2021). Impact of farm yard manure on cropping cycle in a rainfed agroecosystem of Central Himalaya. </w:t>
      </w:r>
      <w:r w:rsidRPr="00587A1F">
        <w:rPr>
          <w:rFonts w:cs="Arial"/>
          <w:i/>
          <w:iCs/>
        </w:rPr>
        <w:t>Vegetos</w:t>
      </w:r>
      <w:r w:rsidRPr="00587A1F">
        <w:rPr>
          <w:rFonts w:cs="Arial"/>
        </w:rPr>
        <w:t xml:space="preserve">, </w:t>
      </w:r>
      <w:r w:rsidRPr="00587A1F">
        <w:rPr>
          <w:rFonts w:cs="Arial"/>
          <w:i/>
          <w:iCs/>
        </w:rPr>
        <w:t>34</w:t>
      </w:r>
      <w:r w:rsidRPr="00587A1F">
        <w:rPr>
          <w:rFonts w:cs="Arial"/>
        </w:rPr>
        <w:t>(1), 249–262. https://doi.org/10.1007/s42535-020-00167-w</w:t>
      </w:r>
    </w:p>
    <w:p w14:paraId="543A71AE" w14:textId="77777777" w:rsidR="00996333" w:rsidRPr="00587A1F" w:rsidRDefault="00996333" w:rsidP="00BC5D4B">
      <w:pPr>
        <w:pStyle w:val="Bibliography"/>
        <w:spacing w:before="0" w:line="240" w:lineRule="auto"/>
        <w:rPr>
          <w:rFonts w:cs="Arial"/>
        </w:rPr>
      </w:pPr>
      <w:r w:rsidRPr="00587A1F">
        <w:rPr>
          <w:rFonts w:cs="Arial"/>
        </w:rPr>
        <w:t xml:space="preserve">Chauhan, N., Sankhyan, N. K., Sharma, R. P., Singh, J., &amp; Gourav. (2020). Effect of long-term application of inorganic fertilizers, farm yard manure and lime on wheat ( </w:t>
      </w:r>
      <w:r w:rsidRPr="00587A1F">
        <w:rPr>
          <w:rFonts w:cs="Arial"/>
          <w:i/>
          <w:iCs/>
        </w:rPr>
        <w:t>Triticum aestivum</w:t>
      </w:r>
      <w:r w:rsidRPr="00587A1F">
        <w:rPr>
          <w:rFonts w:cs="Arial"/>
        </w:rPr>
        <w:t xml:space="preserve"> L.) productivity, quality and nutrient content in an acid alfisol. </w:t>
      </w:r>
      <w:r w:rsidRPr="00587A1F">
        <w:rPr>
          <w:rFonts w:cs="Arial"/>
          <w:i/>
          <w:iCs/>
        </w:rPr>
        <w:t>Journal of Plant Nutrition</w:t>
      </w:r>
      <w:r w:rsidRPr="00587A1F">
        <w:rPr>
          <w:rFonts w:cs="Arial"/>
        </w:rPr>
        <w:t xml:space="preserve">, </w:t>
      </w:r>
      <w:r w:rsidRPr="00587A1F">
        <w:rPr>
          <w:rFonts w:cs="Arial"/>
          <w:i/>
          <w:iCs/>
        </w:rPr>
        <w:t>43</w:t>
      </w:r>
      <w:r w:rsidRPr="00587A1F">
        <w:rPr>
          <w:rFonts w:cs="Arial"/>
        </w:rPr>
        <w:t>(17), 2569–2578. https://doi.org/10.1080/01904167.2020.1783298</w:t>
      </w:r>
    </w:p>
    <w:p w14:paraId="61281180" w14:textId="77777777" w:rsidR="00996333" w:rsidRPr="00587A1F" w:rsidRDefault="00996333" w:rsidP="00BC5D4B">
      <w:pPr>
        <w:pStyle w:val="Bibliography"/>
        <w:spacing w:before="0" w:line="240" w:lineRule="auto"/>
        <w:rPr>
          <w:rFonts w:cs="Arial"/>
        </w:rPr>
      </w:pPr>
      <w:r w:rsidRPr="00587A1F">
        <w:rPr>
          <w:rFonts w:cs="Arial"/>
        </w:rPr>
        <w:lastRenderedPageBreak/>
        <w:t xml:space="preserve">Churu, H., Kamau, S., Ng’etich, W., Magiroi, K., Alkamoi, B., Kebeney, S., Wamalwa, F., &amp; Mumo, J. (2024). Drivers of Gully Erosion and its Socio-economic and Environmental Effects in a Tropical Semi-arid Environment. </w:t>
      </w:r>
      <w:r w:rsidRPr="00587A1F">
        <w:rPr>
          <w:rFonts w:cs="Arial"/>
          <w:i/>
          <w:iCs/>
        </w:rPr>
        <w:t>Asian Journal of Soil Science and Plant Nutrition</w:t>
      </w:r>
      <w:r w:rsidRPr="00587A1F">
        <w:rPr>
          <w:rFonts w:cs="Arial"/>
        </w:rPr>
        <w:t xml:space="preserve">, </w:t>
      </w:r>
      <w:r w:rsidRPr="00587A1F">
        <w:rPr>
          <w:rFonts w:cs="Arial"/>
          <w:i/>
          <w:iCs/>
        </w:rPr>
        <w:t>10</w:t>
      </w:r>
      <w:r w:rsidRPr="00587A1F">
        <w:rPr>
          <w:rFonts w:cs="Arial"/>
        </w:rPr>
        <w:t>(2), 13–26.</w:t>
      </w:r>
    </w:p>
    <w:p w14:paraId="59344DEA" w14:textId="77777777" w:rsidR="00996333" w:rsidRPr="00587A1F" w:rsidRDefault="00996333" w:rsidP="00BC5D4B">
      <w:pPr>
        <w:pStyle w:val="Bibliography"/>
        <w:spacing w:before="0" w:line="240" w:lineRule="auto"/>
        <w:rPr>
          <w:rFonts w:cs="Arial"/>
        </w:rPr>
      </w:pPr>
      <w:r w:rsidRPr="00587A1F">
        <w:rPr>
          <w:rFonts w:cs="Arial"/>
        </w:rPr>
        <w:t xml:space="preserve">CIDP. (2023). </w:t>
      </w:r>
      <w:r w:rsidRPr="00587A1F">
        <w:rPr>
          <w:rFonts w:cs="Arial"/>
          <w:i/>
          <w:iCs/>
        </w:rPr>
        <w:t>West Pokot County Integrated development plan 2023—2027</w:t>
      </w:r>
      <w:r w:rsidRPr="00587A1F">
        <w:rPr>
          <w:rFonts w:cs="Arial"/>
        </w:rPr>
        <w:t>.</w:t>
      </w:r>
    </w:p>
    <w:p w14:paraId="469DF1DC" w14:textId="77777777" w:rsidR="00996333" w:rsidRPr="00587A1F" w:rsidRDefault="00996333" w:rsidP="00BC5D4B">
      <w:pPr>
        <w:pStyle w:val="Bibliography"/>
        <w:spacing w:before="0" w:line="240" w:lineRule="auto"/>
        <w:rPr>
          <w:rFonts w:cs="Arial"/>
        </w:rPr>
      </w:pPr>
      <w:r w:rsidRPr="00587A1F">
        <w:rPr>
          <w:rFonts w:cs="Arial"/>
        </w:rPr>
        <w:t xml:space="preserve">Conceição, P., Levine, S., Lipton, M., &amp; Warren-Rodríguez, A. (2016). Toward a food secure future: Ensuring food security for sustainable human development in Sub-Saharan Africa. </w:t>
      </w:r>
      <w:r w:rsidRPr="00587A1F">
        <w:rPr>
          <w:rFonts w:cs="Arial"/>
          <w:i/>
          <w:iCs/>
        </w:rPr>
        <w:t>Food Policy</w:t>
      </w:r>
      <w:r w:rsidRPr="00587A1F">
        <w:rPr>
          <w:rFonts w:cs="Arial"/>
        </w:rPr>
        <w:t xml:space="preserve">, </w:t>
      </w:r>
      <w:r w:rsidRPr="00587A1F">
        <w:rPr>
          <w:rFonts w:cs="Arial"/>
          <w:i/>
          <w:iCs/>
        </w:rPr>
        <w:t>60</w:t>
      </w:r>
      <w:r w:rsidRPr="00587A1F">
        <w:rPr>
          <w:rFonts w:cs="Arial"/>
        </w:rPr>
        <w:t>, 1–9. https://doi.org/10.1016/j.foodpol.2016.02.003</w:t>
      </w:r>
    </w:p>
    <w:p w14:paraId="34545552" w14:textId="77777777" w:rsidR="00996333" w:rsidRPr="00587A1F" w:rsidRDefault="00996333" w:rsidP="00BC5D4B">
      <w:pPr>
        <w:pStyle w:val="Bibliography"/>
        <w:spacing w:before="0" w:line="240" w:lineRule="auto"/>
        <w:rPr>
          <w:rFonts w:cs="Arial"/>
        </w:rPr>
      </w:pPr>
      <w:r w:rsidRPr="00587A1F">
        <w:rPr>
          <w:rFonts w:cs="Arial"/>
        </w:rPr>
        <w:t xml:space="preserve">Du, Y., Cui, B., zhang, Q., Wang, Z., Sun, J., &amp; Niu, W. (2020). Effects of manure fertilizer on crop yield and soil properties in China: A meta-analysis. </w:t>
      </w:r>
      <w:r w:rsidRPr="00587A1F">
        <w:rPr>
          <w:rFonts w:cs="Arial"/>
          <w:i/>
          <w:iCs/>
        </w:rPr>
        <w:t>CATENA</w:t>
      </w:r>
      <w:r w:rsidRPr="00587A1F">
        <w:rPr>
          <w:rFonts w:cs="Arial"/>
        </w:rPr>
        <w:t xml:space="preserve">, </w:t>
      </w:r>
      <w:r w:rsidRPr="00587A1F">
        <w:rPr>
          <w:rFonts w:cs="Arial"/>
          <w:i/>
          <w:iCs/>
        </w:rPr>
        <w:t>193</w:t>
      </w:r>
      <w:r w:rsidRPr="00587A1F">
        <w:rPr>
          <w:rFonts w:cs="Arial"/>
        </w:rPr>
        <w:t>, 104617. https://doi.org/10.1016/j.catena.2020.104617</w:t>
      </w:r>
    </w:p>
    <w:p w14:paraId="225A00CF" w14:textId="77777777" w:rsidR="00996333" w:rsidRPr="00587A1F" w:rsidRDefault="00996333" w:rsidP="00BC5D4B">
      <w:pPr>
        <w:pStyle w:val="Bibliography"/>
        <w:spacing w:before="0" w:line="240" w:lineRule="auto"/>
        <w:rPr>
          <w:rFonts w:cs="Arial"/>
        </w:rPr>
      </w:pPr>
      <w:r w:rsidRPr="00587A1F">
        <w:rPr>
          <w:rFonts w:cs="Arial"/>
        </w:rPr>
        <w:t xml:space="preserve">Ejigu, W., G Selassie, Y., Elias, E., &amp; Damte, M. (2021). Integrated fertilizer application improves soil properties and maize (Zea mays L.) yield on Nitisols in Northwestern Ethiopia. </w:t>
      </w:r>
      <w:r w:rsidRPr="00587A1F">
        <w:rPr>
          <w:rFonts w:cs="Arial"/>
          <w:i/>
          <w:iCs/>
        </w:rPr>
        <w:t>Heliyon</w:t>
      </w:r>
      <w:r w:rsidRPr="00587A1F">
        <w:rPr>
          <w:rFonts w:cs="Arial"/>
        </w:rPr>
        <w:t xml:space="preserve">, </w:t>
      </w:r>
      <w:r w:rsidRPr="00587A1F">
        <w:rPr>
          <w:rFonts w:cs="Arial"/>
          <w:i/>
          <w:iCs/>
        </w:rPr>
        <w:t>7</w:t>
      </w:r>
      <w:r w:rsidRPr="00587A1F">
        <w:rPr>
          <w:rFonts w:cs="Arial"/>
        </w:rPr>
        <w:t>(2), e06074. https://doi.org/10.1016/j.heliyon.2021.e06074</w:t>
      </w:r>
    </w:p>
    <w:p w14:paraId="71DDCCC1" w14:textId="77777777" w:rsidR="00996333" w:rsidRPr="00587A1F" w:rsidRDefault="00996333" w:rsidP="00BC5D4B">
      <w:pPr>
        <w:pStyle w:val="Bibliography"/>
        <w:spacing w:before="0" w:line="240" w:lineRule="auto"/>
        <w:rPr>
          <w:rFonts w:cs="Arial"/>
        </w:rPr>
      </w:pPr>
      <w:r w:rsidRPr="00587A1F">
        <w:rPr>
          <w:rFonts w:cs="Arial"/>
        </w:rPr>
        <w:t xml:space="preserve">Fielke, S. J., &amp; Bardsley, D. K. (2014). The importance of farmer education in South Australia. </w:t>
      </w:r>
      <w:r w:rsidRPr="00587A1F">
        <w:rPr>
          <w:rFonts w:cs="Arial"/>
          <w:i/>
          <w:iCs/>
        </w:rPr>
        <w:t>Land Use Policy</w:t>
      </w:r>
      <w:r w:rsidRPr="00587A1F">
        <w:rPr>
          <w:rFonts w:cs="Arial"/>
        </w:rPr>
        <w:t xml:space="preserve">, </w:t>
      </w:r>
      <w:r w:rsidRPr="00587A1F">
        <w:rPr>
          <w:rFonts w:cs="Arial"/>
          <w:i/>
          <w:iCs/>
        </w:rPr>
        <w:t>39</w:t>
      </w:r>
      <w:r w:rsidRPr="00587A1F">
        <w:rPr>
          <w:rFonts w:cs="Arial"/>
        </w:rPr>
        <w:t>, 301–312. https://doi.org/10.1016/j.landusepol.2014.02.006</w:t>
      </w:r>
    </w:p>
    <w:p w14:paraId="6504F3DC" w14:textId="77777777" w:rsidR="00996333" w:rsidRPr="00587A1F" w:rsidRDefault="00996333" w:rsidP="00BC5D4B">
      <w:pPr>
        <w:pStyle w:val="Bibliography"/>
        <w:spacing w:before="0" w:line="240" w:lineRule="auto"/>
        <w:rPr>
          <w:rFonts w:cs="Arial"/>
        </w:rPr>
      </w:pPr>
      <w:r w:rsidRPr="00587A1F">
        <w:rPr>
          <w:rFonts w:cs="Arial"/>
        </w:rPr>
        <w:t xml:space="preserve">Gatobu, C. K., Omboto, P., &amp; Mining, P. (2020). </w:t>
      </w:r>
      <w:r w:rsidRPr="00587A1F">
        <w:rPr>
          <w:rFonts w:cs="Arial"/>
          <w:i/>
          <w:iCs/>
        </w:rPr>
        <w:t>Socio-Economic Factors that Influence Household Food Security in West Pokot County, Kenya</w:t>
      </w:r>
      <w:r w:rsidRPr="00587A1F">
        <w:rPr>
          <w:rFonts w:cs="Arial"/>
        </w:rPr>
        <w:t>. https://www.researchsquare.com/article/rs-82001/latest</w:t>
      </w:r>
    </w:p>
    <w:p w14:paraId="0A0C208F" w14:textId="77777777" w:rsidR="00996333" w:rsidRPr="00587A1F" w:rsidRDefault="00996333" w:rsidP="00BC5D4B">
      <w:pPr>
        <w:pStyle w:val="Bibliography"/>
        <w:spacing w:before="0" w:line="240" w:lineRule="auto"/>
        <w:rPr>
          <w:rFonts w:cs="Arial"/>
        </w:rPr>
      </w:pPr>
      <w:r w:rsidRPr="00587A1F">
        <w:rPr>
          <w:rFonts w:cs="Arial"/>
        </w:rPr>
        <w:t xml:space="preserve">Gerwen, F., Nelen, J., Hopkins, M., Adimo, O., Souley, A., &amp; Bergmann, N. (2018). </w:t>
      </w:r>
      <w:r w:rsidRPr="00587A1F">
        <w:rPr>
          <w:rFonts w:cs="Arial"/>
          <w:i/>
          <w:iCs/>
        </w:rPr>
        <w:t>Drylands Development External programme Review Volume II MDF Training &amp; Consultancy.</w:t>
      </w:r>
      <w:r w:rsidRPr="00587A1F">
        <w:rPr>
          <w:rFonts w:cs="Arial"/>
        </w:rPr>
        <w:t xml:space="preserve"> https://wash-alliance.org/wp-content/ uploads/sites/ 50/2019/06/8724_ Dry_Dev_Kenya _Final _HR.pdf</w:t>
      </w:r>
    </w:p>
    <w:p w14:paraId="0E49B511" w14:textId="77777777" w:rsidR="00996333" w:rsidRPr="00587A1F" w:rsidRDefault="00996333" w:rsidP="00BC5D4B">
      <w:pPr>
        <w:pStyle w:val="Bibliography"/>
        <w:spacing w:before="0" w:line="240" w:lineRule="auto"/>
        <w:rPr>
          <w:rFonts w:cs="Arial"/>
        </w:rPr>
      </w:pPr>
      <w:r w:rsidRPr="00587A1F">
        <w:rPr>
          <w:rFonts w:cs="Arial"/>
        </w:rPr>
        <w:t xml:space="preserve">Githongo, M., Kiboi, M., Muriuki, A., Fliessbach, A., Musafiri, C., &amp; Ngetich, F. K. (2023). Organic Carbon Content in Fractions of Soils Managed for Soil Fertility Improvement in Sub-Humid Agroecosystems of Kenya. </w:t>
      </w:r>
      <w:r w:rsidRPr="00587A1F">
        <w:rPr>
          <w:rFonts w:cs="Arial"/>
          <w:i/>
          <w:iCs/>
        </w:rPr>
        <w:t>Sustainability</w:t>
      </w:r>
      <w:r w:rsidRPr="00587A1F">
        <w:rPr>
          <w:rFonts w:cs="Arial"/>
        </w:rPr>
        <w:t xml:space="preserve">, </w:t>
      </w:r>
      <w:r w:rsidRPr="00587A1F">
        <w:rPr>
          <w:rFonts w:cs="Arial"/>
          <w:i/>
          <w:iCs/>
        </w:rPr>
        <w:t>15</w:t>
      </w:r>
      <w:r w:rsidRPr="00587A1F">
        <w:rPr>
          <w:rFonts w:cs="Arial"/>
        </w:rPr>
        <w:t>(1), Article 1. https://doi.org/10.3390/su15010683</w:t>
      </w:r>
    </w:p>
    <w:p w14:paraId="3CB3F99C" w14:textId="77777777" w:rsidR="00996333" w:rsidRPr="00587A1F" w:rsidRDefault="00996333" w:rsidP="00BC5D4B">
      <w:pPr>
        <w:pStyle w:val="Bibliography"/>
        <w:spacing w:before="0" w:line="240" w:lineRule="auto"/>
        <w:rPr>
          <w:rFonts w:cs="Arial"/>
        </w:rPr>
      </w:pPr>
      <w:r w:rsidRPr="00587A1F">
        <w:rPr>
          <w:rFonts w:cs="Arial"/>
        </w:rPr>
        <w:t xml:space="preserve">Gumucio, T., Hansen, J., Huyer, S., &amp; van Huysen, T. (2020). Gender-responsive rural climate services: A review of the literature. </w:t>
      </w:r>
      <w:r w:rsidRPr="00587A1F">
        <w:rPr>
          <w:rFonts w:cs="Arial"/>
          <w:i/>
          <w:iCs/>
        </w:rPr>
        <w:t>Climate and Development</w:t>
      </w:r>
      <w:r w:rsidRPr="00587A1F">
        <w:rPr>
          <w:rFonts w:cs="Arial"/>
        </w:rPr>
        <w:t xml:space="preserve">, </w:t>
      </w:r>
      <w:r w:rsidRPr="00587A1F">
        <w:rPr>
          <w:rFonts w:cs="Arial"/>
          <w:i/>
          <w:iCs/>
        </w:rPr>
        <w:t>12</w:t>
      </w:r>
      <w:r w:rsidRPr="00587A1F">
        <w:rPr>
          <w:rFonts w:cs="Arial"/>
        </w:rPr>
        <w:t>(3), 241–254. https://doi.org/10.1080/17565529.2019.1613216</w:t>
      </w:r>
    </w:p>
    <w:p w14:paraId="5F7BA47F" w14:textId="77777777" w:rsidR="00996333" w:rsidRPr="00587A1F" w:rsidRDefault="00996333" w:rsidP="00BC5D4B">
      <w:pPr>
        <w:pStyle w:val="Bibliography"/>
        <w:spacing w:before="0" w:line="240" w:lineRule="auto"/>
        <w:rPr>
          <w:rFonts w:cs="Arial"/>
        </w:rPr>
      </w:pPr>
      <w:r w:rsidRPr="00587A1F">
        <w:rPr>
          <w:rFonts w:cs="Arial"/>
        </w:rPr>
        <w:t xml:space="preserve">Han, J., Dong, Y., &amp; Zhang, M. (2021). Chemical fertilizer reduction with organic fertilizer effectively improve soil fertility and microbial community from newly cultivated land in the Loess Plateau of China. </w:t>
      </w:r>
      <w:r w:rsidRPr="00587A1F">
        <w:rPr>
          <w:rFonts w:cs="Arial"/>
          <w:i/>
          <w:iCs/>
        </w:rPr>
        <w:t>Applied Soil Ecology</w:t>
      </w:r>
      <w:r w:rsidRPr="00587A1F">
        <w:rPr>
          <w:rFonts w:cs="Arial"/>
        </w:rPr>
        <w:t xml:space="preserve">, </w:t>
      </w:r>
      <w:r w:rsidRPr="00587A1F">
        <w:rPr>
          <w:rFonts w:cs="Arial"/>
          <w:i/>
          <w:iCs/>
        </w:rPr>
        <w:t>165</w:t>
      </w:r>
      <w:r w:rsidRPr="00587A1F">
        <w:rPr>
          <w:rFonts w:cs="Arial"/>
        </w:rPr>
        <w:t>, 103966. https://doi.org/10.1016/j.apsoil.2021.103966</w:t>
      </w:r>
    </w:p>
    <w:p w14:paraId="25627946" w14:textId="77777777" w:rsidR="00996333" w:rsidRPr="00587A1F" w:rsidRDefault="00996333" w:rsidP="00BC5D4B">
      <w:pPr>
        <w:pStyle w:val="Bibliography"/>
        <w:spacing w:before="0" w:line="240" w:lineRule="auto"/>
        <w:rPr>
          <w:rFonts w:cs="Arial"/>
        </w:rPr>
      </w:pPr>
      <w:r w:rsidRPr="00587A1F">
        <w:rPr>
          <w:rFonts w:cs="Arial"/>
        </w:rPr>
        <w:t xml:space="preserve">Hirwa, H., Li, F., Qiao, Y., Measho, S., Muhirwa, F., Tian, C., Leng, P., Ingabire, R., Itangishaka, A. C., Chen, G., &amp; Turyasingura, B. (2022). Climate change–drylands–food security nexus in Africa: From the perspective of technical advances, challenges, and opportunities. </w:t>
      </w:r>
      <w:r w:rsidRPr="00587A1F">
        <w:rPr>
          <w:rFonts w:cs="Arial"/>
          <w:i/>
          <w:iCs/>
        </w:rPr>
        <w:t>Frontiers in Environmental Science</w:t>
      </w:r>
      <w:r w:rsidRPr="00587A1F">
        <w:rPr>
          <w:rFonts w:cs="Arial"/>
        </w:rPr>
        <w:t xml:space="preserve">, </w:t>
      </w:r>
      <w:r w:rsidRPr="00587A1F">
        <w:rPr>
          <w:rFonts w:cs="Arial"/>
          <w:i/>
          <w:iCs/>
        </w:rPr>
        <w:t>10</w:t>
      </w:r>
      <w:r w:rsidRPr="00587A1F">
        <w:rPr>
          <w:rFonts w:cs="Arial"/>
        </w:rPr>
        <w:t>. https://doi.org/10.3389/fenvs.2022.851249</w:t>
      </w:r>
    </w:p>
    <w:p w14:paraId="4DD343CD" w14:textId="77777777" w:rsidR="00996333" w:rsidRPr="00587A1F" w:rsidRDefault="00996333" w:rsidP="00BC5D4B">
      <w:pPr>
        <w:pStyle w:val="Bibliography"/>
        <w:spacing w:before="0" w:line="240" w:lineRule="auto"/>
        <w:rPr>
          <w:rFonts w:cs="Arial"/>
        </w:rPr>
      </w:pPr>
      <w:r w:rsidRPr="00587A1F">
        <w:rPr>
          <w:rFonts w:cs="Arial"/>
        </w:rPr>
        <w:t xml:space="preserve">Jerop, E., Ngeno, E. K., &amp; Wamalwa, F. (2023). </w:t>
      </w:r>
      <w:r w:rsidRPr="00587A1F">
        <w:rPr>
          <w:rFonts w:cs="Arial"/>
          <w:i/>
          <w:iCs/>
        </w:rPr>
        <w:t>ESTIMATION OF THE TECHNICAL EFFICIENCY OF SMALLHOLDER DAIRY FARMERS IN SOUTH AND WEST POKOT SUB-COUNTIES, KENYA</w:t>
      </w:r>
      <w:r w:rsidRPr="00587A1F">
        <w:rPr>
          <w:rFonts w:cs="Arial"/>
        </w:rPr>
        <w:t xml:space="preserve">. </w:t>
      </w:r>
      <w:r w:rsidRPr="00587A1F">
        <w:rPr>
          <w:rFonts w:cs="Arial"/>
          <w:i/>
          <w:iCs/>
        </w:rPr>
        <w:t>10</w:t>
      </w:r>
      <w:r w:rsidRPr="00587A1F">
        <w:rPr>
          <w:rFonts w:cs="Arial"/>
        </w:rPr>
        <w:t>(3).</w:t>
      </w:r>
    </w:p>
    <w:p w14:paraId="3CDCF35A" w14:textId="77777777" w:rsidR="00996333" w:rsidRPr="00587A1F" w:rsidRDefault="00996333" w:rsidP="00BC5D4B">
      <w:pPr>
        <w:pStyle w:val="Bibliography"/>
        <w:spacing w:before="0" w:line="240" w:lineRule="auto"/>
        <w:rPr>
          <w:rFonts w:cs="Arial"/>
        </w:rPr>
      </w:pPr>
      <w:r w:rsidRPr="00587A1F">
        <w:rPr>
          <w:rFonts w:cs="Arial"/>
        </w:rPr>
        <w:t xml:space="preserve">Kalele, D. N., Ogara, W. O., Oludhe, C., &amp; Onono, J. O. (2021). Climate change impacts and relevance of smallholder farmers’ response in arid and semi-arid lands in Kenya. </w:t>
      </w:r>
      <w:r w:rsidRPr="00587A1F">
        <w:rPr>
          <w:rFonts w:cs="Arial"/>
          <w:i/>
          <w:iCs/>
        </w:rPr>
        <w:t>Scientific African</w:t>
      </w:r>
      <w:r w:rsidRPr="00587A1F">
        <w:rPr>
          <w:rFonts w:cs="Arial"/>
        </w:rPr>
        <w:t xml:space="preserve">, </w:t>
      </w:r>
      <w:r w:rsidRPr="00587A1F">
        <w:rPr>
          <w:rFonts w:cs="Arial"/>
          <w:i/>
          <w:iCs/>
        </w:rPr>
        <w:t>12</w:t>
      </w:r>
      <w:r w:rsidRPr="00587A1F">
        <w:rPr>
          <w:rFonts w:cs="Arial"/>
        </w:rPr>
        <w:t>, e00814. https://doi.org/10.1016/j.sciaf.2021.e00814</w:t>
      </w:r>
    </w:p>
    <w:p w14:paraId="0370A269" w14:textId="77777777" w:rsidR="00996333" w:rsidRPr="00587A1F" w:rsidRDefault="00996333" w:rsidP="00BC5D4B">
      <w:pPr>
        <w:pStyle w:val="Bibliography"/>
        <w:spacing w:before="0" w:line="240" w:lineRule="auto"/>
        <w:rPr>
          <w:rFonts w:cs="Arial"/>
        </w:rPr>
      </w:pPr>
      <w:r w:rsidRPr="00587A1F">
        <w:rPr>
          <w:rFonts w:cs="Arial"/>
        </w:rPr>
        <w:t xml:space="preserve">KEFRI/JICA. (2023). </w:t>
      </w:r>
      <w:r w:rsidRPr="00587A1F">
        <w:rPr>
          <w:rFonts w:cs="Arial"/>
          <w:i/>
          <w:iCs/>
        </w:rPr>
        <w:t>Dryland Forestry Research and Development in Kenya: Achievements and Lessons of Four Decades of Kenya/Japan Cooperation in Forestry. KEFRI, Kenya.</w:t>
      </w:r>
      <w:r w:rsidRPr="00587A1F">
        <w:rPr>
          <w:rFonts w:cs="Arial"/>
        </w:rPr>
        <w:t xml:space="preserve"> Kenya Forestry Research Institute (KEFRI). https://www.kefri.org/assets/publications/BooksnChapters/KEFRI-JICATICADBooklet.pdf</w:t>
      </w:r>
    </w:p>
    <w:p w14:paraId="13133A0A" w14:textId="77777777" w:rsidR="00996333" w:rsidRPr="00587A1F" w:rsidRDefault="00996333" w:rsidP="00BC5D4B">
      <w:pPr>
        <w:pStyle w:val="Bibliography"/>
        <w:spacing w:before="0" w:line="240" w:lineRule="auto"/>
        <w:rPr>
          <w:rFonts w:cs="Arial"/>
        </w:rPr>
      </w:pPr>
      <w:r w:rsidRPr="00587A1F">
        <w:rPr>
          <w:rFonts w:cs="Arial"/>
        </w:rPr>
        <w:t xml:space="preserve">KFSSG, &amp; CSG. (2023). </w:t>
      </w:r>
      <w:r w:rsidRPr="00587A1F">
        <w:rPr>
          <w:rFonts w:cs="Arial"/>
          <w:i/>
          <w:iCs/>
        </w:rPr>
        <w:t>West Pokot County 2023 Short Rains Food and Nutrition Security Assessment Report</w:t>
      </w:r>
      <w:r w:rsidRPr="00587A1F">
        <w:rPr>
          <w:rFonts w:cs="Arial"/>
        </w:rPr>
        <w:t xml:space="preserve"> (pp. 1–44). Kenya Food Security Steering Group team.</w:t>
      </w:r>
    </w:p>
    <w:p w14:paraId="63A64555" w14:textId="77777777" w:rsidR="00996333" w:rsidRPr="00587A1F" w:rsidRDefault="00996333" w:rsidP="00BC5D4B">
      <w:pPr>
        <w:pStyle w:val="Bibliography"/>
        <w:spacing w:before="0" w:line="240" w:lineRule="auto"/>
        <w:rPr>
          <w:rFonts w:cs="Arial"/>
        </w:rPr>
      </w:pPr>
      <w:r w:rsidRPr="00587A1F">
        <w:rPr>
          <w:rFonts w:cs="Arial"/>
        </w:rPr>
        <w:t xml:space="preserve">Kiplagat, W., Ouma, G., Ali, A., Omondi, P., &amp; Lolemtum, J. (2023). Effect of Climate Variability on Agricultural Yields in West Pokot County, Kenya. </w:t>
      </w:r>
      <w:r w:rsidRPr="00587A1F">
        <w:rPr>
          <w:rFonts w:cs="Arial"/>
          <w:i/>
          <w:iCs/>
        </w:rPr>
        <w:t>East African Agricultural and Forestry Journal</w:t>
      </w:r>
      <w:r w:rsidRPr="00587A1F">
        <w:rPr>
          <w:rFonts w:cs="Arial"/>
        </w:rPr>
        <w:t xml:space="preserve">, </w:t>
      </w:r>
      <w:r w:rsidRPr="00587A1F">
        <w:rPr>
          <w:rFonts w:cs="Arial"/>
          <w:i/>
          <w:iCs/>
        </w:rPr>
        <w:t>87</w:t>
      </w:r>
      <w:r w:rsidRPr="00587A1F">
        <w:rPr>
          <w:rFonts w:cs="Arial"/>
        </w:rPr>
        <w:t>(3 &amp; 4), 20–20.</w:t>
      </w:r>
    </w:p>
    <w:p w14:paraId="7CBEB474" w14:textId="77777777" w:rsidR="00996333" w:rsidRPr="00587A1F" w:rsidRDefault="00996333" w:rsidP="00BC5D4B">
      <w:pPr>
        <w:pStyle w:val="Bibliography"/>
        <w:spacing w:before="0" w:line="240" w:lineRule="auto"/>
        <w:rPr>
          <w:rFonts w:cs="Arial"/>
        </w:rPr>
      </w:pPr>
      <w:r w:rsidRPr="00587A1F">
        <w:rPr>
          <w:rFonts w:cs="Arial"/>
        </w:rPr>
        <w:t xml:space="preserve">Kirui, O. (2019). </w:t>
      </w:r>
      <w:r w:rsidRPr="00587A1F">
        <w:rPr>
          <w:rFonts w:cs="Arial"/>
          <w:i/>
          <w:iCs/>
        </w:rPr>
        <w:t>The Agricultural Mechanization in Africa: Micro-Level Analysis of State Drivers and Effects</w:t>
      </w:r>
      <w:r w:rsidRPr="00587A1F">
        <w:rPr>
          <w:rFonts w:cs="Arial"/>
        </w:rPr>
        <w:t xml:space="preserve"> (SSRN Scholarly Paper No. 3368103). Social Science Research Network. https://doi.org/10.2139/ssrn.3368103</w:t>
      </w:r>
    </w:p>
    <w:p w14:paraId="3B1DB988" w14:textId="77777777" w:rsidR="00996333" w:rsidRPr="00587A1F" w:rsidRDefault="00996333" w:rsidP="00BC5D4B">
      <w:pPr>
        <w:pStyle w:val="Bibliography"/>
        <w:spacing w:before="0" w:line="240" w:lineRule="auto"/>
        <w:rPr>
          <w:rFonts w:cs="Arial"/>
        </w:rPr>
      </w:pPr>
      <w:r w:rsidRPr="00587A1F">
        <w:rPr>
          <w:rFonts w:cs="Arial"/>
        </w:rPr>
        <w:t xml:space="preserve">KNBS. (2019). </w:t>
      </w:r>
      <w:r w:rsidRPr="00587A1F">
        <w:rPr>
          <w:rFonts w:cs="Arial"/>
          <w:i/>
          <w:iCs/>
        </w:rPr>
        <w:t>Kenya Population and Housing Census Analytical Report on Population Dynamics</w:t>
      </w:r>
      <w:r w:rsidRPr="00587A1F">
        <w:rPr>
          <w:rFonts w:cs="Arial"/>
        </w:rPr>
        <w:t xml:space="preserve"> (No. Vol III). KNBS. https://www.knbs.or.ke/wp-content/uploads/2024/05/2019-Kenya-Population-and-Housing-Census-Analytical-Report-on-Population-Dynamics-Vol-VIII.pdf</w:t>
      </w:r>
    </w:p>
    <w:p w14:paraId="7E6365C0" w14:textId="77777777" w:rsidR="00996333" w:rsidRPr="00587A1F" w:rsidRDefault="00996333" w:rsidP="00BC5D4B">
      <w:pPr>
        <w:pStyle w:val="Bibliography"/>
        <w:spacing w:before="0" w:line="240" w:lineRule="auto"/>
        <w:rPr>
          <w:rFonts w:cs="Arial"/>
        </w:rPr>
      </w:pPr>
      <w:r w:rsidRPr="00587A1F">
        <w:rPr>
          <w:rFonts w:cs="Arial"/>
        </w:rPr>
        <w:t xml:space="preserve">KNBS. (2021). </w:t>
      </w:r>
      <w:r w:rsidRPr="00587A1F">
        <w:rPr>
          <w:rFonts w:cs="Arial"/>
          <w:i/>
          <w:iCs/>
        </w:rPr>
        <w:t>The Kenya Poverty Report 2021: Kenya Continuous Household  Survey</w:t>
      </w:r>
      <w:r w:rsidRPr="00587A1F">
        <w:rPr>
          <w:rFonts w:cs="Arial"/>
        </w:rPr>
        <w:t xml:space="preserve"> (pp. 1–101). https://new.knbs.or.ke/wp-content/uploads/2023/09/The-Kenya-Poverty-Report-2021.pdf</w:t>
      </w:r>
    </w:p>
    <w:p w14:paraId="464384AA" w14:textId="77777777" w:rsidR="00996333" w:rsidRPr="00587A1F" w:rsidRDefault="00996333" w:rsidP="00BC5D4B">
      <w:pPr>
        <w:pStyle w:val="Bibliography"/>
        <w:spacing w:before="0" w:line="240" w:lineRule="auto"/>
        <w:rPr>
          <w:rFonts w:cs="Arial"/>
        </w:rPr>
      </w:pPr>
      <w:r w:rsidRPr="00587A1F">
        <w:rPr>
          <w:rFonts w:cs="Arial"/>
        </w:rPr>
        <w:lastRenderedPageBreak/>
        <w:t xml:space="preserve">Kotrlik, J., &amp; Higgins, C. (2001). Organizational research: Determining appropriate sample size in survey research appropriate sample size in survey research. </w:t>
      </w:r>
      <w:r w:rsidRPr="00587A1F">
        <w:rPr>
          <w:rFonts w:cs="Arial"/>
          <w:i/>
          <w:iCs/>
        </w:rPr>
        <w:t>Information Technology, Learning, and Performance Journal</w:t>
      </w:r>
      <w:r w:rsidRPr="00587A1F">
        <w:rPr>
          <w:rFonts w:cs="Arial"/>
        </w:rPr>
        <w:t xml:space="preserve">, </w:t>
      </w:r>
      <w:r w:rsidRPr="00587A1F">
        <w:rPr>
          <w:rFonts w:cs="Arial"/>
          <w:i/>
          <w:iCs/>
        </w:rPr>
        <w:t>19</w:t>
      </w:r>
      <w:r w:rsidRPr="00587A1F">
        <w:rPr>
          <w:rFonts w:cs="Arial"/>
        </w:rPr>
        <w:t>(1), 43.</w:t>
      </w:r>
    </w:p>
    <w:p w14:paraId="274548CC" w14:textId="77777777" w:rsidR="00996333" w:rsidRPr="00587A1F" w:rsidRDefault="00996333" w:rsidP="00BC5D4B">
      <w:pPr>
        <w:pStyle w:val="Bibliography"/>
        <w:spacing w:before="0" w:line="240" w:lineRule="auto"/>
        <w:rPr>
          <w:rFonts w:cs="Arial"/>
        </w:rPr>
      </w:pPr>
      <w:r w:rsidRPr="00587A1F">
        <w:rPr>
          <w:rFonts w:cs="Arial"/>
        </w:rPr>
        <w:t xml:space="preserve">Kuyah, S., Muoni, T., Bayala, J., Chopin, P., Dahlin, A. S., Hughes, K., Jonsson, M., Kumar, S., Sileshi, G. W., Dimobe, K., &amp; Öborn, I. (2023). Grain legumes and dryland cereals contribute to carbon sequestration in the drylands of Africa and South Asia. </w:t>
      </w:r>
      <w:r w:rsidRPr="00587A1F">
        <w:rPr>
          <w:rFonts w:cs="Arial"/>
          <w:i/>
          <w:iCs/>
        </w:rPr>
        <w:t>Agriculture, Ecosystems &amp; Environment</w:t>
      </w:r>
      <w:r w:rsidRPr="00587A1F">
        <w:rPr>
          <w:rFonts w:cs="Arial"/>
        </w:rPr>
        <w:t xml:space="preserve">, </w:t>
      </w:r>
      <w:r w:rsidRPr="00587A1F">
        <w:rPr>
          <w:rFonts w:cs="Arial"/>
          <w:i/>
          <w:iCs/>
        </w:rPr>
        <w:t>355</w:t>
      </w:r>
      <w:r w:rsidRPr="00587A1F">
        <w:rPr>
          <w:rFonts w:cs="Arial"/>
        </w:rPr>
        <w:t>, 108583. https://doi.org/10.1016/j.agee.2023.108583</w:t>
      </w:r>
    </w:p>
    <w:p w14:paraId="28068830" w14:textId="77777777" w:rsidR="00996333" w:rsidRPr="00587A1F" w:rsidRDefault="00996333" w:rsidP="00BC5D4B">
      <w:pPr>
        <w:pStyle w:val="Bibliography"/>
        <w:spacing w:before="0" w:line="240" w:lineRule="auto"/>
        <w:rPr>
          <w:rFonts w:cs="Arial"/>
        </w:rPr>
      </w:pPr>
      <w:r w:rsidRPr="00587A1F">
        <w:rPr>
          <w:rFonts w:cs="Arial"/>
        </w:rPr>
        <w:t xml:space="preserve">Lishan, T., &amp; Alemu, F. (2024). Elucidating sole application of farmyard manure and blended NPSB fertilizer effects on soil properties at Bench Shako and West Omo zone, South West Ethiopia. </w:t>
      </w:r>
      <w:r w:rsidRPr="00587A1F">
        <w:rPr>
          <w:rFonts w:cs="Arial"/>
          <w:i/>
          <w:iCs/>
        </w:rPr>
        <w:t>Heliyon</w:t>
      </w:r>
      <w:r w:rsidRPr="00587A1F">
        <w:rPr>
          <w:rFonts w:cs="Arial"/>
        </w:rPr>
        <w:t xml:space="preserve">, </w:t>
      </w:r>
      <w:r w:rsidRPr="00587A1F">
        <w:rPr>
          <w:rFonts w:cs="Arial"/>
          <w:i/>
          <w:iCs/>
        </w:rPr>
        <w:t>10</w:t>
      </w:r>
      <w:r w:rsidRPr="00587A1F">
        <w:rPr>
          <w:rFonts w:cs="Arial"/>
        </w:rPr>
        <w:t>(1), e22908. https://doi.org/10.1016/j.heliyon.2023.e22908</w:t>
      </w:r>
    </w:p>
    <w:p w14:paraId="1DA35741" w14:textId="77777777" w:rsidR="00996333" w:rsidRPr="00587A1F" w:rsidRDefault="00996333" w:rsidP="00BC5D4B">
      <w:pPr>
        <w:pStyle w:val="Bibliography"/>
        <w:spacing w:before="0" w:line="240" w:lineRule="auto"/>
        <w:rPr>
          <w:rFonts w:cs="Arial"/>
        </w:rPr>
      </w:pPr>
      <w:r w:rsidRPr="00587A1F">
        <w:rPr>
          <w:rFonts w:cs="Arial"/>
        </w:rPr>
        <w:t xml:space="preserve">Mir, M. S., Saxena, A., Kanth, R. H., Raja, W., Dar, K. A., Mahdi, S. S., Bhat, T. A., Naikoo, N. B., Nazir, A., Amin, Z., Mansoor, T., Myint, M. Z., Khan, M. R., Mohammad, I., &amp; Mir, S. A. (2022). Role of Intercropping in Sustainable Insect-Pest Management: A Review. </w:t>
      </w:r>
      <w:r w:rsidRPr="00587A1F">
        <w:rPr>
          <w:rFonts w:cs="Arial"/>
          <w:i/>
          <w:iCs/>
        </w:rPr>
        <w:t>International Journal of Environment and Climate Change</w:t>
      </w:r>
      <w:r w:rsidRPr="00587A1F">
        <w:rPr>
          <w:rFonts w:cs="Arial"/>
        </w:rPr>
        <w:t xml:space="preserve">, </w:t>
      </w:r>
      <w:r w:rsidRPr="00587A1F">
        <w:rPr>
          <w:rFonts w:cs="Arial"/>
          <w:i/>
          <w:iCs/>
        </w:rPr>
        <w:t>12</w:t>
      </w:r>
      <w:r w:rsidRPr="00587A1F">
        <w:rPr>
          <w:rFonts w:cs="Arial"/>
        </w:rPr>
        <w:t>(11), Article 11.</w:t>
      </w:r>
    </w:p>
    <w:p w14:paraId="1E572CD6" w14:textId="77777777" w:rsidR="00996333" w:rsidRPr="00587A1F" w:rsidRDefault="00996333" w:rsidP="00BC5D4B">
      <w:pPr>
        <w:pStyle w:val="Bibliography"/>
        <w:spacing w:before="0" w:line="240" w:lineRule="auto"/>
        <w:rPr>
          <w:rFonts w:cs="Arial"/>
        </w:rPr>
      </w:pPr>
      <w:r w:rsidRPr="00587A1F">
        <w:rPr>
          <w:rFonts w:cs="Arial"/>
        </w:rPr>
        <w:t xml:space="preserve">Mohamed Shaffril, H. A., Abu Samah, A., Samsuddin, S. F., Ahmad, N., Tangang, F., Ahmad Sidique, S. F., Abdul Rahman, H., Burhan, N. A. S., Arif Shah, J., &amp; Amiera Khalid, N. (2024). Diversification of agriculture practices as a response to climate change impacts among farmers in low-income countries: A systematic literature review. </w:t>
      </w:r>
      <w:r w:rsidRPr="00587A1F">
        <w:rPr>
          <w:rFonts w:cs="Arial"/>
          <w:i/>
          <w:iCs/>
        </w:rPr>
        <w:t>Climate Services</w:t>
      </w:r>
      <w:r w:rsidRPr="00587A1F">
        <w:rPr>
          <w:rFonts w:cs="Arial"/>
        </w:rPr>
        <w:t xml:space="preserve">, </w:t>
      </w:r>
      <w:r w:rsidRPr="00587A1F">
        <w:rPr>
          <w:rFonts w:cs="Arial"/>
          <w:i/>
          <w:iCs/>
        </w:rPr>
        <w:t>35</w:t>
      </w:r>
      <w:r w:rsidRPr="00587A1F">
        <w:rPr>
          <w:rFonts w:cs="Arial"/>
        </w:rPr>
        <w:t>, 100508. https://doi.org/10.1016/j.cliser.2024.100508</w:t>
      </w:r>
    </w:p>
    <w:p w14:paraId="115FC784" w14:textId="77777777" w:rsidR="00996333" w:rsidRPr="00587A1F" w:rsidRDefault="00996333" w:rsidP="00BC5D4B">
      <w:pPr>
        <w:pStyle w:val="Bibliography"/>
        <w:spacing w:before="0" w:line="240" w:lineRule="auto"/>
        <w:rPr>
          <w:rFonts w:cs="Arial"/>
        </w:rPr>
      </w:pPr>
      <w:r w:rsidRPr="00587A1F">
        <w:rPr>
          <w:rFonts w:cs="Arial"/>
        </w:rPr>
        <w:t xml:space="preserve">Muchomba, M. K., Muindi, E. M., &amp; Mulinge, J. M. (2023). Overview of Green Gram (Vigna radiata L.) Crop, Its Economic Importance, Ecological Requirements and Production Constraints in Kenya. </w:t>
      </w:r>
      <w:r w:rsidRPr="00587A1F">
        <w:rPr>
          <w:rFonts w:cs="Arial"/>
          <w:i/>
          <w:iCs/>
        </w:rPr>
        <w:t>Journal of Agriculture and Ecology Research International</w:t>
      </w:r>
      <w:r w:rsidRPr="00587A1F">
        <w:rPr>
          <w:rFonts w:cs="Arial"/>
        </w:rPr>
        <w:t xml:space="preserve">, </w:t>
      </w:r>
      <w:r w:rsidRPr="00587A1F">
        <w:rPr>
          <w:rFonts w:cs="Arial"/>
          <w:i/>
          <w:iCs/>
        </w:rPr>
        <w:t>24</w:t>
      </w:r>
      <w:r w:rsidRPr="00587A1F">
        <w:rPr>
          <w:rFonts w:cs="Arial"/>
        </w:rPr>
        <w:t>(2), Article 2. https://doi.org/10.9734/jaeri/2023/v24i2520</w:t>
      </w:r>
    </w:p>
    <w:p w14:paraId="2275C828" w14:textId="77777777" w:rsidR="00996333" w:rsidRPr="00587A1F" w:rsidRDefault="00996333" w:rsidP="00BC5D4B">
      <w:pPr>
        <w:pStyle w:val="Bibliography"/>
        <w:spacing w:before="0" w:line="240" w:lineRule="auto"/>
        <w:rPr>
          <w:rFonts w:cs="Arial"/>
        </w:rPr>
      </w:pPr>
      <w:r w:rsidRPr="00587A1F">
        <w:rPr>
          <w:rFonts w:cs="Arial"/>
        </w:rPr>
        <w:t xml:space="preserve">Muindi, E. M., Muindi, C. M., &amp; Ndiso, J. (2020). The Effects of Combining Farm Yard Manure, Starter Nitrogen, Phosphorus and Zinc on Growth and Yield of Green Grams. </w:t>
      </w:r>
      <w:r w:rsidRPr="00587A1F">
        <w:rPr>
          <w:rFonts w:cs="Arial"/>
          <w:i/>
          <w:iCs/>
        </w:rPr>
        <w:t>Journal of Agriculture and Ecology Research International</w:t>
      </w:r>
      <w:r w:rsidRPr="00587A1F">
        <w:rPr>
          <w:rFonts w:cs="Arial"/>
        </w:rPr>
        <w:t>, 1–9. https://doi.org/10.9734/jaeri/2019/v20i430117</w:t>
      </w:r>
    </w:p>
    <w:p w14:paraId="1B8C58A9" w14:textId="77777777" w:rsidR="00996333" w:rsidRPr="00587A1F" w:rsidRDefault="00996333" w:rsidP="00BC5D4B">
      <w:pPr>
        <w:pStyle w:val="Bibliography"/>
        <w:spacing w:before="0" w:line="240" w:lineRule="auto"/>
        <w:rPr>
          <w:rFonts w:cs="Arial"/>
        </w:rPr>
      </w:pPr>
      <w:r w:rsidRPr="00587A1F">
        <w:rPr>
          <w:rFonts w:cs="Arial"/>
        </w:rPr>
        <w:t xml:space="preserve">Mzyece, A., &amp; Ng’ombe, J. N. (2021). Crop diversification improves technical efficiency and reduces income variability in Northern Ghana. </w:t>
      </w:r>
      <w:r w:rsidRPr="00587A1F">
        <w:rPr>
          <w:rFonts w:cs="Arial"/>
          <w:i/>
          <w:iCs/>
        </w:rPr>
        <w:t>Journal of Agriculture and Food Research</w:t>
      </w:r>
      <w:r w:rsidRPr="00587A1F">
        <w:rPr>
          <w:rFonts w:cs="Arial"/>
        </w:rPr>
        <w:t xml:space="preserve">, </w:t>
      </w:r>
      <w:r w:rsidRPr="00587A1F">
        <w:rPr>
          <w:rFonts w:cs="Arial"/>
          <w:i/>
          <w:iCs/>
        </w:rPr>
        <w:t>5</w:t>
      </w:r>
      <w:r w:rsidRPr="00587A1F">
        <w:rPr>
          <w:rFonts w:cs="Arial"/>
        </w:rPr>
        <w:t>, 100162. https://doi.org/10.1016/j.jafr.2021.100162</w:t>
      </w:r>
    </w:p>
    <w:p w14:paraId="723212B9" w14:textId="77777777" w:rsidR="00996333" w:rsidRPr="00587A1F" w:rsidRDefault="00996333" w:rsidP="00BC5D4B">
      <w:pPr>
        <w:pStyle w:val="Bibliography"/>
        <w:spacing w:before="0" w:line="240" w:lineRule="auto"/>
        <w:rPr>
          <w:rFonts w:cs="Arial"/>
        </w:rPr>
      </w:pPr>
      <w:r w:rsidRPr="00587A1F">
        <w:rPr>
          <w:rFonts w:cs="Arial"/>
        </w:rPr>
        <w:t xml:space="preserve">Naeem Khan, M. (2020). Mungbean (Vigna radiata) intercropping enhances productivity of late season irrigated cotton in Punjab. </w:t>
      </w:r>
      <w:r w:rsidRPr="00587A1F">
        <w:rPr>
          <w:rFonts w:cs="Arial"/>
          <w:i/>
          <w:iCs/>
        </w:rPr>
        <w:t>Asian Journal of Agriculture and Biology</w:t>
      </w:r>
      <w:r w:rsidRPr="00587A1F">
        <w:rPr>
          <w:rFonts w:cs="Arial"/>
        </w:rPr>
        <w:t>. https://doi.org/10.35495/ajab.2020.03.187</w:t>
      </w:r>
    </w:p>
    <w:p w14:paraId="0605406B" w14:textId="77777777" w:rsidR="00996333" w:rsidRPr="00587A1F" w:rsidRDefault="00996333" w:rsidP="00BC5D4B">
      <w:pPr>
        <w:pStyle w:val="Bibliography"/>
        <w:spacing w:before="0" w:line="240" w:lineRule="auto"/>
        <w:rPr>
          <w:rFonts w:cs="Arial"/>
        </w:rPr>
      </w:pPr>
      <w:r w:rsidRPr="00587A1F">
        <w:rPr>
          <w:rFonts w:cs="Arial"/>
        </w:rPr>
        <w:t xml:space="preserve">Namuyiga, D. B., Stellmacher, T., &amp; Borgemeister, C. (2024). Determinants of smallholder membership in farmers’ groups in the pigeon pea-based farming system in Uganda. </w:t>
      </w:r>
      <w:r w:rsidRPr="00587A1F">
        <w:rPr>
          <w:rFonts w:cs="Arial"/>
          <w:i/>
          <w:iCs/>
        </w:rPr>
        <w:t>CABI Agriculture and Bioscience</w:t>
      </w:r>
      <w:r w:rsidRPr="00587A1F">
        <w:rPr>
          <w:rFonts w:cs="Arial"/>
        </w:rPr>
        <w:t xml:space="preserve">, </w:t>
      </w:r>
      <w:r w:rsidRPr="00587A1F">
        <w:rPr>
          <w:rFonts w:cs="Arial"/>
          <w:i/>
          <w:iCs/>
        </w:rPr>
        <w:t>5</w:t>
      </w:r>
      <w:r w:rsidRPr="00587A1F">
        <w:rPr>
          <w:rFonts w:cs="Arial"/>
        </w:rPr>
        <w:t>(1), 76. https://doi.org/10.1186/s43170-024-00281-8</w:t>
      </w:r>
    </w:p>
    <w:p w14:paraId="1284EA11" w14:textId="77777777" w:rsidR="00996333" w:rsidRPr="00587A1F" w:rsidRDefault="00996333" w:rsidP="00BC5D4B">
      <w:pPr>
        <w:pStyle w:val="Bibliography"/>
        <w:spacing w:before="0" w:line="240" w:lineRule="auto"/>
        <w:rPr>
          <w:rFonts w:cs="Arial"/>
        </w:rPr>
      </w:pPr>
      <w:r w:rsidRPr="00587A1F">
        <w:rPr>
          <w:rFonts w:cs="Arial"/>
        </w:rPr>
        <w:t xml:space="preserve">NDMA. (2024). </w:t>
      </w:r>
      <w:r w:rsidRPr="00587A1F">
        <w:rPr>
          <w:rFonts w:cs="Arial"/>
          <w:i/>
          <w:iCs/>
        </w:rPr>
        <w:t>West Pokot Drought Early Warning Bulletin for July, 2024</w:t>
      </w:r>
      <w:r w:rsidRPr="00587A1F">
        <w:rPr>
          <w:rFonts w:cs="Arial"/>
        </w:rPr>
        <w:t xml:space="preserve"> (pp. 1–20). National Drought Management Authority.</w:t>
      </w:r>
    </w:p>
    <w:p w14:paraId="10145390" w14:textId="77777777" w:rsidR="00996333" w:rsidRPr="00587A1F" w:rsidRDefault="00996333" w:rsidP="00BC5D4B">
      <w:pPr>
        <w:pStyle w:val="Bibliography"/>
        <w:spacing w:before="0" w:line="240" w:lineRule="auto"/>
        <w:rPr>
          <w:rFonts w:cs="Arial"/>
        </w:rPr>
      </w:pPr>
      <w:r w:rsidRPr="00587A1F">
        <w:rPr>
          <w:rFonts w:cs="Arial"/>
        </w:rPr>
        <w:t xml:space="preserve">Nganga, T. W., Coulibaly, J. Y., Gachene, C. K. K., &amp; Kironchia, G. (2021). </w:t>
      </w:r>
      <w:r w:rsidRPr="00587A1F">
        <w:rPr>
          <w:rFonts w:cs="Arial"/>
          <w:i/>
          <w:iCs/>
        </w:rPr>
        <w:t>An oasis in the dryland of Kenya! The case of irrigation as an adaptation strategy among the transitioning pastoralists and agro-pastoralists of Laikipia County, Kenya</w:t>
      </w:r>
      <w:r w:rsidRPr="00587A1F">
        <w:rPr>
          <w:rFonts w:cs="Arial"/>
        </w:rPr>
        <w:t>. https://doi. org/10.1016/j.jclepro.2021.126764</w:t>
      </w:r>
    </w:p>
    <w:p w14:paraId="76D6766E" w14:textId="77777777" w:rsidR="00996333" w:rsidRPr="00587A1F" w:rsidRDefault="00996333" w:rsidP="00BC5D4B">
      <w:pPr>
        <w:pStyle w:val="Bibliography"/>
        <w:spacing w:before="0" w:line="240" w:lineRule="auto"/>
        <w:rPr>
          <w:rFonts w:cs="Arial"/>
        </w:rPr>
      </w:pPr>
      <w:r w:rsidRPr="00587A1F">
        <w:rPr>
          <w:rFonts w:cs="Arial"/>
        </w:rPr>
        <w:t xml:space="preserve">Nkoko, N., Cronje, N., &amp; Swanepoel, J. W. (2024). Factors associated with food security among small-holder farming households in Lesotho. </w:t>
      </w:r>
      <w:r w:rsidRPr="00587A1F">
        <w:rPr>
          <w:rFonts w:cs="Arial"/>
          <w:i/>
          <w:iCs/>
        </w:rPr>
        <w:t>Agriculture &amp; Food Security</w:t>
      </w:r>
      <w:r w:rsidRPr="00587A1F">
        <w:rPr>
          <w:rFonts w:cs="Arial"/>
        </w:rPr>
        <w:t xml:space="preserve">, </w:t>
      </w:r>
      <w:r w:rsidRPr="00587A1F">
        <w:rPr>
          <w:rFonts w:cs="Arial"/>
          <w:i/>
          <w:iCs/>
        </w:rPr>
        <w:t>13</w:t>
      </w:r>
      <w:r w:rsidRPr="00587A1F">
        <w:rPr>
          <w:rFonts w:cs="Arial"/>
        </w:rPr>
        <w:t>(1), 3. https://doi.org/10.1186/s40066-023-00454-0</w:t>
      </w:r>
    </w:p>
    <w:p w14:paraId="1C8A3FDE" w14:textId="77777777" w:rsidR="00996333" w:rsidRPr="00587A1F" w:rsidRDefault="00996333" w:rsidP="00BC5D4B">
      <w:pPr>
        <w:pStyle w:val="Bibliography"/>
        <w:spacing w:before="0" w:line="240" w:lineRule="auto"/>
        <w:rPr>
          <w:rFonts w:cs="Arial"/>
        </w:rPr>
      </w:pPr>
      <w:r w:rsidRPr="00587A1F">
        <w:rPr>
          <w:rFonts w:cs="Arial"/>
        </w:rPr>
        <w:t xml:space="preserve">Nyberg, G., Knutsson, P., Ostwald, M., Öborn, I., Wredle, E., Otieno, D. J., Mureithi, S., Mwangi, P., Said, M. Y., Jirström, M., Grönvall, A., Wernersson, J., Svanlund, S., Saxer, L., Geutjes, L., Karmebäck, V., Wairore, J. N., Wambui, R., De Leeuw, J., &amp; Malmer, A. (2015). Enclosures in West Pokot, Kenya: Transforming land, livestock and livelihoods in drylands. </w:t>
      </w:r>
      <w:r w:rsidRPr="00587A1F">
        <w:rPr>
          <w:rFonts w:cs="Arial"/>
          <w:i/>
          <w:iCs/>
        </w:rPr>
        <w:t>Pastoralism</w:t>
      </w:r>
      <w:r w:rsidRPr="00587A1F">
        <w:rPr>
          <w:rFonts w:cs="Arial"/>
        </w:rPr>
        <w:t xml:space="preserve">, </w:t>
      </w:r>
      <w:r w:rsidRPr="00587A1F">
        <w:rPr>
          <w:rFonts w:cs="Arial"/>
          <w:i/>
          <w:iCs/>
        </w:rPr>
        <w:t>5</w:t>
      </w:r>
      <w:r w:rsidRPr="00587A1F">
        <w:rPr>
          <w:rFonts w:cs="Arial"/>
        </w:rPr>
        <w:t>(1), 25. https://doi.org/10.1186/s13570-015-0044-7</w:t>
      </w:r>
    </w:p>
    <w:p w14:paraId="7EC0DC52" w14:textId="77777777" w:rsidR="00996333" w:rsidRPr="00587A1F" w:rsidRDefault="00996333" w:rsidP="00BC5D4B">
      <w:pPr>
        <w:pStyle w:val="Bibliography"/>
        <w:spacing w:before="0" w:line="240" w:lineRule="auto"/>
        <w:rPr>
          <w:rFonts w:cs="Arial"/>
        </w:rPr>
      </w:pPr>
      <w:r w:rsidRPr="00587A1F">
        <w:rPr>
          <w:rFonts w:cs="Arial"/>
        </w:rPr>
        <w:t xml:space="preserve">Onomu, A. R., Aliber, M., &amp; Agbugba, I. K. (2020). Tractor services challenges and current demand trends by smallholder farmers in Nigeria. </w:t>
      </w:r>
      <w:r w:rsidRPr="00587A1F">
        <w:rPr>
          <w:rFonts w:cs="Arial"/>
          <w:i/>
          <w:iCs/>
        </w:rPr>
        <w:t>Journal of Agribusiness and Rural Development</w:t>
      </w:r>
      <w:r w:rsidRPr="00587A1F">
        <w:rPr>
          <w:rFonts w:cs="Arial"/>
        </w:rPr>
        <w:t xml:space="preserve">, </w:t>
      </w:r>
      <w:r w:rsidRPr="00587A1F">
        <w:rPr>
          <w:rFonts w:cs="Arial"/>
          <w:i/>
          <w:iCs/>
        </w:rPr>
        <w:t>58</w:t>
      </w:r>
      <w:r w:rsidRPr="00587A1F">
        <w:rPr>
          <w:rFonts w:cs="Arial"/>
        </w:rPr>
        <w:t>(4), 379–391. https://doi.org/10.17306/J.JARD.2020.01288</w:t>
      </w:r>
    </w:p>
    <w:p w14:paraId="47D12A3A" w14:textId="77777777" w:rsidR="00996333" w:rsidRPr="00587A1F" w:rsidRDefault="00996333" w:rsidP="00BC5D4B">
      <w:pPr>
        <w:pStyle w:val="Bibliography"/>
        <w:spacing w:before="0" w:line="240" w:lineRule="auto"/>
        <w:rPr>
          <w:rFonts w:cs="Arial"/>
        </w:rPr>
      </w:pPr>
      <w:r w:rsidRPr="00587A1F">
        <w:rPr>
          <w:rFonts w:cs="Arial"/>
        </w:rPr>
        <w:t xml:space="preserve">PBL. (2017). </w:t>
      </w:r>
      <w:r w:rsidRPr="00587A1F">
        <w:rPr>
          <w:rFonts w:cs="Arial"/>
          <w:i/>
          <w:iCs/>
        </w:rPr>
        <w:t>Population Growth in Drylands; PBL Netherlands Environmental Assessment Agency</w:t>
      </w:r>
      <w:r w:rsidRPr="00587A1F">
        <w:rPr>
          <w:rFonts w:cs="Arial"/>
        </w:rPr>
        <w:t>. The Hague. http://www.pbl.nl/en/aboutpbl</w:t>
      </w:r>
    </w:p>
    <w:p w14:paraId="3E4DD766" w14:textId="77777777" w:rsidR="00996333" w:rsidRPr="00587A1F" w:rsidRDefault="00996333" w:rsidP="00BC5D4B">
      <w:pPr>
        <w:pStyle w:val="Bibliography"/>
        <w:spacing w:before="0" w:line="240" w:lineRule="auto"/>
        <w:rPr>
          <w:rFonts w:cs="Arial"/>
        </w:rPr>
      </w:pPr>
      <w:r w:rsidRPr="00587A1F">
        <w:rPr>
          <w:rFonts w:cs="Arial"/>
        </w:rPr>
        <w:t xml:space="preserve">Rao, Z., &amp; Zhang, Y. (2024). Rely on children or work longer? The impact of fertility and child gender on old-age labor supply. </w:t>
      </w:r>
      <w:r w:rsidRPr="00587A1F">
        <w:rPr>
          <w:rFonts w:cs="Arial"/>
          <w:i/>
          <w:iCs/>
        </w:rPr>
        <w:t>World Development</w:t>
      </w:r>
      <w:r w:rsidRPr="00587A1F">
        <w:rPr>
          <w:rFonts w:cs="Arial"/>
        </w:rPr>
        <w:t xml:space="preserve">, </w:t>
      </w:r>
      <w:r w:rsidRPr="00587A1F">
        <w:rPr>
          <w:rFonts w:cs="Arial"/>
          <w:i/>
          <w:iCs/>
        </w:rPr>
        <w:t>181</w:t>
      </w:r>
      <w:r w:rsidRPr="00587A1F">
        <w:rPr>
          <w:rFonts w:cs="Arial"/>
        </w:rPr>
        <w:t>, 106661. https://doi.org/10.1016/j.worlddev.2024.106661</w:t>
      </w:r>
    </w:p>
    <w:p w14:paraId="4B4D4636" w14:textId="77777777" w:rsidR="00996333" w:rsidRPr="00587A1F" w:rsidRDefault="00996333" w:rsidP="00BC5D4B">
      <w:pPr>
        <w:pStyle w:val="Bibliography"/>
        <w:spacing w:before="0" w:line="240" w:lineRule="auto"/>
        <w:rPr>
          <w:rFonts w:cs="Arial"/>
        </w:rPr>
      </w:pPr>
      <w:r w:rsidRPr="00587A1F">
        <w:rPr>
          <w:rFonts w:cs="Arial"/>
        </w:rPr>
        <w:t xml:space="preserve">Shabnam, &amp; Sharma, S. K. (2023). Effect of Six Year Continuous Targeted Yield Based Chemical Fertilizer and FYM Application on Soil Quality and Productivity of Maize in an Acid Alfisol of </w:t>
      </w:r>
      <w:r w:rsidRPr="00587A1F">
        <w:rPr>
          <w:rFonts w:cs="Arial"/>
        </w:rPr>
        <w:lastRenderedPageBreak/>
        <w:t xml:space="preserve">North-Western Himalayas. </w:t>
      </w:r>
      <w:r w:rsidRPr="00587A1F">
        <w:rPr>
          <w:rFonts w:cs="Arial"/>
          <w:i/>
          <w:iCs/>
        </w:rPr>
        <w:t>Communications in Soil Science and Plant Analysis</w:t>
      </w:r>
      <w:r w:rsidRPr="00587A1F">
        <w:rPr>
          <w:rFonts w:cs="Arial"/>
        </w:rPr>
        <w:t xml:space="preserve">, </w:t>
      </w:r>
      <w:r w:rsidRPr="00587A1F">
        <w:rPr>
          <w:rFonts w:cs="Arial"/>
          <w:i/>
          <w:iCs/>
        </w:rPr>
        <w:t>54</w:t>
      </w:r>
      <w:r w:rsidRPr="00587A1F">
        <w:rPr>
          <w:rFonts w:cs="Arial"/>
        </w:rPr>
        <w:t>(15), 2157–2173. https://doi.org/10.1080/00103624.2023.2211615</w:t>
      </w:r>
    </w:p>
    <w:p w14:paraId="6E8B5D81" w14:textId="77777777" w:rsidR="00996333" w:rsidRPr="00587A1F" w:rsidRDefault="00996333" w:rsidP="00BC5D4B">
      <w:pPr>
        <w:pStyle w:val="Bibliography"/>
        <w:spacing w:before="0" w:line="240" w:lineRule="auto"/>
        <w:rPr>
          <w:rFonts w:cs="Arial"/>
        </w:rPr>
      </w:pPr>
      <w:r w:rsidRPr="00587A1F">
        <w:rPr>
          <w:rFonts w:cs="Arial"/>
        </w:rPr>
        <w:t xml:space="preserve">Shibata, R., Cardey, S., &amp; Dorward, P. (2020). Gendered Intra-Household Decision-Making Dynamics in Agricultural Innovation Processes: Assets, Norms and Bargaining Power. </w:t>
      </w:r>
      <w:r w:rsidRPr="00587A1F">
        <w:rPr>
          <w:rFonts w:cs="Arial"/>
          <w:i/>
          <w:iCs/>
        </w:rPr>
        <w:t>Journal of International Development</w:t>
      </w:r>
      <w:r w:rsidRPr="00587A1F">
        <w:rPr>
          <w:rFonts w:cs="Arial"/>
        </w:rPr>
        <w:t xml:space="preserve">, </w:t>
      </w:r>
      <w:r w:rsidRPr="00587A1F">
        <w:rPr>
          <w:rFonts w:cs="Arial"/>
          <w:i/>
          <w:iCs/>
        </w:rPr>
        <w:t>32</w:t>
      </w:r>
      <w:r w:rsidRPr="00587A1F">
        <w:rPr>
          <w:rFonts w:cs="Arial"/>
        </w:rPr>
        <w:t>(7), 1101–1125. https://doi.org/10.1002/jid.3497</w:t>
      </w:r>
    </w:p>
    <w:p w14:paraId="738F2089" w14:textId="77777777" w:rsidR="00996333" w:rsidRPr="00587A1F" w:rsidRDefault="00996333" w:rsidP="00BC5D4B">
      <w:pPr>
        <w:pStyle w:val="Bibliography"/>
        <w:spacing w:before="0" w:line="240" w:lineRule="auto"/>
        <w:rPr>
          <w:rFonts w:cs="Arial"/>
        </w:rPr>
      </w:pPr>
      <w:r w:rsidRPr="00587A1F">
        <w:rPr>
          <w:rFonts w:cs="Arial"/>
        </w:rPr>
        <w:t xml:space="preserve">Stavi, I., Roque de Pinho, J., Paschalidou, A. K., Adamo, S. B., Galvin, K., de Sherbinin, A., Even, T., Heaviside, C., &amp; van der Geest, K. (2022). Food security among dryland pastoralists and agropastoralists: The climate, land-use change, and population dynamics nexus. </w:t>
      </w:r>
      <w:r w:rsidRPr="00587A1F">
        <w:rPr>
          <w:rFonts w:cs="Arial"/>
          <w:i/>
          <w:iCs/>
        </w:rPr>
        <w:t>The Anthropocene Review</w:t>
      </w:r>
      <w:r w:rsidRPr="00587A1F">
        <w:rPr>
          <w:rFonts w:cs="Arial"/>
        </w:rPr>
        <w:t xml:space="preserve">, </w:t>
      </w:r>
      <w:r w:rsidRPr="00587A1F">
        <w:rPr>
          <w:rFonts w:cs="Arial"/>
          <w:i/>
          <w:iCs/>
        </w:rPr>
        <w:t>9</w:t>
      </w:r>
      <w:r w:rsidRPr="00587A1F">
        <w:rPr>
          <w:rFonts w:cs="Arial"/>
        </w:rPr>
        <w:t>(3), 299–323. https://doi.org/10.1177/20530196211007512</w:t>
      </w:r>
    </w:p>
    <w:p w14:paraId="54E01F94" w14:textId="77777777" w:rsidR="00996333" w:rsidRPr="00587A1F" w:rsidRDefault="00996333" w:rsidP="00BC5D4B">
      <w:pPr>
        <w:pStyle w:val="Bibliography"/>
        <w:spacing w:before="0" w:line="240" w:lineRule="auto"/>
        <w:rPr>
          <w:rFonts w:cs="Arial"/>
        </w:rPr>
      </w:pPr>
      <w:r w:rsidRPr="00587A1F">
        <w:rPr>
          <w:rFonts w:cs="Arial"/>
        </w:rPr>
        <w:t xml:space="preserve">Talukdar, T. P., Tamuli, B., Boruah, R. R., &amp; Richo, M. K. (2022). Growth and Yield of Maize (Zea mays) as Influenced by Intercropping of French Bean and Soybean. </w:t>
      </w:r>
      <w:r w:rsidRPr="00587A1F">
        <w:rPr>
          <w:rFonts w:cs="Arial"/>
          <w:i/>
          <w:iCs/>
        </w:rPr>
        <w:t>Agricultural Reviews</w:t>
      </w:r>
      <w:r w:rsidRPr="00587A1F">
        <w:rPr>
          <w:rFonts w:cs="Arial"/>
        </w:rPr>
        <w:t xml:space="preserve">, </w:t>
      </w:r>
      <w:r w:rsidRPr="00587A1F">
        <w:rPr>
          <w:rFonts w:cs="Arial"/>
          <w:i/>
          <w:iCs/>
        </w:rPr>
        <w:t>Of</w:t>
      </w:r>
      <w:r w:rsidRPr="00587A1F">
        <w:rPr>
          <w:rFonts w:cs="Arial"/>
        </w:rPr>
        <w:t>. https://doi.org/10.18805/ag.R-2474</w:t>
      </w:r>
    </w:p>
    <w:p w14:paraId="35285BB0" w14:textId="77777777" w:rsidR="00996333" w:rsidRPr="00587A1F" w:rsidRDefault="00996333" w:rsidP="00BC5D4B">
      <w:pPr>
        <w:pStyle w:val="Bibliography"/>
        <w:spacing w:before="0" w:line="240" w:lineRule="auto"/>
        <w:rPr>
          <w:rFonts w:cs="Arial"/>
        </w:rPr>
      </w:pPr>
      <w:r w:rsidRPr="00587A1F">
        <w:rPr>
          <w:rFonts w:cs="Arial"/>
        </w:rPr>
        <w:t xml:space="preserve">Thakur, A., Sharma, R. P., Sankhyan, N. K., &amp; Kumar, R. (2021). Maize Grain Quality as Influenced by 46 Years’ Continuous Application of Fertilizers, Farmyard Manure (FYM), and Lime in an Alfisol of North-western Himalayas. </w:t>
      </w:r>
      <w:r w:rsidRPr="00587A1F">
        <w:rPr>
          <w:rFonts w:cs="Arial"/>
          <w:i/>
          <w:iCs/>
        </w:rPr>
        <w:t>Communications in Soil Science and Plant Analysis</w:t>
      </w:r>
      <w:r w:rsidRPr="00587A1F">
        <w:rPr>
          <w:rFonts w:cs="Arial"/>
        </w:rPr>
        <w:t xml:space="preserve">, </w:t>
      </w:r>
      <w:r w:rsidRPr="00587A1F">
        <w:rPr>
          <w:rFonts w:cs="Arial"/>
          <w:i/>
          <w:iCs/>
        </w:rPr>
        <w:t>52</w:t>
      </w:r>
      <w:r w:rsidRPr="00587A1F">
        <w:rPr>
          <w:rFonts w:cs="Arial"/>
        </w:rPr>
        <w:t>(2), 149–160. https://doi.org/10.1080/00103624.2020.1854289</w:t>
      </w:r>
    </w:p>
    <w:p w14:paraId="6852507E" w14:textId="77777777" w:rsidR="00996333" w:rsidRPr="00587A1F" w:rsidRDefault="00996333" w:rsidP="00BC5D4B">
      <w:pPr>
        <w:pStyle w:val="Bibliography"/>
        <w:spacing w:before="0" w:line="240" w:lineRule="auto"/>
        <w:rPr>
          <w:rFonts w:cs="Arial"/>
        </w:rPr>
      </w:pPr>
      <w:r w:rsidRPr="00587A1F">
        <w:rPr>
          <w:rFonts w:cs="Arial"/>
        </w:rPr>
        <w:t xml:space="preserve">Toker, P., Canci, H., Turhan, I., Isci, A., Scherzinger, M., Kordrostami, M., &amp; Yol, E. (2024). The advantages of intercropping to improve productivity in food and forage production – a review. </w:t>
      </w:r>
      <w:r w:rsidRPr="00587A1F">
        <w:rPr>
          <w:rFonts w:cs="Arial"/>
          <w:i/>
          <w:iCs/>
        </w:rPr>
        <w:t>Plant Production Science</w:t>
      </w:r>
      <w:r w:rsidRPr="00587A1F">
        <w:rPr>
          <w:rFonts w:cs="Arial"/>
        </w:rPr>
        <w:t xml:space="preserve">, </w:t>
      </w:r>
      <w:r w:rsidRPr="00587A1F">
        <w:rPr>
          <w:rFonts w:cs="Arial"/>
          <w:i/>
          <w:iCs/>
        </w:rPr>
        <w:t>27</w:t>
      </w:r>
      <w:r w:rsidRPr="00587A1F">
        <w:rPr>
          <w:rFonts w:cs="Arial"/>
        </w:rPr>
        <w:t>(3), 155–169. https://doi.org/10.1080/1343943X.2024.2372878</w:t>
      </w:r>
    </w:p>
    <w:p w14:paraId="38E6DEA5" w14:textId="77777777" w:rsidR="00996333" w:rsidRPr="00587A1F" w:rsidRDefault="00996333" w:rsidP="00BC5D4B">
      <w:pPr>
        <w:pStyle w:val="Bibliography"/>
        <w:spacing w:before="0" w:line="240" w:lineRule="auto"/>
        <w:rPr>
          <w:rFonts w:cs="Arial"/>
        </w:rPr>
      </w:pPr>
      <w:r w:rsidRPr="00587A1F">
        <w:rPr>
          <w:rFonts w:cs="Arial"/>
        </w:rPr>
        <w:t xml:space="preserve">Touch, V., Tan, D. K. Y., Cook, B. R., Liu, D. L., Cross, R., Tran, T. A., Utomo, A., Yous, S., Grunbuhel, C., &amp; Cowie, A. (2024). Smallholder farmers’ challenges and opportunities: Implications for agricultural production, environment and food security. </w:t>
      </w:r>
      <w:r w:rsidRPr="00587A1F">
        <w:rPr>
          <w:rFonts w:cs="Arial"/>
          <w:i/>
          <w:iCs/>
        </w:rPr>
        <w:t>Journal of Environmental Management</w:t>
      </w:r>
      <w:r w:rsidRPr="00587A1F">
        <w:rPr>
          <w:rFonts w:cs="Arial"/>
        </w:rPr>
        <w:t xml:space="preserve">, </w:t>
      </w:r>
      <w:r w:rsidRPr="00587A1F">
        <w:rPr>
          <w:rFonts w:cs="Arial"/>
          <w:i/>
          <w:iCs/>
        </w:rPr>
        <w:t>370</w:t>
      </w:r>
      <w:r w:rsidRPr="00587A1F">
        <w:rPr>
          <w:rFonts w:cs="Arial"/>
        </w:rPr>
        <w:t>, 122536. https://doi.org/10.1016/j.jenvman.2024.122536</w:t>
      </w:r>
    </w:p>
    <w:p w14:paraId="0BF836DD" w14:textId="77777777" w:rsidR="00996333" w:rsidRPr="00587A1F" w:rsidRDefault="00996333" w:rsidP="00BC5D4B">
      <w:pPr>
        <w:pStyle w:val="Bibliography"/>
        <w:spacing w:before="0" w:line="240" w:lineRule="auto"/>
        <w:rPr>
          <w:rFonts w:cs="Arial"/>
        </w:rPr>
      </w:pPr>
      <w:r w:rsidRPr="00587A1F">
        <w:rPr>
          <w:rFonts w:cs="Arial"/>
        </w:rPr>
        <w:t xml:space="preserve">Umar, M. B., Yarima, M. M., Yusuf, O. E., Adetayo, A., &amp; Salihu, M. (2021). Tractor use and agricultural productivity in Nigeria: Prospects and challenges. </w:t>
      </w:r>
      <w:r w:rsidRPr="00587A1F">
        <w:rPr>
          <w:rFonts w:cs="Arial"/>
          <w:i/>
          <w:iCs/>
        </w:rPr>
        <w:t>Agro-Science</w:t>
      </w:r>
      <w:r w:rsidRPr="00587A1F">
        <w:rPr>
          <w:rFonts w:cs="Arial"/>
        </w:rPr>
        <w:t xml:space="preserve">, </w:t>
      </w:r>
      <w:r w:rsidRPr="00587A1F">
        <w:rPr>
          <w:rFonts w:cs="Arial"/>
          <w:i/>
          <w:iCs/>
        </w:rPr>
        <w:t>20</w:t>
      </w:r>
      <w:r w:rsidRPr="00587A1F">
        <w:rPr>
          <w:rFonts w:cs="Arial"/>
        </w:rPr>
        <w:t>(2), 1–8. https://doi.org/10.4314/as.v20i2.1</w:t>
      </w:r>
    </w:p>
    <w:p w14:paraId="4C5D645F" w14:textId="77777777" w:rsidR="00996333" w:rsidRPr="00587A1F" w:rsidRDefault="00996333" w:rsidP="00BC5D4B">
      <w:pPr>
        <w:pStyle w:val="Bibliography"/>
        <w:spacing w:before="0" w:line="240" w:lineRule="auto"/>
        <w:rPr>
          <w:rFonts w:cs="Arial"/>
        </w:rPr>
      </w:pPr>
      <w:r w:rsidRPr="00587A1F">
        <w:rPr>
          <w:rFonts w:cs="Arial"/>
        </w:rPr>
        <w:t xml:space="preserve">Venables, W. N., &amp; Ripley, B. D. (2002). </w:t>
      </w:r>
      <w:r w:rsidRPr="00587A1F">
        <w:rPr>
          <w:rFonts w:cs="Arial"/>
          <w:i/>
          <w:iCs/>
        </w:rPr>
        <w:t>Modern Applied Statistics with S</w:t>
      </w:r>
      <w:r w:rsidRPr="00587A1F">
        <w:rPr>
          <w:rFonts w:cs="Arial"/>
        </w:rPr>
        <w:t xml:space="preserve"> (Fourth). Springer. https://www.stats.ox.ac.uk/pub/MASS4/</w:t>
      </w:r>
    </w:p>
    <w:p w14:paraId="35E0712C" w14:textId="77777777" w:rsidR="00996333" w:rsidRPr="00587A1F" w:rsidRDefault="00996333" w:rsidP="00BC5D4B">
      <w:pPr>
        <w:pStyle w:val="Bibliography"/>
        <w:spacing w:before="0" w:line="240" w:lineRule="auto"/>
        <w:rPr>
          <w:rFonts w:cs="Arial"/>
        </w:rPr>
      </w:pPr>
      <w:r w:rsidRPr="00587A1F">
        <w:rPr>
          <w:rFonts w:cs="Arial"/>
        </w:rPr>
        <w:t xml:space="preserve">Vernooy, R. (2022). Does crop diversification lead to climate-related resilience? Improving the theory through insights on practice. </w:t>
      </w:r>
      <w:r w:rsidRPr="00587A1F">
        <w:rPr>
          <w:rFonts w:cs="Arial"/>
          <w:i/>
          <w:iCs/>
        </w:rPr>
        <w:t>Agroecology and Sustainable Food Systems</w:t>
      </w:r>
      <w:r w:rsidRPr="00587A1F">
        <w:rPr>
          <w:rFonts w:cs="Arial"/>
        </w:rPr>
        <w:t xml:space="preserve">, </w:t>
      </w:r>
      <w:r w:rsidRPr="00587A1F">
        <w:rPr>
          <w:rFonts w:cs="Arial"/>
          <w:i/>
          <w:iCs/>
        </w:rPr>
        <w:t>46</w:t>
      </w:r>
      <w:r w:rsidRPr="00587A1F">
        <w:rPr>
          <w:rFonts w:cs="Arial"/>
        </w:rPr>
        <w:t>(6), 877–901. https://doi.org/10.1080/21683565.2022.2076184</w:t>
      </w:r>
    </w:p>
    <w:p w14:paraId="7E626498" w14:textId="77777777" w:rsidR="00996333" w:rsidRPr="00587A1F" w:rsidRDefault="00996333" w:rsidP="00BC5D4B">
      <w:pPr>
        <w:pStyle w:val="Bibliography"/>
        <w:spacing w:before="0" w:line="240" w:lineRule="auto"/>
        <w:rPr>
          <w:rFonts w:cs="Arial"/>
        </w:rPr>
      </w:pPr>
      <w:r w:rsidRPr="00587A1F">
        <w:rPr>
          <w:rFonts w:cs="Arial"/>
        </w:rPr>
        <w:t xml:space="preserve">Wamalwa, F. K. (2020). Household Resource Capabilities and Risk Perception in Dryland Areas: Implications for Development Interventions. </w:t>
      </w:r>
      <w:r w:rsidRPr="00587A1F">
        <w:rPr>
          <w:rFonts w:cs="Arial"/>
          <w:i/>
          <w:iCs/>
        </w:rPr>
        <w:t>GSJ</w:t>
      </w:r>
      <w:r w:rsidRPr="00587A1F">
        <w:rPr>
          <w:rFonts w:cs="Arial"/>
        </w:rPr>
        <w:t xml:space="preserve">, </w:t>
      </w:r>
      <w:r w:rsidRPr="00587A1F">
        <w:rPr>
          <w:rFonts w:cs="Arial"/>
          <w:i/>
          <w:iCs/>
        </w:rPr>
        <w:t>8</w:t>
      </w:r>
      <w:r w:rsidRPr="00587A1F">
        <w:rPr>
          <w:rFonts w:cs="Arial"/>
        </w:rPr>
        <w:t>(9). https://www.academia.edu/download/76424228/Household_Resource_Capabilities_and_Risk_Perception_in_Dryland_Areas_Implications_for_Development_Interventio.pdf</w:t>
      </w:r>
    </w:p>
    <w:p w14:paraId="1FBA2397" w14:textId="77777777" w:rsidR="00996333" w:rsidRPr="00587A1F" w:rsidRDefault="00996333" w:rsidP="00BC5D4B">
      <w:pPr>
        <w:pStyle w:val="Bibliography"/>
        <w:spacing w:before="0" w:line="240" w:lineRule="auto"/>
        <w:rPr>
          <w:rFonts w:cs="Arial"/>
        </w:rPr>
      </w:pPr>
      <w:r w:rsidRPr="00587A1F">
        <w:rPr>
          <w:rFonts w:cs="Arial"/>
        </w:rPr>
        <w:t xml:space="preserve">Wamalwa, F., Nge’tich, W., Kebeney, S., Alkamoi, B., &amp; Churu, H. (2024). </w:t>
      </w:r>
      <w:r w:rsidRPr="00587A1F">
        <w:rPr>
          <w:rFonts w:cs="Arial"/>
          <w:i/>
          <w:iCs/>
        </w:rPr>
        <w:t>The effect of socioeconomic factors on household agro-enterprise incomes amongst dryland farming communities in Chepareria ward, Kenya</w:t>
      </w:r>
      <w:r w:rsidRPr="00587A1F">
        <w:rPr>
          <w:rFonts w:cs="Arial"/>
        </w:rPr>
        <w:t>.</w:t>
      </w:r>
    </w:p>
    <w:p w14:paraId="42F421CF" w14:textId="77777777" w:rsidR="00996333" w:rsidRPr="00587A1F" w:rsidRDefault="00996333" w:rsidP="00BC5D4B">
      <w:pPr>
        <w:pStyle w:val="Bibliography"/>
        <w:spacing w:before="0" w:line="240" w:lineRule="auto"/>
        <w:rPr>
          <w:rFonts w:cs="Arial"/>
        </w:rPr>
      </w:pPr>
      <w:r w:rsidRPr="00587A1F">
        <w:rPr>
          <w:rFonts w:cs="Arial"/>
        </w:rPr>
        <w:t xml:space="preserve">Wang, Q., Rossignoli, C. M., Dompreh, E. B., Su, J., Griffiths, D., Htoo, K. K., Nway, H. M., Akester, M., &amp; Gasparatos, A. (2024). Diversification strategies have a stabilizing effect for income and food availability during livelihood shocks: Evidence from small-scale aquaculture-agriculture systems in Myanmar during the COVID-19 pandemic. </w:t>
      </w:r>
      <w:r w:rsidRPr="00587A1F">
        <w:rPr>
          <w:rFonts w:cs="Arial"/>
          <w:i/>
          <w:iCs/>
        </w:rPr>
        <w:t>Agricultural Systems</w:t>
      </w:r>
      <w:r w:rsidRPr="00587A1F">
        <w:rPr>
          <w:rFonts w:cs="Arial"/>
        </w:rPr>
        <w:t xml:space="preserve">, </w:t>
      </w:r>
      <w:r w:rsidRPr="00587A1F">
        <w:rPr>
          <w:rFonts w:cs="Arial"/>
          <w:i/>
          <w:iCs/>
        </w:rPr>
        <w:t>217</w:t>
      </w:r>
      <w:r w:rsidRPr="00587A1F">
        <w:rPr>
          <w:rFonts w:cs="Arial"/>
        </w:rPr>
        <w:t>, 103935. https://doi.org/10.1016/j.agsy.2024.103935</w:t>
      </w:r>
    </w:p>
    <w:p w14:paraId="2AC1E6C1" w14:textId="77777777" w:rsidR="00996333" w:rsidRPr="00587A1F" w:rsidRDefault="00996333" w:rsidP="00BC5D4B">
      <w:pPr>
        <w:pStyle w:val="Bibliography"/>
        <w:spacing w:before="0" w:line="240" w:lineRule="auto"/>
        <w:rPr>
          <w:rFonts w:cs="Arial"/>
        </w:rPr>
      </w:pPr>
      <w:r w:rsidRPr="00587A1F">
        <w:rPr>
          <w:rFonts w:cs="Arial"/>
        </w:rPr>
        <w:t xml:space="preserve">Zhou, Z., Zhang, S., Jiang, N., Xiu, W., Zhao, J., &amp; Yang, D. (2022). Effects of organic fertilizer incorporation practices on crops yield, soil quality, and soil fauna feeding activity in the wheat-maize rotation system. </w:t>
      </w:r>
      <w:r w:rsidRPr="00587A1F">
        <w:rPr>
          <w:rFonts w:cs="Arial"/>
          <w:i/>
          <w:iCs/>
        </w:rPr>
        <w:t>Frontiers in Environmental Science</w:t>
      </w:r>
      <w:r w:rsidRPr="00587A1F">
        <w:rPr>
          <w:rFonts w:cs="Arial"/>
        </w:rPr>
        <w:t xml:space="preserve">, </w:t>
      </w:r>
      <w:r w:rsidRPr="00587A1F">
        <w:rPr>
          <w:rFonts w:cs="Arial"/>
          <w:i/>
          <w:iCs/>
        </w:rPr>
        <w:t>10</w:t>
      </w:r>
      <w:r w:rsidRPr="00587A1F">
        <w:rPr>
          <w:rFonts w:cs="Arial"/>
        </w:rPr>
        <w:t>, 1058071. https://doi.org/10.3389/fenvs.2022.1058071</w:t>
      </w:r>
    </w:p>
    <w:p w14:paraId="630F932B" w14:textId="4576364D" w:rsidR="00353B71" w:rsidRPr="00587A1F" w:rsidRDefault="004D2C5A" w:rsidP="00BC5D4B">
      <w:pPr>
        <w:spacing w:before="0" w:after="0"/>
        <w:rPr>
          <w:rFonts w:cs="Arial"/>
          <w:szCs w:val="24"/>
        </w:rPr>
      </w:pPr>
      <w:r w:rsidRPr="00587A1F">
        <w:rPr>
          <w:rFonts w:cs="Arial"/>
        </w:rPr>
        <w:fldChar w:fldCharType="end"/>
      </w:r>
    </w:p>
    <w:sectPr w:rsidR="00353B71" w:rsidRPr="00587A1F" w:rsidSect="00035F5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A94FB" w14:textId="77777777" w:rsidR="00381FA9" w:rsidRDefault="00381FA9">
      <w:pPr>
        <w:spacing w:before="0" w:after="0"/>
      </w:pPr>
      <w:r>
        <w:separator/>
      </w:r>
    </w:p>
  </w:endnote>
  <w:endnote w:type="continuationSeparator" w:id="0">
    <w:p w14:paraId="667BBA0C" w14:textId="77777777" w:rsidR="00381FA9" w:rsidRDefault="00381F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MT">
    <w:altName w:val="Arial"/>
    <w:charset w:val="00"/>
    <w:family w:val="roman"/>
    <w:pitch w:val="variable"/>
  </w:font>
  <w:font w:name="Helvetica-Bold">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E0A23" w14:textId="77777777" w:rsidR="00035F56" w:rsidRDefault="00035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A26A8" w14:textId="77777777" w:rsidR="00035F56" w:rsidRDefault="00035F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C59B4" w14:textId="77777777" w:rsidR="00035F56" w:rsidRDefault="00035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812D1" w14:textId="77777777" w:rsidR="00381FA9" w:rsidRDefault="00381FA9">
      <w:pPr>
        <w:spacing w:before="0" w:after="0"/>
      </w:pPr>
      <w:r>
        <w:separator/>
      </w:r>
    </w:p>
  </w:footnote>
  <w:footnote w:type="continuationSeparator" w:id="0">
    <w:p w14:paraId="21471413" w14:textId="77777777" w:rsidR="00381FA9" w:rsidRDefault="00381FA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8A2F4" w14:textId="2D4C997A" w:rsidR="00293C26" w:rsidRDefault="00035F56">
    <w:pPr>
      <w:pStyle w:val="Header"/>
    </w:pPr>
    <w:r>
      <w:rPr>
        <w:noProof/>
      </w:rPr>
      <w:pict w14:anchorId="62E95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772797"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2E4C7" w14:textId="5A1DDAAB" w:rsidR="00293C26" w:rsidRDefault="00035F56">
    <w:pPr>
      <w:pStyle w:val="Header"/>
      <w:jc w:val="right"/>
    </w:pPr>
    <w:r>
      <w:rPr>
        <w:noProof/>
      </w:rPr>
      <w:pict w14:anchorId="64603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772798"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sdt>
      <w:sdtPr>
        <w:id w:val="279612945"/>
        <w:docPartObj>
          <w:docPartGallery w:val="Page Numbers (Top of Page)"/>
          <w:docPartUnique/>
        </w:docPartObj>
      </w:sdtPr>
      <w:sdtEndPr/>
      <w:sdtContent>
        <w:r w:rsidR="00293C26">
          <w:fldChar w:fldCharType="begin"/>
        </w:r>
        <w:r w:rsidR="00293C26">
          <w:instrText xml:space="preserve"> PAGE </w:instrText>
        </w:r>
        <w:r w:rsidR="00293C26">
          <w:fldChar w:fldCharType="separate"/>
        </w:r>
        <w:r w:rsidR="00BC5D4B">
          <w:rPr>
            <w:noProof/>
          </w:rPr>
          <w:t>13</w:t>
        </w:r>
        <w:r w:rsidR="00293C26">
          <w:fldChar w:fldCharType="end"/>
        </w:r>
      </w:sdtContent>
    </w:sdt>
  </w:p>
  <w:p w14:paraId="36EF9856" w14:textId="77777777" w:rsidR="00293C26" w:rsidRDefault="00293C26">
    <w:pPr>
      <w:pStyle w:val="Header"/>
    </w:pPr>
  </w:p>
  <w:p w14:paraId="20B3EBB8" w14:textId="77777777" w:rsidR="00293C26" w:rsidRDefault="00293C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9C707" w14:textId="148CCAF0" w:rsidR="00293C26" w:rsidRDefault="00035F56">
    <w:pPr>
      <w:pStyle w:val="Header"/>
    </w:pPr>
    <w:r>
      <w:rPr>
        <w:noProof/>
      </w:rPr>
      <w:pict w14:anchorId="27C39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772796"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65D02"/>
    <w:multiLevelType w:val="multilevel"/>
    <w:tmpl w:val="CFE8827C"/>
    <w:lvl w:ilvl="0">
      <w:start w:val="2"/>
      <w:numFmt w:val="decimal"/>
      <w:lvlText w:val="%1."/>
      <w:lvlJc w:val="left"/>
      <w:pPr>
        <w:tabs>
          <w:tab w:val="num" w:pos="0"/>
        </w:tabs>
        <w:ind w:left="936" w:hanging="360"/>
      </w:pPr>
    </w:lvl>
    <w:lvl w:ilvl="1">
      <w:start w:val="1"/>
      <w:numFmt w:val="lowerLetter"/>
      <w:lvlText w:val="%2."/>
      <w:lvlJc w:val="left"/>
      <w:pPr>
        <w:tabs>
          <w:tab w:val="num" w:pos="0"/>
        </w:tabs>
        <w:ind w:left="1656" w:hanging="360"/>
      </w:pPr>
    </w:lvl>
    <w:lvl w:ilvl="2">
      <w:start w:val="1"/>
      <w:numFmt w:val="lowerRoman"/>
      <w:lvlText w:val="%3."/>
      <w:lvlJc w:val="right"/>
      <w:pPr>
        <w:tabs>
          <w:tab w:val="num" w:pos="0"/>
        </w:tabs>
        <w:ind w:left="2376" w:hanging="180"/>
      </w:pPr>
    </w:lvl>
    <w:lvl w:ilvl="3">
      <w:start w:val="1"/>
      <w:numFmt w:val="decimal"/>
      <w:lvlText w:val="%4."/>
      <w:lvlJc w:val="left"/>
      <w:pPr>
        <w:tabs>
          <w:tab w:val="num" w:pos="0"/>
        </w:tabs>
        <w:ind w:left="3096" w:hanging="360"/>
      </w:pPr>
    </w:lvl>
    <w:lvl w:ilvl="4">
      <w:start w:val="1"/>
      <w:numFmt w:val="lowerLetter"/>
      <w:lvlText w:val="%5."/>
      <w:lvlJc w:val="left"/>
      <w:pPr>
        <w:tabs>
          <w:tab w:val="num" w:pos="0"/>
        </w:tabs>
        <w:ind w:left="3816" w:hanging="360"/>
      </w:pPr>
    </w:lvl>
    <w:lvl w:ilvl="5">
      <w:start w:val="1"/>
      <w:numFmt w:val="lowerRoman"/>
      <w:lvlText w:val="%6."/>
      <w:lvlJc w:val="right"/>
      <w:pPr>
        <w:tabs>
          <w:tab w:val="num" w:pos="0"/>
        </w:tabs>
        <w:ind w:left="4536" w:hanging="180"/>
      </w:pPr>
    </w:lvl>
    <w:lvl w:ilvl="6">
      <w:start w:val="1"/>
      <w:numFmt w:val="decimal"/>
      <w:lvlText w:val="%7."/>
      <w:lvlJc w:val="left"/>
      <w:pPr>
        <w:tabs>
          <w:tab w:val="num" w:pos="0"/>
        </w:tabs>
        <w:ind w:left="5256" w:hanging="360"/>
      </w:pPr>
    </w:lvl>
    <w:lvl w:ilvl="7">
      <w:start w:val="1"/>
      <w:numFmt w:val="lowerLetter"/>
      <w:lvlText w:val="%8."/>
      <w:lvlJc w:val="left"/>
      <w:pPr>
        <w:tabs>
          <w:tab w:val="num" w:pos="0"/>
        </w:tabs>
        <w:ind w:left="5976" w:hanging="360"/>
      </w:pPr>
    </w:lvl>
    <w:lvl w:ilvl="8">
      <w:start w:val="1"/>
      <w:numFmt w:val="lowerRoman"/>
      <w:lvlText w:val="%9."/>
      <w:lvlJc w:val="right"/>
      <w:pPr>
        <w:tabs>
          <w:tab w:val="num" w:pos="0"/>
        </w:tabs>
        <w:ind w:left="6696" w:hanging="180"/>
      </w:pPr>
    </w:lvl>
  </w:abstractNum>
  <w:abstractNum w:abstractNumId="1" w15:restartNumberingAfterBreak="0">
    <w:nsid w:val="0AAD39F0"/>
    <w:multiLevelType w:val="multilevel"/>
    <w:tmpl w:val="D932E8CA"/>
    <w:lvl w:ilvl="0">
      <w:start w:val="1"/>
      <w:numFmt w:val="decimal"/>
      <w:pStyle w:val="Heading4"/>
      <w:lvlText w:val="%1.1.1.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1495077"/>
    <w:multiLevelType w:val="multilevel"/>
    <w:tmpl w:val="7A8CDF6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002596"/>
    <w:multiLevelType w:val="multilevel"/>
    <w:tmpl w:val="35A442CC"/>
    <w:lvl w:ilvl="0">
      <w:start w:val="1"/>
      <w:numFmt w:val="decimal"/>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990" w:hanging="720"/>
      </w:pPr>
      <w:rPr>
        <w:b/>
        <w:bCs w:val="0"/>
        <w:i w:val="0"/>
        <w:iCs w:val="0"/>
        <w:caps w:val="0"/>
        <w:smallCaps w:val="0"/>
        <w:strike w:val="0"/>
        <w:dstrike w:val="0"/>
        <w:vanish w:val="0"/>
        <w:color w:val="00000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4" w15:restartNumberingAfterBreak="0">
    <w:nsid w:val="1B1B1BEA"/>
    <w:multiLevelType w:val="multilevel"/>
    <w:tmpl w:val="44C23214"/>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990" w:hanging="720"/>
      </w:pPr>
      <w:rPr>
        <w:b/>
        <w:bCs w:val="0"/>
        <w:i w:val="0"/>
        <w:iCs w:val="0"/>
        <w:caps w:val="0"/>
        <w:smallCaps w:val="0"/>
        <w:strike w:val="0"/>
        <w:dstrike w:val="0"/>
        <w:vanish w:val="0"/>
        <w:color w:val="00000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5" w15:restartNumberingAfterBreak="0">
    <w:nsid w:val="2FD426AB"/>
    <w:multiLevelType w:val="hybridMultilevel"/>
    <w:tmpl w:val="61F8F736"/>
    <w:lvl w:ilvl="0" w:tplc="0C1276AE">
      <w:start w:val="1"/>
      <w:numFmt w:val="decimal"/>
      <w:pStyle w:val="Heading1"/>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5D7405A4"/>
    <w:multiLevelType w:val="hybridMultilevel"/>
    <w:tmpl w:val="D8F6EF94"/>
    <w:lvl w:ilvl="0" w:tplc="04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5376F7"/>
    <w:multiLevelType w:val="hybridMultilevel"/>
    <w:tmpl w:val="6944DE06"/>
    <w:lvl w:ilvl="0" w:tplc="AE2659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3"/>
    <w:lvlOverride w:ilvl="0">
      <w:startOverride w:val="4"/>
    </w:lvlOverride>
  </w:num>
  <w:num w:numId="6">
    <w:abstractNumId w:val="3"/>
  </w:num>
  <w:num w:numId="7">
    <w:abstractNumId w:val="5"/>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autoHyphenation/>
  <w:hyphenationZone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B71"/>
    <w:rsid w:val="00004A9B"/>
    <w:rsid w:val="00025041"/>
    <w:rsid w:val="00026880"/>
    <w:rsid w:val="00032392"/>
    <w:rsid w:val="00035F56"/>
    <w:rsid w:val="00036117"/>
    <w:rsid w:val="00055054"/>
    <w:rsid w:val="00056003"/>
    <w:rsid w:val="000773FA"/>
    <w:rsid w:val="00077798"/>
    <w:rsid w:val="00086872"/>
    <w:rsid w:val="0009567F"/>
    <w:rsid w:val="000B22C1"/>
    <w:rsid w:val="000C1C2C"/>
    <w:rsid w:val="000C3299"/>
    <w:rsid w:val="000D7403"/>
    <w:rsid w:val="000E70B3"/>
    <w:rsid w:val="000F0763"/>
    <w:rsid w:val="00101941"/>
    <w:rsid w:val="00133F9C"/>
    <w:rsid w:val="0014077B"/>
    <w:rsid w:val="00141678"/>
    <w:rsid w:val="00147A77"/>
    <w:rsid w:val="001504FE"/>
    <w:rsid w:val="00153C39"/>
    <w:rsid w:val="00166C0D"/>
    <w:rsid w:val="001701F1"/>
    <w:rsid w:val="00175D1E"/>
    <w:rsid w:val="0018060F"/>
    <w:rsid w:val="0019038D"/>
    <w:rsid w:val="001A0407"/>
    <w:rsid w:val="001B3533"/>
    <w:rsid w:val="001B58BD"/>
    <w:rsid w:val="001C1280"/>
    <w:rsid w:val="001C1ADB"/>
    <w:rsid w:val="001D1DB7"/>
    <w:rsid w:val="001D4FE2"/>
    <w:rsid w:val="001E4A3F"/>
    <w:rsid w:val="001F0FEB"/>
    <w:rsid w:val="001F1931"/>
    <w:rsid w:val="00204046"/>
    <w:rsid w:val="00206278"/>
    <w:rsid w:val="00216F5A"/>
    <w:rsid w:val="00223CD1"/>
    <w:rsid w:val="00236A23"/>
    <w:rsid w:val="00245F4C"/>
    <w:rsid w:val="00253E23"/>
    <w:rsid w:val="00254A4E"/>
    <w:rsid w:val="00264512"/>
    <w:rsid w:val="00287997"/>
    <w:rsid w:val="00293C26"/>
    <w:rsid w:val="00295824"/>
    <w:rsid w:val="002970DF"/>
    <w:rsid w:val="00297668"/>
    <w:rsid w:val="002A1BDC"/>
    <w:rsid w:val="002B063A"/>
    <w:rsid w:val="002B33F5"/>
    <w:rsid w:val="002C0579"/>
    <w:rsid w:val="002C2F3E"/>
    <w:rsid w:val="002F714D"/>
    <w:rsid w:val="003022D6"/>
    <w:rsid w:val="00303577"/>
    <w:rsid w:val="00306AB8"/>
    <w:rsid w:val="00325A9C"/>
    <w:rsid w:val="00327A84"/>
    <w:rsid w:val="00332B0D"/>
    <w:rsid w:val="00334F7D"/>
    <w:rsid w:val="00344F8D"/>
    <w:rsid w:val="00353B71"/>
    <w:rsid w:val="0035415C"/>
    <w:rsid w:val="003724A0"/>
    <w:rsid w:val="00375576"/>
    <w:rsid w:val="003812E2"/>
    <w:rsid w:val="00381FA9"/>
    <w:rsid w:val="00382CE3"/>
    <w:rsid w:val="00395954"/>
    <w:rsid w:val="003C3E97"/>
    <w:rsid w:val="003C406E"/>
    <w:rsid w:val="003C6CC0"/>
    <w:rsid w:val="003E2048"/>
    <w:rsid w:val="003E30B7"/>
    <w:rsid w:val="00401533"/>
    <w:rsid w:val="0040187D"/>
    <w:rsid w:val="00403468"/>
    <w:rsid w:val="004064BE"/>
    <w:rsid w:val="00410D98"/>
    <w:rsid w:val="0041766C"/>
    <w:rsid w:val="00417BD2"/>
    <w:rsid w:val="0043435B"/>
    <w:rsid w:val="0044539E"/>
    <w:rsid w:val="004477E0"/>
    <w:rsid w:val="004549F7"/>
    <w:rsid w:val="004551CE"/>
    <w:rsid w:val="00457FE6"/>
    <w:rsid w:val="00477FD8"/>
    <w:rsid w:val="00481EFC"/>
    <w:rsid w:val="004825CC"/>
    <w:rsid w:val="00483ECF"/>
    <w:rsid w:val="004B33A5"/>
    <w:rsid w:val="004B424B"/>
    <w:rsid w:val="004B70EE"/>
    <w:rsid w:val="004B70FD"/>
    <w:rsid w:val="004D2C5A"/>
    <w:rsid w:val="004D6D2F"/>
    <w:rsid w:val="004E1A22"/>
    <w:rsid w:val="004F6FA8"/>
    <w:rsid w:val="00504B5B"/>
    <w:rsid w:val="0051318C"/>
    <w:rsid w:val="0051384C"/>
    <w:rsid w:val="00524075"/>
    <w:rsid w:val="00524E57"/>
    <w:rsid w:val="00531906"/>
    <w:rsid w:val="00533184"/>
    <w:rsid w:val="005334E6"/>
    <w:rsid w:val="0055095E"/>
    <w:rsid w:val="005537D1"/>
    <w:rsid w:val="00557354"/>
    <w:rsid w:val="005640D6"/>
    <w:rsid w:val="0056590E"/>
    <w:rsid w:val="00574CD0"/>
    <w:rsid w:val="00576504"/>
    <w:rsid w:val="00586DAC"/>
    <w:rsid w:val="005877E7"/>
    <w:rsid w:val="00587A1F"/>
    <w:rsid w:val="00592290"/>
    <w:rsid w:val="00596507"/>
    <w:rsid w:val="005A5B2E"/>
    <w:rsid w:val="005C3E0B"/>
    <w:rsid w:val="005D1DF8"/>
    <w:rsid w:val="005E67E7"/>
    <w:rsid w:val="00603846"/>
    <w:rsid w:val="0061174F"/>
    <w:rsid w:val="00613CD8"/>
    <w:rsid w:val="0061630E"/>
    <w:rsid w:val="00617121"/>
    <w:rsid w:val="00631CA3"/>
    <w:rsid w:val="00636071"/>
    <w:rsid w:val="0066521C"/>
    <w:rsid w:val="0066678D"/>
    <w:rsid w:val="006829A5"/>
    <w:rsid w:val="006842AD"/>
    <w:rsid w:val="0069424F"/>
    <w:rsid w:val="0069754C"/>
    <w:rsid w:val="006B2203"/>
    <w:rsid w:val="006B7A16"/>
    <w:rsid w:val="006E1E06"/>
    <w:rsid w:val="006F126C"/>
    <w:rsid w:val="006F467E"/>
    <w:rsid w:val="00717089"/>
    <w:rsid w:val="00743811"/>
    <w:rsid w:val="007534E8"/>
    <w:rsid w:val="00753786"/>
    <w:rsid w:val="00756867"/>
    <w:rsid w:val="0076233A"/>
    <w:rsid w:val="007746D1"/>
    <w:rsid w:val="00785107"/>
    <w:rsid w:val="00790317"/>
    <w:rsid w:val="00790AF7"/>
    <w:rsid w:val="007A2563"/>
    <w:rsid w:val="007B303D"/>
    <w:rsid w:val="007C34A8"/>
    <w:rsid w:val="007C6960"/>
    <w:rsid w:val="007D1D8B"/>
    <w:rsid w:val="007D23D2"/>
    <w:rsid w:val="007D6CE5"/>
    <w:rsid w:val="007E253E"/>
    <w:rsid w:val="007E3253"/>
    <w:rsid w:val="007F528D"/>
    <w:rsid w:val="007F53BC"/>
    <w:rsid w:val="007F70EE"/>
    <w:rsid w:val="00800133"/>
    <w:rsid w:val="008178CE"/>
    <w:rsid w:val="0082220E"/>
    <w:rsid w:val="00826999"/>
    <w:rsid w:val="008307DA"/>
    <w:rsid w:val="00845EA7"/>
    <w:rsid w:val="00847AD2"/>
    <w:rsid w:val="00861CCA"/>
    <w:rsid w:val="008713D9"/>
    <w:rsid w:val="00872B8C"/>
    <w:rsid w:val="008954BC"/>
    <w:rsid w:val="008962FB"/>
    <w:rsid w:val="008A31A8"/>
    <w:rsid w:val="008A5743"/>
    <w:rsid w:val="008C02C1"/>
    <w:rsid w:val="008E3BB6"/>
    <w:rsid w:val="008E7CD5"/>
    <w:rsid w:val="008F55CC"/>
    <w:rsid w:val="008F7A3A"/>
    <w:rsid w:val="0090046B"/>
    <w:rsid w:val="00910F68"/>
    <w:rsid w:val="00912B9C"/>
    <w:rsid w:val="00913903"/>
    <w:rsid w:val="00920F1A"/>
    <w:rsid w:val="009218F6"/>
    <w:rsid w:val="009227DD"/>
    <w:rsid w:val="00924D7C"/>
    <w:rsid w:val="0092572A"/>
    <w:rsid w:val="00930D91"/>
    <w:rsid w:val="009320EB"/>
    <w:rsid w:val="0094009E"/>
    <w:rsid w:val="00944585"/>
    <w:rsid w:val="00944CF9"/>
    <w:rsid w:val="00951D7F"/>
    <w:rsid w:val="0097287F"/>
    <w:rsid w:val="00974B53"/>
    <w:rsid w:val="009751B7"/>
    <w:rsid w:val="00976CD1"/>
    <w:rsid w:val="0097759A"/>
    <w:rsid w:val="00982CD9"/>
    <w:rsid w:val="00984817"/>
    <w:rsid w:val="009868FB"/>
    <w:rsid w:val="009921C3"/>
    <w:rsid w:val="00993229"/>
    <w:rsid w:val="00996333"/>
    <w:rsid w:val="00996638"/>
    <w:rsid w:val="009A3C51"/>
    <w:rsid w:val="009A7962"/>
    <w:rsid w:val="009B2382"/>
    <w:rsid w:val="009C50A2"/>
    <w:rsid w:val="009D1F52"/>
    <w:rsid w:val="009D2437"/>
    <w:rsid w:val="009D4BBD"/>
    <w:rsid w:val="009E3032"/>
    <w:rsid w:val="009E5165"/>
    <w:rsid w:val="009E5BDE"/>
    <w:rsid w:val="009E7D43"/>
    <w:rsid w:val="009F2923"/>
    <w:rsid w:val="00A02ADE"/>
    <w:rsid w:val="00A12C02"/>
    <w:rsid w:val="00A13DE0"/>
    <w:rsid w:val="00A172D5"/>
    <w:rsid w:val="00A22DFE"/>
    <w:rsid w:val="00A241CA"/>
    <w:rsid w:val="00A41C96"/>
    <w:rsid w:val="00A44FE0"/>
    <w:rsid w:val="00A71F6F"/>
    <w:rsid w:val="00A922E6"/>
    <w:rsid w:val="00AA165C"/>
    <w:rsid w:val="00AB257A"/>
    <w:rsid w:val="00AB3237"/>
    <w:rsid w:val="00AB5901"/>
    <w:rsid w:val="00AC1FD3"/>
    <w:rsid w:val="00AD0D46"/>
    <w:rsid w:val="00AE170D"/>
    <w:rsid w:val="00AE40C3"/>
    <w:rsid w:val="00AF4EDF"/>
    <w:rsid w:val="00AF532B"/>
    <w:rsid w:val="00B04E89"/>
    <w:rsid w:val="00B2152B"/>
    <w:rsid w:val="00B261F7"/>
    <w:rsid w:val="00B26EA2"/>
    <w:rsid w:val="00B3189C"/>
    <w:rsid w:val="00B43F1E"/>
    <w:rsid w:val="00B54D0E"/>
    <w:rsid w:val="00B55755"/>
    <w:rsid w:val="00B55B24"/>
    <w:rsid w:val="00B55BE1"/>
    <w:rsid w:val="00B62D24"/>
    <w:rsid w:val="00B80F78"/>
    <w:rsid w:val="00B81883"/>
    <w:rsid w:val="00B955AC"/>
    <w:rsid w:val="00B9577A"/>
    <w:rsid w:val="00B95913"/>
    <w:rsid w:val="00BB549C"/>
    <w:rsid w:val="00BB591B"/>
    <w:rsid w:val="00BB6427"/>
    <w:rsid w:val="00BC066B"/>
    <w:rsid w:val="00BC0C1B"/>
    <w:rsid w:val="00BC4B28"/>
    <w:rsid w:val="00BC5D4B"/>
    <w:rsid w:val="00BD0605"/>
    <w:rsid w:val="00BD09C3"/>
    <w:rsid w:val="00BD2384"/>
    <w:rsid w:val="00BD7F5E"/>
    <w:rsid w:val="00BF25FD"/>
    <w:rsid w:val="00BF63FF"/>
    <w:rsid w:val="00C0550D"/>
    <w:rsid w:val="00C06652"/>
    <w:rsid w:val="00C12705"/>
    <w:rsid w:val="00C374E1"/>
    <w:rsid w:val="00C40608"/>
    <w:rsid w:val="00C4474A"/>
    <w:rsid w:val="00C5489A"/>
    <w:rsid w:val="00C608E9"/>
    <w:rsid w:val="00C6480F"/>
    <w:rsid w:val="00C70585"/>
    <w:rsid w:val="00C77B1C"/>
    <w:rsid w:val="00C8082A"/>
    <w:rsid w:val="00C8394D"/>
    <w:rsid w:val="00C84AE4"/>
    <w:rsid w:val="00C877A5"/>
    <w:rsid w:val="00C90240"/>
    <w:rsid w:val="00CA049A"/>
    <w:rsid w:val="00CA066F"/>
    <w:rsid w:val="00CA0C56"/>
    <w:rsid w:val="00CA1253"/>
    <w:rsid w:val="00CB6B81"/>
    <w:rsid w:val="00CE5707"/>
    <w:rsid w:val="00CF1149"/>
    <w:rsid w:val="00CF5A84"/>
    <w:rsid w:val="00CF7378"/>
    <w:rsid w:val="00CF79B3"/>
    <w:rsid w:val="00D001AA"/>
    <w:rsid w:val="00D33911"/>
    <w:rsid w:val="00D33F8C"/>
    <w:rsid w:val="00D4290C"/>
    <w:rsid w:val="00D606D9"/>
    <w:rsid w:val="00D62A1E"/>
    <w:rsid w:val="00D62ED0"/>
    <w:rsid w:val="00D74457"/>
    <w:rsid w:val="00D7668D"/>
    <w:rsid w:val="00D77014"/>
    <w:rsid w:val="00D7768F"/>
    <w:rsid w:val="00D86CD1"/>
    <w:rsid w:val="00D914B9"/>
    <w:rsid w:val="00D95D8F"/>
    <w:rsid w:val="00DB1FF5"/>
    <w:rsid w:val="00DB3CE4"/>
    <w:rsid w:val="00DB7A3D"/>
    <w:rsid w:val="00DD214C"/>
    <w:rsid w:val="00DD2879"/>
    <w:rsid w:val="00DD4E16"/>
    <w:rsid w:val="00DD744D"/>
    <w:rsid w:val="00DE4A42"/>
    <w:rsid w:val="00E00F36"/>
    <w:rsid w:val="00E2090A"/>
    <w:rsid w:val="00E24588"/>
    <w:rsid w:val="00E2469A"/>
    <w:rsid w:val="00E433EC"/>
    <w:rsid w:val="00E54ED2"/>
    <w:rsid w:val="00E60F0B"/>
    <w:rsid w:val="00E6742D"/>
    <w:rsid w:val="00E81E16"/>
    <w:rsid w:val="00E823C8"/>
    <w:rsid w:val="00E8511C"/>
    <w:rsid w:val="00E966BB"/>
    <w:rsid w:val="00EA2145"/>
    <w:rsid w:val="00EA31E6"/>
    <w:rsid w:val="00EC203F"/>
    <w:rsid w:val="00EC6195"/>
    <w:rsid w:val="00EE462D"/>
    <w:rsid w:val="00EE47DE"/>
    <w:rsid w:val="00F11EF0"/>
    <w:rsid w:val="00F23D69"/>
    <w:rsid w:val="00F2731E"/>
    <w:rsid w:val="00F341D1"/>
    <w:rsid w:val="00F43C6E"/>
    <w:rsid w:val="00F457A8"/>
    <w:rsid w:val="00F47804"/>
    <w:rsid w:val="00F52C27"/>
    <w:rsid w:val="00F53789"/>
    <w:rsid w:val="00F546FA"/>
    <w:rsid w:val="00F60786"/>
    <w:rsid w:val="00F62F85"/>
    <w:rsid w:val="00F63610"/>
    <w:rsid w:val="00F67B49"/>
    <w:rsid w:val="00F80CD3"/>
    <w:rsid w:val="00F81D57"/>
    <w:rsid w:val="00F828F6"/>
    <w:rsid w:val="00F9748B"/>
    <w:rsid w:val="00FB3EED"/>
    <w:rsid w:val="00FC088D"/>
    <w:rsid w:val="00FC3AE4"/>
    <w:rsid w:val="00FC782D"/>
    <w:rsid w:val="00FD141E"/>
    <w:rsid w:val="00FD442F"/>
    <w:rsid w:val="00FE56C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A9D72C"/>
  <w15:docId w15:val="{01E68DD5-9FA5-4036-B776-42A43A1A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048"/>
    <w:pPr>
      <w:spacing w:before="240" w:after="240"/>
      <w:jc w:val="both"/>
    </w:pPr>
    <w:rPr>
      <w:rFonts w:ascii="Arial" w:hAnsi="Arial"/>
      <w:sz w:val="20"/>
    </w:rPr>
  </w:style>
  <w:style w:type="paragraph" w:styleId="Heading1">
    <w:name w:val="heading 1"/>
    <w:basedOn w:val="Normal"/>
    <w:next w:val="Normal"/>
    <w:link w:val="Heading1Char"/>
    <w:uiPriority w:val="9"/>
    <w:qFormat/>
    <w:rsid w:val="00DB7A3D"/>
    <w:pPr>
      <w:keepNext/>
      <w:keepLines/>
      <w:numPr>
        <w:numId w:val="7"/>
      </w:numPr>
      <w:ind w:left="360"/>
      <w:jc w:val="left"/>
      <w:outlineLvl w:val="0"/>
    </w:pPr>
    <w:rPr>
      <w:rFonts w:eastAsiaTheme="majorEastAsia" w:cstheme="majorBidi"/>
      <w:b/>
      <w:caps/>
      <w:sz w:val="22"/>
      <w:szCs w:val="32"/>
    </w:rPr>
  </w:style>
  <w:style w:type="paragraph" w:styleId="Heading2">
    <w:name w:val="heading 2"/>
    <w:basedOn w:val="Normal"/>
    <w:next w:val="Normal"/>
    <w:link w:val="Heading2Char"/>
    <w:uiPriority w:val="9"/>
    <w:unhideWhenUsed/>
    <w:qFormat/>
    <w:rsid w:val="00DB7A3D"/>
    <w:pPr>
      <w:keepNext/>
      <w:keepLines/>
      <w:numPr>
        <w:ilvl w:val="1"/>
        <w:numId w:val="1"/>
      </w:numPr>
      <w:spacing w:beforeAutospacing="1" w:afterAutospacing="1"/>
      <w:outlineLvl w:val="1"/>
    </w:pPr>
    <w:rPr>
      <w:rFonts w:eastAsiaTheme="majorEastAsia" w:cstheme="majorBidi"/>
      <w:b/>
      <w:sz w:val="22"/>
      <w:szCs w:val="26"/>
    </w:rPr>
  </w:style>
  <w:style w:type="paragraph" w:styleId="Heading3">
    <w:name w:val="heading 3"/>
    <w:basedOn w:val="Heading2"/>
    <w:next w:val="Normal"/>
    <w:link w:val="Heading3Char"/>
    <w:uiPriority w:val="9"/>
    <w:unhideWhenUsed/>
    <w:qFormat/>
    <w:rsid w:val="006B0573"/>
    <w:pPr>
      <w:numPr>
        <w:ilvl w:val="2"/>
      </w:numPr>
      <w:outlineLvl w:val="2"/>
    </w:pPr>
    <w:rPr>
      <w:i/>
      <w:szCs w:val="24"/>
    </w:rPr>
  </w:style>
  <w:style w:type="paragraph" w:styleId="Heading4">
    <w:name w:val="heading 4"/>
    <w:basedOn w:val="Normal"/>
    <w:next w:val="Normal"/>
    <w:link w:val="Heading4Char"/>
    <w:uiPriority w:val="9"/>
    <w:unhideWhenUsed/>
    <w:qFormat/>
    <w:rsid w:val="006B0573"/>
    <w:pPr>
      <w:keepNext/>
      <w:keepLines/>
      <w:numPr>
        <w:numId w:val="2"/>
      </w:numPr>
      <w:spacing w:before="40" w:after="0"/>
      <w:outlineLvl w:val="3"/>
    </w:pPr>
    <w:rPr>
      <w:rFonts w:eastAsiaTheme="majorEastAsia" w:cstheme="majorBidi"/>
      <w:i/>
      <w:iCs/>
      <w:lang w:val="en-US"/>
    </w:rPr>
  </w:style>
  <w:style w:type="paragraph" w:styleId="Heading5">
    <w:name w:val="heading 5"/>
    <w:basedOn w:val="Normal"/>
    <w:next w:val="Normal"/>
    <w:link w:val="Heading5Char"/>
    <w:uiPriority w:val="9"/>
    <w:semiHidden/>
    <w:unhideWhenUsed/>
    <w:qFormat/>
    <w:rsid w:val="0024798F"/>
    <w:pPr>
      <w:keepNext/>
      <w:keepLines/>
      <w:numPr>
        <w:ilvl w:val="4"/>
        <w:numId w:val="1"/>
      </w:numPr>
      <w:spacing w:before="40" w:after="0"/>
      <w:outlineLvl w:val="4"/>
    </w:pPr>
    <w:rPr>
      <w:rFonts w:asciiTheme="majorHAnsi" w:eastAsiaTheme="majorEastAsia" w:hAnsiTheme="majorHAnsi" w:cstheme="majorBidi"/>
      <w:color w:val="2E74B5" w:themeColor="accent1" w:themeShade="BF"/>
      <w:lang w:val="en-US"/>
    </w:rPr>
  </w:style>
  <w:style w:type="paragraph" w:styleId="Heading6">
    <w:name w:val="heading 6"/>
    <w:basedOn w:val="Normal"/>
    <w:next w:val="Normal"/>
    <w:link w:val="Heading6Char"/>
    <w:uiPriority w:val="9"/>
    <w:semiHidden/>
    <w:unhideWhenUsed/>
    <w:qFormat/>
    <w:rsid w:val="0024798F"/>
    <w:pPr>
      <w:keepNext/>
      <w:keepLines/>
      <w:numPr>
        <w:ilvl w:val="5"/>
        <w:numId w:val="1"/>
      </w:numPr>
      <w:spacing w:before="40" w:after="0"/>
      <w:outlineLvl w:val="5"/>
    </w:pPr>
    <w:rPr>
      <w:rFonts w:asciiTheme="majorHAnsi" w:eastAsiaTheme="majorEastAsia" w:hAnsiTheme="majorHAnsi" w:cstheme="majorBidi"/>
      <w:color w:val="1F4D78" w:themeColor="accent1" w:themeShade="7F"/>
      <w:lang w:val="en-US"/>
    </w:rPr>
  </w:style>
  <w:style w:type="paragraph" w:styleId="Heading7">
    <w:name w:val="heading 7"/>
    <w:basedOn w:val="Normal"/>
    <w:next w:val="Normal"/>
    <w:link w:val="Heading7Char"/>
    <w:uiPriority w:val="9"/>
    <w:semiHidden/>
    <w:unhideWhenUsed/>
    <w:qFormat/>
    <w:rsid w:val="0024798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lang w:val="en-US"/>
    </w:rPr>
  </w:style>
  <w:style w:type="paragraph" w:styleId="Heading8">
    <w:name w:val="heading 8"/>
    <w:basedOn w:val="Normal"/>
    <w:next w:val="Normal"/>
    <w:link w:val="Heading8Char"/>
    <w:uiPriority w:val="9"/>
    <w:semiHidden/>
    <w:unhideWhenUsed/>
    <w:qFormat/>
    <w:rsid w:val="0024798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24798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B7A3D"/>
    <w:rPr>
      <w:rFonts w:ascii="Arial" w:eastAsiaTheme="majorEastAsia" w:hAnsi="Arial" w:cstheme="majorBidi"/>
      <w:b/>
      <w:caps/>
      <w:szCs w:val="32"/>
    </w:rPr>
  </w:style>
  <w:style w:type="character" w:customStyle="1" w:styleId="Heading2Char">
    <w:name w:val="Heading 2 Char"/>
    <w:basedOn w:val="DefaultParagraphFont"/>
    <w:link w:val="Heading2"/>
    <w:uiPriority w:val="9"/>
    <w:qFormat/>
    <w:rsid w:val="00DB7A3D"/>
    <w:rPr>
      <w:rFonts w:ascii="Arial" w:eastAsiaTheme="majorEastAsia" w:hAnsi="Arial" w:cstheme="majorBidi"/>
      <w:b/>
      <w:szCs w:val="26"/>
    </w:rPr>
  </w:style>
  <w:style w:type="character" w:customStyle="1" w:styleId="Heading3Char">
    <w:name w:val="Heading 3 Char"/>
    <w:basedOn w:val="DefaultParagraphFont"/>
    <w:link w:val="Heading3"/>
    <w:uiPriority w:val="9"/>
    <w:qFormat/>
    <w:rsid w:val="006B0573"/>
    <w:rPr>
      <w:rFonts w:ascii="Times New Roman" w:eastAsiaTheme="majorEastAsia" w:hAnsi="Times New Roman" w:cstheme="majorBidi"/>
      <w:b/>
      <w:i/>
      <w:sz w:val="24"/>
      <w:szCs w:val="24"/>
    </w:rPr>
  </w:style>
  <w:style w:type="character" w:customStyle="1" w:styleId="Heading4Char">
    <w:name w:val="Heading 4 Char"/>
    <w:basedOn w:val="DefaultParagraphFont"/>
    <w:link w:val="Heading4"/>
    <w:uiPriority w:val="9"/>
    <w:qFormat/>
    <w:rsid w:val="006B0573"/>
    <w:rPr>
      <w:rFonts w:ascii="Times New Roman" w:eastAsiaTheme="majorEastAsia" w:hAnsi="Times New Roman" w:cstheme="majorBidi"/>
      <w:i/>
      <w:iCs/>
      <w:sz w:val="24"/>
      <w:lang w:val="en-US"/>
    </w:rPr>
  </w:style>
  <w:style w:type="character" w:customStyle="1" w:styleId="Heading5Char">
    <w:name w:val="Heading 5 Char"/>
    <w:basedOn w:val="DefaultParagraphFont"/>
    <w:link w:val="Heading5"/>
    <w:uiPriority w:val="9"/>
    <w:semiHidden/>
    <w:qFormat/>
    <w:rsid w:val="0024798F"/>
    <w:rPr>
      <w:rFonts w:asciiTheme="majorHAnsi" w:eastAsiaTheme="majorEastAsia" w:hAnsiTheme="majorHAnsi" w:cstheme="majorBidi"/>
      <w:color w:val="2E74B5" w:themeColor="accent1" w:themeShade="BF"/>
      <w:sz w:val="24"/>
      <w:lang w:val="en-US"/>
    </w:rPr>
  </w:style>
  <w:style w:type="character" w:customStyle="1" w:styleId="Heading6Char">
    <w:name w:val="Heading 6 Char"/>
    <w:basedOn w:val="DefaultParagraphFont"/>
    <w:link w:val="Heading6"/>
    <w:uiPriority w:val="9"/>
    <w:semiHidden/>
    <w:qFormat/>
    <w:rsid w:val="0024798F"/>
    <w:rPr>
      <w:rFonts w:asciiTheme="majorHAnsi" w:eastAsiaTheme="majorEastAsia" w:hAnsiTheme="majorHAnsi" w:cstheme="majorBidi"/>
      <w:color w:val="1F4D78" w:themeColor="accent1" w:themeShade="7F"/>
      <w:sz w:val="24"/>
      <w:lang w:val="en-US"/>
    </w:rPr>
  </w:style>
  <w:style w:type="character" w:customStyle="1" w:styleId="Heading7Char">
    <w:name w:val="Heading 7 Char"/>
    <w:basedOn w:val="DefaultParagraphFont"/>
    <w:link w:val="Heading7"/>
    <w:uiPriority w:val="9"/>
    <w:semiHidden/>
    <w:qFormat/>
    <w:rsid w:val="0024798F"/>
    <w:rPr>
      <w:rFonts w:asciiTheme="majorHAnsi" w:eastAsiaTheme="majorEastAsia" w:hAnsiTheme="majorHAnsi" w:cstheme="majorBidi"/>
      <w:i/>
      <w:iCs/>
      <w:color w:val="1F4D78" w:themeColor="accent1" w:themeShade="7F"/>
      <w:sz w:val="24"/>
      <w:lang w:val="en-US"/>
    </w:rPr>
  </w:style>
  <w:style w:type="character" w:customStyle="1" w:styleId="Heading8Char">
    <w:name w:val="Heading 8 Char"/>
    <w:basedOn w:val="DefaultParagraphFont"/>
    <w:link w:val="Heading8"/>
    <w:uiPriority w:val="9"/>
    <w:semiHidden/>
    <w:qFormat/>
    <w:rsid w:val="0024798F"/>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qFormat/>
    <w:rsid w:val="0024798F"/>
    <w:rPr>
      <w:rFonts w:asciiTheme="majorHAnsi" w:eastAsiaTheme="majorEastAsia" w:hAnsiTheme="majorHAnsi" w:cstheme="majorBidi"/>
      <w:i/>
      <w:iCs/>
      <w:color w:val="272727" w:themeColor="text1" w:themeTint="D8"/>
      <w:sz w:val="21"/>
      <w:szCs w:val="21"/>
      <w:lang w:val="en-US"/>
    </w:rPr>
  </w:style>
  <w:style w:type="character" w:customStyle="1" w:styleId="highlight">
    <w:name w:val="highlight"/>
    <w:basedOn w:val="DefaultParagraphFont"/>
    <w:qFormat/>
    <w:rsid w:val="00E51B6C"/>
  </w:style>
  <w:style w:type="character" w:customStyle="1" w:styleId="citation">
    <w:name w:val="citation"/>
    <w:basedOn w:val="DefaultParagraphFont"/>
    <w:qFormat/>
    <w:rsid w:val="00E51B6C"/>
  </w:style>
  <w:style w:type="character" w:customStyle="1" w:styleId="citation-item">
    <w:name w:val="citation-item"/>
    <w:basedOn w:val="DefaultParagraphFont"/>
    <w:qFormat/>
    <w:rsid w:val="00E51B6C"/>
  </w:style>
  <w:style w:type="character" w:styleId="LineNumber">
    <w:name w:val="line number"/>
    <w:basedOn w:val="DefaultParagraphFont"/>
    <w:uiPriority w:val="99"/>
    <w:semiHidden/>
    <w:unhideWhenUsed/>
    <w:rsid w:val="00106FF6"/>
  </w:style>
  <w:style w:type="character" w:customStyle="1" w:styleId="HeaderChar">
    <w:name w:val="Header Char"/>
    <w:basedOn w:val="DefaultParagraphFont"/>
    <w:link w:val="Header"/>
    <w:uiPriority w:val="99"/>
    <w:qFormat/>
    <w:rsid w:val="00B343D0"/>
    <w:rPr>
      <w:rFonts w:ascii="Times New Roman" w:hAnsi="Times New Roman"/>
      <w:sz w:val="24"/>
    </w:rPr>
  </w:style>
  <w:style w:type="character" w:customStyle="1" w:styleId="FooterChar">
    <w:name w:val="Footer Char"/>
    <w:basedOn w:val="DefaultParagraphFont"/>
    <w:link w:val="Footer"/>
    <w:uiPriority w:val="99"/>
    <w:qFormat/>
    <w:rsid w:val="00B343D0"/>
    <w:rPr>
      <w:rFonts w:ascii="Times New Roman" w:hAnsi="Times New Roman"/>
      <w:sz w:val="24"/>
    </w:rPr>
  </w:style>
  <w:style w:type="character" w:styleId="Hyperlink">
    <w:name w:val="Hyperlink"/>
    <w:basedOn w:val="DefaultParagraphFont"/>
    <w:uiPriority w:val="99"/>
    <w:unhideWhenUsed/>
    <w:rsid w:val="00B343D0"/>
    <w:rPr>
      <w:color w:val="0563C1" w:themeColor="hyperlink"/>
      <w:u w:val="single"/>
    </w:rPr>
  </w:style>
  <w:style w:type="character" w:styleId="PlaceholderText">
    <w:name w:val="Placeholder Text"/>
    <w:basedOn w:val="DefaultParagraphFont"/>
    <w:uiPriority w:val="99"/>
    <w:semiHidden/>
    <w:qFormat/>
    <w:rsid w:val="00144311"/>
    <w:rPr>
      <w:color w:val="808080"/>
    </w:rPr>
  </w:style>
  <w:style w:type="character" w:customStyle="1" w:styleId="fontstyle01">
    <w:name w:val="fontstyle01"/>
    <w:basedOn w:val="DefaultParagraphFont"/>
    <w:qFormat/>
    <w:rsid w:val="00B61A55"/>
    <w:rPr>
      <w:rFonts w:ascii="ArialMT" w:hAnsi="ArialMT"/>
      <w:b w:val="0"/>
      <w:bCs w:val="0"/>
      <w:i w:val="0"/>
      <w:iCs w:val="0"/>
      <w:color w:val="000000"/>
      <w:sz w:val="24"/>
      <w:szCs w:val="24"/>
    </w:rPr>
  </w:style>
  <w:style w:type="character" w:customStyle="1" w:styleId="fontstyle21">
    <w:name w:val="fontstyle21"/>
    <w:basedOn w:val="DefaultParagraphFont"/>
    <w:qFormat/>
    <w:rsid w:val="00B61A55"/>
    <w:rPr>
      <w:rFonts w:ascii="Helvetica-Bold" w:hAnsi="Helvetica-Bold"/>
      <w:b/>
      <w:bCs/>
      <w:i w:val="0"/>
      <w:iCs w:val="0"/>
      <w:color w:val="000000"/>
      <w:sz w:val="24"/>
      <w:szCs w:val="24"/>
    </w:rPr>
  </w:style>
  <w:style w:type="character" w:customStyle="1" w:styleId="BalloonTextChar">
    <w:name w:val="Balloon Text Char"/>
    <w:basedOn w:val="DefaultParagraphFont"/>
    <w:link w:val="BalloonText"/>
    <w:uiPriority w:val="99"/>
    <w:semiHidden/>
    <w:qFormat/>
    <w:rsid w:val="00994166"/>
    <w:rPr>
      <w:rFonts w:ascii="Segoe UI" w:hAnsi="Segoe UI" w:cs="Segoe UI"/>
      <w:sz w:val="18"/>
      <w:szCs w:val="18"/>
    </w:rPr>
  </w:style>
  <w:style w:type="character" w:styleId="Strong">
    <w:name w:val="Strong"/>
    <w:basedOn w:val="DefaultParagraphFont"/>
    <w:uiPriority w:val="22"/>
    <w:qFormat/>
    <w:rsid w:val="00DC6426"/>
    <w:rPr>
      <w:b/>
      <w:bCs/>
    </w:rPr>
  </w:style>
  <w:style w:type="character" w:customStyle="1" w:styleId="katex-mathml">
    <w:name w:val="katex-mathml"/>
    <w:basedOn w:val="DefaultParagraphFont"/>
    <w:qFormat/>
    <w:rsid w:val="00DC6426"/>
  </w:style>
  <w:style w:type="character" w:customStyle="1" w:styleId="mord">
    <w:name w:val="mord"/>
    <w:basedOn w:val="DefaultParagraphFont"/>
    <w:qFormat/>
    <w:rsid w:val="00DC6426"/>
  </w:style>
  <w:style w:type="character" w:customStyle="1" w:styleId="vlist-s">
    <w:name w:val="vlist-s"/>
    <w:basedOn w:val="DefaultParagraphFont"/>
    <w:qFormat/>
    <w:rsid w:val="00DC6426"/>
  </w:style>
  <w:style w:type="character" w:customStyle="1" w:styleId="mrel">
    <w:name w:val="mrel"/>
    <w:basedOn w:val="DefaultParagraphFont"/>
    <w:qFormat/>
    <w:rsid w:val="00DC6426"/>
  </w:style>
  <w:style w:type="character" w:customStyle="1" w:styleId="mop">
    <w:name w:val="mop"/>
    <w:basedOn w:val="DefaultParagraphFont"/>
    <w:qFormat/>
    <w:rsid w:val="00DC6426"/>
  </w:style>
  <w:style w:type="character" w:customStyle="1" w:styleId="mopen">
    <w:name w:val="mopen"/>
    <w:basedOn w:val="DefaultParagraphFont"/>
    <w:qFormat/>
    <w:rsid w:val="00DC6426"/>
  </w:style>
  <w:style w:type="character" w:customStyle="1" w:styleId="mclose">
    <w:name w:val="mclose"/>
    <w:basedOn w:val="DefaultParagraphFont"/>
    <w:qFormat/>
    <w:rsid w:val="00DC6426"/>
  </w:style>
  <w:style w:type="character" w:customStyle="1" w:styleId="mpunct">
    <w:name w:val="mpunct"/>
    <w:basedOn w:val="DefaultParagraphFont"/>
    <w:qFormat/>
    <w:rsid w:val="0006291F"/>
  </w:style>
  <w:style w:type="character" w:customStyle="1" w:styleId="minner">
    <w:name w:val="minner"/>
    <w:basedOn w:val="DefaultParagraphFont"/>
    <w:qFormat/>
    <w:rsid w:val="0006291F"/>
  </w:style>
  <w:style w:type="character" w:styleId="CommentReference">
    <w:name w:val="annotation reference"/>
    <w:basedOn w:val="DefaultParagraphFont"/>
    <w:uiPriority w:val="99"/>
    <w:semiHidden/>
    <w:unhideWhenUsed/>
    <w:qFormat/>
    <w:rsid w:val="00F131E6"/>
    <w:rPr>
      <w:sz w:val="16"/>
      <w:szCs w:val="16"/>
    </w:rPr>
  </w:style>
  <w:style w:type="character" w:customStyle="1" w:styleId="CommentTextChar">
    <w:name w:val="Comment Text Char"/>
    <w:basedOn w:val="DefaultParagraphFont"/>
    <w:link w:val="CommentText"/>
    <w:uiPriority w:val="99"/>
    <w:semiHidden/>
    <w:qFormat/>
    <w:rsid w:val="00F131E6"/>
    <w:rPr>
      <w:rFonts w:ascii="Times New Roman" w:hAnsi="Times New Roman"/>
      <w:sz w:val="20"/>
      <w:szCs w:val="20"/>
    </w:rPr>
  </w:style>
  <w:style w:type="character" w:customStyle="1" w:styleId="CommentSubjectChar">
    <w:name w:val="Comment Subject Char"/>
    <w:basedOn w:val="CommentTextChar"/>
    <w:link w:val="CommentSubject"/>
    <w:uiPriority w:val="99"/>
    <w:semiHidden/>
    <w:qFormat/>
    <w:rsid w:val="00F131E6"/>
    <w:rPr>
      <w:rFonts w:ascii="Times New Roman" w:hAnsi="Times New Roman"/>
      <w:b/>
      <w:bCs/>
      <w:sz w:val="20"/>
      <w:szCs w:val="20"/>
    </w:rPr>
  </w:style>
  <w:style w:type="paragraph" w:customStyle="1" w:styleId="Heading">
    <w:name w:val="Heading"/>
    <w:basedOn w:val="Normal"/>
    <w:next w:val="BodyText"/>
    <w:qFormat/>
    <w:pPr>
      <w:keepNext/>
      <w:spacing w:after="120"/>
    </w:pPr>
    <w:rPr>
      <w:rFonts w:ascii="Liberation Sans" w:eastAsia="Microsoft YaHei" w:hAnsi="Liberation Sans" w:cs="Arial"/>
      <w:sz w:val="28"/>
      <w:szCs w:val="28"/>
    </w:rPr>
  </w:style>
  <w:style w:type="paragraph" w:styleId="BodyText">
    <w:name w:val="Body Text"/>
    <w:basedOn w:val="Normal"/>
    <w:pPr>
      <w:spacing w:before="0" w:after="140" w:line="276" w:lineRule="auto"/>
    </w:pPr>
  </w:style>
  <w:style w:type="paragraph" w:styleId="List">
    <w:name w:val="List"/>
    <w:basedOn w:val="BodyText"/>
    <w:rPr>
      <w:rFonts w:cs="Arial"/>
    </w:rPr>
  </w:style>
  <w:style w:type="paragraph" w:styleId="Caption">
    <w:name w:val="caption"/>
    <w:basedOn w:val="Normal"/>
    <w:next w:val="Normal"/>
    <w:uiPriority w:val="35"/>
    <w:unhideWhenUsed/>
    <w:qFormat/>
    <w:rsid w:val="00CE1A8A"/>
    <w:pPr>
      <w:spacing w:before="0" w:after="200"/>
    </w:pPr>
    <w:rPr>
      <w:i/>
      <w:iCs/>
      <w:color w:val="44546A" w:themeColor="text2"/>
      <w:sz w:val="18"/>
      <w:szCs w:val="18"/>
    </w:rPr>
  </w:style>
  <w:style w:type="paragraph" w:customStyle="1" w:styleId="Index">
    <w:name w:val="Index"/>
    <w:basedOn w:val="Normal"/>
    <w:qFormat/>
    <w:pPr>
      <w:suppressLineNumbers/>
    </w:pPr>
    <w:rPr>
      <w:rFonts w:cs="Arial"/>
    </w:rPr>
  </w:style>
  <w:style w:type="paragraph" w:customStyle="1" w:styleId="wStandard">
    <w:name w:val="wStandard"/>
    <w:basedOn w:val="Normal"/>
    <w:qFormat/>
    <w:rsid w:val="007724C4"/>
    <w:pPr>
      <w:spacing w:after="40"/>
    </w:pPr>
    <w:rPr>
      <w:rFonts w:ascii="Liberation Serif" w:eastAsia="NSimSun" w:hAnsi="Liberation Serif" w:cs="Arial"/>
      <w:kern w:val="2"/>
      <w:szCs w:val="24"/>
      <w:lang w:val="en-US" w:eastAsia="zh-CN" w:bidi="hi-IN"/>
    </w:rPr>
  </w:style>
  <w:style w:type="paragraph" w:styleId="ListParagraph">
    <w:name w:val="List Paragraph"/>
    <w:basedOn w:val="Normal"/>
    <w:uiPriority w:val="34"/>
    <w:qFormat/>
    <w:rsid w:val="009D2FFB"/>
    <w:pPr>
      <w:ind w:left="720"/>
      <w:contextualSpacing/>
    </w:pPr>
  </w:style>
  <w:style w:type="paragraph" w:styleId="Bibliography">
    <w:name w:val="Bibliography"/>
    <w:basedOn w:val="Normal"/>
    <w:next w:val="Normal"/>
    <w:uiPriority w:val="37"/>
    <w:unhideWhenUsed/>
    <w:qFormat/>
    <w:rsid w:val="003F1E89"/>
    <w:pPr>
      <w:spacing w:after="0" w:line="480" w:lineRule="auto"/>
      <w:ind w:left="720" w:hanging="720"/>
    </w:pPr>
  </w:style>
  <w:style w:type="paragraph" w:styleId="NormalWeb">
    <w:name w:val="Normal (Web)"/>
    <w:basedOn w:val="Normal"/>
    <w:uiPriority w:val="99"/>
    <w:unhideWhenUsed/>
    <w:qFormat/>
    <w:rsid w:val="00FD462A"/>
    <w:pPr>
      <w:spacing w:beforeAutospacing="1" w:afterAutospacing="1"/>
    </w:pPr>
    <w:rPr>
      <w:rFonts w:eastAsia="Times New Roman" w:cs="Times New Roman"/>
      <w:szCs w:val="24"/>
      <w:lang w:eastAsia="en-GB"/>
    </w:rPr>
  </w:style>
  <w:style w:type="paragraph" w:styleId="NoSpacing">
    <w:name w:val="No Spacing"/>
    <w:uiPriority w:val="1"/>
    <w:qFormat/>
    <w:rsid w:val="00905BF0"/>
    <w:pPr>
      <w:spacing w:before="120" w:after="120" w:line="360" w:lineRule="auto"/>
      <w:jc w:val="both"/>
    </w:pPr>
    <w:rPr>
      <w:rFonts w:ascii="Times New Roman" w:hAnsi="Times New Roman"/>
      <w:sz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343D0"/>
    <w:pPr>
      <w:suppressLineNumbers/>
      <w:tabs>
        <w:tab w:val="center" w:pos="4513"/>
        <w:tab w:val="right" w:pos="9026"/>
      </w:tabs>
      <w:spacing w:before="0" w:after="0"/>
    </w:pPr>
  </w:style>
  <w:style w:type="paragraph" w:styleId="Footer">
    <w:name w:val="footer"/>
    <w:basedOn w:val="Normal"/>
    <w:link w:val="FooterChar"/>
    <w:uiPriority w:val="99"/>
    <w:unhideWhenUsed/>
    <w:rsid w:val="00B343D0"/>
    <w:pPr>
      <w:suppressLineNumbers/>
      <w:tabs>
        <w:tab w:val="center" w:pos="4513"/>
        <w:tab w:val="right" w:pos="9026"/>
      </w:tabs>
      <w:spacing w:before="0" w:after="0"/>
    </w:pPr>
  </w:style>
  <w:style w:type="paragraph" w:styleId="IndexHeading">
    <w:name w:val="index heading"/>
    <w:basedOn w:val="Heading"/>
  </w:style>
  <w:style w:type="paragraph" w:styleId="TOCHeading">
    <w:name w:val="TOC Heading"/>
    <w:basedOn w:val="Heading1"/>
    <w:next w:val="Normal"/>
    <w:uiPriority w:val="39"/>
    <w:unhideWhenUsed/>
    <w:qFormat/>
    <w:rsid w:val="00B343D0"/>
    <w:pPr>
      <w:spacing w:after="0" w:line="259" w:lineRule="auto"/>
      <w:ind w:left="0"/>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9A506B"/>
    <w:pPr>
      <w:tabs>
        <w:tab w:val="right" w:leader="dot" w:pos="9016"/>
      </w:tabs>
      <w:spacing w:after="100"/>
    </w:pPr>
  </w:style>
  <w:style w:type="paragraph" w:styleId="TOC2">
    <w:name w:val="toc 2"/>
    <w:basedOn w:val="Normal"/>
    <w:next w:val="Normal"/>
    <w:autoRedefine/>
    <w:uiPriority w:val="39"/>
    <w:unhideWhenUsed/>
    <w:rsid w:val="00B343D0"/>
    <w:pPr>
      <w:spacing w:after="100"/>
      <w:ind w:left="240"/>
    </w:pPr>
  </w:style>
  <w:style w:type="paragraph" w:styleId="TOC3">
    <w:name w:val="toc 3"/>
    <w:basedOn w:val="Normal"/>
    <w:next w:val="Normal"/>
    <w:autoRedefine/>
    <w:uiPriority w:val="39"/>
    <w:unhideWhenUsed/>
    <w:rsid w:val="00B343D0"/>
    <w:pPr>
      <w:spacing w:after="100"/>
      <w:ind w:left="480"/>
    </w:pPr>
  </w:style>
  <w:style w:type="paragraph" w:styleId="TableofFigures">
    <w:name w:val="table of figures"/>
    <w:basedOn w:val="Normal"/>
    <w:next w:val="Normal"/>
    <w:uiPriority w:val="99"/>
    <w:unhideWhenUsed/>
    <w:rsid w:val="000F7D09"/>
    <w:pPr>
      <w:spacing w:before="0" w:after="0" w:line="259" w:lineRule="auto"/>
    </w:pPr>
    <w:rPr>
      <w:lang w:val="en-US"/>
    </w:rPr>
  </w:style>
  <w:style w:type="paragraph" w:customStyle="1" w:styleId="Default">
    <w:name w:val="Default"/>
    <w:qFormat/>
    <w:rsid w:val="00144311"/>
    <w:rPr>
      <w:rFonts w:ascii="Times New Roman" w:eastAsia="Calibri" w:hAnsi="Times New Roman" w:cs="Times New Roman"/>
      <w:color w:val="000000"/>
      <w:sz w:val="24"/>
      <w:szCs w:val="24"/>
    </w:rPr>
  </w:style>
  <w:style w:type="paragraph" w:styleId="TOC4">
    <w:name w:val="toc 4"/>
    <w:basedOn w:val="Normal"/>
    <w:next w:val="Normal"/>
    <w:autoRedefine/>
    <w:uiPriority w:val="39"/>
    <w:unhideWhenUsed/>
    <w:rsid w:val="000F6CE9"/>
    <w:pPr>
      <w:spacing w:before="0" w:after="100" w:line="259" w:lineRule="auto"/>
      <w:ind w:left="660"/>
      <w:jc w:val="left"/>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0F6CE9"/>
    <w:pPr>
      <w:spacing w:before="0" w:after="100" w:line="259" w:lineRule="auto"/>
      <w:ind w:left="880"/>
      <w:jc w:val="left"/>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0F6CE9"/>
    <w:pPr>
      <w:spacing w:before="0" w:after="100" w:line="259" w:lineRule="auto"/>
      <w:ind w:left="1100"/>
      <w:jc w:val="left"/>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0F6CE9"/>
    <w:pPr>
      <w:spacing w:before="0" w:after="100" w:line="259"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0F6CE9"/>
    <w:pPr>
      <w:spacing w:before="0" w:after="100" w:line="259"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0F6CE9"/>
    <w:pPr>
      <w:spacing w:before="0" w:after="100" w:line="259" w:lineRule="auto"/>
      <w:ind w:left="1760"/>
      <w:jc w:val="left"/>
    </w:pPr>
    <w:rPr>
      <w:rFonts w:asciiTheme="minorHAnsi" w:eastAsiaTheme="minorEastAsia" w:hAnsiTheme="minorHAnsi"/>
      <w:sz w:val="22"/>
      <w:lang w:eastAsia="en-GB"/>
    </w:rPr>
  </w:style>
  <w:style w:type="paragraph" w:styleId="BalloonText">
    <w:name w:val="Balloon Text"/>
    <w:basedOn w:val="Normal"/>
    <w:link w:val="BalloonTextChar"/>
    <w:uiPriority w:val="99"/>
    <w:semiHidden/>
    <w:unhideWhenUsed/>
    <w:qFormat/>
    <w:rsid w:val="00994166"/>
    <w:pPr>
      <w:spacing w:before="0" w:after="0"/>
    </w:pPr>
    <w:rPr>
      <w:rFonts w:ascii="Segoe UI" w:hAnsi="Segoe UI" w:cs="Segoe UI"/>
      <w:sz w:val="18"/>
      <w:szCs w:val="18"/>
    </w:rPr>
  </w:style>
  <w:style w:type="paragraph" w:styleId="CommentText">
    <w:name w:val="annotation text"/>
    <w:basedOn w:val="Normal"/>
    <w:link w:val="CommentTextChar"/>
    <w:uiPriority w:val="99"/>
    <w:semiHidden/>
    <w:unhideWhenUsed/>
    <w:rsid w:val="00F131E6"/>
    <w:rPr>
      <w:szCs w:val="20"/>
    </w:rPr>
  </w:style>
  <w:style w:type="paragraph" w:styleId="CommentSubject">
    <w:name w:val="annotation subject"/>
    <w:basedOn w:val="CommentText"/>
    <w:next w:val="CommentText"/>
    <w:link w:val="CommentSubjectChar"/>
    <w:uiPriority w:val="99"/>
    <w:semiHidden/>
    <w:unhideWhenUsed/>
    <w:qFormat/>
    <w:rsid w:val="00F131E6"/>
    <w:rPr>
      <w:b/>
      <w:bCs/>
    </w:rPr>
  </w:style>
  <w:style w:type="table" w:styleId="TableGrid">
    <w:name w:val="Table Grid"/>
    <w:basedOn w:val="TableNormal"/>
    <w:uiPriority w:val="39"/>
    <w:rsid w:val="00144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D9351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
    <w:name w:val="Body"/>
    <w:basedOn w:val="Normal"/>
    <w:rsid w:val="0014077B"/>
    <w:pPr>
      <w:suppressAutoHyphens w:val="0"/>
      <w:spacing w:before="0"/>
    </w:pPr>
    <w:rPr>
      <w:rFonts w:ascii="Helvetica" w:eastAsia="Times New Roman" w:hAnsi="Helvetica" w:cs="Times New Roman"/>
      <w:szCs w:val="20"/>
      <w:lang w:val="en-US"/>
    </w:rPr>
  </w:style>
  <w:style w:type="paragraph" w:customStyle="1" w:styleId="AcknHead">
    <w:name w:val="Ackn Head"/>
    <w:basedOn w:val="Normal"/>
    <w:rsid w:val="0014077B"/>
    <w:pPr>
      <w:keepNext/>
      <w:suppressAutoHyphens w:val="0"/>
      <w:spacing w:before="0"/>
      <w:jc w:val="left"/>
    </w:pPr>
    <w:rPr>
      <w:rFonts w:ascii="Helvetica" w:eastAsia="Times New Roman" w:hAnsi="Helvetica" w:cs="Times New Roman"/>
      <w:b/>
      <w:caps/>
      <w:sz w:val="22"/>
      <w:szCs w:val="20"/>
      <w:lang w:val="en-US"/>
    </w:rPr>
  </w:style>
  <w:style w:type="paragraph" w:customStyle="1" w:styleId="ReferHead">
    <w:name w:val="Refer Head"/>
    <w:basedOn w:val="Normal"/>
    <w:rsid w:val="0014077B"/>
    <w:pPr>
      <w:keepNext/>
      <w:suppressAutoHyphens w:val="0"/>
      <w:spacing w:before="0"/>
      <w:jc w:val="left"/>
    </w:pPr>
    <w:rPr>
      <w:rFonts w:ascii="Helvetica" w:eastAsia="Times New Roman" w:hAnsi="Helvetica" w:cs="Times New Roman"/>
      <w:b/>
      <w:caps/>
      <w:sz w:val="22"/>
      <w:szCs w:val="20"/>
      <w:lang w:val="en-US"/>
    </w:rPr>
  </w:style>
  <w:style w:type="table" w:customStyle="1" w:styleId="22">
    <w:name w:val="22"/>
    <w:basedOn w:val="TableNormal"/>
    <w:rsid w:val="00F81D57"/>
    <w:pPr>
      <w:suppressAutoHyphens w:val="0"/>
      <w:spacing w:before="240"/>
      <w:jc w:val="both"/>
    </w:pPr>
    <w:rPr>
      <w:rFonts w:ascii="Times New Roman" w:eastAsia="Times New Roman" w:hAnsi="Times New Roman" w:cs="Times New Roman"/>
      <w:sz w:val="24"/>
      <w:szCs w:val="24"/>
    </w:rPr>
    <w:tblPr>
      <w:tblStyleRowBandSize w:val="1"/>
      <w:tblStyleColBandSize w:val="1"/>
    </w:tblPr>
  </w:style>
  <w:style w:type="table" w:customStyle="1" w:styleId="21">
    <w:name w:val="21"/>
    <w:basedOn w:val="TableNormal"/>
    <w:rsid w:val="00F81D57"/>
    <w:pPr>
      <w:suppressAutoHyphens w:val="0"/>
      <w:spacing w:before="240"/>
      <w:jc w:val="both"/>
    </w:pPr>
    <w:rPr>
      <w:rFonts w:ascii="Times New Roman" w:eastAsia="Times New Roman" w:hAnsi="Times New Roman" w:cs="Times New Roman"/>
      <w:sz w:val="24"/>
      <w:szCs w:val="24"/>
    </w:rPr>
    <w:tblPr>
      <w:tblStyleRowBandSize w:val="1"/>
      <w:tblStyleColBandSize w:val="1"/>
    </w:tblPr>
  </w:style>
  <w:style w:type="paragraph" w:styleId="Revision">
    <w:name w:val="Revision"/>
    <w:hidden/>
    <w:uiPriority w:val="99"/>
    <w:semiHidden/>
    <w:rsid w:val="0051384C"/>
    <w:pPr>
      <w:suppressAutoHyphens w:val="0"/>
    </w:pPr>
    <w:rPr>
      <w:rFonts w:ascii="Arial" w:hAnsi="Arial"/>
      <w:sz w:val="20"/>
    </w:rPr>
  </w:style>
  <w:style w:type="character" w:styleId="UnresolvedMention">
    <w:name w:val="Unresolved Mention"/>
    <w:basedOn w:val="DefaultParagraphFont"/>
    <w:uiPriority w:val="99"/>
    <w:semiHidden/>
    <w:unhideWhenUsed/>
    <w:rsid w:val="00975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67065">
      <w:bodyDiv w:val="1"/>
      <w:marLeft w:val="0"/>
      <w:marRight w:val="0"/>
      <w:marTop w:val="0"/>
      <w:marBottom w:val="0"/>
      <w:divBdr>
        <w:top w:val="none" w:sz="0" w:space="0" w:color="auto"/>
        <w:left w:val="none" w:sz="0" w:space="0" w:color="auto"/>
        <w:bottom w:val="none" w:sz="0" w:space="0" w:color="auto"/>
        <w:right w:val="none" w:sz="0" w:space="0" w:color="auto"/>
      </w:divBdr>
    </w:div>
    <w:div w:id="884947140">
      <w:bodyDiv w:val="1"/>
      <w:marLeft w:val="0"/>
      <w:marRight w:val="0"/>
      <w:marTop w:val="0"/>
      <w:marBottom w:val="0"/>
      <w:divBdr>
        <w:top w:val="none" w:sz="0" w:space="0" w:color="auto"/>
        <w:left w:val="none" w:sz="0" w:space="0" w:color="auto"/>
        <w:bottom w:val="none" w:sz="0" w:space="0" w:color="auto"/>
        <w:right w:val="none" w:sz="0" w:space="0" w:color="auto"/>
      </w:divBdr>
    </w:div>
    <w:div w:id="1232042840">
      <w:bodyDiv w:val="1"/>
      <w:marLeft w:val="0"/>
      <w:marRight w:val="0"/>
      <w:marTop w:val="0"/>
      <w:marBottom w:val="0"/>
      <w:divBdr>
        <w:top w:val="none" w:sz="0" w:space="0" w:color="auto"/>
        <w:left w:val="none" w:sz="0" w:space="0" w:color="auto"/>
        <w:bottom w:val="none" w:sz="0" w:space="0" w:color="auto"/>
        <w:right w:val="none" w:sz="0" w:space="0" w:color="auto"/>
      </w:divBdr>
    </w:div>
    <w:div w:id="1297561483">
      <w:bodyDiv w:val="1"/>
      <w:marLeft w:val="0"/>
      <w:marRight w:val="0"/>
      <w:marTop w:val="0"/>
      <w:marBottom w:val="0"/>
      <w:divBdr>
        <w:top w:val="none" w:sz="0" w:space="0" w:color="auto"/>
        <w:left w:val="none" w:sz="0" w:space="0" w:color="auto"/>
        <w:bottom w:val="none" w:sz="0" w:space="0" w:color="auto"/>
        <w:right w:val="none" w:sz="0" w:space="0" w:color="auto"/>
      </w:divBdr>
    </w:div>
    <w:div w:id="1830906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D:\PhD%20Seed%20Science%202018-2021\THESIS%20Write%20Ups%20Jan%202024\PhD%20THESIS%20DRAFTS\Thesis%20Papers\Supervisors%20corrections\Farming%20practic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2">
                <a:lumMod val="75000"/>
              </a:schemeClr>
            </a:solidFill>
            <a:ln>
              <a:solidFill>
                <a:schemeClr val="tx1"/>
              </a:solidFill>
            </a:ln>
            <a:effectLst/>
          </c:spPr>
          <c:invertIfNegative val="0"/>
          <c:cat>
            <c:strRef>
              <c:f>'farming practice'!$A$3:$A$10</c:f>
              <c:strCache>
                <c:ptCount val="8"/>
                <c:pt idx="0">
                  <c:v>Small scale</c:v>
                </c:pt>
                <c:pt idx="1">
                  <c:v>Large scale</c:v>
                </c:pt>
                <c:pt idx="2">
                  <c:v>Hand ploughing </c:v>
                </c:pt>
                <c:pt idx="3">
                  <c:v>Tractor ploughing </c:v>
                </c:pt>
                <c:pt idx="4">
                  <c:v>Mixed-cropping</c:v>
                </c:pt>
                <c:pt idx="5">
                  <c:v>Mono-cropping</c:v>
                </c:pt>
                <c:pt idx="6">
                  <c:v>Inorganic fertilizer </c:v>
                </c:pt>
                <c:pt idx="7">
                  <c:v>Organic fertilizer </c:v>
                </c:pt>
              </c:strCache>
            </c:strRef>
          </c:cat>
          <c:val>
            <c:numRef>
              <c:f>'farming practice'!$B$3:$B$10</c:f>
              <c:numCache>
                <c:formatCode>0%</c:formatCode>
                <c:ptCount val="8"/>
                <c:pt idx="0">
                  <c:v>0.75</c:v>
                </c:pt>
                <c:pt idx="1">
                  <c:v>0.25</c:v>
                </c:pt>
                <c:pt idx="2">
                  <c:v>0.56000000000000005</c:v>
                </c:pt>
                <c:pt idx="3">
                  <c:v>0.42</c:v>
                </c:pt>
                <c:pt idx="4">
                  <c:v>0.69000000000000006</c:v>
                </c:pt>
                <c:pt idx="5">
                  <c:v>0.31</c:v>
                </c:pt>
                <c:pt idx="6">
                  <c:v>0.38</c:v>
                </c:pt>
                <c:pt idx="7">
                  <c:v>0.62</c:v>
                </c:pt>
              </c:numCache>
            </c:numRef>
          </c:val>
          <c:extLst>
            <c:ext xmlns:c16="http://schemas.microsoft.com/office/drawing/2014/chart" uri="{C3380CC4-5D6E-409C-BE32-E72D297353CC}">
              <c16:uniqueId val="{00000000-2449-4A7D-96FD-374A94499ECB}"/>
            </c:ext>
          </c:extLst>
        </c:ser>
        <c:dLbls>
          <c:showLegendKey val="0"/>
          <c:showVal val="0"/>
          <c:showCatName val="0"/>
          <c:showSerName val="0"/>
          <c:showPercent val="0"/>
          <c:showBubbleSize val="0"/>
        </c:dLbls>
        <c:gapWidth val="219"/>
        <c:overlap val="-27"/>
        <c:axId val="-2031488688"/>
        <c:axId val="-2031488144"/>
      </c:barChart>
      <c:catAx>
        <c:axId val="-203148868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Farming practice</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31488144"/>
        <c:crosses val="autoZero"/>
        <c:auto val="1"/>
        <c:lblAlgn val="ctr"/>
        <c:lblOffset val="100"/>
        <c:noMultiLvlLbl val="0"/>
      </c:catAx>
      <c:valAx>
        <c:axId val="-203148814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Percent response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31488688"/>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3E337-742C-4391-A57C-BC40B2E77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13</Pages>
  <Words>32886</Words>
  <Characters>187455</Characters>
  <Application>Microsoft Office Word</Application>
  <DocSecurity>0</DocSecurity>
  <Lines>1562</Lines>
  <Paragraphs>439</Paragraphs>
  <ScaleCrop>false</ScaleCrop>
  <HeadingPairs>
    <vt:vector size="2" baseType="variant">
      <vt:variant>
        <vt:lpstr>Title</vt:lpstr>
      </vt:variant>
      <vt:variant>
        <vt:i4>1</vt:i4>
      </vt:variant>
    </vt:vector>
  </HeadingPairs>
  <TitlesOfParts>
    <vt:vector size="1" baseType="lpstr">
      <vt:lpstr/>
    </vt:vector>
  </TitlesOfParts>
  <Company>University of Eldoret</Company>
  <LinksUpToDate>false</LinksUpToDate>
  <CharactersWithSpaces>219902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dc:creator>
  <cp:keywords/>
  <dc:description/>
  <cp:lastModifiedBy>SDI 1084</cp:lastModifiedBy>
  <cp:revision>51</cp:revision>
  <cp:lastPrinted>2024-08-09T18:17:00Z</cp:lastPrinted>
  <dcterms:created xsi:type="dcterms:W3CDTF">2025-09-23T22:17:00Z</dcterms:created>
  <dcterms:modified xsi:type="dcterms:W3CDTF">2025-09-27T06:01:00Z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id="7MftWAhI"/&gt;&lt;style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