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FF56A" w14:textId="6177E431" w:rsidR="00DD1627" w:rsidRPr="00DD1627" w:rsidRDefault="00DD1627" w:rsidP="00DD1627">
      <w:pPr>
        <w:spacing w:line="360" w:lineRule="auto"/>
        <w:rPr>
          <w:rFonts w:ascii="Arial" w:hAnsi="Arial" w:cs="Arial"/>
          <w:b/>
          <w:bCs/>
          <w:sz w:val="28"/>
          <w:szCs w:val="28"/>
          <w:u w:val="single"/>
        </w:rPr>
      </w:pPr>
      <w:r w:rsidRPr="00DD1627">
        <w:rPr>
          <w:rFonts w:ascii="Arial" w:hAnsi="Arial" w:cs="Arial"/>
          <w:b/>
          <w:bCs/>
          <w:sz w:val="28"/>
          <w:szCs w:val="28"/>
          <w:u w:val="single"/>
        </w:rPr>
        <w:t>Original Research Article</w:t>
      </w:r>
    </w:p>
    <w:p w14:paraId="7DC30226" w14:textId="4573D505" w:rsidR="00010061" w:rsidRDefault="00010061" w:rsidP="00010061">
      <w:pPr>
        <w:spacing w:line="360" w:lineRule="auto"/>
        <w:jc w:val="right"/>
        <w:rPr>
          <w:rFonts w:ascii="Arial" w:hAnsi="Arial" w:cs="Arial"/>
          <w:b/>
          <w:bCs/>
          <w:sz w:val="44"/>
          <w:szCs w:val="44"/>
        </w:rPr>
      </w:pPr>
      <w:r w:rsidRPr="00010061">
        <w:rPr>
          <w:rFonts w:ascii="Arial" w:hAnsi="Arial" w:cs="Arial"/>
          <w:b/>
          <w:bCs/>
          <w:sz w:val="44"/>
          <w:szCs w:val="44"/>
        </w:rPr>
        <w:t>Identify the perceived constraints in the use of Green products</w:t>
      </w:r>
    </w:p>
    <w:p w14:paraId="3AC55368" w14:textId="77777777" w:rsidR="008210E6" w:rsidRDefault="008210E6" w:rsidP="00D54263">
      <w:pPr>
        <w:spacing w:line="480" w:lineRule="auto"/>
        <w:rPr>
          <w:rFonts w:ascii="Arial" w:hAnsi="Arial" w:cs="Arial"/>
          <w:b/>
          <w:bCs/>
        </w:rPr>
      </w:pPr>
    </w:p>
    <w:p w14:paraId="6BF77124" w14:textId="77777777" w:rsidR="008210E6" w:rsidRDefault="008210E6" w:rsidP="00D54263">
      <w:pPr>
        <w:spacing w:line="480" w:lineRule="auto"/>
        <w:rPr>
          <w:rFonts w:ascii="Arial" w:hAnsi="Arial" w:cs="Arial"/>
          <w:b/>
          <w:bCs/>
        </w:rPr>
      </w:pPr>
    </w:p>
    <w:p w14:paraId="2146AB36" w14:textId="3F1D8EAE" w:rsidR="00D54263" w:rsidRPr="00D54263" w:rsidRDefault="00D54263" w:rsidP="00D54263">
      <w:pPr>
        <w:spacing w:line="480" w:lineRule="auto"/>
        <w:rPr>
          <w:rFonts w:ascii="Arial" w:hAnsi="Arial" w:cs="Arial"/>
          <w:b/>
          <w:bCs/>
        </w:rPr>
      </w:pPr>
      <w:r w:rsidRPr="00010061">
        <w:rPr>
          <w:rFonts w:ascii="Arial" w:hAnsi="Arial" w:cs="Arial"/>
          <w:b/>
          <w:bCs/>
        </w:rPr>
        <w:t>ABSTRACT</w:t>
      </w:r>
    </w:p>
    <w:p w14:paraId="4F81D5C5" w14:textId="647DE34C" w:rsidR="00010061" w:rsidRPr="00010061" w:rsidRDefault="00D54263" w:rsidP="00010061">
      <w:pPr>
        <w:spacing w:line="480" w:lineRule="auto"/>
        <w:rPr>
          <w:rFonts w:ascii="Arial" w:hAnsi="Arial" w:cs="Arial"/>
          <w:b/>
          <w:bCs/>
        </w:rPr>
      </w:pPr>
      <w:r w:rsidRPr="00D54263">
        <w:rPr>
          <w:rFonts w:ascii="Arial" w:hAnsi="Arial" w:cs="Arial"/>
          <w:b/>
          <w:bCs/>
          <w:noProof/>
          <w:sz w:val="20"/>
          <w:szCs w:val="20"/>
        </w:rPr>
        <mc:AlternateContent>
          <mc:Choice Requires="wps">
            <w:drawing>
              <wp:anchor distT="45720" distB="45720" distL="114300" distR="114300" simplePos="0" relativeHeight="251663360" behindDoc="1" locked="0" layoutInCell="1" allowOverlap="1" wp14:anchorId="75B2A061" wp14:editId="45B00494">
                <wp:simplePos x="0" y="0"/>
                <wp:positionH relativeFrom="margin">
                  <wp:align>left</wp:align>
                </wp:positionH>
                <wp:positionV relativeFrom="paragraph">
                  <wp:posOffset>11430</wp:posOffset>
                </wp:positionV>
                <wp:extent cx="6415806" cy="3031490"/>
                <wp:effectExtent l="0" t="0" r="23495"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5806" cy="3031490"/>
                        </a:xfrm>
                        <a:prstGeom prst="rect">
                          <a:avLst/>
                        </a:prstGeom>
                        <a:solidFill>
                          <a:srgbClr val="FFFFFF"/>
                        </a:solidFill>
                        <a:ln w="9525">
                          <a:solidFill>
                            <a:srgbClr val="000000"/>
                          </a:solidFill>
                          <a:miter lim="800000"/>
                          <a:headEnd/>
                          <a:tailEnd/>
                        </a:ln>
                      </wps:spPr>
                      <wps:txbx>
                        <w:txbxContent>
                          <w:p w14:paraId="6BF057CF" w14:textId="77777777" w:rsidR="00D54263" w:rsidRPr="00586B87" w:rsidRDefault="00D54263" w:rsidP="00D54263">
                            <w:pPr>
                              <w:spacing w:line="278" w:lineRule="auto"/>
                              <w:jc w:val="both"/>
                              <w:rPr>
                                <w:rFonts w:ascii="Arial" w:hAnsi="Arial" w:cs="Arial"/>
                              </w:rPr>
                            </w:pPr>
                            <w:r w:rsidRPr="00586B87">
                              <w:rPr>
                                <w:rFonts w:ascii="Arial" w:hAnsi="Arial" w:cs="Arial"/>
                              </w:rPr>
                              <w:t>The rise in non-biodegradable packaging, driven by increasing fast food consumption, is a major environmental concern. Despite years of green marketing, the use of eco-friendly products remains low. This study examines packaging practices in popular fast food outlets and identifies key constraints to green product adoption using the Garret</w:t>
                            </w:r>
                            <w:r w:rsidRPr="00010061">
                              <w:rPr>
                                <w:rFonts w:ascii="Arial" w:hAnsi="Arial" w:cs="Arial"/>
                              </w:rPr>
                              <w:t xml:space="preserve">t </w:t>
                            </w:r>
                            <w:r w:rsidRPr="00586B87">
                              <w:rPr>
                                <w:rFonts w:ascii="Arial" w:hAnsi="Arial" w:cs="Arial"/>
                              </w:rPr>
                              <w:t>Ranking Method.</w:t>
                            </w:r>
                            <w:r w:rsidRPr="00010061">
                              <w:rPr>
                                <w:rFonts w:ascii="Arial" w:hAnsi="Arial" w:cs="Arial"/>
                              </w:rPr>
                              <w:t xml:space="preserve"> The study was conducted in the </w:t>
                            </w:r>
                            <w:proofErr w:type="spellStart"/>
                            <w:r w:rsidRPr="00010061">
                              <w:rPr>
                                <w:rFonts w:ascii="Arial" w:hAnsi="Arial" w:cs="Arial"/>
                              </w:rPr>
                              <w:t>Kamrup</w:t>
                            </w:r>
                            <w:proofErr w:type="spellEnd"/>
                            <w:r w:rsidRPr="00010061">
                              <w:rPr>
                                <w:rFonts w:ascii="Arial" w:hAnsi="Arial" w:cs="Arial"/>
                              </w:rPr>
                              <w:t xml:space="preserve"> (metro) district of Assam from August to October 2024 visiting 16 food outlets with a participation on 115 consumers across the state.</w:t>
                            </w:r>
                          </w:p>
                          <w:p w14:paraId="7E6594B6" w14:textId="77777777" w:rsidR="00D54263" w:rsidRPr="00586B87" w:rsidRDefault="00D54263" w:rsidP="00D54263">
                            <w:pPr>
                              <w:spacing w:line="278" w:lineRule="auto"/>
                              <w:jc w:val="both"/>
                              <w:rPr>
                                <w:rFonts w:ascii="Arial" w:hAnsi="Arial" w:cs="Arial"/>
                              </w:rPr>
                            </w:pPr>
                            <w:r w:rsidRPr="00586B87">
                              <w:rPr>
                                <w:rFonts w:ascii="Arial" w:hAnsi="Arial" w:cs="Arial"/>
                              </w:rPr>
                              <w:t>Among consumers, the top constraint was lack of trust in green claims, followed by limited availability, variety, and high cost. The least concern was difficulty understanding eco-labels. For managers and staff, the main issue was high cost, followed by limited availability, resistance to change, and lack of management support. Regulatory issues ranked lowest.</w:t>
                            </w:r>
                          </w:p>
                          <w:p w14:paraId="1A06F558" w14:textId="77777777" w:rsidR="00D54263" w:rsidRPr="00010061" w:rsidRDefault="00D54263" w:rsidP="00D54263">
                            <w:pPr>
                              <w:spacing w:line="278" w:lineRule="auto"/>
                              <w:jc w:val="both"/>
                              <w:rPr>
                                <w:rFonts w:ascii="Arial" w:hAnsi="Arial" w:cs="Arial"/>
                                <w:sz w:val="28"/>
                                <w:szCs w:val="28"/>
                              </w:rPr>
                            </w:pPr>
                          </w:p>
                          <w:p w14:paraId="17FEE1C0" w14:textId="77777777" w:rsidR="00D54263" w:rsidRPr="00586B87" w:rsidRDefault="00D54263" w:rsidP="00D54263">
                            <w:pPr>
                              <w:spacing w:line="278" w:lineRule="auto"/>
                              <w:jc w:val="both"/>
                              <w:rPr>
                                <w:rFonts w:ascii="Arial" w:hAnsi="Arial" w:cs="Arial"/>
                                <w:i/>
                                <w:iCs/>
                                <w:sz w:val="20"/>
                                <w:szCs w:val="20"/>
                              </w:rPr>
                            </w:pPr>
                            <w:r w:rsidRPr="00586B87">
                              <w:rPr>
                                <w:rFonts w:ascii="Arial" w:hAnsi="Arial" w:cs="Arial"/>
                                <w:i/>
                                <w:iCs/>
                                <w:sz w:val="20"/>
                                <w:szCs w:val="20"/>
                              </w:rPr>
                              <w:t>Keywords: Green products, Constraints, Garret</w:t>
                            </w:r>
                            <w:r w:rsidRPr="00010061">
                              <w:rPr>
                                <w:rFonts w:ascii="Arial" w:hAnsi="Arial" w:cs="Arial"/>
                                <w:i/>
                                <w:iCs/>
                                <w:sz w:val="20"/>
                                <w:szCs w:val="20"/>
                              </w:rPr>
                              <w:t>t</w:t>
                            </w:r>
                            <w:r w:rsidRPr="00586B87">
                              <w:rPr>
                                <w:rFonts w:ascii="Arial" w:hAnsi="Arial" w:cs="Arial"/>
                                <w:i/>
                                <w:iCs/>
                                <w:sz w:val="20"/>
                                <w:szCs w:val="20"/>
                              </w:rPr>
                              <w:t xml:space="preserve"> Ranking, Eco-labels, Packaging</w:t>
                            </w:r>
                          </w:p>
                          <w:p w14:paraId="4BC3FE29" w14:textId="26349DFA" w:rsidR="00D54263" w:rsidRDefault="00D54263" w:rsidP="00D542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2A061" id="_x0000_t202" coordsize="21600,21600" o:spt="202" path="m,l,21600r21600,l21600,xe">
                <v:stroke joinstyle="miter"/>
                <v:path gradientshapeok="t" o:connecttype="rect"/>
              </v:shapetype>
              <v:shape id="Text Box 2" o:spid="_x0000_s1026" type="#_x0000_t202" style="position:absolute;margin-left:0;margin-top:.9pt;width:505.2pt;height:238.7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">
                <v:textbox>
                  <w:txbxContent>
                    <w:p w14:paraId="6BF057CF" w14:textId="77777777" w:rsidR="00D54263" w:rsidRPr="00586B87" w:rsidRDefault="00D54263" w:rsidP="00D54263">
                      <w:pPr>
                        <w:spacing w:line="278" w:lineRule="auto"/>
                        <w:jc w:val="both"/>
                        <w:rPr>
                          <w:rFonts w:ascii="Arial" w:hAnsi="Arial" w:cs="Arial"/>
                        </w:rPr>
                      </w:pPr>
                      <w:r w:rsidRPr="00586B87">
                        <w:rPr>
                          <w:rFonts w:ascii="Arial" w:hAnsi="Arial" w:cs="Arial"/>
                        </w:rPr>
                        <w:t>The rise in non-biodegradable packaging, driven by increasing fast food consumption, is a major environmental concern. Despite years of green marketing, the use of eco-friendly products remains low. This study examines packaging practices in popular fast food outlets and identifies key constraints to green product adoption using the Garret</w:t>
                      </w:r>
                      <w:r w:rsidRPr="00010061">
                        <w:rPr>
                          <w:rFonts w:ascii="Arial" w:hAnsi="Arial" w:cs="Arial"/>
                        </w:rPr>
                        <w:t xml:space="preserve">t </w:t>
                      </w:r>
                      <w:r w:rsidRPr="00586B87">
                        <w:rPr>
                          <w:rFonts w:ascii="Arial" w:hAnsi="Arial" w:cs="Arial"/>
                        </w:rPr>
                        <w:t>Ranking Method.</w:t>
                      </w:r>
                      <w:r w:rsidRPr="00010061">
                        <w:rPr>
                          <w:rFonts w:ascii="Arial" w:hAnsi="Arial" w:cs="Arial"/>
                        </w:rPr>
                        <w:t xml:space="preserve"> The study was conducted in the </w:t>
                      </w:r>
                      <w:proofErr w:type="spellStart"/>
                      <w:r w:rsidRPr="00010061">
                        <w:rPr>
                          <w:rFonts w:ascii="Arial" w:hAnsi="Arial" w:cs="Arial"/>
                        </w:rPr>
                        <w:t>Kamrup</w:t>
                      </w:r>
                      <w:proofErr w:type="spellEnd"/>
                      <w:r w:rsidRPr="00010061">
                        <w:rPr>
                          <w:rFonts w:ascii="Arial" w:hAnsi="Arial" w:cs="Arial"/>
                        </w:rPr>
                        <w:t xml:space="preserve"> (metro) district of Assam from August to October 2024 visiting 16 food outlets with a participation on 115 consumers across the state.</w:t>
                      </w:r>
                    </w:p>
                    <w:p w14:paraId="7E6594B6" w14:textId="77777777" w:rsidR="00D54263" w:rsidRPr="00586B87" w:rsidRDefault="00D54263" w:rsidP="00D54263">
                      <w:pPr>
                        <w:spacing w:line="278" w:lineRule="auto"/>
                        <w:jc w:val="both"/>
                        <w:rPr>
                          <w:rFonts w:ascii="Arial" w:hAnsi="Arial" w:cs="Arial"/>
                        </w:rPr>
                      </w:pPr>
                      <w:r w:rsidRPr="00586B87">
                        <w:rPr>
                          <w:rFonts w:ascii="Arial" w:hAnsi="Arial" w:cs="Arial"/>
                        </w:rPr>
                        <w:t>Among consumers, the top constraint was lack of trust in green claims, followed by limited availability, variety, and high cost. The least concern was difficulty understanding eco-labels. For managers and staff, the main issue was high cost, followed by limited availability, resistance to change, and lack of management support. Regulatory issues ranked lowest.</w:t>
                      </w:r>
                    </w:p>
                    <w:p w14:paraId="1A06F558" w14:textId="77777777" w:rsidR="00D54263" w:rsidRPr="00010061" w:rsidRDefault="00D54263" w:rsidP="00D54263">
                      <w:pPr>
                        <w:spacing w:line="278" w:lineRule="auto"/>
                        <w:jc w:val="both"/>
                        <w:rPr>
                          <w:rFonts w:ascii="Arial" w:hAnsi="Arial" w:cs="Arial"/>
                          <w:sz w:val="28"/>
                          <w:szCs w:val="28"/>
                        </w:rPr>
                      </w:pPr>
                    </w:p>
                    <w:p w14:paraId="17FEE1C0" w14:textId="77777777" w:rsidR="00D54263" w:rsidRPr="00586B87" w:rsidRDefault="00D54263" w:rsidP="00D54263">
                      <w:pPr>
                        <w:spacing w:line="278" w:lineRule="auto"/>
                        <w:jc w:val="both"/>
                        <w:rPr>
                          <w:rFonts w:ascii="Arial" w:hAnsi="Arial" w:cs="Arial"/>
                          <w:i/>
                          <w:iCs/>
                          <w:sz w:val="20"/>
                          <w:szCs w:val="20"/>
                        </w:rPr>
                      </w:pPr>
                      <w:r w:rsidRPr="00586B87">
                        <w:rPr>
                          <w:rFonts w:ascii="Arial" w:hAnsi="Arial" w:cs="Arial"/>
                          <w:i/>
                          <w:iCs/>
                          <w:sz w:val="20"/>
                          <w:szCs w:val="20"/>
                        </w:rPr>
                        <w:t>Keywords: Green products, Constraints, Garret</w:t>
                      </w:r>
                      <w:r w:rsidRPr="00010061">
                        <w:rPr>
                          <w:rFonts w:ascii="Arial" w:hAnsi="Arial" w:cs="Arial"/>
                          <w:i/>
                          <w:iCs/>
                          <w:sz w:val="20"/>
                          <w:szCs w:val="20"/>
                        </w:rPr>
                        <w:t>t</w:t>
                      </w:r>
                      <w:r w:rsidRPr="00586B87">
                        <w:rPr>
                          <w:rFonts w:ascii="Arial" w:hAnsi="Arial" w:cs="Arial"/>
                          <w:i/>
                          <w:iCs/>
                          <w:sz w:val="20"/>
                          <w:szCs w:val="20"/>
                        </w:rPr>
                        <w:t xml:space="preserve"> Ranking, Eco-labels, Packaging</w:t>
                      </w:r>
                    </w:p>
                    <w:p w14:paraId="4BC3FE29" w14:textId="26349DFA" w:rsidR="00D54263" w:rsidRDefault="00D54263" w:rsidP="00D54263"/>
                  </w:txbxContent>
                </v:textbox>
                <w10:wrap anchorx="margin"/>
              </v:shape>
            </w:pict>
          </mc:Fallback>
        </mc:AlternateContent>
      </w:r>
    </w:p>
    <w:p w14:paraId="286F09E0" w14:textId="77777777" w:rsidR="00D54263" w:rsidRDefault="00D54263">
      <w:pPr>
        <w:rPr>
          <w:rFonts w:ascii="Arial" w:hAnsi="Arial" w:cs="Arial"/>
          <w:b/>
          <w:bCs/>
        </w:rPr>
      </w:pPr>
    </w:p>
    <w:p w14:paraId="49547CF4" w14:textId="77777777" w:rsidR="00D54263" w:rsidRDefault="00D54263">
      <w:pPr>
        <w:rPr>
          <w:rFonts w:ascii="Arial" w:hAnsi="Arial" w:cs="Arial"/>
          <w:b/>
          <w:bCs/>
        </w:rPr>
      </w:pPr>
    </w:p>
    <w:p w14:paraId="48262490" w14:textId="77777777" w:rsidR="00D54263" w:rsidRDefault="00D54263">
      <w:pPr>
        <w:rPr>
          <w:rFonts w:ascii="Arial" w:hAnsi="Arial" w:cs="Arial"/>
          <w:b/>
          <w:bCs/>
        </w:rPr>
      </w:pPr>
    </w:p>
    <w:p w14:paraId="3E439A45" w14:textId="77777777" w:rsidR="00D54263" w:rsidRDefault="00D54263">
      <w:pPr>
        <w:rPr>
          <w:rFonts w:ascii="Arial" w:hAnsi="Arial" w:cs="Arial"/>
          <w:b/>
          <w:bCs/>
        </w:rPr>
      </w:pPr>
    </w:p>
    <w:p w14:paraId="15BB6D5F" w14:textId="77777777" w:rsidR="00D54263" w:rsidRDefault="00D54263">
      <w:pPr>
        <w:rPr>
          <w:rFonts w:ascii="Arial" w:hAnsi="Arial" w:cs="Arial"/>
          <w:b/>
          <w:bCs/>
        </w:rPr>
      </w:pPr>
    </w:p>
    <w:p w14:paraId="352B6E30" w14:textId="77777777" w:rsidR="00D54263" w:rsidRDefault="00D54263">
      <w:pPr>
        <w:rPr>
          <w:rFonts w:ascii="Arial" w:hAnsi="Arial" w:cs="Arial"/>
          <w:b/>
          <w:bCs/>
        </w:rPr>
      </w:pPr>
    </w:p>
    <w:p w14:paraId="4B25DFEA" w14:textId="77777777" w:rsidR="00D54263" w:rsidRDefault="00D54263">
      <w:pPr>
        <w:rPr>
          <w:rFonts w:ascii="Arial" w:hAnsi="Arial" w:cs="Arial"/>
          <w:b/>
          <w:bCs/>
        </w:rPr>
      </w:pPr>
    </w:p>
    <w:p w14:paraId="709C24E6" w14:textId="77777777" w:rsidR="00D54263" w:rsidRDefault="00D54263">
      <w:pPr>
        <w:rPr>
          <w:rFonts w:ascii="Arial" w:hAnsi="Arial" w:cs="Arial"/>
          <w:b/>
          <w:bCs/>
        </w:rPr>
      </w:pPr>
    </w:p>
    <w:p w14:paraId="0F87198B" w14:textId="77777777" w:rsidR="00D54263" w:rsidRDefault="00D54263">
      <w:pPr>
        <w:rPr>
          <w:rFonts w:ascii="Arial" w:hAnsi="Arial" w:cs="Arial"/>
          <w:b/>
          <w:bCs/>
        </w:rPr>
      </w:pPr>
    </w:p>
    <w:p w14:paraId="07985B1F" w14:textId="77777777" w:rsidR="00D54263" w:rsidRDefault="00D54263">
      <w:pPr>
        <w:rPr>
          <w:rFonts w:ascii="Arial" w:hAnsi="Arial" w:cs="Arial"/>
          <w:b/>
          <w:bCs/>
        </w:rPr>
      </w:pPr>
    </w:p>
    <w:p w14:paraId="5B76E245" w14:textId="77777777" w:rsidR="00D54263" w:rsidRDefault="00D54263">
      <w:pPr>
        <w:rPr>
          <w:rFonts w:ascii="Arial" w:hAnsi="Arial" w:cs="Arial"/>
          <w:b/>
          <w:bCs/>
        </w:rPr>
      </w:pPr>
    </w:p>
    <w:p w14:paraId="17BC6EA5" w14:textId="77777777" w:rsidR="00D54263" w:rsidRDefault="00D54263">
      <w:pPr>
        <w:rPr>
          <w:rFonts w:ascii="Arial" w:hAnsi="Arial" w:cs="Arial"/>
          <w:b/>
          <w:bCs/>
        </w:rPr>
      </w:pPr>
    </w:p>
    <w:p w14:paraId="59874078" w14:textId="77777777" w:rsidR="00D54263" w:rsidRDefault="00D54263">
      <w:pPr>
        <w:rPr>
          <w:rFonts w:ascii="Arial" w:hAnsi="Arial" w:cs="Arial"/>
          <w:b/>
          <w:bCs/>
        </w:rPr>
      </w:pPr>
    </w:p>
    <w:p w14:paraId="73061F74" w14:textId="0EBC5A4F" w:rsidR="00D54263" w:rsidRDefault="00D54263">
      <w:pPr>
        <w:rPr>
          <w:rFonts w:ascii="Arial" w:hAnsi="Arial" w:cs="Arial"/>
          <w:b/>
          <w:bCs/>
        </w:rPr>
      </w:pPr>
    </w:p>
    <w:p w14:paraId="6AE12F49" w14:textId="5BDFF243" w:rsidR="008210E6" w:rsidRDefault="008210E6">
      <w:pPr>
        <w:rPr>
          <w:rFonts w:ascii="Arial" w:hAnsi="Arial" w:cs="Arial"/>
          <w:b/>
          <w:bCs/>
        </w:rPr>
      </w:pPr>
    </w:p>
    <w:p w14:paraId="395DE02A" w14:textId="616D6D58" w:rsidR="008210E6" w:rsidRDefault="008210E6">
      <w:pPr>
        <w:rPr>
          <w:rFonts w:ascii="Arial" w:hAnsi="Arial" w:cs="Arial"/>
          <w:b/>
          <w:bCs/>
        </w:rPr>
      </w:pPr>
    </w:p>
    <w:p w14:paraId="3E08AAC0" w14:textId="77777777" w:rsidR="008210E6" w:rsidRDefault="008210E6">
      <w:pPr>
        <w:rPr>
          <w:rFonts w:ascii="Arial" w:hAnsi="Arial" w:cs="Arial"/>
          <w:b/>
          <w:bCs/>
        </w:rPr>
      </w:pPr>
    </w:p>
    <w:p w14:paraId="6A9812C9" w14:textId="77777777" w:rsidR="00D54263" w:rsidRDefault="00D54263">
      <w:pPr>
        <w:rPr>
          <w:rFonts w:ascii="Arial" w:hAnsi="Arial" w:cs="Arial"/>
          <w:b/>
          <w:bCs/>
        </w:rPr>
      </w:pPr>
    </w:p>
    <w:p w14:paraId="2EFB7C94" w14:textId="77777777" w:rsidR="00D54263" w:rsidRDefault="00D54263">
      <w:pPr>
        <w:rPr>
          <w:rFonts w:ascii="Arial" w:hAnsi="Arial" w:cs="Arial"/>
          <w:b/>
          <w:bCs/>
        </w:rPr>
      </w:pPr>
    </w:p>
    <w:p w14:paraId="2F5BF7DC" w14:textId="78C815DB" w:rsidR="00010061" w:rsidRPr="00856E8A" w:rsidRDefault="00010061">
      <w:pPr>
        <w:rPr>
          <w:rFonts w:ascii="Arial" w:hAnsi="Arial" w:cs="Arial"/>
          <w:b/>
          <w:bCs/>
        </w:rPr>
      </w:pPr>
      <w:r w:rsidRPr="00856E8A">
        <w:rPr>
          <w:rFonts w:ascii="Arial" w:hAnsi="Arial" w:cs="Arial"/>
          <w:b/>
          <w:bCs/>
        </w:rPr>
        <w:t>INTRODUCTION</w:t>
      </w:r>
    </w:p>
    <w:p w14:paraId="0EDB6930" w14:textId="77777777" w:rsidR="00010061" w:rsidRPr="00010061" w:rsidRDefault="00010061" w:rsidP="00010061">
      <w:pPr>
        <w:rPr>
          <w:rFonts w:ascii="Arial" w:hAnsi="Arial" w:cs="Arial"/>
          <w:sz w:val="20"/>
          <w:szCs w:val="20"/>
        </w:rPr>
      </w:pPr>
      <w:r w:rsidRPr="00010061">
        <w:rPr>
          <w:rFonts w:ascii="Arial" w:hAnsi="Arial" w:cs="Arial"/>
          <w:sz w:val="20"/>
          <w:szCs w:val="20"/>
        </w:rPr>
        <w:t>India's population is approximately 1.45 billion, accounting for around 17.78% of the world's population. With a population density of 382 people per square kilometer (Census, 2011), the rapidly increasing population is driving higher demand for fast food, aligned with fast-paced lifestyles. Consequently, the packaging materials used—mostly non-biodegradable—are significantly degrading and polluting the environment.</w:t>
      </w:r>
    </w:p>
    <w:p w14:paraId="125F189A" w14:textId="77777777" w:rsidR="00010061" w:rsidRPr="00010061" w:rsidRDefault="00010061" w:rsidP="00010061">
      <w:pPr>
        <w:rPr>
          <w:rFonts w:ascii="Arial" w:hAnsi="Arial" w:cs="Arial"/>
          <w:sz w:val="20"/>
          <w:szCs w:val="20"/>
        </w:rPr>
      </w:pPr>
      <w:r w:rsidRPr="00010061">
        <w:rPr>
          <w:rFonts w:ascii="Arial" w:hAnsi="Arial" w:cs="Arial"/>
          <w:sz w:val="20"/>
          <w:szCs w:val="20"/>
        </w:rPr>
        <w:t>According to the Ministry of Environment, Forest and Climate Change, India generates 62 million tons of waste annually (both recyclable and non-recyclable). Of this, 43 million tons are collected, only 12 million tons are treated, and 31 million tons remain in landfills. By 2030, waste generation is expected to rise to 165 million tons. Major waste categories include solid waste, e-waste, and plastic waste. Urban areas alone produce approximately 145,000 tons of municipal solid waste daily (Swachh Bharat Mission – Urban).</w:t>
      </w:r>
    </w:p>
    <w:p w14:paraId="653F8E54" w14:textId="77777777" w:rsidR="00010061" w:rsidRPr="00010061" w:rsidRDefault="00010061" w:rsidP="00010061">
      <w:pPr>
        <w:rPr>
          <w:rFonts w:ascii="Arial" w:hAnsi="Arial" w:cs="Arial"/>
          <w:sz w:val="20"/>
          <w:szCs w:val="20"/>
        </w:rPr>
      </w:pPr>
      <w:r w:rsidRPr="00010061">
        <w:rPr>
          <w:rFonts w:ascii="Arial" w:hAnsi="Arial" w:cs="Arial"/>
          <w:sz w:val="20"/>
          <w:szCs w:val="20"/>
        </w:rPr>
        <w:t xml:space="preserve">Environmental pollution, especially air and water, poses severe threats. About 96% of the population is exposed to PM2.5 levels seven times higher than WHO guidelines (The Indian Express, 2024). Furthermore, according to NITI Aayog’s 2018 </w:t>
      </w:r>
      <w:r w:rsidRPr="00010061">
        <w:rPr>
          <w:rFonts w:ascii="Arial" w:hAnsi="Arial" w:cs="Arial"/>
          <w:i/>
          <w:iCs/>
          <w:sz w:val="20"/>
          <w:szCs w:val="20"/>
        </w:rPr>
        <w:t>Composite Water Management Index</w:t>
      </w:r>
      <w:r w:rsidRPr="00010061">
        <w:rPr>
          <w:rFonts w:ascii="Arial" w:hAnsi="Arial" w:cs="Arial"/>
          <w:sz w:val="20"/>
          <w:szCs w:val="20"/>
        </w:rPr>
        <w:t>, India ranks 120th out of 122 countries for water quality, with nearly 70% of its water sources contaminated (The Times of India, 2023).</w:t>
      </w:r>
    </w:p>
    <w:p w14:paraId="52442A2B" w14:textId="77777777" w:rsidR="00010061" w:rsidRPr="00010061" w:rsidRDefault="00010061" w:rsidP="00010061">
      <w:pPr>
        <w:rPr>
          <w:rFonts w:ascii="Arial" w:hAnsi="Arial" w:cs="Arial"/>
          <w:sz w:val="20"/>
          <w:szCs w:val="20"/>
        </w:rPr>
      </w:pPr>
      <w:r w:rsidRPr="00010061">
        <w:rPr>
          <w:rFonts w:ascii="Arial" w:hAnsi="Arial" w:cs="Arial"/>
          <w:sz w:val="20"/>
          <w:szCs w:val="20"/>
        </w:rPr>
        <w:t>Although the concept of green marketing was introduced long ago, its adoption remains limited. This study aims to analyze the constraints faced by consumers in adopting green products in the packaging sector, which is a major contributor to waste and is expected to continue growing in the near future.</w:t>
      </w:r>
    </w:p>
    <w:p w14:paraId="15F1775E" w14:textId="77777777" w:rsidR="00010061" w:rsidRPr="00856E8A" w:rsidRDefault="00010061" w:rsidP="00856E8A">
      <w:pPr>
        <w:spacing w:line="360" w:lineRule="auto"/>
        <w:jc w:val="both"/>
        <w:rPr>
          <w:rFonts w:ascii="Arial" w:hAnsi="Arial" w:cs="Arial"/>
          <w:b/>
          <w:bCs/>
          <w:sz w:val="20"/>
          <w:szCs w:val="20"/>
        </w:rPr>
      </w:pPr>
      <w:r w:rsidRPr="00856E8A">
        <w:rPr>
          <w:rFonts w:ascii="Arial" w:hAnsi="Arial" w:cs="Arial"/>
          <w:b/>
          <w:bCs/>
          <w:sz w:val="20"/>
          <w:szCs w:val="20"/>
        </w:rPr>
        <w:t xml:space="preserve">Green marketing </w:t>
      </w:r>
    </w:p>
    <w:p w14:paraId="6B7D1C4D" w14:textId="77777777" w:rsidR="00010061" w:rsidRPr="00856E8A" w:rsidRDefault="00010061" w:rsidP="00856E8A">
      <w:pPr>
        <w:pStyle w:val="ListParagraph"/>
        <w:spacing w:line="360" w:lineRule="auto"/>
        <w:ind w:left="360"/>
        <w:jc w:val="both"/>
        <w:rPr>
          <w:rFonts w:ascii="Arial" w:hAnsi="Arial" w:cs="Arial"/>
          <w:sz w:val="20"/>
          <w:szCs w:val="20"/>
        </w:rPr>
      </w:pPr>
      <w:r w:rsidRPr="00856E8A">
        <w:rPr>
          <w:rFonts w:ascii="Arial" w:hAnsi="Arial" w:cs="Arial"/>
          <w:sz w:val="20"/>
          <w:szCs w:val="20"/>
        </w:rPr>
        <w:t>The concept of green marketing is not new; it originated in the 1970s and 1980s. The American Marketing Association (AMA) held the first workshop on "Ecological Marketing" in 1975. Terms like ecological marketing, environmental marketing, and green marketing are used interchangeably.</w:t>
      </w:r>
    </w:p>
    <w:p w14:paraId="35C11034" w14:textId="77777777" w:rsidR="00856E8A" w:rsidRDefault="00856E8A" w:rsidP="00856E8A">
      <w:pPr>
        <w:pStyle w:val="ListParagraph"/>
        <w:spacing w:line="360" w:lineRule="auto"/>
        <w:ind w:left="360"/>
        <w:jc w:val="both"/>
        <w:rPr>
          <w:rFonts w:ascii="Arial" w:hAnsi="Arial" w:cs="Arial"/>
          <w:sz w:val="20"/>
          <w:szCs w:val="20"/>
        </w:rPr>
      </w:pPr>
    </w:p>
    <w:p w14:paraId="39B396EE" w14:textId="2DC9E774" w:rsidR="00010061" w:rsidRDefault="00010061" w:rsidP="00856E8A">
      <w:pPr>
        <w:pStyle w:val="ListParagraph"/>
        <w:spacing w:line="360" w:lineRule="auto"/>
        <w:ind w:left="360"/>
        <w:jc w:val="both"/>
        <w:rPr>
          <w:rFonts w:ascii="Arial" w:hAnsi="Arial" w:cs="Arial"/>
          <w:sz w:val="20"/>
          <w:szCs w:val="20"/>
        </w:rPr>
      </w:pPr>
      <w:r w:rsidRPr="00856E8A">
        <w:rPr>
          <w:rFonts w:ascii="Arial" w:hAnsi="Arial" w:cs="Arial"/>
          <w:sz w:val="20"/>
          <w:szCs w:val="20"/>
        </w:rPr>
        <w:t xml:space="preserve">Green marketing differs from traditional marketing in that the latter primarily focuses on earning profits by satisfying consumer needs, often at the expense of the environment. In contrast, green marketing aims to deliver goods and services to target consumers without harming the environment. </w:t>
      </w:r>
    </w:p>
    <w:p w14:paraId="5E2FF7EA" w14:textId="77777777" w:rsidR="00856E8A" w:rsidRPr="00856E8A" w:rsidRDefault="00856E8A" w:rsidP="00856E8A">
      <w:pPr>
        <w:pStyle w:val="ListParagraph"/>
        <w:spacing w:line="360" w:lineRule="auto"/>
        <w:ind w:left="360"/>
        <w:jc w:val="both"/>
        <w:rPr>
          <w:rFonts w:ascii="Arial" w:hAnsi="Arial" w:cs="Arial"/>
          <w:sz w:val="20"/>
          <w:szCs w:val="20"/>
        </w:rPr>
      </w:pPr>
    </w:p>
    <w:p w14:paraId="39B20419" w14:textId="77777777" w:rsidR="00010061" w:rsidRPr="00856E8A" w:rsidRDefault="00010061" w:rsidP="00856E8A">
      <w:pPr>
        <w:pStyle w:val="ListParagraph"/>
        <w:spacing w:line="360" w:lineRule="auto"/>
        <w:ind w:left="360"/>
        <w:jc w:val="both"/>
        <w:rPr>
          <w:rFonts w:ascii="Arial" w:hAnsi="Arial" w:cs="Arial"/>
          <w:sz w:val="20"/>
          <w:szCs w:val="20"/>
        </w:rPr>
      </w:pPr>
      <w:r w:rsidRPr="00856E8A">
        <w:rPr>
          <w:rFonts w:ascii="Arial" w:hAnsi="Arial" w:cs="Arial"/>
          <w:i/>
          <w:iCs/>
          <w:sz w:val="20"/>
          <w:szCs w:val="20"/>
        </w:rPr>
        <w:t>American Marketing Association</w:t>
      </w:r>
      <w:r w:rsidRPr="00856E8A">
        <w:rPr>
          <w:rFonts w:ascii="Arial" w:hAnsi="Arial" w:cs="Arial"/>
          <w:sz w:val="20"/>
          <w:szCs w:val="20"/>
        </w:rPr>
        <w:t xml:space="preserve">, “Green marketing is the marketing of products and services that are </w:t>
      </w:r>
      <w:proofErr w:type="gramStart"/>
      <w:r w:rsidRPr="00856E8A">
        <w:rPr>
          <w:rFonts w:ascii="Arial" w:hAnsi="Arial" w:cs="Arial"/>
          <w:sz w:val="20"/>
          <w:szCs w:val="20"/>
        </w:rPr>
        <w:t>environmental</w:t>
      </w:r>
      <w:proofErr w:type="gramEnd"/>
      <w:r w:rsidRPr="00856E8A">
        <w:rPr>
          <w:rFonts w:ascii="Arial" w:hAnsi="Arial" w:cs="Arial"/>
          <w:sz w:val="20"/>
          <w:szCs w:val="20"/>
        </w:rPr>
        <w:t xml:space="preserve"> safe”.</w:t>
      </w:r>
    </w:p>
    <w:p w14:paraId="7D54128A" w14:textId="4B8A4012" w:rsidR="00010061" w:rsidRPr="00856E8A" w:rsidRDefault="00010061" w:rsidP="00856E8A">
      <w:pPr>
        <w:pStyle w:val="ListParagraph"/>
        <w:spacing w:line="360" w:lineRule="auto"/>
        <w:ind w:left="360"/>
        <w:jc w:val="both"/>
        <w:rPr>
          <w:rFonts w:ascii="Arial" w:hAnsi="Arial" w:cs="Arial"/>
          <w:i/>
          <w:iCs/>
          <w:sz w:val="20"/>
          <w:szCs w:val="20"/>
        </w:rPr>
      </w:pPr>
      <w:r w:rsidRPr="00856E8A">
        <w:rPr>
          <w:rFonts w:ascii="Arial" w:hAnsi="Arial" w:cs="Arial"/>
          <w:sz w:val="20"/>
          <w:szCs w:val="20"/>
        </w:rPr>
        <w:t xml:space="preserve">Green or Environmental Marketing consists of all activities designed to generate and facilitate any exchanges intended to satisfy human needs or wants, such that the satisfaction of these needs and wants occurs, with minimal detrimental impact on the natural environment </w:t>
      </w:r>
      <w:r w:rsidRPr="00856E8A">
        <w:rPr>
          <w:rFonts w:ascii="Arial" w:hAnsi="Arial" w:cs="Arial"/>
          <w:i/>
          <w:iCs/>
          <w:sz w:val="20"/>
          <w:szCs w:val="20"/>
        </w:rPr>
        <w:t>(Polonsky, 1994).</w:t>
      </w:r>
    </w:p>
    <w:p w14:paraId="1D5821B6" w14:textId="07A9F029" w:rsidR="00010061" w:rsidRDefault="00010061" w:rsidP="00856E8A">
      <w:pPr>
        <w:pStyle w:val="ListParagraph"/>
        <w:spacing w:line="360" w:lineRule="auto"/>
        <w:ind w:left="360"/>
        <w:jc w:val="both"/>
        <w:rPr>
          <w:rFonts w:ascii="Arial" w:hAnsi="Arial" w:cs="Arial"/>
          <w:sz w:val="20"/>
          <w:szCs w:val="20"/>
        </w:rPr>
      </w:pPr>
      <w:r w:rsidRPr="00856E8A">
        <w:rPr>
          <w:rFonts w:ascii="Arial" w:hAnsi="Arial" w:cs="Arial"/>
          <w:sz w:val="20"/>
          <w:szCs w:val="20"/>
        </w:rPr>
        <w:t xml:space="preserve"> Just as traditional marketing mix encompasses the 4Ps—Product, Price, Place, and Promotion—green marketing also incorporates its own 4Ps: Green Product, Green Price, Green Place, and Green Promotion. This study will specifically focus on Green Products among these four elements of green marketing.</w:t>
      </w:r>
    </w:p>
    <w:p w14:paraId="07B9FA08" w14:textId="77777777" w:rsidR="00752A93" w:rsidRDefault="00752A93" w:rsidP="00856E8A">
      <w:pPr>
        <w:pStyle w:val="ListParagraph"/>
        <w:spacing w:line="360" w:lineRule="auto"/>
        <w:ind w:left="360"/>
        <w:jc w:val="both"/>
        <w:rPr>
          <w:rFonts w:ascii="Arial" w:hAnsi="Arial" w:cs="Arial"/>
          <w:sz w:val="20"/>
          <w:szCs w:val="20"/>
        </w:rPr>
      </w:pPr>
    </w:p>
    <w:p w14:paraId="663EFE1D" w14:textId="77777777" w:rsidR="00752A93" w:rsidRPr="00856E8A" w:rsidRDefault="00752A93" w:rsidP="00856E8A">
      <w:pPr>
        <w:pStyle w:val="ListParagraph"/>
        <w:spacing w:line="360" w:lineRule="auto"/>
        <w:ind w:left="360"/>
        <w:jc w:val="both"/>
        <w:rPr>
          <w:rFonts w:ascii="Arial" w:hAnsi="Arial" w:cs="Arial"/>
          <w:sz w:val="20"/>
          <w:szCs w:val="20"/>
        </w:rPr>
      </w:pPr>
    </w:p>
    <w:p w14:paraId="5911F40B" w14:textId="5438364C" w:rsidR="00010061" w:rsidRPr="00856E8A" w:rsidRDefault="00010061" w:rsidP="00010061">
      <w:pPr>
        <w:spacing w:line="360" w:lineRule="auto"/>
        <w:jc w:val="both"/>
        <w:rPr>
          <w:rFonts w:ascii="Arial" w:hAnsi="Arial" w:cs="Arial"/>
          <w:sz w:val="20"/>
          <w:szCs w:val="20"/>
        </w:rPr>
      </w:pPr>
      <w:r w:rsidRPr="00856E8A">
        <w:rPr>
          <w:rFonts w:ascii="Arial" w:hAnsi="Arial" w:cs="Arial"/>
          <w:b/>
          <w:bCs/>
          <w:sz w:val="20"/>
          <w:szCs w:val="20"/>
        </w:rPr>
        <w:t xml:space="preserve">Green Products </w:t>
      </w:r>
    </w:p>
    <w:p w14:paraId="20CC3B4A" w14:textId="77777777" w:rsidR="00010061" w:rsidRPr="00856E8A" w:rsidRDefault="00010061" w:rsidP="00010061">
      <w:pPr>
        <w:spacing w:line="360" w:lineRule="auto"/>
        <w:jc w:val="both"/>
        <w:rPr>
          <w:rFonts w:ascii="Arial" w:hAnsi="Arial" w:cs="Arial"/>
          <w:sz w:val="20"/>
          <w:szCs w:val="20"/>
        </w:rPr>
      </w:pPr>
      <w:r w:rsidRPr="00856E8A">
        <w:rPr>
          <w:rFonts w:ascii="Arial" w:hAnsi="Arial" w:cs="Arial"/>
          <w:sz w:val="20"/>
          <w:szCs w:val="20"/>
        </w:rPr>
        <w:t>Green products are those that do not negatively impact the environment throughout their entire lifecycle. The raw materials used in their manufacturing and the manufacturing processes themselves are environmentally friendly. These products can be recycled and reused, are biodegradable, and feature eco-friendly packaging. Additionally, green products are made from minimal or non-toxic ingredients and leave little to no carbon or plastic footprint.</w:t>
      </w:r>
    </w:p>
    <w:p w14:paraId="6ECD7765" w14:textId="0B87EA4A" w:rsidR="00010061" w:rsidRDefault="00010061" w:rsidP="00856E8A">
      <w:pPr>
        <w:spacing w:line="360" w:lineRule="auto"/>
        <w:jc w:val="both"/>
        <w:rPr>
          <w:rFonts w:ascii="Arial" w:hAnsi="Arial" w:cs="Arial"/>
          <w:sz w:val="20"/>
          <w:szCs w:val="20"/>
        </w:rPr>
      </w:pPr>
      <w:r w:rsidRPr="00856E8A">
        <w:rPr>
          <w:rFonts w:ascii="Arial" w:hAnsi="Arial" w:cs="Arial"/>
          <w:sz w:val="20"/>
          <w:szCs w:val="20"/>
        </w:rPr>
        <w:t xml:space="preserve"> “Green product as one that incorporates the strategies for recycling or with recycled content, reduced packaging or using </w:t>
      </w:r>
      <w:proofErr w:type="gramStart"/>
      <w:r w:rsidRPr="00856E8A">
        <w:rPr>
          <w:rFonts w:ascii="Arial" w:hAnsi="Arial" w:cs="Arial"/>
          <w:sz w:val="20"/>
          <w:szCs w:val="20"/>
        </w:rPr>
        <w:t>less</w:t>
      </w:r>
      <w:proofErr w:type="gramEnd"/>
      <w:r w:rsidRPr="00856E8A">
        <w:rPr>
          <w:rFonts w:ascii="Arial" w:hAnsi="Arial" w:cs="Arial"/>
          <w:sz w:val="20"/>
          <w:szCs w:val="20"/>
        </w:rPr>
        <w:t xml:space="preserve"> toxic materials to reduce the impact on the natural environment” (Chen and Chai, 2010).</w:t>
      </w:r>
    </w:p>
    <w:p w14:paraId="56BE6A3F" w14:textId="77777777" w:rsidR="00856E8A" w:rsidRDefault="00856E8A" w:rsidP="00856E8A">
      <w:pPr>
        <w:spacing w:line="480" w:lineRule="auto"/>
        <w:rPr>
          <w:rFonts w:ascii="Arial" w:hAnsi="Arial" w:cs="Arial"/>
          <w:b/>
          <w:bCs/>
        </w:rPr>
      </w:pPr>
      <w:r w:rsidRPr="00856E8A">
        <w:rPr>
          <w:rFonts w:ascii="Arial" w:hAnsi="Arial" w:cs="Arial"/>
          <w:b/>
          <w:bCs/>
        </w:rPr>
        <w:t>METHODOLOGY</w:t>
      </w:r>
    </w:p>
    <w:p w14:paraId="0AD5BE15" w14:textId="7966DD70" w:rsidR="00856E8A" w:rsidRPr="00856E8A" w:rsidRDefault="00856E8A" w:rsidP="00856E8A">
      <w:pPr>
        <w:spacing w:line="360" w:lineRule="auto"/>
        <w:jc w:val="both"/>
        <w:rPr>
          <w:rFonts w:ascii="Arial" w:hAnsi="Arial" w:cs="Arial"/>
          <w:b/>
          <w:bCs/>
        </w:rPr>
      </w:pPr>
      <w:r w:rsidRPr="00856E8A">
        <w:rPr>
          <w:rFonts w:ascii="Arial" w:hAnsi="Arial" w:cs="Arial"/>
          <w:b/>
          <w:bCs/>
        </w:rPr>
        <w:t>Area and Duration of the study</w:t>
      </w:r>
    </w:p>
    <w:p w14:paraId="44E9DC42" w14:textId="317015B7"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 xml:space="preserve">The study was conducted in the </w:t>
      </w:r>
      <w:proofErr w:type="spellStart"/>
      <w:r w:rsidRPr="00856E8A">
        <w:rPr>
          <w:rFonts w:ascii="Arial" w:hAnsi="Arial" w:cs="Arial"/>
          <w:sz w:val="20"/>
          <w:szCs w:val="20"/>
        </w:rPr>
        <w:t>Kamrup</w:t>
      </w:r>
      <w:proofErr w:type="spellEnd"/>
      <w:r w:rsidRPr="00856E8A">
        <w:rPr>
          <w:rFonts w:ascii="Arial" w:hAnsi="Arial" w:cs="Arial"/>
          <w:sz w:val="20"/>
          <w:szCs w:val="20"/>
        </w:rPr>
        <w:t xml:space="preserve"> Metropolitan district of Assam, covering the financial year 2024-25. Primary data was collected from </w:t>
      </w:r>
      <w:r>
        <w:rPr>
          <w:rFonts w:ascii="Arial" w:hAnsi="Arial" w:cs="Arial"/>
          <w:sz w:val="20"/>
          <w:szCs w:val="20"/>
        </w:rPr>
        <w:t>August</w:t>
      </w:r>
      <w:r w:rsidRPr="00856E8A">
        <w:rPr>
          <w:rFonts w:ascii="Arial" w:hAnsi="Arial" w:cs="Arial"/>
          <w:sz w:val="20"/>
          <w:szCs w:val="20"/>
        </w:rPr>
        <w:t xml:space="preserve"> to October 2024</w:t>
      </w:r>
    </w:p>
    <w:p w14:paraId="5AB3A565" w14:textId="659D330A" w:rsidR="00856E8A" w:rsidRPr="00856E8A" w:rsidRDefault="00856E8A" w:rsidP="00856E8A">
      <w:pPr>
        <w:spacing w:line="360" w:lineRule="auto"/>
        <w:jc w:val="both"/>
        <w:rPr>
          <w:rFonts w:ascii="Arial" w:hAnsi="Arial" w:cs="Arial"/>
        </w:rPr>
      </w:pPr>
      <w:r w:rsidRPr="00856E8A">
        <w:rPr>
          <w:rFonts w:ascii="Arial" w:hAnsi="Arial" w:cs="Arial"/>
          <w:b/>
          <w:bCs/>
        </w:rPr>
        <w:t>Sampling Design</w:t>
      </w:r>
    </w:p>
    <w:p w14:paraId="6DA81370" w14:textId="77777777" w:rsidR="00856E8A" w:rsidRDefault="00856E8A" w:rsidP="00856E8A">
      <w:pPr>
        <w:spacing w:line="360" w:lineRule="auto"/>
        <w:jc w:val="both"/>
        <w:rPr>
          <w:rFonts w:ascii="Arial" w:hAnsi="Arial" w:cs="Arial"/>
          <w:sz w:val="20"/>
          <w:szCs w:val="20"/>
        </w:rPr>
      </w:pPr>
      <w:r w:rsidRPr="00856E8A">
        <w:rPr>
          <w:rFonts w:ascii="Arial" w:hAnsi="Arial" w:cs="Arial"/>
          <w:sz w:val="20"/>
          <w:szCs w:val="20"/>
        </w:rPr>
        <w:t>The sampling technique used is the Simple Random sampling.</w:t>
      </w:r>
    </w:p>
    <w:p w14:paraId="0EF8C76D" w14:textId="1AA60204" w:rsidR="00856E8A" w:rsidRPr="00856E8A" w:rsidRDefault="00856E8A" w:rsidP="00856E8A">
      <w:pPr>
        <w:spacing w:line="360" w:lineRule="auto"/>
        <w:jc w:val="both"/>
        <w:rPr>
          <w:rFonts w:ascii="Arial" w:hAnsi="Arial" w:cs="Arial"/>
        </w:rPr>
      </w:pPr>
      <w:r w:rsidRPr="00856E8A">
        <w:rPr>
          <w:rFonts w:ascii="Arial" w:hAnsi="Arial" w:cs="Arial"/>
          <w:b/>
          <w:bCs/>
        </w:rPr>
        <w:t>Selection of Green products</w:t>
      </w:r>
    </w:p>
    <w:p w14:paraId="790758B7" w14:textId="63FEB489"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The green products included in the study are packaging materials, cutlery, napkins and plates used for serving food in the selected outlets.</w:t>
      </w:r>
    </w:p>
    <w:p w14:paraId="29E3668F" w14:textId="077C41FF" w:rsidR="00856E8A" w:rsidRPr="00856E8A" w:rsidRDefault="00856E8A" w:rsidP="00856E8A">
      <w:pPr>
        <w:spacing w:line="360" w:lineRule="auto"/>
        <w:jc w:val="both"/>
        <w:rPr>
          <w:rFonts w:ascii="Arial" w:hAnsi="Arial" w:cs="Arial"/>
          <w:b/>
          <w:bCs/>
        </w:rPr>
      </w:pPr>
      <w:r w:rsidRPr="00856E8A">
        <w:rPr>
          <w:rFonts w:ascii="Arial" w:hAnsi="Arial" w:cs="Arial"/>
          <w:b/>
          <w:bCs/>
        </w:rPr>
        <w:t>Sample selection</w:t>
      </w:r>
    </w:p>
    <w:p w14:paraId="74A9D41E" w14:textId="061DB776" w:rsidR="00856E8A" w:rsidRDefault="00856E8A" w:rsidP="00856E8A">
      <w:pPr>
        <w:spacing w:line="360" w:lineRule="auto"/>
        <w:jc w:val="both"/>
        <w:rPr>
          <w:rFonts w:ascii="Arial" w:hAnsi="Arial" w:cs="Arial"/>
          <w:sz w:val="20"/>
          <w:szCs w:val="20"/>
        </w:rPr>
      </w:pPr>
      <w:r w:rsidRPr="00856E8A">
        <w:rPr>
          <w:rFonts w:ascii="Arial" w:hAnsi="Arial" w:cs="Arial"/>
          <w:sz w:val="20"/>
          <w:szCs w:val="20"/>
        </w:rPr>
        <w:t>A total of 16 food outlets were randomly selected from Guwahati city, with 115 consumers participating in the study.</w:t>
      </w:r>
    </w:p>
    <w:p w14:paraId="50E2C8B6" w14:textId="77777777" w:rsidR="00AB6778" w:rsidRDefault="00AB6778" w:rsidP="00856E8A">
      <w:pPr>
        <w:spacing w:line="360" w:lineRule="auto"/>
        <w:jc w:val="both"/>
        <w:rPr>
          <w:rFonts w:ascii="Arial" w:hAnsi="Arial" w:cs="Arial"/>
          <w:sz w:val="20"/>
          <w:szCs w:val="20"/>
        </w:rPr>
      </w:pPr>
    </w:p>
    <w:p w14:paraId="153B31FF" w14:textId="77777777" w:rsidR="00AB6778" w:rsidRPr="00856E8A" w:rsidRDefault="00AB6778" w:rsidP="00856E8A">
      <w:pPr>
        <w:spacing w:line="360" w:lineRule="auto"/>
        <w:jc w:val="both"/>
        <w:rPr>
          <w:rFonts w:ascii="Arial" w:hAnsi="Arial" w:cs="Arial"/>
          <w:sz w:val="20"/>
          <w:szCs w:val="20"/>
        </w:rPr>
      </w:pPr>
    </w:p>
    <w:p w14:paraId="4CC7D132" w14:textId="77777777"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noProof/>
          <w:sz w:val="20"/>
          <w:szCs w:val="20"/>
        </w:rPr>
        <w:drawing>
          <wp:anchor distT="0" distB="0" distL="114300" distR="114300" simplePos="0" relativeHeight="251659264" behindDoc="1" locked="0" layoutInCell="1" allowOverlap="1" wp14:anchorId="0AE52B1D" wp14:editId="14B3AE8A">
            <wp:simplePos x="0" y="0"/>
            <wp:positionH relativeFrom="margin">
              <wp:align>left</wp:align>
            </wp:positionH>
            <wp:positionV relativeFrom="paragraph">
              <wp:posOffset>121441</wp:posOffset>
            </wp:positionV>
            <wp:extent cx="5815330" cy="3285490"/>
            <wp:effectExtent l="0" t="0" r="0" b="0"/>
            <wp:wrapNone/>
            <wp:docPr id="1160223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5330" cy="3285490"/>
                    </a:xfrm>
                    <a:prstGeom prst="rect">
                      <a:avLst/>
                    </a:prstGeom>
                    <a:noFill/>
                  </pic:spPr>
                </pic:pic>
              </a:graphicData>
            </a:graphic>
            <wp14:sizeRelH relativeFrom="margin">
              <wp14:pctWidth>0</wp14:pctWidth>
            </wp14:sizeRelH>
            <wp14:sizeRelV relativeFrom="margin">
              <wp14:pctHeight>0</wp14:pctHeight>
            </wp14:sizeRelV>
          </wp:anchor>
        </w:drawing>
      </w:r>
    </w:p>
    <w:p w14:paraId="28B153D7" w14:textId="77777777" w:rsidR="00856E8A" w:rsidRPr="00856E8A" w:rsidRDefault="00856E8A" w:rsidP="00856E8A">
      <w:pPr>
        <w:spacing w:line="360" w:lineRule="auto"/>
        <w:jc w:val="both"/>
        <w:rPr>
          <w:rFonts w:ascii="Arial" w:hAnsi="Arial" w:cs="Arial"/>
          <w:b/>
          <w:bCs/>
          <w:sz w:val="20"/>
          <w:szCs w:val="20"/>
        </w:rPr>
      </w:pPr>
    </w:p>
    <w:p w14:paraId="35EA2F6E" w14:textId="77777777" w:rsidR="00856E8A" w:rsidRPr="00856E8A" w:rsidRDefault="00856E8A" w:rsidP="00856E8A">
      <w:pPr>
        <w:spacing w:line="360" w:lineRule="auto"/>
        <w:jc w:val="both"/>
        <w:rPr>
          <w:rFonts w:ascii="Arial" w:hAnsi="Arial" w:cs="Arial"/>
          <w:b/>
          <w:bCs/>
          <w:sz w:val="20"/>
          <w:szCs w:val="20"/>
        </w:rPr>
      </w:pPr>
    </w:p>
    <w:p w14:paraId="742A5E02" w14:textId="77777777" w:rsidR="00856E8A" w:rsidRPr="00856E8A" w:rsidRDefault="00856E8A" w:rsidP="00856E8A">
      <w:pPr>
        <w:spacing w:line="360" w:lineRule="auto"/>
        <w:jc w:val="both"/>
        <w:rPr>
          <w:rFonts w:ascii="Arial" w:hAnsi="Arial" w:cs="Arial"/>
          <w:b/>
          <w:bCs/>
          <w:sz w:val="20"/>
          <w:szCs w:val="20"/>
        </w:rPr>
      </w:pPr>
    </w:p>
    <w:p w14:paraId="186564C5" w14:textId="77777777" w:rsidR="00856E8A" w:rsidRPr="00856E8A" w:rsidRDefault="00856E8A" w:rsidP="00856E8A">
      <w:pPr>
        <w:spacing w:line="360" w:lineRule="auto"/>
        <w:jc w:val="both"/>
        <w:rPr>
          <w:rFonts w:ascii="Arial" w:hAnsi="Arial" w:cs="Arial"/>
          <w:b/>
          <w:bCs/>
          <w:sz w:val="20"/>
          <w:szCs w:val="20"/>
        </w:rPr>
      </w:pPr>
    </w:p>
    <w:p w14:paraId="04D79EBB" w14:textId="77777777" w:rsidR="00856E8A" w:rsidRPr="00856E8A" w:rsidRDefault="00856E8A" w:rsidP="00856E8A">
      <w:pPr>
        <w:spacing w:line="360" w:lineRule="auto"/>
        <w:jc w:val="both"/>
        <w:rPr>
          <w:rFonts w:ascii="Arial" w:hAnsi="Arial" w:cs="Arial"/>
          <w:b/>
          <w:bCs/>
          <w:sz w:val="20"/>
          <w:szCs w:val="20"/>
        </w:rPr>
      </w:pPr>
    </w:p>
    <w:p w14:paraId="5EF11225" w14:textId="77777777" w:rsidR="00856E8A" w:rsidRPr="00856E8A" w:rsidRDefault="00856E8A" w:rsidP="00856E8A">
      <w:pPr>
        <w:spacing w:line="360" w:lineRule="auto"/>
        <w:jc w:val="both"/>
        <w:rPr>
          <w:rFonts w:ascii="Arial" w:hAnsi="Arial" w:cs="Arial"/>
          <w:b/>
          <w:bCs/>
          <w:sz w:val="20"/>
          <w:szCs w:val="20"/>
        </w:rPr>
      </w:pPr>
    </w:p>
    <w:p w14:paraId="615207B5" w14:textId="77777777" w:rsidR="00856E8A" w:rsidRPr="00856E8A" w:rsidRDefault="00856E8A" w:rsidP="00856E8A">
      <w:pPr>
        <w:spacing w:line="360" w:lineRule="auto"/>
        <w:jc w:val="both"/>
        <w:rPr>
          <w:rFonts w:ascii="Arial" w:hAnsi="Arial" w:cs="Arial"/>
          <w:b/>
          <w:bCs/>
          <w:sz w:val="20"/>
          <w:szCs w:val="20"/>
        </w:rPr>
      </w:pPr>
    </w:p>
    <w:p w14:paraId="22FE84AC" w14:textId="77777777" w:rsidR="00856E8A" w:rsidRPr="00856E8A" w:rsidRDefault="00856E8A" w:rsidP="00856E8A">
      <w:pPr>
        <w:spacing w:line="360" w:lineRule="auto"/>
        <w:jc w:val="both"/>
        <w:rPr>
          <w:rFonts w:ascii="Arial" w:hAnsi="Arial" w:cs="Arial"/>
          <w:b/>
          <w:bCs/>
          <w:sz w:val="20"/>
          <w:szCs w:val="20"/>
        </w:rPr>
      </w:pPr>
    </w:p>
    <w:p w14:paraId="19346CC4" w14:textId="77777777" w:rsidR="00856E8A" w:rsidRPr="00856E8A" w:rsidRDefault="00856E8A" w:rsidP="00856E8A">
      <w:pPr>
        <w:spacing w:line="360" w:lineRule="auto"/>
        <w:jc w:val="both"/>
        <w:rPr>
          <w:rFonts w:ascii="Arial" w:hAnsi="Arial" w:cs="Arial"/>
          <w:b/>
          <w:bCs/>
          <w:sz w:val="20"/>
          <w:szCs w:val="20"/>
        </w:rPr>
      </w:pPr>
    </w:p>
    <w:p w14:paraId="40D9CB37" w14:textId="77777777" w:rsidR="00856E8A" w:rsidRDefault="00856E8A" w:rsidP="00856E8A">
      <w:pPr>
        <w:spacing w:line="360" w:lineRule="auto"/>
        <w:jc w:val="both"/>
        <w:rPr>
          <w:rFonts w:ascii="Arial" w:hAnsi="Arial" w:cs="Arial"/>
          <w:b/>
          <w:bCs/>
          <w:sz w:val="20"/>
          <w:szCs w:val="20"/>
        </w:rPr>
      </w:pPr>
    </w:p>
    <w:p w14:paraId="0B3D4A1D" w14:textId="09FA9E97"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sz w:val="20"/>
          <w:szCs w:val="20"/>
        </w:rPr>
        <w:t>Fig.</w:t>
      </w:r>
      <w:r>
        <w:rPr>
          <w:rFonts w:ascii="Arial" w:hAnsi="Arial" w:cs="Arial"/>
          <w:b/>
          <w:bCs/>
          <w:sz w:val="20"/>
          <w:szCs w:val="20"/>
        </w:rPr>
        <w:t>1</w:t>
      </w:r>
      <w:r w:rsidRPr="00856E8A">
        <w:rPr>
          <w:rFonts w:ascii="Arial" w:hAnsi="Arial" w:cs="Arial"/>
          <w:b/>
          <w:bCs/>
          <w:sz w:val="20"/>
          <w:szCs w:val="20"/>
        </w:rPr>
        <w:t xml:space="preserve">: Consumer Awareness and their visit to different outlets in month of </w:t>
      </w:r>
      <w:r>
        <w:rPr>
          <w:rFonts w:ascii="Arial" w:hAnsi="Arial" w:cs="Arial"/>
          <w:b/>
          <w:bCs/>
          <w:sz w:val="20"/>
          <w:szCs w:val="20"/>
        </w:rPr>
        <w:t>August</w:t>
      </w:r>
      <w:r w:rsidRPr="00856E8A">
        <w:rPr>
          <w:rFonts w:ascii="Arial" w:hAnsi="Arial" w:cs="Arial"/>
          <w:b/>
          <w:bCs/>
          <w:sz w:val="20"/>
          <w:szCs w:val="20"/>
        </w:rPr>
        <w:t>-October, 2024</w:t>
      </w:r>
    </w:p>
    <w:p w14:paraId="050CF226" w14:textId="77777777" w:rsidR="00856E8A" w:rsidRDefault="00856E8A" w:rsidP="00856E8A">
      <w:pPr>
        <w:spacing w:line="360" w:lineRule="auto"/>
        <w:jc w:val="both"/>
        <w:rPr>
          <w:rFonts w:ascii="Arial" w:hAnsi="Arial" w:cs="Arial"/>
          <w:b/>
          <w:bCs/>
          <w:sz w:val="20"/>
          <w:szCs w:val="20"/>
        </w:rPr>
      </w:pPr>
    </w:p>
    <w:p w14:paraId="3E817B60" w14:textId="77777777" w:rsidR="00856E8A" w:rsidRDefault="00856E8A" w:rsidP="00856E8A">
      <w:pPr>
        <w:spacing w:line="360" w:lineRule="auto"/>
        <w:jc w:val="both"/>
        <w:rPr>
          <w:rFonts w:ascii="Arial" w:hAnsi="Arial" w:cs="Arial"/>
          <w:b/>
          <w:bCs/>
          <w:sz w:val="20"/>
          <w:szCs w:val="20"/>
        </w:rPr>
      </w:pPr>
    </w:p>
    <w:p w14:paraId="4950E2C5" w14:textId="5CB24803"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sz w:val="20"/>
          <w:szCs w:val="20"/>
        </w:rPr>
        <w:t>Classification of consumers</w:t>
      </w:r>
    </w:p>
    <w:p w14:paraId="3F188E29" w14:textId="70173478"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sz w:val="20"/>
          <w:szCs w:val="20"/>
        </w:rPr>
        <w:t xml:space="preserve">Table </w:t>
      </w:r>
      <w:r w:rsidR="008C28CF">
        <w:rPr>
          <w:rFonts w:ascii="Arial" w:hAnsi="Arial" w:cs="Arial"/>
          <w:b/>
          <w:bCs/>
          <w:sz w:val="20"/>
          <w:szCs w:val="20"/>
        </w:rPr>
        <w:t>1:</w:t>
      </w:r>
      <w:r w:rsidRPr="00856E8A">
        <w:rPr>
          <w:rFonts w:ascii="Arial" w:hAnsi="Arial" w:cs="Arial"/>
          <w:b/>
          <w:bCs/>
          <w:sz w:val="20"/>
          <w:szCs w:val="20"/>
        </w:rPr>
        <w:t xml:space="preserve"> Distribution of consumers across the Age groups</w:t>
      </w:r>
    </w:p>
    <w:tbl>
      <w:tblPr>
        <w:tblStyle w:val="TableGrid"/>
        <w:tblW w:w="0" w:type="auto"/>
        <w:tblLook w:val="04A0" w:firstRow="1" w:lastRow="0" w:firstColumn="1" w:lastColumn="0" w:noHBand="0" w:noVBand="1"/>
      </w:tblPr>
      <w:tblGrid>
        <w:gridCol w:w="3116"/>
        <w:gridCol w:w="3117"/>
        <w:gridCol w:w="3117"/>
      </w:tblGrid>
      <w:tr w:rsidR="00856E8A" w:rsidRPr="00856E8A" w14:paraId="49314DD1" w14:textId="77777777" w:rsidTr="004B0DA5">
        <w:tc>
          <w:tcPr>
            <w:tcW w:w="3116" w:type="dxa"/>
          </w:tcPr>
          <w:p w14:paraId="2C1298A2"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Age Groups</w:t>
            </w:r>
          </w:p>
        </w:tc>
        <w:tc>
          <w:tcPr>
            <w:tcW w:w="3117" w:type="dxa"/>
          </w:tcPr>
          <w:p w14:paraId="60763B3E"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No. of Consumers</w:t>
            </w:r>
          </w:p>
        </w:tc>
        <w:tc>
          <w:tcPr>
            <w:tcW w:w="3117" w:type="dxa"/>
          </w:tcPr>
          <w:p w14:paraId="32CBA2CC"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Percentage (%)</w:t>
            </w:r>
          </w:p>
        </w:tc>
      </w:tr>
      <w:tr w:rsidR="00856E8A" w:rsidRPr="00856E8A" w14:paraId="6C8B84D4" w14:textId="77777777" w:rsidTr="004B0DA5">
        <w:tc>
          <w:tcPr>
            <w:tcW w:w="3116" w:type="dxa"/>
          </w:tcPr>
          <w:p w14:paraId="03831F60"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AG-I</w:t>
            </w:r>
          </w:p>
        </w:tc>
        <w:tc>
          <w:tcPr>
            <w:tcW w:w="3117" w:type="dxa"/>
          </w:tcPr>
          <w:p w14:paraId="58574E2F"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2</w:t>
            </w:r>
          </w:p>
        </w:tc>
        <w:tc>
          <w:tcPr>
            <w:tcW w:w="3117" w:type="dxa"/>
          </w:tcPr>
          <w:p w14:paraId="285F56A3"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1.74</w:t>
            </w:r>
          </w:p>
        </w:tc>
      </w:tr>
      <w:tr w:rsidR="00856E8A" w:rsidRPr="00856E8A" w14:paraId="33E874EA" w14:textId="77777777" w:rsidTr="004B0DA5">
        <w:tc>
          <w:tcPr>
            <w:tcW w:w="3116" w:type="dxa"/>
          </w:tcPr>
          <w:p w14:paraId="3F739C25"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AG-II</w:t>
            </w:r>
          </w:p>
        </w:tc>
        <w:tc>
          <w:tcPr>
            <w:tcW w:w="3117" w:type="dxa"/>
          </w:tcPr>
          <w:p w14:paraId="513A1D45"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36</w:t>
            </w:r>
          </w:p>
        </w:tc>
        <w:tc>
          <w:tcPr>
            <w:tcW w:w="3117" w:type="dxa"/>
          </w:tcPr>
          <w:p w14:paraId="3D81B423"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31.30</w:t>
            </w:r>
          </w:p>
        </w:tc>
      </w:tr>
      <w:tr w:rsidR="00856E8A" w:rsidRPr="00856E8A" w14:paraId="0FEC30F0" w14:textId="77777777" w:rsidTr="004B0DA5">
        <w:tc>
          <w:tcPr>
            <w:tcW w:w="3116" w:type="dxa"/>
          </w:tcPr>
          <w:p w14:paraId="77D9F272"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AG-III</w:t>
            </w:r>
          </w:p>
        </w:tc>
        <w:tc>
          <w:tcPr>
            <w:tcW w:w="3117" w:type="dxa"/>
          </w:tcPr>
          <w:p w14:paraId="7F36FD84"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48</w:t>
            </w:r>
          </w:p>
        </w:tc>
        <w:tc>
          <w:tcPr>
            <w:tcW w:w="3117" w:type="dxa"/>
          </w:tcPr>
          <w:p w14:paraId="7BA8A5C3"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41.73</w:t>
            </w:r>
          </w:p>
        </w:tc>
      </w:tr>
      <w:tr w:rsidR="00856E8A" w:rsidRPr="00856E8A" w14:paraId="590C8492" w14:textId="77777777" w:rsidTr="004B0DA5">
        <w:tc>
          <w:tcPr>
            <w:tcW w:w="3116" w:type="dxa"/>
          </w:tcPr>
          <w:p w14:paraId="731E2DD8"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AG-IV</w:t>
            </w:r>
          </w:p>
        </w:tc>
        <w:tc>
          <w:tcPr>
            <w:tcW w:w="3117" w:type="dxa"/>
          </w:tcPr>
          <w:p w14:paraId="67D19C52"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9</w:t>
            </w:r>
          </w:p>
        </w:tc>
        <w:tc>
          <w:tcPr>
            <w:tcW w:w="3117" w:type="dxa"/>
          </w:tcPr>
          <w:p w14:paraId="6F66E282"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7.83</w:t>
            </w:r>
          </w:p>
        </w:tc>
      </w:tr>
      <w:tr w:rsidR="00856E8A" w:rsidRPr="00856E8A" w14:paraId="4BB4E5E2" w14:textId="77777777" w:rsidTr="004B0DA5">
        <w:tc>
          <w:tcPr>
            <w:tcW w:w="3116" w:type="dxa"/>
          </w:tcPr>
          <w:p w14:paraId="5046ABE1"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AG-V</w:t>
            </w:r>
          </w:p>
        </w:tc>
        <w:tc>
          <w:tcPr>
            <w:tcW w:w="3117" w:type="dxa"/>
          </w:tcPr>
          <w:p w14:paraId="423CC495"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10</w:t>
            </w:r>
          </w:p>
        </w:tc>
        <w:tc>
          <w:tcPr>
            <w:tcW w:w="3117" w:type="dxa"/>
          </w:tcPr>
          <w:p w14:paraId="304E6CE9"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8.69</w:t>
            </w:r>
          </w:p>
        </w:tc>
      </w:tr>
      <w:tr w:rsidR="00856E8A" w:rsidRPr="00856E8A" w14:paraId="7EC6AFAD" w14:textId="77777777" w:rsidTr="004B0DA5">
        <w:tc>
          <w:tcPr>
            <w:tcW w:w="3116" w:type="dxa"/>
          </w:tcPr>
          <w:p w14:paraId="75E3F4A0"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AG-VI</w:t>
            </w:r>
          </w:p>
        </w:tc>
        <w:tc>
          <w:tcPr>
            <w:tcW w:w="3117" w:type="dxa"/>
          </w:tcPr>
          <w:p w14:paraId="452CA30C"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10</w:t>
            </w:r>
          </w:p>
        </w:tc>
        <w:tc>
          <w:tcPr>
            <w:tcW w:w="3117" w:type="dxa"/>
          </w:tcPr>
          <w:p w14:paraId="5C77E630" w14:textId="77777777" w:rsidR="00856E8A" w:rsidRPr="00856E8A" w:rsidRDefault="00856E8A" w:rsidP="004B0DA5">
            <w:pPr>
              <w:spacing w:line="360" w:lineRule="auto"/>
              <w:jc w:val="center"/>
              <w:rPr>
                <w:rFonts w:ascii="Arial" w:hAnsi="Arial" w:cs="Arial"/>
                <w:sz w:val="20"/>
                <w:szCs w:val="20"/>
              </w:rPr>
            </w:pPr>
            <w:r w:rsidRPr="00856E8A">
              <w:rPr>
                <w:rFonts w:ascii="Arial" w:hAnsi="Arial" w:cs="Arial"/>
                <w:sz w:val="20"/>
                <w:szCs w:val="20"/>
              </w:rPr>
              <w:t>8.69</w:t>
            </w:r>
          </w:p>
        </w:tc>
      </w:tr>
      <w:tr w:rsidR="00856E8A" w:rsidRPr="00856E8A" w14:paraId="28A4F7E3" w14:textId="77777777" w:rsidTr="004B0DA5">
        <w:tc>
          <w:tcPr>
            <w:tcW w:w="3116" w:type="dxa"/>
          </w:tcPr>
          <w:p w14:paraId="274E83CC"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Total</w:t>
            </w:r>
          </w:p>
        </w:tc>
        <w:tc>
          <w:tcPr>
            <w:tcW w:w="3117" w:type="dxa"/>
          </w:tcPr>
          <w:p w14:paraId="0A22FE02"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115</w:t>
            </w:r>
          </w:p>
        </w:tc>
        <w:tc>
          <w:tcPr>
            <w:tcW w:w="3117" w:type="dxa"/>
          </w:tcPr>
          <w:p w14:paraId="7B773E7B" w14:textId="77777777" w:rsidR="00856E8A" w:rsidRPr="00856E8A" w:rsidRDefault="00856E8A" w:rsidP="004B0DA5">
            <w:pPr>
              <w:spacing w:line="360" w:lineRule="auto"/>
              <w:jc w:val="center"/>
              <w:rPr>
                <w:rFonts w:ascii="Arial" w:hAnsi="Arial" w:cs="Arial"/>
                <w:b/>
                <w:bCs/>
                <w:sz w:val="20"/>
                <w:szCs w:val="20"/>
              </w:rPr>
            </w:pPr>
            <w:r w:rsidRPr="00856E8A">
              <w:rPr>
                <w:rFonts w:ascii="Arial" w:hAnsi="Arial" w:cs="Arial"/>
                <w:b/>
                <w:bCs/>
                <w:sz w:val="20"/>
                <w:szCs w:val="20"/>
              </w:rPr>
              <w:t>100</w:t>
            </w:r>
          </w:p>
        </w:tc>
      </w:tr>
    </w:tbl>
    <w:p w14:paraId="5BC6750A" w14:textId="77777777" w:rsidR="00856E8A" w:rsidRPr="00856E8A" w:rsidRDefault="00856E8A" w:rsidP="00856E8A">
      <w:pPr>
        <w:spacing w:line="360" w:lineRule="auto"/>
        <w:rPr>
          <w:rFonts w:ascii="Arial" w:hAnsi="Arial" w:cs="Arial"/>
          <w:sz w:val="20"/>
          <w:szCs w:val="20"/>
        </w:rPr>
      </w:pPr>
      <w:r w:rsidRPr="00856E8A">
        <w:rPr>
          <w:rFonts w:ascii="Arial" w:hAnsi="Arial" w:cs="Arial"/>
          <w:sz w:val="20"/>
          <w:szCs w:val="20"/>
        </w:rPr>
        <w:t>Note: Figures in the () parenthesis indicate percentage to the Column total</w:t>
      </w:r>
    </w:p>
    <w:p w14:paraId="6784D599" w14:textId="2FC05424" w:rsidR="00856E8A" w:rsidRPr="008C28CF" w:rsidRDefault="00856E8A" w:rsidP="00856E8A">
      <w:pPr>
        <w:spacing w:line="360" w:lineRule="auto"/>
        <w:jc w:val="both"/>
        <w:rPr>
          <w:rFonts w:ascii="Arial" w:hAnsi="Arial" w:cs="Arial"/>
          <w:b/>
          <w:bCs/>
        </w:rPr>
      </w:pPr>
      <w:r w:rsidRPr="008C28CF">
        <w:rPr>
          <w:rFonts w:ascii="Arial" w:hAnsi="Arial" w:cs="Arial"/>
          <w:b/>
          <w:bCs/>
        </w:rPr>
        <w:t>Sources of the data</w:t>
      </w:r>
    </w:p>
    <w:p w14:paraId="0FD587FD" w14:textId="77777777" w:rsidR="00856E8A" w:rsidRPr="00856E8A" w:rsidRDefault="00856E8A" w:rsidP="00856E8A">
      <w:pPr>
        <w:spacing w:line="360" w:lineRule="auto"/>
        <w:jc w:val="both"/>
        <w:rPr>
          <w:rFonts w:ascii="Arial" w:hAnsi="Arial" w:cs="Arial"/>
          <w:b/>
          <w:bCs/>
          <w:sz w:val="20"/>
          <w:szCs w:val="20"/>
        </w:rPr>
      </w:pPr>
      <w:r w:rsidRPr="00856E8A">
        <w:rPr>
          <w:rFonts w:ascii="Arial" w:hAnsi="Arial" w:cs="Arial"/>
          <w:b/>
          <w:bCs/>
          <w:sz w:val="20"/>
          <w:szCs w:val="20"/>
        </w:rPr>
        <w:t>Primary Data</w:t>
      </w:r>
    </w:p>
    <w:p w14:paraId="0DCEAAC9" w14:textId="77777777" w:rsidR="00856E8A" w:rsidRPr="00856E8A" w:rsidRDefault="00856E8A" w:rsidP="00856E8A">
      <w:pPr>
        <w:spacing w:line="360" w:lineRule="auto"/>
        <w:jc w:val="both"/>
        <w:rPr>
          <w:rFonts w:ascii="Arial" w:hAnsi="Arial" w:cs="Arial"/>
          <w:b/>
          <w:bCs/>
          <w:sz w:val="20"/>
          <w:szCs w:val="20"/>
        </w:rPr>
      </w:pPr>
      <w:r w:rsidRPr="00856E8A">
        <w:rPr>
          <w:rFonts w:ascii="Arial" w:hAnsi="Arial" w:cs="Arial"/>
          <w:sz w:val="20"/>
          <w:szCs w:val="20"/>
        </w:rPr>
        <w:t>Primary data were obtained through face-to-face interactions with consumers and managers/staff of the outlets, using a structured questionnaire. Two distinct questionnaires were prepared: one for consumers and another for managers/staff of the food outlets, specifically for this study. Consumers were interviewed to understand the challenges they face when purchasing green products. Meanwhile, managers and staff were questioned about the obstacles they encounter when selling these products.</w:t>
      </w:r>
    </w:p>
    <w:p w14:paraId="30502811" w14:textId="260BC5BF" w:rsidR="00856E8A" w:rsidRPr="008C28CF" w:rsidRDefault="00856E8A" w:rsidP="00856E8A">
      <w:pPr>
        <w:spacing w:line="360" w:lineRule="auto"/>
        <w:jc w:val="both"/>
        <w:rPr>
          <w:rFonts w:ascii="Arial" w:hAnsi="Arial" w:cs="Arial"/>
          <w:b/>
          <w:bCs/>
        </w:rPr>
      </w:pPr>
      <w:r w:rsidRPr="008C28CF">
        <w:rPr>
          <w:rFonts w:ascii="Arial" w:hAnsi="Arial" w:cs="Arial"/>
          <w:b/>
          <w:bCs/>
        </w:rPr>
        <w:t>Garrett’s Ranking Technique</w:t>
      </w:r>
    </w:p>
    <w:p w14:paraId="2CFBE43B" w14:textId="4E487332"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lastRenderedPageBreak/>
        <w:t xml:space="preserve">The purpose of this study was to rank the constraints faced by consumers, as well as the managers and staff, in using or selling green products. A total of 115 consumers and 30 managers/staff provided their rankings for each problem, which were then converted into percentages using the formula developed by Garrett and Woodsworth (1969). </w:t>
      </w:r>
    </w:p>
    <w:p w14:paraId="566F74A3" w14:textId="4C782539" w:rsidR="00856E8A" w:rsidRPr="00856E8A" w:rsidRDefault="008C28CF" w:rsidP="00856E8A">
      <w:pPr>
        <w:spacing w:line="360" w:lineRule="auto"/>
        <w:jc w:val="both"/>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4DA755DC" wp14:editId="3AED88BA">
                <wp:simplePos x="0" y="0"/>
                <wp:positionH relativeFrom="margin">
                  <wp:posOffset>1760765</wp:posOffset>
                </wp:positionH>
                <wp:positionV relativeFrom="paragraph">
                  <wp:posOffset>12156</wp:posOffset>
                </wp:positionV>
                <wp:extent cx="2525485" cy="315685"/>
                <wp:effectExtent l="0" t="0" r="27305" b="27305"/>
                <wp:wrapNone/>
                <wp:docPr id="168337511" name="Text Box 2"/>
                <wp:cNvGraphicFramePr/>
                <a:graphic xmlns:a="http://schemas.openxmlformats.org/drawingml/2006/main">
                  <a:graphicData uri="http://schemas.microsoft.com/office/word/2010/wordprocessingShape">
                    <wps:wsp>
                      <wps:cNvSpPr txBox="1"/>
                      <wps:spPr>
                        <a:xfrm>
                          <a:off x="0" y="0"/>
                          <a:ext cx="2525485" cy="315685"/>
                        </a:xfrm>
                        <a:prstGeom prst="rect">
                          <a:avLst/>
                        </a:prstGeom>
                        <a:solidFill>
                          <a:schemeClr val="lt1"/>
                        </a:solidFill>
                        <a:ln w="6350">
                          <a:solidFill>
                            <a:prstClr val="black"/>
                          </a:solidFill>
                        </a:ln>
                      </wps:spPr>
                      <wps:txbx>
                        <w:txbxContent>
                          <w:p w14:paraId="017E712C" w14:textId="1347ACEE" w:rsidR="008C28CF" w:rsidRPr="008C28CF" w:rsidRDefault="008C28CF" w:rsidP="008C28CF">
                            <w:pPr>
                              <w:spacing w:line="360" w:lineRule="auto"/>
                              <w:jc w:val="both"/>
                              <w:rPr>
                                <w:rFonts w:ascii="Arial" w:hAnsi="Arial" w:cs="Arial"/>
                                <w:b/>
                                <w:bCs/>
                              </w:rPr>
                            </w:pPr>
                            <w:r w:rsidRPr="00856E8A">
                              <w:rPr>
                                <w:rFonts w:ascii="Arial" w:hAnsi="Arial" w:cs="Arial"/>
                                <w:b/>
                                <w:bCs/>
                                <w:sz w:val="20"/>
                                <w:szCs w:val="20"/>
                              </w:rPr>
                              <w:t xml:space="preserve">  </w:t>
                            </w:r>
                            <w:r w:rsidRPr="008C28CF">
                              <w:rPr>
                                <w:rFonts w:ascii="Arial" w:hAnsi="Arial" w:cs="Arial"/>
                                <w:b/>
                                <w:bCs/>
                              </w:rPr>
                              <w:t>Garrett rank = 100 (</w:t>
                            </w:r>
                            <w:proofErr w:type="spellStart"/>
                            <w:r w:rsidRPr="008C28CF">
                              <w:rPr>
                                <w:rFonts w:ascii="Arial" w:hAnsi="Arial" w:cs="Arial"/>
                                <w:b/>
                                <w:bCs/>
                              </w:rPr>
                              <w:t>R</w:t>
                            </w:r>
                            <w:r w:rsidRPr="008C28CF">
                              <w:rPr>
                                <w:rFonts w:ascii="Arial" w:hAnsi="Arial" w:cs="Arial"/>
                                <w:b/>
                                <w:bCs/>
                                <w:vertAlign w:val="subscript"/>
                              </w:rPr>
                              <w:t>ij</w:t>
                            </w:r>
                            <w:proofErr w:type="spellEnd"/>
                            <w:r w:rsidRPr="008C28CF">
                              <w:rPr>
                                <w:rFonts w:ascii="Arial" w:hAnsi="Arial" w:cs="Arial"/>
                                <w:b/>
                                <w:bCs/>
                              </w:rPr>
                              <w:t xml:space="preserve"> - 0.50)/N</w:t>
                            </w:r>
                            <w:r w:rsidRPr="008C28CF">
                              <w:rPr>
                                <w:rFonts w:ascii="Arial" w:hAnsi="Arial" w:cs="Arial"/>
                                <w:b/>
                                <w:bCs/>
                                <w:vertAlign w:val="subscript"/>
                              </w:rPr>
                              <w:t>j</w:t>
                            </w:r>
                          </w:p>
                          <w:p w14:paraId="638786E2" w14:textId="77777777" w:rsidR="008C28CF" w:rsidRDefault="008C28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A755DC" id="_x0000_s1027" type="#_x0000_t202" style="position:absolute;left:0;text-align:left;margin-left:138.65pt;margin-top:.95pt;width:198.85pt;height:24.8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" fillcolor="white [3201]" strokeweight=".5pt">
                <v:textbox>
                  <w:txbxContent>
                    <w:p w14:paraId="017E712C" w14:textId="1347ACEE" w:rsidR="008C28CF" w:rsidRPr="008C28CF" w:rsidRDefault="008C28CF" w:rsidP="008C28CF">
                      <w:pPr>
                        <w:spacing w:line="360" w:lineRule="auto"/>
                        <w:jc w:val="both"/>
                        <w:rPr>
                          <w:rFonts w:ascii="Arial" w:hAnsi="Arial" w:cs="Arial"/>
                          <w:b/>
                          <w:bCs/>
                        </w:rPr>
                      </w:pPr>
                      <w:r w:rsidRPr="00856E8A">
                        <w:rPr>
                          <w:rFonts w:ascii="Arial" w:hAnsi="Arial" w:cs="Arial"/>
                          <w:b/>
                          <w:bCs/>
                          <w:sz w:val="20"/>
                          <w:szCs w:val="20"/>
                        </w:rPr>
                        <w:t xml:space="preserve">  </w:t>
                      </w:r>
                      <w:r w:rsidRPr="008C28CF">
                        <w:rPr>
                          <w:rFonts w:ascii="Arial" w:hAnsi="Arial" w:cs="Arial"/>
                          <w:b/>
                          <w:bCs/>
                        </w:rPr>
                        <w:t>Garrett rank = 100 (</w:t>
                      </w:r>
                      <w:proofErr w:type="spellStart"/>
                      <w:r w:rsidRPr="008C28CF">
                        <w:rPr>
                          <w:rFonts w:ascii="Arial" w:hAnsi="Arial" w:cs="Arial"/>
                          <w:b/>
                          <w:bCs/>
                        </w:rPr>
                        <w:t>R</w:t>
                      </w:r>
                      <w:r w:rsidRPr="008C28CF">
                        <w:rPr>
                          <w:rFonts w:ascii="Arial" w:hAnsi="Arial" w:cs="Arial"/>
                          <w:b/>
                          <w:bCs/>
                          <w:vertAlign w:val="subscript"/>
                        </w:rPr>
                        <w:t>ij</w:t>
                      </w:r>
                      <w:proofErr w:type="spellEnd"/>
                      <w:r w:rsidRPr="008C28CF">
                        <w:rPr>
                          <w:rFonts w:ascii="Arial" w:hAnsi="Arial" w:cs="Arial"/>
                          <w:b/>
                          <w:bCs/>
                        </w:rPr>
                        <w:t xml:space="preserve"> - 0.50)/N</w:t>
                      </w:r>
                      <w:r w:rsidRPr="008C28CF">
                        <w:rPr>
                          <w:rFonts w:ascii="Arial" w:hAnsi="Arial" w:cs="Arial"/>
                          <w:b/>
                          <w:bCs/>
                          <w:vertAlign w:val="subscript"/>
                        </w:rPr>
                        <w:t>j</w:t>
                      </w:r>
                    </w:p>
                    <w:p w14:paraId="638786E2" w14:textId="77777777" w:rsidR="008C28CF" w:rsidRDefault="008C28CF"/>
                  </w:txbxContent>
                </v:textbox>
                <w10:wrap anchorx="margin"/>
              </v:shape>
            </w:pict>
          </mc:Fallback>
        </mc:AlternateContent>
      </w:r>
      <w:r w:rsidR="00856E8A" w:rsidRPr="00856E8A">
        <w:rPr>
          <w:rFonts w:ascii="Arial" w:hAnsi="Arial" w:cs="Arial"/>
          <w:b/>
          <w:bCs/>
          <w:sz w:val="20"/>
          <w:szCs w:val="20"/>
        </w:rPr>
        <w:t xml:space="preserve">                                            </w:t>
      </w:r>
    </w:p>
    <w:p w14:paraId="34F30B1C" w14:textId="77777777" w:rsidR="00856E8A" w:rsidRPr="00856E8A" w:rsidRDefault="00856E8A" w:rsidP="00856E8A">
      <w:pPr>
        <w:spacing w:line="360" w:lineRule="auto"/>
        <w:jc w:val="both"/>
        <w:rPr>
          <w:rFonts w:ascii="Arial" w:hAnsi="Arial" w:cs="Arial"/>
          <w:sz w:val="20"/>
          <w:szCs w:val="20"/>
        </w:rPr>
      </w:pPr>
    </w:p>
    <w:p w14:paraId="6AFDF8F3" w14:textId="77777777"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 xml:space="preserve">where, </w:t>
      </w:r>
      <w:proofErr w:type="spellStart"/>
      <w:r w:rsidRPr="00856E8A">
        <w:rPr>
          <w:rFonts w:ascii="Arial" w:hAnsi="Arial" w:cs="Arial"/>
          <w:sz w:val="20"/>
          <w:szCs w:val="20"/>
        </w:rPr>
        <w:t>R</w:t>
      </w:r>
      <w:r w:rsidRPr="00856E8A">
        <w:rPr>
          <w:rFonts w:ascii="Arial" w:hAnsi="Arial" w:cs="Arial"/>
          <w:sz w:val="20"/>
          <w:szCs w:val="20"/>
          <w:vertAlign w:val="subscript"/>
        </w:rPr>
        <w:t>ij</w:t>
      </w:r>
      <w:proofErr w:type="spellEnd"/>
      <w:r w:rsidRPr="00856E8A">
        <w:rPr>
          <w:rFonts w:ascii="Arial" w:hAnsi="Arial" w:cs="Arial"/>
          <w:sz w:val="20"/>
          <w:szCs w:val="20"/>
        </w:rPr>
        <w:t xml:space="preserve"> =Rank assigned to the </w:t>
      </w:r>
      <w:proofErr w:type="spellStart"/>
      <w:r w:rsidRPr="00856E8A">
        <w:rPr>
          <w:rFonts w:ascii="Arial" w:hAnsi="Arial" w:cs="Arial"/>
          <w:sz w:val="20"/>
          <w:szCs w:val="20"/>
        </w:rPr>
        <w:t>i</w:t>
      </w:r>
      <w:r w:rsidRPr="00856E8A">
        <w:rPr>
          <w:rFonts w:ascii="Arial" w:hAnsi="Arial" w:cs="Arial"/>
          <w:sz w:val="20"/>
          <w:szCs w:val="20"/>
          <w:vertAlign w:val="superscript"/>
        </w:rPr>
        <w:t>th</w:t>
      </w:r>
      <w:proofErr w:type="spellEnd"/>
      <w:r w:rsidRPr="00856E8A">
        <w:rPr>
          <w:rFonts w:ascii="Arial" w:hAnsi="Arial" w:cs="Arial"/>
          <w:sz w:val="20"/>
          <w:szCs w:val="20"/>
        </w:rPr>
        <w:t xml:space="preserve"> problem/variable by the </w:t>
      </w:r>
      <w:proofErr w:type="spellStart"/>
      <w:r w:rsidRPr="00856E8A">
        <w:rPr>
          <w:rFonts w:ascii="Arial" w:hAnsi="Arial" w:cs="Arial"/>
          <w:sz w:val="20"/>
          <w:szCs w:val="20"/>
        </w:rPr>
        <w:t>j</w:t>
      </w:r>
      <w:r w:rsidRPr="00856E8A">
        <w:rPr>
          <w:rFonts w:ascii="Arial" w:hAnsi="Arial" w:cs="Arial"/>
          <w:sz w:val="20"/>
          <w:szCs w:val="20"/>
          <w:vertAlign w:val="superscript"/>
        </w:rPr>
        <w:t>th</w:t>
      </w:r>
      <w:proofErr w:type="spellEnd"/>
      <w:r w:rsidRPr="00856E8A">
        <w:rPr>
          <w:rFonts w:ascii="Arial" w:hAnsi="Arial" w:cs="Arial"/>
          <w:sz w:val="20"/>
          <w:szCs w:val="20"/>
        </w:rPr>
        <w:t xml:space="preserve"> persons.</w:t>
      </w:r>
    </w:p>
    <w:p w14:paraId="2C4482EE" w14:textId="77777777"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 xml:space="preserve">              N</w:t>
      </w:r>
      <w:r w:rsidRPr="00856E8A">
        <w:rPr>
          <w:rFonts w:ascii="Arial" w:hAnsi="Arial" w:cs="Arial"/>
          <w:sz w:val="20"/>
          <w:szCs w:val="20"/>
          <w:vertAlign w:val="subscript"/>
        </w:rPr>
        <w:t xml:space="preserve">j </w:t>
      </w:r>
      <w:r w:rsidRPr="00856E8A">
        <w:rPr>
          <w:rFonts w:ascii="Arial" w:hAnsi="Arial" w:cs="Arial"/>
          <w:sz w:val="20"/>
          <w:szCs w:val="20"/>
        </w:rPr>
        <w:t xml:space="preserve">=The </w:t>
      </w:r>
      <w:proofErr w:type="spellStart"/>
      <w:r w:rsidRPr="00856E8A">
        <w:rPr>
          <w:rFonts w:ascii="Arial" w:hAnsi="Arial" w:cs="Arial"/>
          <w:sz w:val="20"/>
          <w:szCs w:val="20"/>
        </w:rPr>
        <w:t>j</w:t>
      </w:r>
      <w:r w:rsidRPr="00856E8A">
        <w:rPr>
          <w:rFonts w:ascii="Arial" w:hAnsi="Arial" w:cs="Arial"/>
          <w:sz w:val="20"/>
          <w:szCs w:val="20"/>
          <w:vertAlign w:val="superscript"/>
        </w:rPr>
        <w:t>th</w:t>
      </w:r>
      <w:proofErr w:type="spellEnd"/>
      <w:r w:rsidRPr="00856E8A">
        <w:rPr>
          <w:rFonts w:ascii="Arial" w:hAnsi="Arial" w:cs="Arial"/>
          <w:sz w:val="20"/>
          <w:szCs w:val="20"/>
        </w:rPr>
        <w:t xml:space="preserve"> person's ranking of the number of problems/variables</w:t>
      </w:r>
    </w:p>
    <w:p w14:paraId="5B5FB9A7" w14:textId="77777777" w:rsidR="00856E8A" w:rsidRPr="00856E8A" w:rsidRDefault="00856E8A" w:rsidP="00856E8A">
      <w:pPr>
        <w:spacing w:line="360" w:lineRule="auto"/>
        <w:jc w:val="both"/>
        <w:rPr>
          <w:rFonts w:ascii="Arial" w:hAnsi="Arial" w:cs="Arial"/>
          <w:sz w:val="20"/>
          <w:szCs w:val="20"/>
        </w:rPr>
      </w:pPr>
    </w:p>
    <w:p w14:paraId="026229AB" w14:textId="77777777" w:rsidR="00856E8A" w:rsidRPr="00856E8A" w:rsidRDefault="00856E8A" w:rsidP="00856E8A">
      <w:pPr>
        <w:spacing w:line="360" w:lineRule="auto"/>
        <w:jc w:val="both"/>
        <w:rPr>
          <w:rFonts w:ascii="Arial" w:hAnsi="Arial" w:cs="Arial"/>
          <w:sz w:val="20"/>
          <w:szCs w:val="20"/>
        </w:rPr>
      </w:pPr>
      <w:r w:rsidRPr="00856E8A">
        <w:rPr>
          <w:rFonts w:ascii="Arial" w:hAnsi="Arial" w:cs="Arial"/>
          <w:sz w:val="20"/>
          <w:szCs w:val="20"/>
        </w:rPr>
        <w:t xml:space="preserve">These percentages were subsequently transformed into scores using Garrett's tables, allowing for the calculation of the mean score for each constraint. Based on the mean scores, consumers ranked several constraints (Sahoo </w:t>
      </w:r>
      <w:r w:rsidRPr="00856E8A">
        <w:rPr>
          <w:rFonts w:ascii="Arial" w:hAnsi="Arial" w:cs="Arial"/>
          <w:i/>
          <w:iCs/>
          <w:sz w:val="20"/>
          <w:szCs w:val="20"/>
        </w:rPr>
        <w:t>et al.</w:t>
      </w:r>
      <w:r w:rsidRPr="00856E8A">
        <w:rPr>
          <w:rFonts w:ascii="Arial" w:hAnsi="Arial" w:cs="Arial"/>
          <w:sz w:val="20"/>
          <w:szCs w:val="20"/>
        </w:rPr>
        <w:t>,2020).</w:t>
      </w:r>
    </w:p>
    <w:p w14:paraId="0471ABFD" w14:textId="373FE156" w:rsidR="008C28CF" w:rsidRPr="008C28CF" w:rsidRDefault="008C28CF" w:rsidP="008C28CF">
      <w:pPr>
        <w:spacing w:line="360" w:lineRule="auto"/>
        <w:rPr>
          <w:rFonts w:ascii="Arial" w:hAnsi="Arial" w:cs="Arial"/>
          <w:b/>
          <w:bCs/>
          <w:sz w:val="24"/>
          <w:szCs w:val="24"/>
        </w:rPr>
      </w:pPr>
      <w:r w:rsidRPr="008C28CF">
        <w:rPr>
          <w:rFonts w:ascii="Arial" w:hAnsi="Arial" w:cs="Arial"/>
          <w:b/>
          <w:bCs/>
          <w:sz w:val="24"/>
          <w:szCs w:val="24"/>
        </w:rPr>
        <w:t>RESULTS AND DISCUSSION</w:t>
      </w:r>
    </w:p>
    <w:p w14:paraId="66727813" w14:textId="3E1D4876" w:rsidR="008C28CF" w:rsidRPr="008C28CF" w:rsidRDefault="008C28CF" w:rsidP="008C28CF">
      <w:pPr>
        <w:spacing w:line="360" w:lineRule="auto"/>
        <w:rPr>
          <w:rFonts w:ascii="Arial" w:hAnsi="Arial" w:cs="Arial"/>
          <w:b/>
          <w:bCs/>
          <w:sz w:val="36"/>
          <w:szCs w:val="36"/>
        </w:rPr>
      </w:pPr>
      <w:r w:rsidRPr="008C28CF">
        <w:rPr>
          <w:rFonts w:ascii="Arial" w:hAnsi="Arial" w:cs="Arial"/>
          <w:sz w:val="20"/>
          <w:szCs w:val="20"/>
        </w:rPr>
        <w:t>Consumers face multiple challenges when purchasing green products, which can limit informed decision-making and reduce overall satisfaction. To analyze these issues, Garrett's ranking technique was applied. A total of 115 consumers were asked to rank seven identified constraints. The mean scores were calculated using Garrett's conversion table, with the highest mean score ranked as 1 (most severe) and the lowest as 7 (least severe).</w:t>
      </w:r>
    </w:p>
    <w:p w14:paraId="50755A2D" w14:textId="77777777" w:rsidR="008C28CF" w:rsidRPr="008C28CF" w:rsidRDefault="008C28CF" w:rsidP="008C28CF">
      <w:pPr>
        <w:spacing w:line="360" w:lineRule="auto"/>
        <w:jc w:val="both"/>
        <w:rPr>
          <w:rFonts w:ascii="Arial" w:hAnsi="Arial" w:cs="Arial"/>
          <w:sz w:val="20"/>
          <w:szCs w:val="20"/>
        </w:rPr>
      </w:pPr>
      <w:r w:rsidRPr="008C28CF">
        <w:rPr>
          <w:rFonts w:ascii="Arial" w:hAnsi="Arial" w:cs="Arial"/>
          <w:sz w:val="20"/>
          <w:szCs w:val="20"/>
        </w:rPr>
        <w:t>Similarly, managers and staff also evaluated the same seven constraints using Garrett’s ranking method, allowing for a comparative analysis of perceptions between consumers and service providers regarding the barriers to adopting green products.</w:t>
      </w:r>
    </w:p>
    <w:p w14:paraId="14E5BBD7" w14:textId="7F44DCDF" w:rsidR="008C28CF" w:rsidRPr="008C28CF" w:rsidRDefault="008C28CF" w:rsidP="008C28CF">
      <w:pPr>
        <w:spacing w:line="360" w:lineRule="auto"/>
        <w:jc w:val="both"/>
        <w:rPr>
          <w:rFonts w:ascii="Arial" w:hAnsi="Arial" w:cs="Arial"/>
          <w:b/>
          <w:bCs/>
        </w:rPr>
      </w:pPr>
      <w:r w:rsidRPr="008C28CF">
        <w:rPr>
          <w:rFonts w:ascii="Arial" w:hAnsi="Arial" w:cs="Arial"/>
          <w:b/>
          <w:bCs/>
        </w:rPr>
        <w:t>The perceived constraints in the use of Green products by Consumers</w:t>
      </w:r>
    </w:p>
    <w:p w14:paraId="4C63F076" w14:textId="77777777" w:rsidR="008C28CF" w:rsidRPr="008C28CF" w:rsidRDefault="008C28CF" w:rsidP="008C28CF">
      <w:pPr>
        <w:spacing w:line="360" w:lineRule="auto"/>
        <w:jc w:val="both"/>
        <w:rPr>
          <w:rFonts w:ascii="Arial" w:hAnsi="Arial" w:cs="Arial"/>
          <w:sz w:val="20"/>
          <w:szCs w:val="20"/>
        </w:rPr>
      </w:pPr>
      <w:r w:rsidRPr="008C28CF">
        <w:rPr>
          <w:rFonts w:ascii="Arial" w:hAnsi="Arial" w:cs="Arial"/>
          <w:sz w:val="20"/>
          <w:szCs w:val="20"/>
        </w:rPr>
        <w:t>The primary barrier to consumers adopting green products is the lack of trust in green claims, with a mean score of 97.64. This skepticism about the authenticity of certifications is the most significant constraint. Limited availability follows in second place (mean score: 76.33), indicating challenges in accessing these products due to poor distribution. The limited variety of products ranks third (mean score: 72.17), which restricts consumer choices. High cost is fourth (mean score: 59.07), suggesting affordability is a concern but less critical than trust and availability. Lack of awareness ranks fifth (mean score: 47.48), highlighting the need for educational initiatives about green products. Lower-ranked issues include brand loyalty to non-green products (mean score: 13.30) and difficulty understanding eco-labels (mean score: 9.75), which are less pressing. To overcome these constraints, strategies should focus on enhancing trust through transparent certifications, increasing product availability and variety, and raising consumer awareness.</w:t>
      </w:r>
    </w:p>
    <w:p w14:paraId="310CB20A" w14:textId="3DEA6CD8" w:rsidR="008C28CF" w:rsidRPr="008C28CF" w:rsidRDefault="008C28CF" w:rsidP="008C28CF">
      <w:pPr>
        <w:spacing w:line="360" w:lineRule="auto"/>
        <w:ind w:left="240"/>
        <w:jc w:val="both"/>
        <w:rPr>
          <w:rFonts w:ascii="Arial" w:hAnsi="Arial" w:cs="Arial"/>
          <w:b/>
          <w:bCs/>
          <w:sz w:val="20"/>
          <w:szCs w:val="20"/>
        </w:rPr>
      </w:pPr>
      <w:r w:rsidRPr="008C28CF">
        <w:rPr>
          <w:rFonts w:ascii="Arial" w:hAnsi="Arial" w:cs="Arial"/>
          <w:b/>
          <w:bCs/>
          <w:sz w:val="20"/>
          <w:szCs w:val="20"/>
        </w:rPr>
        <w:lastRenderedPageBreak/>
        <w:t xml:space="preserve">Table </w:t>
      </w:r>
      <w:r>
        <w:rPr>
          <w:rFonts w:ascii="Arial" w:hAnsi="Arial" w:cs="Arial"/>
          <w:b/>
          <w:bCs/>
          <w:sz w:val="20"/>
          <w:szCs w:val="20"/>
        </w:rPr>
        <w:t>2</w:t>
      </w:r>
      <w:r w:rsidRPr="008C28CF">
        <w:rPr>
          <w:rFonts w:ascii="Arial" w:hAnsi="Arial" w:cs="Arial"/>
          <w:b/>
          <w:bCs/>
          <w:sz w:val="20"/>
          <w:szCs w:val="20"/>
        </w:rPr>
        <w:t>: Perceived constraints in the use of Green products by consumers</w:t>
      </w:r>
    </w:p>
    <w:tbl>
      <w:tblPr>
        <w:tblStyle w:val="TableGrid"/>
        <w:tblW w:w="0" w:type="auto"/>
        <w:tblInd w:w="240" w:type="dxa"/>
        <w:tblLook w:val="04A0" w:firstRow="1" w:lastRow="0" w:firstColumn="1" w:lastColumn="0" w:noHBand="0" w:noVBand="1"/>
      </w:tblPr>
      <w:tblGrid>
        <w:gridCol w:w="3052"/>
        <w:gridCol w:w="3024"/>
        <w:gridCol w:w="3034"/>
      </w:tblGrid>
      <w:tr w:rsidR="008C28CF" w:rsidRPr="008C28CF" w14:paraId="653D0DA0" w14:textId="77777777" w:rsidTr="004B0DA5">
        <w:tc>
          <w:tcPr>
            <w:tcW w:w="3116" w:type="dxa"/>
          </w:tcPr>
          <w:p w14:paraId="4F16F4EF" w14:textId="77777777" w:rsidR="008C28CF" w:rsidRPr="008C28CF" w:rsidRDefault="008C28CF" w:rsidP="004B0DA5">
            <w:pPr>
              <w:spacing w:line="360" w:lineRule="auto"/>
              <w:jc w:val="center"/>
              <w:rPr>
                <w:rFonts w:ascii="Arial" w:hAnsi="Arial" w:cs="Arial"/>
                <w:b/>
                <w:bCs/>
                <w:sz w:val="20"/>
                <w:szCs w:val="20"/>
              </w:rPr>
            </w:pPr>
            <w:r w:rsidRPr="008C28CF">
              <w:rPr>
                <w:rFonts w:ascii="Arial" w:hAnsi="Arial" w:cs="Arial"/>
                <w:b/>
                <w:bCs/>
                <w:sz w:val="20"/>
                <w:szCs w:val="20"/>
              </w:rPr>
              <w:t>Constraints</w:t>
            </w:r>
          </w:p>
        </w:tc>
        <w:tc>
          <w:tcPr>
            <w:tcW w:w="3117" w:type="dxa"/>
          </w:tcPr>
          <w:p w14:paraId="3EBF63B8" w14:textId="77777777" w:rsidR="008C28CF" w:rsidRPr="008C28CF" w:rsidRDefault="008C28CF" w:rsidP="004B0DA5">
            <w:pPr>
              <w:spacing w:line="360" w:lineRule="auto"/>
              <w:jc w:val="center"/>
              <w:rPr>
                <w:rFonts w:ascii="Arial" w:hAnsi="Arial" w:cs="Arial"/>
                <w:b/>
                <w:bCs/>
                <w:sz w:val="20"/>
                <w:szCs w:val="20"/>
              </w:rPr>
            </w:pPr>
            <w:r w:rsidRPr="008C28CF">
              <w:rPr>
                <w:rFonts w:ascii="Arial" w:hAnsi="Arial" w:cs="Arial"/>
                <w:b/>
                <w:bCs/>
                <w:sz w:val="20"/>
                <w:szCs w:val="20"/>
              </w:rPr>
              <w:t>Mean score</w:t>
            </w:r>
          </w:p>
        </w:tc>
        <w:tc>
          <w:tcPr>
            <w:tcW w:w="3117" w:type="dxa"/>
          </w:tcPr>
          <w:p w14:paraId="4F615D17" w14:textId="77777777" w:rsidR="008C28CF" w:rsidRPr="008C28CF" w:rsidRDefault="008C28CF" w:rsidP="004B0DA5">
            <w:pPr>
              <w:spacing w:line="360" w:lineRule="auto"/>
              <w:jc w:val="center"/>
              <w:rPr>
                <w:rFonts w:ascii="Arial" w:hAnsi="Arial" w:cs="Arial"/>
                <w:b/>
                <w:bCs/>
                <w:sz w:val="20"/>
                <w:szCs w:val="20"/>
              </w:rPr>
            </w:pPr>
            <w:r w:rsidRPr="008C28CF">
              <w:rPr>
                <w:rFonts w:ascii="Arial" w:hAnsi="Arial" w:cs="Arial"/>
                <w:b/>
                <w:bCs/>
                <w:sz w:val="20"/>
                <w:szCs w:val="20"/>
              </w:rPr>
              <w:t>Ranking</w:t>
            </w:r>
          </w:p>
        </w:tc>
      </w:tr>
      <w:tr w:rsidR="008C28CF" w:rsidRPr="008C28CF" w14:paraId="2C84C240" w14:textId="77777777" w:rsidTr="004B0DA5">
        <w:tc>
          <w:tcPr>
            <w:tcW w:w="3116" w:type="dxa"/>
          </w:tcPr>
          <w:p w14:paraId="72409DE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Lack of trust in Green claims</w:t>
            </w:r>
          </w:p>
        </w:tc>
        <w:tc>
          <w:tcPr>
            <w:tcW w:w="3117" w:type="dxa"/>
          </w:tcPr>
          <w:p w14:paraId="33F6542D"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97.64</w:t>
            </w:r>
          </w:p>
        </w:tc>
        <w:tc>
          <w:tcPr>
            <w:tcW w:w="3117" w:type="dxa"/>
          </w:tcPr>
          <w:p w14:paraId="0C08111A"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1</w:t>
            </w:r>
          </w:p>
        </w:tc>
      </w:tr>
      <w:tr w:rsidR="008C28CF" w:rsidRPr="008C28CF" w14:paraId="73129F5C" w14:textId="77777777" w:rsidTr="004B0DA5">
        <w:tc>
          <w:tcPr>
            <w:tcW w:w="3116" w:type="dxa"/>
          </w:tcPr>
          <w:p w14:paraId="7C1CE6BD"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Limited Availability</w:t>
            </w:r>
          </w:p>
        </w:tc>
        <w:tc>
          <w:tcPr>
            <w:tcW w:w="3117" w:type="dxa"/>
          </w:tcPr>
          <w:p w14:paraId="7BCCEA86"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76.33</w:t>
            </w:r>
          </w:p>
        </w:tc>
        <w:tc>
          <w:tcPr>
            <w:tcW w:w="3117" w:type="dxa"/>
          </w:tcPr>
          <w:p w14:paraId="7F4E1F4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2</w:t>
            </w:r>
          </w:p>
        </w:tc>
      </w:tr>
      <w:tr w:rsidR="008C28CF" w:rsidRPr="008C28CF" w14:paraId="2601F338" w14:textId="77777777" w:rsidTr="004B0DA5">
        <w:tc>
          <w:tcPr>
            <w:tcW w:w="3116" w:type="dxa"/>
          </w:tcPr>
          <w:p w14:paraId="2C78920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Limited variety of products</w:t>
            </w:r>
          </w:p>
        </w:tc>
        <w:tc>
          <w:tcPr>
            <w:tcW w:w="3117" w:type="dxa"/>
          </w:tcPr>
          <w:p w14:paraId="28869E90"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72.17</w:t>
            </w:r>
          </w:p>
        </w:tc>
        <w:tc>
          <w:tcPr>
            <w:tcW w:w="3117" w:type="dxa"/>
          </w:tcPr>
          <w:p w14:paraId="4F7DBE7F"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3</w:t>
            </w:r>
          </w:p>
        </w:tc>
      </w:tr>
      <w:tr w:rsidR="008C28CF" w:rsidRPr="008C28CF" w14:paraId="3AB67926" w14:textId="77777777" w:rsidTr="004B0DA5">
        <w:tc>
          <w:tcPr>
            <w:tcW w:w="3116" w:type="dxa"/>
          </w:tcPr>
          <w:p w14:paraId="33DC6018"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High cost</w:t>
            </w:r>
          </w:p>
        </w:tc>
        <w:tc>
          <w:tcPr>
            <w:tcW w:w="3117" w:type="dxa"/>
          </w:tcPr>
          <w:p w14:paraId="285F4DC4"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59.07</w:t>
            </w:r>
          </w:p>
        </w:tc>
        <w:tc>
          <w:tcPr>
            <w:tcW w:w="3117" w:type="dxa"/>
          </w:tcPr>
          <w:p w14:paraId="6B3711E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4</w:t>
            </w:r>
          </w:p>
        </w:tc>
      </w:tr>
      <w:tr w:rsidR="008C28CF" w:rsidRPr="008C28CF" w14:paraId="269D8E88" w14:textId="77777777" w:rsidTr="004B0DA5">
        <w:tc>
          <w:tcPr>
            <w:tcW w:w="3116" w:type="dxa"/>
          </w:tcPr>
          <w:p w14:paraId="0552837F"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Lack of Awareness</w:t>
            </w:r>
          </w:p>
        </w:tc>
        <w:tc>
          <w:tcPr>
            <w:tcW w:w="3117" w:type="dxa"/>
          </w:tcPr>
          <w:p w14:paraId="498B46B3"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47.48</w:t>
            </w:r>
          </w:p>
        </w:tc>
        <w:tc>
          <w:tcPr>
            <w:tcW w:w="3117" w:type="dxa"/>
          </w:tcPr>
          <w:p w14:paraId="7F241744"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5</w:t>
            </w:r>
          </w:p>
        </w:tc>
      </w:tr>
      <w:tr w:rsidR="008C28CF" w:rsidRPr="008C28CF" w14:paraId="29D3F180" w14:textId="77777777" w:rsidTr="004B0DA5">
        <w:tc>
          <w:tcPr>
            <w:tcW w:w="3116" w:type="dxa"/>
          </w:tcPr>
          <w:p w14:paraId="0571B095"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Brand loyalty to non-Green products</w:t>
            </w:r>
          </w:p>
        </w:tc>
        <w:tc>
          <w:tcPr>
            <w:tcW w:w="3117" w:type="dxa"/>
          </w:tcPr>
          <w:p w14:paraId="758FE7F1"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13.30</w:t>
            </w:r>
          </w:p>
        </w:tc>
        <w:tc>
          <w:tcPr>
            <w:tcW w:w="3117" w:type="dxa"/>
          </w:tcPr>
          <w:p w14:paraId="2CC20203"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6</w:t>
            </w:r>
          </w:p>
        </w:tc>
      </w:tr>
      <w:tr w:rsidR="008C28CF" w:rsidRPr="008C28CF" w14:paraId="52471D78" w14:textId="77777777" w:rsidTr="004B0DA5">
        <w:tc>
          <w:tcPr>
            <w:tcW w:w="3116" w:type="dxa"/>
          </w:tcPr>
          <w:p w14:paraId="42E48F1F"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Difficulty in understanding eco-labels</w:t>
            </w:r>
          </w:p>
        </w:tc>
        <w:tc>
          <w:tcPr>
            <w:tcW w:w="3117" w:type="dxa"/>
          </w:tcPr>
          <w:p w14:paraId="55536703"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9.75</w:t>
            </w:r>
          </w:p>
        </w:tc>
        <w:tc>
          <w:tcPr>
            <w:tcW w:w="3117" w:type="dxa"/>
          </w:tcPr>
          <w:p w14:paraId="7BA3B441" w14:textId="77777777" w:rsidR="008C28CF" w:rsidRPr="008C28CF" w:rsidRDefault="008C28CF" w:rsidP="004B0DA5">
            <w:pPr>
              <w:spacing w:line="360" w:lineRule="auto"/>
              <w:jc w:val="center"/>
              <w:rPr>
                <w:rFonts w:ascii="Arial" w:hAnsi="Arial" w:cs="Arial"/>
                <w:sz w:val="20"/>
                <w:szCs w:val="20"/>
              </w:rPr>
            </w:pPr>
            <w:r w:rsidRPr="008C28CF">
              <w:rPr>
                <w:rFonts w:ascii="Arial" w:hAnsi="Arial" w:cs="Arial"/>
                <w:sz w:val="20"/>
                <w:szCs w:val="20"/>
              </w:rPr>
              <w:t>7</w:t>
            </w:r>
          </w:p>
        </w:tc>
      </w:tr>
    </w:tbl>
    <w:p w14:paraId="3C2D37F4" w14:textId="77777777" w:rsidR="008C28CF" w:rsidRDefault="008C28CF" w:rsidP="008C28CF">
      <w:pPr>
        <w:spacing w:line="360" w:lineRule="auto"/>
        <w:rPr>
          <w:rFonts w:ascii="Arial" w:hAnsi="Arial" w:cs="Arial"/>
          <w:b/>
          <w:bCs/>
          <w:sz w:val="20"/>
          <w:szCs w:val="20"/>
        </w:rPr>
      </w:pPr>
    </w:p>
    <w:p w14:paraId="79E49FA2" w14:textId="77777777" w:rsidR="008C28CF" w:rsidRDefault="008C28CF" w:rsidP="008C28CF">
      <w:pPr>
        <w:spacing w:line="360" w:lineRule="auto"/>
        <w:rPr>
          <w:rFonts w:ascii="Arial" w:hAnsi="Arial" w:cs="Arial"/>
          <w:b/>
          <w:bCs/>
          <w:sz w:val="20"/>
          <w:szCs w:val="20"/>
        </w:rPr>
      </w:pPr>
    </w:p>
    <w:p w14:paraId="0D42682D" w14:textId="2DC857FF" w:rsidR="008C28CF" w:rsidRPr="008C28CF" w:rsidRDefault="008C28CF" w:rsidP="008C28CF">
      <w:pPr>
        <w:spacing w:line="360" w:lineRule="auto"/>
        <w:rPr>
          <w:rFonts w:ascii="Arial" w:hAnsi="Arial" w:cs="Arial"/>
          <w:b/>
          <w:bCs/>
        </w:rPr>
      </w:pPr>
      <w:r w:rsidRPr="008C28CF">
        <w:rPr>
          <w:rFonts w:ascii="Arial" w:hAnsi="Arial" w:cs="Arial"/>
          <w:b/>
          <w:bCs/>
        </w:rPr>
        <w:t>The perceived constraints in selling or adopting the Green products by Managers/Staff</w:t>
      </w:r>
    </w:p>
    <w:p w14:paraId="47A3492F" w14:textId="77777777" w:rsidR="008C28CF" w:rsidRPr="008C28CF" w:rsidRDefault="008C28CF" w:rsidP="008C28CF">
      <w:pPr>
        <w:spacing w:line="360" w:lineRule="auto"/>
        <w:jc w:val="both"/>
        <w:rPr>
          <w:rFonts w:ascii="Arial" w:hAnsi="Arial" w:cs="Arial"/>
          <w:b/>
          <w:bCs/>
          <w:sz w:val="20"/>
          <w:szCs w:val="20"/>
        </w:rPr>
      </w:pPr>
      <w:r w:rsidRPr="008C28CF">
        <w:rPr>
          <w:rFonts w:ascii="Arial" w:hAnsi="Arial" w:cs="Arial"/>
          <w:sz w:val="20"/>
          <w:szCs w:val="20"/>
        </w:rPr>
        <w:t>The most significant constraint to adopting green practices is their higher cost, which received the highest mean score of 19.92, ranking it first. This indicates that the perceived expense associated with these practices is the biggest barrier, potentially deterring individuals and organizations from embracing them. The limited availability or supply of sustainable materials, products, or alternatives closely follows in importance, ranking second with a mean score of 17.79. Resistance to change is ranked third, with a mean score of 16.08, highlighting the challenges posed by behavioral inertia and hesitancy to transition to green practices. Lack of management support ranks fourth with a mean score of 14.20, suggesting that strong leadership buy-in is crucial for promoting sustainable practices. The lack of information or knowledge is ranked fifth, with a mean score of 12.89, underscoring the need for educational initiatives to raise awareness and understanding. Lower-ranked constraints include concerns about quality or performance, which received a mean score of 7.98, placing them sixth, and regulatory or compliance issues, which scored 4.20, placing them seventh. Although these issues are less significant overall, they can still present barriers in specific contexts. To overcome these constraints, efforts should focus on reducing costs through subsidies or incentives, improving supply chains for green products, and fostering a culture of change supported by management. Additionally, educational programs aimed at addressing knowledge gaps and dispelling doubts about quality or performance can further encourage the adoption of green practices.</w:t>
      </w:r>
    </w:p>
    <w:p w14:paraId="1F7A962A" w14:textId="11163337" w:rsidR="008C28CF" w:rsidRPr="008C28CF" w:rsidRDefault="008C28CF" w:rsidP="008C28CF">
      <w:pPr>
        <w:spacing w:line="360" w:lineRule="auto"/>
        <w:rPr>
          <w:rFonts w:ascii="Arial" w:hAnsi="Arial" w:cs="Arial"/>
          <w:b/>
          <w:bCs/>
          <w:sz w:val="20"/>
          <w:szCs w:val="20"/>
        </w:rPr>
      </w:pPr>
      <w:r w:rsidRPr="008C28CF">
        <w:rPr>
          <w:rFonts w:ascii="Arial" w:hAnsi="Arial" w:cs="Arial"/>
          <w:b/>
          <w:bCs/>
          <w:sz w:val="20"/>
          <w:szCs w:val="20"/>
        </w:rPr>
        <w:t xml:space="preserve">Table </w:t>
      </w:r>
      <w:r>
        <w:rPr>
          <w:rFonts w:ascii="Arial" w:hAnsi="Arial" w:cs="Arial"/>
          <w:b/>
          <w:bCs/>
          <w:sz w:val="20"/>
          <w:szCs w:val="20"/>
        </w:rPr>
        <w:t>3</w:t>
      </w:r>
      <w:r w:rsidRPr="008C28CF">
        <w:rPr>
          <w:rFonts w:ascii="Arial" w:hAnsi="Arial" w:cs="Arial"/>
          <w:b/>
          <w:bCs/>
          <w:sz w:val="20"/>
          <w:szCs w:val="20"/>
        </w:rPr>
        <w:t>: Perceived constraints in selling or adopting the Green products by Managers/staff</w:t>
      </w:r>
    </w:p>
    <w:tbl>
      <w:tblPr>
        <w:tblStyle w:val="TableGrid"/>
        <w:tblW w:w="0" w:type="auto"/>
        <w:jc w:val="center"/>
        <w:tblLook w:val="04A0" w:firstRow="1" w:lastRow="0" w:firstColumn="1" w:lastColumn="0" w:noHBand="0" w:noVBand="1"/>
      </w:tblPr>
      <w:tblGrid>
        <w:gridCol w:w="3116"/>
        <w:gridCol w:w="3117"/>
        <w:gridCol w:w="3117"/>
      </w:tblGrid>
      <w:tr w:rsidR="008C28CF" w:rsidRPr="008C28CF" w14:paraId="571CF3D8" w14:textId="77777777" w:rsidTr="004B0DA5">
        <w:trPr>
          <w:jc w:val="center"/>
        </w:trPr>
        <w:tc>
          <w:tcPr>
            <w:tcW w:w="3116" w:type="dxa"/>
          </w:tcPr>
          <w:p w14:paraId="3CDF91A4"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Constraints</w:t>
            </w:r>
          </w:p>
        </w:tc>
        <w:tc>
          <w:tcPr>
            <w:tcW w:w="3117" w:type="dxa"/>
          </w:tcPr>
          <w:p w14:paraId="67E305E2"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Mean score</w:t>
            </w:r>
          </w:p>
        </w:tc>
        <w:tc>
          <w:tcPr>
            <w:tcW w:w="3117" w:type="dxa"/>
          </w:tcPr>
          <w:p w14:paraId="0B65AFFB"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Ranking</w:t>
            </w:r>
          </w:p>
        </w:tc>
      </w:tr>
      <w:tr w:rsidR="008C28CF" w:rsidRPr="008C28CF" w14:paraId="17D8E260" w14:textId="77777777" w:rsidTr="004B0DA5">
        <w:trPr>
          <w:jc w:val="center"/>
        </w:trPr>
        <w:tc>
          <w:tcPr>
            <w:tcW w:w="3116" w:type="dxa"/>
          </w:tcPr>
          <w:p w14:paraId="0CC3802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Higher cost</w:t>
            </w:r>
          </w:p>
        </w:tc>
        <w:tc>
          <w:tcPr>
            <w:tcW w:w="3117" w:type="dxa"/>
          </w:tcPr>
          <w:p w14:paraId="431769F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19.92</w:t>
            </w:r>
          </w:p>
        </w:tc>
        <w:tc>
          <w:tcPr>
            <w:tcW w:w="3117" w:type="dxa"/>
          </w:tcPr>
          <w:p w14:paraId="744861B2"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w:t>
            </w:r>
          </w:p>
        </w:tc>
      </w:tr>
      <w:tr w:rsidR="008C28CF" w:rsidRPr="008C28CF" w14:paraId="45C17E0F" w14:textId="77777777" w:rsidTr="004B0DA5">
        <w:trPr>
          <w:jc w:val="center"/>
        </w:trPr>
        <w:tc>
          <w:tcPr>
            <w:tcW w:w="3116" w:type="dxa"/>
          </w:tcPr>
          <w:p w14:paraId="7671485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Limited availability or supply</w:t>
            </w:r>
          </w:p>
        </w:tc>
        <w:tc>
          <w:tcPr>
            <w:tcW w:w="3117" w:type="dxa"/>
          </w:tcPr>
          <w:p w14:paraId="72F094FB"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17.79</w:t>
            </w:r>
          </w:p>
        </w:tc>
        <w:tc>
          <w:tcPr>
            <w:tcW w:w="3117" w:type="dxa"/>
          </w:tcPr>
          <w:p w14:paraId="129052B4"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2</w:t>
            </w:r>
          </w:p>
        </w:tc>
      </w:tr>
      <w:tr w:rsidR="008C28CF" w:rsidRPr="008C28CF" w14:paraId="012A6F5E" w14:textId="77777777" w:rsidTr="004B0DA5">
        <w:trPr>
          <w:jc w:val="center"/>
        </w:trPr>
        <w:tc>
          <w:tcPr>
            <w:tcW w:w="3116" w:type="dxa"/>
          </w:tcPr>
          <w:p w14:paraId="2B0DE7E8"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Resistance to change</w:t>
            </w:r>
          </w:p>
        </w:tc>
        <w:tc>
          <w:tcPr>
            <w:tcW w:w="3117" w:type="dxa"/>
          </w:tcPr>
          <w:p w14:paraId="4F867CAE"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16.08</w:t>
            </w:r>
          </w:p>
        </w:tc>
        <w:tc>
          <w:tcPr>
            <w:tcW w:w="3117" w:type="dxa"/>
          </w:tcPr>
          <w:p w14:paraId="756A1166"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3</w:t>
            </w:r>
          </w:p>
        </w:tc>
      </w:tr>
      <w:tr w:rsidR="008C28CF" w:rsidRPr="008C28CF" w14:paraId="660A1F32" w14:textId="77777777" w:rsidTr="004B0DA5">
        <w:trPr>
          <w:jc w:val="center"/>
        </w:trPr>
        <w:tc>
          <w:tcPr>
            <w:tcW w:w="3116" w:type="dxa"/>
          </w:tcPr>
          <w:p w14:paraId="53FF1F9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lastRenderedPageBreak/>
              <w:t>Lack of management support</w:t>
            </w:r>
          </w:p>
        </w:tc>
        <w:tc>
          <w:tcPr>
            <w:tcW w:w="3117" w:type="dxa"/>
          </w:tcPr>
          <w:p w14:paraId="7D6CF29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14.20</w:t>
            </w:r>
          </w:p>
        </w:tc>
        <w:tc>
          <w:tcPr>
            <w:tcW w:w="3117" w:type="dxa"/>
          </w:tcPr>
          <w:p w14:paraId="57A4BD97"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4</w:t>
            </w:r>
          </w:p>
        </w:tc>
      </w:tr>
      <w:tr w:rsidR="008C28CF" w:rsidRPr="008C28CF" w14:paraId="748596E0" w14:textId="77777777" w:rsidTr="004B0DA5">
        <w:trPr>
          <w:jc w:val="center"/>
        </w:trPr>
        <w:tc>
          <w:tcPr>
            <w:tcW w:w="3116" w:type="dxa"/>
          </w:tcPr>
          <w:p w14:paraId="2D5BBD19"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Lack of information or knowledge</w:t>
            </w:r>
          </w:p>
        </w:tc>
        <w:tc>
          <w:tcPr>
            <w:tcW w:w="3117" w:type="dxa"/>
          </w:tcPr>
          <w:p w14:paraId="33722C31"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12.89</w:t>
            </w:r>
          </w:p>
        </w:tc>
        <w:tc>
          <w:tcPr>
            <w:tcW w:w="3117" w:type="dxa"/>
          </w:tcPr>
          <w:p w14:paraId="3E1631E9"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5</w:t>
            </w:r>
          </w:p>
        </w:tc>
      </w:tr>
      <w:tr w:rsidR="008C28CF" w:rsidRPr="008C28CF" w14:paraId="46325F48" w14:textId="77777777" w:rsidTr="004B0DA5">
        <w:trPr>
          <w:jc w:val="center"/>
        </w:trPr>
        <w:tc>
          <w:tcPr>
            <w:tcW w:w="3116" w:type="dxa"/>
          </w:tcPr>
          <w:p w14:paraId="43FA0A68"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Concerns about quality or performance</w:t>
            </w:r>
          </w:p>
        </w:tc>
        <w:tc>
          <w:tcPr>
            <w:tcW w:w="3117" w:type="dxa"/>
          </w:tcPr>
          <w:p w14:paraId="6A6E1B82"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7.98</w:t>
            </w:r>
          </w:p>
        </w:tc>
        <w:tc>
          <w:tcPr>
            <w:tcW w:w="3117" w:type="dxa"/>
          </w:tcPr>
          <w:p w14:paraId="1D22415D"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6</w:t>
            </w:r>
          </w:p>
        </w:tc>
      </w:tr>
      <w:tr w:rsidR="008C28CF" w:rsidRPr="008C28CF" w14:paraId="51320529" w14:textId="77777777" w:rsidTr="004B0DA5">
        <w:trPr>
          <w:jc w:val="center"/>
        </w:trPr>
        <w:tc>
          <w:tcPr>
            <w:tcW w:w="3116" w:type="dxa"/>
          </w:tcPr>
          <w:p w14:paraId="157E2679"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Regulatory or compliance issues</w:t>
            </w:r>
          </w:p>
        </w:tc>
        <w:tc>
          <w:tcPr>
            <w:tcW w:w="3117" w:type="dxa"/>
          </w:tcPr>
          <w:p w14:paraId="2396B737"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4.20</w:t>
            </w:r>
          </w:p>
        </w:tc>
        <w:tc>
          <w:tcPr>
            <w:tcW w:w="3117" w:type="dxa"/>
          </w:tcPr>
          <w:p w14:paraId="67FF88DA"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7</w:t>
            </w:r>
          </w:p>
        </w:tc>
      </w:tr>
    </w:tbl>
    <w:p w14:paraId="06FCDA4D" w14:textId="77777777" w:rsidR="008C28CF" w:rsidRPr="008C28CF" w:rsidRDefault="008C28CF" w:rsidP="008C28CF">
      <w:pPr>
        <w:rPr>
          <w:rFonts w:ascii="Arial" w:hAnsi="Arial" w:cs="Arial"/>
          <w:sz w:val="20"/>
          <w:szCs w:val="20"/>
        </w:rPr>
      </w:pPr>
    </w:p>
    <w:p w14:paraId="2D4F7EBC" w14:textId="2A1A434D" w:rsidR="008C28CF" w:rsidRPr="008C28CF" w:rsidRDefault="008C28CF" w:rsidP="008C28CF">
      <w:pPr>
        <w:rPr>
          <w:rFonts w:ascii="Arial" w:hAnsi="Arial" w:cs="Arial"/>
          <w:b/>
          <w:bCs/>
        </w:rPr>
      </w:pPr>
      <w:r w:rsidRPr="008C28CF">
        <w:rPr>
          <w:rFonts w:ascii="Arial" w:hAnsi="Arial" w:cs="Arial"/>
          <w:b/>
          <w:bCs/>
        </w:rPr>
        <w:t xml:space="preserve"> Frequency of Managers Encountering Problems in Selling Green Products </w:t>
      </w:r>
    </w:p>
    <w:p w14:paraId="5DBDC611" w14:textId="77777777" w:rsidR="008C28CF" w:rsidRPr="008C28CF" w:rsidRDefault="008C28CF" w:rsidP="008C28CF">
      <w:pPr>
        <w:spacing w:line="360" w:lineRule="auto"/>
        <w:jc w:val="both"/>
        <w:rPr>
          <w:rFonts w:ascii="Arial" w:hAnsi="Arial" w:cs="Arial"/>
          <w:sz w:val="20"/>
          <w:szCs w:val="20"/>
        </w:rPr>
      </w:pPr>
      <w:r w:rsidRPr="008C28CF">
        <w:rPr>
          <w:rFonts w:ascii="Arial" w:hAnsi="Arial" w:cs="Arial"/>
          <w:sz w:val="20"/>
          <w:szCs w:val="20"/>
        </w:rPr>
        <w:t>The most common frequency reported for encountering problems is "sometimes (3-4 times per month)," with 30.00 percent of respondents (9 individuals) indicating that they face issues moderately often. A significant portion, 26.67 percent (8 individuals), stated that they never encounter such problems, suggesting that these issues may be non-existent or rare for some staff. Additionally, 13.34 percent (4 individuals) reported experiencing problems "rarely (1-2 times per month)," indicating that a smaller group faces issues infrequently. Meanwhile, 10 percent (3 individuals) mentioned encountering problems "often (5-7 times per month)," which may point to recurring operational or process-related challenges. Finally, 20.00 percent (6 individuals) reported facing problems "always (more than 8 times per month)," highlighting persistent challenges for a subset of managers or staff. Overall, the data indicates that 70.01 percent of respondents experience problems at least occasionally, while 26.67 percent report no issues at all. This distribution reflects variability in the frequency of problems, which may depend on factors such as job role, location, or organizational processes.</w:t>
      </w:r>
    </w:p>
    <w:p w14:paraId="066BF8D1" w14:textId="3F7CC403" w:rsidR="008C28CF" w:rsidRPr="008C28CF" w:rsidRDefault="008C28CF" w:rsidP="008C28CF">
      <w:pPr>
        <w:rPr>
          <w:rFonts w:ascii="Arial" w:hAnsi="Arial" w:cs="Arial"/>
          <w:b/>
          <w:bCs/>
          <w:sz w:val="20"/>
          <w:szCs w:val="20"/>
        </w:rPr>
      </w:pPr>
      <w:r w:rsidRPr="008C28CF">
        <w:rPr>
          <w:rFonts w:ascii="Arial" w:hAnsi="Arial" w:cs="Arial"/>
          <w:b/>
          <w:bCs/>
          <w:sz w:val="20"/>
          <w:szCs w:val="20"/>
        </w:rPr>
        <w:t xml:space="preserve">Table </w:t>
      </w:r>
      <w:r>
        <w:rPr>
          <w:rFonts w:ascii="Arial" w:hAnsi="Arial" w:cs="Arial"/>
          <w:b/>
          <w:bCs/>
          <w:sz w:val="20"/>
          <w:szCs w:val="20"/>
        </w:rPr>
        <w:t>4</w:t>
      </w:r>
      <w:r w:rsidRPr="008C28CF">
        <w:rPr>
          <w:rFonts w:ascii="Arial" w:hAnsi="Arial" w:cs="Arial"/>
          <w:b/>
          <w:bCs/>
          <w:sz w:val="20"/>
          <w:szCs w:val="20"/>
        </w:rPr>
        <w:t>: Frequency of Managers Encountering Problems in Selling Green Products</w:t>
      </w:r>
    </w:p>
    <w:tbl>
      <w:tblPr>
        <w:tblStyle w:val="TableGrid"/>
        <w:tblW w:w="0" w:type="auto"/>
        <w:tblLook w:val="04A0" w:firstRow="1" w:lastRow="0" w:firstColumn="1" w:lastColumn="0" w:noHBand="0" w:noVBand="1"/>
      </w:tblPr>
      <w:tblGrid>
        <w:gridCol w:w="2487"/>
        <w:gridCol w:w="2657"/>
        <w:gridCol w:w="2103"/>
        <w:gridCol w:w="2103"/>
      </w:tblGrid>
      <w:tr w:rsidR="008C28CF" w:rsidRPr="008C28CF" w14:paraId="2D606309" w14:textId="77777777" w:rsidTr="004B0DA5">
        <w:tc>
          <w:tcPr>
            <w:tcW w:w="2487" w:type="dxa"/>
          </w:tcPr>
          <w:p w14:paraId="77351741"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Frequency</w:t>
            </w:r>
          </w:p>
        </w:tc>
        <w:tc>
          <w:tcPr>
            <w:tcW w:w="2657" w:type="dxa"/>
          </w:tcPr>
          <w:p w14:paraId="4ACA14B2"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No. of Managers/Staff</w:t>
            </w:r>
          </w:p>
          <w:p w14:paraId="4588C2B6" w14:textId="77777777" w:rsidR="008C28CF" w:rsidRPr="008C28CF" w:rsidRDefault="008C28CF" w:rsidP="004B0DA5">
            <w:pPr>
              <w:jc w:val="center"/>
              <w:rPr>
                <w:rFonts w:ascii="Arial" w:hAnsi="Arial" w:cs="Arial"/>
                <w:b/>
                <w:bCs/>
                <w:sz w:val="20"/>
                <w:szCs w:val="20"/>
              </w:rPr>
            </w:pPr>
          </w:p>
        </w:tc>
        <w:tc>
          <w:tcPr>
            <w:tcW w:w="2103" w:type="dxa"/>
          </w:tcPr>
          <w:p w14:paraId="2AA295FD"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Percentage (%)</w:t>
            </w:r>
          </w:p>
        </w:tc>
        <w:tc>
          <w:tcPr>
            <w:tcW w:w="2103" w:type="dxa"/>
          </w:tcPr>
          <w:p w14:paraId="3A60C488"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Cumulative percentage (%)</w:t>
            </w:r>
          </w:p>
        </w:tc>
      </w:tr>
      <w:tr w:rsidR="008C28CF" w:rsidRPr="008C28CF" w14:paraId="340A9C94" w14:textId="77777777" w:rsidTr="004B0DA5">
        <w:tc>
          <w:tcPr>
            <w:tcW w:w="2487" w:type="dxa"/>
          </w:tcPr>
          <w:p w14:paraId="65C40AA3"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Never</w:t>
            </w:r>
          </w:p>
        </w:tc>
        <w:tc>
          <w:tcPr>
            <w:tcW w:w="2657" w:type="dxa"/>
          </w:tcPr>
          <w:p w14:paraId="2CD8FC29"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8</w:t>
            </w:r>
          </w:p>
        </w:tc>
        <w:tc>
          <w:tcPr>
            <w:tcW w:w="2103" w:type="dxa"/>
          </w:tcPr>
          <w:p w14:paraId="1B4E8EC8"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26.67</w:t>
            </w:r>
          </w:p>
        </w:tc>
        <w:tc>
          <w:tcPr>
            <w:tcW w:w="2103" w:type="dxa"/>
          </w:tcPr>
          <w:p w14:paraId="2FC858FD"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26.67</w:t>
            </w:r>
          </w:p>
        </w:tc>
      </w:tr>
      <w:tr w:rsidR="008C28CF" w:rsidRPr="008C28CF" w14:paraId="23800CAD" w14:textId="77777777" w:rsidTr="004B0DA5">
        <w:tc>
          <w:tcPr>
            <w:tcW w:w="2487" w:type="dxa"/>
          </w:tcPr>
          <w:p w14:paraId="1625BC39"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Rarely (1-2 times per month)</w:t>
            </w:r>
          </w:p>
        </w:tc>
        <w:tc>
          <w:tcPr>
            <w:tcW w:w="2657" w:type="dxa"/>
          </w:tcPr>
          <w:p w14:paraId="40B2A41C"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4</w:t>
            </w:r>
          </w:p>
        </w:tc>
        <w:tc>
          <w:tcPr>
            <w:tcW w:w="2103" w:type="dxa"/>
          </w:tcPr>
          <w:p w14:paraId="204E9200"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13.34</w:t>
            </w:r>
          </w:p>
        </w:tc>
        <w:tc>
          <w:tcPr>
            <w:tcW w:w="2103" w:type="dxa"/>
          </w:tcPr>
          <w:p w14:paraId="0143DCF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40.01</w:t>
            </w:r>
          </w:p>
        </w:tc>
      </w:tr>
      <w:tr w:rsidR="008C28CF" w:rsidRPr="008C28CF" w14:paraId="29857974" w14:textId="77777777" w:rsidTr="004B0DA5">
        <w:tc>
          <w:tcPr>
            <w:tcW w:w="2487" w:type="dxa"/>
          </w:tcPr>
          <w:p w14:paraId="02731DBF"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Sometimes (3-4 times per month)</w:t>
            </w:r>
          </w:p>
        </w:tc>
        <w:tc>
          <w:tcPr>
            <w:tcW w:w="2657" w:type="dxa"/>
          </w:tcPr>
          <w:p w14:paraId="1548DFA6"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9</w:t>
            </w:r>
          </w:p>
        </w:tc>
        <w:tc>
          <w:tcPr>
            <w:tcW w:w="2103" w:type="dxa"/>
          </w:tcPr>
          <w:p w14:paraId="27B8A86E"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30.00</w:t>
            </w:r>
          </w:p>
        </w:tc>
        <w:tc>
          <w:tcPr>
            <w:tcW w:w="2103" w:type="dxa"/>
          </w:tcPr>
          <w:p w14:paraId="722250D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70.01</w:t>
            </w:r>
          </w:p>
        </w:tc>
      </w:tr>
      <w:tr w:rsidR="008C28CF" w:rsidRPr="008C28CF" w14:paraId="6A727E84" w14:textId="77777777" w:rsidTr="004B0DA5">
        <w:tc>
          <w:tcPr>
            <w:tcW w:w="2487" w:type="dxa"/>
          </w:tcPr>
          <w:p w14:paraId="009131BC"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Often (5-7 times per month)</w:t>
            </w:r>
          </w:p>
        </w:tc>
        <w:tc>
          <w:tcPr>
            <w:tcW w:w="2657" w:type="dxa"/>
          </w:tcPr>
          <w:p w14:paraId="5D2D9D90"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3</w:t>
            </w:r>
          </w:p>
        </w:tc>
        <w:tc>
          <w:tcPr>
            <w:tcW w:w="2103" w:type="dxa"/>
          </w:tcPr>
          <w:p w14:paraId="3A0273DB"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10.00</w:t>
            </w:r>
          </w:p>
        </w:tc>
        <w:tc>
          <w:tcPr>
            <w:tcW w:w="2103" w:type="dxa"/>
          </w:tcPr>
          <w:p w14:paraId="0B2375F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80.01</w:t>
            </w:r>
          </w:p>
        </w:tc>
      </w:tr>
      <w:tr w:rsidR="008C28CF" w:rsidRPr="008C28CF" w14:paraId="5A20FB7D" w14:textId="77777777" w:rsidTr="004B0DA5">
        <w:tc>
          <w:tcPr>
            <w:tcW w:w="2487" w:type="dxa"/>
          </w:tcPr>
          <w:p w14:paraId="456C87B6"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Always (More than 8 times)</w:t>
            </w:r>
          </w:p>
        </w:tc>
        <w:tc>
          <w:tcPr>
            <w:tcW w:w="2657" w:type="dxa"/>
          </w:tcPr>
          <w:p w14:paraId="6F9F3153"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6</w:t>
            </w:r>
          </w:p>
        </w:tc>
        <w:tc>
          <w:tcPr>
            <w:tcW w:w="2103" w:type="dxa"/>
          </w:tcPr>
          <w:p w14:paraId="49341FAF"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20.00</w:t>
            </w:r>
          </w:p>
        </w:tc>
        <w:tc>
          <w:tcPr>
            <w:tcW w:w="2103" w:type="dxa"/>
          </w:tcPr>
          <w:p w14:paraId="6FB05104" w14:textId="77777777" w:rsidR="008C28CF" w:rsidRPr="008C28CF" w:rsidRDefault="008C28CF" w:rsidP="004B0DA5">
            <w:pPr>
              <w:jc w:val="center"/>
              <w:rPr>
                <w:rFonts w:ascii="Arial" w:hAnsi="Arial" w:cs="Arial"/>
                <w:sz w:val="20"/>
                <w:szCs w:val="20"/>
              </w:rPr>
            </w:pPr>
            <w:r w:rsidRPr="008C28CF">
              <w:rPr>
                <w:rFonts w:ascii="Arial" w:hAnsi="Arial" w:cs="Arial"/>
                <w:sz w:val="20"/>
                <w:szCs w:val="20"/>
              </w:rPr>
              <w:t>100</w:t>
            </w:r>
          </w:p>
        </w:tc>
      </w:tr>
      <w:tr w:rsidR="008C28CF" w:rsidRPr="008C28CF" w14:paraId="26BF3C37" w14:textId="77777777" w:rsidTr="004B0DA5">
        <w:tc>
          <w:tcPr>
            <w:tcW w:w="2487" w:type="dxa"/>
          </w:tcPr>
          <w:p w14:paraId="3E5CE01F" w14:textId="77777777" w:rsidR="008C28CF" w:rsidRPr="008C28CF" w:rsidRDefault="008C28CF" w:rsidP="004B0DA5">
            <w:pPr>
              <w:rPr>
                <w:rFonts w:ascii="Arial" w:hAnsi="Arial" w:cs="Arial"/>
                <w:b/>
                <w:bCs/>
                <w:sz w:val="20"/>
                <w:szCs w:val="20"/>
              </w:rPr>
            </w:pPr>
            <w:r w:rsidRPr="008C28CF">
              <w:rPr>
                <w:rFonts w:ascii="Arial" w:hAnsi="Arial" w:cs="Arial"/>
                <w:b/>
                <w:bCs/>
                <w:sz w:val="20"/>
                <w:szCs w:val="20"/>
              </w:rPr>
              <w:t>Total</w:t>
            </w:r>
          </w:p>
        </w:tc>
        <w:tc>
          <w:tcPr>
            <w:tcW w:w="2657" w:type="dxa"/>
          </w:tcPr>
          <w:p w14:paraId="0C0EECD1"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30</w:t>
            </w:r>
          </w:p>
        </w:tc>
        <w:tc>
          <w:tcPr>
            <w:tcW w:w="2103" w:type="dxa"/>
          </w:tcPr>
          <w:p w14:paraId="339FC274" w14:textId="77777777" w:rsidR="008C28CF" w:rsidRPr="008C28CF" w:rsidRDefault="008C28CF" w:rsidP="004B0DA5">
            <w:pPr>
              <w:jc w:val="center"/>
              <w:rPr>
                <w:rFonts w:ascii="Arial" w:hAnsi="Arial" w:cs="Arial"/>
                <w:b/>
                <w:bCs/>
                <w:sz w:val="20"/>
                <w:szCs w:val="20"/>
              </w:rPr>
            </w:pPr>
            <w:r w:rsidRPr="008C28CF">
              <w:rPr>
                <w:rFonts w:ascii="Arial" w:hAnsi="Arial" w:cs="Arial"/>
                <w:b/>
                <w:bCs/>
                <w:sz w:val="20"/>
                <w:szCs w:val="20"/>
              </w:rPr>
              <w:t>100</w:t>
            </w:r>
          </w:p>
        </w:tc>
        <w:tc>
          <w:tcPr>
            <w:tcW w:w="2103" w:type="dxa"/>
          </w:tcPr>
          <w:p w14:paraId="12F39C48" w14:textId="77777777" w:rsidR="008C28CF" w:rsidRPr="008C28CF" w:rsidRDefault="008C28CF" w:rsidP="004B0DA5">
            <w:pPr>
              <w:jc w:val="center"/>
              <w:rPr>
                <w:rFonts w:ascii="Arial" w:hAnsi="Arial" w:cs="Arial"/>
                <w:b/>
                <w:bCs/>
                <w:sz w:val="20"/>
                <w:szCs w:val="20"/>
              </w:rPr>
            </w:pPr>
          </w:p>
        </w:tc>
      </w:tr>
    </w:tbl>
    <w:p w14:paraId="479296D4" w14:textId="77777777" w:rsidR="00856E8A" w:rsidRDefault="00856E8A" w:rsidP="00856E8A">
      <w:pPr>
        <w:spacing w:line="360" w:lineRule="auto"/>
        <w:jc w:val="both"/>
        <w:rPr>
          <w:rFonts w:ascii="Arial" w:hAnsi="Arial" w:cs="Arial"/>
          <w:sz w:val="20"/>
          <w:szCs w:val="20"/>
        </w:rPr>
      </w:pPr>
    </w:p>
    <w:p w14:paraId="17765614" w14:textId="5AF060B7" w:rsidR="00B72746" w:rsidRDefault="00B72746" w:rsidP="00B72746">
      <w:pPr>
        <w:spacing w:line="360" w:lineRule="auto"/>
        <w:rPr>
          <w:rFonts w:ascii="Arial" w:hAnsi="Arial" w:cs="Arial"/>
          <w:b/>
          <w:bCs/>
        </w:rPr>
      </w:pPr>
      <w:r>
        <w:rPr>
          <w:rFonts w:ascii="Arial" w:hAnsi="Arial" w:cs="Arial"/>
          <w:b/>
          <w:bCs/>
        </w:rPr>
        <w:t>DISCUSSION</w:t>
      </w:r>
    </w:p>
    <w:p w14:paraId="1F6243A5" w14:textId="77777777" w:rsidR="00174F34" w:rsidRPr="00174F34" w:rsidRDefault="00174F34" w:rsidP="00174F34">
      <w:pPr>
        <w:spacing w:line="360" w:lineRule="auto"/>
        <w:jc w:val="both"/>
        <w:rPr>
          <w:rFonts w:ascii="Arial" w:hAnsi="Arial" w:cs="Arial"/>
          <w:sz w:val="20"/>
          <w:szCs w:val="20"/>
        </w:rPr>
      </w:pPr>
      <w:r w:rsidRPr="00174F34">
        <w:rPr>
          <w:rFonts w:ascii="Arial" w:hAnsi="Arial" w:cs="Arial"/>
          <w:sz w:val="20"/>
          <w:szCs w:val="20"/>
        </w:rPr>
        <w:t>Consumers identified lack of trust in green claims as the most critical constraint, driven by concerns over misleading or false environmental claims. Many reported experiences where products marketed as “green” were expensive but later found to be non-authentic. This distrust, combined with the high cost, also limits the availability and variety of green packaging materials, especially for different types of fast food.</w:t>
      </w:r>
    </w:p>
    <w:p w14:paraId="17C9E6BD" w14:textId="77777777" w:rsidR="00174F34" w:rsidRPr="00174F34" w:rsidRDefault="00174F34" w:rsidP="00174F34">
      <w:pPr>
        <w:spacing w:line="360" w:lineRule="auto"/>
        <w:jc w:val="both"/>
        <w:rPr>
          <w:rFonts w:ascii="Arial" w:hAnsi="Arial" w:cs="Arial"/>
          <w:sz w:val="20"/>
          <w:szCs w:val="20"/>
        </w:rPr>
      </w:pPr>
      <w:r w:rsidRPr="00174F34">
        <w:rPr>
          <w:rFonts w:ascii="Arial" w:hAnsi="Arial" w:cs="Arial"/>
          <w:sz w:val="20"/>
          <w:szCs w:val="20"/>
        </w:rPr>
        <w:lastRenderedPageBreak/>
        <w:t>From the managers’ perspective, the high cost of procuring biodegradable raw materials was the most significant constraint. Due to limited supply and rising demand, availability ranked second. Additionally, consumer resistance to paying higher prices for green packaging creates further challenges in adoption.</w:t>
      </w:r>
    </w:p>
    <w:p w14:paraId="40DA22E9" w14:textId="77777777" w:rsidR="00174F34" w:rsidRDefault="00174F34" w:rsidP="00B72746">
      <w:pPr>
        <w:spacing w:line="360" w:lineRule="auto"/>
        <w:rPr>
          <w:rFonts w:ascii="Arial" w:hAnsi="Arial" w:cs="Arial"/>
          <w:b/>
          <w:bCs/>
        </w:rPr>
      </w:pPr>
    </w:p>
    <w:p w14:paraId="12F90C55" w14:textId="5400E190" w:rsidR="00B72746" w:rsidRPr="00B72746" w:rsidRDefault="00B72746" w:rsidP="00B72746">
      <w:pPr>
        <w:spacing w:line="360" w:lineRule="auto"/>
        <w:rPr>
          <w:rFonts w:ascii="Arial" w:hAnsi="Arial" w:cs="Arial"/>
          <w:b/>
          <w:bCs/>
        </w:rPr>
      </w:pPr>
      <w:r w:rsidRPr="00B72746">
        <w:rPr>
          <w:rFonts w:ascii="Arial" w:hAnsi="Arial" w:cs="Arial"/>
          <w:b/>
          <w:bCs/>
        </w:rPr>
        <w:t>CONCLUSION</w:t>
      </w:r>
    </w:p>
    <w:p w14:paraId="34A000A9" w14:textId="739E1784" w:rsidR="00B72746" w:rsidRPr="00B72746" w:rsidRDefault="00B72746" w:rsidP="00B72746">
      <w:pPr>
        <w:tabs>
          <w:tab w:val="left" w:pos="5997"/>
        </w:tabs>
        <w:jc w:val="both"/>
        <w:rPr>
          <w:rFonts w:ascii="Arial" w:hAnsi="Arial" w:cs="Arial"/>
          <w:sz w:val="20"/>
          <w:szCs w:val="20"/>
        </w:rPr>
      </w:pPr>
      <w:r w:rsidRPr="00B72746">
        <w:rPr>
          <w:rFonts w:ascii="Arial" w:hAnsi="Arial" w:cs="Arial"/>
          <w:sz w:val="20"/>
          <w:szCs w:val="20"/>
        </w:rPr>
        <w:t>The study also highlights the challenges faced by consumers and managers/staff in adopting and promoting green products. Consumers identified a lack of trust in green claims as the most significant barrier, followed by limited availability, high costs, and limited product variety. For managers and staff, high costs were the primary challenge, along with limited availability, resistance to change, and lack of management support. Regulatory and compliance issues ranked lowest, suggesting fewer systemic barriers but greater operational and perception challenges. The frequency of encountering these challenges varied, with many experiencing them occasionally, while a smaller percentage faced them frequently or not at all. Overall, the findings suggest that while awareness and engagement with green products are growing, significant barriers remain. Addressing these issues through strategic interventions—such as building trust, improving product availability, enhancing variety, and reducing costs—can foster greater adoption and promote sustainable practices. Leveraging social media and other digital platforms can also amplify awareness efforts, particularly among rural and less-educated populations. By addressing these challenges and capitalizing on motivators like environmental and health benefits, businesses and policymakers can create a greener and more sustainable marketplace.</w:t>
      </w:r>
    </w:p>
    <w:p w14:paraId="7C599E05" w14:textId="77777777" w:rsidR="00AB6778" w:rsidRDefault="00AB6778" w:rsidP="00D54263">
      <w:pPr>
        <w:spacing w:line="360" w:lineRule="auto"/>
        <w:jc w:val="both"/>
        <w:rPr>
          <w:rFonts w:ascii="Arial" w:hAnsi="Arial" w:cs="Arial"/>
          <w:sz w:val="20"/>
          <w:szCs w:val="20"/>
        </w:rPr>
      </w:pPr>
      <w:bookmarkStart w:id="0" w:name="_GoBack"/>
      <w:bookmarkEnd w:id="0"/>
    </w:p>
    <w:p w14:paraId="521DD7D8" w14:textId="77777777" w:rsidR="00AB6778" w:rsidRPr="00AB6778" w:rsidRDefault="00AB6778" w:rsidP="00AB6778">
      <w:pPr>
        <w:spacing w:line="360" w:lineRule="auto"/>
        <w:jc w:val="both"/>
        <w:rPr>
          <w:rFonts w:ascii="Arial" w:hAnsi="Arial" w:cs="Arial"/>
          <w:sz w:val="20"/>
          <w:szCs w:val="20"/>
        </w:rPr>
      </w:pPr>
      <w:r w:rsidRPr="00AB6778">
        <w:rPr>
          <w:rFonts w:ascii="Arial" w:hAnsi="Arial" w:cs="Arial"/>
          <w:sz w:val="20"/>
          <w:szCs w:val="20"/>
        </w:rPr>
        <w:t>COMPETING INTERESTS DISCLAIMER:</w:t>
      </w:r>
    </w:p>
    <w:p w14:paraId="2456649B" w14:textId="5DEE6C8F" w:rsidR="00AB6778" w:rsidRDefault="00AB6778" w:rsidP="00AB6778">
      <w:pPr>
        <w:spacing w:line="360" w:lineRule="auto"/>
        <w:jc w:val="both"/>
        <w:rPr>
          <w:rFonts w:ascii="Arial" w:hAnsi="Arial" w:cs="Arial"/>
          <w:sz w:val="20"/>
          <w:szCs w:val="20"/>
        </w:rPr>
      </w:pPr>
      <w:r w:rsidRPr="00AB6778">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3CC2F781" w14:textId="77777777" w:rsidR="00AB6778" w:rsidRDefault="00AB6778" w:rsidP="00D54263">
      <w:pPr>
        <w:spacing w:line="360" w:lineRule="auto"/>
        <w:jc w:val="both"/>
        <w:rPr>
          <w:rFonts w:ascii="Arial" w:hAnsi="Arial" w:cs="Arial"/>
          <w:sz w:val="20"/>
          <w:szCs w:val="20"/>
        </w:rPr>
      </w:pPr>
    </w:p>
    <w:p w14:paraId="5B36CAE2" w14:textId="664B0A24" w:rsidR="00D54263" w:rsidRPr="00D54263" w:rsidRDefault="00D54263" w:rsidP="00D54263">
      <w:pPr>
        <w:tabs>
          <w:tab w:val="left" w:pos="5997"/>
        </w:tabs>
        <w:rPr>
          <w:rFonts w:ascii="Arial" w:hAnsi="Arial" w:cs="Arial"/>
        </w:rPr>
      </w:pPr>
      <w:r w:rsidRPr="00D54263">
        <w:rPr>
          <w:rFonts w:ascii="Arial" w:hAnsi="Arial" w:cs="Arial"/>
          <w:b/>
          <w:bCs/>
        </w:rPr>
        <w:t>REFERENCES</w:t>
      </w:r>
    </w:p>
    <w:p w14:paraId="601237D6"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Alam, A., </w:t>
      </w:r>
      <w:proofErr w:type="spellStart"/>
      <w:r w:rsidRPr="00D54263">
        <w:rPr>
          <w:rFonts w:ascii="Arial" w:hAnsi="Arial" w:cs="Arial"/>
          <w:sz w:val="20"/>
          <w:szCs w:val="20"/>
        </w:rPr>
        <w:t>Almotairi</w:t>
      </w:r>
      <w:proofErr w:type="spellEnd"/>
      <w:r w:rsidRPr="00D54263">
        <w:rPr>
          <w:rFonts w:ascii="Arial" w:hAnsi="Arial" w:cs="Arial"/>
          <w:sz w:val="20"/>
          <w:szCs w:val="20"/>
        </w:rPr>
        <w:t xml:space="preserve">, M., &amp; </w:t>
      </w:r>
      <w:proofErr w:type="spellStart"/>
      <w:r w:rsidRPr="00D54263">
        <w:rPr>
          <w:rFonts w:ascii="Arial" w:hAnsi="Arial" w:cs="Arial"/>
          <w:sz w:val="20"/>
          <w:szCs w:val="20"/>
        </w:rPr>
        <w:t>Gaadar</w:t>
      </w:r>
      <w:proofErr w:type="spellEnd"/>
      <w:r w:rsidRPr="00D54263">
        <w:rPr>
          <w:rFonts w:ascii="Arial" w:hAnsi="Arial" w:cs="Arial"/>
          <w:sz w:val="20"/>
          <w:szCs w:val="20"/>
        </w:rPr>
        <w:t xml:space="preserve">, K. (2012). Green marketing in Saudi Arabia: Rising challenges and opportunities for a better future. </w:t>
      </w:r>
      <w:r w:rsidRPr="00D54263">
        <w:rPr>
          <w:rFonts w:ascii="Arial" w:hAnsi="Arial" w:cs="Arial"/>
          <w:i/>
          <w:iCs/>
          <w:sz w:val="20"/>
          <w:szCs w:val="20"/>
        </w:rPr>
        <w:t>Journal of American Science</w:t>
      </w:r>
      <w:r w:rsidRPr="00D54263">
        <w:rPr>
          <w:rFonts w:ascii="Arial" w:hAnsi="Arial" w:cs="Arial"/>
          <w:sz w:val="20"/>
          <w:szCs w:val="20"/>
        </w:rPr>
        <w:t>, 8(11), 144–151.</w:t>
      </w:r>
    </w:p>
    <w:p w14:paraId="35F4F09F" w14:textId="77777777" w:rsidR="00D54263" w:rsidRPr="00D54263" w:rsidRDefault="00D54263" w:rsidP="00D54263">
      <w:pPr>
        <w:tabs>
          <w:tab w:val="left" w:pos="5997"/>
        </w:tabs>
        <w:ind w:hanging="567"/>
        <w:jc w:val="both"/>
        <w:rPr>
          <w:rFonts w:ascii="Arial" w:hAnsi="Arial" w:cs="Arial"/>
          <w:sz w:val="20"/>
          <w:szCs w:val="20"/>
        </w:rPr>
      </w:pPr>
      <w:proofErr w:type="spellStart"/>
      <w:r w:rsidRPr="00D54263">
        <w:rPr>
          <w:rFonts w:ascii="Arial" w:hAnsi="Arial" w:cs="Arial"/>
          <w:sz w:val="20"/>
          <w:szCs w:val="20"/>
        </w:rPr>
        <w:t>Anchliya</w:t>
      </w:r>
      <w:proofErr w:type="spellEnd"/>
      <w:r w:rsidRPr="00D54263">
        <w:rPr>
          <w:rFonts w:ascii="Arial" w:hAnsi="Arial" w:cs="Arial"/>
          <w:sz w:val="20"/>
          <w:szCs w:val="20"/>
        </w:rPr>
        <w:t xml:space="preserve">, N., et al. (2023). Assessment of factors influencing purchase intention for green cosmetic products. </w:t>
      </w:r>
      <w:r w:rsidRPr="00D54263">
        <w:rPr>
          <w:rFonts w:ascii="Arial" w:hAnsi="Arial" w:cs="Arial"/>
          <w:i/>
          <w:iCs/>
          <w:sz w:val="20"/>
          <w:szCs w:val="20"/>
        </w:rPr>
        <w:t>International Conference on Industrial Engineering and Operations Management,</w:t>
      </w:r>
      <w:r w:rsidRPr="00D54263">
        <w:rPr>
          <w:rFonts w:ascii="Arial" w:hAnsi="Arial" w:cs="Arial"/>
          <w:sz w:val="20"/>
          <w:szCs w:val="20"/>
        </w:rPr>
        <w:t xml:space="preserve"> 2701–2709.</w:t>
      </w:r>
    </w:p>
    <w:p w14:paraId="10BFE279"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Asha, P., &amp; Rathiha, R. (2017). Consumer awareness towards green products. </w:t>
      </w:r>
      <w:r w:rsidRPr="00D54263">
        <w:rPr>
          <w:rFonts w:ascii="Arial" w:hAnsi="Arial" w:cs="Arial"/>
          <w:i/>
          <w:iCs/>
          <w:sz w:val="20"/>
          <w:szCs w:val="20"/>
        </w:rPr>
        <w:t>International Journal of Management</w:t>
      </w:r>
      <w:r w:rsidRPr="00D54263">
        <w:rPr>
          <w:rFonts w:ascii="Arial" w:hAnsi="Arial" w:cs="Arial"/>
          <w:sz w:val="20"/>
          <w:szCs w:val="20"/>
        </w:rPr>
        <w:t>, 8(5), 8–14.</w:t>
      </w:r>
    </w:p>
    <w:p w14:paraId="2C600636" w14:textId="77777777" w:rsidR="00D54263" w:rsidRPr="00D54263" w:rsidRDefault="00D54263" w:rsidP="00D54263">
      <w:pPr>
        <w:tabs>
          <w:tab w:val="left" w:pos="5997"/>
        </w:tabs>
        <w:ind w:hanging="567"/>
        <w:jc w:val="both"/>
        <w:rPr>
          <w:rFonts w:ascii="Arial" w:hAnsi="Arial" w:cs="Arial"/>
          <w:sz w:val="20"/>
          <w:szCs w:val="20"/>
        </w:rPr>
      </w:pPr>
      <w:proofErr w:type="spellStart"/>
      <w:r w:rsidRPr="00D54263">
        <w:rPr>
          <w:rFonts w:ascii="Arial" w:hAnsi="Arial" w:cs="Arial"/>
          <w:sz w:val="20"/>
          <w:szCs w:val="20"/>
        </w:rPr>
        <w:t>Ayuningsasi</w:t>
      </w:r>
      <w:proofErr w:type="spellEnd"/>
      <w:r w:rsidRPr="00D54263">
        <w:rPr>
          <w:rFonts w:ascii="Arial" w:hAnsi="Arial" w:cs="Arial"/>
          <w:sz w:val="20"/>
          <w:szCs w:val="20"/>
        </w:rPr>
        <w:t xml:space="preserve">, A. A. K., &amp; </w:t>
      </w:r>
      <w:proofErr w:type="spellStart"/>
      <w:r w:rsidRPr="00D54263">
        <w:rPr>
          <w:rFonts w:ascii="Arial" w:hAnsi="Arial" w:cs="Arial"/>
          <w:sz w:val="20"/>
          <w:szCs w:val="20"/>
        </w:rPr>
        <w:t>Saraswaty</w:t>
      </w:r>
      <w:proofErr w:type="spellEnd"/>
      <w:r w:rsidRPr="00D54263">
        <w:rPr>
          <w:rFonts w:ascii="Arial" w:hAnsi="Arial" w:cs="Arial"/>
          <w:sz w:val="20"/>
          <w:szCs w:val="20"/>
        </w:rPr>
        <w:t xml:space="preserve">, A. N. (2021). Mapping of consumption of green products for urban society Denpasar City. </w:t>
      </w:r>
      <w:r w:rsidRPr="00D54263">
        <w:rPr>
          <w:rFonts w:ascii="Arial" w:hAnsi="Arial" w:cs="Arial"/>
          <w:i/>
          <w:iCs/>
          <w:sz w:val="20"/>
          <w:szCs w:val="20"/>
        </w:rPr>
        <w:t>Journal of Tourism Economics and Policy, 1</w:t>
      </w:r>
      <w:r w:rsidRPr="00D54263">
        <w:rPr>
          <w:rFonts w:ascii="Arial" w:hAnsi="Arial" w:cs="Arial"/>
          <w:sz w:val="20"/>
          <w:szCs w:val="20"/>
        </w:rPr>
        <w:t>(1), 1–6.</w:t>
      </w:r>
    </w:p>
    <w:p w14:paraId="7ADB1FAD"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Bhati, B. (2021). A study on awareness and usage of green products. </w:t>
      </w:r>
      <w:r w:rsidRPr="00D54263">
        <w:rPr>
          <w:rFonts w:ascii="Arial" w:hAnsi="Arial" w:cs="Arial"/>
          <w:i/>
          <w:iCs/>
          <w:sz w:val="20"/>
          <w:szCs w:val="20"/>
        </w:rPr>
        <w:t>International Journal of Research in Management &amp; Business Studies</w:t>
      </w:r>
      <w:r w:rsidRPr="00D54263">
        <w:rPr>
          <w:rFonts w:ascii="Arial" w:hAnsi="Arial" w:cs="Arial"/>
          <w:sz w:val="20"/>
          <w:szCs w:val="20"/>
        </w:rPr>
        <w:t>, 8(2), 9–13.</w:t>
      </w:r>
    </w:p>
    <w:p w14:paraId="435B3CCA"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Kumar, S. (2018). Green marketing in India: A sustainable perspective. </w:t>
      </w:r>
      <w:r w:rsidRPr="00D54263">
        <w:rPr>
          <w:rFonts w:ascii="Arial" w:hAnsi="Arial" w:cs="Arial"/>
          <w:i/>
          <w:iCs/>
          <w:sz w:val="20"/>
          <w:szCs w:val="20"/>
        </w:rPr>
        <w:t>International Journal of Trend in Scientific Research and Development,</w:t>
      </w:r>
      <w:r w:rsidRPr="00D54263">
        <w:rPr>
          <w:rFonts w:ascii="Arial" w:hAnsi="Arial" w:cs="Arial"/>
          <w:sz w:val="20"/>
          <w:szCs w:val="20"/>
        </w:rPr>
        <w:t xml:space="preserve"> 2(4), 932-939.</w:t>
      </w:r>
    </w:p>
    <w:p w14:paraId="1E37DE7D" w14:textId="62D6212F"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lastRenderedPageBreak/>
        <w:t>Majumdar, S. (2015). Analysis of factors influencing consumer preferences for green cosmetic and food products: A study in and around Kolkata (Doctoral dissertation, ICFAI University, Jharkhand). ICFAI University.</w:t>
      </w:r>
    </w:p>
    <w:p w14:paraId="605F115D" w14:textId="40EB2DFB" w:rsidR="00D54263" w:rsidRPr="00D54263" w:rsidRDefault="00D54263" w:rsidP="00D54263">
      <w:pPr>
        <w:tabs>
          <w:tab w:val="left" w:pos="5997"/>
        </w:tabs>
        <w:ind w:hanging="567"/>
        <w:jc w:val="both"/>
        <w:rPr>
          <w:rFonts w:ascii="Arial" w:hAnsi="Arial" w:cs="Arial"/>
          <w:sz w:val="20"/>
          <w:szCs w:val="20"/>
        </w:rPr>
      </w:pPr>
      <w:proofErr w:type="spellStart"/>
      <w:r w:rsidRPr="00D54263">
        <w:rPr>
          <w:rFonts w:ascii="Arial" w:hAnsi="Arial" w:cs="Arial"/>
          <w:sz w:val="20"/>
          <w:szCs w:val="20"/>
        </w:rPr>
        <w:t>Patowary</w:t>
      </w:r>
      <w:proofErr w:type="spellEnd"/>
      <w:r w:rsidRPr="00D54263">
        <w:rPr>
          <w:rFonts w:ascii="Arial" w:hAnsi="Arial" w:cs="Arial"/>
          <w:sz w:val="20"/>
          <w:szCs w:val="20"/>
        </w:rPr>
        <w:t xml:space="preserve">, B. (2020). Trends in green marketing and responsible consumerism in North-East. </w:t>
      </w:r>
      <w:r w:rsidRPr="00D54263">
        <w:rPr>
          <w:rFonts w:ascii="Arial" w:hAnsi="Arial" w:cs="Arial"/>
          <w:i/>
          <w:iCs/>
          <w:sz w:val="20"/>
          <w:szCs w:val="20"/>
        </w:rPr>
        <w:t>International Journal of Management,</w:t>
      </w:r>
      <w:r w:rsidRPr="00D54263">
        <w:rPr>
          <w:rFonts w:ascii="Arial" w:hAnsi="Arial" w:cs="Arial"/>
          <w:sz w:val="20"/>
          <w:szCs w:val="20"/>
        </w:rPr>
        <w:t xml:space="preserve"> 11(12), 4009–4015.</w:t>
      </w:r>
    </w:p>
    <w:p w14:paraId="3A2A0037"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Polonsky, M. J. (2011). Transformative green marketing: Impediments and opportunities. </w:t>
      </w:r>
      <w:r w:rsidRPr="00D54263">
        <w:rPr>
          <w:rFonts w:ascii="Arial" w:hAnsi="Arial" w:cs="Arial"/>
          <w:i/>
          <w:iCs/>
          <w:sz w:val="20"/>
          <w:szCs w:val="20"/>
        </w:rPr>
        <w:t>Journal of Business Research, 64</w:t>
      </w:r>
      <w:r w:rsidRPr="00D54263">
        <w:rPr>
          <w:rFonts w:ascii="Arial" w:hAnsi="Arial" w:cs="Arial"/>
          <w:sz w:val="20"/>
          <w:szCs w:val="20"/>
        </w:rPr>
        <w:t xml:space="preserve">(12), 1311–1319. </w:t>
      </w:r>
      <w:hyperlink r:id="rId8" w:history="1">
        <w:r w:rsidRPr="00D54263">
          <w:rPr>
            <w:rStyle w:val="Hyperlink"/>
            <w:rFonts w:ascii="Arial" w:hAnsi="Arial" w:cs="Arial"/>
            <w:sz w:val="20"/>
            <w:szCs w:val="20"/>
          </w:rPr>
          <w:t>https://doi.org/10.1016/j.jbusres.2011.01.016</w:t>
        </w:r>
      </w:hyperlink>
    </w:p>
    <w:p w14:paraId="7857193D"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Polonsky, M. J., &amp; Rosenberger, P. J. (2001). Revaluating green marketing: A strategic approach. Business Horizons, 44(5), 21–30. </w:t>
      </w:r>
      <w:hyperlink r:id="rId9" w:history="1">
        <w:r w:rsidRPr="00D54263">
          <w:rPr>
            <w:rStyle w:val="Hyperlink"/>
            <w:rFonts w:ascii="Arial" w:hAnsi="Arial" w:cs="Arial"/>
            <w:sz w:val="20"/>
            <w:szCs w:val="20"/>
          </w:rPr>
          <w:t>https://doi.org/10.1016/S0007-6813(01)80057-4</w:t>
        </w:r>
      </w:hyperlink>
      <w:r w:rsidRPr="00D54263">
        <w:rPr>
          <w:rFonts w:ascii="Arial" w:hAnsi="Arial" w:cs="Arial"/>
          <w:sz w:val="20"/>
          <w:szCs w:val="20"/>
        </w:rPr>
        <w:t xml:space="preserve"> </w:t>
      </w:r>
    </w:p>
    <w:p w14:paraId="40704281"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Ramli, Y., &amp; </w:t>
      </w:r>
      <w:proofErr w:type="spellStart"/>
      <w:r w:rsidRPr="00D54263">
        <w:rPr>
          <w:rFonts w:ascii="Arial" w:hAnsi="Arial" w:cs="Arial"/>
          <w:sz w:val="20"/>
          <w:szCs w:val="20"/>
        </w:rPr>
        <w:t>Maysari</w:t>
      </w:r>
      <w:proofErr w:type="spellEnd"/>
      <w:r w:rsidRPr="00D54263">
        <w:rPr>
          <w:rFonts w:ascii="Arial" w:hAnsi="Arial" w:cs="Arial"/>
          <w:sz w:val="20"/>
          <w:szCs w:val="20"/>
        </w:rPr>
        <w:t xml:space="preserve">, D. P. (2020). The influence of customer attitude towards customer purchase decision by implementing green marketing. </w:t>
      </w:r>
      <w:r w:rsidRPr="00D54263">
        <w:rPr>
          <w:rFonts w:ascii="Arial" w:hAnsi="Arial" w:cs="Arial"/>
          <w:i/>
          <w:iCs/>
          <w:sz w:val="20"/>
          <w:szCs w:val="20"/>
        </w:rPr>
        <w:t>International Journal of Emerging Trends in Social Sciences,</w:t>
      </w:r>
      <w:r w:rsidRPr="00D54263">
        <w:rPr>
          <w:rFonts w:ascii="Arial" w:hAnsi="Arial" w:cs="Arial"/>
          <w:sz w:val="20"/>
          <w:szCs w:val="20"/>
        </w:rPr>
        <w:t xml:space="preserve"> 8(2), 42-50.</w:t>
      </w:r>
    </w:p>
    <w:p w14:paraId="6D4571F7"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Sahoo, A. K., et al. (2020). The application of Garrett scoring techniques for assessment of the farmer problems in obtaining and repayment of agricultural credit</w:t>
      </w:r>
      <w:r w:rsidRPr="00D54263">
        <w:rPr>
          <w:rFonts w:ascii="Arial" w:hAnsi="Arial" w:cs="Arial"/>
          <w:i/>
          <w:iCs/>
          <w:sz w:val="20"/>
          <w:szCs w:val="20"/>
        </w:rPr>
        <w:t>. International Journal of Scientific &amp; Technology Research,</w:t>
      </w:r>
      <w:r w:rsidRPr="00D54263">
        <w:rPr>
          <w:rFonts w:ascii="Arial" w:hAnsi="Arial" w:cs="Arial"/>
          <w:sz w:val="20"/>
          <w:szCs w:val="20"/>
        </w:rPr>
        <w:t xml:space="preserve"> 9(3), 5192–5199.</w:t>
      </w:r>
    </w:p>
    <w:p w14:paraId="1C320E03" w14:textId="77777777"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Shamsi, M. S., &amp; Siddiqui, Z. S. (2017). Green product and consumer behavior: An analytical study. </w:t>
      </w:r>
      <w:proofErr w:type="spellStart"/>
      <w:r w:rsidRPr="00D54263">
        <w:rPr>
          <w:rFonts w:ascii="Arial" w:hAnsi="Arial" w:cs="Arial"/>
          <w:i/>
          <w:iCs/>
          <w:sz w:val="20"/>
          <w:szCs w:val="20"/>
        </w:rPr>
        <w:t>Pertanika</w:t>
      </w:r>
      <w:proofErr w:type="spellEnd"/>
      <w:r w:rsidRPr="00D54263">
        <w:rPr>
          <w:rFonts w:ascii="Arial" w:hAnsi="Arial" w:cs="Arial"/>
          <w:i/>
          <w:iCs/>
          <w:sz w:val="20"/>
          <w:szCs w:val="20"/>
        </w:rPr>
        <w:t xml:space="preserve"> Journal of Social Science and Humanities,</w:t>
      </w:r>
      <w:r w:rsidRPr="00D54263">
        <w:rPr>
          <w:rFonts w:ascii="Arial" w:hAnsi="Arial" w:cs="Arial"/>
          <w:sz w:val="20"/>
          <w:szCs w:val="20"/>
        </w:rPr>
        <w:t xml:space="preserve"> 25(4), 1545–1554.</w:t>
      </w:r>
    </w:p>
    <w:p w14:paraId="6605D4C9" w14:textId="58702E12" w:rsidR="00D54263" w:rsidRPr="00D54263" w:rsidRDefault="00D54263" w:rsidP="00D54263">
      <w:pPr>
        <w:tabs>
          <w:tab w:val="left" w:pos="5997"/>
        </w:tabs>
        <w:ind w:hanging="567"/>
        <w:jc w:val="both"/>
        <w:rPr>
          <w:rFonts w:ascii="Arial" w:hAnsi="Arial" w:cs="Arial"/>
          <w:sz w:val="20"/>
          <w:szCs w:val="20"/>
        </w:rPr>
      </w:pPr>
      <w:r w:rsidRPr="00D54263">
        <w:rPr>
          <w:rFonts w:ascii="Arial" w:hAnsi="Arial" w:cs="Arial"/>
          <w:sz w:val="20"/>
          <w:szCs w:val="20"/>
        </w:rPr>
        <w:t xml:space="preserve">Singh, P., &amp; Kumar, A. (2022). Green marketing: Its impact on the global market. </w:t>
      </w:r>
      <w:r w:rsidRPr="00D54263">
        <w:rPr>
          <w:rFonts w:ascii="Arial" w:hAnsi="Arial" w:cs="Arial"/>
          <w:i/>
          <w:iCs/>
          <w:sz w:val="20"/>
          <w:szCs w:val="20"/>
        </w:rPr>
        <w:t>International Journal of Novel Research and Development,</w:t>
      </w:r>
      <w:r w:rsidRPr="00D54263">
        <w:rPr>
          <w:rFonts w:ascii="Arial" w:hAnsi="Arial" w:cs="Arial"/>
          <w:sz w:val="20"/>
          <w:szCs w:val="20"/>
        </w:rPr>
        <w:t xml:space="preserve"> 7(5), 48–61. </w:t>
      </w:r>
      <w:hyperlink r:id="rId10" w:history="1">
        <w:r w:rsidRPr="00D54263">
          <w:rPr>
            <w:rStyle w:val="Hyperlink"/>
            <w:rFonts w:ascii="Arial" w:hAnsi="Arial" w:cs="Arial"/>
            <w:sz w:val="20"/>
            <w:szCs w:val="20"/>
          </w:rPr>
          <w:t>https://www.ijnrd.org</w:t>
        </w:r>
      </w:hyperlink>
    </w:p>
    <w:p w14:paraId="08C10375" w14:textId="77777777" w:rsidR="00D54263" w:rsidRPr="00D54263" w:rsidRDefault="00D54263" w:rsidP="00D54263">
      <w:pPr>
        <w:tabs>
          <w:tab w:val="left" w:pos="5997"/>
        </w:tabs>
        <w:jc w:val="both"/>
        <w:rPr>
          <w:rFonts w:ascii="Arial" w:hAnsi="Arial" w:cs="Arial"/>
          <w:b/>
          <w:bCs/>
          <w:sz w:val="20"/>
          <w:szCs w:val="20"/>
        </w:rPr>
      </w:pPr>
      <w:r w:rsidRPr="00D54263">
        <w:rPr>
          <w:rFonts w:ascii="Arial" w:hAnsi="Arial" w:cs="Arial"/>
          <w:b/>
          <w:bCs/>
          <w:sz w:val="20"/>
          <w:szCs w:val="20"/>
        </w:rPr>
        <w:t>Secondary sources:</w:t>
      </w:r>
    </w:p>
    <w:p w14:paraId="6FAE4A36" w14:textId="77777777" w:rsidR="00D54263" w:rsidRPr="00D54263" w:rsidRDefault="00D54263" w:rsidP="00D54263">
      <w:pPr>
        <w:tabs>
          <w:tab w:val="left" w:pos="5997"/>
        </w:tabs>
        <w:jc w:val="both"/>
        <w:rPr>
          <w:rFonts w:ascii="Arial" w:hAnsi="Arial" w:cs="Arial"/>
          <w:sz w:val="20"/>
          <w:szCs w:val="20"/>
        </w:rPr>
      </w:pPr>
      <w:r w:rsidRPr="00D54263">
        <w:rPr>
          <w:rFonts w:ascii="Arial" w:hAnsi="Arial" w:cs="Arial"/>
          <w:sz w:val="20"/>
          <w:szCs w:val="20"/>
        </w:rPr>
        <w:t>The Indian Express,2024</w:t>
      </w:r>
    </w:p>
    <w:p w14:paraId="0C61E7FD" w14:textId="77777777" w:rsidR="00D54263" w:rsidRPr="00D54263" w:rsidRDefault="00D54263" w:rsidP="00D54263">
      <w:pPr>
        <w:tabs>
          <w:tab w:val="left" w:pos="5997"/>
        </w:tabs>
        <w:jc w:val="both"/>
        <w:rPr>
          <w:rFonts w:ascii="Arial" w:hAnsi="Arial" w:cs="Arial"/>
          <w:sz w:val="20"/>
          <w:szCs w:val="20"/>
        </w:rPr>
      </w:pPr>
      <w:r w:rsidRPr="00D54263">
        <w:rPr>
          <w:rFonts w:ascii="Arial" w:hAnsi="Arial" w:cs="Arial"/>
          <w:sz w:val="20"/>
          <w:szCs w:val="20"/>
        </w:rPr>
        <w:t>The Times of India, 2023</w:t>
      </w:r>
    </w:p>
    <w:p w14:paraId="230D9DD1" w14:textId="77777777" w:rsidR="00D54263" w:rsidRPr="00D54263" w:rsidRDefault="00FF5AE0" w:rsidP="00D54263">
      <w:pPr>
        <w:tabs>
          <w:tab w:val="left" w:pos="5997"/>
        </w:tabs>
        <w:jc w:val="both"/>
        <w:rPr>
          <w:rFonts w:ascii="Arial" w:hAnsi="Arial" w:cs="Arial"/>
          <w:sz w:val="20"/>
          <w:szCs w:val="20"/>
        </w:rPr>
      </w:pPr>
      <w:hyperlink r:id="rId11" w:history="1">
        <w:r w:rsidR="00D54263" w:rsidRPr="00D54263">
          <w:rPr>
            <w:rStyle w:val="Hyperlink"/>
            <w:rFonts w:ascii="Arial" w:hAnsi="Arial" w:cs="Arial"/>
            <w:sz w:val="20"/>
            <w:szCs w:val="20"/>
          </w:rPr>
          <w:t>https://www.drishtiias.com/daily-updates/daily-news-analysis/world-bank-report-on-global-water-crisis</w:t>
        </w:r>
      </w:hyperlink>
    </w:p>
    <w:p w14:paraId="5C6C2AA6" w14:textId="77777777" w:rsidR="00D54263" w:rsidRPr="00D54263" w:rsidRDefault="00FF5AE0" w:rsidP="00D54263">
      <w:pPr>
        <w:tabs>
          <w:tab w:val="left" w:pos="5997"/>
        </w:tabs>
        <w:jc w:val="both"/>
        <w:rPr>
          <w:rFonts w:ascii="Arial" w:hAnsi="Arial" w:cs="Arial"/>
          <w:sz w:val="20"/>
          <w:szCs w:val="20"/>
        </w:rPr>
      </w:pPr>
      <w:hyperlink r:id="rId12" w:history="1">
        <w:r w:rsidR="00D54263" w:rsidRPr="00D54263">
          <w:rPr>
            <w:rStyle w:val="Hyperlink"/>
            <w:rFonts w:ascii="Arial" w:hAnsi="Arial" w:cs="Arial"/>
            <w:sz w:val="20"/>
            <w:szCs w:val="20"/>
          </w:rPr>
          <w:t>https://www.mospi.gov.in/</w:t>
        </w:r>
      </w:hyperlink>
    </w:p>
    <w:p w14:paraId="3CAD0656" w14:textId="77777777" w:rsidR="00D54263" w:rsidRPr="00D54263" w:rsidRDefault="00FF5AE0" w:rsidP="00D54263">
      <w:pPr>
        <w:tabs>
          <w:tab w:val="left" w:pos="5997"/>
        </w:tabs>
        <w:jc w:val="both"/>
        <w:rPr>
          <w:rFonts w:ascii="Arial" w:hAnsi="Arial" w:cs="Arial"/>
          <w:sz w:val="20"/>
          <w:szCs w:val="20"/>
        </w:rPr>
      </w:pPr>
      <w:hyperlink r:id="rId13" w:history="1">
        <w:r w:rsidR="00D54263" w:rsidRPr="00D54263">
          <w:rPr>
            <w:rStyle w:val="Hyperlink"/>
            <w:rFonts w:ascii="Arial" w:hAnsi="Arial" w:cs="Arial"/>
            <w:sz w:val="20"/>
            <w:szCs w:val="20"/>
          </w:rPr>
          <w:t>https://www.trade.gov/market-intelligence/india-solid-waste-management</w:t>
        </w:r>
      </w:hyperlink>
    </w:p>
    <w:p w14:paraId="54D8D786" w14:textId="77777777" w:rsidR="00D54263" w:rsidRPr="00D54263" w:rsidRDefault="00D54263" w:rsidP="00D54263">
      <w:pPr>
        <w:tabs>
          <w:tab w:val="left" w:pos="5997"/>
        </w:tabs>
        <w:jc w:val="both"/>
        <w:rPr>
          <w:rFonts w:ascii="Arial" w:hAnsi="Arial" w:cs="Arial"/>
          <w:sz w:val="20"/>
          <w:szCs w:val="20"/>
        </w:rPr>
      </w:pPr>
      <w:r w:rsidRPr="00D54263">
        <w:rPr>
          <w:rFonts w:ascii="Arial" w:hAnsi="Arial" w:cs="Arial"/>
          <w:sz w:val="20"/>
          <w:szCs w:val="20"/>
        </w:rPr>
        <w:t>(Assessed on 26th December 2024)</w:t>
      </w:r>
    </w:p>
    <w:p w14:paraId="1DD1180F" w14:textId="77777777" w:rsidR="00D54263" w:rsidRPr="00D54263" w:rsidRDefault="00D54263" w:rsidP="00D54263">
      <w:pPr>
        <w:tabs>
          <w:tab w:val="left" w:pos="5997"/>
        </w:tabs>
        <w:jc w:val="both"/>
        <w:rPr>
          <w:rFonts w:ascii="Arial" w:hAnsi="Arial" w:cs="Arial"/>
          <w:sz w:val="20"/>
          <w:szCs w:val="20"/>
        </w:rPr>
      </w:pPr>
    </w:p>
    <w:p w14:paraId="00BD3199" w14:textId="77777777" w:rsidR="00D54263" w:rsidRPr="00D54263" w:rsidRDefault="00D54263" w:rsidP="00D54263">
      <w:pPr>
        <w:spacing w:line="360" w:lineRule="auto"/>
        <w:jc w:val="both"/>
        <w:rPr>
          <w:rFonts w:ascii="Arial" w:hAnsi="Arial" w:cs="Arial"/>
          <w:sz w:val="20"/>
          <w:szCs w:val="20"/>
        </w:rPr>
      </w:pPr>
    </w:p>
    <w:p w14:paraId="7CC120C4" w14:textId="77777777" w:rsidR="00D54263" w:rsidRDefault="00D54263" w:rsidP="00D54263">
      <w:pPr>
        <w:spacing w:line="278" w:lineRule="auto"/>
        <w:rPr>
          <w:rFonts w:ascii="Arial" w:hAnsi="Arial" w:cs="Arial"/>
          <w:b/>
          <w:bCs/>
          <w:sz w:val="20"/>
          <w:szCs w:val="20"/>
        </w:rPr>
      </w:pPr>
    </w:p>
    <w:p w14:paraId="2CCB9FDF" w14:textId="77777777" w:rsidR="00D54263" w:rsidRDefault="00D54263" w:rsidP="00D54263">
      <w:pPr>
        <w:spacing w:line="278" w:lineRule="auto"/>
        <w:rPr>
          <w:rFonts w:ascii="Arial" w:hAnsi="Arial" w:cs="Arial"/>
          <w:b/>
          <w:bCs/>
          <w:sz w:val="20"/>
          <w:szCs w:val="20"/>
        </w:rPr>
      </w:pPr>
    </w:p>
    <w:p w14:paraId="77184D3D" w14:textId="77777777" w:rsidR="00D54263" w:rsidRDefault="00D54263" w:rsidP="00D54263">
      <w:pPr>
        <w:spacing w:line="278" w:lineRule="auto"/>
        <w:rPr>
          <w:rFonts w:ascii="Arial" w:hAnsi="Arial" w:cs="Arial"/>
          <w:b/>
          <w:bCs/>
          <w:sz w:val="20"/>
          <w:szCs w:val="20"/>
        </w:rPr>
      </w:pPr>
    </w:p>
    <w:p w14:paraId="219C2843" w14:textId="77777777" w:rsidR="00D54263" w:rsidRDefault="00D54263" w:rsidP="00D54263">
      <w:pPr>
        <w:spacing w:line="278" w:lineRule="auto"/>
        <w:rPr>
          <w:rFonts w:ascii="Arial" w:hAnsi="Arial" w:cs="Arial"/>
          <w:b/>
          <w:bCs/>
          <w:sz w:val="20"/>
          <w:szCs w:val="20"/>
        </w:rPr>
      </w:pPr>
    </w:p>
    <w:p w14:paraId="5891A9BC" w14:textId="77777777" w:rsidR="00D54263" w:rsidRDefault="00D54263" w:rsidP="00D54263">
      <w:pPr>
        <w:spacing w:line="278" w:lineRule="auto"/>
        <w:rPr>
          <w:rFonts w:ascii="Arial" w:hAnsi="Arial" w:cs="Arial"/>
          <w:b/>
          <w:bCs/>
          <w:sz w:val="20"/>
          <w:szCs w:val="20"/>
        </w:rPr>
      </w:pPr>
    </w:p>
    <w:p w14:paraId="3AD1F175" w14:textId="77777777" w:rsidR="00D54263" w:rsidRDefault="00D54263" w:rsidP="00D54263">
      <w:pPr>
        <w:spacing w:line="278" w:lineRule="auto"/>
        <w:rPr>
          <w:rFonts w:ascii="Arial" w:hAnsi="Arial" w:cs="Arial"/>
          <w:b/>
          <w:bCs/>
          <w:sz w:val="20"/>
          <w:szCs w:val="20"/>
        </w:rPr>
      </w:pPr>
    </w:p>
    <w:p w14:paraId="72C3A809" w14:textId="77777777" w:rsidR="00D54263" w:rsidRDefault="00D54263" w:rsidP="00D54263">
      <w:pPr>
        <w:spacing w:line="278" w:lineRule="auto"/>
        <w:rPr>
          <w:rFonts w:ascii="Arial" w:hAnsi="Arial" w:cs="Arial"/>
          <w:b/>
          <w:bCs/>
          <w:sz w:val="20"/>
          <w:szCs w:val="20"/>
        </w:rPr>
      </w:pPr>
    </w:p>
    <w:p w14:paraId="77C7A9FA" w14:textId="77777777" w:rsidR="00D54263" w:rsidRDefault="00D54263" w:rsidP="00D54263">
      <w:pPr>
        <w:spacing w:line="278" w:lineRule="auto"/>
        <w:rPr>
          <w:rFonts w:ascii="Arial" w:hAnsi="Arial" w:cs="Arial"/>
          <w:b/>
          <w:bCs/>
          <w:sz w:val="20"/>
          <w:szCs w:val="20"/>
        </w:rPr>
      </w:pPr>
    </w:p>
    <w:p w14:paraId="02315F8D" w14:textId="77777777" w:rsidR="00D54263" w:rsidRDefault="00D54263" w:rsidP="00D54263">
      <w:pPr>
        <w:spacing w:line="278" w:lineRule="auto"/>
        <w:rPr>
          <w:rFonts w:ascii="Arial" w:hAnsi="Arial" w:cs="Arial"/>
          <w:b/>
          <w:bCs/>
          <w:sz w:val="20"/>
          <w:szCs w:val="20"/>
        </w:rPr>
      </w:pPr>
    </w:p>
    <w:p w14:paraId="4927EA30" w14:textId="5FA5096D" w:rsidR="00D54263" w:rsidRPr="00D54263" w:rsidRDefault="00D54263" w:rsidP="00D54263">
      <w:pPr>
        <w:spacing w:line="278" w:lineRule="auto"/>
        <w:rPr>
          <w:rFonts w:ascii="Arial" w:hAnsi="Arial" w:cs="Arial"/>
          <w:b/>
          <w:bCs/>
        </w:rPr>
      </w:pPr>
      <w:r w:rsidRPr="00D54263">
        <w:rPr>
          <w:rFonts w:ascii="Arial" w:hAnsi="Arial" w:cs="Arial"/>
          <w:b/>
          <w:bCs/>
        </w:rPr>
        <w:lastRenderedPageBreak/>
        <w:t>APPENDIX-I</w:t>
      </w:r>
    </w:p>
    <w:p w14:paraId="1B500D47" w14:textId="77777777" w:rsidR="00D54263" w:rsidRPr="00D54263" w:rsidRDefault="00D54263" w:rsidP="00D54263">
      <w:pPr>
        <w:spacing w:line="278" w:lineRule="auto"/>
        <w:rPr>
          <w:rFonts w:ascii="Arial" w:hAnsi="Arial" w:cs="Arial"/>
          <w:b/>
          <w:bCs/>
          <w:sz w:val="20"/>
          <w:szCs w:val="20"/>
        </w:rPr>
      </w:pPr>
      <w:r w:rsidRPr="00D54263">
        <w:rPr>
          <w:rFonts w:ascii="Arial" w:hAnsi="Arial" w:cs="Arial"/>
          <w:b/>
          <w:bCs/>
          <w:sz w:val="20"/>
          <w:szCs w:val="20"/>
        </w:rPr>
        <w:t>Garrett Ranking Conversion Table</w:t>
      </w:r>
    </w:p>
    <w:p w14:paraId="691A2E76" w14:textId="33513ABD" w:rsidR="00D54263" w:rsidRPr="00D54263" w:rsidRDefault="00D54263" w:rsidP="00D54263">
      <w:pPr>
        <w:spacing w:line="278" w:lineRule="auto"/>
        <w:jc w:val="center"/>
        <w:rPr>
          <w:rFonts w:ascii="Arial" w:hAnsi="Arial" w:cs="Arial"/>
          <w:b/>
          <w:bCs/>
          <w:sz w:val="20"/>
          <w:szCs w:val="20"/>
        </w:rPr>
      </w:pPr>
    </w:p>
    <w:p w14:paraId="2C75649F" w14:textId="77777777" w:rsidR="00D54263" w:rsidRPr="00D54263" w:rsidRDefault="00D54263" w:rsidP="00D54263">
      <w:pPr>
        <w:tabs>
          <w:tab w:val="left" w:pos="5997"/>
        </w:tabs>
        <w:jc w:val="both"/>
        <w:rPr>
          <w:rFonts w:ascii="Arial" w:hAnsi="Arial" w:cs="Arial"/>
          <w:b/>
          <w:bCs/>
          <w:sz w:val="20"/>
          <w:szCs w:val="20"/>
        </w:rPr>
      </w:pPr>
    </w:p>
    <w:p w14:paraId="2EA1F5FD" w14:textId="77777777" w:rsidR="00D54263" w:rsidRPr="00D54263" w:rsidRDefault="00D54263" w:rsidP="00D54263">
      <w:pPr>
        <w:tabs>
          <w:tab w:val="left" w:pos="5997"/>
        </w:tabs>
        <w:jc w:val="both"/>
        <w:rPr>
          <w:rFonts w:ascii="Arial" w:hAnsi="Arial" w:cs="Arial"/>
          <w:b/>
          <w:bCs/>
          <w:sz w:val="20"/>
          <w:szCs w:val="20"/>
        </w:rPr>
      </w:pPr>
    </w:p>
    <w:p w14:paraId="1666B6AA" w14:textId="77777777" w:rsidR="00D54263" w:rsidRPr="00D54263" w:rsidRDefault="00D54263" w:rsidP="00D54263">
      <w:pPr>
        <w:tabs>
          <w:tab w:val="left" w:pos="5997"/>
        </w:tabs>
        <w:jc w:val="both"/>
        <w:rPr>
          <w:rFonts w:ascii="Arial" w:hAnsi="Arial" w:cs="Arial"/>
          <w:b/>
          <w:bCs/>
          <w:sz w:val="20"/>
          <w:szCs w:val="20"/>
        </w:rPr>
      </w:pPr>
    </w:p>
    <w:p w14:paraId="7D7A63BB" w14:textId="77777777" w:rsidR="00D54263" w:rsidRPr="00D54263" w:rsidRDefault="00D54263" w:rsidP="00D54263">
      <w:pPr>
        <w:tabs>
          <w:tab w:val="left" w:pos="5997"/>
        </w:tabs>
        <w:jc w:val="both"/>
        <w:rPr>
          <w:rFonts w:ascii="Arial" w:hAnsi="Arial" w:cs="Arial"/>
          <w:b/>
          <w:bCs/>
          <w:sz w:val="20"/>
          <w:szCs w:val="20"/>
        </w:rPr>
      </w:pPr>
    </w:p>
    <w:tbl>
      <w:tblPr>
        <w:tblStyle w:val="TableGrid2"/>
        <w:tblpPr w:leftFromText="180" w:rightFromText="180" w:vertAnchor="page" w:horzAnchor="margin" w:tblpY="2903"/>
        <w:tblW w:w="0" w:type="auto"/>
        <w:tblLook w:val="04A0" w:firstRow="1" w:lastRow="0" w:firstColumn="1" w:lastColumn="0" w:noHBand="0" w:noVBand="1"/>
      </w:tblPr>
      <w:tblGrid>
        <w:gridCol w:w="1558"/>
        <w:gridCol w:w="1558"/>
        <w:gridCol w:w="1558"/>
        <w:gridCol w:w="1558"/>
        <w:gridCol w:w="1559"/>
        <w:gridCol w:w="1559"/>
      </w:tblGrid>
      <w:tr w:rsidR="00D54263" w:rsidRPr="00D54263" w14:paraId="459C0217" w14:textId="77777777" w:rsidTr="004B0DA5">
        <w:tc>
          <w:tcPr>
            <w:tcW w:w="1558" w:type="dxa"/>
          </w:tcPr>
          <w:p w14:paraId="5B51042E"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Percent</w:t>
            </w:r>
          </w:p>
        </w:tc>
        <w:tc>
          <w:tcPr>
            <w:tcW w:w="1558" w:type="dxa"/>
          </w:tcPr>
          <w:p w14:paraId="4E1A2D4E"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Score</w:t>
            </w:r>
          </w:p>
        </w:tc>
        <w:tc>
          <w:tcPr>
            <w:tcW w:w="1558" w:type="dxa"/>
          </w:tcPr>
          <w:p w14:paraId="5D48E5F2"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Percent</w:t>
            </w:r>
          </w:p>
        </w:tc>
        <w:tc>
          <w:tcPr>
            <w:tcW w:w="1558" w:type="dxa"/>
          </w:tcPr>
          <w:p w14:paraId="50AA623C"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Score</w:t>
            </w:r>
          </w:p>
        </w:tc>
        <w:tc>
          <w:tcPr>
            <w:tcW w:w="1559" w:type="dxa"/>
          </w:tcPr>
          <w:p w14:paraId="33877229"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Percent</w:t>
            </w:r>
          </w:p>
        </w:tc>
        <w:tc>
          <w:tcPr>
            <w:tcW w:w="1559" w:type="dxa"/>
          </w:tcPr>
          <w:p w14:paraId="6E336AFB" w14:textId="77777777" w:rsidR="00D54263" w:rsidRPr="00D54263" w:rsidRDefault="00D54263" w:rsidP="004B0DA5">
            <w:pPr>
              <w:jc w:val="center"/>
              <w:rPr>
                <w:rFonts w:ascii="Arial" w:hAnsi="Arial" w:cs="Arial"/>
                <w:b/>
                <w:bCs/>
                <w:sz w:val="20"/>
                <w:szCs w:val="20"/>
              </w:rPr>
            </w:pPr>
            <w:r w:rsidRPr="00D54263">
              <w:rPr>
                <w:rFonts w:ascii="Arial" w:hAnsi="Arial" w:cs="Arial"/>
                <w:b/>
                <w:bCs/>
                <w:sz w:val="20"/>
                <w:szCs w:val="20"/>
              </w:rPr>
              <w:t>Score</w:t>
            </w:r>
          </w:p>
        </w:tc>
      </w:tr>
      <w:tr w:rsidR="00D54263" w:rsidRPr="00D54263" w14:paraId="24FD3098" w14:textId="77777777" w:rsidTr="004B0DA5">
        <w:tc>
          <w:tcPr>
            <w:tcW w:w="1558" w:type="dxa"/>
          </w:tcPr>
          <w:p w14:paraId="0D08FD3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0.09</w:t>
            </w:r>
          </w:p>
        </w:tc>
        <w:tc>
          <w:tcPr>
            <w:tcW w:w="1558" w:type="dxa"/>
          </w:tcPr>
          <w:p w14:paraId="2CE68D5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w:t>
            </w:r>
          </w:p>
        </w:tc>
        <w:tc>
          <w:tcPr>
            <w:tcW w:w="1558" w:type="dxa"/>
          </w:tcPr>
          <w:p w14:paraId="23C9B14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22.32</w:t>
            </w:r>
          </w:p>
        </w:tc>
        <w:tc>
          <w:tcPr>
            <w:tcW w:w="1558" w:type="dxa"/>
          </w:tcPr>
          <w:p w14:paraId="0BA1D24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65</w:t>
            </w:r>
          </w:p>
        </w:tc>
        <w:tc>
          <w:tcPr>
            <w:tcW w:w="1559" w:type="dxa"/>
          </w:tcPr>
          <w:p w14:paraId="5A0B873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83.31</w:t>
            </w:r>
          </w:p>
        </w:tc>
        <w:tc>
          <w:tcPr>
            <w:tcW w:w="1559" w:type="dxa"/>
          </w:tcPr>
          <w:p w14:paraId="07500C8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31</w:t>
            </w:r>
          </w:p>
        </w:tc>
      </w:tr>
      <w:tr w:rsidR="00D54263" w:rsidRPr="00D54263" w14:paraId="29069DED" w14:textId="77777777" w:rsidTr="004B0DA5">
        <w:tc>
          <w:tcPr>
            <w:tcW w:w="1558" w:type="dxa"/>
          </w:tcPr>
          <w:p w14:paraId="203E0EB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0.20</w:t>
            </w:r>
          </w:p>
        </w:tc>
        <w:tc>
          <w:tcPr>
            <w:tcW w:w="1558" w:type="dxa"/>
          </w:tcPr>
          <w:p w14:paraId="07C8222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w:t>
            </w:r>
          </w:p>
        </w:tc>
        <w:tc>
          <w:tcPr>
            <w:tcW w:w="1558" w:type="dxa"/>
          </w:tcPr>
          <w:p w14:paraId="23D2320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23.88</w:t>
            </w:r>
          </w:p>
        </w:tc>
        <w:tc>
          <w:tcPr>
            <w:tcW w:w="1558" w:type="dxa"/>
          </w:tcPr>
          <w:p w14:paraId="51D6929B" w14:textId="07DBB637" w:rsidR="00D54263" w:rsidRPr="00D54263" w:rsidRDefault="00D54263" w:rsidP="004B0DA5">
            <w:pPr>
              <w:jc w:val="center"/>
              <w:rPr>
                <w:rFonts w:ascii="Arial" w:hAnsi="Arial" w:cs="Arial"/>
                <w:sz w:val="20"/>
                <w:szCs w:val="20"/>
              </w:rPr>
            </w:pPr>
            <w:r w:rsidRPr="00D54263">
              <w:rPr>
                <w:rFonts w:ascii="Arial" w:hAnsi="Arial" w:cs="Arial"/>
                <w:sz w:val="20"/>
                <w:szCs w:val="20"/>
              </w:rPr>
              <w:t>64</w:t>
            </w:r>
          </w:p>
        </w:tc>
        <w:tc>
          <w:tcPr>
            <w:tcW w:w="1559" w:type="dxa"/>
          </w:tcPr>
          <w:p w14:paraId="2FC3308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84.56</w:t>
            </w:r>
          </w:p>
        </w:tc>
        <w:tc>
          <w:tcPr>
            <w:tcW w:w="1559" w:type="dxa"/>
          </w:tcPr>
          <w:p w14:paraId="6E28A9C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30</w:t>
            </w:r>
          </w:p>
        </w:tc>
      </w:tr>
      <w:tr w:rsidR="00D54263" w:rsidRPr="00D54263" w14:paraId="0D327CC2" w14:textId="77777777" w:rsidTr="004B0DA5">
        <w:tc>
          <w:tcPr>
            <w:tcW w:w="1558" w:type="dxa"/>
          </w:tcPr>
          <w:p w14:paraId="7DE5442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0.32</w:t>
            </w:r>
          </w:p>
        </w:tc>
        <w:tc>
          <w:tcPr>
            <w:tcW w:w="1558" w:type="dxa"/>
          </w:tcPr>
          <w:p w14:paraId="5F7512D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97</w:t>
            </w:r>
          </w:p>
        </w:tc>
        <w:tc>
          <w:tcPr>
            <w:tcW w:w="1558" w:type="dxa"/>
          </w:tcPr>
          <w:p w14:paraId="2961A23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25.48</w:t>
            </w:r>
          </w:p>
        </w:tc>
        <w:tc>
          <w:tcPr>
            <w:tcW w:w="1558" w:type="dxa"/>
          </w:tcPr>
          <w:p w14:paraId="21981FF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63</w:t>
            </w:r>
          </w:p>
        </w:tc>
        <w:tc>
          <w:tcPr>
            <w:tcW w:w="1559" w:type="dxa"/>
          </w:tcPr>
          <w:p w14:paraId="640E613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85.75</w:t>
            </w:r>
          </w:p>
        </w:tc>
        <w:tc>
          <w:tcPr>
            <w:tcW w:w="1559" w:type="dxa"/>
          </w:tcPr>
          <w:p w14:paraId="16B3DD0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29</w:t>
            </w:r>
          </w:p>
        </w:tc>
      </w:tr>
      <w:tr w:rsidR="00D54263" w:rsidRPr="00D54263" w14:paraId="1BC7F5C5" w14:textId="77777777" w:rsidTr="004B0DA5">
        <w:tc>
          <w:tcPr>
            <w:tcW w:w="1558" w:type="dxa"/>
          </w:tcPr>
          <w:p w14:paraId="64E8C89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0.45</w:t>
            </w:r>
          </w:p>
        </w:tc>
        <w:tc>
          <w:tcPr>
            <w:tcW w:w="1558" w:type="dxa"/>
          </w:tcPr>
          <w:p w14:paraId="5163FF7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96</w:t>
            </w:r>
          </w:p>
        </w:tc>
        <w:tc>
          <w:tcPr>
            <w:tcW w:w="1558" w:type="dxa"/>
          </w:tcPr>
          <w:p w14:paraId="044CD51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27.15</w:t>
            </w:r>
          </w:p>
        </w:tc>
        <w:tc>
          <w:tcPr>
            <w:tcW w:w="1558" w:type="dxa"/>
          </w:tcPr>
          <w:p w14:paraId="1298CC0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62</w:t>
            </w:r>
          </w:p>
        </w:tc>
        <w:tc>
          <w:tcPr>
            <w:tcW w:w="1559" w:type="dxa"/>
          </w:tcPr>
          <w:p w14:paraId="0AD7B9C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86.89</w:t>
            </w:r>
          </w:p>
        </w:tc>
        <w:tc>
          <w:tcPr>
            <w:tcW w:w="1559" w:type="dxa"/>
          </w:tcPr>
          <w:p w14:paraId="10FED89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28</w:t>
            </w:r>
          </w:p>
        </w:tc>
      </w:tr>
      <w:tr w:rsidR="00D54263" w:rsidRPr="00D54263" w14:paraId="27516FF3" w14:textId="77777777" w:rsidTr="004B0DA5">
        <w:tc>
          <w:tcPr>
            <w:tcW w:w="1558" w:type="dxa"/>
          </w:tcPr>
          <w:p w14:paraId="612C430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0.61</w:t>
            </w:r>
          </w:p>
        </w:tc>
        <w:tc>
          <w:tcPr>
            <w:tcW w:w="1558" w:type="dxa"/>
          </w:tcPr>
          <w:p w14:paraId="7A147A2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95</w:t>
            </w:r>
          </w:p>
        </w:tc>
        <w:tc>
          <w:tcPr>
            <w:tcW w:w="1558" w:type="dxa"/>
          </w:tcPr>
          <w:p w14:paraId="7E9EE16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28.86</w:t>
            </w:r>
          </w:p>
        </w:tc>
        <w:tc>
          <w:tcPr>
            <w:tcW w:w="1558" w:type="dxa"/>
          </w:tcPr>
          <w:p w14:paraId="30398E3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61</w:t>
            </w:r>
          </w:p>
        </w:tc>
        <w:tc>
          <w:tcPr>
            <w:tcW w:w="1559" w:type="dxa"/>
          </w:tcPr>
          <w:p w14:paraId="2B11F2E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87.96</w:t>
            </w:r>
          </w:p>
        </w:tc>
        <w:tc>
          <w:tcPr>
            <w:tcW w:w="1559" w:type="dxa"/>
          </w:tcPr>
          <w:p w14:paraId="6AA06BB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27</w:t>
            </w:r>
          </w:p>
        </w:tc>
      </w:tr>
      <w:tr w:rsidR="00D54263" w:rsidRPr="00D54263" w14:paraId="78BA29E9" w14:textId="77777777" w:rsidTr="004B0DA5">
        <w:tc>
          <w:tcPr>
            <w:tcW w:w="1558" w:type="dxa"/>
          </w:tcPr>
          <w:p w14:paraId="7A408BA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0.78</w:t>
            </w:r>
          </w:p>
        </w:tc>
        <w:tc>
          <w:tcPr>
            <w:tcW w:w="1558" w:type="dxa"/>
          </w:tcPr>
          <w:p w14:paraId="193A5F5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94</w:t>
            </w:r>
          </w:p>
        </w:tc>
        <w:tc>
          <w:tcPr>
            <w:tcW w:w="1558" w:type="dxa"/>
          </w:tcPr>
          <w:p w14:paraId="6F69103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30.61</w:t>
            </w:r>
          </w:p>
        </w:tc>
        <w:tc>
          <w:tcPr>
            <w:tcW w:w="1558" w:type="dxa"/>
          </w:tcPr>
          <w:p w14:paraId="2CA0900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60</w:t>
            </w:r>
          </w:p>
        </w:tc>
        <w:tc>
          <w:tcPr>
            <w:tcW w:w="1559" w:type="dxa"/>
          </w:tcPr>
          <w:p w14:paraId="26C272A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88.97</w:t>
            </w:r>
          </w:p>
        </w:tc>
        <w:tc>
          <w:tcPr>
            <w:tcW w:w="1559" w:type="dxa"/>
          </w:tcPr>
          <w:p w14:paraId="0CB4374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26</w:t>
            </w:r>
          </w:p>
        </w:tc>
      </w:tr>
      <w:tr w:rsidR="00D54263" w:rsidRPr="00D54263" w14:paraId="7B4140C1" w14:textId="77777777" w:rsidTr="004B0DA5">
        <w:tc>
          <w:tcPr>
            <w:tcW w:w="1558" w:type="dxa"/>
          </w:tcPr>
          <w:p w14:paraId="18E6BE8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0.97</w:t>
            </w:r>
          </w:p>
        </w:tc>
        <w:tc>
          <w:tcPr>
            <w:tcW w:w="1558" w:type="dxa"/>
          </w:tcPr>
          <w:p w14:paraId="6728876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93</w:t>
            </w:r>
          </w:p>
        </w:tc>
        <w:tc>
          <w:tcPr>
            <w:tcW w:w="1558" w:type="dxa"/>
          </w:tcPr>
          <w:p w14:paraId="18DE668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32.42</w:t>
            </w:r>
          </w:p>
        </w:tc>
        <w:tc>
          <w:tcPr>
            <w:tcW w:w="1558" w:type="dxa"/>
          </w:tcPr>
          <w:p w14:paraId="270F740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59</w:t>
            </w:r>
          </w:p>
        </w:tc>
        <w:tc>
          <w:tcPr>
            <w:tcW w:w="1559" w:type="dxa"/>
          </w:tcPr>
          <w:p w14:paraId="16E1F79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89.94</w:t>
            </w:r>
          </w:p>
        </w:tc>
        <w:tc>
          <w:tcPr>
            <w:tcW w:w="1559" w:type="dxa"/>
          </w:tcPr>
          <w:p w14:paraId="75E55D8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25</w:t>
            </w:r>
          </w:p>
        </w:tc>
      </w:tr>
      <w:tr w:rsidR="00D54263" w:rsidRPr="00D54263" w14:paraId="4FF86669" w14:textId="77777777" w:rsidTr="004B0DA5">
        <w:tc>
          <w:tcPr>
            <w:tcW w:w="1558" w:type="dxa"/>
          </w:tcPr>
          <w:p w14:paraId="115E281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1.18</w:t>
            </w:r>
          </w:p>
        </w:tc>
        <w:tc>
          <w:tcPr>
            <w:tcW w:w="1558" w:type="dxa"/>
          </w:tcPr>
          <w:p w14:paraId="6435F86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92</w:t>
            </w:r>
          </w:p>
        </w:tc>
        <w:tc>
          <w:tcPr>
            <w:tcW w:w="1558" w:type="dxa"/>
          </w:tcPr>
          <w:p w14:paraId="0587DB7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34.25</w:t>
            </w:r>
          </w:p>
        </w:tc>
        <w:tc>
          <w:tcPr>
            <w:tcW w:w="1558" w:type="dxa"/>
          </w:tcPr>
          <w:p w14:paraId="47FB3FB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58</w:t>
            </w:r>
          </w:p>
        </w:tc>
        <w:tc>
          <w:tcPr>
            <w:tcW w:w="1559" w:type="dxa"/>
          </w:tcPr>
          <w:p w14:paraId="0CC8475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90.83</w:t>
            </w:r>
          </w:p>
        </w:tc>
        <w:tc>
          <w:tcPr>
            <w:tcW w:w="1559" w:type="dxa"/>
          </w:tcPr>
          <w:p w14:paraId="7A66AC9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24</w:t>
            </w:r>
          </w:p>
        </w:tc>
      </w:tr>
      <w:tr w:rsidR="00D54263" w:rsidRPr="00D54263" w14:paraId="6F2A4CDD" w14:textId="77777777" w:rsidTr="004B0DA5">
        <w:tc>
          <w:tcPr>
            <w:tcW w:w="1558" w:type="dxa"/>
          </w:tcPr>
          <w:p w14:paraId="077DBBA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1.42</w:t>
            </w:r>
          </w:p>
        </w:tc>
        <w:tc>
          <w:tcPr>
            <w:tcW w:w="1558" w:type="dxa"/>
          </w:tcPr>
          <w:p w14:paraId="7D95235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91</w:t>
            </w:r>
          </w:p>
        </w:tc>
        <w:tc>
          <w:tcPr>
            <w:tcW w:w="1558" w:type="dxa"/>
          </w:tcPr>
          <w:p w14:paraId="5D7A0F2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36.15</w:t>
            </w:r>
          </w:p>
        </w:tc>
        <w:tc>
          <w:tcPr>
            <w:tcW w:w="1558" w:type="dxa"/>
          </w:tcPr>
          <w:p w14:paraId="2EA54FA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57</w:t>
            </w:r>
          </w:p>
        </w:tc>
        <w:tc>
          <w:tcPr>
            <w:tcW w:w="1559" w:type="dxa"/>
          </w:tcPr>
          <w:p w14:paraId="16EE4BE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91.67</w:t>
            </w:r>
          </w:p>
        </w:tc>
        <w:tc>
          <w:tcPr>
            <w:tcW w:w="1559" w:type="dxa"/>
          </w:tcPr>
          <w:p w14:paraId="4EE2D5A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23</w:t>
            </w:r>
          </w:p>
        </w:tc>
      </w:tr>
      <w:tr w:rsidR="00D54263" w:rsidRPr="00D54263" w14:paraId="5A2D7C0B" w14:textId="77777777" w:rsidTr="004B0DA5">
        <w:tc>
          <w:tcPr>
            <w:tcW w:w="1558" w:type="dxa"/>
          </w:tcPr>
          <w:p w14:paraId="44D3B02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1.68</w:t>
            </w:r>
          </w:p>
        </w:tc>
        <w:tc>
          <w:tcPr>
            <w:tcW w:w="1558" w:type="dxa"/>
          </w:tcPr>
          <w:p w14:paraId="0819710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90</w:t>
            </w:r>
          </w:p>
        </w:tc>
        <w:tc>
          <w:tcPr>
            <w:tcW w:w="1558" w:type="dxa"/>
          </w:tcPr>
          <w:p w14:paraId="53110CF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38.06</w:t>
            </w:r>
          </w:p>
        </w:tc>
        <w:tc>
          <w:tcPr>
            <w:tcW w:w="1558" w:type="dxa"/>
          </w:tcPr>
          <w:p w14:paraId="502BB5F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56</w:t>
            </w:r>
          </w:p>
        </w:tc>
        <w:tc>
          <w:tcPr>
            <w:tcW w:w="1559" w:type="dxa"/>
          </w:tcPr>
          <w:p w14:paraId="37F0110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92.45</w:t>
            </w:r>
          </w:p>
        </w:tc>
        <w:tc>
          <w:tcPr>
            <w:tcW w:w="1559" w:type="dxa"/>
          </w:tcPr>
          <w:p w14:paraId="0FCA2D0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22</w:t>
            </w:r>
          </w:p>
        </w:tc>
      </w:tr>
      <w:tr w:rsidR="00D54263" w:rsidRPr="00D54263" w14:paraId="753B5E01" w14:textId="77777777" w:rsidTr="004B0DA5">
        <w:tc>
          <w:tcPr>
            <w:tcW w:w="1558" w:type="dxa"/>
          </w:tcPr>
          <w:p w14:paraId="1DFC956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1.96</w:t>
            </w:r>
          </w:p>
        </w:tc>
        <w:tc>
          <w:tcPr>
            <w:tcW w:w="1558" w:type="dxa"/>
          </w:tcPr>
          <w:p w14:paraId="7DFD51D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89</w:t>
            </w:r>
          </w:p>
        </w:tc>
        <w:tc>
          <w:tcPr>
            <w:tcW w:w="1558" w:type="dxa"/>
          </w:tcPr>
          <w:p w14:paraId="7A3A47E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40.01</w:t>
            </w:r>
          </w:p>
        </w:tc>
        <w:tc>
          <w:tcPr>
            <w:tcW w:w="1558" w:type="dxa"/>
          </w:tcPr>
          <w:p w14:paraId="28E540D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55</w:t>
            </w:r>
          </w:p>
        </w:tc>
        <w:tc>
          <w:tcPr>
            <w:tcW w:w="1559" w:type="dxa"/>
          </w:tcPr>
          <w:p w14:paraId="7DF4219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93.19</w:t>
            </w:r>
          </w:p>
        </w:tc>
        <w:tc>
          <w:tcPr>
            <w:tcW w:w="1559" w:type="dxa"/>
          </w:tcPr>
          <w:p w14:paraId="19B94FE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21</w:t>
            </w:r>
          </w:p>
        </w:tc>
      </w:tr>
      <w:tr w:rsidR="00D54263" w:rsidRPr="00D54263" w14:paraId="20D3DD58" w14:textId="77777777" w:rsidTr="004B0DA5">
        <w:tc>
          <w:tcPr>
            <w:tcW w:w="1558" w:type="dxa"/>
          </w:tcPr>
          <w:p w14:paraId="01924DB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2.28</w:t>
            </w:r>
          </w:p>
        </w:tc>
        <w:tc>
          <w:tcPr>
            <w:tcW w:w="1558" w:type="dxa"/>
          </w:tcPr>
          <w:p w14:paraId="64BB468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88</w:t>
            </w:r>
          </w:p>
        </w:tc>
        <w:tc>
          <w:tcPr>
            <w:tcW w:w="1558" w:type="dxa"/>
          </w:tcPr>
          <w:p w14:paraId="7F8EABD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41.97</w:t>
            </w:r>
          </w:p>
        </w:tc>
        <w:tc>
          <w:tcPr>
            <w:tcW w:w="1558" w:type="dxa"/>
          </w:tcPr>
          <w:p w14:paraId="1F6294B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54</w:t>
            </w:r>
          </w:p>
        </w:tc>
        <w:tc>
          <w:tcPr>
            <w:tcW w:w="1559" w:type="dxa"/>
          </w:tcPr>
          <w:p w14:paraId="23F0336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93.86</w:t>
            </w:r>
          </w:p>
        </w:tc>
        <w:tc>
          <w:tcPr>
            <w:tcW w:w="1559" w:type="dxa"/>
          </w:tcPr>
          <w:p w14:paraId="50EFF697"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20</w:t>
            </w:r>
          </w:p>
        </w:tc>
      </w:tr>
      <w:tr w:rsidR="00D54263" w:rsidRPr="00D54263" w14:paraId="7A9C9A9B" w14:textId="77777777" w:rsidTr="004B0DA5">
        <w:tc>
          <w:tcPr>
            <w:tcW w:w="1558" w:type="dxa"/>
          </w:tcPr>
          <w:p w14:paraId="7ADF2E5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2.69</w:t>
            </w:r>
          </w:p>
        </w:tc>
        <w:tc>
          <w:tcPr>
            <w:tcW w:w="1558" w:type="dxa"/>
          </w:tcPr>
          <w:p w14:paraId="5F00BFD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87</w:t>
            </w:r>
          </w:p>
        </w:tc>
        <w:tc>
          <w:tcPr>
            <w:tcW w:w="1558" w:type="dxa"/>
          </w:tcPr>
          <w:p w14:paraId="3ACCF3B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43.97</w:t>
            </w:r>
          </w:p>
        </w:tc>
        <w:tc>
          <w:tcPr>
            <w:tcW w:w="1558" w:type="dxa"/>
          </w:tcPr>
          <w:p w14:paraId="63AEDEC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53</w:t>
            </w:r>
          </w:p>
        </w:tc>
        <w:tc>
          <w:tcPr>
            <w:tcW w:w="1559" w:type="dxa"/>
          </w:tcPr>
          <w:p w14:paraId="46A4E7E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94.49</w:t>
            </w:r>
          </w:p>
        </w:tc>
        <w:tc>
          <w:tcPr>
            <w:tcW w:w="1559" w:type="dxa"/>
          </w:tcPr>
          <w:p w14:paraId="3F60AB6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19</w:t>
            </w:r>
          </w:p>
        </w:tc>
      </w:tr>
      <w:tr w:rsidR="00D54263" w:rsidRPr="00D54263" w14:paraId="79E38B08" w14:textId="77777777" w:rsidTr="004B0DA5">
        <w:tc>
          <w:tcPr>
            <w:tcW w:w="1558" w:type="dxa"/>
          </w:tcPr>
          <w:p w14:paraId="64E426B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3.01</w:t>
            </w:r>
          </w:p>
        </w:tc>
        <w:tc>
          <w:tcPr>
            <w:tcW w:w="1558" w:type="dxa"/>
          </w:tcPr>
          <w:p w14:paraId="1FAF195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86</w:t>
            </w:r>
          </w:p>
        </w:tc>
        <w:tc>
          <w:tcPr>
            <w:tcW w:w="1558" w:type="dxa"/>
          </w:tcPr>
          <w:p w14:paraId="1B6D1CE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45.97</w:t>
            </w:r>
          </w:p>
        </w:tc>
        <w:tc>
          <w:tcPr>
            <w:tcW w:w="1558" w:type="dxa"/>
          </w:tcPr>
          <w:p w14:paraId="43FA265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52</w:t>
            </w:r>
          </w:p>
        </w:tc>
        <w:tc>
          <w:tcPr>
            <w:tcW w:w="1559" w:type="dxa"/>
          </w:tcPr>
          <w:p w14:paraId="6E9D33A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95.08</w:t>
            </w:r>
          </w:p>
        </w:tc>
        <w:tc>
          <w:tcPr>
            <w:tcW w:w="1559" w:type="dxa"/>
          </w:tcPr>
          <w:p w14:paraId="1FD2ED3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18</w:t>
            </w:r>
          </w:p>
        </w:tc>
      </w:tr>
      <w:tr w:rsidR="00D54263" w:rsidRPr="00D54263" w14:paraId="1DC26A45" w14:textId="77777777" w:rsidTr="004B0DA5">
        <w:tc>
          <w:tcPr>
            <w:tcW w:w="1558" w:type="dxa"/>
          </w:tcPr>
          <w:p w14:paraId="29599E4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3.43</w:t>
            </w:r>
          </w:p>
        </w:tc>
        <w:tc>
          <w:tcPr>
            <w:tcW w:w="1558" w:type="dxa"/>
          </w:tcPr>
          <w:p w14:paraId="6E18F04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85</w:t>
            </w:r>
          </w:p>
        </w:tc>
        <w:tc>
          <w:tcPr>
            <w:tcW w:w="1558" w:type="dxa"/>
          </w:tcPr>
          <w:p w14:paraId="4DC6339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47.98</w:t>
            </w:r>
          </w:p>
        </w:tc>
        <w:tc>
          <w:tcPr>
            <w:tcW w:w="1558" w:type="dxa"/>
          </w:tcPr>
          <w:p w14:paraId="47B5645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51</w:t>
            </w:r>
          </w:p>
        </w:tc>
        <w:tc>
          <w:tcPr>
            <w:tcW w:w="1559" w:type="dxa"/>
          </w:tcPr>
          <w:p w14:paraId="14D76AE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95.62</w:t>
            </w:r>
          </w:p>
        </w:tc>
        <w:tc>
          <w:tcPr>
            <w:tcW w:w="1559" w:type="dxa"/>
          </w:tcPr>
          <w:p w14:paraId="272DA93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17</w:t>
            </w:r>
          </w:p>
        </w:tc>
      </w:tr>
      <w:tr w:rsidR="00D54263" w:rsidRPr="00D54263" w14:paraId="385FD1F3" w14:textId="77777777" w:rsidTr="004B0DA5">
        <w:tc>
          <w:tcPr>
            <w:tcW w:w="1558" w:type="dxa"/>
          </w:tcPr>
          <w:p w14:paraId="46739C2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3.89</w:t>
            </w:r>
          </w:p>
        </w:tc>
        <w:tc>
          <w:tcPr>
            <w:tcW w:w="1558" w:type="dxa"/>
          </w:tcPr>
          <w:p w14:paraId="5C39674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84</w:t>
            </w:r>
          </w:p>
        </w:tc>
        <w:tc>
          <w:tcPr>
            <w:tcW w:w="1558" w:type="dxa"/>
          </w:tcPr>
          <w:p w14:paraId="213B8E4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50.00</w:t>
            </w:r>
          </w:p>
        </w:tc>
        <w:tc>
          <w:tcPr>
            <w:tcW w:w="1558" w:type="dxa"/>
          </w:tcPr>
          <w:p w14:paraId="04CDBC7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50</w:t>
            </w:r>
          </w:p>
        </w:tc>
        <w:tc>
          <w:tcPr>
            <w:tcW w:w="1559" w:type="dxa"/>
          </w:tcPr>
          <w:p w14:paraId="63C4F5E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96.11</w:t>
            </w:r>
          </w:p>
        </w:tc>
        <w:tc>
          <w:tcPr>
            <w:tcW w:w="1559" w:type="dxa"/>
          </w:tcPr>
          <w:p w14:paraId="161B823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16</w:t>
            </w:r>
          </w:p>
        </w:tc>
      </w:tr>
      <w:tr w:rsidR="00D54263" w:rsidRPr="00D54263" w14:paraId="51B6C423" w14:textId="77777777" w:rsidTr="004B0DA5">
        <w:tc>
          <w:tcPr>
            <w:tcW w:w="1558" w:type="dxa"/>
          </w:tcPr>
          <w:p w14:paraId="4F0619D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4.38</w:t>
            </w:r>
          </w:p>
        </w:tc>
        <w:tc>
          <w:tcPr>
            <w:tcW w:w="1558" w:type="dxa"/>
          </w:tcPr>
          <w:p w14:paraId="381925C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83</w:t>
            </w:r>
          </w:p>
        </w:tc>
        <w:tc>
          <w:tcPr>
            <w:tcW w:w="1558" w:type="dxa"/>
          </w:tcPr>
          <w:p w14:paraId="37CB9F6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52.02</w:t>
            </w:r>
          </w:p>
        </w:tc>
        <w:tc>
          <w:tcPr>
            <w:tcW w:w="1558" w:type="dxa"/>
          </w:tcPr>
          <w:p w14:paraId="19B0322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49</w:t>
            </w:r>
          </w:p>
        </w:tc>
        <w:tc>
          <w:tcPr>
            <w:tcW w:w="1559" w:type="dxa"/>
          </w:tcPr>
          <w:p w14:paraId="177FD66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96.57</w:t>
            </w:r>
          </w:p>
        </w:tc>
        <w:tc>
          <w:tcPr>
            <w:tcW w:w="1559" w:type="dxa"/>
          </w:tcPr>
          <w:p w14:paraId="1E522DE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15</w:t>
            </w:r>
          </w:p>
        </w:tc>
      </w:tr>
      <w:tr w:rsidR="00D54263" w:rsidRPr="00D54263" w14:paraId="1AAA5A7F" w14:textId="77777777" w:rsidTr="004B0DA5">
        <w:tc>
          <w:tcPr>
            <w:tcW w:w="1558" w:type="dxa"/>
          </w:tcPr>
          <w:p w14:paraId="6B8F63C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4.92</w:t>
            </w:r>
          </w:p>
        </w:tc>
        <w:tc>
          <w:tcPr>
            <w:tcW w:w="1558" w:type="dxa"/>
          </w:tcPr>
          <w:p w14:paraId="76F3CD2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82</w:t>
            </w:r>
          </w:p>
        </w:tc>
        <w:tc>
          <w:tcPr>
            <w:tcW w:w="1558" w:type="dxa"/>
          </w:tcPr>
          <w:p w14:paraId="0212B87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54.03</w:t>
            </w:r>
          </w:p>
        </w:tc>
        <w:tc>
          <w:tcPr>
            <w:tcW w:w="1558" w:type="dxa"/>
          </w:tcPr>
          <w:p w14:paraId="233BC94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48</w:t>
            </w:r>
          </w:p>
        </w:tc>
        <w:tc>
          <w:tcPr>
            <w:tcW w:w="1559" w:type="dxa"/>
          </w:tcPr>
          <w:p w14:paraId="47A69CE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96.99</w:t>
            </w:r>
          </w:p>
        </w:tc>
        <w:tc>
          <w:tcPr>
            <w:tcW w:w="1559" w:type="dxa"/>
          </w:tcPr>
          <w:p w14:paraId="5DDDA25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14</w:t>
            </w:r>
          </w:p>
        </w:tc>
      </w:tr>
      <w:tr w:rsidR="00D54263" w:rsidRPr="00D54263" w14:paraId="64F11E79" w14:textId="77777777" w:rsidTr="004B0DA5">
        <w:tc>
          <w:tcPr>
            <w:tcW w:w="1558" w:type="dxa"/>
          </w:tcPr>
          <w:p w14:paraId="145E810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5.51</w:t>
            </w:r>
          </w:p>
        </w:tc>
        <w:tc>
          <w:tcPr>
            <w:tcW w:w="1558" w:type="dxa"/>
          </w:tcPr>
          <w:p w14:paraId="08887037"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81</w:t>
            </w:r>
          </w:p>
        </w:tc>
        <w:tc>
          <w:tcPr>
            <w:tcW w:w="1558" w:type="dxa"/>
          </w:tcPr>
          <w:p w14:paraId="7545A7D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56.03</w:t>
            </w:r>
          </w:p>
        </w:tc>
        <w:tc>
          <w:tcPr>
            <w:tcW w:w="1558" w:type="dxa"/>
          </w:tcPr>
          <w:p w14:paraId="0C442C3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47</w:t>
            </w:r>
          </w:p>
        </w:tc>
        <w:tc>
          <w:tcPr>
            <w:tcW w:w="1559" w:type="dxa"/>
          </w:tcPr>
          <w:p w14:paraId="2E5FDB8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97.37</w:t>
            </w:r>
          </w:p>
        </w:tc>
        <w:tc>
          <w:tcPr>
            <w:tcW w:w="1559" w:type="dxa"/>
          </w:tcPr>
          <w:p w14:paraId="2E754BF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13</w:t>
            </w:r>
          </w:p>
        </w:tc>
      </w:tr>
      <w:tr w:rsidR="00D54263" w:rsidRPr="00D54263" w14:paraId="1E3694B5" w14:textId="77777777" w:rsidTr="004B0DA5">
        <w:tc>
          <w:tcPr>
            <w:tcW w:w="1558" w:type="dxa"/>
          </w:tcPr>
          <w:p w14:paraId="112AE19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6.14</w:t>
            </w:r>
          </w:p>
        </w:tc>
        <w:tc>
          <w:tcPr>
            <w:tcW w:w="1558" w:type="dxa"/>
          </w:tcPr>
          <w:p w14:paraId="351C812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80</w:t>
            </w:r>
          </w:p>
        </w:tc>
        <w:tc>
          <w:tcPr>
            <w:tcW w:w="1558" w:type="dxa"/>
          </w:tcPr>
          <w:p w14:paraId="2194346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58.03</w:t>
            </w:r>
          </w:p>
        </w:tc>
        <w:tc>
          <w:tcPr>
            <w:tcW w:w="1558" w:type="dxa"/>
          </w:tcPr>
          <w:p w14:paraId="4DAA13F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46</w:t>
            </w:r>
          </w:p>
        </w:tc>
        <w:tc>
          <w:tcPr>
            <w:tcW w:w="1559" w:type="dxa"/>
          </w:tcPr>
          <w:p w14:paraId="10CD342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97.72</w:t>
            </w:r>
          </w:p>
        </w:tc>
        <w:tc>
          <w:tcPr>
            <w:tcW w:w="1559" w:type="dxa"/>
          </w:tcPr>
          <w:p w14:paraId="2B56062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12</w:t>
            </w:r>
          </w:p>
        </w:tc>
      </w:tr>
      <w:tr w:rsidR="00D54263" w:rsidRPr="00D54263" w14:paraId="6A074FD9" w14:textId="77777777" w:rsidTr="004B0DA5">
        <w:tc>
          <w:tcPr>
            <w:tcW w:w="1558" w:type="dxa"/>
          </w:tcPr>
          <w:p w14:paraId="2EF3A05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6.81</w:t>
            </w:r>
          </w:p>
        </w:tc>
        <w:tc>
          <w:tcPr>
            <w:tcW w:w="1558" w:type="dxa"/>
          </w:tcPr>
          <w:p w14:paraId="535C345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79</w:t>
            </w:r>
          </w:p>
        </w:tc>
        <w:tc>
          <w:tcPr>
            <w:tcW w:w="1558" w:type="dxa"/>
          </w:tcPr>
          <w:p w14:paraId="13504FD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59.99</w:t>
            </w:r>
          </w:p>
        </w:tc>
        <w:tc>
          <w:tcPr>
            <w:tcW w:w="1558" w:type="dxa"/>
          </w:tcPr>
          <w:p w14:paraId="0B14807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45</w:t>
            </w:r>
          </w:p>
        </w:tc>
        <w:tc>
          <w:tcPr>
            <w:tcW w:w="1559" w:type="dxa"/>
          </w:tcPr>
          <w:p w14:paraId="2C9225E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98.04</w:t>
            </w:r>
          </w:p>
        </w:tc>
        <w:tc>
          <w:tcPr>
            <w:tcW w:w="1559" w:type="dxa"/>
          </w:tcPr>
          <w:p w14:paraId="7DC42D3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11</w:t>
            </w:r>
          </w:p>
        </w:tc>
      </w:tr>
      <w:tr w:rsidR="00D54263" w:rsidRPr="00D54263" w14:paraId="5B80D21F" w14:textId="77777777" w:rsidTr="004B0DA5">
        <w:tc>
          <w:tcPr>
            <w:tcW w:w="1558" w:type="dxa"/>
          </w:tcPr>
          <w:p w14:paraId="358F32F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7.55</w:t>
            </w:r>
          </w:p>
        </w:tc>
        <w:tc>
          <w:tcPr>
            <w:tcW w:w="1558" w:type="dxa"/>
          </w:tcPr>
          <w:p w14:paraId="51A20BB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78</w:t>
            </w:r>
          </w:p>
        </w:tc>
        <w:tc>
          <w:tcPr>
            <w:tcW w:w="1558" w:type="dxa"/>
          </w:tcPr>
          <w:p w14:paraId="50A9106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61.94</w:t>
            </w:r>
          </w:p>
        </w:tc>
        <w:tc>
          <w:tcPr>
            <w:tcW w:w="1558" w:type="dxa"/>
          </w:tcPr>
          <w:p w14:paraId="00E60DF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44</w:t>
            </w:r>
          </w:p>
        </w:tc>
        <w:tc>
          <w:tcPr>
            <w:tcW w:w="1559" w:type="dxa"/>
          </w:tcPr>
          <w:p w14:paraId="14B377F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98.32</w:t>
            </w:r>
          </w:p>
        </w:tc>
        <w:tc>
          <w:tcPr>
            <w:tcW w:w="1559" w:type="dxa"/>
          </w:tcPr>
          <w:p w14:paraId="440DABB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10</w:t>
            </w:r>
          </w:p>
        </w:tc>
      </w:tr>
      <w:tr w:rsidR="00D54263" w:rsidRPr="00D54263" w14:paraId="17328725" w14:textId="77777777" w:rsidTr="004B0DA5">
        <w:tc>
          <w:tcPr>
            <w:tcW w:w="1558" w:type="dxa"/>
          </w:tcPr>
          <w:p w14:paraId="7809DA8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8.33</w:t>
            </w:r>
          </w:p>
        </w:tc>
        <w:tc>
          <w:tcPr>
            <w:tcW w:w="1558" w:type="dxa"/>
          </w:tcPr>
          <w:p w14:paraId="2D127DF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77</w:t>
            </w:r>
          </w:p>
        </w:tc>
        <w:tc>
          <w:tcPr>
            <w:tcW w:w="1558" w:type="dxa"/>
          </w:tcPr>
          <w:p w14:paraId="397804E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63.85</w:t>
            </w:r>
          </w:p>
        </w:tc>
        <w:tc>
          <w:tcPr>
            <w:tcW w:w="1558" w:type="dxa"/>
          </w:tcPr>
          <w:p w14:paraId="4C60583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43</w:t>
            </w:r>
          </w:p>
        </w:tc>
        <w:tc>
          <w:tcPr>
            <w:tcW w:w="1559" w:type="dxa"/>
          </w:tcPr>
          <w:p w14:paraId="272561C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98.58</w:t>
            </w:r>
          </w:p>
        </w:tc>
        <w:tc>
          <w:tcPr>
            <w:tcW w:w="1559" w:type="dxa"/>
          </w:tcPr>
          <w:p w14:paraId="60256F7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w:t>
            </w:r>
          </w:p>
        </w:tc>
      </w:tr>
      <w:tr w:rsidR="00D54263" w:rsidRPr="00D54263" w14:paraId="576D8E50" w14:textId="77777777" w:rsidTr="004B0DA5">
        <w:tc>
          <w:tcPr>
            <w:tcW w:w="1558" w:type="dxa"/>
          </w:tcPr>
          <w:p w14:paraId="0877588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9.17</w:t>
            </w:r>
          </w:p>
        </w:tc>
        <w:tc>
          <w:tcPr>
            <w:tcW w:w="1558" w:type="dxa"/>
          </w:tcPr>
          <w:p w14:paraId="658C14D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76</w:t>
            </w:r>
          </w:p>
        </w:tc>
        <w:tc>
          <w:tcPr>
            <w:tcW w:w="1558" w:type="dxa"/>
          </w:tcPr>
          <w:p w14:paraId="4A07BE1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65.75</w:t>
            </w:r>
          </w:p>
        </w:tc>
        <w:tc>
          <w:tcPr>
            <w:tcW w:w="1558" w:type="dxa"/>
          </w:tcPr>
          <w:p w14:paraId="26135CB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42</w:t>
            </w:r>
          </w:p>
        </w:tc>
        <w:tc>
          <w:tcPr>
            <w:tcW w:w="1559" w:type="dxa"/>
          </w:tcPr>
          <w:p w14:paraId="4FD9418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98.82</w:t>
            </w:r>
          </w:p>
        </w:tc>
        <w:tc>
          <w:tcPr>
            <w:tcW w:w="1559" w:type="dxa"/>
          </w:tcPr>
          <w:p w14:paraId="5CB2EE5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w:t>
            </w:r>
          </w:p>
        </w:tc>
      </w:tr>
      <w:tr w:rsidR="00D54263" w:rsidRPr="00D54263" w14:paraId="2B97773A" w14:textId="77777777" w:rsidTr="004B0DA5">
        <w:tc>
          <w:tcPr>
            <w:tcW w:w="1558" w:type="dxa"/>
          </w:tcPr>
          <w:p w14:paraId="20F97AB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10.06</w:t>
            </w:r>
          </w:p>
        </w:tc>
        <w:tc>
          <w:tcPr>
            <w:tcW w:w="1558" w:type="dxa"/>
          </w:tcPr>
          <w:p w14:paraId="1DE493C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75</w:t>
            </w:r>
          </w:p>
        </w:tc>
        <w:tc>
          <w:tcPr>
            <w:tcW w:w="1558" w:type="dxa"/>
          </w:tcPr>
          <w:p w14:paraId="6506B52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67.48</w:t>
            </w:r>
          </w:p>
        </w:tc>
        <w:tc>
          <w:tcPr>
            <w:tcW w:w="1558" w:type="dxa"/>
          </w:tcPr>
          <w:p w14:paraId="4D5F796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41</w:t>
            </w:r>
          </w:p>
        </w:tc>
        <w:tc>
          <w:tcPr>
            <w:tcW w:w="1559" w:type="dxa"/>
          </w:tcPr>
          <w:p w14:paraId="62C1F42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99.03</w:t>
            </w:r>
          </w:p>
        </w:tc>
        <w:tc>
          <w:tcPr>
            <w:tcW w:w="1559" w:type="dxa"/>
          </w:tcPr>
          <w:p w14:paraId="45C181A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w:t>
            </w:r>
          </w:p>
        </w:tc>
      </w:tr>
      <w:tr w:rsidR="00D54263" w:rsidRPr="00D54263" w14:paraId="44A1CEA9" w14:textId="77777777" w:rsidTr="004B0DA5">
        <w:tc>
          <w:tcPr>
            <w:tcW w:w="1558" w:type="dxa"/>
          </w:tcPr>
          <w:p w14:paraId="6CC5AF3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11.03</w:t>
            </w:r>
          </w:p>
        </w:tc>
        <w:tc>
          <w:tcPr>
            <w:tcW w:w="1558" w:type="dxa"/>
          </w:tcPr>
          <w:p w14:paraId="76DF548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74</w:t>
            </w:r>
          </w:p>
        </w:tc>
        <w:tc>
          <w:tcPr>
            <w:tcW w:w="1558" w:type="dxa"/>
          </w:tcPr>
          <w:p w14:paraId="70B9A10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69.39</w:t>
            </w:r>
          </w:p>
        </w:tc>
        <w:tc>
          <w:tcPr>
            <w:tcW w:w="1558" w:type="dxa"/>
          </w:tcPr>
          <w:p w14:paraId="1C6313A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40</w:t>
            </w:r>
          </w:p>
        </w:tc>
        <w:tc>
          <w:tcPr>
            <w:tcW w:w="1559" w:type="dxa"/>
          </w:tcPr>
          <w:p w14:paraId="1FF601F4"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99.22</w:t>
            </w:r>
          </w:p>
        </w:tc>
        <w:tc>
          <w:tcPr>
            <w:tcW w:w="1559" w:type="dxa"/>
          </w:tcPr>
          <w:p w14:paraId="3BB5B30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w:t>
            </w:r>
          </w:p>
        </w:tc>
      </w:tr>
      <w:tr w:rsidR="00D54263" w:rsidRPr="00D54263" w14:paraId="1F5EF1FA" w14:textId="77777777" w:rsidTr="004B0DA5">
        <w:tc>
          <w:tcPr>
            <w:tcW w:w="1558" w:type="dxa"/>
          </w:tcPr>
          <w:p w14:paraId="0E820F4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12.04</w:t>
            </w:r>
          </w:p>
        </w:tc>
        <w:tc>
          <w:tcPr>
            <w:tcW w:w="1558" w:type="dxa"/>
          </w:tcPr>
          <w:p w14:paraId="2E91B1A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73</w:t>
            </w:r>
          </w:p>
        </w:tc>
        <w:tc>
          <w:tcPr>
            <w:tcW w:w="1558" w:type="dxa"/>
          </w:tcPr>
          <w:p w14:paraId="2658FB6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71.14</w:t>
            </w:r>
          </w:p>
        </w:tc>
        <w:tc>
          <w:tcPr>
            <w:tcW w:w="1558" w:type="dxa"/>
          </w:tcPr>
          <w:p w14:paraId="3EB09C6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39</w:t>
            </w:r>
          </w:p>
        </w:tc>
        <w:tc>
          <w:tcPr>
            <w:tcW w:w="1559" w:type="dxa"/>
          </w:tcPr>
          <w:p w14:paraId="186D891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99.39</w:t>
            </w:r>
          </w:p>
        </w:tc>
        <w:tc>
          <w:tcPr>
            <w:tcW w:w="1559" w:type="dxa"/>
          </w:tcPr>
          <w:p w14:paraId="3D31177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5</w:t>
            </w:r>
          </w:p>
        </w:tc>
      </w:tr>
      <w:tr w:rsidR="00D54263" w:rsidRPr="00D54263" w14:paraId="48D8E5FB" w14:textId="77777777" w:rsidTr="004B0DA5">
        <w:tc>
          <w:tcPr>
            <w:tcW w:w="1558" w:type="dxa"/>
          </w:tcPr>
          <w:p w14:paraId="1875B5F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13.11</w:t>
            </w:r>
          </w:p>
        </w:tc>
        <w:tc>
          <w:tcPr>
            <w:tcW w:w="1558" w:type="dxa"/>
          </w:tcPr>
          <w:p w14:paraId="76D1F29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72</w:t>
            </w:r>
          </w:p>
        </w:tc>
        <w:tc>
          <w:tcPr>
            <w:tcW w:w="1558" w:type="dxa"/>
          </w:tcPr>
          <w:p w14:paraId="6F55218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72.85</w:t>
            </w:r>
          </w:p>
        </w:tc>
        <w:tc>
          <w:tcPr>
            <w:tcW w:w="1558" w:type="dxa"/>
          </w:tcPr>
          <w:p w14:paraId="2FF38C8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38</w:t>
            </w:r>
          </w:p>
        </w:tc>
        <w:tc>
          <w:tcPr>
            <w:tcW w:w="1559" w:type="dxa"/>
          </w:tcPr>
          <w:p w14:paraId="2D62430D"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99.55</w:t>
            </w:r>
          </w:p>
        </w:tc>
        <w:tc>
          <w:tcPr>
            <w:tcW w:w="1559" w:type="dxa"/>
          </w:tcPr>
          <w:p w14:paraId="2DB30BD0"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4</w:t>
            </w:r>
          </w:p>
        </w:tc>
      </w:tr>
      <w:tr w:rsidR="00D54263" w:rsidRPr="00D54263" w14:paraId="73BD1413" w14:textId="77777777" w:rsidTr="004B0DA5">
        <w:tc>
          <w:tcPr>
            <w:tcW w:w="1558" w:type="dxa"/>
          </w:tcPr>
          <w:p w14:paraId="43FBA99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14.25</w:t>
            </w:r>
          </w:p>
        </w:tc>
        <w:tc>
          <w:tcPr>
            <w:tcW w:w="1558" w:type="dxa"/>
          </w:tcPr>
          <w:p w14:paraId="28A61D2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71</w:t>
            </w:r>
          </w:p>
        </w:tc>
        <w:tc>
          <w:tcPr>
            <w:tcW w:w="1558" w:type="dxa"/>
          </w:tcPr>
          <w:p w14:paraId="07B8974B"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74.52</w:t>
            </w:r>
          </w:p>
        </w:tc>
        <w:tc>
          <w:tcPr>
            <w:tcW w:w="1558" w:type="dxa"/>
          </w:tcPr>
          <w:p w14:paraId="4F90C7F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37</w:t>
            </w:r>
          </w:p>
        </w:tc>
        <w:tc>
          <w:tcPr>
            <w:tcW w:w="1559" w:type="dxa"/>
          </w:tcPr>
          <w:p w14:paraId="0054905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99.68</w:t>
            </w:r>
          </w:p>
        </w:tc>
        <w:tc>
          <w:tcPr>
            <w:tcW w:w="1559" w:type="dxa"/>
          </w:tcPr>
          <w:p w14:paraId="47326798"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w:t>
            </w:r>
          </w:p>
        </w:tc>
      </w:tr>
      <w:tr w:rsidR="00D54263" w:rsidRPr="00D54263" w14:paraId="152E72F9" w14:textId="77777777" w:rsidTr="004B0DA5">
        <w:tc>
          <w:tcPr>
            <w:tcW w:w="1558" w:type="dxa"/>
          </w:tcPr>
          <w:p w14:paraId="37B80DA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15.44</w:t>
            </w:r>
          </w:p>
        </w:tc>
        <w:tc>
          <w:tcPr>
            <w:tcW w:w="1558" w:type="dxa"/>
          </w:tcPr>
          <w:p w14:paraId="2AF1413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70</w:t>
            </w:r>
          </w:p>
        </w:tc>
        <w:tc>
          <w:tcPr>
            <w:tcW w:w="1558" w:type="dxa"/>
          </w:tcPr>
          <w:p w14:paraId="045F007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76.12</w:t>
            </w:r>
          </w:p>
        </w:tc>
        <w:tc>
          <w:tcPr>
            <w:tcW w:w="1558" w:type="dxa"/>
          </w:tcPr>
          <w:p w14:paraId="4BA1C53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36</w:t>
            </w:r>
          </w:p>
        </w:tc>
        <w:tc>
          <w:tcPr>
            <w:tcW w:w="1559" w:type="dxa"/>
          </w:tcPr>
          <w:p w14:paraId="1818F0E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99.80</w:t>
            </w:r>
          </w:p>
        </w:tc>
        <w:tc>
          <w:tcPr>
            <w:tcW w:w="1559" w:type="dxa"/>
          </w:tcPr>
          <w:p w14:paraId="0FDFBBA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w:t>
            </w:r>
          </w:p>
        </w:tc>
      </w:tr>
      <w:tr w:rsidR="00D54263" w:rsidRPr="00D54263" w14:paraId="7F311909" w14:textId="77777777" w:rsidTr="004B0DA5">
        <w:tc>
          <w:tcPr>
            <w:tcW w:w="1558" w:type="dxa"/>
          </w:tcPr>
          <w:p w14:paraId="31FD7F9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16.69</w:t>
            </w:r>
          </w:p>
        </w:tc>
        <w:tc>
          <w:tcPr>
            <w:tcW w:w="1558" w:type="dxa"/>
          </w:tcPr>
          <w:p w14:paraId="65159CF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69</w:t>
            </w:r>
          </w:p>
        </w:tc>
        <w:tc>
          <w:tcPr>
            <w:tcW w:w="1558" w:type="dxa"/>
          </w:tcPr>
          <w:p w14:paraId="0933EEBA"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77.68</w:t>
            </w:r>
          </w:p>
        </w:tc>
        <w:tc>
          <w:tcPr>
            <w:tcW w:w="1558" w:type="dxa"/>
          </w:tcPr>
          <w:p w14:paraId="285A091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35</w:t>
            </w:r>
          </w:p>
        </w:tc>
        <w:tc>
          <w:tcPr>
            <w:tcW w:w="1559" w:type="dxa"/>
          </w:tcPr>
          <w:p w14:paraId="211CC2E7"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99.91</w:t>
            </w:r>
          </w:p>
        </w:tc>
        <w:tc>
          <w:tcPr>
            <w:tcW w:w="1559" w:type="dxa"/>
          </w:tcPr>
          <w:p w14:paraId="676DED2F"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w:t>
            </w:r>
          </w:p>
        </w:tc>
      </w:tr>
      <w:tr w:rsidR="00D54263" w:rsidRPr="00D54263" w14:paraId="7DED3635" w14:textId="77777777" w:rsidTr="004B0DA5">
        <w:tc>
          <w:tcPr>
            <w:tcW w:w="1558" w:type="dxa"/>
          </w:tcPr>
          <w:p w14:paraId="199A5CDE"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18.01</w:t>
            </w:r>
          </w:p>
        </w:tc>
        <w:tc>
          <w:tcPr>
            <w:tcW w:w="1558" w:type="dxa"/>
          </w:tcPr>
          <w:p w14:paraId="51E9680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68</w:t>
            </w:r>
          </w:p>
        </w:tc>
        <w:tc>
          <w:tcPr>
            <w:tcW w:w="1558" w:type="dxa"/>
          </w:tcPr>
          <w:p w14:paraId="02486A9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79.17</w:t>
            </w:r>
          </w:p>
        </w:tc>
        <w:tc>
          <w:tcPr>
            <w:tcW w:w="1558" w:type="dxa"/>
          </w:tcPr>
          <w:p w14:paraId="2F2D4C5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34</w:t>
            </w:r>
          </w:p>
        </w:tc>
        <w:tc>
          <w:tcPr>
            <w:tcW w:w="1559" w:type="dxa"/>
          </w:tcPr>
          <w:p w14:paraId="77D57AC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100.00</w:t>
            </w:r>
          </w:p>
        </w:tc>
        <w:tc>
          <w:tcPr>
            <w:tcW w:w="1559" w:type="dxa"/>
          </w:tcPr>
          <w:p w14:paraId="53D3C303"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0</w:t>
            </w:r>
          </w:p>
        </w:tc>
      </w:tr>
      <w:tr w:rsidR="00D54263" w:rsidRPr="00D54263" w14:paraId="7B7E52DE" w14:textId="77777777" w:rsidTr="004B0DA5">
        <w:tc>
          <w:tcPr>
            <w:tcW w:w="1558" w:type="dxa"/>
          </w:tcPr>
          <w:p w14:paraId="10459395"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19.39</w:t>
            </w:r>
          </w:p>
        </w:tc>
        <w:tc>
          <w:tcPr>
            <w:tcW w:w="1558" w:type="dxa"/>
          </w:tcPr>
          <w:p w14:paraId="583B663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67</w:t>
            </w:r>
          </w:p>
        </w:tc>
        <w:tc>
          <w:tcPr>
            <w:tcW w:w="1558" w:type="dxa"/>
          </w:tcPr>
          <w:p w14:paraId="79CD1076"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80.61</w:t>
            </w:r>
          </w:p>
        </w:tc>
        <w:tc>
          <w:tcPr>
            <w:tcW w:w="1558" w:type="dxa"/>
          </w:tcPr>
          <w:p w14:paraId="4AFD7FD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33</w:t>
            </w:r>
          </w:p>
        </w:tc>
        <w:tc>
          <w:tcPr>
            <w:tcW w:w="1559" w:type="dxa"/>
          </w:tcPr>
          <w:p w14:paraId="7A1D65FD" w14:textId="77777777" w:rsidR="00D54263" w:rsidRPr="00D54263" w:rsidRDefault="00D54263" w:rsidP="004B0DA5">
            <w:pPr>
              <w:jc w:val="center"/>
              <w:rPr>
                <w:rFonts w:ascii="Arial" w:hAnsi="Arial" w:cs="Arial"/>
                <w:sz w:val="20"/>
                <w:szCs w:val="20"/>
              </w:rPr>
            </w:pPr>
          </w:p>
        </w:tc>
        <w:tc>
          <w:tcPr>
            <w:tcW w:w="1559" w:type="dxa"/>
          </w:tcPr>
          <w:p w14:paraId="54DE9EC8" w14:textId="77777777" w:rsidR="00D54263" w:rsidRPr="00D54263" w:rsidRDefault="00D54263" w:rsidP="004B0DA5">
            <w:pPr>
              <w:jc w:val="center"/>
              <w:rPr>
                <w:rFonts w:ascii="Arial" w:hAnsi="Arial" w:cs="Arial"/>
                <w:sz w:val="20"/>
                <w:szCs w:val="20"/>
              </w:rPr>
            </w:pPr>
          </w:p>
        </w:tc>
      </w:tr>
      <w:tr w:rsidR="00D54263" w:rsidRPr="00D54263" w14:paraId="4B944B92" w14:textId="77777777" w:rsidTr="004B0DA5">
        <w:tc>
          <w:tcPr>
            <w:tcW w:w="1558" w:type="dxa"/>
          </w:tcPr>
          <w:p w14:paraId="383E0449"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20.93</w:t>
            </w:r>
          </w:p>
        </w:tc>
        <w:tc>
          <w:tcPr>
            <w:tcW w:w="1558" w:type="dxa"/>
          </w:tcPr>
          <w:p w14:paraId="3E374541"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66</w:t>
            </w:r>
          </w:p>
        </w:tc>
        <w:tc>
          <w:tcPr>
            <w:tcW w:w="1558" w:type="dxa"/>
          </w:tcPr>
          <w:p w14:paraId="69689532"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81.99</w:t>
            </w:r>
          </w:p>
        </w:tc>
        <w:tc>
          <w:tcPr>
            <w:tcW w:w="1558" w:type="dxa"/>
          </w:tcPr>
          <w:p w14:paraId="6C307D0C" w14:textId="77777777" w:rsidR="00D54263" w:rsidRPr="00D54263" w:rsidRDefault="00D54263" w:rsidP="004B0DA5">
            <w:pPr>
              <w:jc w:val="center"/>
              <w:rPr>
                <w:rFonts w:ascii="Arial" w:hAnsi="Arial" w:cs="Arial"/>
                <w:sz w:val="20"/>
                <w:szCs w:val="20"/>
              </w:rPr>
            </w:pPr>
            <w:r w:rsidRPr="00D54263">
              <w:rPr>
                <w:rFonts w:ascii="Arial" w:hAnsi="Arial" w:cs="Arial"/>
                <w:sz w:val="20"/>
                <w:szCs w:val="20"/>
              </w:rPr>
              <w:t>32</w:t>
            </w:r>
          </w:p>
        </w:tc>
        <w:tc>
          <w:tcPr>
            <w:tcW w:w="1559" w:type="dxa"/>
          </w:tcPr>
          <w:p w14:paraId="1B3A260E" w14:textId="77777777" w:rsidR="00D54263" w:rsidRPr="00D54263" w:rsidRDefault="00D54263" w:rsidP="004B0DA5">
            <w:pPr>
              <w:jc w:val="center"/>
              <w:rPr>
                <w:rFonts w:ascii="Arial" w:hAnsi="Arial" w:cs="Arial"/>
                <w:sz w:val="20"/>
                <w:szCs w:val="20"/>
              </w:rPr>
            </w:pPr>
          </w:p>
        </w:tc>
        <w:tc>
          <w:tcPr>
            <w:tcW w:w="1559" w:type="dxa"/>
          </w:tcPr>
          <w:p w14:paraId="20D2A1C2" w14:textId="77777777" w:rsidR="00D54263" w:rsidRPr="00D54263" w:rsidRDefault="00D54263" w:rsidP="004B0DA5">
            <w:pPr>
              <w:jc w:val="center"/>
              <w:rPr>
                <w:rFonts w:ascii="Arial" w:hAnsi="Arial" w:cs="Arial"/>
                <w:sz w:val="20"/>
                <w:szCs w:val="20"/>
              </w:rPr>
            </w:pPr>
          </w:p>
        </w:tc>
      </w:tr>
    </w:tbl>
    <w:p w14:paraId="1323ED71" w14:textId="77777777" w:rsidR="00D54263" w:rsidRPr="00D54263" w:rsidRDefault="00D54263" w:rsidP="00D54263">
      <w:pPr>
        <w:spacing w:line="278" w:lineRule="auto"/>
        <w:jc w:val="center"/>
        <w:rPr>
          <w:rFonts w:ascii="Arial" w:hAnsi="Arial" w:cs="Arial"/>
          <w:b/>
          <w:bCs/>
          <w:sz w:val="20"/>
          <w:szCs w:val="20"/>
        </w:rPr>
      </w:pPr>
    </w:p>
    <w:p w14:paraId="2CD81323" w14:textId="77777777" w:rsidR="005D2089" w:rsidRPr="00D54263" w:rsidRDefault="005D2089" w:rsidP="00856E8A">
      <w:pPr>
        <w:spacing w:line="360" w:lineRule="auto"/>
        <w:jc w:val="both"/>
        <w:rPr>
          <w:rFonts w:ascii="Arial" w:hAnsi="Arial" w:cs="Arial"/>
          <w:sz w:val="20"/>
          <w:szCs w:val="20"/>
        </w:rPr>
      </w:pPr>
    </w:p>
    <w:sectPr w:rsidR="005D2089" w:rsidRPr="00D5426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6267" w14:textId="77777777" w:rsidR="00FF5AE0" w:rsidRDefault="00FF5AE0" w:rsidP="00010061">
      <w:pPr>
        <w:spacing w:after="0" w:line="240" w:lineRule="auto"/>
      </w:pPr>
      <w:r>
        <w:separator/>
      </w:r>
    </w:p>
  </w:endnote>
  <w:endnote w:type="continuationSeparator" w:id="0">
    <w:p w14:paraId="275984A6" w14:textId="77777777" w:rsidR="00FF5AE0" w:rsidRDefault="00FF5AE0" w:rsidP="0001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C310" w14:textId="77777777" w:rsidR="008210E6" w:rsidRDefault="00821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FFC8" w14:textId="77777777" w:rsidR="008210E6" w:rsidRDefault="00821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6CDA4" w14:textId="77777777" w:rsidR="008210E6" w:rsidRDefault="00821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37957" w14:textId="77777777" w:rsidR="00FF5AE0" w:rsidRDefault="00FF5AE0" w:rsidP="00010061">
      <w:pPr>
        <w:spacing w:after="0" w:line="240" w:lineRule="auto"/>
      </w:pPr>
      <w:r>
        <w:separator/>
      </w:r>
    </w:p>
  </w:footnote>
  <w:footnote w:type="continuationSeparator" w:id="0">
    <w:p w14:paraId="67C6C269" w14:textId="77777777" w:rsidR="00FF5AE0" w:rsidRDefault="00FF5AE0" w:rsidP="00010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F7BA0" w14:textId="63DDA56C" w:rsidR="008210E6" w:rsidRDefault="008210E6">
    <w:pPr>
      <w:pStyle w:val="Header"/>
    </w:pPr>
    <w:r>
      <w:rPr>
        <w:noProof/>
      </w:rPr>
      <w:pict w14:anchorId="1FC85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33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2C8F" w14:textId="467D9391" w:rsidR="008210E6" w:rsidRDefault="008210E6">
    <w:pPr>
      <w:pStyle w:val="Header"/>
    </w:pPr>
    <w:r>
      <w:rPr>
        <w:noProof/>
      </w:rPr>
      <w:pict w14:anchorId="67B9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33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25EF" w14:textId="757954D9" w:rsidR="008210E6" w:rsidRDefault="008210E6">
    <w:pPr>
      <w:pStyle w:val="Header"/>
    </w:pPr>
    <w:r>
      <w:rPr>
        <w:noProof/>
      </w:rPr>
      <w:pict w14:anchorId="65908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33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7334B"/>
    <w:multiLevelType w:val="multilevel"/>
    <w:tmpl w:val="3FE6B0C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B79DB"/>
    <w:multiLevelType w:val="multilevel"/>
    <w:tmpl w:val="1C402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B75582"/>
    <w:multiLevelType w:val="multilevel"/>
    <w:tmpl w:val="56567310"/>
    <w:lvl w:ilvl="0">
      <w:start w:val="3"/>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5"/>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 w15:restartNumberingAfterBreak="0">
    <w:nsid w:val="56914E5B"/>
    <w:multiLevelType w:val="hybridMultilevel"/>
    <w:tmpl w:val="627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061"/>
    <w:rsid w:val="00010061"/>
    <w:rsid w:val="00174F34"/>
    <w:rsid w:val="005376F6"/>
    <w:rsid w:val="005D2089"/>
    <w:rsid w:val="00752A93"/>
    <w:rsid w:val="00792390"/>
    <w:rsid w:val="008210E6"/>
    <w:rsid w:val="00856E8A"/>
    <w:rsid w:val="008C28CF"/>
    <w:rsid w:val="00944973"/>
    <w:rsid w:val="009703EA"/>
    <w:rsid w:val="00A625AD"/>
    <w:rsid w:val="00A65253"/>
    <w:rsid w:val="00AB6778"/>
    <w:rsid w:val="00B72746"/>
    <w:rsid w:val="00D54263"/>
    <w:rsid w:val="00DD1627"/>
    <w:rsid w:val="00EC42E1"/>
    <w:rsid w:val="00FF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1A71D"/>
  <w15:chartTrackingRefBased/>
  <w15:docId w15:val="{585615D2-342B-4325-B3F3-F6D4E448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061"/>
    <w:pPr>
      <w:spacing w:line="259" w:lineRule="auto"/>
    </w:pPr>
    <w:rPr>
      <w:sz w:val="22"/>
      <w:szCs w:val="22"/>
    </w:rPr>
  </w:style>
  <w:style w:type="paragraph" w:styleId="Heading1">
    <w:name w:val="heading 1"/>
    <w:basedOn w:val="Normal"/>
    <w:next w:val="Normal"/>
    <w:link w:val="Heading1Char"/>
    <w:uiPriority w:val="9"/>
    <w:qFormat/>
    <w:rsid w:val="000100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00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00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00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00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00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0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0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0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0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00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00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00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00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00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0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0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061"/>
    <w:rPr>
      <w:rFonts w:eastAsiaTheme="majorEastAsia" w:cstheme="majorBidi"/>
      <w:color w:val="272727" w:themeColor="text1" w:themeTint="D8"/>
    </w:rPr>
  </w:style>
  <w:style w:type="paragraph" w:styleId="Title">
    <w:name w:val="Title"/>
    <w:basedOn w:val="Normal"/>
    <w:next w:val="Normal"/>
    <w:link w:val="TitleChar"/>
    <w:uiPriority w:val="10"/>
    <w:qFormat/>
    <w:rsid w:val="000100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0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0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0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061"/>
    <w:pPr>
      <w:spacing w:before="160"/>
      <w:jc w:val="center"/>
    </w:pPr>
    <w:rPr>
      <w:i/>
      <w:iCs/>
      <w:color w:val="404040" w:themeColor="text1" w:themeTint="BF"/>
    </w:rPr>
  </w:style>
  <w:style w:type="character" w:customStyle="1" w:styleId="QuoteChar">
    <w:name w:val="Quote Char"/>
    <w:basedOn w:val="DefaultParagraphFont"/>
    <w:link w:val="Quote"/>
    <w:uiPriority w:val="29"/>
    <w:rsid w:val="00010061"/>
    <w:rPr>
      <w:i/>
      <w:iCs/>
      <w:color w:val="404040" w:themeColor="text1" w:themeTint="BF"/>
    </w:rPr>
  </w:style>
  <w:style w:type="paragraph" w:styleId="ListParagraph">
    <w:name w:val="List Paragraph"/>
    <w:basedOn w:val="Normal"/>
    <w:uiPriority w:val="34"/>
    <w:qFormat/>
    <w:rsid w:val="00010061"/>
    <w:pPr>
      <w:ind w:left="720"/>
      <w:contextualSpacing/>
    </w:pPr>
  </w:style>
  <w:style w:type="character" w:styleId="IntenseEmphasis">
    <w:name w:val="Intense Emphasis"/>
    <w:basedOn w:val="DefaultParagraphFont"/>
    <w:uiPriority w:val="21"/>
    <w:qFormat/>
    <w:rsid w:val="00010061"/>
    <w:rPr>
      <w:i/>
      <w:iCs/>
      <w:color w:val="2F5496" w:themeColor="accent1" w:themeShade="BF"/>
    </w:rPr>
  </w:style>
  <w:style w:type="paragraph" w:styleId="IntenseQuote">
    <w:name w:val="Intense Quote"/>
    <w:basedOn w:val="Normal"/>
    <w:next w:val="Normal"/>
    <w:link w:val="IntenseQuoteChar"/>
    <w:uiPriority w:val="30"/>
    <w:qFormat/>
    <w:rsid w:val="000100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0061"/>
    <w:rPr>
      <w:i/>
      <w:iCs/>
      <w:color w:val="2F5496" w:themeColor="accent1" w:themeShade="BF"/>
    </w:rPr>
  </w:style>
  <w:style w:type="character" w:styleId="IntenseReference">
    <w:name w:val="Intense Reference"/>
    <w:basedOn w:val="DefaultParagraphFont"/>
    <w:uiPriority w:val="32"/>
    <w:qFormat/>
    <w:rsid w:val="00010061"/>
    <w:rPr>
      <w:b/>
      <w:bCs/>
      <w:smallCaps/>
      <w:color w:val="2F5496" w:themeColor="accent1" w:themeShade="BF"/>
      <w:spacing w:val="5"/>
    </w:rPr>
  </w:style>
  <w:style w:type="paragraph" w:styleId="Header">
    <w:name w:val="header"/>
    <w:basedOn w:val="Normal"/>
    <w:link w:val="HeaderChar"/>
    <w:uiPriority w:val="99"/>
    <w:unhideWhenUsed/>
    <w:rsid w:val="00010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61"/>
    <w:rPr>
      <w:sz w:val="22"/>
      <w:szCs w:val="22"/>
    </w:rPr>
  </w:style>
  <w:style w:type="paragraph" w:styleId="Footer">
    <w:name w:val="footer"/>
    <w:basedOn w:val="Normal"/>
    <w:link w:val="FooterChar"/>
    <w:uiPriority w:val="99"/>
    <w:unhideWhenUsed/>
    <w:rsid w:val="00010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61"/>
    <w:rPr>
      <w:sz w:val="22"/>
      <w:szCs w:val="22"/>
    </w:rPr>
  </w:style>
  <w:style w:type="table" w:styleId="TableGrid">
    <w:name w:val="Table Grid"/>
    <w:basedOn w:val="TableNormal"/>
    <w:uiPriority w:val="39"/>
    <w:rsid w:val="00856E8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5D2089"/>
    <w:pPr>
      <w:keepNext/>
      <w:spacing w:after="240" w:line="240" w:lineRule="auto"/>
    </w:pPr>
    <w:rPr>
      <w:rFonts w:ascii="Helvetica" w:eastAsia="Times New Roman" w:hAnsi="Helvetica" w:cs="Times New Roman"/>
      <w:b/>
      <w:caps/>
      <w:kern w:val="0"/>
      <w:szCs w:val="20"/>
      <w14:ligatures w14:val="none"/>
    </w:rPr>
  </w:style>
  <w:style w:type="character" w:styleId="Hyperlink">
    <w:name w:val="Hyperlink"/>
    <w:basedOn w:val="DefaultParagraphFont"/>
    <w:uiPriority w:val="99"/>
    <w:unhideWhenUsed/>
    <w:rsid w:val="00D54263"/>
    <w:rPr>
      <w:color w:val="0563C1" w:themeColor="hyperlink"/>
      <w:u w:val="single"/>
    </w:rPr>
  </w:style>
  <w:style w:type="table" w:customStyle="1" w:styleId="TableGrid2">
    <w:name w:val="Table Grid2"/>
    <w:basedOn w:val="TableNormal"/>
    <w:next w:val="TableGrid"/>
    <w:uiPriority w:val="39"/>
    <w:rsid w:val="00D5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1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11.01.016" TargetMode="External"/><Relationship Id="rId13" Type="http://schemas.openxmlformats.org/officeDocument/2006/relationships/hyperlink" Target="https://www.trade.gov/market-intelligence/india-solid-waste-managemen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ospi.gov.i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ishtiias.com/daily-updates/daily-news-analysis/world-bank-report-on-global-water-crisi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jnrd.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S0007-6813(01)80057-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Prajwalita Neog</dc:creator>
  <cp:keywords/>
  <dc:description/>
  <cp:lastModifiedBy>SDI 1084</cp:lastModifiedBy>
  <cp:revision>10</cp:revision>
  <dcterms:created xsi:type="dcterms:W3CDTF">2025-09-23T05:20:00Z</dcterms:created>
  <dcterms:modified xsi:type="dcterms:W3CDTF">2025-09-24T07:15:00Z</dcterms:modified>
</cp:coreProperties>
</file>