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7657D" w14:textId="77777777" w:rsidR="00754C9A" w:rsidRDefault="00754C9A" w:rsidP="00441B6F">
      <w:pPr>
        <w:pStyle w:val="Title"/>
        <w:spacing w:after="0"/>
        <w:jc w:val="both"/>
        <w:rPr>
          <w:rFonts w:ascii="Arial" w:hAnsi="Arial" w:cs="Arial"/>
        </w:rPr>
      </w:pPr>
    </w:p>
    <w:p w14:paraId="053D4DAC" w14:textId="77777777" w:rsidR="000840A2" w:rsidRPr="000840A2" w:rsidRDefault="000840A2" w:rsidP="000840A2">
      <w:pPr>
        <w:pStyle w:val="Author"/>
        <w:spacing w:line="240" w:lineRule="auto"/>
        <w:rPr>
          <w:rFonts w:ascii="Arial" w:hAnsi="Arial" w:cs="Arial"/>
          <w:bCs/>
          <w:iCs/>
          <w:kern w:val="28"/>
          <w:sz w:val="36"/>
        </w:rPr>
      </w:pPr>
      <w:r w:rsidRPr="000840A2">
        <w:rPr>
          <w:rFonts w:ascii="Arial" w:hAnsi="Arial" w:cs="Arial"/>
          <w:bCs/>
          <w:iCs/>
          <w:kern w:val="28"/>
          <w:sz w:val="36"/>
        </w:rPr>
        <w:t xml:space="preserve">EVALUATION OF PHYTOCHEMICAL SCREENING AND IN-VIVO ANALGESIC ACTIVITY OF LEAVES EXTRACT OF </w:t>
      </w:r>
      <w:r w:rsidRPr="000840A2">
        <w:rPr>
          <w:rFonts w:ascii="Arial" w:hAnsi="Arial" w:cs="Arial"/>
          <w:bCs/>
          <w:i/>
          <w:iCs/>
          <w:kern w:val="28"/>
          <w:sz w:val="36"/>
        </w:rPr>
        <w:t>Calotropis gigantea</w:t>
      </w:r>
      <w:r w:rsidRPr="000840A2">
        <w:rPr>
          <w:rFonts w:ascii="Arial" w:hAnsi="Arial" w:cs="Arial"/>
          <w:bCs/>
          <w:iCs/>
          <w:kern w:val="28"/>
          <w:sz w:val="36"/>
        </w:rPr>
        <w:t xml:space="preserve"> FROM BUTWAL LOCALITY</w:t>
      </w:r>
    </w:p>
    <w:p w14:paraId="1BD96A1F" w14:textId="77777777" w:rsidR="000840A2" w:rsidRDefault="000840A2" w:rsidP="00441B6F">
      <w:pPr>
        <w:pStyle w:val="Author"/>
        <w:spacing w:line="240" w:lineRule="auto"/>
        <w:rPr>
          <w:rFonts w:ascii="Arial" w:hAnsi="Arial" w:cs="Arial"/>
        </w:rPr>
      </w:pPr>
    </w:p>
    <w:p w14:paraId="05E10F58" w14:textId="77777777" w:rsidR="00FF780A" w:rsidRDefault="00FF780A" w:rsidP="00441B6F">
      <w:pPr>
        <w:pStyle w:val="Copyright"/>
        <w:spacing w:after="0" w:line="240" w:lineRule="auto"/>
        <w:jc w:val="both"/>
        <w:rPr>
          <w:rFonts w:ascii="Arial" w:hAnsi="Arial" w:cs="Arial"/>
        </w:rPr>
      </w:pPr>
    </w:p>
    <w:p w14:paraId="7D10B3A5" w14:textId="5E44864D" w:rsidR="00B01FCD" w:rsidRPr="00FB3A86" w:rsidRDefault="00DB6FB0" w:rsidP="00441B6F">
      <w:pPr>
        <w:pStyle w:val="Copyright"/>
        <w:spacing w:after="0" w:line="240" w:lineRule="auto"/>
        <w:jc w:val="both"/>
        <w:rPr>
          <w:rFonts w:ascii="Arial" w:hAnsi="Arial" w:cs="Arial"/>
        </w:rPr>
        <w:sectPr w:rsidR="00B01FCD" w:rsidRPr="00FB3A86" w:rsidSect="00FF780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ne-IN"/>
        </w:rPr>
        <mc:AlternateContent>
          <mc:Choice Requires="wps">
            <w:drawing>
              <wp:inline distT="0" distB="0" distL="0" distR="0" wp14:anchorId="500EBB1C" wp14:editId="602CFFCE">
                <wp:extent cx="5303520" cy="635"/>
                <wp:effectExtent l="9525" t="15875" r="11430" b="12700"/>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F069BB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GGP20x8CAAA9BAAADgAAAAAAAAAAAAAAAAAuAgAAZHJzL2Uyb0RvYy54bWxQSwECLQAUAAYA&#10;CAAAACEAScjSt9YAAAACAQAADwAAAAAAAAAAAAAAAAB5BAAAZHJzL2Rvd25yZXYueG1sUEsFBgAA&#10;AAAEAAQA8wAAAHwFAAAAAA==&#10;" strokeweight="1.5pt">
                <w10:anchorlock/>
              </v:shape>
            </w:pict>
          </mc:Fallback>
        </mc:AlternateContent>
      </w:r>
      <w:r w:rsidR="00FB3A86">
        <w:rPr>
          <w:rFonts w:ascii="Arial" w:hAnsi="Arial" w:cs="Arial"/>
        </w:rPr>
        <w:t>.</w:t>
      </w:r>
    </w:p>
    <w:p w14:paraId="04C8AA4B"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9D1035">
        <w:rPr>
          <w:rFonts w:ascii="Arial" w:hAnsi="Arial" w:cs="Arial"/>
        </w:rPr>
        <w:t xml:space="preserve"> </w:t>
      </w:r>
    </w:p>
    <w:p w14:paraId="2139C1B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6FE0638" w14:textId="77777777" w:rsidTr="001E44FE">
        <w:tc>
          <w:tcPr>
            <w:tcW w:w="9576" w:type="dxa"/>
            <w:shd w:val="clear" w:color="auto" w:fill="F2F2F2"/>
          </w:tcPr>
          <w:p w14:paraId="3FC91B04" w14:textId="77777777" w:rsidR="009D1035" w:rsidRPr="009D1035" w:rsidRDefault="009D1035" w:rsidP="009D1035">
            <w:pPr>
              <w:pStyle w:val="Body"/>
              <w:spacing w:after="0"/>
              <w:rPr>
                <w:rFonts w:ascii="Arial" w:eastAsia="Calibri" w:hAnsi="Arial" w:cs="Arial"/>
                <w:szCs w:val="22"/>
              </w:rPr>
            </w:pPr>
            <w:r w:rsidRPr="009D1035">
              <w:rPr>
                <w:rFonts w:ascii="Arial" w:eastAsia="Calibri" w:hAnsi="Arial" w:cs="Arial"/>
                <w:b/>
                <w:bCs/>
                <w:szCs w:val="22"/>
              </w:rPr>
              <w:t>Introduction</w:t>
            </w:r>
            <w:r w:rsidRPr="009D1035">
              <w:rPr>
                <w:rFonts w:ascii="Arial" w:eastAsia="Calibri" w:hAnsi="Arial" w:cs="Arial"/>
                <w:szCs w:val="22"/>
              </w:rPr>
              <w:t>:</w:t>
            </w:r>
          </w:p>
          <w:p w14:paraId="211E2F43" w14:textId="77777777" w:rsidR="009D1035" w:rsidRPr="009D1035" w:rsidRDefault="009D1035" w:rsidP="009D1035">
            <w:pPr>
              <w:pStyle w:val="Body"/>
              <w:spacing w:after="0"/>
              <w:rPr>
                <w:rFonts w:ascii="Arial" w:eastAsia="Calibri" w:hAnsi="Arial" w:cs="Arial"/>
                <w:szCs w:val="22"/>
              </w:rPr>
            </w:pPr>
            <w:r w:rsidRPr="009D1035">
              <w:rPr>
                <w:rFonts w:ascii="Arial" w:eastAsia="Calibri" w:hAnsi="Arial" w:cs="Arial"/>
                <w:i/>
                <w:iCs/>
                <w:szCs w:val="22"/>
              </w:rPr>
              <w:t>Calotropis gigantea</w:t>
            </w:r>
            <w:r w:rsidRPr="009D1035">
              <w:rPr>
                <w:rFonts w:ascii="Arial" w:eastAsia="Calibri" w:hAnsi="Arial" w:cs="Arial"/>
                <w:szCs w:val="22"/>
              </w:rPr>
              <w:t xml:space="preserve"> (</w:t>
            </w:r>
            <w:proofErr w:type="spellStart"/>
            <w:r w:rsidRPr="009D1035">
              <w:rPr>
                <w:rFonts w:ascii="Arial" w:eastAsia="Calibri" w:hAnsi="Arial" w:cs="Arial"/>
                <w:szCs w:val="22"/>
              </w:rPr>
              <w:t>Apocynaceae</w:t>
            </w:r>
            <w:proofErr w:type="spellEnd"/>
            <w:r w:rsidRPr="009D1035">
              <w:rPr>
                <w:rFonts w:ascii="Arial" w:eastAsia="Calibri" w:hAnsi="Arial" w:cs="Arial"/>
                <w:szCs w:val="22"/>
              </w:rPr>
              <w:t>) is a medicinal shrub widely used in South Asian traditional medicine for treating pain and inflammation. However, scientific validation of its analgesic properties remains limited.</w:t>
            </w:r>
          </w:p>
          <w:p w14:paraId="1E07E9C5" w14:textId="77777777" w:rsidR="009D1035" w:rsidRPr="009D1035" w:rsidRDefault="009D1035" w:rsidP="009D1035">
            <w:pPr>
              <w:pStyle w:val="Body"/>
              <w:spacing w:after="0"/>
              <w:rPr>
                <w:rFonts w:ascii="Arial" w:eastAsia="Calibri" w:hAnsi="Arial" w:cs="Arial"/>
                <w:szCs w:val="22"/>
              </w:rPr>
            </w:pPr>
            <w:r w:rsidRPr="009D1035">
              <w:rPr>
                <w:rFonts w:ascii="Arial" w:eastAsia="Calibri" w:hAnsi="Arial" w:cs="Arial"/>
                <w:b/>
                <w:bCs/>
                <w:szCs w:val="22"/>
              </w:rPr>
              <w:t>Methods</w:t>
            </w:r>
            <w:r w:rsidRPr="009D1035">
              <w:rPr>
                <w:rFonts w:ascii="Arial" w:eastAsia="Calibri" w:hAnsi="Arial" w:cs="Arial"/>
                <w:szCs w:val="22"/>
              </w:rPr>
              <w:t>:</w:t>
            </w:r>
          </w:p>
          <w:p w14:paraId="309FE889" w14:textId="77777777" w:rsidR="009D1035" w:rsidRPr="009D1035" w:rsidRDefault="009D1035" w:rsidP="009D1035">
            <w:pPr>
              <w:pStyle w:val="Body"/>
              <w:spacing w:after="0"/>
              <w:rPr>
                <w:rFonts w:ascii="Arial" w:eastAsia="Calibri" w:hAnsi="Arial" w:cs="Arial"/>
                <w:szCs w:val="22"/>
              </w:rPr>
            </w:pPr>
            <w:r w:rsidRPr="009D1035">
              <w:rPr>
                <w:rFonts w:ascii="Arial" w:eastAsia="Calibri" w:hAnsi="Arial" w:cs="Arial"/>
                <w:szCs w:val="22"/>
              </w:rPr>
              <w:t xml:space="preserve">Leaves, flowers, and latex of </w:t>
            </w:r>
            <w:r w:rsidRPr="009D1035">
              <w:rPr>
                <w:rFonts w:ascii="Arial" w:eastAsia="Calibri" w:hAnsi="Arial" w:cs="Arial"/>
                <w:i/>
                <w:iCs/>
                <w:szCs w:val="22"/>
              </w:rPr>
              <w:t>C. gigantea</w:t>
            </w:r>
            <w:r w:rsidRPr="009D1035">
              <w:rPr>
                <w:rFonts w:ascii="Arial" w:eastAsia="Calibri" w:hAnsi="Arial" w:cs="Arial"/>
                <w:szCs w:val="22"/>
              </w:rPr>
              <w:t xml:space="preserve"> were collected from </w:t>
            </w:r>
            <w:proofErr w:type="spellStart"/>
            <w:r w:rsidRPr="009D1035">
              <w:rPr>
                <w:rFonts w:ascii="Arial" w:eastAsia="Calibri" w:hAnsi="Arial" w:cs="Arial"/>
                <w:szCs w:val="22"/>
              </w:rPr>
              <w:t>Rupandehi</w:t>
            </w:r>
            <w:proofErr w:type="spellEnd"/>
            <w:r w:rsidRPr="009D1035">
              <w:rPr>
                <w:rFonts w:ascii="Arial" w:eastAsia="Calibri" w:hAnsi="Arial" w:cs="Arial"/>
                <w:szCs w:val="22"/>
              </w:rPr>
              <w:t xml:space="preserve">, Nepal. The methanol leaf extract (MLE) was prepared by cold maceration and subjected to qualitative phytochemical screening. Analgesic activity was evaluated in Wistar rats using the hot plate and acetic acid-induced writhing tests. Diclofenac sodium served as the standard and saline as the control. </w:t>
            </w:r>
          </w:p>
          <w:p w14:paraId="01A88B91" w14:textId="77777777" w:rsidR="009D1035" w:rsidRPr="009D1035" w:rsidRDefault="009D1035" w:rsidP="009D1035">
            <w:pPr>
              <w:pStyle w:val="Body"/>
              <w:spacing w:after="0"/>
              <w:rPr>
                <w:rFonts w:ascii="Arial" w:eastAsia="Calibri" w:hAnsi="Arial" w:cs="Arial"/>
                <w:szCs w:val="22"/>
              </w:rPr>
            </w:pPr>
            <w:r w:rsidRPr="009D1035">
              <w:rPr>
                <w:rFonts w:ascii="Arial" w:eastAsia="Calibri" w:hAnsi="Arial" w:cs="Arial"/>
                <w:b/>
                <w:bCs/>
                <w:szCs w:val="22"/>
              </w:rPr>
              <w:t>Results</w:t>
            </w:r>
            <w:r w:rsidRPr="009D1035">
              <w:rPr>
                <w:rFonts w:ascii="Arial" w:eastAsia="Calibri" w:hAnsi="Arial" w:cs="Arial"/>
                <w:szCs w:val="22"/>
              </w:rPr>
              <w:t>:</w:t>
            </w:r>
          </w:p>
          <w:p w14:paraId="39FEEB34" w14:textId="77777777" w:rsidR="009D1035" w:rsidRPr="009D1035" w:rsidRDefault="009D1035" w:rsidP="009D1035">
            <w:pPr>
              <w:pStyle w:val="Body"/>
              <w:spacing w:after="0"/>
              <w:rPr>
                <w:rFonts w:ascii="Arial" w:eastAsia="Calibri" w:hAnsi="Arial" w:cs="Arial"/>
                <w:szCs w:val="22"/>
              </w:rPr>
            </w:pPr>
            <w:r w:rsidRPr="009D1035">
              <w:rPr>
                <w:rFonts w:ascii="Arial" w:eastAsia="Calibri" w:hAnsi="Arial" w:cs="Arial"/>
                <w:szCs w:val="22"/>
              </w:rPr>
              <w:t xml:space="preserve">Phytochemical screening confirmed the presence of secondary metabolites, including alkaloids, flavonoids, tannins, saponins, and glycosides. MLE at doses of 200 and 400 mg/kg significantly (p&lt;0.01) increased reaction latency in the hot plate test by 56.77% and 69.6%, respectively—the same doses reduced acetic acid-induced writhing by 37.76%, indicating both central and peripheral analgesic activity.  </w:t>
            </w:r>
          </w:p>
          <w:p w14:paraId="03920635" w14:textId="77777777" w:rsidR="009D1035" w:rsidRPr="009D1035" w:rsidRDefault="009D1035" w:rsidP="009D1035">
            <w:pPr>
              <w:pStyle w:val="Body"/>
              <w:spacing w:after="0"/>
              <w:rPr>
                <w:rFonts w:ascii="Arial" w:eastAsia="Calibri" w:hAnsi="Arial" w:cs="Arial"/>
                <w:szCs w:val="22"/>
              </w:rPr>
            </w:pPr>
            <w:r w:rsidRPr="009D1035">
              <w:rPr>
                <w:rFonts w:ascii="Arial" w:eastAsia="Calibri" w:hAnsi="Arial" w:cs="Arial"/>
                <w:b/>
                <w:bCs/>
                <w:szCs w:val="22"/>
              </w:rPr>
              <w:t>Conclusion</w:t>
            </w:r>
            <w:r w:rsidRPr="009D1035">
              <w:rPr>
                <w:rFonts w:ascii="Arial" w:eastAsia="Calibri" w:hAnsi="Arial" w:cs="Arial"/>
                <w:szCs w:val="22"/>
              </w:rPr>
              <w:t>:</w:t>
            </w:r>
          </w:p>
          <w:p w14:paraId="1404D5CE" w14:textId="77777777" w:rsidR="009D1035" w:rsidRPr="009D1035" w:rsidRDefault="009D1035" w:rsidP="009D1035">
            <w:pPr>
              <w:pStyle w:val="Body"/>
              <w:spacing w:after="0"/>
              <w:rPr>
                <w:rFonts w:ascii="Arial" w:eastAsia="Calibri" w:hAnsi="Arial" w:cs="Arial"/>
                <w:i/>
                <w:iCs/>
                <w:szCs w:val="22"/>
              </w:rPr>
            </w:pPr>
            <w:r w:rsidRPr="009D1035">
              <w:rPr>
                <w:rFonts w:ascii="Arial" w:eastAsia="Calibri" w:hAnsi="Arial" w:cs="Arial"/>
                <w:szCs w:val="22"/>
              </w:rPr>
              <w:t xml:space="preserve">The methanol leaf extract of </w:t>
            </w:r>
            <w:r w:rsidRPr="009D1035">
              <w:rPr>
                <w:rFonts w:ascii="Arial" w:eastAsia="Calibri" w:hAnsi="Arial" w:cs="Arial"/>
                <w:i/>
                <w:iCs/>
                <w:szCs w:val="22"/>
              </w:rPr>
              <w:t>Calotropis gigantea</w:t>
            </w:r>
            <w:r w:rsidRPr="009D1035">
              <w:rPr>
                <w:rFonts w:ascii="Arial" w:eastAsia="Calibri" w:hAnsi="Arial" w:cs="Arial"/>
                <w:szCs w:val="22"/>
              </w:rPr>
              <w:t xml:space="preserve"> possesses significant analgesic potential, validating its traditional use in pain management and suggesting the presence of bioactive compounds with pharmacological relevance</w:t>
            </w:r>
            <w:r w:rsidRPr="009D1035">
              <w:rPr>
                <w:rFonts w:ascii="Arial" w:eastAsia="Calibri" w:hAnsi="Arial" w:cs="Arial"/>
                <w:i/>
                <w:iCs/>
                <w:szCs w:val="22"/>
              </w:rPr>
              <w:t xml:space="preserve">. </w:t>
            </w:r>
          </w:p>
          <w:p w14:paraId="188AFC4E" w14:textId="77777777" w:rsidR="00505F06" w:rsidRPr="00BA1B01" w:rsidRDefault="00505F06" w:rsidP="00441B6F">
            <w:pPr>
              <w:pStyle w:val="Body"/>
              <w:spacing w:after="0"/>
              <w:rPr>
                <w:rFonts w:ascii="Arial" w:eastAsia="Calibri" w:hAnsi="Arial" w:cs="Arial"/>
                <w:szCs w:val="22"/>
              </w:rPr>
            </w:pPr>
          </w:p>
        </w:tc>
      </w:tr>
    </w:tbl>
    <w:p w14:paraId="7A414990" w14:textId="77777777" w:rsidR="00636EB2" w:rsidRDefault="00636EB2" w:rsidP="00441B6F">
      <w:pPr>
        <w:pStyle w:val="Body"/>
        <w:spacing w:after="0"/>
        <w:rPr>
          <w:rFonts w:ascii="Arial" w:hAnsi="Arial" w:cs="Arial"/>
          <w:i/>
        </w:rPr>
      </w:pPr>
    </w:p>
    <w:p w14:paraId="35B0147F" w14:textId="77777777" w:rsidR="009D1035" w:rsidRPr="009D1035" w:rsidRDefault="00A24E7E" w:rsidP="009D1035">
      <w:pPr>
        <w:pStyle w:val="Body"/>
        <w:rPr>
          <w:rFonts w:ascii="Arial" w:hAnsi="Arial" w:cs="Arial"/>
          <w:i/>
          <w:iCs/>
        </w:rPr>
      </w:pPr>
      <w:r>
        <w:rPr>
          <w:rFonts w:ascii="Arial" w:hAnsi="Arial" w:cs="Arial"/>
          <w:i/>
        </w:rPr>
        <w:t xml:space="preserve">Keywords: </w:t>
      </w:r>
      <w:r w:rsidR="009D1035" w:rsidRPr="009D1035">
        <w:rPr>
          <w:rFonts w:ascii="Arial" w:hAnsi="Arial" w:cs="Arial"/>
          <w:i/>
          <w:iCs/>
        </w:rPr>
        <w:t xml:space="preserve">Analgesic activity, Calotropis gigantea, Hot plate method, phytochemical screening, Pain management, Wister rats </w:t>
      </w:r>
    </w:p>
    <w:p w14:paraId="3F0F174A" w14:textId="77777777" w:rsidR="00505F06" w:rsidRPr="00A24E7E" w:rsidRDefault="00505F06" w:rsidP="00441B6F">
      <w:pPr>
        <w:pStyle w:val="Body"/>
        <w:spacing w:after="0"/>
        <w:rPr>
          <w:rFonts w:ascii="Arial" w:hAnsi="Arial" w:cs="Arial"/>
          <w:i/>
        </w:rPr>
      </w:pPr>
    </w:p>
    <w:p w14:paraId="40FD52D7"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15FDD98" w14:textId="77777777" w:rsidR="009D1035" w:rsidRPr="009D1035" w:rsidRDefault="009D1035" w:rsidP="009D1035">
      <w:pPr>
        <w:pStyle w:val="Body"/>
        <w:spacing w:after="0"/>
        <w:rPr>
          <w:rFonts w:ascii="Arial" w:hAnsi="Arial" w:cs="Arial"/>
        </w:rPr>
      </w:pPr>
      <w:r w:rsidRPr="009D1035">
        <w:rPr>
          <w:rFonts w:ascii="Arial" w:hAnsi="Arial" w:cs="Arial"/>
        </w:rPr>
        <w:t>Plants contain diverse secondary metabolites such as alkaloids, steroids, tannins, and glycosides, distributed across various organs (leaves, flowers, seeds, etc.). Many of these species have long been used in folk medicine to treat different diseases; however, gaps remain in transferring indigenous knowledge between generations, along with limited information and challenges in identifying wild medicinal plants (</w:t>
      </w:r>
      <w:proofErr w:type="spellStart"/>
      <w:r w:rsidRPr="009D1035">
        <w:rPr>
          <w:rFonts w:ascii="Arial" w:hAnsi="Arial" w:cs="Arial"/>
        </w:rPr>
        <w:t>Alsaedi</w:t>
      </w:r>
      <w:proofErr w:type="spellEnd"/>
      <w:r w:rsidRPr="009D1035">
        <w:rPr>
          <w:rFonts w:ascii="Arial" w:hAnsi="Arial" w:cs="Arial"/>
        </w:rPr>
        <w:t xml:space="preserve"> &amp; </w:t>
      </w:r>
      <w:proofErr w:type="spellStart"/>
      <w:r w:rsidRPr="009D1035">
        <w:rPr>
          <w:rFonts w:ascii="Arial" w:hAnsi="Arial" w:cs="Arial"/>
        </w:rPr>
        <w:t>Aljeddani</w:t>
      </w:r>
      <w:proofErr w:type="spellEnd"/>
      <w:r w:rsidRPr="009D1035">
        <w:rPr>
          <w:rFonts w:ascii="Arial" w:hAnsi="Arial" w:cs="Arial"/>
        </w:rPr>
        <w:t xml:space="preserve">, 2022). </w:t>
      </w:r>
    </w:p>
    <w:p w14:paraId="65C4E1BD" w14:textId="77777777" w:rsidR="009D1035" w:rsidRPr="009D1035" w:rsidRDefault="009D1035" w:rsidP="009D1035">
      <w:pPr>
        <w:pStyle w:val="Body"/>
        <w:spacing w:after="0"/>
        <w:rPr>
          <w:rFonts w:ascii="Arial" w:hAnsi="Arial" w:cs="Arial"/>
        </w:rPr>
      </w:pPr>
      <w:r w:rsidRPr="009D1035">
        <w:rPr>
          <w:rFonts w:ascii="Arial" w:hAnsi="Arial" w:cs="Arial"/>
        </w:rPr>
        <w:t>Nepal ranks 9</w:t>
      </w:r>
      <w:r w:rsidRPr="009D1035">
        <w:rPr>
          <w:rFonts w:ascii="Arial" w:hAnsi="Arial" w:cs="Arial"/>
          <w:vertAlign w:val="superscript"/>
        </w:rPr>
        <w:t>th</w:t>
      </w:r>
      <w:r w:rsidRPr="009D1035">
        <w:rPr>
          <w:rFonts w:ascii="Arial" w:hAnsi="Arial" w:cs="Arial"/>
        </w:rPr>
        <w:t xml:space="preserve"> among the Asian countries in floral wealth, with an estimated 9,000 flowering plant species. Approximately half are considered useful and ethnobotanical, while 25-50 % are categorized as ethnomedicinal (Patel, </w:t>
      </w:r>
      <w:proofErr w:type="spellStart"/>
      <w:r w:rsidRPr="009D1035">
        <w:rPr>
          <w:rFonts w:ascii="Arial" w:hAnsi="Arial" w:cs="Arial"/>
        </w:rPr>
        <w:t>Upadhaya</w:t>
      </w:r>
      <w:proofErr w:type="spellEnd"/>
      <w:r w:rsidRPr="009D1035">
        <w:rPr>
          <w:rFonts w:ascii="Arial" w:hAnsi="Arial" w:cs="Arial"/>
        </w:rPr>
        <w:t xml:space="preserve"> &amp; Kumar, 2021). Pain is a multifaceted subjective experience influenced by physical, psychological, and social factors. It may result from injury, disease, inflammation, or nerve damage and can significantly affect overall well-being by limiting daily activities, work performance, and social interactions. The sensation of </w:t>
      </w:r>
      <w:r w:rsidRPr="009D1035">
        <w:rPr>
          <w:rFonts w:ascii="Arial" w:hAnsi="Arial" w:cs="Arial"/>
        </w:rPr>
        <w:lastRenderedPageBreak/>
        <w:t>pain involves activation of sensory neurons, transmission of signal along neural pathways, and interpretation by higher brain centers (</w:t>
      </w:r>
      <w:proofErr w:type="spellStart"/>
      <w:r w:rsidRPr="009D1035">
        <w:rPr>
          <w:rFonts w:ascii="Arial" w:hAnsi="Arial" w:cs="Arial"/>
        </w:rPr>
        <w:t>Alorf</w:t>
      </w:r>
      <w:proofErr w:type="spellEnd"/>
      <w:r w:rsidRPr="009D1035">
        <w:rPr>
          <w:rFonts w:ascii="Arial" w:hAnsi="Arial" w:cs="Arial"/>
        </w:rPr>
        <w:t xml:space="preserve">, 2023). </w:t>
      </w:r>
    </w:p>
    <w:p w14:paraId="4D15017A" w14:textId="77777777" w:rsidR="009D1035" w:rsidRDefault="009D1035" w:rsidP="009D1035">
      <w:pPr>
        <w:pStyle w:val="Body"/>
        <w:spacing w:after="0"/>
        <w:rPr>
          <w:rFonts w:ascii="Arial" w:hAnsi="Arial" w:cs="Arial"/>
        </w:rPr>
      </w:pPr>
      <w:r w:rsidRPr="009D1035">
        <w:rPr>
          <w:rFonts w:ascii="Arial" w:hAnsi="Arial" w:cs="Arial"/>
          <w:i/>
          <w:iCs/>
        </w:rPr>
        <w:t>Calotropis gigantea</w:t>
      </w:r>
      <w:r w:rsidRPr="009D1035">
        <w:rPr>
          <w:rFonts w:ascii="Arial" w:hAnsi="Arial" w:cs="Arial"/>
        </w:rPr>
        <w:t xml:space="preserve"> (L.) R. Br. (</w:t>
      </w:r>
      <w:proofErr w:type="spellStart"/>
      <w:r w:rsidRPr="009D1035">
        <w:rPr>
          <w:rFonts w:ascii="Arial" w:hAnsi="Arial" w:cs="Arial"/>
        </w:rPr>
        <w:t>Apocynaceae</w:t>
      </w:r>
      <w:proofErr w:type="spellEnd"/>
      <w:r w:rsidRPr="009D1035">
        <w:rPr>
          <w:rFonts w:ascii="Arial" w:hAnsi="Arial" w:cs="Arial"/>
        </w:rPr>
        <w:t xml:space="preserve">) is a well-known tropical plant native to Asia and Africa. Commonly known as crown bloom or milkweed, it grows in diverse soils and climates and is distributed across South Asia, Southeast Asia, the Middle East, Africa, and South America. Various phytochemicals, including alkaloids, glycosides, flavonoids, saponins, tannins, and proteins, have been identified in its leaves, flowers, buds, and roots (Jamal et al., 2025). The leaves, stem, seeds, and latex of </w:t>
      </w:r>
      <w:r w:rsidRPr="009D1035">
        <w:rPr>
          <w:rFonts w:ascii="Arial" w:hAnsi="Arial" w:cs="Arial"/>
          <w:i/>
          <w:iCs/>
        </w:rPr>
        <w:t>Calotropis gigantea</w:t>
      </w:r>
      <w:r w:rsidRPr="009D1035">
        <w:rPr>
          <w:rFonts w:ascii="Arial" w:hAnsi="Arial" w:cs="Arial"/>
        </w:rPr>
        <w:t xml:space="preserve"> are well known for their toxic and medicinal properties. Tropical application of its latex and leaves has been reported to reduce inflammatory and analgesic properties (Varghese, 2025). </w:t>
      </w:r>
    </w:p>
    <w:p w14:paraId="39E67BCA" w14:textId="77777777" w:rsidR="00D61601" w:rsidRPr="009D1035" w:rsidRDefault="00D61601" w:rsidP="009D1035">
      <w:pPr>
        <w:pStyle w:val="Body"/>
        <w:spacing w:after="0"/>
        <w:rPr>
          <w:rFonts w:ascii="Arial" w:hAnsi="Arial" w:cs="Arial"/>
        </w:rPr>
      </w:pPr>
    </w:p>
    <w:p w14:paraId="5A27BF62" w14:textId="77777777" w:rsidR="009D1035" w:rsidRPr="009D1035" w:rsidRDefault="009D1035" w:rsidP="00D61601">
      <w:pPr>
        <w:pStyle w:val="Body"/>
        <w:spacing w:after="0"/>
        <w:jc w:val="left"/>
        <w:rPr>
          <w:rFonts w:ascii="Arial" w:hAnsi="Arial" w:cs="Arial"/>
        </w:rPr>
      </w:pPr>
      <w:r w:rsidRPr="009D1035">
        <w:rPr>
          <w:rFonts w:ascii="Arial" w:hAnsi="Arial" w:cs="Arial"/>
          <w:noProof/>
        </w:rPr>
        <w:drawing>
          <wp:inline distT="0" distB="0" distL="0" distR="0" wp14:anchorId="395E6B7C" wp14:editId="764E523B">
            <wp:extent cx="2443480" cy="2419350"/>
            <wp:effectExtent l="0" t="0" r="0" b="0"/>
            <wp:docPr id="1" name="Picture 1" descr="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jpg"/>
                    <pic:cNvPicPr/>
                  </pic:nvPicPr>
                  <pic:blipFill>
                    <a:blip r:embed="rId14"/>
                    <a:stretch>
                      <a:fillRect/>
                    </a:stretch>
                  </pic:blipFill>
                  <pic:spPr>
                    <a:xfrm>
                      <a:off x="0" y="0"/>
                      <a:ext cx="2461573" cy="2437264"/>
                    </a:xfrm>
                    <a:prstGeom prst="rect">
                      <a:avLst/>
                    </a:prstGeom>
                  </pic:spPr>
                </pic:pic>
              </a:graphicData>
            </a:graphic>
          </wp:inline>
        </w:drawing>
      </w:r>
    </w:p>
    <w:p w14:paraId="41E60BFC" w14:textId="77777777" w:rsidR="009D1035" w:rsidRDefault="009D1035" w:rsidP="009D1035">
      <w:pPr>
        <w:pStyle w:val="Body"/>
        <w:spacing w:after="0"/>
        <w:rPr>
          <w:rFonts w:ascii="Arial" w:hAnsi="Arial" w:cs="Arial"/>
          <w:b/>
          <w:bCs/>
        </w:rPr>
      </w:pPr>
    </w:p>
    <w:p w14:paraId="3166A647" w14:textId="77777777" w:rsidR="009D1035" w:rsidRPr="009D1035" w:rsidRDefault="009A7467" w:rsidP="00D61601">
      <w:pPr>
        <w:pStyle w:val="Body"/>
        <w:spacing w:after="0"/>
        <w:jc w:val="left"/>
        <w:rPr>
          <w:rFonts w:ascii="Arial" w:hAnsi="Arial" w:cs="Arial"/>
        </w:rPr>
      </w:pPr>
      <w:r>
        <w:rPr>
          <w:rFonts w:ascii="Arial" w:hAnsi="Arial" w:cs="Arial"/>
          <w:b/>
          <w:bCs/>
        </w:rPr>
        <w:t>Fig.</w:t>
      </w:r>
      <w:r w:rsidR="009D1035" w:rsidRPr="009D1035">
        <w:rPr>
          <w:rFonts w:ascii="Arial" w:hAnsi="Arial" w:cs="Arial"/>
          <w:b/>
          <w:bCs/>
        </w:rPr>
        <w:t xml:space="preserve"> </w:t>
      </w:r>
      <w:r w:rsidR="009D1035" w:rsidRPr="009D1035">
        <w:rPr>
          <w:rFonts w:ascii="Arial" w:hAnsi="Arial" w:cs="Arial"/>
          <w:b/>
          <w:bCs/>
        </w:rPr>
        <w:fldChar w:fldCharType="begin"/>
      </w:r>
      <w:r w:rsidR="009D1035" w:rsidRPr="009D1035">
        <w:rPr>
          <w:rFonts w:ascii="Arial" w:hAnsi="Arial" w:cs="Arial"/>
          <w:b/>
          <w:bCs/>
        </w:rPr>
        <w:instrText xml:space="preserve"> SEQ Figure \* ARABIC </w:instrText>
      </w:r>
      <w:r w:rsidR="009D1035" w:rsidRPr="009D1035">
        <w:rPr>
          <w:rFonts w:ascii="Arial" w:hAnsi="Arial" w:cs="Arial"/>
          <w:b/>
          <w:bCs/>
        </w:rPr>
        <w:fldChar w:fldCharType="separate"/>
      </w:r>
      <w:r w:rsidR="009D1035" w:rsidRPr="009D1035">
        <w:rPr>
          <w:rFonts w:ascii="Arial" w:hAnsi="Arial" w:cs="Arial"/>
          <w:b/>
          <w:bCs/>
        </w:rPr>
        <w:t>1</w:t>
      </w:r>
      <w:r w:rsidR="009D1035" w:rsidRPr="009D1035">
        <w:rPr>
          <w:rFonts w:ascii="Arial" w:hAnsi="Arial" w:cs="Arial"/>
        </w:rPr>
        <w:fldChar w:fldCharType="end"/>
      </w:r>
      <w:r>
        <w:rPr>
          <w:rFonts w:ascii="Arial" w:hAnsi="Arial" w:cs="Arial"/>
        </w:rPr>
        <w:t>.</w:t>
      </w:r>
      <w:r w:rsidR="009D1035" w:rsidRPr="009D1035">
        <w:rPr>
          <w:rFonts w:ascii="Arial" w:hAnsi="Arial" w:cs="Arial"/>
          <w:b/>
          <w:bCs/>
        </w:rPr>
        <w:t xml:space="preserve"> </w:t>
      </w:r>
      <w:r w:rsidR="009D1035" w:rsidRPr="009D1035">
        <w:rPr>
          <w:rFonts w:ascii="Arial" w:hAnsi="Arial" w:cs="Arial"/>
        </w:rPr>
        <w:t xml:space="preserve">Showing the </w:t>
      </w:r>
      <w:r w:rsidR="009D1035" w:rsidRPr="009D1035">
        <w:rPr>
          <w:rFonts w:ascii="Arial" w:hAnsi="Arial" w:cs="Arial"/>
          <w:i/>
          <w:iCs/>
        </w:rPr>
        <w:t>C. gigantea</w:t>
      </w:r>
      <w:r w:rsidR="009D1035" w:rsidRPr="009D1035">
        <w:rPr>
          <w:rFonts w:ascii="Arial" w:hAnsi="Arial" w:cs="Arial"/>
        </w:rPr>
        <w:t xml:space="preserve"> Plant</w:t>
      </w:r>
    </w:p>
    <w:p w14:paraId="4A05C291" w14:textId="77777777" w:rsidR="009D1035" w:rsidRDefault="009D1035" w:rsidP="009D1035">
      <w:pPr>
        <w:pStyle w:val="Body"/>
        <w:spacing w:after="0"/>
        <w:rPr>
          <w:rFonts w:ascii="Arial" w:hAnsi="Arial" w:cs="Arial"/>
          <w:b/>
          <w:bCs/>
        </w:rPr>
      </w:pPr>
    </w:p>
    <w:p w14:paraId="5A06072C" w14:textId="77777777" w:rsidR="009D1035" w:rsidRPr="009D1035" w:rsidRDefault="009D1035" w:rsidP="009D1035">
      <w:pPr>
        <w:pStyle w:val="Body"/>
        <w:spacing w:after="0"/>
        <w:rPr>
          <w:rFonts w:ascii="Arial" w:hAnsi="Arial" w:cs="Arial"/>
        </w:rPr>
      </w:pPr>
      <w:r w:rsidRPr="009D1035">
        <w:rPr>
          <w:rFonts w:ascii="Arial" w:hAnsi="Arial" w:cs="Arial"/>
          <w:b/>
          <w:bCs/>
        </w:rPr>
        <w:t xml:space="preserve">Scientific Classification </w:t>
      </w:r>
    </w:p>
    <w:p w14:paraId="344DFC4D" w14:textId="77777777" w:rsidR="009D1035" w:rsidRPr="009D1035" w:rsidRDefault="009D1035" w:rsidP="009D1035">
      <w:pPr>
        <w:pStyle w:val="Body"/>
        <w:spacing w:after="0"/>
        <w:rPr>
          <w:rFonts w:ascii="Arial" w:hAnsi="Arial" w:cs="Arial"/>
        </w:rPr>
      </w:pPr>
      <w:r w:rsidRPr="009D1035">
        <w:rPr>
          <w:rFonts w:ascii="Arial" w:hAnsi="Arial" w:cs="Arial"/>
        </w:rPr>
        <w:t xml:space="preserve">Kingdom: Plantae </w:t>
      </w:r>
    </w:p>
    <w:p w14:paraId="2ED4DD3B" w14:textId="77777777" w:rsidR="009D1035" w:rsidRPr="009D1035" w:rsidRDefault="009D1035" w:rsidP="009D1035">
      <w:pPr>
        <w:pStyle w:val="Body"/>
        <w:spacing w:after="0"/>
        <w:rPr>
          <w:rFonts w:ascii="Arial" w:hAnsi="Arial" w:cs="Arial"/>
        </w:rPr>
      </w:pPr>
      <w:r w:rsidRPr="009D1035">
        <w:rPr>
          <w:rFonts w:ascii="Arial" w:hAnsi="Arial" w:cs="Arial"/>
        </w:rPr>
        <w:t xml:space="preserve">       Order: </w:t>
      </w:r>
      <w:proofErr w:type="spellStart"/>
      <w:r w:rsidRPr="009D1035">
        <w:rPr>
          <w:rFonts w:ascii="Arial" w:hAnsi="Arial" w:cs="Arial"/>
        </w:rPr>
        <w:t>Gentianales</w:t>
      </w:r>
      <w:proofErr w:type="spellEnd"/>
    </w:p>
    <w:p w14:paraId="3737F04F" w14:textId="77777777" w:rsidR="009D1035" w:rsidRPr="009D1035" w:rsidRDefault="009D1035" w:rsidP="009D1035">
      <w:pPr>
        <w:pStyle w:val="Body"/>
        <w:spacing w:after="0"/>
        <w:rPr>
          <w:rFonts w:ascii="Arial" w:hAnsi="Arial" w:cs="Arial"/>
        </w:rPr>
      </w:pPr>
      <w:r w:rsidRPr="009D1035">
        <w:rPr>
          <w:rFonts w:ascii="Arial" w:hAnsi="Arial" w:cs="Arial"/>
        </w:rPr>
        <w:t xml:space="preserve">           Family: </w:t>
      </w:r>
      <w:proofErr w:type="spellStart"/>
      <w:r w:rsidRPr="009D1035">
        <w:rPr>
          <w:rFonts w:ascii="Arial" w:hAnsi="Arial" w:cs="Arial"/>
        </w:rPr>
        <w:t>Apocynaceae</w:t>
      </w:r>
      <w:proofErr w:type="spellEnd"/>
    </w:p>
    <w:p w14:paraId="780AD24C" w14:textId="77777777" w:rsidR="009D1035" w:rsidRPr="009D1035" w:rsidRDefault="009D1035" w:rsidP="009D1035">
      <w:pPr>
        <w:pStyle w:val="Body"/>
        <w:spacing w:after="0"/>
        <w:rPr>
          <w:rFonts w:ascii="Arial" w:hAnsi="Arial" w:cs="Arial"/>
        </w:rPr>
      </w:pPr>
      <w:r w:rsidRPr="009D1035">
        <w:rPr>
          <w:rFonts w:ascii="Arial" w:hAnsi="Arial" w:cs="Arial"/>
        </w:rPr>
        <w:t xml:space="preserve">              Subfamily: Asclepiadaceae</w:t>
      </w:r>
    </w:p>
    <w:p w14:paraId="5232B860" w14:textId="77777777" w:rsidR="009D1035" w:rsidRPr="009D1035" w:rsidRDefault="009D1035" w:rsidP="009D1035">
      <w:pPr>
        <w:pStyle w:val="Body"/>
        <w:spacing w:after="0"/>
        <w:rPr>
          <w:rFonts w:ascii="Arial" w:hAnsi="Arial" w:cs="Arial"/>
        </w:rPr>
      </w:pPr>
      <w:r w:rsidRPr="009D1035">
        <w:rPr>
          <w:rFonts w:ascii="Arial" w:hAnsi="Arial" w:cs="Arial"/>
        </w:rPr>
        <w:t xml:space="preserve">                     Genus: </w:t>
      </w:r>
      <w:r w:rsidRPr="009D1035">
        <w:rPr>
          <w:rFonts w:ascii="Arial" w:hAnsi="Arial" w:cs="Arial"/>
          <w:i/>
        </w:rPr>
        <w:t>Calotropis</w:t>
      </w:r>
    </w:p>
    <w:p w14:paraId="7ED823FF" w14:textId="77777777" w:rsidR="009D1035" w:rsidRPr="009D1035" w:rsidRDefault="009D1035" w:rsidP="009D1035">
      <w:pPr>
        <w:pStyle w:val="Body"/>
        <w:spacing w:after="0"/>
        <w:rPr>
          <w:rFonts w:ascii="Arial" w:hAnsi="Arial" w:cs="Arial"/>
          <w:i/>
        </w:rPr>
      </w:pPr>
      <w:r w:rsidRPr="009D1035">
        <w:rPr>
          <w:rFonts w:ascii="Arial" w:hAnsi="Arial" w:cs="Arial"/>
        </w:rPr>
        <w:t xml:space="preserve">                          Species: </w:t>
      </w:r>
      <w:r w:rsidRPr="009D1035">
        <w:rPr>
          <w:rFonts w:ascii="Arial" w:hAnsi="Arial" w:cs="Arial"/>
          <w:i/>
        </w:rPr>
        <w:t xml:space="preserve">gigantea </w:t>
      </w:r>
    </w:p>
    <w:p w14:paraId="44E9E7C5" w14:textId="77777777" w:rsidR="009D1035" w:rsidRPr="009D1035" w:rsidRDefault="009D1035" w:rsidP="009D1035">
      <w:pPr>
        <w:pStyle w:val="Body"/>
        <w:spacing w:after="0"/>
        <w:rPr>
          <w:rFonts w:ascii="Arial" w:hAnsi="Arial" w:cs="Arial"/>
        </w:rPr>
      </w:pPr>
      <w:r w:rsidRPr="009D1035">
        <w:rPr>
          <w:rFonts w:ascii="Arial" w:hAnsi="Arial" w:cs="Arial"/>
          <w:i/>
        </w:rPr>
        <w:t xml:space="preserve">                              </w:t>
      </w:r>
      <w:r w:rsidRPr="009D1035">
        <w:rPr>
          <w:rFonts w:ascii="Arial" w:hAnsi="Arial" w:cs="Arial"/>
        </w:rPr>
        <w:t xml:space="preserve">Common Name: Giant Milkweeds (English), </w:t>
      </w:r>
      <w:proofErr w:type="spellStart"/>
      <w:r w:rsidRPr="009D1035">
        <w:rPr>
          <w:rFonts w:ascii="Arial" w:hAnsi="Arial" w:cs="Arial"/>
        </w:rPr>
        <w:t>Aak</w:t>
      </w:r>
      <w:proofErr w:type="spellEnd"/>
      <w:r w:rsidRPr="009D1035">
        <w:rPr>
          <w:rFonts w:ascii="Arial" w:hAnsi="Arial" w:cs="Arial"/>
        </w:rPr>
        <w:t xml:space="preserve"> (Nepali), </w:t>
      </w:r>
      <w:proofErr w:type="spellStart"/>
      <w:r w:rsidRPr="009D1035">
        <w:rPr>
          <w:rFonts w:ascii="Arial" w:hAnsi="Arial" w:cs="Arial"/>
        </w:rPr>
        <w:t>Madar</w:t>
      </w:r>
      <w:proofErr w:type="spellEnd"/>
      <w:r w:rsidRPr="009D1035">
        <w:rPr>
          <w:rFonts w:ascii="Arial" w:hAnsi="Arial" w:cs="Arial"/>
        </w:rPr>
        <w:t xml:space="preserve">   </w:t>
      </w:r>
      <w:proofErr w:type="gramStart"/>
      <w:r w:rsidRPr="009D1035">
        <w:rPr>
          <w:rFonts w:ascii="Arial" w:hAnsi="Arial" w:cs="Arial"/>
        </w:rPr>
        <w:t xml:space="preserve">   (</w:t>
      </w:r>
      <w:proofErr w:type="spellStart"/>
      <w:proofErr w:type="gramEnd"/>
      <w:r w:rsidRPr="009D1035">
        <w:rPr>
          <w:rFonts w:ascii="Arial" w:hAnsi="Arial" w:cs="Arial"/>
        </w:rPr>
        <w:t>Tharu</w:t>
      </w:r>
      <w:proofErr w:type="spellEnd"/>
      <w:r w:rsidRPr="009D1035">
        <w:rPr>
          <w:rFonts w:ascii="Arial" w:hAnsi="Arial" w:cs="Arial"/>
        </w:rPr>
        <w:t>).</w:t>
      </w:r>
    </w:p>
    <w:p w14:paraId="5C6D4D67" w14:textId="77777777" w:rsidR="009D1035" w:rsidRDefault="009D1035" w:rsidP="009D1035">
      <w:pPr>
        <w:pStyle w:val="Body"/>
        <w:spacing w:after="0"/>
        <w:rPr>
          <w:rFonts w:ascii="Arial" w:hAnsi="Arial" w:cs="Arial"/>
          <w:b/>
          <w:bCs/>
        </w:rPr>
      </w:pPr>
    </w:p>
    <w:p w14:paraId="683F4447" w14:textId="77777777" w:rsidR="009D1035" w:rsidRPr="009D1035" w:rsidRDefault="009D1035" w:rsidP="009D1035">
      <w:pPr>
        <w:pStyle w:val="Body"/>
        <w:spacing w:after="0"/>
        <w:rPr>
          <w:rFonts w:ascii="Arial" w:hAnsi="Arial" w:cs="Arial"/>
          <w:b/>
          <w:bCs/>
        </w:rPr>
      </w:pPr>
      <w:r w:rsidRPr="009D1035">
        <w:rPr>
          <w:rFonts w:ascii="Arial" w:hAnsi="Arial" w:cs="Arial"/>
          <w:b/>
          <w:bCs/>
        </w:rPr>
        <w:t>Mechanism of Analgesic Drugs</w:t>
      </w:r>
    </w:p>
    <w:p w14:paraId="5E2B4C28" w14:textId="77777777" w:rsidR="009D1035" w:rsidRPr="009D1035" w:rsidRDefault="009D1035" w:rsidP="009D1035">
      <w:pPr>
        <w:pStyle w:val="Body"/>
        <w:spacing w:after="0"/>
        <w:rPr>
          <w:rFonts w:ascii="Arial" w:hAnsi="Arial" w:cs="Arial"/>
        </w:rPr>
      </w:pPr>
      <w:r w:rsidRPr="009D1035">
        <w:rPr>
          <w:rFonts w:ascii="Arial" w:hAnsi="Arial" w:cs="Arial"/>
        </w:rPr>
        <w:t xml:space="preserve">The stimulation of the nociceptive receptor causes pain perception. Mu, kappa, and delta receptors have been found to be involved in pain perception. They start the production of prostaglandin I, prostaglandin II, or occasionally both. Either selectively or at the CO-II receptor, analgesic medications block them. Opioids relieve pain by raising the spinal </w:t>
      </w:r>
      <w:proofErr w:type="spellStart"/>
      <w:r w:rsidRPr="009D1035">
        <w:rPr>
          <w:rFonts w:ascii="Arial" w:hAnsi="Arial" w:cs="Arial"/>
        </w:rPr>
        <w:t>cord’s</w:t>
      </w:r>
      <w:proofErr w:type="spellEnd"/>
      <w:r w:rsidRPr="009D1035">
        <w:rPr>
          <w:rFonts w:ascii="Arial" w:hAnsi="Arial" w:cs="Arial"/>
        </w:rPr>
        <w:t xml:space="preserve"> threshold level, which allows a person to tolerate more pain Patel, et al., 2016. </w:t>
      </w:r>
    </w:p>
    <w:p w14:paraId="3E1577BE" w14:textId="77777777" w:rsidR="009D1035" w:rsidRPr="009D1035" w:rsidRDefault="009D1035" w:rsidP="005E4952">
      <w:pPr>
        <w:pStyle w:val="Body"/>
        <w:spacing w:after="0"/>
        <w:jc w:val="left"/>
        <w:rPr>
          <w:rFonts w:ascii="Arial" w:hAnsi="Arial" w:cs="Arial"/>
        </w:rPr>
      </w:pPr>
      <w:r w:rsidRPr="009D1035">
        <w:rPr>
          <w:rFonts w:ascii="Arial" w:hAnsi="Arial" w:cs="Arial"/>
          <w:noProof/>
        </w:rPr>
        <w:lastRenderedPageBreak/>
        <w:drawing>
          <wp:inline distT="0" distB="0" distL="0" distR="0" wp14:anchorId="35B587A3" wp14:editId="102148C4">
            <wp:extent cx="2628900" cy="1685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8900" cy="1685925"/>
                    </a:xfrm>
                    <a:prstGeom prst="rect">
                      <a:avLst/>
                    </a:prstGeom>
                  </pic:spPr>
                </pic:pic>
              </a:graphicData>
            </a:graphic>
          </wp:inline>
        </w:drawing>
      </w:r>
      <w:r w:rsidRPr="009D1035">
        <w:rPr>
          <w:rFonts w:ascii="Arial" w:hAnsi="Arial" w:cs="Arial"/>
        </w:rPr>
        <w:t xml:space="preserve">                                                                                                                   </w:t>
      </w:r>
    </w:p>
    <w:p w14:paraId="589F8C5D" w14:textId="77777777" w:rsidR="009D1035" w:rsidRPr="009D1035" w:rsidRDefault="009A7467" w:rsidP="005E4952">
      <w:pPr>
        <w:pStyle w:val="Body"/>
        <w:spacing w:after="0"/>
        <w:jc w:val="left"/>
        <w:rPr>
          <w:rFonts w:ascii="Arial" w:hAnsi="Arial" w:cs="Arial"/>
        </w:rPr>
      </w:pPr>
      <w:r>
        <w:rPr>
          <w:rFonts w:ascii="Arial" w:hAnsi="Arial" w:cs="Arial"/>
          <w:b/>
          <w:bCs/>
        </w:rPr>
        <w:t>Fig.</w:t>
      </w:r>
      <w:r w:rsidR="009D1035" w:rsidRPr="009D1035">
        <w:rPr>
          <w:rFonts w:ascii="Arial" w:hAnsi="Arial" w:cs="Arial"/>
          <w:b/>
          <w:bCs/>
        </w:rPr>
        <w:t xml:space="preserve"> </w:t>
      </w:r>
      <w:r w:rsidR="009D1035" w:rsidRPr="009D1035">
        <w:rPr>
          <w:rFonts w:ascii="Arial" w:hAnsi="Arial" w:cs="Arial"/>
          <w:b/>
          <w:bCs/>
        </w:rPr>
        <w:fldChar w:fldCharType="begin"/>
      </w:r>
      <w:r w:rsidR="009D1035" w:rsidRPr="009D1035">
        <w:rPr>
          <w:rFonts w:ascii="Arial" w:hAnsi="Arial" w:cs="Arial"/>
          <w:b/>
          <w:bCs/>
        </w:rPr>
        <w:instrText xml:space="preserve"> SEQ Figure \* ARABIC </w:instrText>
      </w:r>
      <w:r w:rsidR="009D1035" w:rsidRPr="009D1035">
        <w:rPr>
          <w:rFonts w:ascii="Arial" w:hAnsi="Arial" w:cs="Arial"/>
          <w:b/>
          <w:bCs/>
        </w:rPr>
        <w:fldChar w:fldCharType="separate"/>
      </w:r>
      <w:r w:rsidR="009D1035" w:rsidRPr="009D1035">
        <w:rPr>
          <w:rFonts w:ascii="Arial" w:hAnsi="Arial" w:cs="Arial"/>
          <w:b/>
          <w:bCs/>
        </w:rPr>
        <w:t>2</w:t>
      </w:r>
      <w:r w:rsidR="009D1035" w:rsidRPr="009D1035">
        <w:rPr>
          <w:rFonts w:ascii="Arial" w:hAnsi="Arial" w:cs="Arial"/>
        </w:rPr>
        <w:fldChar w:fldCharType="end"/>
      </w:r>
      <w:r>
        <w:rPr>
          <w:rFonts w:ascii="Arial" w:hAnsi="Arial" w:cs="Arial"/>
          <w:b/>
          <w:bCs/>
        </w:rPr>
        <w:t>.</w:t>
      </w:r>
      <w:r w:rsidR="009D1035" w:rsidRPr="009D1035">
        <w:rPr>
          <w:rFonts w:ascii="Arial" w:hAnsi="Arial" w:cs="Arial"/>
          <w:b/>
          <w:bCs/>
        </w:rPr>
        <w:t xml:space="preserve"> </w:t>
      </w:r>
      <w:r w:rsidR="009D1035" w:rsidRPr="009D1035">
        <w:rPr>
          <w:rFonts w:ascii="Arial" w:hAnsi="Arial" w:cs="Arial"/>
        </w:rPr>
        <w:t>Mechanism of Analgesic Activity</w:t>
      </w:r>
    </w:p>
    <w:p w14:paraId="7BD8AB8A" w14:textId="77777777" w:rsidR="009D1035" w:rsidRDefault="009D1035" w:rsidP="009D1035">
      <w:pPr>
        <w:pStyle w:val="Body"/>
        <w:spacing w:after="0"/>
        <w:rPr>
          <w:rFonts w:ascii="Arial" w:hAnsi="Arial" w:cs="Arial"/>
          <w:b/>
          <w:bCs/>
        </w:rPr>
      </w:pPr>
    </w:p>
    <w:p w14:paraId="4239D295" w14:textId="77777777" w:rsidR="009D1035" w:rsidRPr="009D1035" w:rsidRDefault="009D1035" w:rsidP="009D1035">
      <w:pPr>
        <w:pStyle w:val="Body"/>
        <w:spacing w:after="0"/>
        <w:rPr>
          <w:rFonts w:ascii="Arial" w:hAnsi="Arial" w:cs="Arial"/>
          <w:b/>
          <w:bCs/>
        </w:rPr>
      </w:pPr>
      <w:r w:rsidRPr="009D1035">
        <w:rPr>
          <w:rFonts w:ascii="Arial" w:hAnsi="Arial" w:cs="Arial"/>
          <w:b/>
          <w:bCs/>
        </w:rPr>
        <w:t>Rationale of the Study</w:t>
      </w:r>
    </w:p>
    <w:p w14:paraId="3F5064F0" w14:textId="77777777" w:rsidR="009D1035" w:rsidRPr="009D1035" w:rsidRDefault="009D1035" w:rsidP="009D1035">
      <w:pPr>
        <w:pStyle w:val="Body"/>
        <w:spacing w:after="0"/>
        <w:rPr>
          <w:rFonts w:ascii="Arial" w:hAnsi="Arial" w:cs="Arial"/>
          <w:iCs/>
        </w:rPr>
      </w:pPr>
      <w:r w:rsidRPr="009D1035">
        <w:rPr>
          <w:rFonts w:ascii="Arial" w:hAnsi="Arial" w:cs="Arial"/>
          <w:iCs/>
        </w:rPr>
        <w:t xml:space="preserve">There is insufficient information about the analgesic efficacy of </w:t>
      </w:r>
      <w:r w:rsidRPr="009D1035">
        <w:rPr>
          <w:rFonts w:ascii="Arial" w:hAnsi="Arial" w:cs="Arial"/>
          <w:i/>
        </w:rPr>
        <w:t>C. gigantea</w:t>
      </w:r>
      <w:r w:rsidRPr="009D1035">
        <w:rPr>
          <w:rFonts w:ascii="Arial" w:hAnsi="Arial" w:cs="Arial"/>
          <w:iCs/>
        </w:rPr>
        <w:t xml:space="preserve"> leaves and latex, even though its flowers and roots have demonstrated pharmacological effects. The purpose of this study is to confirm the analgesic activity of </w:t>
      </w:r>
      <w:r w:rsidRPr="009D1035">
        <w:rPr>
          <w:rFonts w:ascii="Arial" w:hAnsi="Arial" w:cs="Arial"/>
          <w:i/>
        </w:rPr>
        <w:t>C. gigantea</w:t>
      </w:r>
      <w:r w:rsidRPr="009D1035">
        <w:rPr>
          <w:rFonts w:ascii="Arial" w:hAnsi="Arial" w:cs="Arial"/>
          <w:iCs/>
        </w:rPr>
        <w:t xml:space="preserve"> leaves as a safer substitute for traditional analgesics, given their shortcoming. </w:t>
      </w:r>
    </w:p>
    <w:p w14:paraId="0A3D179E" w14:textId="77777777" w:rsidR="009D1035" w:rsidRDefault="009D1035" w:rsidP="009D1035">
      <w:pPr>
        <w:pStyle w:val="Body"/>
        <w:spacing w:after="0"/>
        <w:rPr>
          <w:rFonts w:ascii="Arial" w:hAnsi="Arial" w:cs="Arial"/>
          <w:b/>
          <w:bCs/>
        </w:rPr>
      </w:pPr>
    </w:p>
    <w:p w14:paraId="64BFC65D" w14:textId="77777777" w:rsidR="009D1035" w:rsidRPr="009D1035" w:rsidRDefault="009D1035" w:rsidP="009D1035">
      <w:pPr>
        <w:pStyle w:val="Body"/>
        <w:spacing w:after="0"/>
        <w:rPr>
          <w:rFonts w:ascii="Arial" w:hAnsi="Arial" w:cs="Arial"/>
          <w:b/>
          <w:bCs/>
        </w:rPr>
      </w:pPr>
      <w:r w:rsidRPr="009D1035">
        <w:rPr>
          <w:rFonts w:ascii="Arial" w:hAnsi="Arial" w:cs="Arial"/>
          <w:b/>
          <w:bCs/>
        </w:rPr>
        <w:t>Objectives</w:t>
      </w:r>
    </w:p>
    <w:p w14:paraId="2C29BFF1" w14:textId="77777777" w:rsidR="009D1035" w:rsidRPr="009D1035" w:rsidRDefault="009D1035" w:rsidP="009D1035">
      <w:pPr>
        <w:pStyle w:val="Body"/>
        <w:numPr>
          <w:ilvl w:val="0"/>
          <w:numId w:val="31"/>
        </w:numPr>
        <w:spacing w:after="0"/>
        <w:rPr>
          <w:rFonts w:ascii="Arial" w:hAnsi="Arial" w:cs="Arial"/>
          <w:b/>
          <w:bCs/>
        </w:rPr>
      </w:pPr>
      <w:r w:rsidRPr="009D1035">
        <w:rPr>
          <w:rFonts w:ascii="Arial" w:hAnsi="Arial" w:cs="Arial"/>
        </w:rPr>
        <w:t>To prepare methanol and ethyl acetate extracts of its parts.</w:t>
      </w:r>
    </w:p>
    <w:p w14:paraId="58B55871" w14:textId="77777777" w:rsidR="009D1035" w:rsidRPr="009D1035" w:rsidRDefault="009D1035" w:rsidP="009D1035">
      <w:pPr>
        <w:pStyle w:val="Body"/>
        <w:numPr>
          <w:ilvl w:val="0"/>
          <w:numId w:val="31"/>
        </w:numPr>
        <w:spacing w:after="0"/>
        <w:rPr>
          <w:rFonts w:ascii="Arial" w:hAnsi="Arial" w:cs="Arial"/>
          <w:b/>
          <w:bCs/>
        </w:rPr>
      </w:pPr>
      <w:r w:rsidRPr="009D1035">
        <w:rPr>
          <w:rFonts w:ascii="Arial" w:hAnsi="Arial" w:cs="Arial"/>
        </w:rPr>
        <w:t>To conduct phytochemical screening of the extracts.</w:t>
      </w:r>
    </w:p>
    <w:p w14:paraId="400EC35D" w14:textId="77777777" w:rsidR="009D1035" w:rsidRPr="009D1035" w:rsidRDefault="009D1035" w:rsidP="009D1035">
      <w:pPr>
        <w:pStyle w:val="Body"/>
        <w:numPr>
          <w:ilvl w:val="0"/>
          <w:numId w:val="31"/>
        </w:numPr>
        <w:spacing w:after="0"/>
        <w:rPr>
          <w:rFonts w:ascii="Arial" w:hAnsi="Arial" w:cs="Arial"/>
          <w:b/>
          <w:bCs/>
        </w:rPr>
      </w:pPr>
      <w:r w:rsidRPr="009D1035">
        <w:rPr>
          <w:rFonts w:ascii="Arial" w:hAnsi="Arial" w:cs="Arial"/>
        </w:rPr>
        <w:t xml:space="preserve">To evaluate the in vivo analgesic activity of methanol leaf extract. </w:t>
      </w:r>
    </w:p>
    <w:p w14:paraId="1169983C" w14:textId="77777777" w:rsidR="00790ADA" w:rsidRPr="00FB3A86" w:rsidRDefault="00790ADA" w:rsidP="009D1035">
      <w:pPr>
        <w:pStyle w:val="Body"/>
        <w:spacing w:after="0"/>
        <w:rPr>
          <w:rFonts w:ascii="Arial" w:hAnsi="Arial" w:cs="Arial"/>
        </w:rPr>
      </w:pPr>
    </w:p>
    <w:p w14:paraId="1B01FA49" w14:textId="77777777" w:rsidR="009D1035" w:rsidRDefault="00902823" w:rsidP="009D1035">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5EB76BF" w14:textId="77777777" w:rsidR="009D1035" w:rsidRDefault="009D1035" w:rsidP="009D1035">
      <w:pPr>
        <w:pStyle w:val="AbstHead"/>
        <w:spacing w:after="0"/>
        <w:jc w:val="both"/>
        <w:rPr>
          <w:rFonts w:ascii="Arial" w:hAnsi="Arial" w:cs="Arial"/>
        </w:rPr>
      </w:pPr>
    </w:p>
    <w:p w14:paraId="25374804" w14:textId="77777777" w:rsidR="009D1035" w:rsidRDefault="009A7467" w:rsidP="009D1035">
      <w:pPr>
        <w:pStyle w:val="AbstHead"/>
        <w:spacing w:after="0"/>
        <w:jc w:val="both"/>
        <w:rPr>
          <w:rFonts w:ascii="Arial" w:hAnsi="Arial" w:cs="Arial"/>
          <w:bCs/>
          <w:caps w:val="0"/>
        </w:rPr>
      </w:pPr>
      <w:r w:rsidRPr="009A7467">
        <w:rPr>
          <w:rFonts w:ascii="Arial" w:hAnsi="Arial" w:cs="Arial"/>
          <w:bCs/>
          <w:caps w:val="0"/>
        </w:rPr>
        <w:t xml:space="preserve">2.1 </w:t>
      </w:r>
      <w:r w:rsidR="009D1035" w:rsidRPr="009A7467">
        <w:rPr>
          <w:rFonts w:ascii="Arial" w:hAnsi="Arial" w:cs="Arial"/>
          <w:bCs/>
          <w:caps w:val="0"/>
        </w:rPr>
        <w:t>Plant Material</w:t>
      </w:r>
      <w:r>
        <w:rPr>
          <w:rFonts w:ascii="Arial" w:hAnsi="Arial" w:cs="Arial"/>
          <w:bCs/>
          <w:caps w:val="0"/>
        </w:rPr>
        <w:t>s</w:t>
      </w:r>
    </w:p>
    <w:p w14:paraId="54D297FF" w14:textId="77777777" w:rsidR="009A7467" w:rsidRPr="009A7467" w:rsidRDefault="009A7467" w:rsidP="009D1035">
      <w:pPr>
        <w:pStyle w:val="AbstHead"/>
        <w:spacing w:after="0"/>
        <w:jc w:val="both"/>
        <w:rPr>
          <w:rFonts w:ascii="Arial" w:hAnsi="Arial" w:cs="Arial"/>
          <w:bCs/>
        </w:rPr>
      </w:pPr>
    </w:p>
    <w:p w14:paraId="2E1DE39C" w14:textId="77777777" w:rsidR="009D1035" w:rsidRPr="009D1035" w:rsidRDefault="009D1035" w:rsidP="009D1035">
      <w:pPr>
        <w:pStyle w:val="Body"/>
        <w:spacing w:after="0"/>
        <w:rPr>
          <w:rFonts w:ascii="Arial" w:hAnsi="Arial" w:cs="Arial"/>
        </w:rPr>
      </w:pPr>
      <w:r w:rsidRPr="009D1035">
        <w:rPr>
          <w:rFonts w:ascii="Arial" w:hAnsi="Arial" w:cs="Arial"/>
        </w:rPr>
        <w:t xml:space="preserve">The selection of the plants was based on their historical applications and availability. The plant latex, leaves, and flowers were gathered from </w:t>
      </w:r>
      <w:proofErr w:type="spellStart"/>
      <w:r w:rsidRPr="009D1035">
        <w:rPr>
          <w:rFonts w:ascii="Arial" w:hAnsi="Arial" w:cs="Arial"/>
        </w:rPr>
        <w:t>Kalikanagar</w:t>
      </w:r>
      <w:proofErr w:type="spellEnd"/>
      <w:r w:rsidRPr="009D1035">
        <w:rPr>
          <w:rFonts w:ascii="Arial" w:hAnsi="Arial" w:cs="Arial"/>
        </w:rPr>
        <w:t xml:space="preserve">, Butwal, in Nepal's </w:t>
      </w:r>
      <w:proofErr w:type="spellStart"/>
      <w:r w:rsidRPr="009D1035">
        <w:rPr>
          <w:rFonts w:ascii="Arial" w:hAnsi="Arial" w:cs="Arial"/>
        </w:rPr>
        <w:t>Rupandehi</w:t>
      </w:r>
      <w:proofErr w:type="spellEnd"/>
      <w:r w:rsidRPr="009D1035">
        <w:rPr>
          <w:rFonts w:ascii="Arial" w:hAnsi="Arial" w:cs="Arial"/>
        </w:rPr>
        <w:t xml:space="preserve"> district. Table 1 lists the parts used in the investigation, </w:t>
      </w:r>
      <w:r>
        <w:rPr>
          <w:rFonts w:ascii="Arial" w:hAnsi="Arial" w:cs="Arial"/>
        </w:rPr>
        <w:t>their scientific names, and the corresponding collecting times</w:t>
      </w:r>
      <w:r w:rsidRPr="009D1035">
        <w:rPr>
          <w:rFonts w:ascii="Arial" w:hAnsi="Arial" w:cs="Arial"/>
        </w:rPr>
        <w:t xml:space="preserve">. </w:t>
      </w:r>
    </w:p>
    <w:p w14:paraId="4BB1A692" w14:textId="77777777" w:rsidR="009D1035" w:rsidRDefault="009D1035" w:rsidP="009D1035">
      <w:pPr>
        <w:pStyle w:val="Body"/>
        <w:spacing w:after="0"/>
        <w:rPr>
          <w:rFonts w:ascii="Arial" w:hAnsi="Arial" w:cs="Arial"/>
          <w:b/>
          <w:bCs/>
        </w:rPr>
      </w:pPr>
      <w:bookmarkStart w:id="1" w:name="_Toc151220418"/>
      <w:bookmarkStart w:id="2" w:name="_Toc151220912"/>
    </w:p>
    <w:p w14:paraId="79501324" w14:textId="77777777" w:rsidR="009D1035" w:rsidRDefault="009D1035" w:rsidP="009D1035">
      <w:pPr>
        <w:pStyle w:val="Body"/>
        <w:spacing w:after="0"/>
        <w:rPr>
          <w:rFonts w:ascii="Arial" w:hAnsi="Arial" w:cs="Arial"/>
        </w:rPr>
      </w:pPr>
      <w:r w:rsidRPr="009D1035">
        <w:rPr>
          <w:rFonts w:ascii="Arial" w:hAnsi="Arial" w:cs="Arial"/>
          <w:b/>
          <w:bCs/>
        </w:rPr>
        <w:t xml:space="preserve">Table </w:t>
      </w:r>
      <w:r w:rsidRPr="009D1035">
        <w:rPr>
          <w:rFonts w:ascii="Arial" w:hAnsi="Arial" w:cs="Arial"/>
          <w:b/>
          <w:bCs/>
        </w:rPr>
        <w:fldChar w:fldCharType="begin"/>
      </w:r>
      <w:r w:rsidRPr="009D1035">
        <w:rPr>
          <w:rFonts w:ascii="Arial" w:hAnsi="Arial" w:cs="Arial"/>
          <w:b/>
          <w:bCs/>
        </w:rPr>
        <w:instrText xml:space="preserve"> SEQ Table \* ARABIC </w:instrText>
      </w:r>
      <w:r w:rsidRPr="009D1035">
        <w:rPr>
          <w:rFonts w:ascii="Arial" w:hAnsi="Arial" w:cs="Arial"/>
          <w:b/>
          <w:bCs/>
        </w:rPr>
        <w:fldChar w:fldCharType="separate"/>
      </w:r>
      <w:r w:rsidRPr="009D1035">
        <w:rPr>
          <w:rFonts w:ascii="Arial" w:hAnsi="Arial" w:cs="Arial"/>
          <w:b/>
          <w:bCs/>
        </w:rPr>
        <w:t>1</w:t>
      </w:r>
      <w:r w:rsidRPr="009D1035">
        <w:rPr>
          <w:rFonts w:ascii="Arial" w:hAnsi="Arial" w:cs="Arial"/>
        </w:rPr>
        <w:fldChar w:fldCharType="end"/>
      </w:r>
      <w:r w:rsidRPr="009D1035">
        <w:rPr>
          <w:rFonts w:ascii="Arial" w:hAnsi="Arial" w:cs="Arial"/>
          <w:b/>
          <w:bCs/>
        </w:rPr>
        <w:t xml:space="preserve">. </w:t>
      </w:r>
      <w:r w:rsidRPr="009D1035">
        <w:rPr>
          <w:rFonts w:ascii="Arial" w:hAnsi="Arial" w:cs="Arial"/>
        </w:rPr>
        <w:t>Plant Details</w:t>
      </w:r>
      <w:bookmarkEnd w:id="1"/>
      <w:bookmarkEnd w:id="2"/>
    </w:p>
    <w:p w14:paraId="0FFB3FB2" w14:textId="77777777" w:rsidR="009D1035" w:rsidRPr="009D1035" w:rsidRDefault="009D1035" w:rsidP="009D1035">
      <w:pPr>
        <w:pStyle w:val="Body"/>
        <w:spacing w:after="0"/>
        <w:rPr>
          <w:rFonts w:ascii="Arial" w:hAnsi="Arial" w:cs="Arial"/>
        </w:rPr>
      </w:pPr>
    </w:p>
    <w:tbl>
      <w:tblPr>
        <w:tblW w:w="0" w:type="auto"/>
        <w:tblInd w:w="280" w:type="dxa"/>
        <w:tblBorders>
          <w:top w:val="single" w:sz="4" w:space="0" w:color="auto"/>
          <w:bottom w:val="single" w:sz="4" w:space="0" w:color="auto"/>
        </w:tblBorders>
        <w:tblLook w:val="0000" w:firstRow="0" w:lastRow="0" w:firstColumn="0" w:lastColumn="0" w:noHBand="0" w:noVBand="0"/>
      </w:tblPr>
      <w:tblGrid>
        <w:gridCol w:w="1514"/>
        <w:gridCol w:w="1248"/>
        <w:gridCol w:w="2913"/>
        <w:gridCol w:w="2253"/>
      </w:tblGrid>
      <w:tr w:rsidR="009D1035" w:rsidRPr="009D1035" w14:paraId="597B62BF" w14:textId="77777777" w:rsidTr="00055850">
        <w:trPr>
          <w:trHeight w:val="366"/>
        </w:trPr>
        <w:tc>
          <w:tcPr>
            <w:tcW w:w="1698" w:type="dxa"/>
            <w:tcBorders>
              <w:top w:val="single" w:sz="4" w:space="0" w:color="auto"/>
              <w:bottom w:val="single" w:sz="4" w:space="0" w:color="auto"/>
            </w:tcBorders>
          </w:tcPr>
          <w:p w14:paraId="34C74DA1" w14:textId="77777777" w:rsidR="009D1035" w:rsidRPr="009D1035" w:rsidRDefault="009D1035" w:rsidP="009D1035">
            <w:pPr>
              <w:pStyle w:val="Body"/>
              <w:spacing w:after="0"/>
              <w:rPr>
                <w:rFonts w:ascii="Arial" w:hAnsi="Arial" w:cs="Arial"/>
                <w:b/>
              </w:rPr>
            </w:pPr>
            <w:r w:rsidRPr="009D1035">
              <w:rPr>
                <w:rFonts w:ascii="Arial" w:hAnsi="Arial" w:cs="Arial"/>
                <w:b/>
              </w:rPr>
              <w:t>Plant</w:t>
            </w:r>
          </w:p>
        </w:tc>
        <w:tc>
          <w:tcPr>
            <w:tcW w:w="1397" w:type="dxa"/>
            <w:tcBorders>
              <w:top w:val="single" w:sz="4" w:space="0" w:color="auto"/>
              <w:bottom w:val="single" w:sz="4" w:space="0" w:color="auto"/>
            </w:tcBorders>
          </w:tcPr>
          <w:p w14:paraId="5CF9FBA5" w14:textId="77777777" w:rsidR="009D1035" w:rsidRPr="009D1035" w:rsidRDefault="009D1035" w:rsidP="009D1035">
            <w:pPr>
              <w:pStyle w:val="Body"/>
              <w:spacing w:after="0"/>
              <w:rPr>
                <w:rFonts w:ascii="Arial" w:hAnsi="Arial" w:cs="Arial"/>
                <w:b/>
              </w:rPr>
            </w:pPr>
            <w:r w:rsidRPr="009D1035">
              <w:rPr>
                <w:rFonts w:ascii="Arial" w:hAnsi="Arial" w:cs="Arial"/>
                <w:b/>
              </w:rPr>
              <w:t>Part used</w:t>
            </w:r>
          </w:p>
        </w:tc>
        <w:tc>
          <w:tcPr>
            <w:tcW w:w="3460" w:type="dxa"/>
            <w:tcBorders>
              <w:top w:val="single" w:sz="4" w:space="0" w:color="auto"/>
              <w:bottom w:val="single" w:sz="4" w:space="0" w:color="auto"/>
            </w:tcBorders>
          </w:tcPr>
          <w:p w14:paraId="7D37C0D4" w14:textId="77777777" w:rsidR="009D1035" w:rsidRPr="009D1035" w:rsidRDefault="009D1035" w:rsidP="009D1035">
            <w:pPr>
              <w:pStyle w:val="Body"/>
              <w:spacing w:after="0"/>
              <w:rPr>
                <w:rFonts w:ascii="Arial" w:hAnsi="Arial" w:cs="Arial"/>
                <w:b/>
              </w:rPr>
            </w:pPr>
            <w:r w:rsidRPr="009D1035">
              <w:rPr>
                <w:rFonts w:ascii="Arial" w:hAnsi="Arial" w:cs="Arial"/>
                <w:b/>
              </w:rPr>
              <w:t>Collection area</w:t>
            </w:r>
          </w:p>
        </w:tc>
        <w:tc>
          <w:tcPr>
            <w:tcW w:w="2622" w:type="dxa"/>
            <w:tcBorders>
              <w:top w:val="single" w:sz="4" w:space="0" w:color="auto"/>
              <w:bottom w:val="single" w:sz="4" w:space="0" w:color="auto"/>
            </w:tcBorders>
          </w:tcPr>
          <w:p w14:paraId="5EED87B0" w14:textId="77777777" w:rsidR="009D1035" w:rsidRPr="009D1035" w:rsidRDefault="009D1035" w:rsidP="009D1035">
            <w:pPr>
              <w:pStyle w:val="Body"/>
              <w:spacing w:after="0"/>
              <w:rPr>
                <w:rFonts w:ascii="Arial" w:hAnsi="Arial" w:cs="Arial"/>
                <w:b/>
              </w:rPr>
            </w:pPr>
            <w:r w:rsidRPr="009D1035">
              <w:rPr>
                <w:rFonts w:ascii="Arial" w:hAnsi="Arial" w:cs="Arial"/>
                <w:b/>
              </w:rPr>
              <w:t>Collection date</w:t>
            </w:r>
          </w:p>
        </w:tc>
      </w:tr>
      <w:tr w:rsidR="009D1035" w:rsidRPr="009D1035" w14:paraId="33D9FDAA" w14:textId="77777777" w:rsidTr="00055850">
        <w:trPr>
          <w:trHeight w:val="237"/>
        </w:trPr>
        <w:tc>
          <w:tcPr>
            <w:tcW w:w="1698" w:type="dxa"/>
            <w:vMerge w:val="restart"/>
            <w:tcBorders>
              <w:top w:val="single" w:sz="4" w:space="0" w:color="auto"/>
            </w:tcBorders>
          </w:tcPr>
          <w:p w14:paraId="6D88243B" w14:textId="77777777" w:rsidR="009D1035" w:rsidRPr="009D1035" w:rsidRDefault="009D1035" w:rsidP="009D1035">
            <w:pPr>
              <w:pStyle w:val="Body"/>
              <w:spacing w:after="0"/>
              <w:rPr>
                <w:rFonts w:ascii="Arial" w:hAnsi="Arial" w:cs="Arial"/>
              </w:rPr>
            </w:pPr>
          </w:p>
          <w:p w14:paraId="1AE2EC63" w14:textId="77777777" w:rsidR="009D1035" w:rsidRPr="009D1035" w:rsidRDefault="009D1035" w:rsidP="009D1035">
            <w:pPr>
              <w:pStyle w:val="Body"/>
              <w:spacing w:after="0"/>
              <w:rPr>
                <w:rFonts w:ascii="Arial" w:hAnsi="Arial" w:cs="Arial"/>
                <w:i/>
              </w:rPr>
            </w:pPr>
            <w:r w:rsidRPr="009D1035">
              <w:rPr>
                <w:rFonts w:ascii="Arial" w:hAnsi="Arial" w:cs="Arial"/>
                <w:i/>
              </w:rPr>
              <w:t>C. gigantea</w:t>
            </w:r>
          </w:p>
        </w:tc>
        <w:tc>
          <w:tcPr>
            <w:tcW w:w="1397" w:type="dxa"/>
            <w:tcBorders>
              <w:top w:val="single" w:sz="4" w:space="0" w:color="auto"/>
            </w:tcBorders>
          </w:tcPr>
          <w:p w14:paraId="0E935CAC" w14:textId="77777777" w:rsidR="009D1035" w:rsidRPr="009D1035" w:rsidRDefault="009D1035" w:rsidP="009D1035">
            <w:pPr>
              <w:pStyle w:val="Body"/>
              <w:spacing w:after="0"/>
              <w:rPr>
                <w:rFonts w:ascii="Arial" w:hAnsi="Arial" w:cs="Arial"/>
              </w:rPr>
            </w:pPr>
            <w:r w:rsidRPr="009D1035">
              <w:rPr>
                <w:rFonts w:ascii="Arial" w:hAnsi="Arial" w:cs="Arial"/>
              </w:rPr>
              <w:t>Leaf</w:t>
            </w:r>
          </w:p>
        </w:tc>
        <w:tc>
          <w:tcPr>
            <w:tcW w:w="3460" w:type="dxa"/>
            <w:tcBorders>
              <w:top w:val="single" w:sz="4" w:space="0" w:color="auto"/>
            </w:tcBorders>
          </w:tcPr>
          <w:p w14:paraId="4656E9A2" w14:textId="77777777" w:rsidR="009D1035" w:rsidRPr="009D1035" w:rsidRDefault="009D1035" w:rsidP="009D1035">
            <w:pPr>
              <w:pStyle w:val="Body"/>
              <w:spacing w:after="0"/>
              <w:rPr>
                <w:rFonts w:ascii="Arial" w:hAnsi="Arial" w:cs="Arial"/>
              </w:rPr>
            </w:pPr>
            <w:proofErr w:type="spellStart"/>
            <w:r w:rsidRPr="009D1035">
              <w:rPr>
                <w:rFonts w:ascii="Arial" w:hAnsi="Arial" w:cs="Arial"/>
              </w:rPr>
              <w:t>Kalikanagar</w:t>
            </w:r>
            <w:proofErr w:type="spellEnd"/>
            <w:r w:rsidRPr="009D1035">
              <w:rPr>
                <w:rFonts w:ascii="Arial" w:hAnsi="Arial" w:cs="Arial"/>
              </w:rPr>
              <w:t xml:space="preserve">, </w:t>
            </w:r>
            <w:proofErr w:type="spellStart"/>
            <w:r w:rsidRPr="009D1035">
              <w:rPr>
                <w:rFonts w:ascii="Arial" w:hAnsi="Arial" w:cs="Arial"/>
              </w:rPr>
              <w:t>Rupandehi</w:t>
            </w:r>
            <w:proofErr w:type="spellEnd"/>
          </w:p>
        </w:tc>
        <w:tc>
          <w:tcPr>
            <w:tcW w:w="2622" w:type="dxa"/>
            <w:tcBorders>
              <w:top w:val="single" w:sz="4" w:space="0" w:color="auto"/>
            </w:tcBorders>
          </w:tcPr>
          <w:p w14:paraId="0F4DB9B5" w14:textId="77777777" w:rsidR="009D1035" w:rsidRPr="009D1035" w:rsidRDefault="009D1035" w:rsidP="009D1035">
            <w:pPr>
              <w:pStyle w:val="Body"/>
              <w:spacing w:after="0"/>
              <w:rPr>
                <w:rFonts w:ascii="Arial" w:hAnsi="Arial" w:cs="Arial"/>
              </w:rPr>
            </w:pPr>
            <w:r w:rsidRPr="009D1035">
              <w:rPr>
                <w:rFonts w:ascii="Arial" w:hAnsi="Arial" w:cs="Arial"/>
              </w:rPr>
              <w:t>May, 2023</w:t>
            </w:r>
          </w:p>
        </w:tc>
      </w:tr>
      <w:tr w:rsidR="009D1035" w:rsidRPr="009D1035" w14:paraId="2F080DF8" w14:textId="77777777" w:rsidTr="00055850">
        <w:trPr>
          <w:trHeight w:val="258"/>
        </w:trPr>
        <w:tc>
          <w:tcPr>
            <w:tcW w:w="1698" w:type="dxa"/>
            <w:vMerge/>
          </w:tcPr>
          <w:p w14:paraId="4CE54357" w14:textId="77777777" w:rsidR="009D1035" w:rsidRPr="009D1035" w:rsidRDefault="009D1035" w:rsidP="009D1035">
            <w:pPr>
              <w:pStyle w:val="Body"/>
              <w:spacing w:after="0"/>
              <w:rPr>
                <w:rFonts w:ascii="Arial" w:hAnsi="Arial" w:cs="Arial"/>
              </w:rPr>
            </w:pPr>
          </w:p>
        </w:tc>
        <w:tc>
          <w:tcPr>
            <w:tcW w:w="1397" w:type="dxa"/>
          </w:tcPr>
          <w:p w14:paraId="12553F9E" w14:textId="77777777" w:rsidR="009D1035" w:rsidRPr="009D1035" w:rsidRDefault="009D1035" w:rsidP="009D1035">
            <w:pPr>
              <w:pStyle w:val="Body"/>
              <w:spacing w:after="0"/>
              <w:rPr>
                <w:rFonts w:ascii="Arial" w:hAnsi="Arial" w:cs="Arial"/>
              </w:rPr>
            </w:pPr>
            <w:r w:rsidRPr="009D1035">
              <w:rPr>
                <w:rFonts w:ascii="Arial" w:hAnsi="Arial" w:cs="Arial"/>
              </w:rPr>
              <w:t>Flower</w:t>
            </w:r>
          </w:p>
        </w:tc>
        <w:tc>
          <w:tcPr>
            <w:tcW w:w="3460" w:type="dxa"/>
          </w:tcPr>
          <w:p w14:paraId="6B765029" w14:textId="77777777" w:rsidR="009D1035" w:rsidRPr="009D1035" w:rsidRDefault="009D1035" w:rsidP="009D1035">
            <w:pPr>
              <w:pStyle w:val="Body"/>
              <w:spacing w:after="0"/>
              <w:rPr>
                <w:rFonts w:ascii="Arial" w:hAnsi="Arial" w:cs="Arial"/>
              </w:rPr>
            </w:pPr>
            <w:proofErr w:type="spellStart"/>
            <w:r w:rsidRPr="009D1035">
              <w:rPr>
                <w:rFonts w:ascii="Arial" w:hAnsi="Arial" w:cs="Arial"/>
              </w:rPr>
              <w:t>Kalikanagar</w:t>
            </w:r>
            <w:proofErr w:type="spellEnd"/>
            <w:r w:rsidRPr="009D1035">
              <w:rPr>
                <w:rFonts w:ascii="Arial" w:hAnsi="Arial" w:cs="Arial"/>
              </w:rPr>
              <w:t xml:space="preserve">, </w:t>
            </w:r>
            <w:proofErr w:type="spellStart"/>
            <w:r w:rsidRPr="009D1035">
              <w:rPr>
                <w:rFonts w:ascii="Arial" w:hAnsi="Arial" w:cs="Arial"/>
              </w:rPr>
              <w:t>Rupandehi</w:t>
            </w:r>
            <w:proofErr w:type="spellEnd"/>
          </w:p>
        </w:tc>
        <w:tc>
          <w:tcPr>
            <w:tcW w:w="2622" w:type="dxa"/>
          </w:tcPr>
          <w:p w14:paraId="34EE24D7" w14:textId="77777777" w:rsidR="009D1035" w:rsidRPr="009D1035" w:rsidRDefault="009D1035" w:rsidP="009D1035">
            <w:pPr>
              <w:pStyle w:val="Body"/>
              <w:spacing w:after="0"/>
              <w:rPr>
                <w:rFonts w:ascii="Arial" w:hAnsi="Arial" w:cs="Arial"/>
              </w:rPr>
            </w:pPr>
            <w:r w:rsidRPr="009D1035">
              <w:rPr>
                <w:rFonts w:ascii="Arial" w:hAnsi="Arial" w:cs="Arial"/>
              </w:rPr>
              <w:t>May, 2023</w:t>
            </w:r>
          </w:p>
        </w:tc>
      </w:tr>
      <w:tr w:rsidR="009D1035" w:rsidRPr="009D1035" w14:paraId="206D2BFC" w14:textId="77777777" w:rsidTr="00055850">
        <w:trPr>
          <w:trHeight w:val="301"/>
        </w:trPr>
        <w:tc>
          <w:tcPr>
            <w:tcW w:w="1698" w:type="dxa"/>
            <w:vMerge/>
          </w:tcPr>
          <w:p w14:paraId="630CAFF8" w14:textId="77777777" w:rsidR="009D1035" w:rsidRPr="009D1035" w:rsidRDefault="009D1035" w:rsidP="009D1035">
            <w:pPr>
              <w:pStyle w:val="Body"/>
              <w:spacing w:after="0"/>
              <w:rPr>
                <w:rFonts w:ascii="Arial" w:hAnsi="Arial" w:cs="Arial"/>
              </w:rPr>
            </w:pPr>
          </w:p>
        </w:tc>
        <w:tc>
          <w:tcPr>
            <w:tcW w:w="1397" w:type="dxa"/>
          </w:tcPr>
          <w:p w14:paraId="78C7A4DE" w14:textId="77777777" w:rsidR="009D1035" w:rsidRPr="009D1035" w:rsidRDefault="009D1035" w:rsidP="009D1035">
            <w:pPr>
              <w:pStyle w:val="Body"/>
              <w:spacing w:after="0"/>
              <w:rPr>
                <w:rFonts w:ascii="Arial" w:hAnsi="Arial" w:cs="Arial"/>
              </w:rPr>
            </w:pPr>
            <w:r w:rsidRPr="009D1035">
              <w:rPr>
                <w:rFonts w:ascii="Arial" w:hAnsi="Arial" w:cs="Arial"/>
              </w:rPr>
              <w:t>Latex</w:t>
            </w:r>
          </w:p>
        </w:tc>
        <w:tc>
          <w:tcPr>
            <w:tcW w:w="3460" w:type="dxa"/>
          </w:tcPr>
          <w:p w14:paraId="1E0CC872" w14:textId="77777777" w:rsidR="009D1035" w:rsidRPr="009D1035" w:rsidRDefault="009D1035" w:rsidP="009D1035">
            <w:pPr>
              <w:pStyle w:val="Body"/>
              <w:spacing w:after="0"/>
              <w:rPr>
                <w:rFonts w:ascii="Arial" w:hAnsi="Arial" w:cs="Arial"/>
              </w:rPr>
            </w:pPr>
            <w:proofErr w:type="spellStart"/>
            <w:r w:rsidRPr="009D1035">
              <w:rPr>
                <w:rFonts w:ascii="Arial" w:hAnsi="Arial" w:cs="Arial"/>
              </w:rPr>
              <w:t>Kalikanagar</w:t>
            </w:r>
            <w:proofErr w:type="spellEnd"/>
            <w:r w:rsidRPr="009D1035">
              <w:rPr>
                <w:rFonts w:ascii="Arial" w:hAnsi="Arial" w:cs="Arial"/>
              </w:rPr>
              <w:t xml:space="preserve">, </w:t>
            </w:r>
            <w:proofErr w:type="spellStart"/>
            <w:r w:rsidRPr="009D1035">
              <w:rPr>
                <w:rFonts w:ascii="Arial" w:hAnsi="Arial" w:cs="Arial"/>
              </w:rPr>
              <w:t>Rupandehi</w:t>
            </w:r>
            <w:proofErr w:type="spellEnd"/>
          </w:p>
        </w:tc>
        <w:tc>
          <w:tcPr>
            <w:tcW w:w="2622" w:type="dxa"/>
          </w:tcPr>
          <w:p w14:paraId="6B727130" w14:textId="77777777" w:rsidR="009D1035" w:rsidRPr="009D1035" w:rsidRDefault="009D1035" w:rsidP="009D1035">
            <w:pPr>
              <w:pStyle w:val="Body"/>
              <w:spacing w:after="0"/>
              <w:rPr>
                <w:rFonts w:ascii="Arial" w:hAnsi="Arial" w:cs="Arial"/>
              </w:rPr>
            </w:pPr>
            <w:r w:rsidRPr="009D1035">
              <w:rPr>
                <w:rFonts w:ascii="Arial" w:hAnsi="Arial" w:cs="Arial"/>
              </w:rPr>
              <w:t>May, 2023</w:t>
            </w:r>
          </w:p>
        </w:tc>
      </w:tr>
    </w:tbl>
    <w:p w14:paraId="173D2B9B" w14:textId="77777777" w:rsidR="009D1035" w:rsidRPr="009D1035" w:rsidRDefault="009D1035" w:rsidP="009D1035">
      <w:pPr>
        <w:pStyle w:val="Body"/>
        <w:rPr>
          <w:rFonts w:ascii="Arial" w:hAnsi="Arial" w:cs="Arial"/>
          <w:b/>
        </w:rPr>
      </w:pPr>
      <w:bookmarkStart w:id="3" w:name="_Toc151413637"/>
    </w:p>
    <w:p w14:paraId="20BE909C" w14:textId="77777777" w:rsidR="009D1035" w:rsidRPr="009A7467" w:rsidRDefault="009A7467" w:rsidP="009D1035">
      <w:pPr>
        <w:pStyle w:val="Body"/>
        <w:spacing w:after="0"/>
        <w:rPr>
          <w:rFonts w:ascii="Arial" w:hAnsi="Arial" w:cs="Arial"/>
          <w:b/>
          <w:bCs/>
          <w:sz w:val="22"/>
          <w:szCs w:val="22"/>
        </w:rPr>
      </w:pPr>
      <w:bookmarkStart w:id="4" w:name="_Toc151413638"/>
      <w:bookmarkEnd w:id="3"/>
      <w:r w:rsidRPr="009A7467">
        <w:rPr>
          <w:rFonts w:ascii="Arial" w:hAnsi="Arial" w:cs="Arial"/>
          <w:b/>
          <w:bCs/>
          <w:sz w:val="22"/>
          <w:szCs w:val="22"/>
        </w:rPr>
        <w:t xml:space="preserve">2.2 </w:t>
      </w:r>
      <w:r w:rsidR="009D1035" w:rsidRPr="009A7467">
        <w:rPr>
          <w:rFonts w:ascii="Arial" w:hAnsi="Arial" w:cs="Arial"/>
          <w:b/>
          <w:bCs/>
          <w:sz w:val="22"/>
          <w:szCs w:val="22"/>
        </w:rPr>
        <w:t>Chemicals and Drugs</w:t>
      </w:r>
      <w:bookmarkEnd w:id="4"/>
    </w:p>
    <w:p w14:paraId="49BE6618" w14:textId="77777777" w:rsidR="009A7467" w:rsidRPr="009A7467" w:rsidRDefault="009A7467" w:rsidP="009D1035">
      <w:pPr>
        <w:pStyle w:val="Body"/>
        <w:spacing w:after="0"/>
        <w:rPr>
          <w:rFonts w:ascii="Arial" w:hAnsi="Arial" w:cs="Arial"/>
          <w:b/>
          <w:bCs/>
          <w:sz w:val="22"/>
          <w:szCs w:val="22"/>
        </w:rPr>
      </w:pPr>
    </w:p>
    <w:p w14:paraId="285F941E" w14:textId="77777777" w:rsidR="009D1035" w:rsidRPr="009D1035" w:rsidRDefault="009D1035" w:rsidP="009D1035">
      <w:pPr>
        <w:pStyle w:val="Body"/>
        <w:spacing w:after="0"/>
        <w:rPr>
          <w:rFonts w:ascii="Arial" w:hAnsi="Arial" w:cs="Arial"/>
        </w:rPr>
      </w:pPr>
      <w:r w:rsidRPr="009D1035">
        <w:rPr>
          <w:rFonts w:ascii="Arial" w:hAnsi="Arial" w:cs="Arial"/>
        </w:rPr>
        <w:t>In this investigation used Diclofenac (J.B. Chemicals and Pharmaceuticals Ltd.), Acetic acid, Conc. Sulfuric acid, Potassium iodide, Sodium hydroxide, Chloroform, methanol (Thermo Fischer Scientific India Pvt. Ltd.), ethyl acetate (Merck Life Science Pvt. Ltd.), and Ferric chloride (</w:t>
      </w:r>
      <w:proofErr w:type="spellStart"/>
      <w:r w:rsidRPr="009D1035">
        <w:rPr>
          <w:rFonts w:ascii="Arial" w:hAnsi="Arial" w:cs="Arial"/>
        </w:rPr>
        <w:t>Loba</w:t>
      </w:r>
      <w:proofErr w:type="spellEnd"/>
      <w:r w:rsidRPr="009D1035">
        <w:rPr>
          <w:rFonts w:ascii="Arial" w:hAnsi="Arial" w:cs="Arial"/>
        </w:rPr>
        <w:t xml:space="preserve"> </w:t>
      </w:r>
      <w:proofErr w:type="spellStart"/>
      <w:r w:rsidRPr="009D1035">
        <w:rPr>
          <w:rFonts w:ascii="Arial" w:hAnsi="Arial" w:cs="Arial"/>
        </w:rPr>
        <w:t>Chemie</w:t>
      </w:r>
      <w:proofErr w:type="spellEnd"/>
      <w:r w:rsidRPr="009D1035">
        <w:rPr>
          <w:rFonts w:ascii="Arial" w:hAnsi="Arial" w:cs="Arial"/>
        </w:rPr>
        <w:t xml:space="preserve"> Pvt. Ltd.). Almost all chemicals used in this investigation were analytical grade.</w:t>
      </w:r>
    </w:p>
    <w:p w14:paraId="75C1FDDD" w14:textId="77777777" w:rsidR="009D1035" w:rsidRDefault="009D1035" w:rsidP="009D1035">
      <w:pPr>
        <w:pStyle w:val="Body"/>
        <w:spacing w:after="0"/>
        <w:rPr>
          <w:rFonts w:ascii="Arial" w:hAnsi="Arial" w:cs="Arial"/>
          <w:b/>
          <w:bCs/>
          <w:i/>
          <w:iCs/>
        </w:rPr>
      </w:pPr>
      <w:bookmarkStart w:id="5" w:name="_Toc151413643"/>
    </w:p>
    <w:p w14:paraId="2E35059E" w14:textId="77777777" w:rsidR="009D1035" w:rsidRPr="009A7467" w:rsidRDefault="009A7467" w:rsidP="009D1035">
      <w:pPr>
        <w:pStyle w:val="Body"/>
        <w:spacing w:after="0"/>
        <w:rPr>
          <w:rFonts w:ascii="Arial" w:hAnsi="Arial" w:cs="Arial"/>
          <w:b/>
          <w:bCs/>
          <w:sz w:val="22"/>
          <w:szCs w:val="22"/>
        </w:rPr>
      </w:pPr>
      <w:r w:rsidRPr="009A7467">
        <w:rPr>
          <w:rFonts w:ascii="Arial" w:hAnsi="Arial" w:cs="Arial"/>
          <w:b/>
          <w:bCs/>
          <w:sz w:val="22"/>
          <w:szCs w:val="22"/>
        </w:rPr>
        <w:t xml:space="preserve">2.3 </w:t>
      </w:r>
      <w:r w:rsidR="009D1035" w:rsidRPr="009A7467">
        <w:rPr>
          <w:rFonts w:ascii="Arial" w:hAnsi="Arial" w:cs="Arial"/>
          <w:b/>
          <w:bCs/>
          <w:sz w:val="22"/>
          <w:szCs w:val="22"/>
        </w:rPr>
        <w:t>Drying</w:t>
      </w:r>
      <w:bookmarkEnd w:id="5"/>
    </w:p>
    <w:p w14:paraId="43253B77" w14:textId="77777777" w:rsidR="009D1035" w:rsidRDefault="009D1035" w:rsidP="009D1035">
      <w:pPr>
        <w:pStyle w:val="Body"/>
        <w:spacing w:after="0"/>
        <w:rPr>
          <w:rFonts w:ascii="Arial" w:hAnsi="Arial" w:cs="Arial"/>
        </w:rPr>
      </w:pPr>
      <w:r w:rsidRPr="009D1035">
        <w:rPr>
          <w:rFonts w:ascii="Arial" w:hAnsi="Arial" w:cs="Arial"/>
        </w:rPr>
        <w:lastRenderedPageBreak/>
        <w:t>Collected plant parts were cleaned with distilled water to remove dust adhering to them. They were then naturally dried in shade at room temperature in the Pharmacognosy laboratory of Crimson College of Technology, Butwal, Nepal. The drying was carried out for 10 days. Latex of the plant was stored in a refrigerator at 4 °C until use. After complete drying, the dried leaves and flowers were hand-crushed to reduce their size. Completely dried plant materials were u</w:t>
      </w:r>
      <w:bookmarkStart w:id="6" w:name="_Toc151413644"/>
      <w:r w:rsidRPr="009D1035">
        <w:rPr>
          <w:rFonts w:ascii="Arial" w:hAnsi="Arial" w:cs="Arial"/>
        </w:rPr>
        <w:t>sed for the extraction process.</w:t>
      </w:r>
    </w:p>
    <w:p w14:paraId="06671F7F" w14:textId="77777777" w:rsidR="009D1035" w:rsidRPr="009D1035" w:rsidRDefault="009D1035" w:rsidP="009D1035">
      <w:pPr>
        <w:pStyle w:val="Body"/>
        <w:spacing w:after="0"/>
        <w:rPr>
          <w:rFonts w:ascii="Arial" w:hAnsi="Arial" w:cs="Arial"/>
        </w:rPr>
      </w:pPr>
    </w:p>
    <w:p w14:paraId="3D3007C1" w14:textId="77777777" w:rsidR="009D1035" w:rsidRPr="009D1035" w:rsidRDefault="009D1035" w:rsidP="009D1035">
      <w:pPr>
        <w:pStyle w:val="Body"/>
        <w:spacing w:after="0"/>
        <w:rPr>
          <w:rFonts w:ascii="Arial" w:hAnsi="Arial" w:cs="Arial"/>
        </w:rPr>
      </w:pPr>
      <w:r w:rsidRPr="009D1035">
        <w:rPr>
          <w:rFonts w:ascii="Arial" w:hAnsi="Arial" w:cs="Arial"/>
          <w:noProof/>
        </w:rPr>
        <w:drawing>
          <wp:inline distT="0" distB="0" distL="0" distR="0" wp14:anchorId="67F144CB" wp14:editId="2DE9056D">
            <wp:extent cx="2400300" cy="2573655"/>
            <wp:effectExtent l="0" t="0" r="0" b="0"/>
            <wp:docPr id="9" name="Picture 8" descr="latex col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x collection.png"/>
                    <pic:cNvPicPr/>
                  </pic:nvPicPr>
                  <pic:blipFill>
                    <a:blip r:embed="rId16"/>
                    <a:stretch>
                      <a:fillRect/>
                    </a:stretch>
                  </pic:blipFill>
                  <pic:spPr>
                    <a:xfrm>
                      <a:off x="0" y="0"/>
                      <a:ext cx="2408080" cy="2581997"/>
                    </a:xfrm>
                    <a:prstGeom prst="rect">
                      <a:avLst/>
                    </a:prstGeom>
                  </pic:spPr>
                </pic:pic>
              </a:graphicData>
            </a:graphic>
          </wp:inline>
        </w:drawing>
      </w:r>
      <w:r w:rsidRPr="009D1035">
        <w:rPr>
          <w:rFonts w:ascii="Arial" w:hAnsi="Arial" w:cs="Arial"/>
        </w:rPr>
        <w:t xml:space="preserve">   </w:t>
      </w:r>
      <w:r w:rsidRPr="009D1035">
        <w:rPr>
          <w:rFonts w:ascii="Arial" w:hAnsi="Arial" w:cs="Arial"/>
          <w:noProof/>
        </w:rPr>
        <w:drawing>
          <wp:inline distT="0" distB="0" distL="0" distR="0" wp14:anchorId="5F81ECBB" wp14:editId="16639C60">
            <wp:extent cx="2619375" cy="2580640"/>
            <wp:effectExtent l="0" t="0" r="9525" b="0"/>
            <wp:docPr id="10" name="Picture 9" descr="dr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ing.jpg"/>
                    <pic:cNvPicPr/>
                  </pic:nvPicPr>
                  <pic:blipFill>
                    <a:blip r:embed="rId17"/>
                    <a:stretch>
                      <a:fillRect/>
                    </a:stretch>
                  </pic:blipFill>
                  <pic:spPr>
                    <a:xfrm>
                      <a:off x="0" y="0"/>
                      <a:ext cx="2619459" cy="2580723"/>
                    </a:xfrm>
                    <a:prstGeom prst="rect">
                      <a:avLst/>
                    </a:prstGeom>
                  </pic:spPr>
                </pic:pic>
              </a:graphicData>
            </a:graphic>
          </wp:inline>
        </w:drawing>
      </w:r>
    </w:p>
    <w:p w14:paraId="76A64EED" w14:textId="77777777" w:rsidR="005E4952" w:rsidRDefault="005E4952" w:rsidP="005E4952">
      <w:pPr>
        <w:pStyle w:val="Body"/>
        <w:spacing w:after="0"/>
        <w:jc w:val="left"/>
        <w:rPr>
          <w:rFonts w:ascii="Arial" w:hAnsi="Arial" w:cs="Arial"/>
          <w:b/>
          <w:bCs/>
        </w:rPr>
      </w:pPr>
      <w:bookmarkStart w:id="7" w:name="_Toc151413645"/>
      <w:bookmarkEnd w:id="6"/>
    </w:p>
    <w:p w14:paraId="652ED5CD" w14:textId="77777777" w:rsidR="009D1035" w:rsidRPr="009D1035" w:rsidRDefault="009A7467" w:rsidP="005E4952">
      <w:pPr>
        <w:pStyle w:val="Body"/>
        <w:spacing w:after="0"/>
        <w:jc w:val="left"/>
        <w:rPr>
          <w:rFonts w:ascii="Arial" w:hAnsi="Arial" w:cs="Arial"/>
        </w:rPr>
      </w:pPr>
      <w:r>
        <w:rPr>
          <w:rFonts w:ascii="Arial" w:hAnsi="Arial" w:cs="Arial"/>
          <w:b/>
          <w:bCs/>
        </w:rPr>
        <w:t>Fig.</w:t>
      </w:r>
      <w:r w:rsidR="009D1035" w:rsidRPr="009D1035">
        <w:rPr>
          <w:rFonts w:ascii="Arial" w:hAnsi="Arial" w:cs="Arial"/>
          <w:b/>
          <w:bCs/>
        </w:rPr>
        <w:t xml:space="preserve"> </w:t>
      </w:r>
      <w:r w:rsidR="009D1035" w:rsidRPr="009D1035">
        <w:rPr>
          <w:rFonts w:ascii="Arial" w:hAnsi="Arial" w:cs="Arial"/>
          <w:b/>
          <w:bCs/>
        </w:rPr>
        <w:fldChar w:fldCharType="begin"/>
      </w:r>
      <w:r w:rsidR="009D1035" w:rsidRPr="009D1035">
        <w:rPr>
          <w:rFonts w:ascii="Arial" w:hAnsi="Arial" w:cs="Arial"/>
          <w:b/>
          <w:bCs/>
        </w:rPr>
        <w:instrText xml:space="preserve"> SEQ Figure \* ARABIC </w:instrText>
      </w:r>
      <w:r w:rsidR="009D1035" w:rsidRPr="009D1035">
        <w:rPr>
          <w:rFonts w:ascii="Arial" w:hAnsi="Arial" w:cs="Arial"/>
          <w:b/>
          <w:bCs/>
        </w:rPr>
        <w:fldChar w:fldCharType="separate"/>
      </w:r>
      <w:r w:rsidR="009D1035" w:rsidRPr="009D1035">
        <w:rPr>
          <w:rFonts w:ascii="Arial" w:hAnsi="Arial" w:cs="Arial"/>
          <w:b/>
          <w:bCs/>
        </w:rPr>
        <w:t>3</w:t>
      </w:r>
      <w:r w:rsidR="009D1035" w:rsidRPr="009D1035">
        <w:rPr>
          <w:rFonts w:ascii="Arial" w:hAnsi="Arial" w:cs="Arial"/>
        </w:rPr>
        <w:fldChar w:fldCharType="end"/>
      </w:r>
      <w:r>
        <w:rPr>
          <w:rFonts w:ascii="Arial" w:hAnsi="Arial" w:cs="Arial"/>
          <w:b/>
          <w:bCs/>
        </w:rPr>
        <w:t>.</w:t>
      </w:r>
      <w:r w:rsidR="009D1035" w:rsidRPr="009D1035">
        <w:rPr>
          <w:rFonts w:ascii="Arial" w:hAnsi="Arial" w:cs="Arial"/>
          <w:b/>
          <w:bCs/>
        </w:rPr>
        <w:t xml:space="preserve"> </w:t>
      </w:r>
      <w:r w:rsidR="009D1035" w:rsidRPr="009A7467">
        <w:rPr>
          <w:rFonts w:ascii="Arial" w:hAnsi="Arial" w:cs="Arial"/>
          <w:b/>
          <w:bCs/>
        </w:rPr>
        <w:t>Collection and Drying of Plant Samples</w:t>
      </w:r>
    </w:p>
    <w:p w14:paraId="50CD157A" w14:textId="77777777" w:rsidR="009D1035" w:rsidRDefault="009D1035" w:rsidP="009D1035">
      <w:pPr>
        <w:pStyle w:val="Body"/>
        <w:spacing w:after="0"/>
        <w:rPr>
          <w:rFonts w:ascii="Arial" w:hAnsi="Arial" w:cs="Arial"/>
          <w:b/>
          <w:bCs/>
          <w:i/>
          <w:iCs/>
        </w:rPr>
      </w:pPr>
    </w:p>
    <w:p w14:paraId="66BDDAC2" w14:textId="77777777" w:rsidR="009D1035" w:rsidRPr="009A7467" w:rsidRDefault="009A7467" w:rsidP="009D1035">
      <w:pPr>
        <w:pStyle w:val="Body"/>
        <w:spacing w:after="0"/>
        <w:rPr>
          <w:rFonts w:ascii="Arial" w:hAnsi="Arial" w:cs="Arial"/>
          <w:b/>
          <w:bCs/>
          <w:i/>
          <w:iCs/>
          <w:sz w:val="22"/>
          <w:szCs w:val="22"/>
        </w:rPr>
      </w:pPr>
      <w:r w:rsidRPr="009A7467">
        <w:rPr>
          <w:rFonts w:ascii="Arial" w:hAnsi="Arial" w:cs="Arial"/>
          <w:b/>
          <w:bCs/>
          <w:i/>
          <w:iCs/>
          <w:sz w:val="22"/>
          <w:szCs w:val="22"/>
        </w:rPr>
        <w:t xml:space="preserve">2.4 </w:t>
      </w:r>
      <w:r w:rsidR="009D1035" w:rsidRPr="009A7467">
        <w:rPr>
          <w:rFonts w:ascii="Arial" w:hAnsi="Arial" w:cs="Arial"/>
          <w:b/>
          <w:bCs/>
          <w:i/>
          <w:iCs/>
          <w:sz w:val="22"/>
          <w:szCs w:val="22"/>
        </w:rPr>
        <w:t>Extraction process</w:t>
      </w:r>
      <w:bookmarkEnd w:id="7"/>
    </w:p>
    <w:p w14:paraId="1C7E44D5" w14:textId="77777777" w:rsidR="009A7467" w:rsidRDefault="009A7467" w:rsidP="009D1035">
      <w:pPr>
        <w:pStyle w:val="Body"/>
        <w:spacing w:after="0"/>
        <w:rPr>
          <w:rFonts w:ascii="Arial" w:hAnsi="Arial" w:cs="Arial"/>
        </w:rPr>
      </w:pPr>
    </w:p>
    <w:p w14:paraId="332358A0" w14:textId="77777777" w:rsidR="009D1035" w:rsidRPr="009D1035" w:rsidRDefault="009D1035" w:rsidP="009D1035">
      <w:pPr>
        <w:pStyle w:val="Body"/>
        <w:spacing w:after="0"/>
        <w:rPr>
          <w:rFonts w:ascii="Arial" w:hAnsi="Arial" w:cs="Arial"/>
        </w:rPr>
      </w:pPr>
      <w:r w:rsidRPr="009D1035">
        <w:rPr>
          <w:rFonts w:ascii="Arial" w:hAnsi="Arial" w:cs="Arial"/>
        </w:rPr>
        <w:t xml:space="preserve">In a conical flask with periodic shaking, 150 g of powdered leaves, 25 g of flower, and 6 g of latex from </w:t>
      </w:r>
      <w:r w:rsidRPr="009D1035">
        <w:rPr>
          <w:rFonts w:ascii="Arial" w:hAnsi="Arial" w:cs="Arial"/>
          <w:i/>
          <w:iCs/>
        </w:rPr>
        <w:t>C. gigantea</w:t>
      </w:r>
      <w:r w:rsidRPr="009D1035">
        <w:rPr>
          <w:rFonts w:ascii="Arial" w:hAnsi="Arial" w:cs="Arial"/>
        </w:rPr>
        <w:t xml:space="preserve"> were treated to triple cold maceration using methanol and ethyl acetate solvents in a 1:10 ratio. Six distinct extraction samples were obtained by independently extracting each plant sample in two distinct solvents. The liquids were strained and filtered following each extraction. The filtrates were combined after the extraction procedure was carried out three times. Thus, a rotary evaporator was used to evaporate the resulting filtrates until they were completely dry. The leaves, flowers, and latex extracts made of methanol and ethyl acetate were evaporated at 45 °C and 60 °C, respectively. After being analyzed, the organoleptic properties, percentage yield, </w:t>
      </w:r>
      <w:proofErr w:type="spellStart"/>
      <w:r w:rsidRPr="009D1035">
        <w:rPr>
          <w:rFonts w:ascii="Arial" w:hAnsi="Arial" w:cs="Arial"/>
        </w:rPr>
        <w:t>colour</w:t>
      </w:r>
      <w:proofErr w:type="spellEnd"/>
      <w:r w:rsidRPr="009D1035">
        <w:rPr>
          <w:rFonts w:ascii="Arial" w:hAnsi="Arial" w:cs="Arial"/>
        </w:rPr>
        <w:t xml:space="preserve">, and </w:t>
      </w:r>
      <w:proofErr w:type="spellStart"/>
      <w:r w:rsidRPr="009D1035">
        <w:rPr>
          <w:rFonts w:ascii="Arial" w:hAnsi="Arial" w:cs="Arial"/>
        </w:rPr>
        <w:t>odour</w:t>
      </w:r>
      <w:proofErr w:type="spellEnd"/>
      <w:r w:rsidRPr="009D1035">
        <w:rPr>
          <w:rFonts w:ascii="Arial" w:hAnsi="Arial" w:cs="Arial"/>
        </w:rPr>
        <w:t xml:space="preserve">, etc., the produced extracts were marked and kept in an airtight container until they were needed again (Bhandari et al, 2024).  </w:t>
      </w:r>
    </w:p>
    <w:p w14:paraId="6E0BC345" w14:textId="77777777" w:rsidR="009D1035" w:rsidRDefault="009D1035" w:rsidP="009D1035">
      <w:pPr>
        <w:pStyle w:val="Body"/>
        <w:spacing w:after="0"/>
        <w:rPr>
          <w:rFonts w:ascii="Arial" w:hAnsi="Arial" w:cs="Arial"/>
          <w:b/>
          <w:bCs/>
        </w:rPr>
      </w:pPr>
      <w:bookmarkStart w:id="8" w:name="_Toc151413647"/>
    </w:p>
    <w:p w14:paraId="544F2367" w14:textId="77777777" w:rsidR="009D1035" w:rsidRPr="009A7467" w:rsidRDefault="009A7467" w:rsidP="009D1035">
      <w:pPr>
        <w:pStyle w:val="Body"/>
        <w:spacing w:after="0"/>
        <w:rPr>
          <w:rFonts w:ascii="Arial" w:hAnsi="Arial" w:cs="Arial"/>
          <w:b/>
          <w:bCs/>
          <w:sz w:val="22"/>
          <w:szCs w:val="22"/>
        </w:rPr>
      </w:pPr>
      <w:r w:rsidRPr="009A7467">
        <w:rPr>
          <w:rFonts w:ascii="Arial" w:hAnsi="Arial" w:cs="Arial"/>
          <w:b/>
          <w:bCs/>
          <w:sz w:val="22"/>
          <w:szCs w:val="22"/>
        </w:rPr>
        <w:t xml:space="preserve">2.5 </w:t>
      </w:r>
      <w:r w:rsidR="009D1035" w:rsidRPr="009A7467">
        <w:rPr>
          <w:rFonts w:ascii="Arial" w:hAnsi="Arial" w:cs="Arial"/>
          <w:b/>
          <w:bCs/>
          <w:sz w:val="22"/>
          <w:szCs w:val="22"/>
        </w:rPr>
        <w:t>Phytochemical screening</w:t>
      </w:r>
      <w:bookmarkEnd w:id="8"/>
    </w:p>
    <w:p w14:paraId="7B0E11A3" w14:textId="77777777" w:rsidR="009A7467" w:rsidRDefault="009A7467" w:rsidP="009D1035">
      <w:pPr>
        <w:pStyle w:val="Body"/>
        <w:spacing w:after="0"/>
        <w:rPr>
          <w:rFonts w:ascii="Arial" w:hAnsi="Arial" w:cs="Arial"/>
        </w:rPr>
      </w:pPr>
    </w:p>
    <w:p w14:paraId="65C797A5" w14:textId="77777777" w:rsidR="009D1035" w:rsidRPr="009D1035" w:rsidRDefault="009D1035" w:rsidP="009D1035">
      <w:pPr>
        <w:pStyle w:val="Body"/>
        <w:spacing w:after="0"/>
        <w:rPr>
          <w:rFonts w:ascii="Arial" w:hAnsi="Arial" w:cs="Arial"/>
        </w:rPr>
      </w:pPr>
      <w:r w:rsidRPr="009D1035">
        <w:rPr>
          <w:rFonts w:ascii="Arial" w:hAnsi="Arial" w:cs="Arial"/>
        </w:rPr>
        <w:t xml:space="preserve">Using conventional methods, phytochemical screening was done to determine whether secondary metabolites such as alkaloids, steroids, glycosides, tannins, saponins, and flavonoids, which may have an analgesic effect, were present or absent (Neupane S et al., 2023; Sheikh JR et al., 2020, and Khanal et al., 2024), </w:t>
      </w:r>
    </w:p>
    <w:p w14:paraId="3511717B" w14:textId="77777777" w:rsidR="009D1035" w:rsidRPr="009D1035" w:rsidRDefault="009D1035" w:rsidP="009D1035">
      <w:pPr>
        <w:pStyle w:val="Body"/>
        <w:spacing w:after="0"/>
        <w:rPr>
          <w:rFonts w:ascii="Arial" w:hAnsi="Arial" w:cs="Arial"/>
        </w:rPr>
      </w:pPr>
      <w:r w:rsidRPr="009D1035">
        <w:rPr>
          <w:rFonts w:ascii="Arial" w:hAnsi="Arial" w:cs="Arial"/>
        </w:rPr>
        <w:t>Regents to be used for phytochemical screening;</w:t>
      </w:r>
    </w:p>
    <w:p w14:paraId="793B3BAB" w14:textId="77777777" w:rsidR="009D1035" w:rsidRPr="009D1035" w:rsidRDefault="009D1035" w:rsidP="009D1035">
      <w:pPr>
        <w:pStyle w:val="Body"/>
        <w:numPr>
          <w:ilvl w:val="0"/>
          <w:numId w:val="33"/>
        </w:numPr>
        <w:spacing w:after="0"/>
        <w:rPr>
          <w:rFonts w:ascii="Arial" w:hAnsi="Arial" w:cs="Arial"/>
        </w:rPr>
      </w:pPr>
      <w:r w:rsidRPr="009D1035">
        <w:rPr>
          <w:rFonts w:ascii="Arial" w:hAnsi="Arial" w:cs="Arial"/>
          <w:b/>
          <w:bCs/>
        </w:rPr>
        <w:t>Hager’s Reagent</w:t>
      </w:r>
      <w:r w:rsidRPr="009D1035">
        <w:rPr>
          <w:rFonts w:ascii="Arial" w:hAnsi="Arial" w:cs="Arial"/>
        </w:rPr>
        <w:t xml:space="preserve">: To prepare a saturated solution, 6 g of picric acid was dissolved in 100 mL of water. </w:t>
      </w:r>
    </w:p>
    <w:p w14:paraId="706D13F7" w14:textId="77777777" w:rsidR="009D1035" w:rsidRPr="009D1035" w:rsidRDefault="009D1035" w:rsidP="009D1035">
      <w:pPr>
        <w:pStyle w:val="Body"/>
        <w:numPr>
          <w:ilvl w:val="0"/>
          <w:numId w:val="33"/>
        </w:numPr>
        <w:spacing w:after="0"/>
        <w:rPr>
          <w:rFonts w:ascii="Arial" w:hAnsi="Arial" w:cs="Arial"/>
        </w:rPr>
      </w:pPr>
      <w:r w:rsidRPr="009D1035">
        <w:rPr>
          <w:rFonts w:ascii="Arial" w:hAnsi="Arial" w:cs="Arial"/>
          <w:b/>
          <w:bCs/>
        </w:rPr>
        <w:t>Sodium Hydroxide solution</w:t>
      </w:r>
      <w:r w:rsidRPr="009D1035">
        <w:rPr>
          <w:rFonts w:ascii="Arial" w:hAnsi="Arial" w:cs="Arial"/>
        </w:rPr>
        <w:t xml:space="preserve">: 100 mL of distilled water was used to dissolve 20 g of NaOH. </w:t>
      </w:r>
    </w:p>
    <w:p w14:paraId="23A3ECE2" w14:textId="77777777" w:rsidR="009D1035" w:rsidRPr="009D1035" w:rsidRDefault="009D1035" w:rsidP="009D1035">
      <w:pPr>
        <w:pStyle w:val="Body"/>
        <w:numPr>
          <w:ilvl w:val="0"/>
          <w:numId w:val="33"/>
        </w:numPr>
        <w:spacing w:after="0"/>
        <w:rPr>
          <w:rFonts w:ascii="Arial" w:hAnsi="Arial" w:cs="Arial"/>
        </w:rPr>
      </w:pPr>
      <w:r w:rsidRPr="009D1035">
        <w:rPr>
          <w:rFonts w:ascii="Arial" w:hAnsi="Arial" w:cs="Arial"/>
          <w:b/>
          <w:bCs/>
        </w:rPr>
        <w:lastRenderedPageBreak/>
        <w:t xml:space="preserve">Dilute </w:t>
      </w:r>
      <w:proofErr w:type="spellStart"/>
      <w:r w:rsidRPr="009D1035">
        <w:rPr>
          <w:rFonts w:ascii="Arial" w:hAnsi="Arial" w:cs="Arial"/>
          <w:b/>
          <w:bCs/>
        </w:rPr>
        <w:t>Sulphuric</w:t>
      </w:r>
      <w:proofErr w:type="spellEnd"/>
      <w:r w:rsidRPr="009D1035">
        <w:rPr>
          <w:rFonts w:ascii="Arial" w:hAnsi="Arial" w:cs="Arial"/>
          <w:b/>
          <w:bCs/>
        </w:rPr>
        <w:t xml:space="preserve"> Acid solution</w:t>
      </w:r>
      <w:r w:rsidRPr="009D1035">
        <w:rPr>
          <w:rFonts w:ascii="Arial" w:hAnsi="Arial" w:cs="Arial"/>
        </w:rPr>
        <w:t xml:space="preserve">: Distilled water was used to dilute a concentrated </w:t>
      </w:r>
      <w:proofErr w:type="spellStart"/>
      <w:r w:rsidRPr="009D1035">
        <w:rPr>
          <w:rFonts w:ascii="Arial" w:hAnsi="Arial" w:cs="Arial"/>
        </w:rPr>
        <w:t>sulphuric</w:t>
      </w:r>
      <w:proofErr w:type="spellEnd"/>
      <w:r w:rsidRPr="009D1035">
        <w:rPr>
          <w:rFonts w:ascii="Arial" w:hAnsi="Arial" w:cs="Arial"/>
        </w:rPr>
        <w:t xml:space="preserve"> acid 10 times. </w:t>
      </w:r>
    </w:p>
    <w:p w14:paraId="62C36135" w14:textId="77777777" w:rsidR="009D1035" w:rsidRPr="009D1035" w:rsidRDefault="009D1035" w:rsidP="009D1035">
      <w:pPr>
        <w:pStyle w:val="Body"/>
        <w:numPr>
          <w:ilvl w:val="0"/>
          <w:numId w:val="33"/>
        </w:numPr>
        <w:spacing w:after="0"/>
        <w:rPr>
          <w:rFonts w:ascii="Arial" w:hAnsi="Arial" w:cs="Arial"/>
        </w:rPr>
      </w:pPr>
      <w:r w:rsidRPr="009D1035">
        <w:rPr>
          <w:rFonts w:ascii="Arial" w:hAnsi="Arial" w:cs="Arial"/>
          <w:b/>
          <w:bCs/>
        </w:rPr>
        <w:t>Dilute Ammonia solution</w:t>
      </w:r>
      <w:r w:rsidRPr="009D1035">
        <w:rPr>
          <w:rFonts w:ascii="Arial" w:hAnsi="Arial" w:cs="Arial"/>
        </w:rPr>
        <w:t xml:space="preserve">: Distilled water was used to dilute a concentrated ammonia solution 10 times. </w:t>
      </w:r>
    </w:p>
    <w:p w14:paraId="7C75168D" w14:textId="77777777" w:rsidR="009D1035" w:rsidRPr="009D1035" w:rsidRDefault="009D1035" w:rsidP="009D1035">
      <w:pPr>
        <w:pStyle w:val="Body"/>
        <w:numPr>
          <w:ilvl w:val="0"/>
          <w:numId w:val="33"/>
        </w:numPr>
        <w:spacing w:after="0"/>
        <w:rPr>
          <w:rFonts w:ascii="Arial" w:hAnsi="Arial" w:cs="Arial"/>
        </w:rPr>
      </w:pPr>
      <w:r w:rsidRPr="009D1035">
        <w:rPr>
          <w:rFonts w:ascii="Arial" w:hAnsi="Arial" w:cs="Arial"/>
          <w:b/>
          <w:bCs/>
        </w:rPr>
        <w:t>Mayer’s Reagent</w:t>
      </w:r>
      <w:r w:rsidRPr="009D1035">
        <w:rPr>
          <w:rFonts w:ascii="Arial" w:hAnsi="Arial" w:cs="Arial"/>
        </w:rPr>
        <w:t xml:space="preserve">: After dissolving 1.358 g of mercuric chloride in 60 mL of water and reacting with 5 g of potassium iodide treated with 10 mL of water, the final volume was 100 mL with purified water. </w:t>
      </w:r>
    </w:p>
    <w:p w14:paraId="32EF196F" w14:textId="77777777" w:rsidR="009D1035" w:rsidRPr="009D1035" w:rsidRDefault="009D1035" w:rsidP="009D1035">
      <w:pPr>
        <w:pStyle w:val="Body"/>
        <w:numPr>
          <w:ilvl w:val="0"/>
          <w:numId w:val="33"/>
        </w:numPr>
        <w:spacing w:after="0"/>
        <w:rPr>
          <w:rFonts w:ascii="Arial" w:hAnsi="Arial" w:cs="Arial"/>
        </w:rPr>
      </w:pPr>
      <w:r w:rsidRPr="009D1035">
        <w:rPr>
          <w:rFonts w:ascii="Arial" w:hAnsi="Arial" w:cs="Arial"/>
          <w:b/>
          <w:bCs/>
        </w:rPr>
        <w:t>5 % FeCl</w:t>
      </w:r>
      <w:r w:rsidRPr="009D1035">
        <w:rPr>
          <w:rFonts w:ascii="Arial" w:hAnsi="Arial" w:cs="Arial"/>
          <w:b/>
          <w:bCs/>
          <w:vertAlign w:val="subscript"/>
        </w:rPr>
        <w:t>3</w:t>
      </w:r>
      <w:r w:rsidRPr="009D1035">
        <w:rPr>
          <w:rFonts w:ascii="Arial" w:hAnsi="Arial" w:cs="Arial"/>
          <w:b/>
          <w:bCs/>
        </w:rPr>
        <w:t xml:space="preserve"> solution</w:t>
      </w:r>
      <w:r w:rsidRPr="009D1035">
        <w:rPr>
          <w:rFonts w:ascii="Arial" w:hAnsi="Arial" w:cs="Arial"/>
        </w:rPr>
        <w:t>: 5 g of ferric chloride (FeCl</w:t>
      </w:r>
      <w:r w:rsidRPr="009D1035">
        <w:rPr>
          <w:rFonts w:ascii="Arial" w:hAnsi="Arial" w:cs="Arial"/>
          <w:vertAlign w:val="subscript"/>
        </w:rPr>
        <w:t>3</w:t>
      </w:r>
      <w:r w:rsidRPr="009D1035">
        <w:rPr>
          <w:rFonts w:ascii="Arial" w:hAnsi="Arial" w:cs="Arial"/>
        </w:rPr>
        <w:t xml:space="preserve">) was dissolved in distilled water. </w:t>
      </w:r>
    </w:p>
    <w:p w14:paraId="19AF74B1" w14:textId="77777777" w:rsidR="009D1035" w:rsidRDefault="009D1035" w:rsidP="009D1035">
      <w:pPr>
        <w:pStyle w:val="Body"/>
        <w:spacing w:after="0"/>
        <w:rPr>
          <w:rFonts w:ascii="Arial" w:hAnsi="Arial" w:cs="Arial"/>
          <w:b/>
          <w:bCs/>
          <w:i/>
          <w:iCs/>
        </w:rPr>
      </w:pPr>
    </w:p>
    <w:p w14:paraId="7B1C7B12" w14:textId="77777777" w:rsidR="009D1035" w:rsidRDefault="009A7467" w:rsidP="009D1035">
      <w:pPr>
        <w:pStyle w:val="Body"/>
        <w:spacing w:after="0"/>
        <w:rPr>
          <w:rFonts w:ascii="Arial" w:hAnsi="Arial" w:cs="Arial"/>
          <w:b/>
          <w:bCs/>
          <w:i/>
          <w:iCs/>
          <w:u w:val="single"/>
        </w:rPr>
      </w:pPr>
      <w:r w:rsidRPr="009A7467">
        <w:rPr>
          <w:rFonts w:ascii="Arial" w:hAnsi="Arial" w:cs="Arial"/>
          <w:b/>
          <w:bCs/>
          <w:i/>
          <w:iCs/>
          <w:u w:val="single"/>
        </w:rPr>
        <w:t xml:space="preserve">2.5.1 </w:t>
      </w:r>
      <w:r w:rsidR="009D1035" w:rsidRPr="009A7467">
        <w:rPr>
          <w:rFonts w:ascii="Arial" w:hAnsi="Arial" w:cs="Arial"/>
          <w:b/>
          <w:bCs/>
          <w:i/>
          <w:iCs/>
          <w:u w:val="single"/>
        </w:rPr>
        <w:t>Phytochemical Screenings to be Performed</w:t>
      </w:r>
    </w:p>
    <w:p w14:paraId="0EAA5A67" w14:textId="77777777" w:rsidR="009A7467" w:rsidRPr="009A7467" w:rsidRDefault="009A7467" w:rsidP="009D1035">
      <w:pPr>
        <w:pStyle w:val="Body"/>
        <w:spacing w:after="0"/>
        <w:rPr>
          <w:rFonts w:ascii="Arial" w:hAnsi="Arial" w:cs="Arial"/>
          <w:b/>
          <w:bCs/>
          <w:i/>
          <w:iCs/>
          <w:u w:val="single"/>
        </w:rPr>
      </w:pPr>
    </w:p>
    <w:p w14:paraId="385AD472" w14:textId="77777777" w:rsidR="009D1035" w:rsidRPr="009D1035" w:rsidRDefault="009D1035" w:rsidP="009D1035">
      <w:pPr>
        <w:pStyle w:val="Body"/>
        <w:numPr>
          <w:ilvl w:val="0"/>
          <w:numId w:val="32"/>
        </w:numPr>
        <w:spacing w:after="0"/>
        <w:rPr>
          <w:rFonts w:ascii="Arial" w:hAnsi="Arial" w:cs="Arial"/>
        </w:rPr>
      </w:pPr>
      <w:r w:rsidRPr="009D1035">
        <w:rPr>
          <w:rFonts w:ascii="Arial" w:hAnsi="Arial" w:cs="Arial"/>
          <w:b/>
        </w:rPr>
        <w:t>Glycoside Test</w:t>
      </w:r>
      <w:r w:rsidRPr="009D1035">
        <w:rPr>
          <w:rFonts w:ascii="Arial" w:hAnsi="Arial" w:cs="Arial"/>
        </w:rPr>
        <w:t>: 5 mL extract was mixed with the same volume of FeCl</w:t>
      </w:r>
      <w:r w:rsidRPr="009D1035">
        <w:rPr>
          <w:rFonts w:ascii="Arial" w:hAnsi="Arial" w:cs="Arial"/>
          <w:vertAlign w:val="subscript"/>
        </w:rPr>
        <w:t>3</w:t>
      </w:r>
      <w:r w:rsidRPr="009D1035">
        <w:rPr>
          <w:rFonts w:ascii="Arial" w:hAnsi="Arial" w:cs="Arial"/>
        </w:rPr>
        <w:t xml:space="preserve"> and the same volume of HCl, heated for five minutes in a water bath, and then the same volume of a mixture of chloroform was added. The organic layer separates and is further diluted with ammonia solution, which shows a red color, which confirms the presence of a glycoside.</w:t>
      </w:r>
    </w:p>
    <w:p w14:paraId="0F94E7A4" w14:textId="77777777" w:rsidR="009D1035" w:rsidRPr="009D1035" w:rsidRDefault="009D1035" w:rsidP="009D1035">
      <w:pPr>
        <w:pStyle w:val="Body"/>
        <w:numPr>
          <w:ilvl w:val="0"/>
          <w:numId w:val="32"/>
        </w:numPr>
        <w:spacing w:after="0"/>
        <w:rPr>
          <w:rFonts w:ascii="Arial" w:hAnsi="Arial" w:cs="Arial"/>
        </w:rPr>
      </w:pPr>
      <w:r w:rsidRPr="009D1035">
        <w:rPr>
          <w:rFonts w:ascii="Arial" w:hAnsi="Arial" w:cs="Arial"/>
          <w:b/>
        </w:rPr>
        <w:t>Alkaloids Test</w:t>
      </w:r>
      <w:r w:rsidRPr="009D1035">
        <w:rPr>
          <w:rFonts w:ascii="Arial" w:hAnsi="Arial" w:cs="Arial"/>
        </w:rPr>
        <w:t>: Extract was treated with picric acid; the appearance of yellow color indicates the presence, otherwise absence.</w:t>
      </w:r>
    </w:p>
    <w:p w14:paraId="5E874A54" w14:textId="77777777" w:rsidR="009D1035" w:rsidRPr="009D1035" w:rsidRDefault="009D1035" w:rsidP="009D1035">
      <w:pPr>
        <w:pStyle w:val="Body"/>
        <w:numPr>
          <w:ilvl w:val="0"/>
          <w:numId w:val="32"/>
        </w:numPr>
        <w:spacing w:after="0"/>
        <w:rPr>
          <w:rFonts w:ascii="Arial" w:hAnsi="Arial" w:cs="Arial"/>
        </w:rPr>
      </w:pPr>
      <w:r w:rsidRPr="009D1035">
        <w:rPr>
          <w:rFonts w:ascii="Arial" w:hAnsi="Arial" w:cs="Arial"/>
          <w:b/>
        </w:rPr>
        <w:t>Saponins Test</w:t>
      </w:r>
      <w:r w:rsidRPr="009D1035">
        <w:rPr>
          <w:rFonts w:ascii="Arial" w:hAnsi="Arial" w:cs="Arial"/>
        </w:rPr>
        <w:t xml:space="preserve">: 0.5 g of plant extract was mixed with water and made up to 20 </w:t>
      </w:r>
      <w:proofErr w:type="spellStart"/>
      <w:r w:rsidRPr="009D1035">
        <w:rPr>
          <w:rFonts w:ascii="Arial" w:hAnsi="Arial" w:cs="Arial"/>
        </w:rPr>
        <w:t>mL.</w:t>
      </w:r>
      <w:proofErr w:type="spellEnd"/>
      <w:r w:rsidRPr="009D1035">
        <w:rPr>
          <w:rFonts w:ascii="Arial" w:hAnsi="Arial" w:cs="Arial"/>
        </w:rPr>
        <w:t xml:space="preserve"> The suspension was shaken in a graduated cylinder for 15 minutes. 2cm foam indicated the presence of saponins.</w:t>
      </w:r>
    </w:p>
    <w:p w14:paraId="073B6ADC" w14:textId="77777777" w:rsidR="009D1035" w:rsidRPr="009D1035" w:rsidRDefault="009D1035" w:rsidP="009D1035">
      <w:pPr>
        <w:pStyle w:val="Body"/>
        <w:numPr>
          <w:ilvl w:val="0"/>
          <w:numId w:val="32"/>
        </w:numPr>
        <w:spacing w:after="0"/>
        <w:rPr>
          <w:rFonts w:ascii="Arial" w:hAnsi="Arial" w:cs="Arial"/>
        </w:rPr>
      </w:pPr>
      <w:r w:rsidRPr="009D1035">
        <w:rPr>
          <w:rFonts w:ascii="Arial" w:hAnsi="Arial" w:cs="Arial"/>
          <w:b/>
        </w:rPr>
        <w:t>Tannins Test</w:t>
      </w:r>
      <w:r w:rsidRPr="009D1035">
        <w:rPr>
          <w:rFonts w:ascii="Arial" w:hAnsi="Arial" w:cs="Arial"/>
        </w:rPr>
        <w:t>: 3 mL alcoholic extract was added to 5% ferric chloride solution; the appearance of a deep blue or brownish green color indicates the presence otherwise absence.</w:t>
      </w:r>
    </w:p>
    <w:p w14:paraId="0D7F3472" w14:textId="77777777" w:rsidR="009D1035" w:rsidRPr="009D1035" w:rsidRDefault="009D1035" w:rsidP="009D1035">
      <w:pPr>
        <w:pStyle w:val="Body"/>
        <w:numPr>
          <w:ilvl w:val="0"/>
          <w:numId w:val="32"/>
        </w:numPr>
        <w:spacing w:after="0"/>
        <w:rPr>
          <w:rFonts w:ascii="Arial" w:hAnsi="Arial" w:cs="Arial"/>
        </w:rPr>
      </w:pPr>
      <w:r w:rsidRPr="009D1035">
        <w:rPr>
          <w:rFonts w:ascii="Arial" w:hAnsi="Arial" w:cs="Arial"/>
          <w:b/>
        </w:rPr>
        <w:t>Steroids Test</w:t>
      </w:r>
      <w:r w:rsidRPr="009D1035">
        <w:rPr>
          <w:rFonts w:ascii="Arial" w:hAnsi="Arial" w:cs="Arial"/>
        </w:rPr>
        <w:t>: Extract was dissolved in chloroform and concentrated sulfuric acid; the appearance of red or yellow color indicates the presence of steroids, otherwise absence.</w:t>
      </w:r>
    </w:p>
    <w:p w14:paraId="640BA791" w14:textId="77777777" w:rsidR="009D1035" w:rsidRPr="009D1035" w:rsidRDefault="009D1035" w:rsidP="009D1035">
      <w:pPr>
        <w:pStyle w:val="Body"/>
        <w:numPr>
          <w:ilvl w:val="0"/>
          <w:numId w:val="32"/>
        </w:numPr>
        <w:spacing w:after="0"/>
        <w:rPr>
          <w:rFonts w:ascii="Arial" w:hAnsi="Arial" w:cs="Arial"/>
        </w:rPr>
      </w:pPr>
      <w:r w:rsidRPr="009D1035">
        <w:rPr>
          <w:rFonts w:ascii="Arial" w:hAnsi="Arial" w:cs="Arial"/>
          <w:b/>
        </w:rPr>
        <w:t>Flavonoids Test</w:t>
      </w:r>
      <w:r w:rsidRPr="009D1035">
        <w:rPr>
          <w:rFonts w:ascii="Arial" w:hAnsi="Arial" w:cs="Arial"/>
        </w:rPr>
        <w:t>: Plant extract was dissolved in sodium hydroxide, giving a yellow color which turns colorless after the addition of dilute hydrochloric acid, indicating the presence of flavonoids otherwise absence.</w:t>
      </w:r>
      <w:bookmarkStart w:id="9" w:name="_Toc151413648"/>
    </w:p>
    <w:p w14:paraId="2E2861AF" w14:textId="77777777" w:rsidR="009D1035" w:rsidRDefault="009D1035" w:rsidP="009D1035">
      <w:pPr>
        <w:pStyle w:val="Body"/>
        <w:spacing w:after="0"/>
        <w:rPr>
          <w:rFonts w:ascii="Arial" w:hAnsi="Arial" w:cs="Arial"/>
          <w:b/>
          <w:bCs/>
          <w:i/>
          <w:iCs/>
        </w:rPr>
      </w:pPr>
    </w:p>
    <w:p w14:paraId="5E3841A7" w14:textId="77777777" w:rsidR="009D1035" w:rsidRPr="009A7467" w:rsidRDefault="009A7467" w:rsidP="009D1035">
      <w:pPr>
        <w:pStyle w:val="Body"/>
        <w:spacing w:after="0"/>
        <w:rPr>
          <w:rFonts w:ascii="Arial" w:hAnsi="Arial" w:cs="Arial"/>
          <w:b/>
          <w:bCs/>
          <w:sz w:val="22"/>
          <w:szCs w:val="22"/>
        </w:rPr>
      </w:pPr>
      <w:r w:rsidRPr="009A7467">
        <w:rPr>
          <w:rFonts w:ascii="Arial" w:hAnsi="Arial" w:cs="Arial"/>
          <w:b/>
          <w:bCs/>
          <w:sz w:val="22"/>
          <w:szCs w:val="22"/>
        </w:rPr>
        <w:t xml:space="preserve">2.6 </w:t>
      </w:r>
      <w:r w:rsidR="009D1035" w:rsidRPr="009A7467">
        <w:rPr>
          <w:rFonts w:ascii="Arial" w:hAnsi="Arial" w:cs="Arial"/>
          <w:b/>
          <w:bCs/>
          <w:sz w:val="22"/>
          <w:szCs w:val="22"/>
        </w:rPr>
        <w:t>Animals and Ethical Approval</w:t>
      </w:r>
      <w:bookmarkEnd w:id="9"/>
    </w:p>
    <w:p w14:paraId="2F3B7DA8" w14:textId="77777777" w:rsidR="009A7467" w:rsidRDefault="009A7467" w:rsidP="009D1035">
      <w:pPr>
        <w:pStyle w:val="Body"/>
        <w:spacing w:after="0"/>
        <w:rPr>
          <w:rFonts w:ascii="Arial" w:hAnsi="Arial" w:cs="Arial"/>
        </w:rPr>
      </w:pPr>
    </w:p>
    <w:p w14:paraId="185075A4" w14:textId="77777777" w:rsidR="009D1035" w:rsidRPr="009D1035" w:rsidRDefault="009D1035" w:rsidP="009D1035">
      <w:pPr>
        <w:pStyle w:val="Body"/>
        <w:spacing w:after="0"/>
        <w:rPr>
          <w:rFonts w:ascii="Arial" w:hAnsi="Arial" w:cs="Arial"/>
        </w:rPr>
      </w:pPr>
      <w:r w:rsidRPr="009D1035">
        <w:rPr>
          <w:rFonts w:ascii="Arial" w:hAnsi="Arial" w:cs="Arial"/>
        </w:rPr>
        <w:t xml:space="preserve">The Wistar rats used in this study were purchased from the Natural Resources Research Institute's Department of Botany, </w:t>
      </w:r>
      <w:proofErr w:type="spellStart"/>
      <w:r w:rsidRPr="009D1035">
        <w:rPr>
          <w:rFonts w:ascii="Arial" w:hAnsi="Arial" w:cs="Arial"/>
        </w:rPr>
        <w:t>Thapathali</w:t>
      </w:r>
      <w:proofErr w:type="spellEnd"/>
      <w:r w:rsidRPr="009D1035">
        <w:rPr>
          <w:rFonts w:ascii="Arial" w:hAnsi="Arial" w:cs="Arial"/>
        </w:rPr>
        <w:t xml:space="preserve">, Kathmandu, Nepal. In this study, Wistar rats weighing 165-185 g of either sex were employed. Standard feed and unlimited water were given to the rats on a daily basis. Throughout the trial, they were housed in hygienic cages with hardwood dust that were changed every three days and had a constant light-dark cycle of 12-12 hours. Animals were given time to get used to the lab environment before the investigation. All procedures about animal care, handling, and experimental protocols were completed in accordance with Nepal’s approved ethical guidelines (Pandey, J et al., 2020). </w:t>
      </w:r>
    </w:p>
    <w:p w14:paraId="61BDE5B9" w14:textId="77777777" w:rsidR="009D1035" w:rsidRDefault="009D1035" w:rsidP="009D1035">
      <w:pPr>
        <w:pStyle w:val="Body"/>
        <w:spacing w:after="0"/>
        <w:rPr>
          <w:rFonts w:ascii="Arial" w:hAnsi="Arial" w:cs="Arial"/>
          <w:b/>
          <w:bCs/>
          <w:i/>
          <w:iCs/>
        </w:rPr>
      </w:pPr>
      <w:bookmarkStart w:id="10" w:name="_Toc151413649"/>
    </w:p>
    <w:p w14:paraId="4D22DF8B" w14:textId="77777777" w:rsidR="009D1035" w:rsidRPr="009A7467" w:rsidRDefault="009A7467" w:rsidP="009D1035">
      <w:pPr>
        <w:pStyle w:val="Body"/>
        <w:spacing w:after="0"/>
        <w:rPr>
          <w:rFonts w:ascii="Arial" w:hAnsi="Arial" w:cs="Arial"/>
          <w:b/>
          <w:bCs/>
          <w:sz w:val="22"/>
          <w:szCs w:val="22"/>
        </w:rPr>
      </w:pPr>
      <w:r w:rsidRPr="009A7467">
        <w:rPr>
          <w:rFonts w:ascii="Arial" w:hAnsi="Arial" w:cs="Arial"/>
          <w:b/>
          <w:bCs/>
          <w:sz w:val="22"/>
          <w:szCs w:val="22"/>
        </w:rPr>
        <w:t xml:space="preserve">2.7 </w:t>
      </w:r>
      <w:r w:rsidR="009D1035" w:rsidRPr="009A7467">
        <w:rPr>
          <w:rFonts w:ascii="Arial" w:hAnsi="Arial" w:cs="Arial"/>
          <w:b/>
          <w:bCs/>
          <w:sz w:val="22"/>
          <w:szCs w:val="22"/>
        </w:rPr>
        <w:t>Acute Toxicity Test</w:t>
      </w:r>
      <w:bookmarkEnd w:id="10"/>
    </w:p>
    <w:p w14:paraId="4DE6C291" w14:textId="77777777" w:rsidR="009A7467" w:rsidRDefault="009A7467" w:rsidP="009D1035">
      <w:pPr>
        <w:pStyle w:val="Body"/>
        <w:spacing w:after="0"/>
        <w:rPr>
          <w:rFonts w:ascii="Arial" w:hAnsi="Arial" w:cs="Arial"/>
        </w:rPr>
      </w:pPr>
    </w:p>
    <w:p w14:paraId="28C3242C" w14:textId="77777777" w:rsidR="009D1035" w:rsidRPr="009D1035" w:rsidRDefault="009D1035" w:rsidP="009D1035">
      <w:pPr>
        <w:pStyle w:val="Body"/>
        <w:spacing w:after="0"/>
        <w:rPr>
          <w:rFonts w:ascii="Arial" w:hAnsi="Arial" w:cs="Arial"/>
        </w:rPr>
      </w:pPr>
      <w:r w:rsidRPr="009D1035">
        <w:rPr>
          <w:rFonts w:ascii="Arial" w:hAnsi="Arial" w:cs="Arial"/>
        </w:rPr>
        <w:t xml:space="preserve">An acute toxicity test was performed according to the OECD (Organization for Economic Co-operation and Development) guideline 425/2008. Fasted female rats were used for the toxicity study. First, a sighting study was performed to determine the starting dose, in which a single female rat was given 2000 mg/kg of the extract as a single dose by oral gavage. Since no death was observed within 24 hours, an additional four rats were recruited for the extract treatment at the same dose. The animals were observed continuously in the first 4 hours with 30 30-minute intervals and then for 14 consecutive days with an interval of 24 hours for the general signs and symptoms of toxicities. These signs and symptoms include changes in skin, eyes, mucous membranes, </w:t>
      </w:r>
      <w:proofErr w:type="spellStart"/>
      <w:r w:rsidRPr="009D1035">
        <w:rPr>
          <w:rFonts w:ascii="Arial" w:hAnsi="Arial" w:cs="Arial"/>
        </w:rPr>
        <w:t>somatomotor</w:t>
      </w:r>
      <w:proofErr w:type="spellEnd"/>
      <w:r w:rsidRPr="009D1035">
        <w:rPr>
          <w:rFonts w:ascii="Arial" w:hAnsi="Arial" w:cs="Arial"/>
        </w:rPr>
        <w:t xml:space="preserve"> activity, behavioral pattern, salivation, diarrhea, </w:t>
      </w:r>
      <w:r w:rsidRPr="009D1035">
        <w:rPr>
          <w:rFonts w:ascii="Arial" w:hAnsi="Arial" w:cs="Arial"/>
        </w:rPr>
        <w:lastRenderedPageBreak/>
        <w:t>weight loss, tremor, convulsions, lethargy, paralysis, food and water intake, and mortality. Based on the results of the acute toxicity test, three treatment doses of the extract were chosen: a middle dose, which was one-tenth of the maximum dose obtained during the acute toxicity study; a low dose, which was half of the middle dose; and a high dose, which was twice the middle dose. Middle and high dose of t</w:t>
      </w:r>
      <w:bookmarkStart w:id="11" w:name="_Toc151413650"/>
      <w:r w:rsidRPr="009D1035">
        <w:rPr>
          <w:rFonts w:ascii="Arial" w:hAnsi="Arial" w:cs="Arial"/>
        </w:rPr>
        <w:t>reatment was used in the study (OECD, 2008).</w:t>
      </w:r>
    </w:p>
    <w:p w14:paraId="614F6A40" w14:textId="77777777" w:rsidR="009D1035" w:rsidRDefault="009D1035" w:rsidP="009D1035">
      <w:pPr>
        <w:pStyle w:val="Body"/>
        <w:spacing w:after="0"/>
        <w:rPr>
          <w:rFonts w:ascii="Arial" w:hAnsi="Arial" w:cs="Arial"/>
          <w:b/>
          <w:bCs/>
        </w:rPr>
      </w:pPr>
    </w:p>
    <w:p w14:paraId="3EABF0EB" w14:textId="77777777" w:rsidR="009D1035" w:rsidRPr="009A7467" w:rsidRDefault="009A7467" w:rsidP="009D1035">
      <w:pPr>
        <w:pStyle w:val="Body"/>
        <w:spacing w:after="0"/>
        <w:rPr>
          <w:rFonts w:ascii="Arial" w:hAnsi="Arial" w:cs="Arial"/>
          <w:b/>
          <w:bCs/>
          <w:sz w:val="22"/>
          <w:szCs w:val="22"/>
        </w:rPr>
      </w:pPr>
      <w:r w:rsidRPr="009A7467">
        <w:rPr>
          <w:rFonts w:ascii="Arial" w:hAnsi="Arial" w:cs="Arial"/>
          <w:b/>
          <w:bCs/>
          <w:sz w:val="22"/>
          <w:szCs w:val="22"/>
        </w:rPr>
        <w:t xml:space="preserve">2.8 </w:t>
      </w:r>
      <w:r w:rsidR="009D1035" w:rsidRPr="009A7467">
        <w:rPr>
          <w:rFonts w:ascii="Arial" w:hAnsi="Arial" w:cs="Arial"/>
          <w:b/>
          <w:bCs/>
          <w:sz w:val="22"/>
          <w:szCs w:val="22"/>
        </w:rPr>
        <w:t xml:space="preserve">In Vivo Analgesic </w:t>
      </w:r>
      <w:bookmarkEnd w:id="11"/>
      <w:r w:rsidR="009D1035" w:rsidRPr="009A7467">
        <w:rPr>
          <w:rFonts w:ascii="Arial" w:hAnsi="Arial" w:cs="Arial"/>
          <w:b/>
          <w:bCs/>
          <w:sz w:val="22"/>
          <w:szCs w:val="22"/>
        </w:rPr>
        <w:t>Activity</w:t>
      </w:r>
    </w:p>
    <w:p w14:paraId="65462EC7" w14:textId="77777777" w:rsidR="009A7467" w:rsidRDefault="009A7467" w:rsidP="009D1035">
      <w:pPr>
        <w:pStyle w:val="Body"/>
        <w:spacing w:after="0"/>
        <w:rPr>
          <w:rFonts w:ascii="Arial" w:hAnsi="Arial" w:cs="Arial"/>
          <w:i/>
        </w:rPr>
      </w:pPr>
    </w:p>
    <w:p w14:paraId="507D661A" w14:textId="77777777" w:rsidR="009D1035" w:rsidRPr="009D1035" w:rsidRDefault="009D1035" w:rsidP="009D1035">
      <w:pPr>
        <w:pStyle w:val="Body"/>
        <w:spacing w:after="0"/>
        <w:rPr>
          <w:rFonts w:ascii="Arial" w:hAnsi="Arial" w:cs="Arial"/>
        </w:rPr>
      </w:pPr>
      <w:r w:rsidRPr="009D1035">
        <w:rPr>
          <w:rFonts w:ascii="Arial" w:hAnsi="Arial" w:cs="Arial"/>
          <w:i/>
        </w:rPr>
        <w:t>C. gigantea</w:t>
      </w:r>
      <w:r w:rsidRPr="009D1035">
        <w:rPr>
          <w:rFonts w:ascii="Arial" w:hAnsi="Arial" w:cs="Arial"/>
        </w:rPr>
        <w:t xml:space="preserve"> leaf extract was evaluated for analgesic activity in rats using the hot plate and acetic acid-induced writhing method (Alemu A</w:t>
      </w:r>
      <w:r w:rsidRPr="009D1035">
        <w:rPr>
          <w:rFonts w:ascii="Arial" w:hAnsi="Arial" w:cs="Arial"/>
          <w:i/>
          <w:iCs/>
        </w:rPr>
        <w:t xml:space="preserve">. </w:t>
      </w:r>
      <w:r w:rsidRPr="009D1035">
        <w:rPr>
          <w:rFonts w:ascii="Arial" w:hAnsi="Arial" w:cs="Arial"/>
        </w:rPr>
        <w:t>et al</w:t>
      </w:r>
      <w:r w:rsidRPr="009D1035">
        <w:rPr>
          <w:rFonts w:ascii="Arial" w:hAnsi="Arial" w:cs="Arial"/>
          <w:i/>
          <w:iCs/>
        </w:rPr>
        <w:t xml:space="preserve">, </w:t>
      </w:r>
      <w:bookmarkStart w:id="12" w:name="_Toc151413651"/>
      <w:r w:rsidRPr="009D1035">
        <w:rPr>
          <w:rFonts w:ascii="Arial" w:hAnsi="Arial" w:cs="Arial"/>
        </w:rPr>
        <w:t>2018; Arifin W.N. &amp; Zahiruddin W.M., 2017) with slight modification.</w:t>
      </w:r>
    </w:p>
    <w:p w14:paraId="75C2DD2B" w14:textId="77777777" w:rsidR="009D1035" w:rsidRDefault="009D1035" w:rsidP="009D1035">
      <w:pPr>
        <w:pStyle w:val="Body"/>
        <w:spacing w:after="0"/>
        <w:rPr>
          <w:rFonts w:ascii="Arial" w:hAnsi="Arial" w:cs="Arial"/>
          <w:b/>
          <w:bCs/>
          <w:i/>
          <w:iCs/>
        </w:rPr>
      </w:pPr>
    </w:p>
    <w:p w14:paraId="4FAB9FC6" w14:textId="77777777" w:rsidR="009D1035" w:rsidRPr="009A7467" w:rsidRDefault="009A7467" w:rsidP="009D1035">
      <w:pPr>
        <w:pStyle w:val="Body"/>
        <w:spacing w:after="0"/>
        <w:rPr>
          <w:rFonts w:ascii="Arial" w:hAnsi="Arial" w:cs="Arial"/>
          <w:b/>
          <w:bCs/>
          <w:i/>
          <w:iCs/>
          <w:u w:val="single"/>
        </w:rPr>
      </w:pPr>
      <w:r w:rsidRPr="009A7467">
        <w:rPr>
          <w:rFonts w:ascii="Arial" w:hAnsi="Arial" w:cs="Arial"/>
          <w:b/>
          <w:bCs/>
          <w:i/>
          <w:iCs/>
          <w:u w:val="single"/>
        </w:rPr>
        <w:t xml:space="preserve">2.8.1 </w:t>
      </w:r>
      <w:r w:rsidR="009D1035" w:rsidRPr="009A7467">
        <w:rPr>
          <w:rFonts w:ascii="Arial" w:hAnsi="Arial" w:cs="Arial"/>
          <w:b/>
          <w:bCs/>
          <w:i/>
          <w:iCs/>
          <w:u w:val="single"/>
        </w:rPr>
        <w:t>Hot Plate Method</w:t>
      </w:r>
      <w:bookmarkEnd w:id="12"/>
    </w:p>
    <w:p w14:paraId="061D512A" w14:textId="77777777" w:rsidR="009A7467" w:rsidRDefault="009A7467" w:rsidP="009D1035">
      <w:pPr>
        <w:pStyle w:val="Body"/>
        <w:spacing w:after="0"/>
        <w:rPr>
          <w:rFonts w:ascii="Arial" w:hAnsi="Arial" w:cs="Arial"/>
        </w:rPr>
      </w:pPr>
    </w:p>
    <w:p w14:paraId="2DBF70C1" w14:textId="77777777" w:rsidR="009D1035" w:rsidRDefault="009D1035" w:rsidP="009D1035">
      <w:pPr>
        <w:pStyle w:val="Body"/>
        <w:spacing w:after="0"/>
        <w:rPr>
          <w:rFonts w:ascii="Arial" w:hAnsi="Arial" w:cs="Arial"/>
        </w:rPr>
      </w:pPr>
      <w:r w:rsidRPr="009D1035">
        <w:rPr>
          <w:rFonts w:ascii="Arial" w:hAnsi="Arial" w:cs="Arial"/>
        </w:rPr>
        <w:t xml:space="preserve">Experimental animals of both sexes were chosen at random and divided into four groups, each of which contained four Wistar rats for the control, standard, and test sample groups (200 mg/kg and 400 mg/kg). </w:t>
      </w:r>
    </w:p>
    <w:p w14:paraId="2455744E" w14:textId="77777777" w:rsidR="009D1035" w:rsidRPr="009D1035" w:rsidRDefault="009D1035" w:rsidP="009D1035">
      <w:pPr>
        <w:pStyle w:val="Body"/>
        <w:spacing w:after="0"/>
        <w:rPr>
          <w:rFonts w:ascii="Arial" w:hAnsi="Arial" w:cs="Arial"/>
        </w:rPr>
      </w:pPr>
    </w:p>
    <w:p w14:paraId="7D5BA627" w14:textId="77777777" w:rsidR="009D1035" w:rsidRPr="009D1035" w:rsidRDefault="009D1035" w:rsidP="009D1035">
      <w:pPr>
        <w:pStyle w:val="Body"/>
        <w:spacing w:after="0"/>
        <w:rPr>
          <w:rFonts w:ascii="Arial" w:hAnsi="Arial" w:cs="Arial"/>
        </w:rPr>
      </w:pPr>
      <w:r w:rsidRPr="009D1035">
        <w:rPr>
          <w:rFonts w:ascii="Arial" w:hAnsi="Arial" w:cs="Arial"/>
          <w:b/>
          <w:bCs/>
        </w:rPr>
        <w:t>Group A</w:t>
      </w:r>
      <w:r w:rsidRPr="009D1035">
        <w:rPr>
          <w:rFonts w:ascii="Arial" w:hAnsi="Arial" w:cs="Arial"/>
        </w:rPr>
        <w:t xml:space="preserve">: Control </w:t>
      </w:r>
      <w:proofErr w:type="gramStart"/>
      <w:r w:rsidRPr="009D1035">
        <w:rPr>
          <w:rFonts w:ascii="Arial" w:hAnsi="Arial" w:cs="Arial"/>
        </w:rPr>
        <w:t>group</w:t>
      </w:r>
      <w:proofErr w:type="gramEnd"/>
      <w:r w:rsidRPr="009D1035">
        <w:rPr>
          <w:rFonts w:ascii="Arial" w:hAnsi="Arial" w:cs="Arial"/>
        </w:rPr>
        <w:t xml:space="preserve">-Received particular treatment (Normal saline (N/S), 10 mL/g, p.o.). </w:t>
      </w:r>
    </w:p>
    <w:p w14:paraId="400233DC" w14:textId="77777777" w:rsidR="009D1035" w:rsidRPr="009D1035" w:rsidRDefault="009D1035" w:rsidP="009D1035">
      <w:pPr>
        <w:pStyle w:val="Body"/>
        <w:spacing w:after="0"/>
        <w:rPr>
          <w:rFonts w:ascii="Arial" w:hAnsi="Arial" w:cs="Arial"/>
        </w:rPr>
      </w:pPr>
      <w:r w:rsidRPr="009D1035">
        <w:rPr>
          <w:rFonts w:ascii="Arial" w:hAnsi="Arial" w:cs="Arial"/>
          <w:b/>
          <w:bCs/>
        </w:rPr>
        <w:t>Group B</w:t>
      </w:r>
      <w:r w:rsidRPr="009D1035">
        <w:rPr>
          <w:rFonts w:ascii="Arial" w:hAnsi="Arial" w:cs="Arial"/>
        </w:rPr>
        <w:t xml:space="preserve">: Standard </w:t>
      </w:r>
      <w:proofErr w:type="gramStart"/>
      <w:r w:rsidRPr="009D1035">
        <w:rPr>
          <w:rFonts w:ascii="Arial" w:hAnsi="Arial" w:cs="Arial"/>
        </w:rPr>
        <w:t>drugs</w:t>
      </w:r>
      <w:proofErr w:type="gramEnd"/>
      <w:r w:rsidRPr="009D1035">
        <w:rPr>
          <w:rFonts w:ascii="Arial" w:hAnsi="Arial" w:cs="Arial"/>
        </w:rPr>
        <w:t xml:space="preserve">-Received a solution of Diclofenac sodium (9 mg/kg, p.o.). </w:t>
      </w:r>
    </w:p>
    <w:p w14:paraId="2F8C44FB" w14:textId="77777777" w:rsidR="009D1035" w:rsidRPr="009D1035" w:rsidRDefault="009D1035" w:rsidP="009D1035">
      <w:pPr>
        <w:pStyle w:val="Body"/>
        <w:spacing w:after="0"/>
        <w:rPr>
          <w:rFonts w:ascii="Arial" w:hAnsi="Arial" w:cs="Arial"/>
        </w:rPr>
      </w:pPr>
      <w:r w:rsidRPr="009D1035">
        <w:rPr>
          <w:rFonts w:ascii="Arial" w:hAnsi="Arial" w:cs="Arial"/>
          <w:b/>
          <w:bCs/>
        </w:rPr>
        <w:t>Group C</w:t>
      </w:r>
      <w:r w:rsidRPr="009D1035">
        <w:rPr>
          <w:rFonts w:ascii="Arial" w:hAnsi="Arial" w:cs="Arial"/>
        </w:rPr>
        <w:t xml:space="preserve">: Test </w:t>
      </w:r>
      <w:proofErr w:type="gramStart"/>
      <w:r w:rsidRPr="009D1035">
        <w:rPr>
          <w:rFonts w:ascii="Arial" w:hAnsi="Arial" w:cs="Arial"/>
        </w:rPr>
        <w:t>drug</w:t>
      </w:r>
      <w:proofErr w:type="gramEnd"/>
      <w:r w:rsidRPr="009D1035">
        <w:rPr>
          <w:rFonts w:ascii="Arial" w:hAnsi="Arial" w:cs="Arial"/>
        </w:rPr>
        <w:t>-Received MLE (</w:t>
      </w:r>
      <w:r w:rsidRPr="009D1035">
        <w:rPr>
          <w:rFonts w:ascii="Arial" w:hAnsi="Arial" w:cs="Arial"/>
          <w:i/>
          <w:iCs/>
        </w:rPr>
        <w:t>Calotropis gigantea</w:t>
      </w:r>
      <w:r w:rsidRPr="009D1035">
        <w:rPr>
          <w:rFonts w:ascii="Arial" w:hAnsi="Arial" w:cs="Arial"/>
        </w:rPr>
        <w:t xml:space="preserve"> extract) at the doses of 200 mg/kg, </w:t>
      </w:r>
      <w:proofErr w:type="spellStart"/>
      <w:r w:rsidRPr="009D1035">
        <w:rPr>
          <w:rFonts w:ascii="Arial" w:hAnsi="Arial" w:cs="Arial"/>
        </w:rPr>
        <w:t>p.o</w:t>
      </w:r>
      <w:proofErr w:type="spellEnd"/>
    </w:p>
    <w:p w14:paraId="333F24A8" w14:textId="77777777" w:rsidR="009D1035" w:rsidRPr="009D1035" w:rsidRDefault="009D1035" w:rsidP="009D1035">
      <w:pPr>
        <w:pStyle w:val="Body"/>
        <w:spacing w:after="0"/>
        <w:rPr>
          <w:rFonts w:ascii="Arial" w:hAnsi="Arial" w:cs="Arial"/>
        </w:rPr>
      </w:pPr>
      <w:r w:rsidRPr="009D1035">
        <w:rPr>
          <w:rFonts w:ascii="Arial" w:hAnsi="Arial" w:cs="Arial"/>
          <w:b/>
          <w:bCs/>
        </w:rPr>
        <w:t>Group</w:t>
      </w:r>
      <w:r w:rsidRPr="009D1035">
        <w:rPr>
          <w:rFonts w:ascii="Arial" w:hAnsi="Arial" w:cs="Arial"/>
        </w:rPr>
        <w:t xml:space="preserve"> </w:t>
      </w:r>
      <w:r w:rsidRPr="009D1035">
        <w:rPr>
          <w:rFonts w:ascii="Arial" w:hAnsi="Arial" w:cs="Arial"/>
          <w:b/>
          <w:bCs/>
        </w:rPr>
        <w:t>D</w:t>
      </w:r>
      <w:r w:rsidRPr="009D1035">
        <w:rPr>
          <w:rFonts w:ascii="Arial" w:hAnsi="Arial" w:cs="Arial"/>
        </w:rPr>
        <w:t xml:space="preserve">: Test </w:t>
      </w:r>
      <w:proofErr w:type="gramStart"/>
      <w:r w:rsidRPr="009D1035">
        <w:rPr>
          <w:rFonts w:ascii="Arial" w:hAnsi="Arial" w:cs="Arial"/>
        </w:rPr>
        <w:t>drug</w:t>
      </w:r>
      <w:proofErr w:type="gramEnd"/>
      <w:r w:rsidRPr="009D1035">
        <w:rPr>
          <w:rFonts w:ascii="Arial" w:hAnsi="Arial" w:cs="Arial"/>
        </w:rPr>
        <w:t>-Received MLE (</w:t>
      </w:r>
      <w:r w:rsidRPr="009D1035">
        <w:rPr>
          <w:rFonts w:ascii="Arial" w:hAnsi="Arial" w:cs="Arial"/>
          <w:i/>
          <w:iCs/>
        </w:rPr>
        <w:t>Calotropis gigantea</w:t>
      </w:r>
      <w:r w:rsidRPr="009D1035">
        <w:rPr>
          <w:rFonts w:ascii="Arial" w:hAnsi="Arial" w:cs="Arial"/>
        </w:rPr>
        <w:t xml:space="preserve"> extract) at the doses of 400 mg/kg, p.o. </w:t>
      </w:r>
    </w:p>
    <w:p w14:paraId="186E01D9" w14:textId="77777777" w:rsidR="009D1035" w:rsidRDefault="009D1035" w:rsidP="009D1035">
      <w:pPr>
        <w:pStyle w:val="Body"/>
        <w:spacing w:after="0"/>
        <w:rPr>
          <w:rFonts w:ascii="Arial" w:hAnsi="Arial" w:cs="Arial"/>
        </w:rPr>
      </w:pPr>
    </w:p>
    <w:p w14:paraId="4F4999E1" w14:textId="77777777" w:rsidR="009D1035" w:rsidRPr="009D1035" w:rsidRDefault="009D1035" w:rsidP="009D1035">
      <w:pPr>
        <w:pStyle w:val="Body"/>
        <w:spacing w:after="0"/>
        <w:rPr>
          <w:rFonts w:ascii="Arial" w:hAnsi="Arial" w:cs="Arial"/>
        </w:rPr>
      </w:pPr>
      <w:r w:rsidRPr="009D1035">
        <w:rPr>
          <w:rFonts w:ascii="Arial" w:hAnsi="Arial" w:cs="Arial"/>
        </w:rPr>
        <w:t xml:space="preserve">The animals were placed on Eddy’s hot plate, which maintained a steady temperature of 55 ± 0.5 °C, and fed through a feeding tube. Animals that licked their forepaws or </w:t>
      </w:r>
      <w:proofErr w:type="spellStart"/>
      <w:r w:rsidRPr="009D1035">
        <w:rPr>
          <w:rFonts w:ascii="Arial" w:hAnsi="Arial" w:cs="Arial"/>
        </w:rPr>
        <w:t>hindpaws</w:t>
      </w:r>
      <w:proofErr w:type="spellEnd"/>
      <w:r w:rsidRPr="009D1035">
        <w:rPr>
          <w:rFonts w:ascii="Arial" w:hAnsi="Arial" w:cs="Arial"/>
        </w:rPr>
        <w:t xml:space="preserve"> or leaped before and after the sample was administered for 0, 30, 60, 90, and 120 minutes had their reaction times recorded. </w:t>
      </w:r>
    </w:p>
    <w:p w14:paraId="55A1217B" w14:textId="77777777" w:rsidR="009D1035" w:rsidRPr="009D1035" w:rsidRDefault="009D1035" w:rsidP="009D1035">
      <w:pPr>
        <w:pStyle w:val="Body"/>
        <w:spacing w:after="0"/>
        <w:jc w:val="right"/>
        <w:rPr>
          <w:rFonts w:ascii="Arial" w:hAnsi="Arial" w:cs="Arial"/>
        </w:rPr>
      </w:pPr>
      <w:r w:rsidRPr="009D1035">
        <w:rPr>
          <w:rFonts w:ascii="Arial" w:hAnsi="Arial" w:cs="Arial"/>
        </w:rPr>
        <w:t xml:space="preserve">                                                                               </w:t>
      </w:r>
      <w:r w:rsidRPr="009D1035">
        <w:rPr>
          <w:rFonts w:ascii="Arial" w:hAnsi="Arial" w:cs="Arial"/>
          <w:noProof/>
        </w:rPr>
        <w:drawing>
          <wp:inline distT="0" distB="0" distL="0" distR="0" wp14:anchorId="0672CB92" wp14:editId="7CF85875">
            <wp:extent cx="3228975" cy="2133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8975" cy="2133600"/>
                    </a:xfrm>
                    <a:prstGeom prst="rect">
                      <a:avLst/>
                    </a:prstGeom>
                  </pic:spPr>
                </pic:pic>
              </a:graphicData>
            </a:graphic>
          </wp:inline>
        </w:drawing>
      </w:r>
    </w:p>
    <w:p w14:paraId="218E563C" w14:textId="77777777" w:rsidR="009D1035" w:rsidRPr="009D1035" w:rsidRDefault="009A7467" w:rsidP="009D1035">
      <w:pPr>
        <w:pStyle w:val="Body"/>
        <w:spacing w:after="0"/>
        <w:jc w:val="right"/>
        <w:rPr>
          <w:rFonts w:ascii="Arial" w:hAnsi="Arial" w:cs="Arial"/>
          <w:b/>
          <w:bCs/>
        </w:rPr>
      </w:pPr>
      <w:r>
        <w:rPr>
          <w:rFonts w:ascii="Arial" w:hAnsi="Arial" w:cs="Arial"/>
          <w:b/>
          <w:bCs/>
        </w:rPr>
        <w:t>Fig.</w:t>
      </w:r>
      <w:r w:rsidR="009D1035" w:rsidRPr="009D1035">
        <w:rPr>
          <w:rFonts w:ascii="Arial" w:hAnsi="Arial" w:cs="Arial"/>
          <w:b/>
          <w:bCs/>
        </w:rPr>
        <w:t xml:space="preserve"> </w:t>
      </w:r>
      <w:r w:rsidR="009D1035" w:rsidRPr="009D1035">
        <w:rPr>
          <w:rFonts w:ascii="Arial" w:hAnsi="Arial" w:cs="Arial"/>
          <w:b/>
          <w:bCs/>
        </w:rPr>
        <w:fldChar w:fldCharType="begin"/>
      </w:r>
      <w:r w:rsidR="009D1035" w:rsidRPr="009D1035">
        <w:rPr>
          <w:rFonts w:ascii="Arial" w:hAnsi="Arial" w:cs="Arial"/>
          <w:b/>
          <w:bCs/>
        </w:rPr>
        <w:instrText xml:space="preserve"> SEQ Figure \* ARABIC </w:instrText>
      </w:r>
      <w:r w:rsidR="009D1035" w:rsidRPr="009D1035">
        <w:rPr>
          <w:rFonts w:ascii="Arial" w:hAnsi="Arial" w:cs="Arial"/>
          <w:b/>
          <w:bCs/>
        </w:rPr>
        <w:fldChar w:fldCharType="separate"/>
      </w:r>
      <w:r w:rsidR="009D1035" w:rsidRPr="009D1035">
        <w:rPr>
          <w:rFonts w:ascii="Arial" w:hAnsi="Arial" w:cs="Arial"/>
          <w:b/>
          <w:bCs/>
        </w:rPr>
        <w:t>4</w:t>
      </w:r>
      <w:r w:rsidR="009D1035" w:rsidRPr="009D1035">
        <w:rPr>
          <w:rFonts w:ascii="Arial" w:hAnsi="Arial" w:cs="Arial"/>
        </w:rPr>
        <w:fldChar w:fldCharType="end"/>
      </w:r>
      <w:r>
        <w:rPr>
          <w:rFonts w:ascii="Arial" w:hAnsi="Arial" w:cs="Arial"/>
        </w:rPr>
        <w:t>.</w:t>
      </w:r>
      <w:r w:rsidR="009D1035" w:rsidRPr="009D1035">
        <w:rPr>
          <w:rFonts w:ascii="Arial" w:hAnsi="Arial" w:cs="Arial"/>
          <w:b/>
          <w:bCs/>
        </w:rPr>
        <w:t xml:space="preserve"> </w:t>
      </w:r>
      <w:r w:rsidR="009D1035" w:rsidRPr="009D1035">
        <w:rPr>
          <w:rFonts w:ascii="Arial" w:hAnsi="Arial" w:cs="Arial"/>
        </w:rPr>
        <w:t xml:space="preserve">Explanatory Diagram of Hot Plate </w:t>
      </w:r>
      <w:proofErr w:type="spellStart"/>
      <w:r w:rsidR="009D1035" w:rsidRPr="009D1035">
        <w:rPr>
          <w:rFonts w:ascii="Arial" w:hAnsi="Arial" w:cs="Arial"/>
        </w:rPr>
        <w:t>Analgesiometer</w:t>
      </w:r>
      <w:proofErr w:type="spellEnd"/>
    </w:p>
    <w:p w14:paraId="6C8EFA82" w14:textId="77777777" w:rsidR="009D1035" w:rsidRDefault="009D1035" w:rsidP="009D1035">
      <w:pPr>
        <w:pStyle w:val="Body"/>
        <w:spacing w:after="0"/>
        <w:rPr>
          <w:rFonts w:ascii="Arial" w:hAnsi="Arial" w:cs="Arial"/>
        </w:rPr>
      </w:pPr>
    </w:p>
    <w:p w14:paraId="442D4EB4" w14:textId="77777777" w:rsidR="009D1035" w:rsidRDefault="009D1035" w:rsidP="009D1035">
      <w:pPr>
        <w:pStyle w:val="Body"/>
        <w:spacing w:after="0"/>
        <w:rPr>
          <w:rFonts w:ascii="Arial" w:hAnsi="Arial" w:cs="Arial"/>
        </w:rPr>
      </w:pPr>
      <w:r w:rsidRPr="009D1035">
        <w:rPr>
          <w:rFonts w:ascii="Arial" w:hAnsi="Arial" w:cs="Arial"/>
        </w:rPr>
        <w:t xml:space="preserve">According to (Yimer, T., Birru, 2020), the percentage increase in reaction time or pain threshold inhibition was determined using the relation; </w:t>
      </w:r>
    </w:p>
    <w:p w14:paraId="19312470" w14:textId="77777777" w:rsidR="009D1035" w:rsidRPr="009D1035" w:rsidRDefault="009D1035" w:rsidP="009D1035">
      <w:pPr>
        <w:pStyle w:val="Body"/>
        <w:spacing w:after="0"/>
        <w:rPr>
          <w:rFonts w:ascii="Arial" w:hAnsi="Arial" w:cs="Arial"/>
        </w:rPr>
      </w:pPr>
      <w:r w:rsidRPr="009D1035">
        <w:rPr>
          <w:rFonts w:ascii="Arial" w:hAnsi="Arial" w:cs="Arial"/>
        </w:rPr>
        <w:t xml:space="preserve"> </w:t>
      </w:r>
    </w:p>
    <w:p w14:paraId="0D4F9663" w14:textId="77777777" w:rsidR="009D1035" w:rsidRPr="009D1035" w:rsidRDefault="009D1035" w:rsidP="009D1035">
      <w:pPr>
        <w:pStyle w:val="Body"/>
        <w:spacing w:after="0"/>
        <w:rPr>
          <w:rFonts w:ascii="Arial" w:hAnsi="Arial" w:cs="Arial"/>
        </w:rPr>
      </w:pPr>
      <w:r w:rsidRPr="009D1035">
        <w:rPr>
          <w:rFonts w:ascii="Arial" w:hAnsi="Arial" w:cs="Arial"/>
        </w:rPr>
        <w:object w:dxaOrig="5856" w:dyaOrig="726" w14:anchorId="5E667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6.75pt" o:ole="">
            <v:imagedata r:id="rId19" o:title=""/>
          </v:shape>
          <o:OLEObject Type="Embed" ProgID="ChemDraw.Document.6.0" ShapeID="_x0000_i1025" DrawAspect="Content" ObjectID="_1822057894" r:id="rId20"/>
        </w:object>
      </w:r>
      <w:bookmarkStart w:id="13" w:name="_Toc151413652"/>
    </w:p>
    <w:p w14:paraId="41490232" w14:textId="77777777" w:rsidR="009D1035" w:rsidRDefault="009D1035" w:rsidP="009D1035">
      <w:pPr>
        <w:pStyle w:val="Body"/>
        <w:spacing w:after="0"/>
        <w:rPr>
          <w:rFonts w:ascii="Arial" w:hAnsi="Arial" w:cs="Arial"/>
          <w:b/>
          <w:bCs/>
          <w:i/>
          <w:iCs/>
        </w:rPr>
      </w:pPr>
    </w:p>
    <w:p w14:paraId="28E614C7" w14:textId="77777777" w:rsidR="009D1035" w:rsidRPr="009A7467" w:rsidRDefault="009A7467" w:rsidP="009D1035">
      <w:pPr>
        <w:pStyle w:val="Body"/>
        <w:spacing w:after="0"/>
        <w:rPr>
          <w:rFonts w:ascii="Arial" w:hAnsi="Arial" w:cs="Arial"/>
          <w:b/>
          <w:bCs/>
          <w:i/>
          <w:iCs/>
          <w:u w:val="single"/>
        </w:rPr>
      </w:pPr>
      <w:r w:rsidRPr="009A7467">
        <w:rPr>
          <w:rFonts w:ascii="Arial" w:hAnsi="Arial" w:cs="Arial"/>
          <w:b/>
          <w:bCs/>
          <w:i/>
          <w:iCs/>
          <w:u w:val="single"/>
        </w:rPr>
        <w:t xml:space="preserve">2.7.2 </w:t>
      </w:r>
      <w:r w:rsidR="009D1035" w:rsidRPr="009A7467">
        <w:rPr>
          <w:rFonts w:ascii="Arial" w:hAnsi="Arial" w:cs="Arial"/>
          <w:b/>
          <w:bCs/>
          <w:i/>
          <w:iCs/>
          <w:u w:val="single"/>
        </w:rPr>
        <w:t>Acetic Acid Induced Writhing Method</w:t>
      </w:r>
      <w:bookmarkEnd w:id="13"/>
    </w:p>
    <w:p w14:paraId="1DB7DD41" w14:textId="77777777" w:rsidR="009A7467" w:rsidRDefault="009A7467" w:rsidP="009D1035">
      <w:pPr>
        <w:pStyle w:val="Body"/>
        <w:spacing w:after="0"/>
        <w:rPr>
          <w:rFonts w:ascii="Arial" w:hAnsi="Arial" w:cs="Arial"/>
        </w:rPr>
      </w:pPr>
    </w:p>
    <w:p w14:paraId="31AFBA9D" w14:textId="77777777" w:rsidR="009D1035" w:rsidRDefault="009D1035" w:rsidP="009D1035">
      <w:pPr>
        <w:pStyle w:val="Body"/>
        <w:spacing w:after="0"/>
        <w:rPr>
          <w:rFonts w:ascii="Arial" w:hAnsi="Arial" w:cs="Arial"/>
        </w:rPr>
      </w:pPr>
      <w:r w:rsidRPr="009D1035">
        <w:rPr>
          <w:rFonts w:ascii="Arial" w:hAnsi="Arial" w:cs="Arial"/>
        </w:rPr>
        <w:t>As previously mentioned, four groups of four Wistar rats each were created.</w:t>
      </w:r>
    </w:p>
    <w:p w14:paraId="3D96F51F" w14:textId="77777777" w:rsidR="009D1035" w:rsidRPr="009D1035" w:rsidRDefault="009D1035" w:rsidP="009D1035">
      <w:pPr>
        <w:pStyle w:val="Body"/>
        <w:spacing w:after="0"/>
        <w:rPr>
          <w:rFonts w:ascii="Arial" w:hAnsi="Arial" w:cs="Arial"/>
        </w:rPr>
      </w:pPr>
    </w:p>
    <w:p w14:paraId="6346892A" w14:textId="77777777" w:rsidR="009D1035" w:rsidRPr="009D1035" w:rsidRDefault="009D1035" w:rsidP="009D1035">
      <w:pPr>
        <w:pStyle w:val="Body"/>
        <w:spacing w:after="0"/>
        <w:rPr>
          <w:rFonts w:ascii="Arial" w:hAnsi="Arial" w:cs="Arial"/>
        </w:rPr>
      </w:pPr>
      <w:r w:rsidRPr="009D1035">
        <w:rPr>
          <w:rFonts w:ascii="Arial" w:hAnsi="Arial" w:cs="Arial"/>
          <w:b/>
          <w:bCs/>
        </w:rPr>
        <w:t>Group A</w:t>
      </w:r>
      <w:r w:rsidRPr="009D1035">
        <w:rPr>
          <w:rFonts w:ascii="Arial" w:hAnsi="Arial" w:cs="Arial"/>
        </w:rPr>
        <w:t xml:space="preserve">: Control group-received Normal saline, 10 mL/kg p.o. </w:t>
      </w:r>
    </w:p>
    <w:p w14:paraId="24090779" w14:textId="77777777" w:rsidR="009D1035" w:rsidRPr="009D1035" w:rsidRDefault="009D1035" w:rsidP="009D1035">
      <w:pPr>
        <w:pStyle w:val="Body"/>
        <w:spacing w:after="0"/>
        <w:rPr>
          <w:rFonts w:ascii="Arial" w:hAnsi="Arial" w:cs="Arial"/>
        </w:rPr>
      </w:pPr>
      <w:r w:rsidRPr="009D1035">
        <w:rPr>
          <w:rFonts w:ascii="Arial" w:hAnsi="Arial" w:cs="Arial"/>
          <w:b/>
          <w:bCs/>
        </w:rPr>
        <w:t>Group B</w:t>
      </w:r>
      <w:r w:rsidRPr="009D1035">
        <w:rPr>
          <w:rFonts w:ascii="Arial" w:hAnsi="Arial" w:cs="Arial"/>
        </w:rPr>
        <w:t>: Standard drug-received a solution of Diclofenac sodium 9 mg/kg, p.o.</w:t>
      </w:r>
    </w:p>
    <w:p w14:paraId="09706010" w14:textId="77777777" w:rsidR="009D1035" w:rsidRPr="009D1035" w:rsidRDefault="009D1035" w:rsidP="009D1035">
      <w:pPr>
        <w:pStyle w:val="Body"/>
        <w:spacing w:after="0"/>
        <w:rPr>
          <w:rFonts w:ascii="Arial" w:hAnsi="Arial" w:cs="Arial"/>
        </w:rPr>
      </w:pPr>
      <w:r w:rsidRPr="009D1035">
        <w:rPr>
          <w:rFonts w:ascii="Arial" w:hAnsi="Arial" w:cs="Arial"/>
          <w:b/>
          <w:bCs/>
        </w:rPr>
        <w:t>Group C</w:t>
      </w:r>
      <w:r w:rsidRPr="009D1035">
        <w:rPr>
          <w:rFonts w:ascii="Arial" w:hAnsi="Arial" w:cs="Arial"/>
        </w:rPr>
        <w:t>: Test drug-received MLE (</w:t>
      </w:r>
      <w:r w:rsidRPr="009D1035">
        <w:rPr>
          <w:rFonts w:ascii="Arial" w:hAnsi="Arial" w:cs="Arial"/>
          <w:i/>
          <w:iCs/>
        </w:rPr>
        <w:t>Calotropis gigantea</w:t>
      </w:r>
      <w:r w:rsidRPr="009D1035">
        <w:rPr>
          <w:rFonts w:ascii="Arial" w:hAnsi="Arial" w:cs="Arial"/>
        </w:rPr>
        <w:t xml:space="preserve"> extract) at the dose 200 mg/kg, </w:t>
      </w:r>
      <w:proofErr w:type="spellStart"/>
      <w:r w:rsidRPr="009D1035">
        <w:rPr>
          <w:rFonts w:ascii="Arial" w:hAnsi="Arial" w:cs="Arial"/>
        </w:rPr>
        <w:t>p.o</w:t>
      </w:r>
      <w:proofErr w:type="spellEnd"/>
    </w:p>
    <w:p w14:paraId="3721F4A5" w14:textId="77777777" w:rsidR="009D1035" w:rsidRPr="009D1035" w:rsidRDefault="009D1035" w:rsidP="009D1035">
      <w:pPr>
        <w:pStyle w:val="Body"/>
        <w:spacing w:after="0"/>
        <w:rPr>
          <w:rFonts w:ascii="Arial" w:hAnsi="Arial" w:cs="Arial"/>
        </w:rPr>
      </w:pPr>
      <w:r w:rsidRPr="009D1035">
        <w:rPr>
          <w:rFonts w:ascii="Arial" w:hAnsi="Arial" w:cs="Arial"/>
          <w:b/>
          <w:bCs/>
        </w:rPr>
        <w:t>Group D</w:t>
      </w:r>
      <w:r w:rsidRPr="009D1035">
        <w:rPr>
          <w:rFonts w:ascii="Arial" w:hAnsi="Arial" w:cs="Arial"/>
        </w:rPr>
        <w:t>: Test drug-received MLE (</w:t>
      </w:r>
      <w:r w:rsidRPr="009D1035">
        <w:rPr>
          <w:rFonts w:ascii="Arial" w:hAnsi="Arial" w:cs="Arial"/>
          <w:i/>
          <w:iCs/>
        </w:rPr>
        <w:t>Calotropis gigantea</w:t>
      </w:r>
      <w:r w:rsidRPr="009D1035">
        <w:rPr>
          <w:rFonts w:ascii="Arial" w:hAnsi="Arial" w:cs="Arial"/>
        </w:rPr>
        <w:t xml:space="preserve"> extract) at the dose 400 mg/kg, </w:t>
      </w:r>
      <w:proofErr w:type="gramStart"/>
      <w:r w:rsidRPr="009D1035">
        <w:rPr>
          <w:rFonts w:ascii="Arial" w:hAnsi="Arial" w:cs="Arial"/>
        </w:rPr>
        <w:t>p.o..</w:t>
      </w:r>
      <w:proofErr w:type="gramEnd"/>
      <w:r w:rsidRPr="009D1035">
        <w:rPr>
          <w:rFonts w:ascii="Arial" w:hAnsi="Arial" w:cs="Arial"/>
        </w:rPr>
        <w:t xml:space="preserve"> </w:t>
      </w:r>
    </w:p>
    <w:p w14:paraId="2CB32593" w14:textId="77777777" w:rsidR="009D1035" w:rsidRPr="009D1035" w:rsidRDefault="009D1035" w:rsidP="009D1035">
      <w:pPr>
        <w:pStyle w:val="Body"/>
        <w:spacing w:after="0"/>
        <w:rPr>
          <w:rFonts w:ascii="Arial" w:hAnsi="Arial" w:cs="Arial"/>
        </w:rPr>
      </w:pPr>
      <w:r w:rsidRPr="009D1035">
        <w:rPr>
          <w:rFonts w:ascii="Arial" w:hAnsi="Arial" w:cs="Arial"/>
        </w:rPr>
        <w:t xml:space="preserve">A 0.5 % acetic acid solution was injected intraperitoneally around 30 minutes after normal saline, Diclofenac, and MLE samples were delivered. Lastly, for 25 minutes, the number of writhes was recorded. </w:t>
      </w:r>
    </w:p>
    <w:p w14:paraId="6FB544C0" w14:textId="77777777" w:rsidR="009A7467" w:rsidRDefault="009A7467" w:rsidP="009D1035">
      <w:pPr>
        <w:pStyle w:val="Body"/>
        <w:spacing w:after="0"/>
        <w:rPr>
          <w:rFonts w:ascii="Arial" w:hAnsi="Arial" w:cs="Arial"/>
        </w:rPr>
      </w:pPr>
    </w:p>
    <w:p w14:paraId="181B7D7A" w14:textId="77777777" w:rsidR="009D1035" w:rsidRPr="009D1035" w:rsidRDefault="009D1035" w:rsidP="009D1035">
      <w:pPr>
        <w:pStyle w:val="Body"/>
        <w:spacing w:after="0"/>
        <w:rPr>
          <w:rFonts w:ascii="Arial" w:hAnsi="Arial" w:cs="Arial"/>
        </w:rPr>
      </w:pPr>
      <w:r w:rsidRPr="009D1035">
        <w:rPr>
          <w:rFonts w:ascii="Arial" w:hAnsi="Arial" w:cs="Arial"/>
        </w:rPr>
        <w:t xml:space="preserve">The following formula was used to determine the percentage protection against writhing, which was used as an indicator of analgesia. </w:t>
      </w:r>
    </w:p>
    <w:p w14:paraId="71A97162" w14:textId="77777777" w:rsidR="009D1035" w:rsidRPr="009D1035" w:rsidRDefault="009D1035" w:rsidP="009D1035">
      <w:pPr>
        <w:pStyle w:val="Body"/>
        <w:spacing w:after="0"/>
        <w:rPr>
          <w:rFonts w:ascii="Arial" w:hAnsi="Arial" w:cs="Arial"/>
        </w:rPr>
      </w:pPr>
      <w:r w:rsidRPr="009D1035">
        <w:rPr>
          <w:rFonts w:ascii="Arial" w:hAnsi="Arial" w:cs="Arial"/>
        </w:rPr>
        <w:t xml:space="preserve"> </w:t>
      </w:r>
      <w:r w:rsidRPr="009D1035">
        <w:rPr>
          <w:rFonts w:ascii="Arial" w:hAnsi="Arial" w:cs="Arial"/>
        </w:rPr>
        <w:object w:dxaOrig="8331" w:dyaOrig="711" w14:anchorId="1C19E04D">
          <v:shape id="_x0000_i1026" type="#_x0000_t75" style="width:416.25pt;height:35.25pt" o:ole="">
            <v:imagedata r:id="rId21" o:title=""/>
          </v:shape>
          <o:OLEObject Type="Embed" ProgID="ChemDraw.Document.6.0" ShapeID="_x0000_i1026" DrawAspect="Content" ObjectID="_1822057895" r:id="rId22"/>
        </w:object>
      </w:r>
      <w:bookmarkStart w:id="14" w:name="_Toc151413653"/>
    </w:p>
    <w:p w14:paraId="0C6FA20F" w14:textId="77777777" w:rsidR="009D1035" w:rsidRPr="009A7467" w:rsidRDefault="009A7467" w:rsidP="009D1035">
      <w:pPr>
        <w:pStyle w:val="Body"/>
        <w:spacing w:after="0"/>
        <w:rPr>
          <w:rFonts w:ascii="Arial" w:hAnsi="Arial" w:cs="Arial"/>
          <w:b/>
          <w:bCs/>
          <w:sz w:val="22"/>
          <w:szCs w:val="22"/>
        </w:rPr>
      </w:pPr>
      <w:r w:rsidRPr="009A7467">
        <w:rPr>
          <w:rFonts w:ascii="Arial" w:hAnsi="Arial" w:cs="Arial"/>
          <w:b/>
          <w:bCs/>
          <w:sz w:val="22"/>
          <w:szCs w:val="22"/>
        </w:rPr>
        <w:t xml:space="preserve">2.8 </w:t>
      </w:r>
      <w:r w:rsidR="009D1035" w:rsidRPr="009A7467">
        <w:rPr>
          <w:rFonts w:ascii="Arial" w:hAnsi="Arial" w:cs="Arial"/>
          <w:b/>
          <w:bCs/>
          <w:sz w:val="22"/>
          <w:szCs w:val="22"/>
        </w:rPr>
        <w:t>Statistical analysis</w:t>
      </w:r>
      <w:bookmarkEnd w:id="14"/>
    </w:p>
    <w:p w14:paraId="31A8CAD4" w14:textId="77777777" w:rsidR="009A7467" w:rsidRDefault="009A7467" w:rsidP="009D1035">
      <w:pPr>
        <w:pStyle w:val="Body"/>
        <w:spacing w:after="0"/>
        <w:rPr>
          <w:rFonts w:ascii="Arial" w:hAnsi="Arial" w:cs="Arial"/>
        </w:rPr>
      </w:pPr>
    </w:p>
    <w:p w14:paraId="3379F564" w14:textId="77777777" w:rsidR="009D1035" w:rsidRPr="009D1035" w:rsidRDefault="009D1035" w:rsidP="009D1035">
      <w:pPr>
        <w:pStyle w:val="Body"/>
        <w:spacing w:after="0"/>
        <w:rPr>
          <w:rFonts w:ascii="Arial" w:hAnsi="Arial" w:cs="Arial"/>
        </w:rPr>
      </w:pPr>
      <w:r w:rsidRPr="009D1035">
        <w:rPr>
          <w:rFonts w:ascii="Arial" w:hAnsi="Arial" w:cs="Arial"/>
        </w:rPr>
        <w:t>All results were expressed as Mean ± Standard deviation. The mean value was calculated using Microsoft Excel. The test sample was compared with the standard drug and control by one-way analysis of variance (ANOVA) followed by Tukey’s post hoc test using SPSS software trial version.</w:t>
      </w:r>
    </w:p>
    <w:p w14:paraId="68C7D704" w14:textId="77777777" w:rsidR="00790ADA" w:rsidRPr="00FB3A86" w:rsidRDefault="00790ADA" w:rsidP="00441B6F">
      <w:pPr>
        <w:pStyle w:val="Body"/>
        <w:spacing w:after="0"/>
        <w:rPr>
          <w:rFonts w:ascii="Arial" w:hAnsi="Arial" w:cs="Arial"/>
        </w:rPr>
      </w:pPr>
    </w:p>
    <w:p w14:paraId="55909E8D" w14:textId="77777777" w:rsidR="00790ADA" w:rsidRPr="00FB3A86" w:rsidRDefault="00790ADA" w:rsidP="00441B6F">
      <w:pPr>
        <w:pStyle w:val="Body"/>
        <w:spacing w:after="0"/>
        <w:rPr>
          <w:rFonts w:ascii="Arial" w:hAnsi="Arial" w:cs="Arial"/>
        </w:rPr>
      </w:pPr>
    </w:p>
    <w:p w14:paraId="281F68D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8066709" w14:textId="77777777" w:rsidR="00790ADA" w:rsidRPr="00FB3A86" w:rsidRDefault="00790ADA" w:rsidP="00441B6F">
      <w:pPr>
        <w:pStyle w:val="Head1"/>
        <w:spacing w:after="0"/>
        <w:jc w:val="both"/>
        <w:rPr>
          <w:rFonts w:ascii="Arial" w:hAnsi="Arial" w:cs="Arial"/>
        </w:rPr>
      </w:pPr>
    </w:p>
    <w:p w14:paraId="08AB9712" w14:textId="77777777" w:rsidR="00055850" w:rsidRPr="00055850" w:rsidRDefault="00055850" w:rsidP="00055850">
      <w:pPr>
        <w:pStyle w:val="Body"/>
        <w:spacing w:after="0"/>
        <w:rPr>
          <w:rFonts w:ascii="Arial" w:hAnsi="Arial" w:cs="Arial"/>
          <w:b/>
          <w:bCs/>
          <w:sz w:val="22"/>
          <w:szCs w:val="22"/>
        </w:rPr>
      </w:pPr>
      <w:r w:rsidRPr="00055850">
        <w:rPr>
          <w:rFonts w:ascii="Arial" w:hAnsi="Arial" w:cs="Arial"/>
          <w:b/>
          <w:bCs/>
          <w:sz w:val="22"/>
          <w:szCs w:val="22"/>
        </w:rPr>
        <w:t>3.1 Extractive yield</w:t>
      </w:r>
    </w:p>
    <w:p w14:paraId="39CF3600" w14:textId="77777777" w:rsidR="00055850" w:rsidRDefault="00055850" w:rsidP="00055850">
      <w:pPr>
        <w:pStyle w:val="Body"/>
        <w:spacing w:after="0"/>
        <w:rPr>
          <w:rFonts w:ascii="Arial" w:hAnsi="Arial" w:cs="Arial"/>
        </w:rPr>
      </w:pPr>
    </w:p>
    <w:p w14:paraId="5D577B22" w14:textId="77777777" w:rsidR="00055850" w:rsidRPr="00055850" w:rsidRDefault="00055850" w:rsidP="00055850">
      <w:pPr>
        <w:pStyle w:val="Body"/>
        <w:spacing w:after="0"/>
        <w:rPr>
          <w:rFonts w:ascii="Arial" w:hAnsi="Arial" w:cs="Arial"/>
        </w:rPr>
      </w:pPr>
      <w:r w:rsidRPr="00055850">
        <w:rPr>
          <w:rFonts w:ascii="Arial" w:hAnsi="Arial" w:cs="Arial"/>
        </w:rPr>
        <w:t xml:space="preserve">The Table below displays the results of the calculation of the ethyl acetate and methanol extraction yield of </w:t>
      </w:r>
      <w:r w:rsidRPr="00055850">
        <w:rPr>
          <w:rFonts w:ascii="Arial" w:hAnsi="Arial" w:cs="Arial"/>
          <w:i/>
          <w:iCs/>
        </w:rPr>
        <w:t>C. gigantea</w:t>
      </w:r>
      <w:r w:rsidRPr="00055850">
        <w:rPr>
          <w:rFonts w:ascii="Arial" w:hAnsi="Arial" w:cs="Arial"/>
        </w:rPr>
        <w:t xml:space="preserve"> leaves, flowers, and latex using the provided equation (Pandey J. and others, 2020).</w:t>
      </w:r>
    </w:p>
    <w:p w14:paraId="001BBF17" w14:textId="77777777" w:rsidR="00055850" w:rsidRPr="00055850" w:rsidRDefault="00055850" w:rsidP="00055850">
      <w:pPr>
        <w:pStyle w:val="Body"/>
        <w:spacing w:after="0"/>
        <w:rPr>
          <w:rFonts w:ascii="Arial" w:hAnsi="Arial" w:cs="Arial"/>
        </w:rPr>
      </w:pPr>
      <w:r w:rsidRPr="00055850">
        <w:rPr>
          <w:rFonts w:ascii="Arial" w:hAnsi="Arial" w:cs="Arial"/>
        </w:rPr>
        <w:t xml:space="preserve">      </w:t>
      </w:r>
      <w:r w:rsidRPr="00055850">
        <w:rPr>
          <w:rFonts w:ascii="Arial" w:hAnsi="Arial" w:cs="Arial"/>
        </w:rPr>
        <w:object w:dxaOrig="7176" w:dyaOrig="784" w14:anchorId="27BEAA90">
          <v:shape id="_x0000_i1027" type="#_x0000_t75" style="width:359.25pt;height:39pt" o:ole="">
            <v:imagedata r:id="rId23" o:title=""/>
          </v:shape>
          <o:OLEObject Type="Embed" ProgID="ChemDraw.Document.6.0" ShapeID="_x0000_i1027" DrawAspect="Content" ObjectID="_1822057896" r:id="rId24"/>
        </w:object>
      </w:r>
    </w:p>
    <w:p w14:paraId="437E92DF" w14:textId="77777777" w:rsidR="00055850" w:rsidRPr="00055850" w:rsidRDefault="00055850" w:rsidP="00055850">
      <w:pPr>
        <w:pStyle w:val="Body"/>
        <w:spacing w:after="0"/>
        <w:rPr>
          <w:rFonts w:ascii="Arial" w:hAnsi="Arial" w:cs="Arial"/>
        </w:rPr>
      </w:pPr>
      <w:bookmarkStart w:id="15" w:name="_Toc151220421"/>
      <w:bookmarkStart w:id="16" w:name="_Toc151220915"/>
      <w:r w:rsidRPr="00055850">
        <w:rPr>
          <w:rFonts w:ascii="Arial" w:hAnsi="Arial" w:cs="Arial"/>
          <w:b/>
          <w:bCs/>
        </w:rPr>
        <w:t xml:space="preserve">Table </w:t>
      </w:r>
      <w:r w:rsidRPr="00055850">
        <w:rPr>
          <w:rFonts w:ascii="Arial" w:hAnsi="Arial" w:cs="Arial"/>
          <w:b/>
          <w:bCs/>
        </w:rPr>
        <w:fldChar w:fldCharType="begin"/>
      </w:r>
      <w:r w:rsidRPr="00055850">
        <w:rPr>
          <w:rFonts w:ascii="Arial" w:hAnsi="Arial" w:cs="Arial"/>
          <w:b/>
          <w:bCs/>
        </w:rPr>
        <w:instrText xml:space="preserve"> SEQ Table \* ARABIC </w:instrText>
      </w:r>
      <w:r w:rsidRPr="00055850">
        <w:rPr>
          <w:rFonts w:ascii="Arial" w:hAnsi="Arial" w:cs="Arial"/>
          <w:b/>
          <w:bCs/>
        </w:rPr>
        <w:fldChar w:fldCharType="separate"/>
      </w:r>
      <w:r w:rsidRPr="00055850">
        <w:rPr>
          <w:rFonts w:ascii="Arial" w:hAnsi="Arial" w:cs="Arial"/>
          <w:b/>
          <w:bCs/>
        </w:rPr>
        <w:t>2</w:t>
      </w:r>
      <w:r w:rsidRPr="00055850">
        <w:rPr>
          <w:rFonts w:ascii="Arial" w:hAnsi="Arial" w:cs="Arial"/>
        </w:rPr>
        <w:fldChar w:fldCharType="end"/>
      </w:r>
      <w:r w:rsidR="005E4952">
        <w:rPr>
          <w:rFonts w:ascii="Arial" w:hAnsi="Arial" w:cs="Arial"/>
          <w:b/>
          <w:bCs/>
        </w:rPr>
        <w:t>.</w:t>
      </w:r>
      <w:r w:rsidRPr="00055850">
        <w:rPr>
          <w:rFonts w:ascii="Arial" w:hAnsi="Arial" w:cs="Arial"/>
          <w:b/>
          <w:bCs/>
        </w:rPr>
        <w:t xml:space="preserve"> </w:t>
      </w:r>
      <w:r w:rsidRPr="00055850">
        <w:rPr>
          <w:rFonts w:ascii="Arial" w:hAnsi="Arial" w:cs="Arial"/>
        </w:rPr>
        <w:t>Yield Value of Different Extracts</w:t>
      </w:r>
    </w:p>
    <w:tbl>
      <w:tblPr>
        <w:tblW w:w="9408"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6"/>
        <w:gridCol w:w="1285"/>
        <w:gridCol w:w="1157"/>
        <w:gridCol w:w="1731"/>
        <w:gridCol w:w="1519"/>
        <w:gridCol w:w="1413"/>
        <w:gridCol w:w="1047"/>
      </w:tblGrid>
      <w:tr w:rsidR="00055850" w:rsidRPr="00055850" w14:paraId="0FC87644" w14:textId="77777777" w:rsidTr="00055850">
        <w:trPr>
          <w:trHeight w:val="2150"/>
        </w:trPr>
        <w:tc>
          <w:tcPr>
            <w:tcW w:w="1256" w:type="dxa"/>
          </w:tcPr>
          <w:bookmarkEnd w:id="15"/>
          <w:bookmarkEnd w:id="16"/>
          <w:p w14:paraId="69D553B8" w14:textId="77777777" w:rsidR="00055850" w:rsidRPr="00055850" w:rsidRDefault="00055850" w:rsidP="00055850">
            <w:pPr>
              <w:pStyle w:val="Body"/>
              <w:spacing w:after="0"/>
              <w:rPr>
                <w:rFonts w:ascii="Arial" w:hAnsi="Arial" w:cs="Arial"/>
                <w:b/>
              </w:rPr>
            </w:pPr>
            <w:r w:rsidRPr="00055850">
              <w:rPr>
                <w:rFonts w:ascii="Arial" w:hAnsi="Arial" w:cs="Arial"/>
                <w:b/>
              </w:rPr>
              <w:t>Scientific Name</w:t>
            </w:r>
          </w:p>
          <w:p w14:paraId="37F9B8D9" w14:textId="77777777" w:rsidR="00055850" w:rsidRPr="00055850" w:rsidRDefault="00055850" w:rsidP="00055850">
            <w:pPr>
              <w:pStyle w:val="Body"/>
              <w:spacing w:after="0"/>
              <w:rPr>
                <w:rFonts w:ascii="Arial" w:hAnsi="Arial" w:cs="Arial"/>
                <w:b/>
              </w:rPr>
            </w:pPr>
          </w:p>
        </w:tc>
        <w:tc>
          <w:tcPr>
            <w:tcW w:w="1285" w:type="dxa"/>
          </w:tcPr>
          <w:p w14:paraId="0235321B" w14:textId="77777777" w:rsidR="00055850" w:rsidRPr="00055850" w:rsidRDefault="00055850" w:rsidP="00055850">
            <w:pPr>
              <w:pStyle w:val="Body"/>
              <w:spacing w:after="0"/>
              <w:rPr>
                <w:rFonts w:ascii="Arial" w:hAnsi="Arial" w:cs="Arial"/>
                <w:b/>
              </w:rPr>
            </w:pPr>
            <w:r w:rsidRPr="00055850">
              <w:rPr>
                <w:rFonts w:ascii="Arial" w:hAnsi="Arial" w:cs="Arial"/>
                <w:b/>
              </w:rPr>
              <w:t>Solvents</w:t>
            </w:r>
          </w:p>
          <w:p w14:paraId="4DCFDE0B" w14:textId="77777777" w:rsidR="00055850" w:rsidRPr="00055850" w:rsidRDefault="00055850" w:rsidP="00055850">
            <w:pPr>
              <w:pStyle w:val="Body"/>
              <w:spacing w:after="0"/>
              <w:rPr>
                <w:rFonts w:ascii="Arial" w:hAnsi="Arial" w:cs="Arial"/>
                <w:b/>
              </w:rPr>
            </w:pPr>
          </w:p>
        </w:tc>
        <w:tc>
          <w:tcPr>
            <w:tcW w:w="1157" w:type="dxa"/>
          </w:tcPr>
          <w:p w14:paraId="3A863A98" w14:textId="77777777" w:rsidR="00055850" w:rsidRPr="00055850" w:rsidRDefault="00055850" w:rsidP="00055850">
            <w:pPr>
              <w:pStyle w:val="Body"/>
              <w:spacing w:after="0"/>
              <w:rPr>
                <w:rFonts w:ascii="Arial" w:hAnsi="Arial" w:cs="Arial"/>
                <w:b/>
              </w:rPr>
            </w:pPr>
            <w:r w:rsidRPr="00055850">
              <w:rPr>
                <w:rFonts w:ascii="Arial" w:hAnsi="Arial" w:cs="Arial"/>
                <w:b/>
              </w:rPr>
              <w:t>Parts Used</w:t>
            </w:r>
          </w:p>
          <w:p w14:paraId="4A82A798" w14:textId="77777777" w:rsidR="00055850" w:rsidRPr="00055850" w:rsidRDefault="00055850" w:rsidP="00055850">
            <w:pPr>
              <w:pStyle w:val="Body"/>
              <w:spacing w:after="0"/>
              <w:rPr>
                <w:rFonts w:ascii="Arial" w:hAnsi="Arial" w:cs="Arial"/>
                <w:b/>
              </w:rPr>
            </w:pPr>
          </w:p>
        </w:tc>
        <w:tc>
          <w:tcPr>
            <w:tcW w:w="1731" w:type="dxa"/>
          </w:tcPr>
          <w:p w14:paraId="11644BE9" w14:textId="77777777" w:rsidR="00055850" w:rsidRPr="00055850" w:rsidRDefault="00055850" w:rsidP="00055850">
            <w:pPr>
              <w:pStyle w:val="Body"/>
              <w:spacing w:after="0"/>
              <w:rPr>
                <w:rFonts w:ascii="Arial" w:hAnsi="Arial" w:cs="Arial"/>
                <w:b/>
              </w:rPr>
            </w:pPr>
            <w:r w:rsidRPr="00055850">
              <w:rPr>
                <w:rFonts w:ascii="Arial" w:hAnsi="Arial" w:cs="Arial"/>
                <w:b/>
              </w:rPr>
              <w:t>Sample</w:t>
            </w:r>
          </w:p>
          <w:p w14:paraId="4FC0ED61" w14:textId="77777777" w:rsidR="00055850" w:rsidRPr="00055850" w:rsidRDefault="00055850" w:rsidP="00055850">
            <w:pPr>
              <w:pStyle w:val="Body"/>
              <w:spacing w:after="0"/>
              <w:rPr>
                <w:rFonts w:ascii="Arial" w:hAnsi="Arial" w:cs="Arial"/>
                <w:b/>
              </w:rPr>
            </w:pPr>
          </w:p>
        </w:tc>
        <w:tc>
          <w:tcPr>
            <w:tcW w:w="1519" w:type="dxa"/>
          </w:tcPr>
          <w:p w14:paraId="375F83DF" w14:textId="77777777" w:rsidR="00055850" w:rsidRPr="00055850" w:rsidRDefault="00055850" w:rsidP="00055850">
            <w:pPr>
              <w:pStyle w:val="Body"/>
              <w:spacing w:after="0"/>
              <w:rPr>
                <w:rFonts w:ascii="Arial" w:hAnsi="Arial" w:cs="Arial"/>
                <w:b/>
              </w:rPr>
            </w:pPr>
            <w:r w:rsidRPr="00055850">
              <w:rPr>
                <w:rFonts w:ascii="Arial" w:hAnsi="Arial" w:cs="Arial"/>
                <w:b/>
              </w:rPr>
              <w:t>Weight of crude sample (g)</w:t>
            </w:r>
          </w:p>
          <w:p w14:paraId="6652CF7C" w14:textId="77777777" w:rsidR="00055850" w:rsidRPr="00055850" w:rsidRDefault="00055850" w:rsidP="00055850">
            <w:pPr>
              <w:pStyle w:val="Body"/>
              <w:spacing w:after="0"/>
              <w:rPr>
                <w:rFonts w:ascii="Arial" w:hAnsi="Arial" w:cs="Arial"/>
                <w:b/>
              </w:rPr>
            </w:pPr>
          </w:p>
        </w:tc>
        <w:tc>
          <w:tcPr>
            <w:tcW w:w="1413" w:type="dxa"/>
          </w:tcPr>
          <w:p w14:paraId="11EEC136" w14:textId="77777777" w:rsidR="00055850" w:rsidRPr="00055850" w:rsidRDefault="00055850" w:rsidP="00055850">
            <w:pPr>
              <w:pStyle w:val="Body"/>
              <w:spacing w:after="0"/>
              <w:rPr>
                <w:rFonts w:ascii="Arial" w:hAnsi="Arial" w:cs="Arial"/>
                <w:b/>
              </w:rPr>
            </w:pPr>
            <w:r w:rsidRPr="00055850">
              <w:rPr>
                <w:rFonts w:ascii="Arial" w:hAnsi="Arial" w:cs="Arial"/>
                <w:b/>
              </w:rPr>
              <w:t>Weight of Dry Extracts (g)</w:t>
            </w:r>
          </w:p>
          <w:p w14:paraId="0F76DD15" w14:textId="77777777" w:rsidR="00055850" w:rsidRPr="00055850" w:rsidRDefault="00055850" w:rsidP="00055850">
            <w:pPr>
              <w:pStyle w:val="Body"/>
              <w:spacing w:after="0"/>
              <w:rPr>
                <w:rFonts w:ascii="Arial" w:hAnsi="Arial" w:cs="Arial"/>
                <w:b/>
              </w:rPr>
            </w:pPr>
          </w:p>
        </w:tc>
        <w:tc>
          <w:tcPr>
            <w:tcW w:w="1047" w:type="dxa"/>
          </w:tcPr>
          <w:p w14:paraId="5E0C2566" w14:textId="77777777" w:rsidR="00055850" w:rsidRPr="00055850" w:rsidRDefault="00055850" w:rsidP="00055850">
            <w:pPr>
              <w:pStyle w:val="Body"/>
              <w:spacing w:after="0"/>
              <w:rPr>
                <w:rFonts w:ascii="Arial" w:hAnsi="Arial" w:cs="Arial"/>
                <w:b/>
              </w:rPr>
            </w:pPr>
            <w:r w:rsidRPr="00055850">
              <w:rPr>
                <w:rFonts w:ascii="Arial" w:hAnsi="Arial" w:cs="Arial"/>
                <w:b/>
              </w:rPr>
              <w:t>Yield value (%)</w:t>
            </w:r>
          </w:p>
          <w:p w14:paraId="1303B1CB" w14:textId="77777777" w:rsidR="00055850" w:rsidRPr="00055850" w:rsidRDefault="00055850" w:rsidP="00055850">
            <w:pPr>
              <w:pStyle w:val="Body"/>
              <w:spacing w:after="0"/>
              <w:rPr>
                <w:rFonts w:ascii="Arial" w:hAnsi="Arial" w:cs="Arial"/>
                <w:b/>
              </w:rPr>
            </w:pPr>
          </w:p>
        </w:tc>
      </w:tr>
      <w:tr w:rsidR="00055850" w:rsidRPr="00055850" w14:paraId="3253331B" w14:textId="77777777" w:rsidTr="00055850">
        <w:trPr>
          <w:trHeight w:val="262"/>
        </w:trPr>
        <w:tc>
          <w:tcPr>
            <w:tcW w:w="1256" w:type="dxa"/>
            <w:vMerge w:val="restart"/>
          </w:tcPr>
          <w:p w14:paraId="186DC70D" w14:textId="77777777" w:rsidR="00055850" w:rsidRPr="00055850" w:rsidRDefault="00055850" w:rsidP="00055850">
            <w:pPr>
              <w:pStyle w:val="Body"/>
              <w:spacing w:after="0"/>
              <w:rPr>
                <w:rFonts w:ascii="Arial" w:hAnsi="Arial" w:cs="Arial"/>
              </w:rPr>
            </w:pPr>
          </w:p>
          <w:p w14:paraId="467A07FA" w14:textId="77777777" w:rsidR="00055850" w:rsidRPr="00055850" w:rsidRDefault="00055850" w:rsidP="00055850">
            <w:pPr>
              <w:pStyle w:val="Body"/>
              <w:spacing w:after="0"/>
              <w:rPr>
                <w:rFonts w:ascii="Arial" w:hAnsi="Arial" w:cs="Arial"/>
              </w:rPr>
            </w:pPr>
          </w:p>
          <w:p w14:paraId="5290DBE2" w14:textId="77777777" w:rsidR="00055850" w:rsidRPr="00055850" w:rsidRDefault="00055850" w:rsidP="00055850">
            <w:pPr>
              <w:pStyle w:val="Body"/>
              <w:spacing w:after="0"/>
              <w:rPr>
                <w:rFonts w:ascii="Arial" w:hAnsi="Arial" w:cs="Arial"/>
                <w:i/>
              </w:rPr>
            </w:pPr>
            <w:r w:rsidRPr="00055850">
              <w:rPr>
                <w:rFonts w:ascii="Arial" w:hAnsi="Arial" w:cs="Arial"/>
                <w:i/>
              </w:rPr>
              <w:t>C. gigantea</w:t>
            </w:r>
          </w:p>
        </w:tc>
        <w:tc>
          <w:tcPr>
            <w:tcW w:w="1285" w:type="dxa"/>
            <w:vMerge w:val="restart"/>
          </w:tcPr>
          <w:p w14:paraId="1A5053AE" w14:textId="77777777" w:rsidR="00055850" w:rsidRPr="00055850" w:rsidRDefault="00055850" w:rsidP="00055850">
            <w:pPr>
              <w:pStyle w:val="Body"/>
              <w:spacing w:after="0"/>
              <w:rPr>
                <w:rFonts w:ascii="Arial" w:hAnsi="Arial" w:cs="Arial"/>
              </w:rPr>
            </w:pPr>
            <w:r w:rsidRPr="00055850">
              <w:rPr>
                <w:rFonts w:ascii="Arial" w:hAnsi="Arial" w:cs="Arial"/>
              </w:rPr>
              <w:t>Methanol</w:t>
            </w:r>
          </w:p>
          <w:p w14:paraId="16A7073D" w14:textId="77777777" w:rsidR="00055850" w:rsidRPr="00055850" w:rsidRDefault="00055850" w:rsidP="00055850">
            <w:pPr>
              <w:pStyle w:val="Body"/>
              <w:spacing w:after="0"/>
              <w:rPr>
                <w:rFonts w:ascii="Arial" w:hAnsi="Arial" w:cs="Arial"/>
              </w:rPr>
            </w:pPr>
          </w:p>
        </w:tc>
        <w:tc>
          <w:tcPr>
            <w:tcW w:w="1157" w:type="dxa"/>
          </w:tcPr>
          <w:p w14:paraId="20CD7E83" w14:textId="77777777" w:rsidR="00055850" w:rsidRPr="00055850" w:rsidRDefault="00055850" w:rsidP="00055850">
            <w:pPr>
              <w:pStyle w:val="Body"/>
              <w:spacing w:after="0"/>
              <w:rPr>
                <w:rFonts w:ascii="Arial" w:hAnsi="Arial" w:cs="Arial"/>
              </w:rPr>
            </w:pPr>
            <w:r w:rsidRPr="00055850">
              <w:rPr>
                <w:rFonts w:ascii="Arial" w:hAnsi="Arial" w:cs="Arial"/>
              </w:rPr>
              <w:t>Leaf</w:t>
            </w:r>
          </w:p>
        </w:tc>
        <w:tc>
          <w:tcPr>
            <w:tcW w:w="1731" w:type="dxa"/>
          </w:tcPr>
          <w:p w14:paraId="067B28C8" w14:textId="77777777" w:rsidR="00055850" w:rsidRPr="00055850" w:rsidRDefault="00055850" w:rsidP="00055850">
            <w:pPr>
              <w:pStyle w:val="Body"/>
              <w:spacing w:after="0"/>
              <w:rPr>
                <w:rFonts w:ascii="Arial" w:hAnsi="Arial" w:cs="Arial"/>
              </w:rPr>
            </w:pPr>
            <w:r w:rsidRPr="00055850">
              <w:rPr>
                <w:rFonts w:ascii="Arial" w:hAnsi="Arial" w:cs="Arial"/>
              </w:rPr>
              <w:t>MLE</w:t>
            </w:r>
          </w:p>
        </w:tc>
        <w:tc>
          <w:tcPr>
            <w:tcW w:w="1519" w:type="dxa"/>
          </w:tcPr>
          <w:p w14:paraId="3DD8352E" w14:textId="77777777" w:rsidR="00055850" w:rsidRPr="00055850" w:rsidRDefault="00055850" w:rsidP="00055850">
            <w:pPr>
              <w:pStyle w:val="Body"/>
              <w:spacing w:after="0"/>
              <w:rPr>
                <w:rFonts w:ascii="Arial" w:hAnsi="Arial" w:cs="Arial"/>
              </w:rPr>
            </w:pPr>
            <w:r w:rsidRPr="00055850">
              <w:rPr>
                <w:rFonts w:ascii="Arial" w:hAnsi="Arial" w:cs="Arial"/>
              </w:rPr>
              <w:t>150</w:t>
            </w:r>
          </w:p>
        </w:tc>
        <w:tc>
          <w:tcPr>
            <w:tcW w:w="1413" w:type="dxa"/>
          </w:tcPr>
          <w:p w14:paraId="2A7D0C37" w14:textId="77777777" w:rsidR="00055850" w:rsidRPr="00055850" w:rsidRDefault="00055850" w:rsidP="00055850">
            <w:pPr>
              <w:pStyle w:val="Body"/>
              <w:spacing w:after="0"/>
              <w:rPr>
                <w:rFonts w:ascii="Arial" w:hAnsi="Arial" w:cs="Arial"/>
              </w:rPr>
            </w:pPr>
            <w:r w:rsidRPr="00055850">
              <w:rPr>
                <w:rFonts w:ascii="Arial" w:hAnsi="Arial" w:cs="Arial"/>
              </w:rPr>
              <w:t>14</w:t>
            </w:r>
          </w:p>
        </w:tc>
        <w:tc>
          <w:tcPr>
            <w:tcW w:w="1047" w:type="dxa"/>
          </w:tcPr>
          <w:p w14:paraId="1A4A600B" w14:textId="77777777" w:rsidR="00055850" w:rsidRPr="00055850" w:rsidRDefault="00055850" w:rsidP="00055850">
            <w:pPr>
              <w:pStyle w:val="Body"/>
              <w:spacing w:after="0"/>
              <w:rPr>
                <w:rFonts w:ascii="Arial" w:hAnsi="Arial" w:cs="Arial"/>
              </w:rPr>
            </w:pPr>
            <w:r w:rsidRPr="00055850">
              <w:rPr>
                <w:rFonts w:ascii="Arial" w:hAnsi="Arial" w:cs="Arial"/>
              </w:rPr>
              <w:t>9.33%</w:t>
            </w:r>
          </w:p>
        </w:tc>
      </w:tr>
      <w:tr w:rsidR="00055850" w:rsidRPr="00055850" w14:paraId="5EB98C13" w14:textId="77777777" w:rsidTr="00055850">
        <w:trPr>
          <w:trHeight w:val="230"/>
        </w:trPr>
        <w:tc>
          <w:tcPr>
            <w:tcW w:w="1256" w:type="dxa"/>
            <w:vMerge/>
          </w:tcPr>
          <w:p w14:paraId="3CDC539F" w14:textId="77777777" w:rsidR="00055850" w:rsidRPr="00055850" w:rsidRDefault="00055850" w:rsidP="00055850">
            <w:pPr>
              <w:pStyle w:val="Body"/>
              <w:spacing w:after="0"/>
              <w:rPr>
                <w:rFonts w:ascii="Arial" w:hAnsi="Arial" w:cs="Arial"/>
              </w:rPr>
            </w:pPr>
          </w:p>
        </w:tc>
        <w:tc>
          <w:tcPr>
            <w:tcW w:w="1285" w:type="dxa"/>
            <w:vMerge/>
          </w:tcPr>
          <w:p w14:paraId="6B80D92B" w14:textId="77777777" w:rsidR="00055850" w:rsidRPr="00055850" w:rsidRDefault="00055850" w:rsidP="00055850">
            <w:pPr>
              <w:pStyle w:val="Body"/>
              <w:spacing w:after="0"/>
              <w:rPr>
                <w:rFonts w:ascii="Arial" w:hAnsi="Arial" w:cs="Arial"/>
              </w:rPr>
            </w:pPr>
          </w:p>
        </w:tc>
        <w:tc>
          <w:tcPr>
            <w:tcW w:w="1157" w:type="dxa"/>
          </w:tcPr>
          <w:p w14:paraId="491841BA" w14:textId="77777777" w:rsidR="00055850" w:rsidRPr="00055850" w:rsidRDefault="00055850" w:rsidP="00055850">
            <w:pPr>
              <w:pStyle w:val="Body"/>
              <w:spacing w:after="0"/>
              <w:rPr>
                <w:rFonts w:ascii="Arial" w:hAnsi="Arial" w:cs="Arial"/>
              </w:rPr>
            </w:pPr>
            <w:r w:rsidRPr="00055850">
              <w:rPr>
                <w:rFonts w:ascii="Arial" w:hAnsi="Arial" w:cs="Arial"/>
              </w:rPr>
              <w:t>Flower</w:t>
            </w:r>
          </w:p>
        </w:tc>
        <w:tc>
          <w:tcPr>
            <w:tcW w:w="1731" w:type="dxa"/>
          </w:tcPr>
          <w:p w14:paraId="429E6732" w14:textId="77777777" w:rsidR="00055850" w:rsidRPr="00055850" w:rsidRDefault="00055850" w:rsidP="00055850">
            <w:pPr>
              <w:pStyle w:val="Body"/>
              <w:spacing w:after="0"/>
              <w:rPr>
                <w:rFonts w:ascii="Arial" w:hAnsi="Arial" w:cs="Arial"/>
              </w:rPr>
            </w:pPr>
            <w:r w:rsidRPr="00055850">
              <w:rPr>
                <w:rFonts w:ascii="Arial" w:hAnsi="Arial" w:cs="Arial"/>
              </w:rPr>
              <w:t>MFE</w:t>
            </w:r>
          </w:p>
        </w:tc>
        <w:tc>
          <w:tcPr>
            <w:tcW w:w="1519" w:type="dxa"/>
          </w:tcPr>
          <w:p w14:paraId="51E9AED9" w14:textId="77777777" w:rsidR="00055850" w:rsidRPr="00055850" w:rsidRDefault="00055850" w:rsidP="00055850">
            <w:pPr>
              <w:pStyle w:val="Body"/>
              <w:spacing w:after="0"/>
              <w:rPr>
                <w:rFonts w:ascii="Arial" w:hAnsi="Arial" w:cs="Arial"/>
              </w:rPr>
            </w:pPr>
            <w:r w:rsidRPr="00055850">
              <w:rPr>
                <w:rFonts w:ascii="Arial" w:hAnsi="Arial" w:cs="Arial"/>
              </w:rPr>
              <w:t>25</w:t>
            </w:r>
          </w:p>
        </w:tc>
        <w:tc>
          <w:tcPr>
            <w:tcW w:w="1413" w:type="dxa"/>
          </w:tcPr>
          <w:p w14:paraId="0CE591D4" w14:textId="77777777" w:rsidR="00055850" w:rsidRPr="00055850" w:rsidRDefault="00055850" w:rsidP="00055850">
            <w:pPr>
              <w:pStyle w:val="Body"/>
              <w:spacing w:after="0"/>
              <w:rPr>
                <w:rFonts w:ascii="Arial" w:hAnsi="Arial" w:cs="Arial"/>
              </w:rPr>
            </w:pPr>
            <w:r w:rsidRPr="00055850">
              <w:rPr>
                <w:rFonts w:ascii="Arial" w:hAnsi="Arial" w:cs="Arial"/>
              </w:rPr>
              <w:t>2.05</w:t>
            </w:r>
          </w:p>
        </w:tc>
        <w:tc>
          <w:tcPr>
            <w:tcW w:w="1047" w:type="dxa"/>
          </w:tcPr>
          <w:p w14:paraId="5E182112" w14:textId="77777777" w:rsidR="00055850" w:rsidRPr="00055850" w:rsidRDefault="00055850" w:rsidP="00055850">
            <w:pPr>
              <w:pStyle w:val="Body"/>
              <w:spacing w:after="0"/>
              <w:rPr>
                <w:rFonts w:ascii="Arial" w:hAnsi="Arial" w:cs="Arial"/>
              </w:rPr>
            </w:pPr>
            <w:r w:rsidRPr="00055850">
              <w:rPr>
                <w:rFonts w:ascii="Arial" w:hAnsi="Arial" w:cs="Arial"/>
              </w:rPr>
              <w:t>8.2%</w:t>
            </w:r>
          </w:p>
        </w:tc>
      </w:tr>
      <w:tr w:rsidR="00055850" w:rsidRPr="00055850" w14:paraId="57FD06CD" w14:textId="77777777" w:rsidTr="00055850">
        <w:trPr>
          <w:trHeight w:val="314"/>
        </w:trPr>
        <w:tc>
          <w:tcPr>
            <w:tcW w:w="1256" w:type="dxa"/>
            <w:vMerge/>
          </w:tcPr>
          <w:p w14:paraId="0F3F9B42" w14:textId="77777777" w:rsidR="00055850" w:rsidRPr="00055850" w:rsidRDefault="00055850" w:rsidP="00055850">
            <w:pPr>
              <w:pStyle w:val="Body"/>
              <w:spacing w:after="0"/>
              <w:rPr>
                <w:rFonts w:ascii="Arial" w:hAnsi="Arial" w:cs="Arial"/>
              </w:rPr>
            </w:pPr>
          </w:p>
        </w:tc>
        <w:tc>
          <w:tcPr>
            <w:tcW w:w="1285" w:type="dxa"/>
            <w:vMerge/>
          </w:tcPr>
          <w:p w14:paraId="1633EB1A" w14:textId="77777777" w:rsidR="00055850" w:rsidRPr="00055850" w:rsidRDefault="00055850" w:rsidP="00055850">
            <w:pPr>
              <w:pStyle w:val="Body"/>
              <w:spacing w:after="0"/>
              <w:rPr>
                <w:rFonts w:ascii="Arial" w:hAnsi="Arial" w:cs="Arial"/>
              </w:rPr>
            </w:pPr>
          </w:p>
        </w:tc>
        <w:tc>
          <w:tcPr>
            <w:tcW w:w="1157" w:type="dxa"/>
          </w:tcPr>
          <w:p w14:paraId="60CEF9CB" w14:textId="77777777" w:rsidR="00055850" w:rsidRPr="00055850" w:rsidRDefault="00055850" w:rsidP="00055850">
            <w:pPr>
              <w:pStyle w:val="Body"/>
              <w:spacing w:after="0"/>
              <w:rPr>
                <w:rFonts w:ascii="Arial" w:hAnsi="Arial" w:cs="Arial"/>
              </w:rPr>
            </w:pPr>
            <w:r w:rsidRPr="00055850">
              <w:rPr>
                <w:rFonts w:ascii="Arial" w:hAnsi="Arial" w:cs="Arial"/>
              </w:rPr>
              <w:t>Latex</w:t>
            </w:r>
          </w:p>
        </w:tc>
        <w:tc>
          <w:tcPr>
            <w:tcW w:w="1731" w:type="dxa"/>
          </w:tcPr>
          <w:p w14:paraId="7F51C72B" w14:textId="77777777" w:rsidR="00055850" w:rsidRPr="00055850" w:rsidRDefault="00055850" w:rsidP="00055850">
            <w:pPr>
              <w:pStyle w:val="Body"/>
              <w:spacing w:after="0"/>
              <w:rPr>
                <w:rFonts w:ascii="Arial" w:hAnsi="Arial" w:cs="Arial"/>
              </w:rPr>
            </w:pPr>
            <w:r w:rsidRPr="00055850">
              <w:rPr>
                <w:rFonts w:ascii="Arial" w:hAnsi="Arial" w:cs="Arial"/>
              </w:rPr>
              <w:t>MLAE</w:t>
            </w:r>
          </w:p>
        </w:tc>
        <w:tc>
          <w:tcPr>
            <w:tcW w:w="1519" w:type="dxa"/>
          </w:tcPr>
          <w:p w14:paraId="7F52C86F" w14:textId="77777777" w:rsidR="00055850" w:rsidRPr="00055850" w:rsidRDefault="00055850" w:rsidP="00055850">
            <w:pPr>
              <w:pStyle w:val="Body"/>
              <w:spacing w:after="0"/>
              <w:rPr>
                <w:rFonts w:ascii="Arial" w:hAnsi="Arial" w:cs="Arial"/>
              </w:rPr>
            </w:pPr>
            <w:r w:rsidRPr="00055850">
              <w:rPr>
                <w:rFonts w:ascii="Arial" w:hAnsi="Arial" w:cs="Arial"/>
              </w:rPr>
              <w:t>6</w:t>
            </w:r>
          </w:p>
        </w:tc>
        <w:tc>
          <w:tcPr>
            <w:tcW w:w="1413" w:type="dxa"/>
          </w:tcPr>
          <w:p w14:paraId="25E0486E" w14:textId="77777777" w:rsidR="00055850" w:rsidRPr="00055850" w:rsidRDefault="00055850" w:rsidP="00055850">
            <w:pPr>
              <w:pStyle w:val="Body"/>
              <w:spacing w:after="0"/>
              <w:rPr>
                <w:rFonts w:ascii="Arial" w:hAnsi="Arial" w:cs="Arial"/>
              </w:rPr>
            </w:pPr>
            <w:r w:rsidRPr="00055850">
              <w:rPr>
                <w:rFonts w:ascii="Arial" w:hAnsi="Arial" w:cs="Arial"/>
              </w:rPr>
              <w:t>0.08</w:t>
            </w:r>
          </w:p>
        </w:tc>
        <w:tc>
          <w:tcPr>
            <w:tcW w:w="1047" w:type="dxa"/>
          </w:tcPr>
          <w:p w14:paraId="2847726A" w14:textId="77777777" w:rsidR="00055850" w:rsidRPr="00055850" w:rsidRDefault="00055850" w:rsidP="00055850">
            <w:pPr>
              <w:pStyle w:val="Body"/>
              <w:spacing w:after="0"/>
              <w:rPr>
                <w:rFonts w:ascii="Arial" w:hAnsi="Arial" w:cs="Arial"/>
              </w:rPr>
            </w:pPr>
            <w:r w:rsidRPr="00055850">
              <w:rPr>
                <w:rFonts w:ascii="Arial" w:hAnsi="Arial" w:cs="Arial"/>
              </w:rPr>
              <w:t>1.33%</w:t>
            </w:r>
          </w:p>
        </w:tc>
      </w:tr>
      <w:tr w:rsidR="00055850" w:rsidRPr="00055850" w14:paraId="349AA1FC" w14:textId="77777777" w:rsidTr="00055850">
        <w:trPr>
          <w:trHeight w:val="301"/>
        </w:trPr>
        <w:tc>
          <w:tcPr>
            <w:tcW w:w="1256" w:type="dxa"/>
            <w:vMerge/>
          </w:tcPr>
          <w:p w14:paraId="20FACC74" w14:textId="77777777" w:rsidR="00055850" w:rsidRPr="00055850" w:rsidRDefault="00055850" w:rsidP="00055850">
            <w:pPr>
              <w:pStyle w:val="Body"/>
              <w:spacing w:after="0"/>
              <w:rPr>
                <w:rFonts w:ascii="Arial" w:hAnsi="Arial" w:cs="Arial"/>
              </w:rPr>
            </w:pPr>
          </w:p>
        </w:tc>
        <w:tc>
          <w:tcPr>
            <w:tcW w:w="1285" w:type="dxa"/>
            <w:vMerge w:val="restart"/>
          </w:tcPr>
          <w:p w14:paraId="508239C8" w14:textId="77777777" w:rsidR="00055850" w:rsidRPr="00055850" w:rsidRDefault="00055850" w:rsidP="00055850">
            <w:pPr>
              <w:pStyle w:val="Body"/>
              <w:spacing w:after="0"/>
              <w:rPr>
                <w:rFonts w:ascii="Arial" w:hAnsi="Arial" w:cs="Arial"/>
              </w:rPr>
            </w:pPr>
            <w:r w:rsidRPr="00055850">
              <w:rPr>
                <w:rFonts w:ascii="Arial" w:hAnsi="Arial" w:cs="Arial"/>
              </w:rPr>
              <w:t>Ethyl acetate</w:t>
            </w:r>
          </w:p>
          <w:p w14:paraId="2EEF9DFA" w14:textId="77777777" w:rsidR="00055850" w:rsidRPr="00055850" w:rsidRDefault="00055850" w:rsidP="00055850">
            <w:pPr>
              <w:pStyle w:val="Body"/>
              <w:spacing w:after="0"/>
              <w:rPr>
                <w:rFonts w:ascii="Arial" w:hAnsi="Arial" w:cs="Arial"/>
              </w:rPr>
            </w:pPr>
          </w:p>
        </w:tc>
        <w:tc>
          <w:tcPr>
            <w:tcW w:w="1157" w:type="dxa"/>
          </w:tcPr>
          <w:p w14:paraId="398C3E03" w14:textId="77777777" w:rsidR="00055850" w:rsidRPr="00055850" w:rsidRDefault="00055850" w:rsidP="00055850">
            <w:pPr>
              <w:pStyle w:val="Body"/>
              <w:spacing w:after="0"/>
              <w:rPr>
                <w:rFonts w:ascii="Arial" w:hAnsi="Arial" w:cs="Arial"/>
              </w:rPr>
            </w:pPr>
            <w:r w:rsidRPr="00055850">
              <w:rPr>
                <w:rFonts w:ascii="Arial" w:hAnsi="Arial" w:cs="Arial"/>
              </w:rPr>
              <w:t>Leaf</w:t>
            </w:r>
          </w:p>
        </w:tc>
        <w:tc>
          <w:tcPr>
            <w:tcW w:w="1731" w:type="dxa"/>
          </w:tcPr>
          <w:p w14:paraId="5433C9C9" w14:textId="77777777" w:rsidR="00055850" w:rsidRPr="00055850" w:rsidRDefault="00055850" w:rsidP="00055850">
            <w:pPr>
              <w:pStyle w:val="Body"/>
              <w:spacing w:after="0"/>
              <w:rPr>
                <w:rFonts w:ascii="Arial" w:hAnsi="Arial" w:cs="Arial"/>
              </w:rPr>
            </w:pPr>
            <w:r w:rsidRPr="00055850">
              <w:rPr>
                <w:rFonts w:ascii="Arial" w:hAnsi="Arial" w:cs="Arial"/>
              </w:rPr>
              <w:t>EALE</w:t>
            </w:r>
          </w:p>
        </w:tc>
        <w:tc>
          <w:tcPr>
            <w:tcW w:w="1519" w:type="dxa"/>
          </w:tcPr>
          <w:p w14:paraId="61D115E9" w14:textId="77777777" w:rsidR="00055850" w:rsidRPr="00055850" w:rsidRDefault="00055850" w:rsidP="00055850">
            <w:pPr>
              <w:pStyle w:val="Body"/>
              <w:spacing w:after="0"/>
              <w:rPr>
                <w:rFonts w:ascii="Arial" w:hAnsi="Arial" w:cs="Arial"/>
              </w:rPr>
            </w:pPr>
            <w:r w:rsidRPr="00055850">
              <w:rPr>
                <w:rFonts w:ascii="Arial" w:hAnsi="Arial" w:cs="Arial"/>
              </w:rPr>
              <w:t>150</w:t>
            </w:r>
          </w:p>
        </w:tc>
        <w:tc>
          <w:tcPr>
            <w:tcW w:w="1413" w:type="dxa"/>
          </w:tcPr>
          <w:p w14:paraId="2D426915" w14:textId="77777777" w:rsidR="00055850" w:rsidRPr="00055850" w:rsidRDefault="00055850" w:rsidP="00055850">
            <w:pPr>
              <w:pStyle w:val="Body"/>
              <w:spacing w:after="0"/>
              <w:rPr>
                <w:rFonts w:ascii="Arial" w:hAnsi="Arial" w:cs="Arial"/>
              </w:rPr>
            </w:pPr>
            <w:r w:rsidRPr="00055850">
              <w:rPr>
                <w:rFonts w:ascii="Arial" w:hAnsi="Arial" w:cs="Arial"/>
              </w:rPr>
              <w:t>9</w:t>
            </w:r>
          </w:p>
        </w:tc>
        <w:tc>
          <w:tcPr>
            <w:tcW w:w="1047" w:type="dxa"/>
          </w:tcPr>
          <w:p w14:paraId="67C61182" w14:textId="77777777" w:rsidR="00055850" w:rsidRPr="00055850" w:rsidRDefault="00055850" w:rsidP="00055850">
            <w:pPr>
              <w:pStyle w:val="Body"/>
              <w:spacing w:after="0"/>
              <w:rPr>
                <w:rFonts w:ascii="Arial" w:hAnsi="Arial" w:cs="Arial"/>
              </w:rPr>
            </w:pPr>
            <w:r w:rsidRPr="00055850">
              <w:rPr>
                <w:rFonts w:ascii="Arial" w:hAnsi="Arial" w:cs="Arial"/>
              </w:rPr>
              <w:t>6%</w:t>
            </w:r>
          </w:p>
        </w:tc>
      </w:tr>
      <w:tr w:rsidR="00055850" w:rsidRPr="00055850" w14:paraId="32744EFE" w14:textId="77777777" w:rsidTr="00055850">
        <w:trPr>
          <w:trHeight w:val="279"/>
        </w:trPr>
        <w:tc>
          <w:tcPr>
            <w:tcW w:w="1256" w:type="dxa"/>
            <w:vMerge/>
          </w:tcPr>
          <w:p w14:paraId="2B4520C2" w14:textId="77777777" w:rsidR="00055850" w:rsidRPr="00055850" w:rsidRDefault="00055850" w:rsidP="00055850">
            <w:pPr>
              <w:pStyle w:val="Body"/>
              <w:spacing w:after="0"/>
              <w:rPr>
                <w:rFonts w:ascii="Arial" w:hAnsi="Arial" w:cs="Arial"/>
              </w:rPr>
            </w:pPr>
          </w:p>
        </w:tc>
        <w:tc>
          <w:tcPr>
            <w:tcW w:w="1285" w:type="dxa"/>
            <w:vMerge/>
          </w:tcPr>
          <w:p w14:paraId="16066EA6" w14:textId="77777777" w:rsidR="00055850" w:rsidRPr="00055850" w:rsidRDefault="00055850" w:rsidP="00055850">
            <w:pPr>
              <w:pStyle w:val="Body"/>
              <w:spacing w:after="0"/>
              <w:rPr>
                <w:rFonts w:ascii="Arial" w:hAnsi="Arial" w:cs="Arial"/>
              </w:rPr>
            </w:pPr>
          </w:p>
        </w:tc>
        <w:tc>
          <w:tcPr>
            <w:tcW w:w="1157" w:type="dxa"/>
          </w:tcPr>
          <w:p w14:paraId="0FCF8450" w14:textId="77777777" w:rsidR="00055850" w:rsidRPr="00055850" w:rsidRDefault="00055850" w:rsidP="00055850">
            <w:pPr>
              <w:pStyle w:val="Body"/>
              <w:spacing w:after="0"/>
              <w:rPr>
                <w:rFonts w:ascii="Arial" w:hAnsi="Arial" w:cs="Arial"/>
              </w:rPr>
            </w:pPr>
            <w:r w:rsidRPr="00055850">
              <w:rPr>
                <w:rFonts w:ascii="Arial" w:hAnsi="Arial" w:cs="Arial"/>
              </w:rPr>
              <w:t>Flower</w:t>
            </w:r>
          </w:p>
        </w:tc>
        <w:tc>
          <w:tcPr>
            <w:tcW w:w="1731" w:type="dxa"/>
          </w:tcPr>
          <w:p w14:paraId="2713B8C5" w14:textId="77777777" w:rsidR="00055850" w:rsidRPr="00055850" w:rsidRDefault="00055850" w:rsidP="00055850">
            <w:pPr>
              <w:pStyle w:val="Body"/>
              <w:spacing w:after="0"/>
              <w:rPr>
                <w:rFonts w:ascii="Arial" w:hAnsi="Arial" w:cs="Arial"/>
              </w:rPr>
            </w:pPr>
            <w:r w:rsidRPr="00055850">
              <w:rPr>
                <w:rFonts w:ascii="Arial" w:hAnsi="Arial" w:cs="Arial"/>
              </w:rPr>
              <w:t>EAFE</w:t>
            </w:r>
          </w:p>
        </w:tc>
        <w:tc>
          <w:tcPr>
            <w:tcW w:w="1519" w:type="dxa"/>
          </w:tcPr>
          <w:p w14:paraId="3AA430E3" w14:textId="77777777" w:rsidR="00055850" w:rsidRPr="00055850" w:rsidRDefault="00055850" w:rsidP="00055850">
            <w:pPr>
              <w:pStyle w:val="Body"/>
              <w:spacing w:after="0"/>
              <w:rPr>
                <w:rFonts w:ascii="Arial" w:hAnsi="Arial" w:cs="Arial"/>
              </w:rPr>
            </w:pPr>
            <w:r w:rsidRPr="00055850">
              <w:rPr>
                <w:rFonts w:ascii="Arial" w:hAnsi="Arial" w:cs="Arial"/>
              </w:rPr>
              <w:t>25</w:t>
            </w:r>
          </w:p>
        </w:tc>
        <w:tc>
          <w:tcPr>
            <w:tcW w:w="1413" w:type="dxa"/>
          </w:tcPr>
          <w:p w14:paraId="47F44DB4" w14:textId="77777777" w:rsidR="00055850" w:rsidRPr="00055850" w:rsidRDefault="00055850" w:rsidP="00055850">
            <w:pPr>
              <w:pStyle w:val="Body"/>
              <w:spacing w:after="0"/>
              <w:rPr>
                <w:rFonts w:ascii="Arial" w:hAnsi="Arial" w:cs="Arial"/>
              </w:rPr>
            </w:pPr>
            <w:r w:rsidRPr="00055850">
              <w:rPr>
                <w:rFonts w:ascii="Arial" w:hAnsi="Arial" w:cs="Arial"/>
              </w:rPr>
              <w:t>1.78</w:t>
            </w:r>
          </w:p>
        </w:tc>
        <w:tc>
          <w:tcPr>
            <w:tcW w:w="1047" w:type="dxa"/>
          </w:tcPr>
          <w:p w14:paraId="0255D90C" w14:textId="77777777" w:rsidR="00055850" w:rsidRPr="00055850" w:rsidRDefault="00055850" w:rsidP="00055850">
            <w:pPr>
              <w:pStyle w:val="Body"/>
              <w:spacing w:after="0"/>
              <w:rPr>
                <w:rFonts w:ascii="Arial" w:hAnsi="Arial" w:cs="Arial"/>
              </w:rPr>
            </w:pPr>
            <w:r w:rsidRPr="00055850">
              <w:rPr>
                <w:rFonts w:ascii="Arial" w:hAnsi="Arial" w:cs="Arial"/>
              </w:rPr>
              <w:t>7.12%</w:t>
            </w:r>
          </w:p>
        </w:tc>
      </w:tr>
      <w:tr w:rsidR="00055850" w:rsidRPr="00055850" w14:paraId="55098416" w14:textId="77777777" w:rsidTr="00055850">
        <w:trPr>
          <w:trHeight w:val="287"/>
        </w:trPr>
        <w:tc>
          <w:tcPr>
            <w:tcW w:w="1256" w:type="dxa"/>
            <w:vMerge/>
          </w:tcPr>
          <w:p w14:paraId="33073181" w14:textId="77777777" w:rsidR="00055850" w:rsidRPr="00055850" w:rsidRDefault="00055850" w:rsidP="00055850">
            <w:pPr>
              <w:pStyle w:val="Body"/>
              <w:spacing w:after="0"/>
              <w:rPr>
                <w:rFonts w:ascii="Arial" w:hAnsi="Arial" w:cs="Arial"/>
              </w:rPr>
            </w:pPr>
          </w:p>
        </w:tc>
        <w:tc>
          <w:tcPr>
            <w:tcW w:w="1285" w:type="dxa"/>
            <w:vMerge/>
          </w:tcPr>
          <w:p w14:paraId="3602FA6E" w14:textId="77777777" w:rsidR="00055850" w:rsidRPr="00055850" w:rsidRDefault="00055850" w:rsidP="00055850">
            <w:pPr>
              <w:pStyle w:val="Body"/>
              <w:spacing w:after="0"/>
              <w:rPr>
                <w:rFonts w:ascii="Arial" w:hAnsi="Arial" w:cs="Arial"/>
              </w:rPr>
            </w:pPr>
          </w:p>
        </w:tc>
        <w:tc>
          <w:tcPr>
            <w:tcW w:w="1157" w:type="dxa"/>
          </w:tcPr>
          <w:p w14:paraId="2B4E1C43" w14:textId="77777777" w:rsidR="00055850" w:rsidRPr="00055850" w:rsidRDefault="00055850" w:rsidP="00055850">
            <w:pPr>
              <w:pStyle w:val="Body"/>
              <w:spacing w:after="0"/>
              <w:rPr>
                <w:rFonts w:ascii="Arial" w:hAnsi="Arial" w:cs="Arial"/>
              </w:rPr>
            </w:pPr>
            <w:r w:rsidRPr="00055850">
              <w:rPr>
                <w:rFonts w:ascii="Arial" w:hAnsi="Arial" w:cs="Arial"/>
              </w:rPr>
              <w:t>Latex</w:t>
            </w:r>
          </w:p>
        </w:tc>
        <w:tc>
          <w:tcPr>
            <w:tcW w:w="1731" w:type="dxa"/>
          </w:tcPr>
          <w:p w14:paraId="6E9F090F" w14:textId="77777777" w:rsidR="00055850" w:rsidRPr="00055850" w:rsidRDefault="00055850" w:rsidP="00055850">
            <w:pPr>
              <w:pStyle w:val="Body"/>
              <w:spacing w:after="0"/>
              <w:rPr>
                <w:rFonts w:ascii="Arial" w:hAnsi="Arial" w:cs="Arial"/>
              </w:rPr>
            </w:pPr>
            <w:r w:rsidRPr="00055850">
              <w:rPr>
                <w:rFonts w:ascii="Arial" w:hAnsi="Arial" w:cs="Arial"/>
              </w:rPr>
              <w:t>EALAE</w:t>
            </w:r>
          </w:p>
        </w:tc>
        <w:tc>
          <w:tcPr>
            <w:tcW w:w="1519" w:type="dxa"/>
          </w:tcPr>
          <w:p w14:paraId="662B72AB" w14:textId="77777777" w:rsidR="00055850" w:rsidRPr="00055850" w:rsidRDefault="00055850" w:rsidP="00055850">
            <w:pPr>
              <w:pStyle w:val="Body"/>
              <w:spacing w:after="0"/>
              <w:rPr>
                <w:rFonts w:ascii="Arial" w:hAnsi="Arial" w:cs="Arial"/>
              </w:rPr>
            </w:pPr>
            <w:r w:rsidRPr="00055850">
              <w:rPr>
                <w:rFonts w:ascii="Arial" w:hAnsi="Arial" w:cs="Arial"/>
              </w:rPr>
              <w:t>6</w:t>
            </w:r>
          </w:p>
        </w:tc>
        <w:tc>
          <w:tcPr>
            <w:tcW w:w="1413" w:type="dxa"/>
          </w:tcPr>
          <w:p w14:paraId="2BDAEB74" w14:textId="77777777" w:rsidR="00055850" w:rsidRPr="00055850" w:rsidRDefault="00055850" w:rsidP="00055850">
            <w:pPr>
              <w:pStyle w:val="Body"/>
              <w:spacing w:after="0"/>
              <w:rPr>
                <w:rFonts w:ascii="Arial" w:hAnsi="Arial" w:cs="Arial"/>
              </w:rPr>
            </w:pPr>
            <w:r w:rsidRPr="00055850">
              <w:rPr>
                <w:rFonts w:ascii="Arial" w:hAnsi="Arial" w:cs="Arial"/>
              </w:rPr>
              <w:t>0.2</w:t>
            </w:r>
          </w:p>
        </w:tc>
        <w:tc>
          <w:tcPr>
            <w:tcW w:w="1047" w:type="dxa"/>
          </w:tcPr>
          <w:p w14:paraId="0887991C" w14:textId="77777777" w:rsidR="00055850" w:rsidRPr="00055850" w:rsidRDefault="00055850" w:rsidP="00055850">
            <w:pPr>
              <w:pStyle w:val="Body"/>
              <w:spacing w:after="0"/>
              <w:rPr>
                <w:rFonts w:ascii="Arial" w:hAnsi="Arial" w:cs="Arial"/>
              </w:rPr>
            </w:pPr>
            <w:r w:rsidRPr="00055850">
              <w:rPr>
                <w:rFonts w:ascii="Arial" w:hAnsi="Arial" w:cs="Arial"/>
              </w:rPr>
              <w:t>3.33%</w:t>
            </w:r>
          </w:p>
        </w:tc>
      </w:tr>
    </w:tbl>
    <w:p w14:paraId="691D33AE" w14:textId="77777777" w:rsidR="00055850" w:rsidRPr="00055850" w:rsidRDefault="00055850" w:rsidP="00055850">
      <w:pPr>
        <w:pStyle w:val="Body"/>
        <w:rPr>
          <w:rFonts w:ascii="Arial" w:hAnsi="Arial" w:cs="Arial"/>
        </w:rPr>
      </w:pPr>
      <w:bookmarkStart w:id="17" w:name="_Toc151413657"/>
    </w:p>
    <w:p w14:paraId="20548570" w14:textId="77777777" w:rsidR="00055850" w:rsidRPr="00055850" w:rsidRDefault="00055850" w:rsidP="00055850">
      <w:pPr>
        <w:pStyle w:val="Body"/>
        <w:rPr>
          <w:rFonts w:ascii="Arial" w:hAnsi="Arial" w:cs="Arial"/>
          <w:b/>
          <w:bCs/>
          <w:sz w:val="22"/>
          <w:szCs w:val="22"/>
        </w:rPr>
      </w:pPr>
      <w:r w:rsidRPr="00055850">
        <w:rPr>
          <w:rFonts w:ascii="Arial" w:hAnsi="Arial" w:cs="Arial"/>
          <w:b/>
          <w:bCs/>
          <w:sz w:val="22"/>
          <w:szCs w:val="22"/>
        </w:rPr>
        <w:t>3.2 Phytochemical analysis</w:t>
      </w:r>
      <w:bookmarkEnd w:id="17"/>
    </w:p>
    <w:p w14:paraId="658FCA64" w14:textId="77777777" w:rsidR="00055850" w:rsidRDefault="00055850" w:rsidP="00055850">
      <w:pPr>
        <w:pStyle w:val="Body"/>
        <w:spacing w:after="0"/>
        <w:rPr>
          <w:rFonts w:ascii="Arial" w:hAnsi="Arial" w:cs="Arial"/>
        </w:rPr>
      </w:pPr>
      <w:r w:rsidRPr="00055850">
        <w:rPr>
          <w:rFonts w:ascii="Arial" w:hAnsi="Arial" w:cs="Arial"/>
        </w:rPr>
        <w:t xml:space="preserve">The methanol and ethyl acetate extracts of </w:t>
      </w:r>
      <w:r w:rsidRPr="00055850">
        <w:rPr>
          <w:rFonts w:ascii="Arial" w:hAnsi="Arial" w:cs="Arial"/>
          <w:i/>
          <w:iCs/>
        </w:rPr>
        <w:t>C. gigantea</w:t>
      </w:r>
      <w:r w:rsidRPr="00055850">
        <w:rPr>
          <w:rFonts w:ascii="Arial" w:hAnsi="Arial" w:cs="Arial"/>
        </w:rPr>
        <w:t xml:space="preserve"> leaves, latex, and flowers were used in a variety of phytochemical experiments. To check the existence of several active principles or phytochemical elements, such as steroids, alkaloids, glycosides, flavonoids, tannins, and saponins, they were exposed to phytochemical analysis displayed in the </w:t>
      </w:r>
      <w:r>
        <w:rPr>
          <w:rFonts w:ascii="Arial" w:hAnsi="Arial" w:cs="Arial"/>
        </w:rPr>
        <w:t xml:space="preserve">table below. </w:t>
      </w:r>
      <w:r w:rsidRPr="00055850">
        <w:rPr>
          <w:rFonts w:ascii="Arial" w:hAnsi="Arial" w:cs="Arial"/>
        </w:rPr>
        <w:t xml:space="preserve"> </w:t>
      </w:r>
    </w:p>
    <w:p w14:paraId="58543AB7" w14:textId="77777777" w:rsidR="00055850" w:rsidRPr="00055850" w:rsidRDefault="00055850" w:rsidP="00055850">
      <w:pPr>
        <w:pStyle w:val="Body"/>
        <w:spacing w:after="0"/>
        <w:rPr>
          <w:rFonts w:ascii="Arial" w:hAnsi="Arial" w:cs="Arial"/>
        </w:rPr>
      </w:pPr>
    </w:p>
    <w:p w14:paraId="325D56E6" w14:textId="77777777" w:rsidR="00055850" w:rsidRPr="00055850" w:rsidRDefault="00055850" w:rsidP="00055850">
      <w:pPr>
        <w:pStyle w:val="Body"/>
        <w:spacing w:after="0"/>
        <w:rPr>
          <w:rFonts w:ascii="Arial" w:hAnsi="Arial" w:cs="Arial"/>
          <w:b/>
          <w:bCs/>
        </w:rPr>
      </w:pPr>
      <w:bookmarkStart w:id="18" w:name="_Toc151220422"/>
      <w:bookmarkStart w:id="19" w:name="_Toc151220916"/>
      <w:r w:rsidRPr="00055850">
        <w:rPr>
          <w:rFonts w:ascii="Arial" w:hAnsi="Arial" w:cs="Arial"/>
          <w:b/>
          <w:bCs/>
        </w:rPr>
        <w:t xml:space="preserve">Table </w:t>
      </w:r>
      <w:r w:rsidRPr="00055850">
        <w:rPr>
          <w:rFonts w:ascii="Arial" w:hAnsi="Arial" w:cs="Arial"/>
          <w:b/>
          <w:bCs/>
        </w:rPr>
        <w:fldChar w:fldCharType="begin"/>
      </w:r>
      <w:r w:rsidRPr="00055850">
        <w:rPr>
          <w:rFonts w:ascii="Arial" w:hAnsi="Arial" w:cs="Arial"/>
          <w:b/>
          <w:bCs/>
        </w:rPr>
        <w:instrText xml:space="preserve"> SEQ Table \* ARABIC </w:instrText>
      </w:r>
      <w:r w:rsidRPr="00055850">
        <w:rPr>
          <w:rFonts w:ascii="Arial" w:hAnsi="Arial" w:cs="Arial"/>
          <w:b/>
          <w:bCs/>
        </w:rPr>
        <w:fldChar w:fldCharType="separate"/>
      </w:r>
      <w:r w:rsidRPr="00055850">
        <w:rPr>
          <w:rFonts w:ascii="Arial" w:hAnsi="Arial" w:cs="Arial"/>
          <w:b/>
          <w:bCs/>
        </w:rPr>
        <w:t>3</w:t>
      </w:r>
      <w:r w:rsidRPr="00055850">
        <w:rPr>
          <w:rFonts w:ascii="Arial" w:hAnsi="Arial" w:cs="Arial"/>
        </w:rPr>
        <w:fldChar w:fldCharType="end"/>
      </w:r>
      <w:r w:rsidR="005E4952">
        <w:rPr>
          <w:rFonts w:ascii="Arial" w:hAnsi="Arial" w:cs="Arial"/>
          <w:b/>
          <w:bCs/>
        </w:rPr>
        <w:t>.</w:t>
      </w:r>
      <w:r w:rsidRPr="00055850">
        <w:rPr>
          <w:rFonts w:ascii="Arial" w:hAnsi="Arial" w:cs="Arial"/>
          <w:b/>
          <w:bCs/>
        </w:rPr>
        <w:t xml:space="preserve"> </w:t>
      </w:r>
      <w:r w:rsidRPr="00055850">
        <w:rPr>
          <w:rFonts w:ascii="Arial" w:hAnsi="Arial" w:cs="Arial"/>
        </w:rPr>
        <w:t xml:space="preserve">Phytochemical Screening of </w:t>
      </w:r>
      <w:r w:rsidRPr="00055850">
        <w:rPr>
          <w:rFonts w:ascii="Arial" w:hAnsi="Arial" w:cs="Arial"/>
          <w:i/>
          <w:iCs/>
        </w:rPr>
        <w:t>C. gigantea</w:t>
      </w:r>
      <w:r w:rsidRPr="00055850">
        <w:rPr>
          <w:rFonts w:ascii="Arial" w:hAnsi="Arial" w:cs="Arial"/>
        </w:rPr>
        <w:t xml:space="preserve"> Leaf, Latex, and Flower</w:t>
      </w:r>
    </w:p>
    <w:tbl>
      <w:tblPr>
        <w:tblW w:w="5000" w:type="pct"/>
        <w:tblLook w:val="0000" w:firstRow="0" w:lastRow="0" w:firstColumn="0" w:lastColumn="0" w:noHBand="0" w:noVBand="0"/>
      </w:tblPr>
      <w:tblGrid>
        <w:gridCol w:w="1033"/>
        <w:gridCol w:w="775"/>
        <w:gridCol w:w="1044"/>
        <w:gridCol w:w="1199"/>
        <w:gridCol w:w="930"/>
        <w:gridCol w:w="1055"/>
        <w:gridCol w:w="1210"/>
        <w:gridCol w:w="962"/>
      </w:tblGrid>
      <w:tr w:rsidR="00055850" w:rsidRPr="00055850" w14:paraId="53D8F7AF" w14:textId="77777777" w:rsidTr="0017267B">
        <w:trPr>
          <w:trHeight w:val="395"/>
        </w:trPr>
        <w:tc>
          <w:tcPr>
            <w:tcW w:w="639" w:type="pct"/>
            <w:tcBorders>
              <w:top w:val="single" w:sz="4" w:space="0" w:color="auto"/>
              <w:bottom w:val="single" w:sz="4" w:space="0" w:color="auto"/>
            </w:tcBorders>
          </w:tcPr>
          <w:bookmarkEnd w:id="18"/>
          <w:bookmarkEnd w:id="19"/>
          <w:p w14:paraId="41DB75EB" w14:textId="77777777" w:rsidR="00055850" w:rsidRPr="00055850" w:rsidRDefault="00055850" w:rsidP="00055850">
            <w:pPr>
              <w:pStyle w:val="Body"/>
              <w:spacing w:after="0"/>
              <w:rPr>
                <w:rFonts w:ascii="Arial" w:hAnsi="Arial" w:cs="Arial"/>
                <w:b/>
              </w:rPr>
            </w:pPr>
            <w:r w:rsidRPr="00055850">
              <w:rPr>
                <w:rFonts w:ascii="Arial" w:hAnsi="Arial" w:cs="Arial"/>
                <w:b/>
              </w:rPr>
              <w:t>Solvents</w:t>
            </w:r>
          </w:p>
        </w:tc>
        <w:tc>
          <w:tcPr>
            <w:tcW w:w="489" w:type="pct"/>
            <w:tcBorders>
              <w:top w:val="single" w:sz="4" w:space="0" w:color="auto"/>
              <w:bottom w:val="single" w:sz="4" w:space="0" w:color="auto"/>
            </w:tcBorders>
          </w:tcPr>
          <w:p w14:paraId="1B479356" w14:textId="77777777" w:rsidR="00055850" w:rsidRPr="00055850" w:rsidRDefault="00055850" w:rsidP="00055850">
            <w:pPr>
              <w:pStyle w:val="Body"/>
              <w:spacing w:after="0"/>
              <w:rPr>
                <w:rFonts w:ascii="Arial" w:hAnsi="Arial" w:cs="Arial"/>
                <w:b/>
              </w:rPr>
            </w:pPr>
            <w:r w:rsidRPr="00055850">
              <w:rPr>
                <w:rFonts w:ascii="Arial" w:hAnsi="Arial" w:cs="Arial"/>
                <w:b/>
              </w:rPr>
              <w:t>Plant parts</w:t>
            </w:r>
          </w:p>
        </w:tc>
        <w:tc>
          <w:tcPr>
            <w:tcW w:w="656" w:type="pct"/>
            <w:tcBorders>
              <w:top w:val="single" w:sz="4" w:space="0" w:color="auto"/>
              <w:bottom w:val="single" w:sz="4" w:space="0" w:color="auto"/>
            </w:tcBorders>
          </w:tcPr>
          <w:p w14:paraId="23EC115A" w14:textId="77777777" w:rsidR="00055850" w:rsidRPr="00055850" w:rsidRDefault="00055850" w:rsidP="00055850">
            <w:pPr>
              <w:pStyle w:val="Body"/>
              <w:spacing w:after="0"/>
              <w:rPr>
                <w:rFonts w:ascii="Arial" w:hAnsi="Arial" w:cs="Arial"/>
                <w:b/>
              </w:rPr>
            </w:pPr>
            <w:r w:rsidRPr="00055850">
              <w:rPr>
                <w:rFonts w:ascii="Arial" w:hAnsi="Arial" w:cs="Arial"/>
                <w:b/>
              </w:rPr>
              <w:t>Alkaloids</w:t>
            </w:r>
          </w:p>
        </w:tc>
        <w:tc>
          <w:tcPr>
            <w:tcW w:w="723" w:type="pct"/>
            <w:tcBorders>
              <w:top w:val="single" w:sz="4" w:space="0" w:color="auto"/>
              <w:bottom w:val="single" w:sz="4" w:space="0" w:color="auto"/>
            </w:tcBorders>
          </w:tcPr>
          <w:p w14:paraId="32626BA2" w14:textId="77777777" w:rsidR="00055850" w:rsidRPr="00055850" w:rsidRDefault="00055850" w:rsidP="00055850">
            <w:pPr>
              <w:pStyle w:val="Body"/>
              <w:spacing w:after="0"/>
              <w:rPr>
                <w:rFonts w:ascii="Arial" w:hAnsi="Arial" w:cs="Arial"/>
                <w:b/>
              </w:rPr>
            </w:pPr>
            <w:r w:rsidRPr="00055850">
              <w:rPr>
                <w:rFonts w:ascii="Arial" w:hAnsi="Arial" w:cs="Arial"/>
                <w:b/>
              </w:rPr>
              <w:t>Flavonoids</w:t>
            </w:r>
          </w:p>
        </w:tc>
        <w:tc>
          <w:tcPr>
            <w:tcW w:w="570" w:type="pct"/>
            <w:tcBorders>
              <w:top w:val="single" w:sz="4" w:space="0" w:color="auto"/>
              <w:bottom w:val="single" w:sz="4" w:space="0" w:color="auto"/>
            </w:tcBorders>
          </w:tcPr>
          <w:p w14:paraId="04C7F9B3" w14:textId="77777777" w:rsidR="00055850" w:rsidRPr="00055850" w:rsidRDefault="00055850" w:rsidP="00055850">
            <w:pPr>
              <w:pStyle w:val="Body"/>
              <w:spacing w:after="0"/>
              <w:rPr>
                <w:rFonts w:ascii="Arial" w:hAnsi="Arial" w:cs="Arial"/>
                <w:b/>
              </w:rPr>
            </w:pPr>
            <w:r w:rsidRPr="00055850">
              <w:rPr>
                <w:rFonts w:ascii="Arial" w:hAnsi="Arial" w:cs="Arial"/>
                <w:b/>
              </w:rPr>
              <w:t>Tannins</w:t>
            </w:r>
          </w:p>
        </w:tc>
        <w:tc>
          <w:tcPr>
            <w:tcW w:w="630" w:type="pct"/>
            <w:tcBorders>
              <w:top w:val="single" w:sz="4" w:space="0" w:color="auto"/>
              <w:bottom w:val="single" w:sz="4" w:space="0" w:color="auto"/>
            </w:tcBorders>
          </w:tcPr>
          <w:p w14:paraId="06C30553" w14:textId="77777777" w:rsidR="00055850" w:rsidRPr="00055850" w:rsidRDefault="00055850" w:rsidP="00055850">
            <w:pPr>
              <w:pStyle w:val="Body"/>
              <w:spacing w:after="0"/>
              <w:rPr>
                <w:rFonts w:ascii="Arial" w:hAnsi="Arial" w:cs="Arial"/>
                <w:b/>
              </w:rPr>
            </w:pPr>
            <w:r w:rsidRPr="00055850">
              <w:rPr>
                <w:rFonts w:ascii="Arial" w:hAnsi="Arial" w:cs="Arial"/>
                <w:b/>
              </w:rPr>
              <w:t>Saponins</w:t>
            </w:r>
          </w:p>
        </w:tc>
        <w:tc>
          <w:tcPr>
            <w:tcW w:w="722" w:type="pct"/>
            <w:tcBorders>
              <w:top w:val="single" w:sz="4" w:space="0" w:color="auto"/>
              <w:bottom w:val="single" w:sz="4" w:space="0" w:color="auto"/>
            </w:tcBorders>
          </w:tcPr>
          <w:p w14:paraId="02AFE499" w14:textId="77777777" w:rsidR="00055850" w:rsidRPr="00055850" w:rsidRDefault="00055850" w:rsidP="00055850">
            <w:pPr>
              <w:pStyle w:val="Body"/>
              <w:spacing w:after="0"/>
              <w:rPr>
                <w:rFonts w:ascii="Arial" w:hAnsi="Arial" w:cs="Arial"/>
                <w:b/>
              </w:rPr>
            </w:pPr>
            <w:r w:rsidRPr="00055850">
              <w:rPr>
                <w:rFonts w:ascii="Arial" w:hAnsi="Arial" w:cs="Arial"/>
                <w:b/>
              </w:rPr>
              <w:t>Glycosides</w:t>
            </w:r>
          </w:p>
        </w:tc>
        <w:tc>
          <w:tcPr>
            <w:tcW w:w="570" w:type="pct"/>
            <w:tcBorders>
              <w:top w:val="single" w:sz="4" w:space="0" w:color="auto"/>
              <w:bottom w:val="single" w:sz="4" w:space="0" w:color="auto"/>
            </w:tcBorders>
          </w:tcPr>
          <w:p w14:paraId="30E171D6" w14:textId="77777777" w:rsidR="00055850" w:rsidRPr="00055850" w:rsidRDefault="00055850" w:rsidP="00055850">
            <w:pPr>
              <w:pStyle w:val="Body"/>
              <w:spacing w:after="0"/>
              <w:rPr>
                <w:rFonts w:ascii="Arial" w:hAnsi="Arial" w:cs="Arial"/>
                <w:b/>
              </w:rPr>
            </w:pPr>
            <w:r w:rsidRPr="00055850">
              <w:rPr>
                <w:rFonts w:ascii="Arial" w:hAnsi="Arial" w:cs="Arial"/>
                <w:b/>
              </w:rPr>
              <w:t>Steroids</w:t>
            </w:r>
          </w:p>
        </w:tc>
      </w:tr>
      <w:tr w:rsidR="00055850" w:rsidRPr="00055850" w14:paraId="0B093EA5" w14:textId="77777777" w:rsidTr="0017267B">
        <w:trPr>
          <w:trHeight w:val="226"/>
        </w:trPr>
        <w:tc>
          <w:tcPr>
            <w:tcW w:w="639" w:type="pct"/>
            <w:vMerge w:val="restart"/>
            <w:tcBorders>
              <w:top w:val="single" w:sz="4" w:space="0" w:color="auto"/>
            </w:tcBorders>
          </w:tcPr>
          <w:p w14:paraId="45A2D65B" w14:textId="77777777" w:rsidR="00055850" w:rsidRPr="00055850" w:rsidRDefault="00055850" w:rsidP="00055850">
            <w:pPr>
              <w:pStyle w:val="Body"/>
              <w:spacing w:after="0"/>
              <w:rPr>
                <w:rFonts w:ascii="Arial" w:hAnsi="Arial" w:cs="Arial"/>
                <w:b/>
              </w:rPr>
            </w:pPr>
          </w:p>
          <w:p w14:paraId="13063C79" w14:textId="77777777" w:rsidR="00055850" w:rsidRPr="00055850" w:rsidRDefault="00055850" w:rsidP="00055850">
            <w:pPr>
              <w:pStyle w:val="Body"/>
              <w:spacing w:after="0"/>
              <w:rPr>
                <w:rFonts w:ascii="Arial" w:hAnsi="Arial" w:cs="Arial"/>
                <w:b/>
              </w:rPr>
            </w:pPr>
            <w:r w:rsidRPr="00055850">
              <w:rPr>
                <w:rFonts w:ascii="Arial" w:hAnsi="Arial" w:cs="Arial"/>
                <w:b/>
              </w:rPr>
              <w:t>Methanol</w:t>
            </w:r>
          </w:p>
        </w:tc>
        <w:tc>
          <w:tcPr>
            <w:tcW w:w="489" w:type="pct"/>
            <w:tcBorders>
              <w:top w:val="single" w:sz="4" w:space="0" w:color="auto"/>
            </w:tcBorders>
          </w:tcPr>
          <w:p w14:paraId="714AB882" w14:textId="77777777" w:rsidR="00055850" w:rsidRPr="00055850" w:rsidRDefault="00055850" w:rsidP="00055850">
            <w:pPr>
              <w:pStyle w:val="Body"/>
              <w:spacing w:after="0"/>
              <w:rPr>
                <w:rFonts w:ascii="Arial" w:hAnsi="Arial" w:cs="Arial"/>
              </w:rPr>
            </w:pPr>
            <w:r w:rsidRPr="00055850">
              <w:rPr>
                <w:rFonts w:ascii="Arial" w:hAnsi="Arial" w:cs="Arial"/>
              </w:rPr>
              <w:t>Leaf</w:t>
            </w:r>
          </w:p>
        </w:tc>
        <w:tc>
          <w:tcPr>
            <w:tcW w:w="656" w:type="pct"/>
            <w:tcBorders>
              <w:top w:val="single" w:sz="4" w:space="0" w:color="auto"/>
            </w:tcBorders>
          </w:tcPr>
          <w:p w14:paraId="5A95492A"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3" w:type="pct"/>
            <w:tcBorders>
              <w:top w:val="single" w:sz="4" w:space="0" w:color="auto"/>
            </w:tcBorders>
          </w:tcPr>
          <w:p w14:paraId="2C24A680"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Borders>
              <w:top w:val="single" w:sz="4" w:space="0" w:color="auto"/>
            </w:tcBorders>
          </w:tcPr>
          <w:p w14:paraId="151458F7"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630" w:type="pct"/>
            <w:tcBorders>
              <w:top w:val="single" w:sz="4" w:space="0" w:color="auto"/>
            </w:tcBorders>
          </w:tcPr>
          <w:p w14:paraId="48A5B4C0"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2" w:type="pct"/>
            <w:tcBorders>
              <w:top w:val="single" w:sz="4" w:space="0" w:color="auto"/>
            </w:tcBorders>
          </w:tcPr>
          <w:p w14:paraId="18140C5C"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Borders>
              <w:top w:val="single" w:sz="4" w:space="0" w:color="auto"/>
            </w:tcBorders>
          </w:tcPr>
          <w:p w14:paraId="542ADA65" w14:textId="77777777" w:rsidR="00055850" w:rsidRPr="00055850" w:rsidRDefault="00055850" w:rsidP="00055850">
            <w:pPr>
              <w:pStyle w:val="Body"/>
              <w:spacing w:after="0"/>
              <w:rPr>
                <w:rFonts w:ascii="Arial" w:hAnsi="Arial" w:cs="Arial"/>
              </w:rPr>
            </w:pPr>
            <w:r w:rsidRPr="00055850">
              <w:rPr>
                <w:rFonts w:ascii="Arial" w:hAnsi="Arial" w:cs="Arial"/>
              </w:rPr>
              <w:t>±</w:t>
            </w:r>
          </w:p>
        </w:tc>
      </w:tr>
      <w:tr w:rsidR="00055850" w:rsidRPr="00055850" w14:paraId="50AB874B" w14:textId="77777777" w:rsidTr="0017267B">
        <w:trPr>
          <w:trHeight w:val="275"/>
        </w:trPr>
        <w:tc>
          <w:tcPr>
            <w:tcW w:w="639" w:type="pct"/>
            <w:vMerge/>
          </w:tcPr>
          <w:p w14:paraId="7CB4ED45" w14:textId="77777777" w:rsidR="00055850" w:rsidRPr="00055850" w:rsidRDefault="00055850" w:rsidP="00055850">
            <w:pPr>
              <w:pStyle w:val="Body"/>
              <w:spacing w:after="0"/>
              <w:rPr>
                <w:rFonts w:ascii="Arial" w:hAnsi="Arial" w:cs="Arial"/>
                <w:b/>
              </w:rPr>
            </w:pPr>
          </w:p>
        </w:tc>
        <w:tc>
          <w:tcPr>
            <w:tcW w:w="489" w:type="pct"/>
          </w:tcPr>
          <w:p w14:paraId="43FF6C26" w14:textId="77777777" w:rsidR="00055850" w:rsidRPr="00055850" w:rsidRDefault="00055850" w:rsidP="00055850">
            <w:pPr>
              <w:pStyle w:val="Body"/>
              <w:spacing w:after="0"/>
              <w:rPr>
                <w:rFonts w:ascii="Arial" w:hAnsi="Arial" w:cs="Arial"/>
              </w:rPr>
            </w:pPr>
            <w:r w:rsidRPr="00055850">
              <w:rPr>
                <w:rFonts w:ascii="Arial" w:hAnsi="Arial" w:cs="Arial"/>
              </w:rPr>
              <w:t>Flower</w:t>
            </w:r>
          </w:p>
        </w:tc>
        <w:tc>
          <w:tcPr>
            <w:tcW w:w="656" w:type="pct"/>
          </w:tcPr>
          <w:p w14:paraId="38E4BFDA"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3" w:type="pct"/>
          </w:tcPr>
          <w:p w14:paraId="3AA0E410"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495A19CC"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630" w:type="pct"/>
          </w:tcPr>
          <w:p w14:paraId="209C74BD"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2" w:type="pct"/>
          </w:tcPr>
          <w:p w14:paraId="2D373108"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3960C67D" w14:textId="77777777" w:rsidR="00055850" w:rsidRPr="00055850" w:rsidRDefault="00055850" w:rsidP="00055850">
            <w:pPr>
              <w:pStyle w:val="Body"/>
              <w:spacing w:after="0"/>
              <w:rPr>
                <w:rFonts w:ascii="Arial" w:hAnsi="Arial" w:cs="Arial"/>
              </w:rPr>
            </w:pPr>
            <w:r w:rsidRPr="00055850">
              <w:rPr>
                <w:rFonts w:ascii="Arial" w:hAnsi="Arial" w:cs="Arial"/>
              </w:rPr>
              <w:t>+</w:t>
            </w:r>
          </w:p>
        </w:tc>
      </w:tr>
      <w:tr w:rsidR="00055850" w:rsidRPr="00055850" w14:paraId="4BE88C99" w14:textId="77777777" w:rsidTr="0017267B">
        <w:trPr>
          <w:trHeight w:val="129"/>
        </w:trPr>
        <w:tc>
          <w:tcPr>
            <w:tcW w:w="639" w:type="pct"/>
            <w:vMerge/>
          </w:tcPr>
          <w:p w14:paraId="5F7238F0" w14:textId="77777777" w:rsidR="00055850" w:rsidRPr="00055850" w:rsidRDefault="00055850" w:rsidP="00055850">
            <w:pPr>
              <w:pStyle w:val="Body"/>
              <w:spacing w:after="0"/>
              <w:rPr>
                <w:rFonts w:ascii="Arial" w:hAnsi="Arial" w:cs="Arial"/>
                <w:b/>
              </w:rPr>
            </w:pPr>
          </w:p>
        </w:tc>
        <w:tc>
          <w:tcPr>
            <w:tcW w:w="489" w:type="pct"/>
          </w:tcPr>
          <w:p w14:paraId="3BFF3038" w14:textId="77777777" w:rsidR="00055850" w:rsidRPr="00055850" w:rsidRDefault="00055850" w:rsidP="00055850">
            <w:pPr>
              <w:pStyle w:val="Body"/>
              <w:spacing w:after="0"/>
              <w:rPr>
                <w:rFonts w:ascii="Arial" w:hAnsi="Arial" w:cs="Arial"/>
              </w:rPr>
            </w:pPr>
            <w:r w:rsidRPr="00055850">
              <w:rPr>
                <w:rFonts w:ascii="Arial" w:hAnsi="Arial" w:cs="Arial"/>
              </w:rPr>
              <w:t>Latex</w:t>
            </w:r>
          </w:p>
        </w:tc>
        <w:tc>
          <w:tcPr>
            <w:tcW w:w="656" w:type="pct"/>
          </w:tcPr>
          <w:p w14:paraId="47E9B6CD"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3" w:type="pct"/>
          </w:tcPr>
          <w:p w14:paraId="6C16A3DF"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3B999434"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630" w:type="pct"/>
          </w:tcPr>
          <w:p w14:paraId="0DD761D7"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2" w:type="pct"/>
          </w:tcPr>
          <w:p w14:paraId="1AD12B82"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657EC8C1" w14:textId="77777777" w:rsidR="00055850" w:rsidRPr="00055850" w:rsidRDefault="00055850" w:rsidP="00055850">
            <w:pPr>
              <w:pStyle w:val="Body"/>
              <w:spacing w:after="0"/>
              <w:rPr>
                <w:rFonts w:ascii="Arial" w:hAnsi="Arial" w:cs="Arial"/>
              </w:rPr>
            </w:pPr>
            <w:r w:rsidRPr="00055850">
              <w:rPr>
                <w:rFonts w:ascii="Arial" w:hAnsi="Arial" w:cs="Arial"/>
              </w:rPr>
              <w:t>+</w:t>
            </w:r>
          </w:p>
        </w:tc>
      </w:tr>
      <w:tr w:rsidR="00055850" w:rsidRPr="00055850" w14:paraId="75403380" w14:textId="77777777" w:rsidTr="0017267B">
        <w:trPr>
          <w:trHeight w:val="227"/>
        </w:trPr>
        <w:tc>
          <w:tcPr>
            <w:tcW w:w="639" w:type="pct"/>
            <w:vMerge w:val="restart"/>
          </w:tcPr>
          <w:p w14:paraId="3366A66B" w14:textId="77777777" w:rsidR="00055850" w:rsidRPr="00055850" w:rsidRDefault="00055850" w:rsidP="00055850">
            <w:pPr>
              <w:pStyle w:val="Body"/>
              <w:spacing w:after="0"/>
              <w:rPr>
                <w:rFonts w:ascii="Arial" w:hAnsi="Arial" w:cs="Arial"/>
                <w:b/>
              </w:rPr>
            </w:pPr>
          </w:p>
          <w:p w14:paraId="040B32BD" w14:textId="77777777" w:rsidR="00055850" w:rsidRPr="00055850" w:rsidRDefault="00055850" w:rsidP="00055850">
            <w:pPr>
              <w:pStyle w:val="Body"/>
              <w:spacing w:after="0"/>
              <w:rPr>
                <w:rFonts w:ascii="Arial" w:hAnsi="Arial" w:cs="Arial"/>
                <w:b/>
              </w:rPr>
            </w:pPr>
            <w:r w:rsidRPr="00055850">
              <w:rPr>
                <w:rFonts w:ascii="Arial" w:hAnsi="Arial" w:cs="Arial"/>
                <w:b/>
              </w:rPr>
              <w:t>Ethyl acetate</w:t>
            </w:r>
          </w:p>
        </w:tc>
        <w:tc>
          <w:tcPr>
            <w:tcW w:w="489" w:type="pct"/>
          </w:tcPr>
          <w:p w14:paraId="3CA6244C" w14:textId="77777777" w:rsidR="00055850" w:rsidRPr="00055850" w:rsidRDefault="00055850" w:rsidP="00055850">
            <w:pPr>
              <w:pStyle w:val="Body"/>
              <w:spacing w:after="0"/>
              <w:rPr>
                <w:rFonts w:ascii="Arial" w:hAnsi="Arial" w:cs="Arial"/>
              </w:rPr>
            </w:pPr>
            <w:r w:rsidRPr="00055850">
              <w:rPr>
                <w:rFonts w:ascii="Arial" w:hAnsi="Arial" w:cs="Arial"/>
              </w:rPr>
              <w:t>Leaf</w:t>
            </w:r>
          </w:p>
        </w:tc>
        <w:tc>
          <w:tcPr>
            <w:tcW w:w="656" w:type="pct"/>
          </w:tcPr>
          <w:p w14:paraId="4CCB54D2"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3" w:type="pct"/>
          </w:tcPr>
          <w:p w14:paraId="2F81D4A1"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22C70440"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630" w:type="pct"/>
          </w:tcPr>
          <w:p w14:paraId="47FAC3F8"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2" w:type="pct"/>
          </w:tcPr>
          <w:p w14:paraId="7A3CEE30"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0E8A9343" w14:textId="77777777" w:rsidR="00055850" w:rsidRPr="00055850" w:rsidRDefault="00055850" w:rsidP="00055850">
            <w:pPr>
              <w:pStyle w:val="Body"/>
              <w:spacing w:after="0"/>
              <w:rPr>
                <w:rFonts w:ascii="Arial" w:hAnsi="Arial" w:cs="Arial"/>
              </w:rPr>
            </w:pPr>
            <w:r w:rsidRPr="00055850">
              <w:rPr>
                <w:rFonts w:ascii="Arial" w:hAnsi="Arial" w:cs="Arial"/>
              </w:rPr>
              <w:t>-</w:t>
            </w:r>
          </w:p>
        </w:tc>
      </w:tr>
      <w:tr w:rsidR="00055850" w:rsidRPr="00055850" w14:paraId="496F4DC1" w14:textId="77777777" w:rsidTr="0017267B">
        <w:trPr>
          <w:trHeight w:val="291"/>
        </w:trPr>
        <w:tc>
          <w:tcPr>
            <w:tcW w:w="639" w:type="pct"/>
            <w:vMerge/>
          </w:tcPr>
          <w:p w14:paraId="3B049E40" w14:textId="77777777" w:rsidR="00055850" w:rsidRPr="00055850" w:rsidRDefault="00055850" w:rsidP="00055850">
            <w:pPr>
              <w:pStyle w:val="Body"/>
              <w:spacing w:after="0"/>
              <w:rPr>
                <w:rFonts w:ascii="Arial" w:hAnsi="Arial" w:cs="Arial"/>
                <w:b/>
              </w:rPr>
            </w:pPr>
          </w:p>
        </w:tc>
        <w:tc>
          <w:tcPr>
            <w:tcW w:w="489" w:type="pct"/>
          </w:tcPr>
          <w:p w14:paraId="3B37D4B1" w14:textId="77777777" w:rsidR="00055850" w:rsidRPr="00055850" w:rsidRDefault="00055850" w:rsidP="00055850">
            <w:pPr>
              <w:pStyle w:val="Body"/>
              <w:spacing w:after="0"/>
              <w:rPr>
                <w:rFonts w:ascii="Arial" w:hAnsi="Arial" w:cs="Arial"/>
              </w:rPr>
            </w:pPr>
            <w:r w:rsidRPr="00055850">
              <w:rPr>
                <w:rFonts w:ascii="Arial" w:hAnsi="Arial" w:cs="Arial"/>
              </w:rPr>
              <w:t>Flower</w:t>
            </w:r>
          </w:p>
        </w:tc>
        <w:tc>
          <w:tcPr>
            <w:tcW w:w="656" w:type="pct"/>
          </w:tcPr>
          <w:p w14:paraId="67E7632A"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3" w:type="pct"/>
          </w:tcPr>
          <w:p w14:paraId="32D42C6F"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10B96090"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630" w:type="pct"/>
          </w:tcPr>
          <w:p w14:paraId="32BA3DAB"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2" w:type="pct"/>
          </w:tcPr>
          <w:p w14:paraId="2DDC9C4B"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Pr>
          <w:p w14:paraId="0364B48E" w14:textId="77777777" w:rsidR="00055850" w:rsidRPr="00055850" w:rsidRDefault="00055850" w:rsidP="00055850">
            <w:pPr>
              <w:pStyle w:val="Body"/>
              <w:spacing w:after="0"/>
              <w:rPr>
                <w:rFonts w:ascii="Arial" w:hAnsi="Arial" w:cs="Arial"/>
              </w:rPr>
            </w:pPr>
            <w:r w:rsidRPr="00055850">
              <w:rPr>
                <w:rFonts w:ascii="Arial" w:hAnsi="Arial" w:cs="Arial"/>
              </w:rPr>
              <w:t>±</w:t>
            </w:r>
          </w:p>
        </w:tc>
      </w:tr>
      <w:tr w:rsidR="00055850" w:rsidRPr="00055850" w14:paraId="76F86A76" w14:textId="77777777" w:rsidTr="0017267B">
        <w:trPr>
          <w:trHeight w:val="162"/>
        </w:trPr>
        <w:tc>
          <w:tcPr>
            <w:tcW w:w="639" w:type="pct"/>
            <w:vMerge/>
            <w:tcBorders>
              <w:bottom w:val="single" w:sz="4" w:space="0" w:color="auto"/>
            </w:tcBorders>
          </w:tcPr>
          <w:p w14:paraId="4E06B85C" w14:textId="77777777" w:rsidR="00055850" w:rsidRPr="00055850" w:rsidRDefault="00055850" w:rsidP="00055850">
            <w:pPr>
              <w:pStyle w:val="Body"/>
              <w:spacing w:after="0"/>
              <w:rPr>
                <w:rFonts w:ascii="Arial" w:hAnsi="Arial" w:cs="Arial"/>
                <w:b/>
              </w:rPr>
            </w:pPr>
          </w:p>
        </w:tc>
        <w:tc>
          <w:tcPr>
            <w:tcW w:w="489" w:type="pct"/>
            <w:tcBorders>
              <w:bottom w:val="single" w:sz="4" w:space="0" w:color="auto"/>
            </w:tcBorders>
          </w:tcPr>
          <w:p w14:paraId="72DB73B1" w14:textId="77777777" w:rsidR="00055850" w:rsidRPr="00055850" w:rsidRDefault="00055850" w:rsidP="00055850">
            <w:pPr>
              <w:pStyle w:val="Body"/>
              <w:spacing w:after="0"/>
              <w:rPr>
                <w:rFonts w:ascii="Arial" w:hAnsi="Arial" w:cs="Arial"/>
              </w:rPr>
            </w:pPr>
            <w:r w:rsidRPr="00055850">
              <w:rPr>
                <w:rFonts w:ascii="Arial" w:hAnsi="Arial" w:cs="Arial"/>
              </w:rPr>
              <w:t>Latex</w:t>
            </w:r>
          </w:p>
        </w:tc>
        <w:tc>
          <w:tcPr>
            <w:tcW w:w="656" w:type="pct"/>
            <w:tcBorders>
              <w:bottom w:val="single" w:sz="4" w:space="0" w:color="auto"/>
            </w:tcBorders>
          </w:tcPr>
          <w:p w14:paraId="67F23812"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3" w:type="pct"/>
            <w:tcBorders>
              <w:bottom w:val="single" w:sz="4" w:space="0" w:color="auto"/>
            </w:tcBorders>
          </w:tcPr>
          <w:p w14:paraId="525E0499"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Borders>
              <w:bottom w:val="single" w:sz="4" w:space="0" w:color="auto"/>
            </w:tcBorders>
          </w:tcPr>
          <w:p w14:paraId="7BE3374C"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630" w:type="pct"/>
            <w:tcBorders>
              <w:bottom w:val="single" w:sz="4" w:space="0" w:color="auto"/>
            </w:tcBorders>
          </w:tcPr>
          <w:p w14:paraId="56CD5705"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722" w:type="pct"/>
            <w:tcBorders>
              <w:bottom w:val="single" w:sz="4" w:space="0" w:color="auto"/>
            </w:tcBorders>
          </w:tcPr>
          <w:p w14:paraId="1E9030C3" w14:textId="77777777" w:rsidR="00055850" w:rsidRPr="00055850" w:rsidRDefault="00055850" w:rsidP="00055850">
            <w:pPr>
              <w:pStyle w:val="Body"/>
              <w:spacing w:after="0"/>
              <w:rPr>
                <w:rFonts w:ascii="Arial" w:hAnsi="Arial" w:cs="Arial"/>
              </w:rPr>
            </w:pPr>
            <w:r w:rsidRPr="00055850">
              <w:rPr>
                <w:rFonts w:ascii="Arial" w:hAnsi="Arial" w:cs="Arial"/>
              </w:rPr>
              <w:t>+</w:t>
            </w:r>
          </w:p>
        </w:tc>
        <w:tc>
          <w:tcPr>
            <w:tcW w:w="570" w:type="pct"/>
            <w:tcBorders>
              <w:bottom w:val="single" w:sz="4" w:space="0" w:color="auto"/>
            </w:tcBorders>
          </w:tcPr>
          <w:p w14:paraId="1CAB696E" w14:textId="77777777" w:rsidR="00055850" w:rsidRPr="00055850" w:rsidRDefault="00055850" w:rsidP="00055850">
            <w:pPr>
              <w:pStyle w:val="Body"/>
              <w:spacing w:after="0"/>
              <w:rPr>
                <w:rFonts w:ascii="Arial" w:hAnsi="Arial" w:cs="Arial"/>
              </w:rPr>
            </w:pPr>
            <w:r w:rsidRPr="00055850">
              <w:rPr>
                <w:rFonts w:ascii="Arial" w:hAnsi="Arial" w:cs="Arial"/>
              </w:rPr>
              <w:t>±</w:t>
            </w:r>
          </w:p>
        </w:tc>
      </w:tr>
    </w:tbl>
    <w:p w14:paraId="33193857" w14:textId="77777777" w:rsidR="00055850" w:rsidRPr="00055850" w:rsidRDefault="00055850" w:rsidP="00055850">
      <w:pPr>
        <w:pStyle w:val="Body"/>
        <w:spacing w:after="0"/>
        <w:rPr>
          <w:rFonts w:ascii="Arial" w:hAnsi="Arial" w:cs="Arial"/>
        </w:rPr>
      </w:pPr>
    </w:p>
    <w:p w14:paraId="699324AA" w14:textId="77777777" w:rsidR="00055850" w:rsidRPr="00055850" w:rsidRDefault="00055850" w:rsidP="00055850">
      <w:pPr>
        <w:pStyle w:val="Body"/>
        <w:spacing w:after="0"/>
        <w:rPr>
          <w:rFonts w:ascii="Arial" w:hAnsi="Arial" w:cs="Arial"/>
        </w:rPr>
      </w:pPr>
      <w:r w:rsidRPr="00055850">
        <w:rPr>
          <w:rFonts w:ascii="Arial" w:hAnsi="Arial" w:cs="Arial"/>
        </w:rPr>
        <w:t>‘+’ = strongly presence, ‘-’= absence and ‘±’ = moderately presence</w:t>
      </w:r>
      <w:bookmarkStart w:id="20" w:name="_Toc151413658"/>
    </w:p>
    <w:p w14:paraId="4CF27D67" w14:textId="77777777" w:rsidR="00055850" w:rsidRDefault="00055850" w:rsidP="00055850">
      <w:pPr>
        <w:pStyle w:val="Body"/>
        <w:spacing w:after="0"/>
        <w:rPr>
          <w:rFonts w:ascii="Arial" w:hAnsi="Arial" w:cs="Arial"/>
          <w:b/>
          <w:bCs/>
          <w:i/>
          <w:iCs/>
        </w:rPr>
      </w:pPr>
    </w:p>
    <w:p w14:paraId="0DC1A4A0" w14:textId="77777777" w:rsidR="00055850" w:rsidRPr="00055850" w:rsidRDefault="00055850" w:rsidP="00055850">
      <w:pPr>
        <w:pStyle w:val="Body"/>
        <w:spacing w:after="0"/>
        <w:rPr>
          <w:rFonts w:ascii="Arial" w:hAnsi="Arial" w:cs="Arial"/>
          <w:b/>
          <w:bCs/>
          <w:sz w:val="22"/>
          <w:szCs w:val="22"/>
        </w:rPr>
      </w:pPr>
      <w:r w:rsidRPr="00055850">
        <w:rPr>
          <w:rFonts w:ascii="Arial" w:hAnsi="Arial" w:cs="Arial"/>
          <w:b/>
          <w:bCs/>
          <w:sz w:val="22"/>
          <w:szCs w:val="22"/>
        </w:rPr>
        <w:t>3.3 Acute Toxicity Test</w:t>
      </w:r>
      <w:bookmarkEnd w:id="20"/>
    </w:p>
    <w:p w14:paraId="58D5372F" w14:textId="77777777" w:rsidR="00055850" w:rsidRPr="00055850" w:rsidRDefault="00055850" w:rsidP="00055850">
      <w:pPr>
        <w:pStyle w:val="Body"/>
        <w:spacing w:after="0"/>
        <w:rPr>
          <w:rFonts w:ascii="Arial" w:hAnsi="Arial" w:cs="Arial"/>
          <w:sz w:val="22"/>
          <w:szCs w:val="22"/>
        </w:rPr>
      </w:pPr>
    </w:p>
    <w:p w14:paraId="06B2F499" w14:textId="77777777" w:rsidR="00055850" w:rsidRDefault="00055850" w:rsidP="00055850">
      <w:pPr>
        <w:pStyle w:val="Body"/>
        <w:spacing w:after="0"/>
        <w:rPr>
          <w:rFonts w:ascii="Arial" w:hAnsi="Arial" w:cs="Arial"/>
          <w:b/>
          <w:bCs/>
        </w:rPr>
      </w:pPr>
      <w:r w:rsidRPr="00055850">
        <w:rPr>
          <w:rFonts w:ascii="Arial" w:hAnsi="Arial" w:cs="Arial"/>
        </w:rPr>
        <w:t xml:space="preserve">Within 24 hours and 14 days of observation, there were no noticeable behavioral abnormalities, toxic effects, or fatalities in the acute oral toxicity test of MLE extract of </w:t>
      </w:r>
      <w:r w:rsidRPr="00055850">
        <w:rPr>
          <w:rFonts w:ascii="Arial" w:hAnsi="Arial" w:cs="Arial"/>
          <w:i/>
          <w:iCs/>
        </w:rPr>
        <w:t>C. gigantea</w:t>
      </w:r>
      <w:r w:rsidRPr="00055850">
        <w:rPr>
          <w:rFonts w:ascii="Arial" w:hAnsi="Arial" w:cs="Arial"/>
        </w:rPr>
        <w:t xml:space="preserve"> at the limit dose of 2000 mg/kg. According to OECD 425/2008 guidelines, the oral LD</w:t>
      </w:r>
      <w:r w:rsidRPr="00055850">
        <w:rPr>
          <w:rFonts w:ascii="Arial" w:hAnsi="Arial" w:cs="Arial"/>
          <w:vertAlign w:val="subscript"/>
        </w:rPr>
        <w:t>50</w:t>
      </w:r>
      <w:r w:rsidRPr="00055850">
        <w:rPr>
          <w:rFonts w:ascii="Arial" w:hAnsi="Arial" w:cs="Arial"/>
        </w:rPr>
        <w:t xml:space="preserve"> of crude MLE in rats is therefore higher than 2000 mg/kg. Thus, the outcomes</w:t>
      </w:r>
      <w:bookmarkStart w:id="21" w:name="_Toc151413660"/>
      <w:r w:rsidRPr="00055850">
        <w:rPr>
          <w:rFonts w:ascii="Arial" w:hAnsi="Arial" w:cs="Arial"/>
        </w:rPr>
        <w:t xml:space="preserve"> imply that the extract is safe Alemu et al., 2018.</w:t>
      </w:r>
      <w:r w:rsidRPr="00055850">
        <w:rPr>
          <w:rFonts w:ascii="Arial" w:hAnsi="Arial" w:cs="Arial"/>
          <w:b/>
          <w:bCs/>
        </w:rPr>
        <w:t xml:space="preserve"> </w:t>
      </w:r>
    </w:p>
    <w:p w14:paraId="1A5E41FD" w14:textId="77777777" w:rsidR="00055850" w:rsidRPr="00055850" w:rsidRDefault="00055850" w:rsidP="00055850">
      <w:pPr>
        <w:pStyle w:val="Body"/>
        <w:spacing w:after="0"/>
        <w:rPr>
          <w:rFonts w:ascii="Arial" w:hAnsi="Arial" w:cs="Arial"/>
        </w:rPr>
      </w:pPr>
    </w:p>
    <w:p w14:paraId="2D16476D" w14:textId="77777777" w:rsidR="00055850" w:rsidRPr="00055850" w:rsidRDefault="00055850" w:rsidP="00055850">
      <w:pPr>
        <w:pStyle w:val="Body"/>
        <w:spacing w:after="0"/>
        <w:rPr>
          <w:rFonts w:ascii="Arial" w:hAnsi="Arial" w:cs="Arial"/>
        </w:rPr>
      </w:pPr>
      <w:r w:rsidRPr="00055850">
        <w:rPr>
          <w:rFonts w:ascii="Arial" w:hAnsi="Arial" w:cs="Arial"/>
        </w:rPr>
        <w:t xml:space="preserve">  </w:t>
      </w:r>
      <w:r w:rsidRPr="00055850">
        <w:rPr>
          <w:rFonts w:ascii="Arial" w:hAnsi="Arial" w:cs="Arial"/>
          <w:noProof/>
        </w:rPr>
        <w:drawing>
          <wp:inline distT="0" distB="0" distL="0" distR="0" wp14:anchorId="58A21FD1" wp14:editId="5EAB7608">
            <wp:extent cx="1743075" cy="2348230"/>
            <wp:effectExtent l="0" t="0" r="9525" b="0"/>
            <wp:docPr id="32" name="Picture 29" descr="control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admin.jpg"/>
                    <pic:cNvPicPr/>
                  </pic:nvPicPr>
                  <pic:blipFill>
                    <a:blip r:embed="rId25" cstate="print"/>
                    <a:stretch>
                      <a:fillRect/>
                    </a:stretch>
                  </pic:blipFill>
                  <pic:spPr>
                    <a:xfrm>
                      <a:off x="0" y="0"/>
                      <a:ext cx="1748452" cy="2355474"/>
                    </a:xfrm>
                    <a:prstGeom prst="rect">
                      <a:avLst/>
                    </a:prstGeom>
                  </pic:spPr>
                </pic:pic>
              </a:graphicData>
            </a:graphic>
          </wp:inline>
        </w:drawing>
      </w:r>
      <w:r w:rsidRPr="00055850">
        <w:rPr>
          <w:rFonts w:ascii="Arial" w:hAnsi="Arial" w:cs="Arial"/>
        </w:rPr>
        <w:t xml:space="preserve">   </w:t>
      </w:r>
      <w:r w:rsidRPr="00055850">
        <w:rPr>
          <w:rFonts w:ascii="Arial" w:hAnsi="Arial" w:cs="Arial"/>
          <w:noProof/>
        </w:rPr>
        <w:drawing>
          <wp:inline distT="0" distB="0" distL="0" distR="0" wp14:anchorId="72DBFA54" wp14:editId="7C1F5828">
            <wp:extent cx="1495425" cy="2349500"/>
            <wp:effectExtent l="0" t="0" r="0" b="0"/>
            <wp:docPr id="29" name="Picture 28" descr="dose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e admin.jpg"/>
                    <pic:cNvPicPr/>
                  </pic:nvPicPr>
                  <pic:blipFill>
                    <a:blip r:embed="rId26"/>
                    <a:stretch>
                      <a:fillRect/>
                    </a:stretch>
                  </pic:blipFill>
                  <pic:spPr>
                    <a:xfrm>
                      <a:off x="0" y="0"/>
                      <a:ext cx="1497947" cy="2353463"/>
                    </a:xfrm>
                    <a:prstGeom prst="rect">
                      <a:avLst/>
                    </a:prstGeom>
                  </pic:spPr>
                </pic:pic>
              </a:graphicData>
            </a:graphic>
          </wp:inline>
        </w:drawing>
      </w:r>
      <w:r w:rsidRPr="00055850">
        <w:rPr>
          <w:rFonts w:ascii="Arial" w:hAnsi="Arial" w:cs="Arial"/>
        </w:rPr>
        <w:t xml:space="preserve">    </w:t>
      </w:r>
      <w:r w:rsidRPr="00055850">
        <w:rPr>
          <w:rFonts w:ascii="Arial" w:hAnsi="Arial" w:cs="Arial"/>
          <w:noProof/>
        </w:rPr>
        <w:drawing>
          <wp:inline distT="0" distB="0" distL="0" distR="0" wp14:anchorId="5985E93F" wp14:editId="0151F354">
            <wp:extent cx="1609725" cy="2338705"/>
            <wp:effectExtent l="0" t="0" r="0" b="0"/>
            <wp:docPr id="31" name="Picture 30" descr="drug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 admin.jpg"/>
                    <pic:cNvPicPr/>
                  </pic:nvPicPr>
                  <pic:blipFill>
                    <a:blip r:embed="rId27" cstate="print"/>
                    <a:stretch>
                      <a:fillRect/>
                    </a:stretch>
                  </pic:blipFill>
                  <pic:spPr>
                    <a:xfrm>
                      <a:off x="0" y="0"/>
                      <a:ext cx="1617768" cy="2350390"/>
                    </a:xfrm>
                    <a:prstGeom prst="rect">
                      <a:avLst/>
                    </a:prstGeom>
                  </pic:spPr>
                </pic:pic>
              </a:graphicData>
            </a:graphic>
          </wp:inline>
        </w:drawing>
      </w:r>
    </w:p>
    <w:p w14:paraId="4ABEE322" w14:textId="77777777" w:rsidR="00055850" w:rsidRPr="00055850" w:rsidRDefault="00055850" w:rsidP="00055850">
      <w:pPr>
        <w:pStyle w:val="Body"/>
        <w:spacing w:after="0"/>
        <w:rPr>
          <w:rFonts w:ascii="Arial" w:hAnsi="Arial" w:cs="Arial"/>
        </w:rPr>
      </w:pPr>
      <w:r>
        <w:rPr>
          <w:rFonts w:ascii="Arial" w:hAnsi="Arial" w:cs="Arial"/>
          <w:b/>
          <w:bCs/>
        </w:rPr>
        <w:t>Fig.</w:t>
      </w:r>
      <w:r w:rsidRPr="00055850">
        <w:rPr>
          <w:rFonts w:ascii="Arial" w:hAnsi="Arial" w:cs="Arial"/>
          <w:b/>
          <w:bCs/>
        </w:rPr>
        <w:t xml:space="preserve"> </w:t>
      </w:r>
      <w:r w:rsidRPr="00055850">
        <w:rPr>
          <w:rFonts w:ascii="Arial" w:hAnsi="Arial" w:cs="Arial"/>
          <w:b/>
          <w:bCs/>
        </w:rPr>
        <w:fldChar w:fldCharType="begin"/>
      </w:r>
      <w:r w:rsidRPr="00055850">
        <w:rPr>
          <w:rFonts w:ascii="Arial" w:hAnsi="Arial" w:cs="Arial"/>
          <w:b/>
          <w:bCs/>
        </w:rPr>
        <w:instrText xml:space="preserve"> SEQ Figure \* ARABIC </w:instrText>
      </w:r>
      <w:r w:rsidRPr="00055850">
        <w:rPr>
          <w:rFonts w:ascii="Arial" w:hAnsi="Arial" w:cs="Arial"/>
          <w:b/>
          <w:bCs/>
        </w:rPr>
        <w:fldChar w:fldCharType="separate"/>
      </w:r>
      <w:r w:rsidRPr="00055850">
        <w:rPr>
          <w:rFonts w:ascii="Arial" w:hAnsi="Arial" w:cs="Arial"/>
          <w:b/>
          <w:bCs/>
        </w:rPr>
        <w:t>5</w:t>
      </w:r>
      <w:r w:rsidRPr="00055850">
        <w:rPr>
          <w:rFonts w:ascii="Arial" w:hAnsi="Arial" w:cs="Arial"/>
        </w:rPr>
        <w:fldChar w:fldCharType="end"/>
      </w:r>
      <w:r>
        <w:rPr>
          <w:rFonts w:ascii="Arial" w:hAnsi="Arial" w:cs="Arial"/>
          <w:b/>
          <w:bCs/>
        </w:rPr>
        <w:t>.</w:t>
      </w:r>
      <w:r w:rsidRPr="00055850">
        <w:rPr>
          <w:rFonts w:ascii="Arial" w:hAnsi="Arial" w:cs="Arial"/>
          <w:b/>
          <w:bCs/>
        </w:rPr>
        <w:t xml:space="preserve"> </w:t>
      </w:r>
      <w:r w:rsidRPr="00055850">
        <w:rPr>
          <w:rFonts w:ascii="Arial" w:hAnsi="Arial" w:cs="Arial"/>
        </w:rPr>
        <w:t>Administration of N.S., Standard Drug, and MLE to Rats</w:t>
      </w:r>
    </w:p>
    <w:p w14:paraId="181C7495" w14:textId="77777777" w:rsidR="00055850" w:rsidRDefault="00055850" w:rsidP="00055850">
      <w:pPr>
        <w:pStyle w:val="Body"/>
        <w:spacing w:after="0"/>
        <w:rPr>
          <w:rFonts w:ascii="Arial" w:hAnsi="Arial" w:cs="Arial"/>
          <w:b/>
          <w:bCs/>
        </w:rPr>
      </w:pPr>
      <w:bookmarkStart w:id="22" w:name="_Toc151413659"/>
    </w:p>
    <w:p w14:paraId="16B13AD1" w14:textId="77777777" w:rsidR="00055850" w:rsidRPr="00055850" w:rsidRDefault="00055850" w:rsidP="00055850">
      <w:pPr>
        <w:pStyle w:val="Body"/>
        <w:spacing w:after="0"/>
        <w:rPr>
          <w:rFonts w:ascii="Arial" w:hAnsi="Arial" w:cs="Arial"/>
          <w:b/>
          <w:bCs/>
          <w:sz w:val="22"/>
          <w:szCs w:val="22"/>
        </w:rPr>
      </w:pPr>
      <w:r w:rsidRPr="00055850">
        <w:rPr>
          <w:rFonts w:ascii="Arial" w:hAnsi="Arial" w:cs="Arial"/>
          <w:b/>
          <w:bCs/>
          <w:sz w:val="22"/>
          <w:szCs w:val="22"/>
        </w:rPr>
        <w:t>3.4 Analgesic activity</w:t>
      </w:r>
      <w:bookmarkEnd w:id="22"/>
    </w:p>
    <w:p w14:paraId="282A30BB" w14:textId="77777777" w:rsidR="00055850" w:rsidRDefault="00055850" w:rsidP="00055850">
      <w:pPr>
        <w:pStyle w:val="Body"/>
        <w:spacing w:after="0"/>
        <w:rPr>
          <w:rFonts w:ascii="Arial" w:hAnsi="Arial" w:cs="Arial"/>
          <w:b/>
          <w:bCs/>
          <w:i/>
          <w:iCs/>
        </w:rPr>
      </w:pPr>
    </w:p>
    <w:p w14:paraId="759C3060" w14:textId="77777777" w:rsidR="00055850" w:rsidRDefault="00055850" w:rsidP="00055850">
      <w:pPr>
        <w:pStyle w:val="Body"/>
        <w:spacing w:after="0"/>
        <w:rPr>
          <w:rFonts w:ascii="Arial" w:hAnsi="Arial" w:cs="Arial"/>
          <w:b/>
          <w:bCs/>
          <w:i/>
          <w:iCs/>
          <w:u w:val="single"/>
        </w:rPr>
      </w:pPr>
      <w:r w:rsidRPr="00055850">
        <w:rPr>
          <w:rFonts w:ascii="Arial" w:hAnsi="Arial" w:cs="Arial"/>
          <w:b/>
          <w:bCs/>
          <w:i/>
          <w:iCs/>
          <w:u w:val="single"/>
        </w:rPr>
        <w:t>3.4.1 Hot plate method</w:t>
      </w:r>
      <w:bookmarkEnd w:id="21"/>
    </w:p>
    <w:p w14:paraId="03F8C6CB" w14:textId="77777777" w:rsidR="00055850" w:rsidRPr="00055850" w:rsidRDefault="00055850" w:rsidP="00055850">
      <w:pPr>
        <w:pStyle w:val="Body"/>
        <w:spacing w:after="0"/>
        <w:rPr>
          <w:rFonts w:ascii="Arial" w:hAnsi="Arial" w:cs="Arial"/>
          <w:b/>
          <w:bCs/>
          <w:i/>
          <w:iCs/>
          <w:u w:val="single"/>
        </w:rPr>
      </w:pPr>
    </w:p>
    <w:p w14:paraId="79EF0D38" w14:textId="77777777" w:rsidR="00055850" w:rsidRPr="00055850" w:rsidRDefault="00055850" w:rsidP="00055850">
      <w:pPr>
        <w:pStyle w:val="Body"/>
        <w:spacing w:after="0"/>
        <w:rPr>
          <w:rFonts w:ascii="Arial" w:hAnsi="Arial" w:cs="Arial"/>
        </w:rPr>
      </w:pPr>
      <w:r w:rsidRPr="00055850">
        <w:rPr>
          <w:rFonts w:ascii="Arial" w:hAnsi="Arial" w:cs="Arial"/>
        </w:rPr>
        <w:t xml:space="preserve">In our study, the MLE extract had its maximal effect at 120 minutes and significantly (p &lt; 0.01) delayed the rats' reaction times to hotplate thermal stimulation at all dose levels. At 120 minutes, the greatest analgesic efficacy of MLE 400 and Diclofenac is almost similar. At the 120-minute mark, the percentage inhibition of 200 and 400 mg/kg of MLE was 56.76 % and 69.50 %, respectively, in a dose-dependent manner. An intergroup comparison revealed that 400 mg/kg and 200 mg/kg responded to hot plate thermal stimulation significantly more slowly (p&lt;0.01), while 9 mg/kg of diclofenac had a strong analgesic effect when compared to 400 mg/kg (p&lt;0.01), and Figure 2 displayed the delay period’s percentage elongation. </w:t>
      </w:r>
    </w:p>
    <w:p w14:paraId="62DB1561" w14:textId="77777777" w:rsidR="00055850" w:rsidRDefault="00055850" w:rsidP="00055850">
      <w:pPr>
        <w:pStyle w:val="Body"/>
        <w:spacing w:after="0"/>
        <w:rPr>
          <w:rFonts w:ascii="Arial" w:hAnsi="Arial" w:cs="Arial"/>
          <w:b/>
          <w:bCs/>
        </w:rPr>
      </w:pPr>
      <w:bookmarkStart w:id="23" w:name="_Toc151220423"/>
      <w:bookmarkStart w:id="24" w:name="_Toc151220917"/>
    </w:p>
    <w:p w14:paraId="09D003C8" w14:textId="77777777" w:rsidR="00055850" w:rsidRDefault="00055850" w:rsidP="00055850">
      <w:pPr>
        <w:pStyle w:val="Body"/>
        <w:spacing w:after="0"/>
        <w:rPr>
          <w:rFonts w:ascii="Arial" w:hAnsi="Arial" w:cs="Arial"/>
        </w:rPr>
      </w:pPr>
      <w:r w:rsidRPr="00055850">
        <w:rPr>
          <w:rFonts w:ascii="Arial" w:hAnsi="Arial" w:cs="Arial"/>
          <w:b/>
          <w:bCs/>
        </w:rPr>
        <w:t xml:space="preserve">Table </w:t>
      </w:r>
      <w:r w:rsidRPr="00055850">
        <w:rPr>
          <w:rFonts w:ascii="Arial" w:hAnsi="Arial" w:cs="Arial"/>
          <w:b/>
          <w:bCs/>
        </w:rPr>
        <w:fldChar w:fldCharType="begin"/>
      </w:r>
      <w:r w:rsidRPr="00055850">
        <w:rPr>
          <w:rFonts w:ascii="Arial" w:hAnsi="Arial" w:cs="Arial"/>
          <w:b/>
          <w:bCs/>
        </w:rPr>
        <w:instrText xml:space="preserve"> SEQ Table \* ARABIC </w:instrText>
      </w:r>
      <w:r w:rsidRPr="00055850">
        <w:rPr>
          <w:rFonts w:ascii="Arial" w:hAnsi="Arial" w:cs="Arial"/>
          <w:b/>
          <w:bCs/>
        </w:rPr>
        <w:fldChar w:fldCharType="separate"/>
      </w:r>
      <w:r w:rsidRPr="00055850">
        <w:rPr>
          <w:rFonts w:ascii="Arial" w:hAnsi="Arial" w:cs="Arial"/>
          <w:b/>
          <w:bCs/>
        </w:rPr>
        <w:t>4</w:t>
      </w:r>
      <w:r w:rsidRPr="00055850">
        <w:rPr>
          <w:rFonts w:ascii="Arial" w:hAnsi="Arial" w:cs="Arial"/>
        </w:rPr>
        <w:fldChar w:fldCharType="end"/>
      </w:r>
      <w:r>
        <w:rPr>
          <w:rFonts w:ascii="Arial" w:hAnsi="Arial" w:cs="Arial"/>
        </w:rPr>
        <w:t>.</w:t>
      </w:r>
      <w:r w:rsidRPr="00055850">
        <w:rPr>
          <w:rFonts w:ascii="Arial" w:hAnsi="Arial" w:cs="Arial"/>
          <w:b/>
          <w:bCs/>
        </w:rPr>
        <w:t xml:space="preserve"> Effect of MLE of </w:t>
      </w:r>
      <w:r w:rsidRPr="00055850">
        <w:rPr>
          <w:rFonts w:ascii="Arial" w:hAnsi="Arial" w:cs="Arial"/>
          <w:b/>
          <w:bCs/>
          <w:i/>
          <w:iCs/>
        </w:rPr>
        <w:t>C. gigantea</w:t>
      </w:r>
      <w:r w:rsidRPr="00055850">
        <w:rPr>
          <w:rFonts w:ascii="Arial" w:hAnsi="Arial" w:cs="Arial"/>
          <w:b/>
          <w:bCs/>
        </w:rPr>
        <w:t xml:space="preserve"> on Hotplate Test in Rats (Mean Latency Time After Drug/ Extract Administration in Sec.)</w:t>
      </w:r>
    </w:p>
    <w:p w14:paraId="0C2DC575" w14:textId="77777777" w:rsidR="00055850" w:rsidRPr="00055850" w:rsidRDefault="00055850" w:rsidP="00055850">
      <w:pPr>
        <w:pStyle w:val="Body"/>
        <w:spacing w:after="0"/>
        <w:rPr>
          <w:rFonts w:ascii="Arial" w:hAnsi="Arial" w:cs="Arial"/>
          <w:b/>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1200"/>
        <w:gridCol w:w="1105"/>
        <w:gridCol w:w="1216"/>
        <w:gridCol w:w="1216"/>
        <w:gridCol w:w="1216"/>
        <w:gridCol w:w="1327"/>
      </w:tblGrid>
      <w:tr w:rsidR="00055850" w:rsidRPr="00055850" w14:paraId="09CF6A6F" w14:textId="77777777" w:rsidTr="0017267B">
        <w:trPr>
          <w:trHeight w:val="608"/>
        </w:trPr>
        <w:tc>
          <w:tcPr>
            <w:tcW w:w="532" w:type="pct"/>
            <w:tcBorders>
              <w:top w:val="single" w:sz="4" w:space="0" w:color="auto"/>
              <w:bottom w:val="single" w:sz="4" w:space="0" w:color="auto"/>
            </w:tcBorders>
          </w:tcPr>
          <w:bookmarkEnd w:id="23"/>
          <w:bookmarkEnd w:id="24"/>
          <w:p w14:paraId="52FCDD03"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Groups</w:t>
            </w:r>
          </w:p>
        </w:tc>
        <w:tc>
          <w:tcPr>
            <w:tcW w:w="969" w:type="pct"/>
            <w:tcBorders>
              <w:top w:val="single" w:sz="4" w:space="0" w:color="auto"/>
              <w:bottom w:val="single" w:sz="4" w:space="0" w:color="auto"/>
            </w:tcBorders>
          </w:tcPr>
          <w:p w14:paraId="49B7AF2E"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Treatment</w:t>
            </w:r>
          </w:p>
        </w:tc>
        <w:tc>
          <w:tcPr>
            <w:tcW w:w="686" w:type="pct"/>
            <w:tcBorders>
              <w:top w:val="single" w:sz="4" w:space="0" w:color="auto"/>
              <w:bottom w:val="single" w:sz="4" w:space="0" w:color="auto"/>
            </w:tcBorders>
          </w:tcPr>
          <w:p w14:paraId="26C8518D"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O min.</w:t>
            </w:r>
          </w:p>
        </w:tc>
        <w:tc>
          <w:tcPr>
            <w:tcW w:w="687" w:type="pct"/>
            <w:tcBorders>
              <w:top w:val="single" w:sz="4" w:space="0" w:color="auto"/>
              <w:bottom w:val="single" w:sz="4" w:space="0" w:color="auto"/>
            </w:tcBorders>
          </w:tcPr>
          <w:p w14:paraId="6DED5FE4"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30 min.</w:t>
            </w:r>
          </w:p>
        </w:tc>
        <w:tc>
          <w:tcPr>
            <w:tcW w:w="687" w:type="pct"/>
            <w:tcBorders>
              <w:top w:val="single" w:sz="4" w:space="0" w:color="auto"/>
              <w:bottom w:val="single" w:sz="4" w:space="0" w:color="auto"/>
            </w:tcBorders>
          </w:tcPr>
          <w:p w14:paraId="4684AD95"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60 min.</w:t>
            </w:r>
          </w:p>
        </w:tc>
        <w:tc>
          <w:tcPr>
            <w:tcW w:w="687" w:type="pct"/>
            <w:tcBorders>
              <w:top w:val="single" w:sz="4" w:space="0" w:color="auto"/>
              <w:bottom w:val="single" w:sz="4" w:space="0" w:color="auto"/>
            </w:tcBorders>
          </w:tcPr>
          <w:p w14:paraId="6B03FB6D"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90 min.</w:t>
            </w:r>
          </w:p>
        </w:tc>
        <w:tc>
          <w:tcPr>
            <w:tcW w:w="750" w:type="pct"/>
            <w:tcBorders>
              <w:top w:val="single" w:sz="4" w:space="0" w:color="auto"/>
              <w:bottom w:val="single" w:sz="4" w:space="0" w:color="auto"/>
            </w:tcBorders>
          </w:tcPr>
          <w:p w14:paraId="12D17DAF"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120 min.</w:t>
            </w:r>
          </w:p>
        </w:tc>
      </w:tr>
      <w:tr w:rsidR="00055850" w:rsidRPr="00055850" w14:paraId="32AA4698" w14:textId="77777777" w:rsidTr="0017267B">
        <w:trPr>
          <w:trHeight w:val="424"/>
        </w:trPr>
        <w:tc>
          <w:tcPr>
            <w:tcW w:w="532" w:type="pct"/>
            <w:tcBorders>
              <w:top w:val="single" w:sz="4" w:space="0" w:color="auto"/>
            </w:tcBorders>
          </w:tcPr>
          <w:p w14:paraId="7532DF37"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A</w:t>
            </w:r>
          </w:p>
        </w:tc>
        <w:tc>
          <w:tcPr>
            <w:tcW w:w="969" w:type="pct"/>
            <w:tcBorders>
              <w:top w:val="single" w:sz="4" w:space="0" w:color="auto"/>
            </w:tcBorders>
          </w:tcPr>
          <w:p w14:paraId="3BAA3858" w14:textId="77777777" w:rsidR="00055850" w:rsidRPr="00055850" w:rsidRDefault="00055850" w:rsidP="00055850">
            <w:pPr>
              <w:pStyle w:val="Body"/>
              <w:spacing w:after="0"/>
              <w:rPr>
                <w:rFonts w:ascii="Arial" w:hAnsi="Arial" w:cs="Arial"/>
                <w:sz w:val="20"/>
              </w:rPr>
            </w:pPr>
            <w:r w:rsidRPr="00055850">
              <w:rPr>
                <w:rFonts w:ascii="Arial" w:hAnsi="Arial" w:cs="Arial"/>
                <w:sz w:val="20"/>
              </w:rPr>
              <w:t>N/S</w:t>
            </w:r>
          </w:p>
        </w:tc>
        <w:tc>
          <w:tcPr>
            <w:tcW w:w="686" w:type="pct"/>
            <w:tcBorders>
              <w:top w:val="single" w:sz="4" w:space="0" w:color="auto"/>
            </w:tcBorders>
          </w:tcPr>
          <w:p w14:paraId="0C404916" w14:textId="77777777" w:rsidR="00055850" w:rsidRPr="00055850" w:rsidRDefault="00055850" w:rsidP="00055850">
            <w:pPr>
              <w:pStyle w:val="Body"/>
              <w:spacing w:after="0"/>
              <w:rPr>
                <w:rFonts w:ascii="Arial" w:hAnsi="Arial" w:cs="Arial"/>
                <w:sz w:val="20"/>
              </w:rPr>
            </w:pPr>
            <w:r w:rsidRPr="00055850">
              <w:rPr>
                <w:rFonts w:ascii="Arial" w:hAnsi="Arial" w:cs="Arial"/>
                <w:sz w:val="20"/>
              </w:rPr>
              <w:t>34±2.45</w:t>
            </w:r>
          </w:p>
        </w:tc>
        <w:tc>
          <w:tcPr>
            <w:tcW w:w="687" w:type="pct"/>
            <w:tcBorders>
              <w:top w:val="single" w:sz="4" w:space="0" w:color="auto"/>
            </w:tcBorders>
          </w:tcPr>
          <w:p w14:paraId="19407E8D" w14:textId="77777777" w:rsidR="00055850" w:rsidRPr="00055850" w:rsidRDefault="00055850" w:rsidP="00055850">
            <w:pPr>
              <w:pStyle w:val="Body"/>
              <w:spacing w:after="0"/>
              <w:rPr>
                <w:rFonts w:ascii="Arial" w:hAnsi="Arial" w:cs="Arial"/>
                <w:sz w:val="20"/>
              </w:rPr>
            </w:pPr>
            <w:r w:rsidRPr="00055850">
              <w:rPr>
                <w:rFonts w:ascii="Arial" w:hAnsi="Arial" w:cs="Arial"/>
                <w:sz w:val="20"/>
              </w:rPr>
              <w:t>34 ± 2.58</w:t>
            </w:r>
          </w:p>
        </w:tc>
        <w:tc>
          <w:tcPr>
            <w:tcW w:w="687" w:type="pct"/>
            <w:tcBorders>
              <w:top w:val="single" w:sz="4" w:space="0" w:color="auto"/>
            </w:tcBorders>
          </w:tcPr>
          <w:p w14:paraId="5A43AB7B" w14:textId="77777777" w:rsidR="00055850" w:rsidRPr="00055850" w:rsidRDefault="00055850" w:rsidP="00055850">
            <w:pPr>
              <w:pStyle w:val="Body"/>
              <w:spacing w:after="0"/>
              <w:rPr>
                <w:rFonts w:ascii="Arial" w:hAnsi="Arial" w:cs="Arial"/>
                <w:sz w:val="20"/>
              </w:rPr>
            </w:pPr>
            <w:r w:rsidRPr="00055850">
              <w:rPr>
                <w:rFonts w:ascii="Arial" w:hAnsi="Arial" w:cs="Arial"/>
                <w:sz w:val="20"/>
              </w:rPr>
              <w:t>34.25 ± 3.3</w:t>
            </w:r>
          </w:p>
        </w:tc>
        <w:tc>
          <w:tcPr>
            <w:tcW w:w="687" w:type="pct"/>
            <w:tcBorders>
              <w:top w:val="single" w:sz="4" w:space="0" w:color="auto"/>
            </w:tcBorders>
          </w:tcPr>
          <w:p w14:paraId="711679BA" w14:textId="77777777" w:rsidR="00055850" w:rsidRPr="00055850" w:rsidRDefault="00055850" w:rsidP="00055850">
            <w:pPr>
              <w:pStyle w:val="Body"/>
              <w:spacing w:after="0"/>
              <w:rPr>
                <w:rFonts w:ascii="Arial" w:hAnsi="Arial" w:cs="Arial"/>
                <w:sz w:val="20"/>
              </w:rPr>
            </w:pPr>
            <w:r w:rsidRPr="00055850">
              <w:rPr>
                <w:rFonts w:ascii="Arial" w:hAnsi="Arial" w:cs="Arial"/>
                <w:sz w:val="20"/>
              </w:rPr>
              <w:t>35.5 ± 2.08</w:t>
            </w:r>
          </w:p>
        </w:tc>
        <w:tc>
          <w:tcPr>
            <w:tcW w:w="750" w:type="pct"/>
            <w:tcBorders>
              <w:top w:val="single" w:sz="4" w:space="0" w:color="auto"/>
            </w:tcBorders>
          </w:tcPr>
          <w:p w14:paraId="0648D1EE" w14:textId="77777777" w:rsidR="00055850" w:rsidRPr="00055850" w:rsidRDefault="00055850" w:rsidP="00055850">
            <w:pPr>
              <w:pStyle w:val="Body"/>
              <w:spacing w:after="0"/>
              <w:rPr>
                <w:rFonts w:ascii="Arial" w:hAnsi="Arial" w:cs="Arial"/>
                <w:sz w:val="20"/>
              </w:rPr>
            </w:pPr>
            <w:r w:rsidRPr="00055850">
              <w:rPr>
                <w:rFonts w:ascii="Arial" w:hAnsi="Arial" w:cs="Arial"/>
                <w:sz w:val="20"/>
              </w:rPr>
              <w:t>36.75 ± 1.25</w:t>
            </w:r>
          </w:p>
        </w:tc>
      </w:tr>
      <w:tr w:rsidR="00055850" w:rsidRPr="00055850" w14:paraId="200403D4" w14:textId="77777777" w:rsidTr="0017267B">
        <w:trPr>
          <w:trHeight w:val="627"/>
        </w:trPr>
        <w:tc>
          <w:tcPr>
            <w:tcW w:w="532" w:type="pct"/>
          </w:tcPr>
          <w:p w14:paraId="4962F25C"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B</w:t>
            </w:r>
          </w:p>
        </w:tc>
        <w:tc>
          <w:tcPr>
            <w:tcW w:w="969" w:type="pct"/>
          </w:tcPr>
          <w:p w14:paraId="73F895A6" w14:textId="77777777" w:rsidR="00055850" w:rsidRPr="00055850" w:rsidRDefault="00055850" w:rsidP="00055850">
            <w:pPr>
              <w:pStyle w:val="Body"/>
              <w:spacing w:after="0"/>
              <w:rPr>
                <w:rFonts w:ascii="Arial" w:hAnsi="Arial" w:cs="Arial"/>
                <w:sz w:val="20"/>
              </w:rPr>
            </w:pPr>
            <w:r w:rsidRPr="00055850">
              <w:rPr>
                <w:rFonts w:ascii="Arial" w:hAnsi="Arial" w:cs="Arial"/>
                <w:sz w:val="20"/>
              </w:rPr>
              <w:t>Diclofenac</w:t>
            </w:r>
          </w:p>
        </w:tc>
        <w:tc>
          <w:tcPr>
            <w:tcW w:w="686" w:type="pct"/>
          </w:tcPr>
          <w:p w14:paraId="22920688" w14:textId="77777777" w:rsidR="00055850" w:rsidRPr="00055850" w:rsidRDefault="00055850" w:rsidP="00055850">
            <w:pPr>
              <w:pStyle w:val="Body"/>
              <w:spacing w:after="0"/>
              <w:rPr>
                <w:rFonts w:ascii="Arial" w:hAnsi="Arial" w:cs="Arial"/>
                <w:sz w:val="20"/>
              </w:rPr>
            </w:pPr>
            <w:r w:rsidRPr="00055850">
              <w:rPr>
                <w:rFonts w:ascii="Arial" w:hAnsi="Arial" w:cs="Arial"/>
                <w:sz w:val="20"/>
              </w:rPr>
              <w:t>39.25± 2.22</w:t>
            </w:r>
          </w:p>
        </w:tc>
        <w:tc>
          <w:tcPr>
            <w:tcW w:w="687" w:type="pct"/>
          </w:tcPr>
          <w:p w14:paraId="57114162" w14:textId="77777777" w:rsidR="00055850" w:rsidRPr="00055850" w:rsidRDefault="00055850" w:rsidP="00055850">
            <w:pPr>
              <w:pStyle w:val="Body"/>
              <w:spacing w:after="0"/>
              <w:rPr>
                <w:rFonts w:ascii="Arial" w:hAnsi="Arial" w:cs="Arial"/>
                <w:sz w:val="20"/>
              </w:rPr>
            </w:pPr>
            <w:r w:rsidRPr="00055850">
              <w:rPr>
                <w:rFonts w:ascii="Arial" w:hAnsi="Arial" w:cs="Arial"/>
                <w:sz w:val="20"/>
              </w:rPr>
              <w:t>64.5 ±2.65</w:t>
            </w:r>
          </w:p>
        </w:tc>
        <w:tc>
          <w:tcPr>
            <w:tcW w:w="687" w:type="pct"/>
          </w:tcPr>
          <w:p w14:paraId="4C062C5C" w14:textId="77777777" w:rsidR="00055850" w:rsidRPr="00055850" w:rsidRDefault="00055850" w:rsidP="00055850">
            <w:pPr>
              <w:pStyle w:val="Body"/>
              <w:spacing w:after="0"/>
              <w:rPr>
                <w:rFonts w:ascii="Arial" w:hAnsi="Arial" w:cs="Arial"/>
                <w:sz w:val="20"/>
              </w:rPr>
            </w:pPr>
            <w:r w:rsidRPr="00055850">
              <w:rPr>
                <w:rFonts w:ascii="Arial" w:hAnsi="Arial" w:cs="Arial"/>
                <w:sz w:val="20"/>
              </w:rPr>
              <w:t>93.75±2.87</w:t>
            </w:r>
          </w:p>
        </w:tc>
        <w:tc>
          <w:tcPr>
            <w:tcW w:w="687" w:type="pct"/>
          </w:tcPr>
          <w:p w14:paraId="23E0A482" w14:textId="77777777" w:rsidR="00055850" w:rsidRPr="00055850" w:rsidRDefault="00055850" w:rsidP="00055850">
            <w:pPr>
              <w:pStyle w:val="Body"/>
              <w:spacing w:after="0"/>
              <w:rPr>
                <w:rFonts w:ascii="Arial" w:hAnsi="Arial" w:cs="Arial"/>
                <w:sz w:val="20"/>
              </w:rPr>
            </w:pPr>
            <w:r w:rsidRPr="00055850">
              <w:rPr>
                <w:rFonts w:ascii="Arial" w:hAnsi="Arial" w:cs="Arial"/>
                <w:sz w:val="20"/>
              </w:rPr>
              <w:t>114.75±3.4</w:t>
            </w:r>
          </w:p>
        </w:tc>
        <w:tc>
          <w:tcPr>
            <w:tcW w:w="750" w:type="pct"/>
          </w:tcPr>
          <w:p w14:paraId="7C13D5F5" w14:textId="77777777" w:rsidR="00055850" w:rsidRPr="00055850" w:rsidRDefault="00055850" w:rsidP="00055850">
            <w:pPr>
              <w:pStyle w:val="Body"/>
              <w:spacing w:after="0"/>
              <w:rPr>
                <w:rFonts w:ascii="Arial" w:hAnsi="Arial" w:cs="Arial"/>
                <w:sz w:val="20"/>
              </w:rPr>
            </w:pPr>
            <w:r w:rsidRPr="00055850">
              <w:rPr>
                <w:rFonts w:ascii="Arial" w:hAnsi="Arial" w:cs="Arial"/>
                <w:sz w:val="20"/>
              </w:rPr>
              <w:t>138.25±2.5</w:t>
            </w:r>
          </w:p>
        </w:tc>
      </w:tr>
      <w:tr w:rsidR="00055850" w:rsidRPr="00055850" w14:paraId="04BE85F4" w14:textId="77777777" w:rsidTr="0017267B">
        <w:trPr>
          <w:trHeight w:val="627"/>
        </w:trPr>
        <w:tc>
          <w:tcPr>
            <w:tcW w:w="532" w:type="pct"/>
          </w:tcPr>
          <w:p w14:paraId="55139E2D"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C</w:t>
            </w:r>
          </w:p>
        </w:tc>
        <w:tc>
          <w:tcPr>
            <w:tcW w:w="969" w:type="pct"/>
          </w:tcPr>
          <w:p w14:paraId="6CA80D18" w14:textId="77777777" w:rsidR="00055850" w:rsidRPr="00055850" w:rsidRDefault="00055850" w:rsidP="00055850">
            <w:pPr>
              <w:pStyle w:val="Body"/>
              <w:spacing w:after="0"/>
              <w:rPr>
                <w:rFonts w:ascii="Arial" w:hAnsi="Arial" w:cs="Arial"/>
                <w:sz w:val="20"/>
              </w:rPr>
            </w:pPr>
            <w:r w:rsidRPr="00055850">
              <w:rPr>
                <w:rFonts w:ascii="Arial" w:hAnsi="Arial" w:cs="Arial"/>
                <w:sz w:val="20"/>
              </w:rPr>
              <w:t>MLE</w:t>
            </w:r>
          </w:p>
          <w:p w14:paraId="060B4F61" w14:textId="77777777" w:rsidR="00055850" w:rsidRPr="00055850" w:rsidRDefault="00055850" w:rsidP="00055850">
            <w:pPr>
              <w:pStyle w:val="Body"/>
              <w:spacing w:after="0"/>
              <w:rPr>
                <w:rFonts w:ascii="Arial" w:hAnsi="Arial" w:cs="Arial"/>
                <w:sz w:val="20"/>
              </w:rPr>
            </w:pPr>
            <w:r w:rsidRPr="00055850">
              <w:rPr>
                <w:rFonts w:ascii="Arial" w:hAnsi="Arial" w:cs="Arial"/>
                <w:sz w:val="20"/>
              </w:rPr>
              <w:t>(200 mg/kg)</w:t>
            </w:r>
          </w:p>
        </w:tc>
        <w:tc>
          <w:tcPr>
            <w:tcW w:w="686" w:type="pct"/>
          </w:tcPr>
          <w:p w14:paraId="7AF0E0E0" w14:textId="77777777" w:rsidR="00055850" w:rsidRPr="00055850" w:rsidRDefault="00055850" w:rsidP="00055850">
            <w:pPr>
              <w:pStyle w:val="Body"/>
              <w:spacing w:after="0"/>
              <w:rPr>
                <w:rFonts w:ascii="Arial" w:hAnsi="Arial" w:cs="Arial"/>
                <w:sz w:val="20"/>
              </w:rPr>
            </w:pPr>
            <w:r w:rsidRPr="00055850">
              <w:rPr>
                <w:rFonts w:ascii="Arial" w:hAnsi="Arial" w:cs="Arial"/>
                <w:sz w:val="20"/>
              </w:rPr>
              <w:t>35.5±2.51</w:t>
            </w:r>
          </w:p>
        </w:tc>
        <w:tc>
          <w:tcPr>
            <w:tcW w:w="687" w:type="pct"/>
          </w:tcPr>
          <w:p w14:paraId="05EFEAC3" w14:textId="77777777" w:rsidR="00055850" w:rsidRPr="00055850" w:rsidRDefault="00055850" w:rsidP="00055850">
            <w:pPr>
              <w:pStyle w:val="Body"/>
              <w:spacing w:after="0"/>
              <w:rPr>
                <w:rFonts w:ascii="Arial" w:hAnsi="Arial" w:cs="Arial"/>
                <w:sz w:val="20"/>
              </w:rPr>
            </w:pPr>
            <w:r w:rsidRPr="00055850">
              <w:rPr>
                <w:rFonts w:ascii="Arial" w:hAnsi="Arial" w:cs="Arial"/>
                <w:sz w:val="20"/>
              </w:rPr>
              <w:t>52.25±6.29</w:t>
            </w:r>
          </w:p>
        </w:tc>
        <w:tc>
          <w:tcPr>
            <w:tcW w:w="687" w:type="pct"/>
          </w:tcPr>
          <w:p w14:paraId="600DF834" w14:textId="77777777" w:rsidR="00055850" w:rsidRPr="00055850" w:rsidRDefault="00055850" w:rsidP="00055850">
            <w:pPr>
              <w:pStyle w:val="Body"/>
              <w:spacing w:after="0"/>
              <w:rPr>
                <w:rFonts w:ascii="Arial" w:hAnsi="Arial" w:cs="Arial"/>
                <w:sz w:val="20"/>
              </w:rPr>
            </w:pPr>
            <w:r w:rsidRPr="00055850">
              <w:rPr>
                <w:rFonts w:ascii="Arial" w:hAnsi="Arial" w:cs="Arial"/>
                <w:sz w:val="20"/>
              </w:rPr>
              <w:t>64.25±1.71</w:t>
            </w:r>
          </w:p>
        </w:tc>
        <w:tc>
          <w:tcPr>
            <w:tcW w:w="687" w:type="pct"/>
          </w:tcPr>
          <w:p w14:paraId="12F7DA08" w14:textId="77777777" w:rsidR="00055850" w:rsidRPr="00055850" w:rsidRDefault="00055850" w:rsidP="00055850">
            <w:pPr>
              <w:pStyle w:val="Body"/>
              <w:spacing w:after="0"/>
              <w:rPr>
                <w:rFonts w:ascii="Arial" w:hAnsi="Arial" w:cs="Arial"/>
                <w:sz w:val="20"/>
              </w:rPr>
            </w:pPr>
            <w:r w:rsidRPr="00055850">
              <w:rPr>
                <w:rFonts w:ascii="Arial" w:hAnsi="Arial" w:cs="Arial"/>
                <w:sz w:val="20"/>
              </w:rPr>
              <w:t>69.25±2.22</w:t>
            </w:r>
          </w:p>
        </w:tc>
        <w:tc>
          <w:tcPr>
            <w:tcW w:w="750" w:type="pct"/>
          </w:tcPr>
          <w:p w14:paraId="4974110A" w14:textId="77777777" w:rsidR="00055850" w:rsidRPr="00055850" w:rsidRDefault="00055850" w:rsidP="00055850">
            <w:pPr>
              <w:pStyle w:val="Body"/>
              <w:spacing w:after="0"/>
              <w:rPr>
                <w:rFonts w:ascii="Arial" w:hAnsi="Arial" w:cs="Arial"/>
                <w:sz w:val="20"/>
              </w:rPr>
            </w:pPr>
            <w:r w:rsidRPr="00055850">
              <w:rPr>
                <w:rFonts w:ascii="Arial" w:hAnsi="Arial" w:cs="Arial"/>
                <w:sz w:val="20"/>
              </w:rPr>
              <w:t>85±3.55</w:t>
            </w:r>
          </w:p>
        </w:tc>
      </w:tr>
      <w:tr w:rsidR="00055850" w:rsidRPr="00055850" w14:paraId="36EE3E6E" w14:textId="77777777" w:rsidTr="0017267B">
        <w:trPr>
          <w:trHeight w:val="627"/>
        </w:trPr>
        <w:tc>
          <w:tcPr>
            <w:tcW w:w="532" w:type="pct"/>
            <w:tcBorders>
              <w:bottom w:val="single" w:sz="4" w:space="0" w:color="auto"/>
            </w:tcBorders>
          </w:tcPr>
          <w:p w14:paraId="1C258289"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D</w:t>
            </w:r>
          </w:p>
        </w:tc>
        <w:tc>
          <w:tcPr>
            <w:tcW w:w="969" w:type="pct"/>
            <w:tcBorders>
              <w:bottom w:val="single" w:sz="4" w:space="0" w:color="auto"/>
            </w:tcBorders>
          </w:tcPr>
          <w:p w14:paraId="660D91A4" w14:textId="77777777" w:rsidR="00055850" w:rsidRPr="00055850" w:rsidRDefault="00055850" w:rsidP="00055850">
            <w:pPr>
              <w:pStyle w:val="Body"/>
              <w:spacing w:after="0"/>
              <w:rPr>
                <w:rFonts w:ascii="Arial" w:hAnsi="Arial" w:cs="Arial"/>
                <w:sz w:val="20"/>
              </w:rPr>
            </w:pPr>
            <w:r w:rsidRPr="00055850">
              <w:rPr>
                <w:rFonts w:ascii="Arial" w:hAnsi="Arial" w:cs="Arial"/>
                <w:sz w:val="20"/>
              </w:rPr>
              <w:t xml:space="preserve">MLE </w:t>
            </w:r>
          </w:p>
          <w:p w14:paraId="3199328C" w14:textId="77777777" w:rsidR="00055850" w:rsidRPr="00055850" w:rsidRDefault="00055850" w:rsidP="00055850">
            <w:pPr>
              <w:pStyle w:val="Body"/>
              <w:spacing w:after="0"/>
              <w:rPr>
                <w:rFonts w:ascii="Arial" w:hAnsi="Arial" w:cs="Arial"/>
                <w:sz w:val="20"/>
              </w:rPr>
            </w:pPr>
            <w:r w:rsidRPr="00055850">
              <w:rPr>
                <w:rFonts w:ascii="Arial" w:hAnsi="Arial" w:cs="Arial"/>
                <w:sz w:val="20"/>
              </w:rPr>
              <w:t>(400 mg/kg)</w:t>
            </w:r>
          </w:p>
        </w:tc>
        <w:tc>
          <w:tcPr>
            <w:tcW w:w="686" w:type="pct"/>
            <w:tcBorders>
              <w:bottom w:val="single" w:sz="4" w:space="0" w:color="auto"/>
            </w:tcBorders>
          </w:tcPr>
          <w:p w14:paraId="5D34E2E6" w14:textId="77777777" w:rsidR="00055850" w:rsidRPr="00055850" w:rsidRDefault="00055850" w:rsidP="00055850">
            <w:pPr>
              <w:pStyle w:val="Body"/>
              <w:spacing w:after="0"/>
              <w:rPr>
                <w:rFonts w:ascii="Arial" w:hAnsi="Arial" w:cs="Arial"/>
                <w:sz w:val="20"/>
              </w:rPr>
            </w:pPr>
            <w:r w:rsidRPr="00055850">
              <w:rPr>
                <w:rFonts w:ascii="Arial" w:hAnsi="Arial" w:cs="Arial"/>
                <w:sz w:val="20"/>
              </w:rPr>
              <w:t>36±3.16</w:t>
            </w:r>
          </w:p>
        </w:tc>
        <w:tc>
          <w:tcPr>
            <w:tcW w:w="687" w:type="pct"/>
            <w:tcBorders>
              <w:bottom w:val="single" w:sz="4" w:space="0" w:color="auto"/>
            </w:tcBorders>
          </w:tcPr>
          <w:p w14:paraId="50F17AAE" w14:textId="77777777" w:rsidR="00055850" w:rsidRPr="00055850" w:rsidRDefault="00055850" w:rsidP="00055850">
            <w:pPr>
              <w:pStyle w:val="Body"/>
              <w:spacing w:after="0"/>
              <w:rPr>
                <w:rFonts w:ascii="Arial" w:hAnsi="Arial" w:cs="Arial"/>
                <w:sz w:val="20"/>
              </w:rPr>
            </w:pPr>
            <w:r w:rsidRPr="00055850">
              <w:rPr>
                <w:rFonts w:ascii="Arial" w:hAnsi="Arial" w:cs="Arial"/>
                <w:sz w:val="20"/>
              </w:rPr>
              <w:t>57.25±4.34</w:t>
            </w:r>
          </w:p>
        </w:tc>
        <w:tc>
          <w:tcPr>
            <w:tcW w:w="687" w:type="pct"/>
            <w:tcBorders>
              <w:bottom w:val="single" w:sz="4" w:space="0" w:color="auto"/>
            </w:tcBorders>
          </w:tcPr>
          <w:p w14:paraId="5AFC38FB" w14:textId="77777777" w:rsidR="00055850" w:rsidRPr="00055850" w:rsidRDefault="00055850" w:rsidP="00055850">
            <w:pPr>
              <w:pStyle w:val="Body"/>
              <w:spacing w:after="0"/>
              <w:rPr>
                <w:rFonts w:ascii="Arial" w:hAnsi="Arial" w:cs="Arial"/>
                <w:sz w:val="20"/>
              </w:rPr>
            </w:pPr>
            <w:r w:rsidRPr="00055850">
              <w:rPr>
                <w:rFonts w:ascii="Arial" w:hAnsi="Arial" w:cs="Arial"/>
                <w:sz w:val="20"/>
              </w:rPr>
              <w:t>84.25±3.30</w:t>
            </w:r>
          </w:p>
        </w:tc>
        <w:tc>
          <w:tcPr>
            <w:tcW w:w="687" w:type="pct"/>
            <w:tcBorders>
              <w:bottom w:val="single" w:sz="4" w:space="0" w:color="auto"/>
            </w:tcBorders>
          </w:tcPr>
          <w:p w14:paraId="1922D1DF" w14:textId="77777777" w:rsidR="00055850" w:rsidRPr="00055850" w:rsidRDefault="00055850" w:rsidP="00055850">
            <w:pPr>
              <w:pStyle w:val="Body"/>
              <w:spacing w:after="0"/>
              <w:rPr>
                <w:rFonts w:ascii="Arial" w:hAnsi="Arial" w:cs="Arial"/>
                <w:sz w:val="20"/>
              </w:rPr>
            </w:pPr>
            <w:r w:rsidRPr="00055850">
              <w:rPr>
                <w:rFonts w:ascii="Arial" w:hAnsi="Arial" w:cs="Arial"/>
                <w:sz w:val="20"/>
              </w:rPr>
              <w:t>96.25±3.5</w:t>
            </w:r>
          </w:p>
        </w:tc>
        <w:tc>
          <w:tcPr>
            <w:tcW w:w="750" w:type="pct"/>
            <w:tcBorders>
              <w:bottom w:val="single" w:sz="4" w:space="0" w:color="auto"/>
            </w:tcBorders>
          </w:tcPr>
          <w:p w14:paraId="67DA25EF" w14:textId="77777777" w:rsidR="00055850" w:rsidRPr="00055850" w:rsidRDefault="00055850" w:rsidP="00055850">
            <w:pPr>
              <w:pStyle w:val="Body"/>
              <w:spacing w:after="0"/>
              <w:rPr>
                <w:rFonts w:ascii="Arial" w:hAnsi="Arial" w:cs="Arial"/>
                <w:sz w:val="20"/>
              </w:rPr>
            </w:pPr>
            <w:r w:rsidRPr="00055850">
              <w:rPr>
                <w:rFonts w:ascii="Arial" w:hAnsi="Arial" w:cs="Arial"/>
                <w:sz w:val="20"/>
              </w:rPr>
              <w:t>120.5±4.203</w:t>
            </w:r>
          </w:p>
        </w:tc>
      </w:tr>
    </w:tbl>
    <w:p w14:paraId="6CDDDE6C" w14:textId="77777777" w:rsidR="00055850" w:rsidRPr="00055850" w:rsidRDefault="00055850" w:rsidP="00055850">
      <w:pPr>
        <w:pStyle w:val="Body"/>
        <w:spacing w:after="0"/>
        <w:rPr>
          <w:rFonts w:ascii="Arial" w:hAnsi="Arial" w:cs="Arial"/>
        </w:rPr>
      </w:pPr>
    </w:p>
    <w:p w14:paraId="16AAB49F" w14:textId="77777777" w:rsidR="00055850" w:rsidRPr="00055850" w:rsidRDefault="00055850" w:rsidP="00055850">
      <w:pPr>
        <w:pStyle w:val="Body"/>
        <w:spacing w:after="0"/>
        <w:rPr>
          <w:rFonts w:ascii="Arial" w:hAnsi="Arial" w:cs="Arial"/>
          <w:b/>
        </w:rPr>
      </w:pPr>
      <w:r w:rsidRPr="00055850">
        <w:rPr>
          <w:rFonts w:ascii="Arial" w:hAnsi="Arial" w:cs="Arial"/>
          <w:b/>
          <w:noProof/>
        </w:rPr>
        <w:drawing>
          <wp:inline distT="0" distB="0" distL="0" distR="0" wp14:anchorId="3FF07E09" wp14:editId="081FF2AB">
            <wp:extent cx="5482590" cy="2743200"/>
            <wp:effectExtent l="0" t="0" r="381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DFF415" w14:textId="77777777" w:rsidR="00055850" w:rsidRDefault="00055850" w:rsidP="00055850">
      <w:pPr>
        <w:pStyle w:val="Body"/>
        <w:spacing w:after="0"/>
        <w:rPr>
          <w:rFonts w:ascii="Arial" w:hAnsi="Arial" w:cs="Arial"/>
          <w:b/>
          <w:bCs/>
        </w:rPr>
      </w:pPr>
    </w:p>
    <w:p w14:paraId="03A38593" w14:textId="77777777" w:rsidR="00055850" w:rsidRPr="00055850" w:rsidRDefault="00055850" w:rsidP="00055850">
      <w:pPr>
        <w:pStyle w:val="Body"/>
        <w:spacing w:after="0"/>
        <w:rPr>
          <w:rFonts w:ascii="Arial" w:hAnsi="Arial" w:cs="Arial"/>
          <w:b/>
          <w:bCs/>
        </w:rPr>
      </w:pPr>
      <w:r>
        <w:rPr>
          <w:rFonts w:ascii="Arial" w:hAnsi="Arial" w:cs="Arial"/>
          <w:b/>
          <w:bCs/>
        </w:rPr>
        <w:t>Fig.</w:t>
      </w:r>
      <w:r w:rsidRPr="00055850">
        <w:rPr>
          <w:rFonts w:ascii="Arial" w:hAnsi="Arial" w:cs="Arial"/>
          <w:b/>
          <w:bCs/>
        </w:rPr>
        <w:t xml:space="preserve"> </w:t>
      </w:r>
      <w:r w:rsidRPr="00055850">
        <w:rPr>
          <w:rFonts w:ascii="Arial" w:hAnsi="Arial" w:cs="Arial"/>
          <w:b/>
          <w:bCs/>
        </w:rPr>
        <w:fldChar w:fldCharType="begin"/>
      </w:r>
      <w:r w:rsidRPr="00055850">
        <w:rPr>
          <w:rFonts w:ascii="Arial" w:hAnsi="Arial" w:cs="Arial"/>
          <w:b/>
          <w:bCs/>
        </w:rPr>
        <w:instrText xml:space="preserve"> SEQ Figure \* ARABIC </w:instrText>
      </w:r>
      <w:r w:rsidRPr="00055850">
        <w:rPr>
          <w:rFonts w:ascii="Arial" w:hAnsi="Arial" w:cs="Arial"/>
          <w:b/>
          <w:bCs/>
        </w:rPr>
        <w:fldChar w:fldCharType="separate"/>
      </w:r>
      <w:r w:rsidRPr="00055850">
        <w:rPr>
          <w:rFonts w:ascii="Arial" w:hAnsi="Arial" w:cs="Arial"/>
          <w:b/>
          <w:bCs/>
        </w:rPr>
        <w:t>6</w:t>
      </w:r>
      <w:r w:rsidRPr="00055850">
        <w:rPr>
          <w:rFonts w:ascii="Arial" w:hAnsi="Arial" w:cs="Arial"/>
        </w:rPr>
        <w:fldChar w:fldCharType="end"/>
      </w:r>
      <w:r>
        <w:rPr>
          <w:rFonts w:ascii="Arial" w:hAnsi="Arial" w:cs="Arial"/>
        </w:rPr>
        <w:t>.</w:t>
      </w:r>
      <w:r w:rsidRPr="00055850">
        <w:rPr>
          <w:rFonts w:ascii="Arial" w:hAnsi="Arial" w:cs="Arial"/>
          <w:b/>
          <w:bCs/>
        </w:rPr>
        <w:t xml:space="preserve"> Graph Showing the Percentage Increase in Latency of Paw Licking in Rats After 30, 60, 90, and 120 Minutes of Standard and MLE Administration</w:t>
      </w:r>
    </w:p>
    <w:p w14:paraId="334817DE" w14:textId="77777777" w:rsidR="00055850" w:rsidRPr="00055850" w:rsidRDefault="00055850" w:rsidP="00055850">
      <w:pPr>
        <w:pStyle w:val="Body"/>
        <w:spacing w:after="0"/>
        <w:rPr>
          <w:rFonts w:ascii="Arial" w:hAnsi="Arial" w:cs="Arial"/>
        </w:rPr>
      </w:pPr>
      <w:r w:rsidRPr="00055850">
        <w:rPr>
          <w:rFonts w:ascii="Arial" w:hAnsi="Arial" w:cs="Arial"/>
          <w:noProof/>
        </w:rPr>
        <w:lastRenderedPageBreak/>
        <w:drawing>
          <wp:inline distT="0" distB="0" distL="0" distR="0" wp14:anchorId="4CAD4F6E" wp14:editId="2FCD097A">
            <wp:extent cx="1323975" cy="1922780"/>
            <wp:effectExtent l="0" t="0" r="0" b="0"/>
            <wp:docPr id="25" name="Picture 24" descr="paw lic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 lick4.jpg"/>
                    <pic:cNvPicPr/>
                  </pic:nvPicPr>
                  <pic:blipFill>
                    <a:blip r:embed="rId29" cstate="print"/>
                    <a:stretch>
                      <a:fillRect/>
                    </a:stretch>
                  </pic:blipFill>
                  <pic:spPr>
                    <a:xfrm>
                      <a:off x="0" y="0"/>
                      <a:ext cx="1325131" cy="1924459"/>
                    </a:xfrm>
                    <a:prstGeom prst="rect">
                      <a:avLst/>
                    </a:prstGeom>
                  </pic:spPr>
                </pic:pic>
              </a:graphicData>
            </a:graphic>
          </wp:inline>
        </w:drawing>
      </w:r>
      <w:r w:rsidRPr="00055850">
        <w:rPr>
          <w:rFonts w:ascii="Arial" w:hAnsi="Arial" w:cs="Arial"/>
        </w:rPr>
        <w:t xml:space="preserve"> </w:t>
      </w:r>
      <w:r w:rsidRPr="00055850">
        <w:rPr>
          <w:rFonts w:ascii="Arial" w:hAnsi="Arial" w:cs="Arial"/>
          <w:noProof/>
        </w:rPr>
        <w:drawing>
          <wp:inline distT="0" distB="0" distL="0" distR="0" wp14:anchorId="67F150FA" wp14:editId="2FBC87D9">
            <wp:extent cx="1285875" cy="1903095"/>
            <wp:effectExtent l="0" t="0" r="0" b="0"/>
            <wp:docPr id="26" name="Picture 25" descr="paw li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 lick3.jpg"/>
                    <pic:cNvPicPr/>
                  </pic:nvPicPr>
                  <pic:blipFill>
                    <a:blip r:embed="rId30" cstate="print"/>
                    <a:stretch>
                      <a:fillRect/>
                    </a:stretch>
                  </pic:blipFill>
                  <pic:spPr>
                    <a:xfrm>
                      <a:off x="0" y="0"/>
                      <a:ext cx="1295385" cy="1917170"/>
                    </a:xfrm>
                    <a:prstGeom prst="rect">
                      <a:avLst/>
                    </a:prstGeom>
                  </pic:spPr>
                </pic:pic>
              </a:graphicData>
            </a:graphic>
          </wp:inline>
        </w:drawing>
      </w:r>
      <w:r w:rsidRPr="00055850">
        <w:rPr>
          <w:rFonts w:ascii="Arial" w:hAnsi="Arial" w:cs="Arial"/>
        </w:rPr>
        <w:t xml:space="preserve"> </w:t>
      </w:r>
      <w:r w:rsidRPr="00055850">
        <w:rPr>
          <w:rFonts w:ascii="Arial" w:hAnsi="Arial" w:cs="Arial"/>
          <w:noProof/>
        </w:rPr>
        <w:drawing>
          <wp:inline distT="0" distB="0" distL="0" distR="0" wp14:anchorId="6EB4616D" wp14:editId="190A8B62">
            <wp:extent cx="1304925" cy="1903730"/>
            <wp:effectExtent l="0" t="0" r="0" b="0"/>
            <wp:docPr id="27" name="Picture 26" descr="paw li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 lick2.jpg"/>
                    <pic:cNvPicPr/>
                  </pic:nvPicPr>
                  <pic:blipFill>
                    <a:blip r:embed="rId31" cstate="print"/>
                    <a:stretch>
                      <a:fillRect/>
                    </a:stretch>
                  </pic:blipFill>
                  <pic:spPr>
                    <a:xfrm>
                      <a:off x="0" y="0"/>
                      <a:ext cx="1317359" cy="1921870"/>
                    </a:xfrm>
                    <a:prstGeom prst="rect">
                      <a:avLst/>
                    </a:prstGeom>
                  </pic:spPr>
                </pic:pic>
              </a:graphicData>
            </a:graphic>
          </wp:inline>
        </w:drawing>
      </w:r>
      <w:r w:rsidRPr="00055850">
        <w:rPr>
          <w:rFonts w:ascii="Arial" w:hAnsi="Arial" w:cs="Arial"/>
        </w:rPr>
        <w:t xml:space="preserve"> </w:t>
      </w:r>
      <w:r w:rsidRPr="00055850">
        <w:rPr>
          <w:rFonts w:ascii="Arial" w:hAnsi="Arial" w:cs="Arial"/>
          <w:noProof/>
        </w:rPr>
        <w:drawing>
          <wp:inline distT="0" distB="0" distL="0" distR="0" wp14:anchorId="449200F3" wp14:editId="303B35A8">
            <wp:extent cx="1133475" cy="1902460"/>
            <wp:effectExtent l="0" t="0" r="0" b="0"/>
            <wp:docPr id="28" name="Picture 27" descr="paw l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 lick.jpg"/>
                    <pic:cNvPicPr/>
                  </pic:nvPicPr>
                  <pic:blipFill>
                    <a:blip r:embed="rId32" cstate="print"/>
                    <a:stretch>
                      <a:fillRect/>
                    </a:stretch>
                  </pic:blipFill>
                  <pic:spPr>
                    <a:xfrm>
                      <a:off x="0" y="0"/>
                      <a:ext cx="1133475" cy="1902460"/>
                    </a:xfrm>
                    <a:prstGeom prst="rect">
                      <a:avLst/>
                    </a:prstGeom>
                  </pic:spPr>
                </pic:pic>
              </a:graphicData>
            </a:graphic>
          </wp:inline>
        </w:drawing>
      </w:r>
    </w:p>
    <w:p w14:paraId="6FC873B7" w14:textId="77777777" w:rsidR="00055850" w:rsidRDefault="00055850" w:rsidP="00055850">
      <w:pPr>
        <w:pStyle w:val="Body"/>
        <w:spacing w:after="0"/>
        <w:rPr>
          <w:rFonts w:ascii="Arial" w:hAnsi="Arial" w:cs="Arial"/>
          <w:b/>
          <w:bCs/>
        </w:rPr>
      </w:pPr>
      <w:bookmarkStart w:id="25" w:name="_Toc151413861"/>
    </w:p>
    <w:p w14:paraId="780C2C09" w14:textId="429338EE" w:rsidR="00055850" w:rsidRPr="00055850" w:rsidRDefault="00055850" w:rsidP="00055850">
      <w:pPr>
        <w:pStyle w:val="Body"/>
        <w:spacing w:after="0"/>
        <w:rPr>
          <w:rFonts w:ascii="Arial" w:hAnsi="Arial" w:cs="Arial"/>
          <w:b/>
          <w:bCs/>
        </w:rPr>
      </w:pPr>
      <w:r>
        <w:rPr>
          <w:rFonts w:ascii="Arial" w:hAnsi="Arial" w:cs="Arial"/>
          <w:b/>
          <w:bCs/>
        </w:rPr>
        <w:t>Fig.</w:t>
      </w:r>
      <w:r w:rsidRPr="00055850">
        <w:rPr>
          <w:rFonts w:ascii="Arial" w:hAnsi="Arial" w:cs="Arial"/>
          <w:b/>
          <w:bCs/>
        </w:rPr>
        <w:t xml:space="preserve"> </w:t>
      </w:r>
      <w:r w:rsidR="0017267B">
        <w:rPr>
          <w:rFonts w:ascii="Arial" w:hAnsi="Arial" w:cs="Arial"/>
          <w:b/>
          <w:bCs/>
        </w:rPr>
        <w:t>7</w:t>
      </w:r>
      <w:r>
        <w:rPr>
          <w:rFonts w:ascii="Arial" w:hAnsi="Arial" w:cs="Arial"/>
          <w:b/>
          <w:bCs/>
        </w:rPr>
        <w:t>.</w:t>
      </w:r>
      <w:r w:rsidRPr="00055850">
        <w:rPr>
          <w:rFonts w:ascii="Arial" w:hAnsi="Arial" w:cs="Arial"/>
          <w:b/>
          <w:bCs/>
        </w:rPr>
        <w:t xml:space="preserve"> Paw Licking Response after N/S, Diclofenac, MLE administration in Rats in the Hot Plate Test</w:t>
      </w:r>
      <w:bookmarkStart w:id="26" w:name="_Toc151413661"/>
      <w:bookmarkEnd w:id="25"/>
    </w:p>
    <w:p w14:paraId="06025F84" w14:textId="77777777" w:rsidR="00055850" w:rsidRDefault="00055850" w:rsidP="00055850">
      <w:pPr>
        <w:pStyle w:val="Body"/>
        <w:spacing w:after="0"/>
        <w:rPr>
          <w:rFonts w:ascii="Arial" w:hAnsi="Arial" w:cs="Arial"/>
          <w:b/>
          <w:bCs/>
        </w:rPr>
      </w:pPr>
    </w:p>
    <w:p w14:paraId="24170360" w14:textId="77777777" w:rsidR="00055850" w:rsidRDefault="00055850" w:rsidP="00055850">
      <w:pPr>
        <w:pStyle w:val="Body"/>
        <w:spacing w:after="0"/>
        <w:rPr>
          <w:rFonts w:ascii="Arial" w:hAnsi="Arial" w:cs="Arial"/>
          <w:b/>
          <w:bCs/>
          <w:i/>
          <w:iCs/>
          <w:u w:val="single"/>
        </w:rPr>
      </w:pPr>
      <w:r w:rsidRPr="00055850">
        <w:rPr>
          <w:rFonts w:ascii="Arial" w:hAnsi="Arial" w:cs="Arial"/>
          <w:b/>
          <w:bCs/>
          <w:i/>
          <w:iCs/>
          <w:u w:val="single"/>
        </w:rPr>
        <w:t>3.4.2 Acetic Acid-Induced Writhing Method</w:t>
      </w:r>
      <w:bookmarkStart w:id="27" w:name="_Toc151220424"/>
      <w:bookmarkStart w:id="28" w:name="_Toc151220918"/>
      <w:bookmarkEnd w:id="26"/>
    </w:p>
    <w:p w14:paraId="21E94B19" w14:textId="77777777" w:rsidR="00055850" w:rsidRPr="00055850" w:rsidRDefault="00055850" w:rsidP="00055850">
      <w:pPr>
        <w:pStyle w:val="Body"/>
        <w:spacing w:after="0"/>
        <w:rPr>
          <w:rFonts w:ascii="Arial" w:hAnsi="Arial" w:cs="Arial"/>
          <w:b/>
          <w:bCs/>
          <w:i/>
          <w:iCs/>
          <w:u w:val="single"/>
        </w:rPr>
      </w:pPr>
    </w:p>
    <w:p w14:paraId="0DF2D407" w14:textId="77777777" w:rsidR="00055850" w:rsidRPr="00055850" w:rsidRDefault="00055850" w:rsidP="00055850">
      <w:pPr>
        <w:pStyle w:val="Body"/>
        <w:spacing w:after="0"/>
        <w:rPr>
          <w:rFonts w:ascii="Arial" w:hAnsi="Arial" w:cs="Arial"/>
        </w:rPr>
      </w:pPr>
      <w:r w:rsidRPr="00055850">
        <w:rPr>
          <w:rFonts w:ascii="Arial" w:hAnsi="Arial" w:cs="Arial"/>
        </w:rPr>
        <w:t xml:space="preserve">In this study, results show that when compared to the control group, the MLE (200 and 400 mg/kg) and the reference drug diclofenac 9 mg/kg significantly (p&lt;0.01) decreased writhing in rats. The number of </w:t>
      </w:r>
      <w:proofErr w:type="spellStart"/>
      <w:r w:rsidRPr="00055850">
        <w:rPr>
          <w:rFonts w:ascii="Arial" w:hAnsi="Arial" w:cs="Arial"/>
        </w:rPr>
        <w:t>writhings</w:t>
      </w:r>
      <w:proofErr w:type="spellEnd"/>
      <w:r w:rsidRPr="00055850">
        <w:rPr>
          <w:rFonts w:ascii="Arial" w:hAnsi="Arial" w:cs="Arial"/>
        </w:rPr>
        <w:t xml:space="preserve"> decreased from 47 ± 1.83 in the control group to 17.5 ± 1.29 at the dose of MLE 400 mg/kg, which decreased from 47 ± 1.83 to 13.5 ± 1.29 in the standard drug. The analgesic effect of diclofenac was greater than that of MLE 200 mg/kg and 400 mg/kg. Nonetheless, the analgesic efficacy of MLE 400 mg/kg is similar to that of diclofenac. </w:t>
      </w:r>
    </w:p>
    <w:p w14:paraId="37BCD122" w14:textId="77777777" w:rsidR="00055850" w:rsidRDefault="00055850" w:rsidP="00055850">
      <w:pPr>
        <w:pStyle w:val="Body"/>
        <w:spacing w:after="0"/>
        <w:rPr>
          <w:rFonts w:ascii="Arial" w:hAnsi="Arial" w:cs="Arial"/>
          <w:b/>
          <w:bCs/>
        </w:rPr>
      </w:pPr>
    </w:p>
    <w:p w14:paraId="61AFCEDB" w14:textId="77777777" w:rsidR="00055850" w:rsidRPr="00055850" w:rsidRDefault="00055850" w:rsidP="00055850">
      <w:pPr>
        <w:pStyle w:val="Body"/>
        <w:spacing w:after="0"/>
        <w:rPr>
          <w:rFonts w:ascii="Arial" w:hAnsi="Arial" w:cs="Arial"/>
          <w:b/>
          <w:bCs/>
        </w:rPr>
      </w:pPr>
      <w:r w:rsidRPr="00055850">
        <w:rPr>
          <w:rFonts w:ascii="Arial" w:hAnsi="Arial" w:cs="Arial"/>
          <w:b/>
          <w:bCs/>
        </w:rPr>
        <w:t xml:space="preserve">Table </w:t>
      </w:r>
      <w:r w:rsidRPr="00055850">
        <w:rPr>
          <w:rFonts w:ascii="Arial" w:hAnsi="Arial" w:cs="Arial"/>
          <w:b/>
          <w:bCs/>
        </w:rPr>
        <w:fldChar w:fldCharType="begin"/>
      </w:r>
      <w:r w:rsidRPr="00055850">
        <w:rPr>
          <w:rFonts w:ascii="Arial" w:hAnsi="Arial" w:cs="Arial"/>
          <w:b/>
          <w:bCs/>
        </w:rPr>
        <w:instrText xml:space="preserve"> SEQ Table \* ARABIC </w:instrText>
      </w:r>
      <w:r w:rsidRPr="00055850">
        <w:rPr>
          <w:rFonts w:ascii="Arial" w:hAnsi="Arial" w:cs="Arial"/>
          <w:b/>
          <w:bCs/>
        </w:rPr>
        <w:fldChar w:fldCharType="separate"/>
      </w:r>
      <w:r w:rsidRPr="00055850">
        <w:rPr>
          <w:rFonts w:ascii="Arial" w:hAnsi="Arial" w:cs="Arial"/>
          <w:b/>
          <w:bCs/>
        </w:rPr>
        <w:t>5</w:t>
      </w:r>
      <w:r w:rsidRPr="00055850">
        <w:rPr>
          <w:rFonts w:ascii="Arial" w:hAnsi="Arial" w:cs="Arial"/>
        </w:rPr>
        <w:fldChar w:fldCharType="end"/>
      </w:r>
      <w:r>
        <w:rPr>
          <w:rFonts w:ascii="Arial" w:hAnsi="Arial" w:cs="Arial"/>
          <w:b/>
          <w:bCs/>
        </w:rPr>
        <w:t>.</w:t>
      </w:r>
      <w:r w:rsidRPr="00055850">
        <w:rPr>
          <w:rFonts w:ascii="Arial" w:hAnsi="Arial" w:cs="Arial"/>
          <w:b/>
          <w:bCs/>
        </w:rPr>
        <w:t xml:space="preserve"> Effect of MLE of </w:t>
      </w:r>
      <w:r w:rsidRPr="00055850">
        <w:rPr>
          <w:rFonts w:ascii="Arial" w:hAnsi="Arial" w:cs="Arial"/>
          <w:b/>
          <w:bCs/>
          <w:i/>
          <w:iCs/>
        </w:rPr>
        <w:t>C. gigantea</w:t>
      </w:r>
      <w:r w:rsidRPr="00055850">
        <w:rPr>
          <w:rFonts w:ascii="Arial" w:hAnsi="Arial" w:cs="Arial"/>
          <w:b/>
          <w:bCs/>
        </w:rPr>
        <w:t xml:space="preserve"> on Acetic Acid-Induced Writhing Test in Rats</w:t>
      </w:r>
    </w:p>
    <w:p w14:paraId="309F88AB" w14:textId="77777777" w:rsidR="00055850" w:rsidRPr="00055850" w:rsidRDefault="00055850" w:rsidP="00055850">
      <w:pPr>
        <w:pStyle w:val="Body"/>
        <w:spacing w:after="0"/>
        <w:rPr>
          <w:rFonts w:ascii="Arial" w:hAnsi="Arial" w:cs="Arial"/>
          <w:b/>
          <w:bCs/>
        </w:rPr>
      </w:pPr>
    </w:p>
    <w:tbl>
      <w:tblPr>
        <w:tblStyle w:val="TableGrid"/>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1538"/>
        <w:gridCol w:w="2093"/>
        <w:gridCol w:w="2048"/>
        <w:gridCol w:w="2509"/>
      </w:tblGrid>
      <w:tr w:rsidR="00055850" w:rsidRPr="00055850" w14:paraId="2FFCFAAC" w14:textId="77777777" w:rsidTr="00055850">
        <w:trPr>
          <w:trHeight w:val="1115"/>
        </w:trPr>
        <w:tc>
          <w:tcPr>
            <w:tcW w:w="1043" w:type="dxa"/>
            <w:tcBorders>
              <w:top w:val="single" w:sz="4" w:space="0" w:color="auto"/>
              <w:bottom w:val="single" w:sz="4" w:space="0" w:color="auto"/>
            </w:tcBorders>
          </w:tcPr>
          <w:bookmarkEnd w:id="27"/>
          <w:bookmarkEnd w:id="28"/>
          <w:p w14:paraId="734ACB2E"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Groups</w:t>
            </w:r>
          </w:p>
        </w:tc>
        <w:tc>
          <w:tcPr>
            <w:tcW w:w="1538" w:type="dxa"/>
            <w:tcBorders>
              <w:top w:val="single" w:sz="4" w:space="0" w:color="auto"/>
              <w:bottom w:val="single" w:sz="4" w:space="0" w:color="auto"/>
            </w:tcBorders>
          </w:tcPr>
          <w:p w14:paraId="1761935B"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Treatment</w:t>
            </w:r>
          </w:p>
        </w:tc>
        <w:tc>
          <w:tcPr>
            <w:tcW w:w="2093" w:type="dxa"/>
            <w:tcBorders>
              <w:top w:val="single" w:sz="4" w:space="0" w:color="auto"/>
              <w:bottom w:val="single" w:sz="4" w:space="0" w:color="auto"/>
            </w:tcBorders>
          </w:tcPr>
          <w:p w14:paraId="155ED66A"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Dose</w:t>
            </w:r>
          </w:p>
        </w:tc>
        <w:tc>
          <w:tcPr>
            <w:tcW w:w="2048" w:type="dxa"/>
            <w:tcBorders>
              <w:top w:val="single" w:sz="4" w:space="0" w:color="auto"/>
              <w:bottom w:val="single" w:sz="4" w:space="0" w:color="auto"/>
            </w:tcBorders>
          </w:tcPr>
          <w:p w14:paraId="72545781"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No. of writhing</w:t>
            </w:r>
          </w:p>
        </w:tc>
        <w:tc>
          <w:tcPr>
            <w:tcW w:w="2509" w:type="dxa"/>
            <w:tcBorders>
              <w:top w:val="single" w:sz="4" w:space="0" w:color="auto"/>
              <w:bottom w:val="single" w:sz="4" w:space="0" w:color="auto"/>
            </w:tcBorders>
          </w:tcPr>
          <w:p w14:paraId="28ADD624" w14:textId="77777777" w:rsidR="00055850" w:rsidRPr="00055850" w:rsidRDefault="00055850" w:rsidP="00055850">
            <w:pPr>
              <w:pStyle w:val="Body"/>
              <w:spacing w:after="0"/>
              <w:rPr>
                <w:rFonts w:ascii="Arial" w:hAnsi="Arial" w:cs="Arial"/>
                <w:b/>
                <w:sz w:val="20"/>
              </w:rPr>
            </w:pPr>
            <w:r w:rsidRPr="00055850">
              <w:rPr>
                <w:rFonts w:ascii="Arial" w:hAnsi="Arial" w:cs="Arial"/>
                <w:b/>
                <w:sz w:val="20"/>
              </w:rPr>
              <w:t>Percentage protection against writhing (%)</w:t>
            </w:r>
          </w:p>
        </w:tc>
      </w:tr>
      <w:tr w:rsidR="00055850" w:rsidRPr="00055850" w14:paraId="26AF3DA4" w14:textId="77777777" w:rsidTr="00055850">
        <w:trPr>
          <w:trHeight w:val="331"/>
        </w:trPr>
        <w:tc>
          <w:tcPr>
            <w:tcW w:w="1043" w:type="dxa"/>
            <w:tcBorders>
              <w:top w:val="single" w:sz="4" w:space="0" w:color="auto"/>
            </w:tcBorders>
          </w:tcPr>
          <w:p w14:paraId="172958ED"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A</w:t>
            </w:r>
          </w:p>
        </w:tc>
        <w:tc>
          <w:tcPr>
            <w:tcW w:w="1538" w:type="dxa"/>
            <w:tcBorders>
              <w:top w:val="single" w:sz="4" w:space="0" w:color="auto"/>
            </w:tcBorders>
          </w:tcPr>
          <w:p w14:paraId="284537AB" w14:textId="77777777" w:rsidR="00055850" w:rsidRPr="00055850" w:rsidRDefault="00055850" w:rsidP="00055850">
            <w:pPr>
              <w:pStyle w:val="Body"/>
              <w:spacing w:after="0"/>
              <w:rPr>
                <w:rFonts w:ascii="Arial" w:hAnsi="Arial" w:cs="Arial"/>
                <w:sz w:val="20"/>
              </w:rPr>
            </w:pPr>
            <w:r w:rsidRPr="00055850">
              <w:rPr>
                <w:rFonts w:ascii="Arial" w:hAnsi="Arial" w:cs="Arial"/>
                <w:sz w:val="20"/>
              </w:rPr>
              <w:t>N/S</w:t>
            </w:r>
          </w:p>
        </w:tc>
        <w:tc>
          <w:tcPr>
            <w:tcW w:w="2093" w:type="dxa"/>
            <w:tcBorders>
              <w:top w:val="single" w:sz="4" w:space="0" w:color="auto"/>
            </w:tcBorders>
          </w:tcPr>
          <w:p w14:paraId="02755E1C" w14:textId="77777777" w:rsidR="00055850" w:rsidRPr="00055850" w:rsidRDefault="00055850" w:rsidP="00055850">
            <w:pPr>
              <w:pStyle w:val="Body"/>
              <w:spacing w:after="0"/>
              <w:rPr>
                <w:rFonts w:ascii="Arial" w:hAnsi="Arial" w:cs="Arial"/>
                <w:sz w:val="20"/>
              </w:rPr>
            </w:pPr>
            <w:r w:rsidRPr="00055850">
              <w:rPr>
                <w:rFonts w:ascii="Arial" w:hAnsi="Arial" w:cs="Arial"/>
                <w:sz w:val="20"/>
              </w:rPr>
              <w:t xml:space="preserve">10 mL/kg </w:t>
            </w:r>
            <w:proofErr w:type="spellStart"/>
            <w:r w:rsidRPr="00055850">
              <w:rPr>
                <w:rFonts w:ascii="Arial" w:hAnsi="Arial" w:cs="Arial"/>
                <w:sz w:val="20"/>
              </w:rPr>
              <w:t>b.w.</w:t>
            </w:r>
            <w:proofErr w:type="spellEnd"/>
          </w:p>
        </w:tc>
        <w:tc>
          <w:tcPr>
            <w:tcW w:w="2048" w:type="dxa"/>
            <w:tcBorders>
              <w:top w:val="single" w:sz="4" w:space="0" w:color="auto"/>
            </w:tcBorders>
          </w:tcPr>
          <w:p w14:paraId="6BA81A7B" w14:textId="77777777" w:rsidR="00055850" w:rsidRPr="00055850" w:rsidRDefault="00055850" w:rsidP="00055850">
            <w:pPr>
              <w:pStyle w:val="Body"/>
              <w:spacing w:after="0"/>
              <w:rPr>
                <w:rFonts w:ascii="Arial" w:hAnsi="Arial" w:cs="Arial"/>
                <w:sz w:val="20"/>
              </w:rPr>
            </w:pPr>
            <w:r w:rsidRPr="00055850">
              <w:rPr>
                <w:rFonts w:ascii="Arial" w:hAnsi="Arial" w:cs="Arial"/>
                <w:sz w:val="20"/>
              </w:rPr>
              <w:t>47 ± 1.83</w:t>
            </w:r>
          </w:p>
        </w:tc>
        <w:tc>
          <w:tcPr>
            <w:tcW w:w="2509" w:type="dxa"/>
            <w:tcBorders>
              <w:top w:val="single" w:sz="4" w:space="0" w:color="auto"/>
            </w:tcBorders>
          </w:tcPr>
          <w:p w14:paraId="2B0CD760" w14:textId="77777777" w:rsidR="00055850" w:rsidRPr="00055850" w:rsidRDefault="00055850" w:rsidP="00055850">
            <w:pPr>
              <w:pStyle w:val="Body"/>
              <w:spacing w:after="0"/>
              <w:rPr>
                <w:rFonts w:ascii="Arial" w:hAnsi="Arial" w:cs="Arial"/>
                <w:sz w:val="20"/>
              </w:rPr>
            </w:pPr>
            <w:r w:rsidRPr="00055850">
              <w:rPr>
                <w:rFonts w:ascii="Arial" w:hAnsi="Arial" w:cs="Arial"/>
                <w:sz w:val="20"/>
              </w:rPr>
              <w:t>-</w:t>
            </w:r>
          </w:p>
        </w:tc>
      </w:tr>
      <w:tr w:rsidR="00055850" w:rsidRPr="00055850" w14:paraId="0017F33E" w14:textId="77777777" w:rsidTr="00055850">
        <w:trPr>
          <w:trHeight w:val="355"/>
        </w:trPr>
        <w:tc>
          <w:tcPr>
            <w:tcW w:w="1043" w:type="dxa"/>
          </w:tcPr>
          <w:p w14:paraId="2BDC8629"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B</w:t>
            </w:r>
          </w:p>
        </w:tc>
        <w:tc>
          <w:tcPr>
            <w:tcW w:w="1538" w:type="dxa"/>
          </w:tcPr>
          <w:p w14:paraId="4613949B" w14:textId="77777777" w:rsidR="00055850" w:rsidRPr="00055850" w:rsidRDefault="00055850" w:rsidP="00055850">
            <w:pPr>
              <w:pStyle w:val="Body"/>
              <w:spacing w:after="0"/>
              <w:rPr>
                <w:rFonts w:ascii="Arial" w:hAnsi="Arial" w:cs="Arial"/>
                <w:sz w:val="20"/>
              </w:rPr>
            </w:pPr>
            <w:r w:rsidRPr="00055850">
              <w:rPr>
                <w:rFonts w:ascii="Arial" w:hAnsi="Arial" w:cs="Arial"/>
                <w:sz w:val="20"/>
              </w:rPr>
              <w:t>Diclofenac</w:t>
            </w:r>
          </w:p>
        </w:tc>
        <w:tc>
          <w:tcPr>
            <w:tcW w:w="2093" w:type="dxa"/>
          </w:tcPr>
          <w:p w14:paraId="7838E39C" w14:textId="77777777" w:rsidR="00055850" w:rsidRPr="00055850" w:rsidRDefault="00055850" w:rsidP="00055850">
            <w:pPr>
              <w:pStyle w:val="Body"/>
              <w:spacing w:after="0"/>
              <w:rPr>
                <w:rFonts w:ascii="Arial" w:hAnsi="Arial" w:cs="Arial"/>
                <w:sz w:val="20"/>
              </w:rPr>
            </w:pPr>
            <w:r w:rsidRPr="00055850">
              <w:rPr>
                <w:rFonts w:ascii="Arial" w:hAnsi="Arial" w:cs="Arial"/>
                <w:sz w:val="20"/>
              </w:rPr>
              <w:t xml:space="preserve">9 mg/kg </w:t>
            </w:r>
            <w:proofErr w:type="spellStart"/>
            <w:r w:rsidRPr="00055850">
              <w:rPr>
                <w:rFonts w:ascii="Arial" w:hAnsi="Arial" w:cs="Arial"/>
                <w:sz w:val="20"/>
              </w:rPr>
              <w:t>b.w.</w:t>
            </w:r>
            <w:proofErr w:type="spellEnd"/>
          </w:p>
        </w:tc>
        <w:tc>
          <w:tcPr>
            <w:tcW w:w="2048" w:type="dxa"/>
          </w:tcPr>
          <w:p w14:paraId="3980C7B1" w14:textId="77777777" w:rsidR="00055850" w:rsidRPr="00055850" w:rsidRDefault="00055850" w:rsidP="00055850">
            <w:pPr>
              <w:pStyle w:val="Body"/>
              <w:spacing w:after="0"/>
              <w:rPr>
                <w:rFonts w:ascii="Arial" w:hAnsi="Arial" w:cs="Arial"/>
                <w:sz w:val="20"/>
              </w:rPr>
            </w:pPr>
            <w:r w:rsidRPr="00055850">
              <w:rPr>
                <w:rFonts w:ascii="Arial" w:hAnsi="Arial" w:cs="Arial"/>
                <w:sz w:val="20"/>
              </w:rPr>
              <w:t>13.5 ± 1.29</w:t>
            </w:r>
          </w:p>
        </w:tc>
        <w:tc>
          <w:tcPr>
            <w:tcW w:w="2509" w:type="dxa"/>
          </w:tcPr>
          <w:p w14:paraId="1C799A0F" w14:textId="77777777" w:rsidR="00055850" w:rsidRPr="00055850" w:rsidRDefault="00055850" w:rsidP="00055850">
            <w:pPr>
              <w:pStyle w:val="Body"/>
              <w:spacing w:after="0"/>
              <w:rPr>
                <w:rFonts w:ascii="Arial" w:hAnsi="Arial" w:cs="Arial"/>
                <w:sz w:val="20"/>
              </w:rPr>
            </w:pPr>
            <w:r w:rsidRPr="00055850">
              <w:rPr>
                <w:rFonts w:ascii="Arial" w:hAnsi="Arial" w:cs="Arial"/>
                <w:sz w:val="20"/>
              </w:rPr>
              <w:t>71.28</w:t>
            </w:r>
          </w:p>
        </w:tc>
      </w:tr>
      <w:tr w:rsidR="00055850" w:rsidRPr="00055850" w14:paraId="100655CC" w14:textId="77777777" w:rsidTr="00055850">
        <w:trPr>
          <w:trHeight w:val="355"/>
        </w:trPr>
        <w:tc>
          <w:tcPr>
            <w:tcW w:w="1043" w:type="dxa"/>
          </w:tcPr>
          <w:p w14:paraId="31DB3112"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C</w:t>
            </w:r>
          </w:p>
        </w:tc>
        <w:tc>
          <w:tcPr>
            <w:tcW w:w="1538" w:type="dxa"/>
          </w:tcPr>
          <w:p w14:paraId="40F64513" w14:textId="77777777" w:rsidR="00055850" w:rsidRPr="00055850" w:rsidRDefault="00055850" w:rsidP="00055850">
            <w:pPr>
              <w:pStyle w:val="Body"/>
              <w:spacing w:after="0"/>
              <w:rPr>
                <w:rFonts w:ascii="Arial" w:hAnsi="Arial" w:cs="Arial"/>
                <w:sz w:val="20"/>
              </w:rPr>
            </w:pPr>
            <w:r w:rsidRPr="00055850">
              <w:rPr>
                <w:rFonts w:ascii="Arial" w:hAnsi="Arial" w:cs="Arial"/>
                <w:sz w:val="20"/>
              </w:rPr>
              <w:t>MLE</w:t>
            </w:r>
          </w:p>
        </w:tc>
        <w:tc>
          <w:tcPr>
            <w:tcW w:w="2093" w:type="dxa"/>
          </w:tcPr>
          <w:p w14:paraId="42C4C098" w14:textId="77777777" w:rsidR="00055850" w:rsidRPr="00055850" w:rsidRDefault="00055850" w:rsidP="00055850">
            <w:pPr>
              <w:pStyle w:val="Body"/>
              <w:spacing w:after="0"/>
              <w:rPr>
                <w:rFonts w:ascii="Arial" w:hAnsi="Arial" w:cs="Arial"/>
                <w:sz w:val="20"/>
              </w:rPr>
            </w:pPr>
            <w:r w:rsidRPr="00055850">
              <w:rPr>
                <w:rFonts w:ascii="Arial" w:hAnsi="Arial" w:cs="Arial"/>
                <w:sz w:val="20"/>
              </w:rPr>
              <w:t xml:space="preserve">200 mg/kg </w:t>
            </w:r>
            <w:proofErr w:type="spellStart"/>
            <w:r w:rsidRPr="00055850">
              <w:rPr>
                <w:rFonts w:ascii="Arial" w:hAnsi="Arial" w:cs="Arial"/>
                <w:sz w:val="20"/>
              </w:rPr>
              <w:t>b.w.</w:t>
            </w:r>
            <w:proofErr w:type="spellEnd"/>
          </w:p>
        </w:tc>
        <w:tc>
          <w:tcPr>
            <w:tcW w:w="2048" w:type="dxa"/>
          </w:tcPr>
          <w:p w14:paraId="111D6721" w14:textId="77777777" w:rsidR="00055850" w:rsidRPr="00055850" w:rsidRDefault="00055850" w:rsidP="00055850">
            <w:pPr>
              <w:pStyle w:val="Body"/>
              <w:spacing w:after="0"/>
              <w:rPr>
                <w:rFonts w:ascii="Arial" w:hAnsi="Arial" w:cs="Arial"/>
                <w:sz w:val="20"/>
              </w:rPr>
            </w:pPr>
            <w:r w:rsidRPr="00055850">
              <w:rPr>
                <w:rFonts w:ascii="Arial" w:hAnsi="Arial" w:cs="Arial"/>
                <w:sz w:val="20"/>
              </w:rPr>
              <w:t>29.25 ± 0.96</w:t>
            </w:r>
          </w:p>
        </w:tc>
        <w:tc>
          <w:tcPr>
            <w:tcW w:w="2509" w:type="dxa"/>
          </w:tcPr>
          <w:p w14:paraId="300A23A6" w14:textId="77777777" w:rsidR="00055850" w:rsidRPr="00055850" w:rsidRDefault="00055850" w:rsidP="00055850">
            <w:pPr>
              <w:pStyle w:val="Body"/>
              <w:spacing w:after="0"/>
              <w:rPr>
                <w:rFonts w:ascii="Arial" w:hAnsi="Arial" w:cs="Arial"/>
                <w:sz w:val="20"/>
              </w:rPr>
            </w:pPr>
            <w:r w:rsidRPr="00055850">
              <w:rPr>
                <w:rFonts w:ascii="Arial" w:hAnsi="Arial" w:cs="Arial"/>
                <w:sz w:val="20"/>
              </w:rPr>
              <w:t>37.76</w:t>
            </w:r>
          </w:p>
        </w:tc>
      </w:tr>
      <w:tr w:rsidR="00055850" w:rsidRPr="00055850" w14:paraId="400AEC39" w14:textId="77777777" w:rsidTr="00055850">
        <w:trPr>
          <w:trHeight w:val="355"/>
        </w:trPr>
        <w:tc>
          <w:tcPr>
            <w:tcW w:w="1043" w:type="dxa"/>
            <w:tcBorders>
              <w:bottom w:val="single" w:sz="4" w:space="0" w:color="auto"/>
            </w:tcBorders>
          </w:tcPr>
          <w:p w14:paraId="5E163951" w14:textId="77777777" w:rsidR="00055850" w:rsidRPr="00055850" w:rsidRDefault="00055850" w:rsidP="00055850">
            <w:pPr>
              <w:pStyle w:val="Body"/>
              <w:spacing w:after="0"/>
              <w:rPr>
                <w:rFonts w:ascii="Arial" w:hAnsi="Arial" w:cs="Arial"/>
                <w:b/>
                <w:bCs/>
                <w:sz w:val="20"/>
              </w:rPr>
            </w:pPr>
            <w:r w:rsidRPr="00055850">
              <w:rPr>
                <w:rFonts w:ascii="Arial" w:hAnsi="Arial" w:cs="Arial"/>
                <w:b/>
                <w:bCs/>
                <w:sz w:val="20"/>
              </w:rPr>
              <w:t>D</w:t>
            </w:r>
          </w:p>
        </w:tc>
        <w:tc>
          <w:tcPr>
            <w:tcW w:w="1538" w:type="dxa"/>
            <w:tcBorders>
              <w:bottom w:val="single" w:sz="4" w:space="0" w:color="auto"/>
            </w:tcBorders>
          </w:tcPr>
          <w:p w14:paraId="15A1B9D6" w14:textId="77777777" w:rsidR="00055850" w:rsidRPr="00055850" w:rsidRDefault="00055850" w:rsidP="00055850">
            <w:pPr>
              <w:pStyle w:val="Body"/>
              <w:spacing w:after="0"/>
              <w:rPr>
                <w:rFonts w:ascii="Arial" w:hAnsi="Arial" w:cs="Arial"/>
                <w:sz w:val="20"/>
              </w:rPr>
            </w:pPr>
            <w:r w:rsidRPr="00055850">
              <w:rPr>
                <w:rFonts w:ascii="Arial" w:hAnsi="Arial" w:cs="Arial"/>
                <w:sz w:val="20"/>
              </w:rPr>
              <w:t>MLE</w:t>
            </w:r>
          </w:p>
        </w:tc>
        <w:tc>
          <w:tcPr>
            <w:tcW w:w="2093" w:type="dxa"/>
            <w:tcBorders>
              <w:bottom w:val="single" w:sz="4" w:space="0" w:color="auto"/>
            </w:tcBorders>
          </w:tcPr>
          <w:p w14:paraId="7862FF4F" w14:textId="77777777" w:rsidR="00055850" w:rsidRPr="00055850" w:rsidRDefault="00055850" w:rsidP="00055850">
            <w:pPr>
              <w:pStyle w:val="Body"/>
              <w:spacing w:after="0"/>
              <w:rPr>
                <w:rFonts w:ascii="Arial" w:hAnsi="Arial" w:cs="Arial"/>
                <w:sz w:val="20"/>
              </w:rPr>
            </w:pPr>
            <w:r w:rsidRPr="00055850">
              <w:rPr>
                <w:rFonts w:ascii="Arial" w:hAnsi="Arial" w:cs="Arial"/>
                <w:sz w:val="20"/>
              </w:rPr>
              <w:t xml:space="preserve">400 mg/kg </w:t>
            </w:r>
            <w:proofErr w:type="spellStart"/>
            <w:r w:rsidRPr="00055850">
              <w:rPr>
                <w:rFonts w:ascii="Arial" w:hAnsi="Arial" w:cs="Arial"/>
                <w:sz w:val="20"/>
              </w:rPr>
              <w:t>b.w.</w:t>
            </w:r>
            <w:proofErr w:type="spellEnd"/>
          </w:p>
        </w:tc>
        <w:tc>
          <w:tcPr>
            <w:tcW w:w="2048" w:type="dxa"/>
            <w:tcBorders>
              <w:bottom w:val="single" w:sz="4" w:space="0" w:color="auto"/>
            </w:tcBorders>
          </w:tcPr>
          <w:p w14:paraId="08E97F3A" w14:textId="77777777" w:rsidR="00055850" w:rsidRPr="00055850" w:rsidRDefault="00055850" w:rsidP="00055850">
            <w:pPr>
              <w:pStyle w:val="Body"/>
              <w:spacing w:after="0"/>
              <w:rPr>
                <w:rFonts w:ascii="Arial" w:hAnsi="Arial" w:cs="Arial"/>
                <w:sz w:val="20"/>
              </w:rPr>
            </w:pPr>
            <w:r w:rsidRPr="00055850">
              <w:rPr>
                <w:rFonts w:ascii="Arial" w:hAnsi="Arial" w:cs="Arial"/>
                <w:sz w:val="20"/>
              </w:rPr>
              <w:t>17.5 ± 1.29</w:t>
            </w:r>
          </w:p>
        </w:tc>
        <w:tc>
          <w:tcPr>
            <w:tcW w:w="2509" w:type="dxa"/>
            <w:tcBorders>
              <w:bottom w:val="single" w:sz="4" w:space="0" w:color="auto"/>
            </w:tcBorders>
          </w:tcPr>
          <w:p w14:paraId="00C27B90" w14:textId="77777777" w:rsidR="00055850" w:rsidRPr="00055850" w:rsidRDefault="00055850" w:rsidP="00055850">
            <w:pPr>
              <w:pStyle w:val="Body"/>
              <w:spacing w:after="0"/>
              <w:rPr>
                <w:rFonts w:ascii="Arial" w:hAnsi="Arial" w:cs="Arial"/>
                <w:sz w:val="20"/>
              </w:rPr>
            </w:pPr>
            <w:r w:rsidRPr="00055850">
              <w:rPr>
                <w:rFonts w:ascii="Arial" w:hAnsi="Arial" w:cs="Arial"/>
                <w:sz w:val="20"/>
              </w:rPr>
              <w:t>62.77</w:t>
            </w:r>
          </w:p>
        </w:tc>
      </w:tr>
    </w:tbl>
    <w:p w14:paraId="7E15274A" w14:textId="77777777" w:rsidR="00055850" w:rsidRDefault="00055850" w:rsidP="00055850">
      <w:pPr>
        <w:pStyle w:val="Body"/>
        <w:spacing w:after="0"/>
        <w:rPr>
          <w:rFonts w:ascii="Arial" w:hAnsi="Arial" w:cs="Arial"/>
        </w:rPr>
      </w:pPr>
    </w:p>
    <w:p w14:paraId="0C912C5C" w14:textId="77777777" w:rsidR="00055850" w:rsidRPr="00055850" w:rsidRDefault="00055850" w:rsidP="00055850">
      <w:pPr>
        <w:pStyle w:val="Body"/>
        <w:spacing w:after="0"/>
        <w:rPr>
          <w:rFonts w:ascii="Arial" w:hAnsi="Arial" w:cs="Arial"/>
        </w:rPr>
      </w:pPr>
      <w:r w:rsidRPr="00055850">
        <w:rPr>
          <w:rFonts w:ascii="Arial" w:hAnsi="Arial" w:cs="Arial"/>
        </w:rPr>
        <w:t xml:space="preserve">The percentage inhibition of writhing for different treatment groups is shown in </w:t>
      </w:r>
      <w:r>
        <w:rPr>
          <w:rFonts w:ascii="Arial" w:hAnsi="Arial" w:cs="Arial"/>
          <w:b/>
          <w:bCs/>
        </w:rPr>
        <w:t>Fig.</w:t>
      </w:r>
      <w:r w:rsidRPr="00055850">
        <w:rPr>
          <w:rFonts w:ascii="Arial" w:hAnsi="Arial" w:cs="Arial"/>
          <w:b/>
          <w:bCs/>
        </w:rPr>
        <w:t xml:space="preserve"> 3</w:t>
      </w:r>
      <w:r w:rsidRPr="00055850">
        <w:rPr>
          <w:rFonts w:ascii="Arial" w:hAnsi="Arial" w:cs="Arial"/>
        </w:rPr>
        <w:t xml:space="preserve"> below.</w:t>
      </w:r>
    </w:p>
    <w:p w14:paraId="385F7D3F" w14:textId="77777777" w:rsidR="00055850" w:rsidRPr="00055850" w:rsidRDefault="00055850" w:rsidP="00055850">
      <w:pPr>
        <w:pStyle w:val="Body"/>
        <w:spacing w:after="0"/>
        <w:rPr>
          <w:rFonts w:ascii="Arial" w:hAnsi="Arial" w:cs="Arial"/>
          <w:b/>
        </w:rPr>
      </w:pPr>
      <w:r w:rsidRPr="00055850">
        <w:rPr>
          <w:rFonts w:ascii="Arial" w:hAnsi="Arial" w:cs="Arial"/>
          <w:b/>
          <w:noProof/>
        </w:rPr>
        <w:lastRenderedPageBreak/>
        <w:drawing>
          <wp:inline distT="0" distB="0" distL="0" distR="0" wp14:anchorId="6A863D87" wp14:editId="3AF35988">
            <wp:extent cx="4095750" cy="2314575"/>
            <wp:effectExtent l="0" t="0" r="0" b="9525"/>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5499BA" w14:textId="77777777" w:rsidR="00055850" w:rsidRDefault="00055850" w:rsidP="00055850">
      <w:pPr>
        <w:pStyle w:val="Body"/>
        <w:spacing w:after="0"/>
        <w:rPr>
          <w:rFonts w:ascii="Arial" w:hAnsi="Arial" w:cs="Arial"/>
          <w:b/>
          <w:bCs/>
        </w:rPr>
      </w:pPr>
      <w:bookmarkStart w:id="29" w:name="_Toc151413663"/>
    </w:p>
    <w:p w14:paraId="429A451E" w14:textId="40F240EF" w:rsidR="00055850" w:rsidRPr="00055850" w:rsidRDefault="00055850" w:rsidP="00055850">
      <w:pPr>
        <w:pStyle w:val="Body"/>
        <w:spacing w:after="0"/>
        <w:rPr>
          <w:rFonts w:ascii="Arial" w:hAnsi="Arial" w:cs="Arial"/>
        </w:rPr>
      </w:pPr>
      <w:r>
        <w:rPr>
          <w:rFonts w:ascii="Arial" w:hAnsi="Arial" w:cs="Arial"/>
          <w:b/>
          <w:bCs/>
        </w:rPr>
        <w:t>Fig.</w:t>
      </w:r>
      <w:r w:rsidRPr="00055850">
        <w:rPr>
          <w:rFonts w:ascii="Arial" w:hAnsi="Arial" w:cs="Arial"/>
          <w:b/>
          <w:bCs/>
        </w:rPr>
        <w:t xml:space="preserve"> </w:t>
      </w:r>
      <w:r w:rsidR="0017267B">
        <w:rPr>
          <w:rFonts w:ascii="Arial" w:hAnsi="Arial" w:cs="Arial"/>
          <w:b/>
          <w:bCs/>
        </w:rPr>
        <w:t>8</w:t>
      </w:r>
      <w:r>
        <w:rPr>
          <w:rFonts w:ascii="Arial" w:hAnsi="Arial" w:cs="Arial"/>
        </w:rPr>
        <w:t>.</w:t>
      </w:r>
      <w:r w:rsidRPr="00055850">
        <w:rPr>
          <w:rFonts w:ascii="Arial" w:hAnsi="Arial" w:cs="Arial"/>
          <w:b/>
          <w:bCs/>
        </w:rPr>
        <w:t xml:space="preserve"> Showing the Percentage Inhibition of Writhing in Rats in Different Treatment Groups</w:t>
      </w:r>
    </w:p>
    <w:p w14:paraId="335A73DB" w14:textId="77777777" w:rsidR="00055850" w:rsidRPr="00055850" w:rsidRDefault="00055850" w:rsidP="00055850">
      <w:pPr>
        <w:pStyle w:val="Body"/>
        <w:spacing w:after="0"/>
        <w:rPr>
          <w:rFonts w:ascii="Arial" w:hAnsi="Arial" w:cs="Arial"/>
        </w:rPr>
      </w:pPr>
      <w:r w:rsidRPr="00055850">
        <w:rPr>
          <w:rFonts w:ascii="Arial" w:hAnsi="Arial" w:cs="Arial"/>
        </w:rPr>
        <w:t xml:space="preserve">                           </w:t>
      </w:r>
      <w:r w:rsidRPr="00055850">
        <w:rPr>
          <w:rFonts w:ascii="Arial" w:hAnsi="Arial" w:cs="Arial"/>
          <w:noProof/>
        </w:rPr>
        <w:drawing>
          <wp:inline distT="0" distB="0" distL="0" distR="0" wp14:anchorId="24BE890E" wp14:editId="3C9C9EF9">
            <wp:extent cx="3790950" cy="2285365"/>
            <wp:effectExtent l="0" t="0" r="0" b="0"/>
            <wp:docPr id="11" name="Picture 0" descr="writ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h3.png"/>
                    <pic:cNvPicPr/>
                  </pic:nvPicPr>
                  <pic:blipFill>
                    <a:blip r:embed="rId34"/>
                    <a:stretch>
                      <a:fillRect/>
                    </a:stretch>
                  </pic:blipFill>
                  <pic:spPr>
                    <a:xfrm>
                      <a:off x="0" y="0"/>
                      <a:ext cx="3823089" cy="2304740"/>
                    </a:xfrm>
                    <a:prstGeom prst="rect">
                      <a:avLst/>
                    </a:prstGeom>
                  </pic:spPr>
                </pic:pic>
              </a:graphicData>
            </a:graphic>
          </wp:inline>
        </w:drawing>
      </w:r>
      <w:r w:rsidRPr="00055850">
        <w:rPr>
          <w:rFonts w:ascii="Arial" w:hAnsi="Arial" w:cs="Arial"/>
          <w:noProof/>
        </w:rPr>
        <w:drawing>
          <wp:inline distT="0" distB="0" distL="0" distR="0" wp14:anchorId="5F8B9BD5" wp14:editId="09E6315E">
            <wp:extent cx="1695450" cy="2309495"/>
            <wp:effectExtent l="0" t="0" r="0" b="0"/>
            <wp:docPr id="6" name="Picture 5" descr="writ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h4.png"/>
                    <pic:cNvPicPr/>
                  </pic:nvPicPr>
                  <pic:blipFill>
                    <a:blip r:embed="rId35"/>
                    <a:stretch>
                      <a:fillRect/>
                    </a:stretch>
                  </pic:blipFill>
                  <pic:spPr>
                    <a:xfrm>
                      <a:off x="0" y="0"/>
                      <a:ext cx="1719888" cy="2342784"/>
                    </a:xfrm>
                    <a:prstGeom prst="rect">
                      <a:avLst/>
                    </a:prstGeom>
                  </pic:spPr>
                </pic:pic>
              </a:graphicData>
            </a:graphic>
          </wp:inline>
        </w:drawing>
      </w:r>
      <w:r w:rsidRPr="00055850">
        <w:rPr>
          <w:rFonts w:ascii="Arial" w:hAnsi="Arial" w:cs="Arial"/>
        </w:rPr>
        <w:t xml:space="preserve"> </w:t>
      </w:r>
      <w:r>
        <w:rPr>
          <w:rFonts w:ascii="Arial" w:hAnsi="Arial" w:cs="Arial"/>
        </w:rPr>
        <w:t xml:space="preserve"> </w:t>
      </w:r>
      <w:r w:rsidRPr="00055850">
        <w:rPr>
          <w:rFonts w:ascii="Arial" w:hAnsi="Arial" w:cs="Arial"/>
          <w:noProof/>
        </w:rPr>
        <w:drawing>
          <wp:inline distT="0" distB="0" distL="0" distR="0" wp14:anchorId="5F00A7B5" wp14:editId="372EAC50">
            <wp:extent cx="1600200" cy="2291080"/>
            <wp:effectExtent l="0" t="0" r="0" b="0"/>
            <wp:docPr id="7" name="Picture 6" descr="writhing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hing response.png"/>
                    <pic:cNvPicPr/>
                  </pic:nvPicPr>
                  <pic:blipFill>
                    <a:blip r:embed="rId36"/>
                    <a:stretch>
                      <a:fillRect/>
                    </a:stretch>
                  </pic:blipFill>
                  <pic:spPr>
                    <a:xfrm>
                      <a:off x="0" y="0"/>
                      <a:ext cx="1600200" cy="2291080"/>
                    </a:xfrm>
                    <a:prstGeom prst="rect">
                      <a:avLst/>
                    </a:prstGeom>
                  </pic:spPr>
                </pic:pic>
              </a:graphicData>
            </a:graphic>
          </wp:inline>
        </w:drawing>
      </w:r>
      <w:r w:rsidRPr="00055850">
        <w:rPr>
          <w:rFonts w:ascii="Arial" w:hAnsi="Arial" w:cs="Arial"/>
        </w:rPr>
        <w:t xml:space="preserve">   </w:t>
      </w:r>
      <w:r w:rsidRPr="00055850">
        <w:rPr>
          <w:rFonts w:ascii="Arial" w:hAnsi="Arial" w:cs="Arial"/>
          <w:noProof/>
        </w:rPr>
        <w:drawing>
          <wp:inline distT="0" distB="0" distL="0" distR="0" wp14:anchorId="14953F93" wp14:editId="3CB49AF5">
            <wp:extent cx="1685925" cy="2317750"/>
            <wp:effectExtent l="0" t="0" r="0" b="0"/>
            <wp:docPr id="17" name="Picture 16" descr="writinhg 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hg res2.png"/>
                    <pic:cNvPicPr/>
                  </pic:nvPicPr>
                  <pic:blipFill>
                    <a:blip r:embed="rId37"/>
                    <a:stretch>
                      <a:fillRect/>
                    </a:stretch>
                  </pic:blipFill>
                  <pic:spPr>
                    <a:xfrm>
                      <a:off x="0" y="0"/>
                      <a:ext cx="1696544" cy="2332349"/>
                    </a:xfrm>
                    <a:prstGeom prst="rect">
                      <a:avLst/>
                    </a:prstGeom>
                  </pic:spPr>
                </pic:pic>
              </a:graphicData>
            </a:graphic>
          </wp:inline>
        </w:drawing>
      </w:r>
    </w:p>
    <w:p w14:paraId="301B57E0" w14:textId="77777777" w:rsidR="00055850" w:rsidRDefault="00055850" w:rsidP="00055850">
      <w:pPr>
        <w:pStyle w:val="Body"/>
        <w:spacing w:after="0"/>
        <w:rPr>
          <w:rFonts w:ascii="Arial" w:hAnsi="Arial" w:cs="Arial"/>
          <w:b/>
          <w:bCs/>
        </w:rPr>
      </w:pPr>
    </w:p>
    <w:p w14:paraId="2406F283" w14:textId="6ECF8ABB" w:rsidR="00055850" w:rsidRDefault="00055850" w:rsidP="00055850">
      <w:pPr>
        <w:pStyle w:val="Body"/>
        <w:spacing w:after="0"/>
        <w:rPr>
          <w:rFonts w:ascii="Arial" w:hAnsi="Arial" w:cs="Arial"/>
          <w:b/>
          <w:bCs/>
        </w:rPr>
      </w:pPr>
      <w:r>
        <w:rPr>
          <w:rFonts w:ascii="Arial" w:hAnsi="Arial" w:cs="Arial"/>
          <w:b/>
          <w:bCs/>
        </w:rPr>
        <w:t>Fig.</w:t>
      </w:r>
      <w:r w:rsidRPr="00055850">
        <w:rPr>
          <w:rFonts w:ascii="Arial" w:hAnsi="Arial" w:cs="Arial"/>
          <w:b/>
          <w:bCs/>
        </w:rPr>
        <w:t xml:space="preserve"> </w:t>
      </w:r>
      <w:r w:rsidR="0017267B">
        <w:rPr>
          <w:rFonts w:ascii="Arial" w:hAnsi="Arial" w:cs="Arial"/>
          <w:b/>
          <w:bCs/>
        </w:rPr>
        <w:t>9</w:t>
      </w:r>
      <w:r>
        <w:rPr>
          <w:rFonts w:ascii="Arial" w:hAnsi="Arial" w:cs="Arial"/>
        </w:rPr>
        <w:t>.</w:t>
      </w:r>
      <w:r w:rsidRPr="00055850">
        <w:rPr>
          <w:rFonts w:ascii="Arial" w:hAnsi="Arial" w:cs="Arial"/>
          <w:b/>
          <w:bCs/>
        </w:rPr>
        <w:t xml:space="preserve"> Writhing Response in Rats after Acetic Acid Administration in the Acetic Acid-Induced Writhing Test</w:t>
      </w:r>
    </w:p>
    <w:p w14:paraId="39923FAA" w14:textId="77777777" w:rsidR="00055850" w:rsidRPr="00055850" w:rsidRDefault="00055850" w:rsidP="00055850">
      <w:pPr>
        <w:pStyle w:val="Body"/>
        <w:spacing w:after="0"/>
        <w:rPr>
          <w:rFonts w:ascii="Arial" w:hAnsi="Arial" w:cs="Arial"/>
          <w:b/>
          <w:bCs/>
        </w:rPr>
      </w:pPr>
    </w:p>
    <w:p w14:paraId="3AA13FD0" w14:textId="77777777" w:rsidR="00055850" w:rsidRDefault="00055850" w:rsidP="00055850">
      <w:pPr>
        <w:pStyle w:val="Body"/>
        <w:spacing w:after="0"/>
        <w:rPr>
          <w:rFonts w:ascii="Arial" w:hAnsi="Arial" w:cs="Arial"/>
          <w:b/>
          <w:bCs/>
        </w:rPr>
      </w:pPr>
      <w:r w:rsidRPr="00055850">
        <w:rPr>
          <w:rFonts w:ascii="Arial" w:hAnsi="Arial" w:cs="Arial"/>
          <w:b/>
          <w:bCs/>
        </w:rPr>
        <w:t>4. DISCUSSION</w:t>
      </w:r>
      <w:bookmarkEnd w:id="29"/>
    </w:p>
    <w:p w14:paraId="5719ED59" w14:textId="77777777" w:rsidR="00055850" w:rsidRPr="00055850" w:rsidRDefault="00055850" w:rsidP="00055850">
      <w:pPr>
        <w:pStyle w:val="Body"/>
        <w:spacing w:after="0"/>
        <w:rPr>
          <w:rFonts w:ascii="Arial" w:hAnsi="Arial" w:cs="Arial"/>
          <w:b/>
          <w:bCs/>
        </w:rPr>
      </w:pPr>
    </w:p>
    <w:p w14:paraId="18B3408F" w14:textId="77777777" w:rsidR="00055850" w:rsidRDefault="00055850" w:rsidP="00055850">
      <w:pPr>
        <w:pStyle w:val="Body"/>
        <w:spacing w:after="0"/>
        <w:rPr>
          <w:rFonts w:ascii="Arial" w:hAnsi="Arial" w:cs="Arial"/>
        </w:rPr>
      </w:pPr>
      <w:r w:rsidRPr="00055850">
        <w:rPr>
          <w:rFonts w:ascii="Arial" w:hAnsi="Arial" w:cs="Arial"/>
        </w:rPr>
        <w:t xml:space="preserve">Pain and Inflammation are common physiological responses to tissue injury, and analgesics act through peripheral or central mechanisms. In this study, the methanol leaf extract of </w:t>
      </w:r>
      <w:r w:rsidRPr="00055850">
        <w:rPr>
          <w:rFonts w:ascii="Arial" w:hAnsi="Arial" w:cs="Arial"/>
          <w:i/>
          <w:iCs/>
        </w:rPr>
        <w:t>Calotropis gigantea</w:t>
      </w:r>
      <w:r w:rsidRPr="00055850">
        <w:rPr>
          <w:rFonts w:ascii="Arial" w:hAnsi="Arial" w:cs="Arial"/>
        </w:rPr>
        <w:t xml:space="preserve"> exhibited significant analgesic activity in both central and peripheral models. The extract increased latency in the hot plate test, indicating central analgesic effects, likely by modulating nociceptive responses to thermal stimuli (Alemu et al., 2018). Additionally, the extract inhibited acetic acid-induced writhing, suggesting peripheral analgesic activity through interference with nociceptor activation and prostaglandin-mediated pathways (Alemu et al., 2018). </w:t>
      </w:r>
    </w:p>
    <w:p w14:paraId="2FC05D88" w14:textId="77777777" w:rsidR="00055850" w:rsidRPr="00055850" w:rsidRDefault="00055850" w:rsidP="00055850">
      <w:pPr>
        <w:pStyle w:val="Body"/>
        <w:spacing w:after="0"/>
        <w:rPr>
          <w:rFonts w:ascii="Arial" w:hAnsi="Arial" w:cs="Arial"/>
        </w:rPr>
      </w:pPr>
    </w:p>
    <w:p w14:paraId="01D0EB00" w14:textId="77777777" w:rsidR="00055850" w:rsidRDefault="00055850" w:rsidP="00055850">
      <w:pPr>
        <w:pStyle w:val="Body"/>
        <w:spacing w:after="0"/>
        <w:rPr>
          <w:rFonts w:ascii="Arial" w:hAnsi="Arial" w:cs="Arial"/>
        </w:rPr>
      </w:pPr>
      <w:r w:rsidRPr="00055850">
        <w:rPr>
          <w:rFonts w:ascii="Arial" w:hAnsi="Arial" w:cs="Arial"/>
        </w:rPr>
        <w:t xml:space="preserve">Similarly, previous studies have reported that the alcoholic extract of </w:t>
      </w:r>
      <w:r w:rsidRPr="00055850">
        <w:rPr>
          <w:rFonts w:ascii="Arial" w:hAnsi="Arial" w:cs="Arial"/>
          <w:i/>
          <w:iCs/>
        </w:rPr>
        <w:t>C. gigantea</w:t>
      </w:r>
      <w:r w:rsidRPr="00055850">
        <w:rPr>
          <w:rFonts w:ascii="Arial" w:hAnsi="Arial" w:cs="Arial"/>
        </w:rPr>
        <w:t xml:space="preserve"> flowers exhibits analgesic activity in preclinical models. Oral administration of the extract significantly reduced the incidence of writhing and paw-licking time. These effects were evaluated using the acetic acid-induced writhing test and the hot plate method (Mandal, 2023). </w:t>
      </w:r>
    </w:p>
    <w:p w14:paraId="46D40224" w14:textId="77777777" w:rsidR="00055850" w:rsidRPr="00055850" w:rsidRDefault="00055850" w:rsidP="00055850">
      <w:pPr>
        <w:pStyle w:val="Body"/>
        <w:spacing w:after="0"/>
        <w:rPr>
          <w:rFonts w:ascii="Arial" w:hAnsi="Arial" w:cs="Arial"/>
        </w:rPr>
      </w:pPr>
    </w:p>
    <w:p w14:paraId="4E630030" w14:textId="77777777" w:rsidR="00055850" w:rsidRPr="00055850" w:rsidRDefault="00055850" w:rsidP="00055850">
      <w:pPr>
        <w:pStyle w:val="Body"/>
        <w:spacing w:after="0"/>
        <w:rPr>
          <w:rFonts w:ascii="Arial" w:hAnsi="Arial" w:cs="Arial"/>
        </w:rPr>
      </w:pPr>
      <w:r w:rsidRPr="00055850">
        <w:rPr>
          <w:rFonts w:ascii="Arial" w:hAnsi="Arial" w:cs="Arial"/>
        </w:rPr>
        <w:t>Phytochemical analysis revealed the presence of alkaloids, flavonoids, saponins, and tannins, compounds reported to contribute to analgesic and anti-inflammatory activity by inhibiting enzymes in the arachidonic acid pathway and prostaglandin synthesis (</w:t>
      </w:r>
      <w:proofErr w:type="spellStart"/>
      <w:r w:rsidRPr="00055850">
        <w:rPr>
          <w:rFonts w:ascii="Arial" w:hAnsi="Arial" w:cs="Arial"/>
        </w:rPr>
        <w:t>Ahmadiani</w:t>
      </w:r>
      <w:proofErr w:type="spellEnd"/>
      <w:r w:rsidRPr="00055850">
        <w:rPr>
          <w:rFonts w:ascii="Arial" w:hAnsi="Arial" w:cs="Arial"/>
        </w:rPr>
        <w:t xml:space="preserve"> et al., 2000; Choi et al, 2005). These constituents likely underlie the observed analgesic effects. Beyond analgesic, </w:t>
      </w:r>
      <w:r w:rsidRPr="00055850">
        <w:rPr>
          <w:rFonts w:ascii="Arial" w:hAnsi="Arial" w:cs="Arial"/>
          <w:i/>
          <w:iCs/>
        </w:rPr>
        <w:t>C. gigantea</w:t>
      </w:r>
      <w:r w:rsidRPr="00055850">
        <w:rPr>
          <w:rFonts w:ascii="Arial" w:hAnsi="Arial" w:cs="Arial"/>
        </w:rPr>
        <w:t xml:space="preserve"> has demonstrated wound healing, anti-diarrheal, mosquito repellent, anticonvulsant, sedative, and muscle relaxant activities in previous studies, highlighting its broad pharmacological potential (</w:t>
      </w:r>
      <w:proofErr w:type="spellStart"/>
      <w:r w:rsidRPr="00055850">
        <w:rPr>
          <w:rFonts w:ascii="Arial" w:hAnsi="Arial" w:cs="Arial"/>
        </w:rPr>
        <w:t>Alafnan</w:t>
      </w:r>
      <w:proofErr w:type="spellEnd"/>
      <w:r w:rsidRPr="00055850">
        <w:rPr>
          <w:rFonts w:ascii="Arial" w:hAnsi="Arial" w:cs="Arial"/>
        </w:rPr>
        <w:t xml:space="preserve"> et al., 2021; Dhivya &amp; Manimegalai, 2013; Rahman et al., 2012). The leaf extract, in particular, appears to be a promising source of bioactive compounds with central and peripheral analgesic properties. </w:t>
      </w:r>
    </w:p>
    <w:p w14:paraId="470B0B80" w14:textId="77777777" w:rsidR="00790ADA" w:rsidRPr="00FB3A86" w:rsidRDefault="00790ADA" w:rsidP="00441B6F">
      <w:pPr>
        <w:pStyle w:val="Body"/>
        <w:spacing w:after="0"/>
        <w:rPr>
          <w:rFonts w:ascii="Arial" w:hAnsi="Arial" w:cs="Arial"/>
        </w:rPr>
      </w:pPr>
    </w:p>
    <w:p w14:paraId="0DC51415" w14:textId="77777777" w:rsidR="00B01FCD" w:rsidRDefault="00055850"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CA0104A" w14:textId="77777777" w:rsidR="005E4952" w:rsidRDefault="005E4952" w:rsidP="005E4952">
      <w:pPr>
        <w:jc w:val="both"/>
        <w:rPr>
          <w:rFonts w:ascii="Arial" w:hAnsi="Arial" w:cs="Arial"/>
          <w:color w:val="000000" w:themeColor="text1"/>
        </w:rPr>
      </w:pPr>
    </w:p>
    <w:p w14:paraId="039DDC99" w14:textId="77777777" w:rsidR="005E4952" w:rsidRDefault="005E4952" w:rsidP="005E4952">
      <w:pPr>
        <w:jc w:val="both"/>
        <w:rPr>
          <w:rFonts w:ascii="Arial" w:hAnsi="Arial" w:cs="Arial"/>
          <w:color w:val="000000" w:themeColor="text1"/>
        </w:rPr>
      </w:pPr>
      <w:r w:rsidRPr="005E4952">
        <w:rPr>
          <w:rFonts w:ascii="Arial" w:hAnsi="Arial" w:cs="Arial"/>
          <w:color w:val="000000" w:themeColor="text1"/>
        </w:rPr>
        <w:t xml:space="preserve">In conclusion, the present study has demonstrated the analgesic potential of MLE of </w:t>
      </w:r>
      <w:r w:rsidRPr="005E4952">
        <w:rPr>
          <w:rFonts w:ascii="Arial" w:hAnsi="Arial" w:cs="Arial"/>
          <w:i/>
          <w:color w:val="000000" w:themeColor="text1"/>
        </w:rPr>
        <w:t>C. gigantea</w:t>
      </w:r>
      <w:r w:rsidRPr="005E4952">
        <w:rPr>
          <w:rFonts w:ascii="Arial" w:hAnsi="Arial" w:cs="Arial"/>
          <w:color w:val="000000" w:themeColor="text1"/>
        </w:rPr>
        <w:t xml:space="preserve"> in rats. The MLE of </w:t>
      </w:r>
      <w:r w:rsidRPr="005E4952">
        <w:rPr>
          <w:rFonts w:ascii="Arial" w:hAnsi="Arial" w:cs="Arial"/>
          <w:i/>
          <w:color w:val="000000" w:themeColor="text1"/>
        </w:rPr>
        <w:t>C. gigantea</w:t>
      </w:r>
      <w:r w:rsidRPr="005E4952">
        <w:rPr>
          <w:rFonts w:ascii="Arial" w:hAnsi="Arial" w:cs="Arial"/>
          <w:color w:val="000000" w:themeColor="text1"/>
        </w:rPr>
        <w:t xml:space="preserve"> was able to inhibit pain sensation in rats in dose dose-dependent manner. The mechanism of pain inhibition by MLE of </w:t>
      </w:r>
      <w:r w:rsidRPr="005E4952">
        <w:rPr>
          <w:rFonts w:ascii="Arial" w:hAnsi="Arial" w:cs="Arial"/>
          <w:i/>
          <w:color w:val="000000" w:themeColor="text1"/>
        </w:rPr>
        <w:t>C. gigantea</w:t>
      </w:r>
      <w:r w:rsidRPr="005E4952">
        <w:rPr>
          <w:rFonts w:ascii="Arial" w:hAnsi="Arial" w:cs="Arial"/>
          <w:color w:val="000000" w:themeColor="text1"/>
        </w:rPr>
        <w:t xml:space="preserve"> might be related to the presence of phytochemicals and bioactive compounds in the plant. According to the results of our study, the MLE of </w:t>
      </w:r>
      <w:r w:rsidRPr="005E4952">
        <w:rPr>
          <w:rFonts w:ascii="Arial" w:hAnsi="Arial" w:cs="Arial"/>
          <w:i/>
          <w:iCs/>
          <w:color w:val="000000" w:themeColor="text1"/>
        </w:rPr>
        <w:t>C. gigantea</w:t>
      </w:r>
      <w:r w:rsidRPr="005E4952">
        <w:rPr>
          <w:rFonts w:ascii="Arial" w:hAnsi="Arial" w:cs="Arial"/>
          <w:color w:val="000000" w:themeColor="text1"/>
        </w:rPr>
        <w:t xml:space="preserve"> can help prevent pain and serve as a valuable bioresource for developing a readily available herbal formulation that is more effective in treating pain. Further study is necessary for the investigation of the precise mechanism at the molecular level. Our results provide scientific justification for the use of these plant parts in traditional medicine for the treatment of various diseases, particularly as analgesics.</w:t>
      </w:r>
    </w:p>
    <w:p w14:paraId="5A249AC5" w14:textId="77777777" w:rsidR="005E4952" w:rsidRDefault="005E4952" w:rsidP="005E4952">
      <w:pPr>
        <w:jc w:val="both"/>
        <w:rPr>
          <w:rFonts w:ascii="Arial" w:hAnsi="Arial" w:cs="Arial"/>
          <w:color w:val="000000" w:themeColor="text1"/>
        </w:rPr>
      </w:pPr>
    </w:p>
    <w:p w14:paraId="49525274" w14:textId="77777777" w:rsidR="005E4952" w:rsidRPr="005E4952" w:rsidRDefault="005E4952" w:rsidP="005E4952">
      <w:pPr>
        <w:spacing w:line="360" w:lineRule="auto"/>
        <w:jc w:val="both"/>
        <w:rPr>
          <w:rFonts w:ascii="Arial" w:hAnsi="Arial" w:cs="Arial"/>
          <w:color w:val="000000" w:themeColor="text1"/>
          <w:sz w:val="22"/>
          <w:szCs w:val="22"/>
        </w:rPr>
      </w:pPr>
      <w:r w:rsidRPr="005E4952">
        <w:rPr>
          <w:rFonts w:ascii="Arial" w:hAnsi="Arial" w:cs="Arial"/>
          <w:b/>
          <w:color w:val="000000" w:themeColor="text1"/>
          <w:sz w:val="22"/>
          <w:szCs w:val="22"/>
        </w:rPr>
        <w:t xml:space="preserve">6. RECOMMENDATION </w:t>
      </w:r>
    </w:p>
    <w:p w14:paraId="763212A4" w14:textId="77777777" w:rsidR="005E4952" w:rsidRPr="005E4952" w:rsidRDefault="005E4952" w:rsidP="005E4952">
      <w:pPr>
        <w:spacing w:line="360" w:lineRule="auto"/>
        <w:jc w:val="both"/>
        <w:rPr>
          <w:rFonts w:ascii="Arial" w:hAnsi="Arial" w:cs="Arial"/>
          <w:color w:val="000000" w:themeColor="text1"/>
        </w:rPr>
      </w:pPr>
      <w:r w:rsidRPr="005E4952">
        <w:rPr>
          <w:rFonts w:ascii="Arial" w:hAnsi="Arial" w:cs="Arial"/>
          <w:color w:val="000000" w:themeColor="text1"/>
        </w:rPr>
        <w:t xml:space="preserve">1. Analgesic activity of the latex of </w:t>
      </w:r>
      <w:r w:rsidRPr="005E4952">
        <w:rPr>
          <w:rFonts w:ascii="Arial" w:hAnsi="Arial" w:cs="Arial"/>
          <w:i/>
          <w:color w:val="000000" w:themeColor="text1"/>
        </w:rPr>
        <w:t>C. gigantea</w:t>
      </w:r>
      <w:r w:rsidRPr="005E4952">
        <w:rPr>
          <w:rFonts w:ascii="Arial" w:hAnsi="Arial" w:cs="Arial"/>
          <w:color w:val="000000" w:themeColor="text1"/>
        </w:rPr>
        <w:t xml:space="preserve"> can be conducted, as no previous studies on the latex have been done.  </w:t>
      </w:r>
    </w:p>
    <w:p w14:paraId="7A0209FF" w14:textId="77777777" w:rsidR="005E4952" w:rsidRPr="005E4952" w:rsidRDefault="005E4952" w:rsidP="005E4952">
      <w:pPr>
        <w:spacing w:line="360" w:lineRule="auto"/>
        <w:jc w:val="both"/>
        <w:rPr>
          <w:rFonts w:ascii="Arial" w:hAnsi="Arial" w:cs="Arial"/>
          <w:color w:val="000000" w:themeColor="text1"/>
        </w:rPr>
      </w:pPr>
      <w:r w:rsidRPr="005E4952">
        <w:rPr>
          <w:rFonts w:ascii="Arial" w:hAnsi="Arial" w:cs="Arial"/>
          <w:color w:val="000000" w:themeColor="text1"/>
        </w:rPr>
        <w:t>2. Research work on the stem bark and fruits can also be conducted.</w:t>
      </w:r>
    </w:p>
    <w:p w14:paraId="3B46758C" w14:textId="77777777" w:rsidR="005E4952" w:rsidRPr="005E4952" w:rsidRDefault="005E4952" w:rsidP="005E4952">
      <w:pPr>
        <w:spacing w:line="360" w:lineRule="auto"/>
        <w:jc w:val="both"/>
        <w:rPr>
          <w:rFonts w:ascii="Arial" w:hAnsi="Arial" w:cs="Arial"/>
          <w:color w:val="000000" w:themeColor="text1"/>
        </w:rPr>
      </w:pPr>
      <w:r w:rsidRPr="005E4952">
        <w:rPr>
          <w:rFonts w:ascii="Arial" w:hAnsi="Arial" w:cs="Arial"/>
          <w:color w:val="000000" w:themeColor="text1"/>
        </w:rPr>
        <w:t>3. Further, research can be conducted to isolate the chemical responsible for analgesic activity and study the mechanism of action.</w:t>
      </w:r>
    </w:p>
    <w:p w14:paraId="191843B8" w14:textId="77777777" w:rsidR="005E4952" w:rsidRPr="005E4952" w:rsidRDefault="005E4952" w:rsidP="005E4952">
      <w:pPr>
        <w:shd w:val="clear" w:color="auto" w:fill="FFFFFF"/>
        <w:spacing w:before="120" w:after="120" w:line="360" w:lineRule="auto"/>
        <w:jc w:val="both"/>
        <w:rPr>
          <w:rFonts w:ascii="Arial" w:hAnsi="Arial" w:cs="Arial"/>
          <w:b/>
          <w:bCs/>
          <w:color w:val="000000" w:themeColor="text1"/>
          <w:sz w:val="22"/>
          <w:szCs w:val="22"/>
        </w:rPr>
      </w:pPr>
      <w:r w:rsidRPr="005E4952">
        <w:rPr>
          <w:rFonts w:ascii="Arial" w:hAnsi="Arial" w:cs="Arial"/>
          <w:b/>
          <w:bCs/>
          <w:color w:val="000000" w:themeColor="text1"/>
          <w:sz w:val="22"/>
          <w:szCs w:val="22"/>
        </w:rPr>
        <w:t>DATA AVAILABILITY STATEMENT</w:t>
      </w:r>
    </w:p>
    <w:p w14:paraId="52EAA4BD" w14:textId="77777777" w:rsidR="005E4952" w:rsidRPr="005E4952" w:rsidRDefault="005E4952" w:rsidP="005E4952">
      <w:pPr>
        <w:shd w:val="clear" w:color="auto" w:fill="FFFFFF"/>
        <w:spacing w:before="120" w:after="120" w:line="360" w:lineRule="auto"/>
        <w:jc w:val="both"/>
        <w:rPr>
          <w:rFonts w:ascii="Arial" w:hAnsi="Arial" w:cs="Arial"/>
          <w:b/>
          <w:bCs/>
          <w:color w:val="000000" w:themeColor="text1"/>
        </w:rPr>
      </w:pPr>
      <w:r w:rsidRPr="005E4952">
        <w:rPr>
          <w:rFonts w:ascii="Arial" w:hAnsi="Arial" w:cs="Arial"/>
        </w:rPr>
        <w:lastRenderedPageBreak/>
        <w:t xml:space="preserve">All the data generated during this study were statistically analyzed and are presented in the figures and tables. The dataset could be available upon reasonable request from the corresponding author. </w:t>
      </w:r>
    </w:p>
    <w:p w14:paraId="40CE72CB" w14:textId="77777777" w:rsidR="00FF780A" w:rsidRDefault="00FF780A" w:rsidP="0017267B">
      <w:pPr>
        <w:jc w:val="both"/>
        <w:outlineLvl w:val="0"/>
        <w:rPr>
          <w:rFonts w:ascii="Arial" w:hAnsi="Arial" w:cs="Arial"/>
          <w:b/>
          <w:bCs/>
        </w:rPr>
      </w:pPr>
    </w:p>
    <w:p w14:paraId="3754576B" w14:textId="26164E81" w:rsidR="0017267B" w:rsidRPr="003A29C6" w:rsidRDefault="0017267B" w:rsidP="0017267B">
      <w:pPr>
        <w:jc w:val="both"/>
        <w:outlineLvl w:val="0"/>
        <w:rPr>
          <w:rFonts w:ascii="Arial" w:hAnsi="Arial" w:cs="Arial"/>
        </w:rPr>
      </w:pPr>
      <w:r w:rsidRPr="003A29C6">
        <w:rPr>
          <w:rFonts w:ascii="Arial" w:hAnsi="Arial" w:cs="Arial"/>
          <w:b/>
          <w:bCs/>
        </w:rPr>
        <w:t>COMPETING INTERESTS DISCLAIMER:</w:t>
      </w:r>
    </w:p>
    <w:p w14:paraId="39AA7325" w14:textId="77777777" w:rsidR="0017267B" w:rsidRDefault="0017267B" w:rsidP="0017267B">
      <w:r w:rsidRPr="00A10EDE">
        <w:t>Authors have declared that they have no known competing financial interests OR non-financial interests OR personal relationships that could have appeared to influence the work reported in this paper.</w:t>
      </w:r>
    </w:p>
    <w:p w14:paraId="5B103306" w14:textId="77777777" w:rsidR="0017267B" w:rsidRDefault="0017267B" w:rsidP="0017267B"/>
    <w:p w14:paraId="17824C31" w14:textId="77777777" w:rsidR="0017267B" w:rsidRDefault="0017267B" w:rsidP="0017267B"/>
    <w:p w14:paraId="0343476C" w14:textId="77777777" w:rsidR="0017267B" w:rsidRPr="005E4952" w:rsidRDefault="0017267B" w:rsidP="005E4952">
      <w:pPr>
        <w:shd w:val="clear" w:color="auto" w:fill="FFFFFF"/>
        <w:spacing w:before="120" w:after="120" w:line="360" w:lineRule="auto"/>
        <w:jc w:val="both"/>
        <w:rPr>
          <w:rFonts w:ascii="Arial" w:hAnsi="Arial" w:cs="Arial"/>
        </w:rPr>
      </w:pPr>
    </w:p>
    <w:p w14:paraId="6BDF7F5B" w14:textId="77777777" w:rsidR="005E4952" w:rsidRPr="005E4952" w:rsidRDefault="005E4952" w:rsidP="005E4952">
      <w:pPr>
        <w:jc w:val="both"/>
        <w:rPr>
          <w:rFonts w:ascii="Arial" w:hAnsi="Arial" w:cs="Arial"/>
          <w:color w:val="000000" w:themeColor="text1"/>
        </w:rPr>
      </w:pPr>
    </w:p>
    <w:p w14:paraId="7825AB6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82EB862" w14:textId="77777777" w:rsidR="00790ADA" w:rsidRPr="00FB3A86" w:rsidRDefault="00790ADA" w:rsidP="00441B6F">
      <w:pPr>
        <w:pStyle w:val="ReferHead"/>
        <w:spacing w:after="0"/>
        <w:jc w:val="both"/>
        <w:rPr>
          <w:rFonts w:ascii="Arial" w:hAnsi="Arial" w:cs="Arial"/>
        </w:rPr>
      </w:pPr>
    </w:p>
    <w:p w14:paraId="13647992" w14:textId="77777777" w:rsidR="005E4952" w:rsidRPr="005E4952" w:rsidRDefault="005E4952" w:rsidP="005E4952">
      <w:pPr>
        <w:pStyle w:val="Body"/>
        <w:spacing w:after="0"/>
      </w:pPr>
      <w:proofErr w:type="spellStart"/>
      <w:r w:rsidRPr="005E4952">
        <w:t>Ahmadiani</w:t>
      </w:r>
      <w:proofErr w:type="spellEnd"/>
      <w:r w:rsidRPr="005E4952">
        <w:t xml:space="preserve">, A., Moghaddam, H. F., &amp; Jafari, S. (2000). Antinociceptive and anti-inflammatory effects of the methanol extract of </w:t>
      </w:r>
      <w:r w:rsidRPr="005E4952">
        <w:rPr>
          <w:i/>
          <w:iCs/>
        </w:rPr>
        <w:t>Cissus polyantha</w:t>
      </w:r>
      <w:r w:rsidRPr="005E4952">
        <w:t xml:space="preserve"> roots. </w:t>
      </w:r>
      <w:r w:rsidRPr="005E4952">
        <w:rPr>
          <w:i/>
          <w:iCs/>
        </w:rPr>
        <w:t>Journal of Ethnopharmacology, 71</w:t>
      </w:r>
      <w:r w:rsidRPr="005E4952">
        <w:t xml:space="preserve">(1–2), 93–98. </w:t>
      </w:r>
      <w:hyperlink r:id="rId38" w:tgtFrame="_new" w:history="1">
        <w:r w:rsidRPr="005E4952">
          <w:rPr>
            <w:rStyle w:val="Hyperlink"/>
          </w:rPr>
          <w:t>https://doi.org/10.1016/S0378-8741(00)00235-1</w:t>
        </w:r>
      </w:hyperlink>
    </w:p>
    <w:p w14:paraId="10989415" w14:textId="77777777" w:rsidR="005E4952" w:rsidRPr="005E4952" w:rsidRDefault="005E4952" w:rsidP="005E4952">
      <w:pPr>
        <w:pStyle w:val="Body"/>
        <w:spacing w:after="0"/>
      </w:pPr>
      <w:proofErr w:type="spellStart"/>
      <w:r w:rsidRPr="005E4952">
        <w:t>Alafnan</w:t>
      </w:r>
      <w:proofErr w:type="spellEnd"/>
      <w:r w:rsidRPr="005E4952">
        <w:t>, A. H., Al-</w:t>
      </w:r>
      <w:proofErr w:type="spellStart"/>
      <w:r w:rsidRPr="005E4952">
        <w:t>Sheddi</w:t>
      </w:r>
      <w:proofErr w:type="spellEnd"/>
      <w:r w:rsidRPr="005E4952">
        <w:t>, E. S., &amp; Al-</w:t>
      </w:r>
      <w:proofErr w:type="spellStart"/>
      <w:r w:rsidRPr="005E4952">
        <w:t>Oqail</w:t>
      </w:r>
      <w:proofErr w:type="spellEnd"/>
      <w:r w:rsidRPr="005E4952">
        <w:t xml:space="preserve">, M. M. (2021). Phytochemical, antioxidant, and antimicrobial activities of </w:t>
      </w:r>
      <w:r w:rsidRPr="005E4952">
        <w:rPr>
          <w:i/>
          <w:iCs/>
        </w:rPr>
        <w:t>Calotropis gigantea</w:t>
      </w:r>
      <w:r w:rsidRPr="005E4952">
        <w:t xml:space="preserve"> (L.) </w:t>
      </w:r>
      <w:proofErr w:type="spellStart"/>
      <w:r w:rsidRPr="005E4952">
        <w:t>Dryand</w:t>
      </w:r>
      <w:proofErr w:type="spellEnd"/>
      <w:r w:rsidRPr="005E4952">
        <w:t xml:space="preserve"> leaves. </w:t>
      </w:r>
      <w:r w:rsidRPr="005E4952">
        <w:rPr>
          <w:i/>
          <w:iCs/>
        </w:rPr>
        <w:t>Saudi Journal of Biological Sciences, 28</w:t>
      </w:r>
      <w:r w:rsidRPr="005E4952">
        <w:t xml:space="preserve">(2), 1185–1192. </w:t>
      </w:r>
      <w:hyperlink r:id="rId39" w:tgtFrame="_new" w:history="1">
        <w:r w:rsidRPr="005E4952">
          <w:rPr>
            <w:rStyle w:val="Hyperlink"/>
          </w:rPr>
          <w:t>https://doi.org/10.1016/j.sjbs.2020.10.027</w:t>
        </w:r>
      </w:hyperlink>
    </w:p>
    <w:p w14:paraId="4875AC64" w14:textId="77777777" w:rsidR="005E4952" w:rsidRPr="005E4952" w:rsidRDefault="005E4952" w:rsidP="005E4952">
      <w:pPr>
        <w:pStyle w:val="Body"/>
        <w:spacing w:after="0"/>
      </w:pPr>
      <w:r w:rsidRPr="005E4952">
        <w:t>Alemu A</w:t>
      </w:r>
      <w:r w:rsidRPr="005E4952">
        <w:rPr>
          <w:i/>
          <w:iCs/>
        </w:rPr>
        <w:t xml:space="preserve">. et al. </w:t>
      </w:r>
      <w:r w:rsidRPr="005E4952">
        <w:t xml:space="preserve">(2018). Analgesic and Anti-inflammatory Effects of 80% Methanol Extract of </w:t>
      </w:r>
      <w:proofErr w:type="spellStart"/>
      <w:r w:rsidRPr="005E4952">
        <w:rPr>
          <w:i/>
        </w:rPr>
        <w:t>Leonotis</w:t>
      </w:r>
      <w:proofErr w:type="spellEnd"/>
      <w:r w:rsidRPr="005E4952">
        <w:rPr>
          <w:i/>
        </w:rPr>
        <w:t xml:space="preserve"> </w:t>
      </w:r>
      <w:proofErr w:type="spellStart"/>
      <w:r w:rsidRPr="005E4952">
        <w:rPr>
          <w:i/>
        </w:rPr>
        <w:t>ocymifolia</w:t>
      </w:r>
      <w:proofErr w:type="spellEnd"/>
      <w:r w:rsidRPr="005E4952">
        <w:t xml:space="preserve"> (</w:t>
      </w:r>
      <w:proofErr w:type="spellStart"/>
      <w:r w:rsidRPr="005E4952">
        <w:t>Burm</w:t>
      </w:r>
      <w:proofErr w:type="spellEnd"/>
      <w:r w:rsidRPr="005E4952">
        <w:t xml:space="preserve">. F.) Iwarsson Leaves in Rodent Models, </w:t>
      </w:r>
      <w:proofErr w:type="spellStart"/>
      <w:r w:rsidRPr="005E4952">
        <w:rPr>
          <w:i/>
          <w:iCs/>
        </w:rPr>
        <w:t>Hindawi</w:t>
      </w:r>
      <w:proofErr w:type="spellEnd"/>
      <w:r w:rsidRPr="005E4952">
        <w:t>: 1-8.</w:t>
      </w:r>
    </w:p>
    <w:p w14:paraId="65634C19" w14:textId="77777777" w:rsidR="005E4952" w:rsidRPr="005E4952" w:rsidRDefault="005E4952" w:rsidP="005E4952">
      <w:pPr>
        <w:pStyle w:val="Body"/>
        <w:spacing w:after="0"/>
      </w:pPr>
      <w:r w:rsidRPr="005E4952">
        <w:t xml:space="preserve">Alemu, A., Tamiru, W., Nedi, T., &amp; </w:t>
      </w:r>
      <w:proofErr w:type="spellStart"/>
      <w:r w:rsidRPr="005E4952">
        <w:t>Shibeshi</w:t>
      </w:r>
      <w:proofErr w:type="spellEnd"/>
      <w:r w:rsidRPr="005E4952">
        <w:t xml:space="preserve">, W. (2018). Analgesic and anti-inflammatory effects of 80% methanol extract of </w:t>
      </w:r>
      <w:proofErr w:type="spellStart"/>
      <w:r w:rsidRPr="005E4952">
        <w:rPr>
          <w:i/>
          <w:iCs/>
        </w:rPr>
        <w:t>Leonotis</w:t>
      </w:r>
      <w:proofErr w:type="spellEnd"/>
      <w:r w:rsidRPr="005E4952">
        <w:rPr>
          <w:i/>
          <w:iCs/>
        </w:rPr>
        <w:t xml:space="preserve"> </w:t>
      </w:r>
      <w:proofErr w:type="spellStart"/>
      <w:r w:rsidRPr="005E4952">
        <w:rPr>
          <w:i/>
          <w:iCs/>
        </w:rPr>
        <w:t>ocymifolia</w:t>
      </w:r>
      <w:proofErr w:type="spellEnd"/>
      <w:r w:rsidRPr="005E4952">
        <w:t xml:space="preserve"> (</w:t>
      </w:r>
      <w:proofErr w:type="spellStart"/>
      <w:r w:rsidRPr="005E4952">
        <w:t>Burm.f</w:t>
      </w:r>
      <w:proofErr w:type="spellEnd"/>
      <w:r w:rsidRPr="005E4952">
        <w:t xml:space="preserve">.) Iwarsson leaves in rodent models. </w:t>
      </w:r>
      <w:r w:rsidRPr="005E4952">
        <w:rPr>
          <w:i/>
          <w:iCs/>
        </w:rPr>
        <w:t>Evidence-Based Complementary and Alternative Medicine, 2018</w:t>
      </w:r>
      <w:r w:rsidRPr="005E4952">
        <w:t xml:space="preserve">. </w:t>
      </w:r>
      <w:hyperlink r:id="rId40" w:tgtFrame="_new" w:history="1">
        <w:r w:rsidRPr="005E4952">
          <w:rPr>
            <w:rStyle w:val="Hyperlink"/>
          </w:rPr>
          <w:t>https://doi.org/10.1155/2018/1614793</w:t>
        </w:r>
      </w:hyperlink>
    </w:p>
    <w:p w14:paraId="2D6B37C5" w14:textId="77777777" w:rsidR="005E4952" w:rsidRPr="005E4952" w:rsidRDefault="005E4952" w:rsidP="005E4952">
      <w:pPr>
        <w:pStyle w:val="Body"/>
        <w:spacing w:after="0"/>
      </w:pPr>
      <w:proofErr w:type="spellStart"/>
      <w:r w:rsidRPr="005E4952">
        <w:t>Alorf</w:t>
      </w:r>
      <w:proofErr w:type="spellEnd"/>
      <w:r w:rsidRPr="005E4952">
        <w:t xml:space="preserve">, N. M. (2023). Pharmacological methods of pain management: Narrative review of medication used. </w:t>
      </w:r>
      <w:r w:rsidRPr="005E4952">
        <w:rPr>
          <w:i/>
          <w:iCs/>
        </w:rPr>
        <w:t>International Journal of General Medicine, 16,</w:t>
      </w:r>
      <w:r w:rsidRPr="005E4952">
        <w:t xml:space="preserve"> 3247–3256. https://doi.org/10.2147/IJGM.S414073</w:t>
      </w:r>
    </w:p>
    <w:p w14:paraId="05474E7F" w14:textId="77777777" w:rsidR="005E4952" w:rsidRPr="005E4952" w:rsidRDefault="005E4952" w:rsidP="005E4952">
      <w:pPr>
        <w:pStyle w:val="Body"/>
        <w:spacing w:after="0"/>
      </w:pPr>
      <w:r w:rsidRPr="005E4952">
        <w:t xml:space="preserve">Alsaedi, S., &amp; </w:t>
      </w:r>
      <w:proofErr w:type="spellStart"/>
      <w:r w:rsidRPr="005E4952">
        <w:t>Aljeddani</w:t>
      </w:r>
      <w:proofErr w:type="spellEnd"/>
      <w:r w:rsidRPr="005E4952">
        <w:t xml:space="preserve">, G. (2022). Phytochemical analysis and bioactivity screening of primary and secondary metabolic products of medicinal plants in the valleys of Medina Region, Saudi Arabia. </w:t>
      </w:r>
      <w:r w:rsidRPr="005E4952">
        <w:rPr>
          <w:i/>
          <w:iCs/>
        </w:rPr>
        <w:t>Advances in Biological Chemistry, 12</w:t>
      </w:r>
      <w:r w:rsidRPr="005E4952">
        <w:t xml:space="preserve">(4), 135–152. </w:t>
      </w:r>
      <w:hyperlink r:id="rId41" w:history="1">
        <w:r w:rsidRPr="005E4952">
          <w:rPr>
            <w:rStyle w:val="Hyperlink"/>
          </w:rPr>
          <w:t>https://doi.org/10.4236/abc.2022.124009</w:t>
        </w:r>
      </w:hyperlink>
      <w:r w:rsidRPr="005E4952">
        <w:t>.</w:t>
      </w:r>
    </w:p>
    <w:p w14:paraId="1B9B0E05" w14:textId="77777777" w:rsidR="005E4952" w:rsidRPr="005E4952" w:rsidRDefault="005E4952" w:rsidP="005E4952">
      <w:pPr>
        <w:pStyle w:val="Body"/>
        <w:spacing w:after="0"/>
      </w:pPr>
      <w:r w:rsidRPr="005E4952">
        <w:t xml:space="preserve">Arifin W.N. and Zahiruddin W.M. (2017), Sample Size Calculation in Animal Studies Using the resource Equation Approach, </w:t>
      </w:r>
      <w:r w:rsidRPr="005E4952">
        <w:rPr>
          <w:i/>
        </w:rPr>
        <w:t xml:space="preserve">The Malaysian Journal of Medical Sciences, </w:t>
      </w:r>
      <w:r w:rsidRPr="005E4952">
        <w:t>24(5): 101-105.</w:t>
      </w:r>
    </w:p>
    <w:p w14:paraId="26758BEB" w14:textId="77777777" w:rsidR="005E4952" w:rsidRPr="005E4952" w:rsidRDefault="005E4952" w:rsidP="005E4952">
      <w:pPr>
        <w:pStyle w:val="Body"/>
        <w:spacing w:after="0"/>
      </w:pPr>
      <w:r w:rsidRPr="005E4952">
        <w:t xml:space="preserve">Bhandari, A., Aryal, A., </w:t>
      </w:r>
      <w:proofErr w:type="spellStart"/>
      <w:r w:rsidRPr="005E4952">
        <w:t>Bashyal</w:t>
      </w:r>
      <w:proofErr w:type="spellEnd"/>
      <w:r w:rsidRPr="005E4952">
        <w:t xml:space="preserve">, D., Giri, J., &amp; Gyawali, M. (2024). Comparative </w:t>
      </w:r>
      <w:r w:rsidRPr="005E4952">
        <w:rPr>
          <w:i/>
          <w:iCs/>
        </w:rPr>
        <w:t>in vitro</w:t>
      </w:r>
      <w:r w:rsidRPr="005E4952">
        <w:t xml:space="preserve"> study on phytochemical profile, antioxidants, and antimicrobial activities of </w:t>
      </w:r>
      <w:proofErr w:type="spellStart"/>
      <w:r w:rsidRPr="005E4952">
        <w:rPr>
          <w:i/>
          <w:iCs/>
        </w:rPr>
        <w:t>Pogostemon</w:t>
      </w:r>
      <w:proofErr w:type="spellEnd"/>
      <w:r w:rsidRPr="005E4952">
        <w:rPr>
          <w:i/>
          <w:iCs/>
        </w:rPr>
        <w:t xml:space="preserve"> </w:t>
      </w:r>
      <w:proofErr w:type="spellStart"/>
      <w:r w:rsidRPr="005E4952">
        <w:rPr>
          <w:i/>
          <w:iCs/>
        </w:rPr>
        <w:t>benghalensis</w:t>
      </w:r>
      <w:proofErr w:type="spellEnd"/>
      <w:r w:rsidRPr="005E4952">
        <w:t xml:space="preserve"> leaves and stem from two different geographical regions in Lumbini Province of Nepal. </w:t>
      </w:r>
      <w:r w:rsidRPr="005E4952">
        <w:rPr>
          <w:i/>
          <w:iCs/>
        </w:rPr>
        <w:t>Journal of Medicinal Plants Research, 18</w:t>
      </w:r>
      <w:r w:rsidRPr="005E4952">
        <w:t>(7), 95–106. https://doi.org/10.5897/JMPR2024.7352</w:t>
      </w:r>
    </w:p>
    <w:p w14:paraId="06856F65" w14:textId="77777777" w:rsidR="005E4952" w:rsidRPr="005E4952" w:rsidRDefault="005E4952" w:rsidP="005E4952">
      <w:pPr>
        <w:pStyle w:val="Body"/>
        <w:spacing w:after="0"/>
      </w:pPr>
      <w:r w:rsidRPr="005E4952">
        <w:t xml:space="preserve">Choi, J. H., Lee, H. S., &amp; Lee, S. H. (2005). Anti-inflammatory and analgesic effects of saponins from </w:t>
      </w:r>
      <w:r w:rsidRPr="005E4952">
        <w:rPr>
          <w:i/>
          <w:iCs/>
        </w:rPr>
        <w:t>Panax ginseng</w:t>
      </w:r>
      <w:r w:rsidRPr="005E4952">
        <w:t xml:space="preserve"> roots. </w:t>
      </w:r>
      <w:r w:rsidRPr="005E4952">
        <w:rPr>
          <w:i/>
          <w:iCs/>
        </w:rPr>
        <w:t>Journal of Ethnopharmacology, 96</w:t>
      </w:r>
      <w:r w:rsidRPr="005E4952">
        <w:t xml:space="preserve">(3), 441–448. </w:t>
      </w:r>
      <w:hyperlink r:id="rId42" w:tgtFrame="_new" w:history="1">
        <w:r w:rsidRPr="005E4952">
          <w:rPr>
            <w:rStyle w:val="Hyperlink"/>
          </w:rPr>
          <w:t>https://doi.org/10.1016/j.jep.2004.11.027</w:t>
        </w:r>
      </w:hyperlink>
    </w:p>
    <w:p w14:paraId="480F31EF" w14:textId="77777777" w:rsidR="005E4952" w:rsidRPr="005E4952" w:rsidRDefault="005E4952" w:rsidP="005E4952">
      <w:pPr>
        <w:pStyle w:val="Body"/>
        <w:spacing w:after="0"/>
      </w:pPr>
      <w:r w:rsidRPr="005E4952">
        <w:t xml:space="preserve">Dhivya, R., &amp; Manimegalai, K. (2013). Preliminary phytochemical screening and GC-MS profiling of ethanolic flower extract of </w:t>
      </w:r>
      <w:r w:rsidRPr="005E4952">
        <w:rPr>
          <w:i/>
          <w:iCs/>
        </w:rPr>
        <w:t>Calotropis gigantea</w:t>
      </w:r>
      <w:r w:rsidRPr="005E4952">
        <w:t xml:space="preserve"> Linn. </w:t>
      </w:r>
      <w:r w:rsidRPr="005E4952">
        <w:rPr>
          <w:i/>
          <w:iCs/>
        </w:rPr>
        <w:t>International Journal of Scientific and Research Publications, 3</w:t>
      </w:r>
      <w:r w:rsidRPr="005E4952">
        <w:t xml:space="preserve">(3), 1–5. Retrieved from </w:t>
      </w:r>
      <w:hyperlink r:id="rId43" w:tgtFrame="_new" w:history="1">
        <w:r w:rsidRPr="005E4952">
          <w:rPr>
            <w:rStyle w:val="Hyperlink"/>
          </w:rPr>
          <w:t>http://www.ijsrp.org/research-paper-0313/ijsrp-p1791.pdf</w:t>
        </w:r>
      </w:hyperlink>
    </w:p>
    <w:p w14:paraId="09FB792A" w14:textId="77777777" w:rsidR="005E4952" w:rsidRPr="005E4952" w:rsidRDefault="005E4952" w:rsidP="005E4952">
      <w:pPr>
        <w:pStyle w:val="Body"/>
        <w:spacing w:after="0"/>
      </w:pPr>
      <w:r w:rsidRPr="005E4952">
        <w:t xml:space="preserve">Jamal, A., Arif, A., Kiran, S., Shahid, M. N., &amp; Hossain, M. B. (2025). Phytochemical investigations and pharmacological potential of organic extracts of </w:t>
      </w:r>
      <w:r w:rsidRPr="005E4952">
        <w:rPr>
          <w:i/>
          <w:iCs/>
        </w:rPr>
        <w:t>Calotropis gigantea</w:t>
      </w:r>
      <w:r w:rsidRPr="005E4952">
        <w:t xml:space="preserve"> L. leaves. </w:t>
      </w:r>
      <w:proofErr w:type="spellStart"/>
      <w:r w:rsidRPr="005E4952">
        <w:rPr>
          <w:i/>
          <w:iCs/>
        </w:rPr>
        <w:t>Scientifica</w:t>
      </w:r>
      <w:proofErr w:type="spellEnd"/>
      <w:r w:rsidRPr="005E4952">
        <w:rPr>
          <w:i/>
          <w:iCs/>
        </w:rPr>
        <w:t xml:space="preserve">, 2025. </w:t>
      </w:r>
      <w:r w:rsidRPr="005E4952">
        <w:t xml:space="preserve"> </w:t>
      </w:r>
      <w:hyperlink r:id="rId44" w:tgtFrame="_new" w:history="1">
        <w:r w:rsidRPr="005E4952">
          <w:rPr>
            <w:rStyle w:val="Hyperlink"/>
          </w:rPr>
          <w:t>https://doi.org/10.1155/sci5/1669969</w:t>
        </w:r>
      </w:hyperlink>
    </w:p>
    <w:p w14:paraId="0F6403D9" w14:textId="77777777" w:rsidR="005E4952" w:rsidRPr="005E4952" w:rsidRDefault="005E4952" w:rsidP="005E4952">
      <w:pPr>
        <w:pStyle w:val="Body"/>
        <w:spacing w:after="0"/>
      </w:pPr>
      <w:r w:rsidRPr="005E4952">
        <w:lastRenderedPageBreak/>
        <w:t xml:space="preserve">Khanal, S., &amp; Bhandari, A. (2024). Formulation and physicochemical evaluation of polyherbal toothpaste using domestic medicinal plants. </w:t>
      </w:r>
      <w:r w:rsidRPr="005E4952">
        <w:rPr>
          <w:i/>
          <w:iCs/>
        </w:rPr>
        <w:t>International Journal of Pharmaceutical Sciences, 2</w:t>
      </w:r>
      <w:r w:rsidRPr="005E4952">
        <w:t xml:space="preserve">(7), 962–975. </w:t>
      </w:r>
      <w:hyperlink r:id="rId45" w:tgtFrame="_new" w:history="1">
        <w:r w:rsidRPr="005E4952">
          <w:rPr>
            <w:rStyle w:val="Hyperlink"/>
          </w:rPr>
          <w:t>https://doi.org/10.5281/zenodo.12738905</w:t>
        </w:r>
      </w:hyperlink>
    </w:p>
    <w:p w14:paraId="0AF4492B" w14:textId="77777777" w:rsidR="005E4952" w:rsidRPr="005E4952" w:rsidRDefault="005E4952" w:rsidP="005E4952">
      <w:pPr>
        <w:pStyle w:val="Body"/>
        <w:spacing w:after="0"/>
      </w:pPr>
      <w:r w:rsidRPr="005E4952">
        <w:t xml:space="preserve">Mandal, S. (2023). </w:t>
      </w:r>
      <w:r w:rsidRPr="005E4952">
        <w:rPr>
          <w:i/>
          <w:iCs/>
        </w:rPr>
        <w:t>Calotropis gigantea</w:t>
      </w:r>
      <w:r w:rsidRPr="005E4952">
        <w:t xml:space="preserve">: A brief study on phytochemical and pharmacological profile. </w:t>
      </w:r>
      <w:r w:rsidRPr="005E4952">
        <w:rPr>
          <w:i/>
          <w:iCs/>
        </w:rPr>
        <w:t>Asian Journal of Pharmaceutical Research, 13</w:t>
      </w:r>
      <w:r w:rsidRPr="005E4952">
        <w:t>(1), 34–40. https://doi.org/10.52711/2231-5691.2023.00006</w:t>
      </w:r>
    </w:p>
    <w:p w14:paraId="58A7A5F9" w14:textId="77777777" w:rsidR="005E4952" w:rsidRPr="005E4952" w:rsidRDefault="005E4952" w:rsidP="005E4952">
      <w:pPr>
        <w:pStyle w:val="Body"/>
        <w:spacing w:after="0"/>
      </w:pPr>
      <w:r w:rsidRPr="005E4952">
        <w:t xml:space="preserve">Neupane S. </w:t>
      </w:r>
      <w:r w:rsidRPr="005E4952">
        <w:rPr>
          <w:i/>
        </w:rPr>
        <w:t xml:space="preserve">et al. </w:t>
      </w:r>
      <w:r w:rsidRPr="005E4952">
        <w:t xml:space="preserve">(2023) Total Phenolic and Flavonoid Contents, and Preliminary Antioxidant, Xanthine Oxidase Inhibitory and Antibacterial Activities of Fruits of </w:t>
      </w:r>
      <w:proofErr w:type="spellStart"/>
      <w:r w:rsidRPr="005E4952">
        <w:t>Lapsi</w:t>
      </w:r>
      <w:proofErr w:type="spellEnd"/>
      <w:r w:rsidRPr="005E4952">
        <w:t xml:space="preserve"> (</w:t>
      </w:r>
      <w:proofErr w:type="spellStart"/>
      <w:r w:rsidRPr="005E4952">
        <w:rPr>
          <w:i/>
          <w:iCs/>
        </w:rPr>
        <w:t>Choerospondias</w:t>
      </w:r>
      <w:proofErr w:type="spellEnd"/>
      <w:r w:rsidRPr="005E4952">
        <w:rPr>
          <w:i/>
          <w:iCs/>
        </w:rPr>
        <w:t xml:space="preserve"> </w:t>
      </w:r>
      <w:proofErr w:type="spellStart"/>
      <w:r w:rsidRPr="005E4952">
        <w:rPr>
          <w:i/>
          <w:iCs/>
        </w:rPr>
        <w:t>axillaris</w:t>
      </w:r>
      <w:proofErr w:type="spellEnd"/>
      <w:r w:rsidRPr="005E4952">
        <w:t> </w:t>
      </w:r>
      <w:proofErr w:type="spellStart"/>
      <w:r w:rsidRPr="005E4952">
        <w:t>Roxb</w:t>
      </w:r>
      <w:proofErr w:type="spellEnd"/>
      <w:r w:rsidRPr="005E4952">
        <w:t xml:space="preserve">.), an Underutilized Wild Fruit of Nepal, </w:t>
      </w:r>
      <w:r w:rsidRPr="005E4952">
        <w:rPr>
          <w:i/>
        </w:rPr>
        <w:t>Applied Sciences</w:t>
      </w:r>
      <w:r w:rsidRPr="005E4952">
        <w:t>, 13: 1-20.</w:t>
      </w:r>
    </w:p>
    <w:p w14:paraId="329739DE" w14:textId="77777777" w:rsidR="005E4952" w:rsidRPr="005E4952" w:rsidRDefault="005E4952" w:rsidP="005E4952">
      <w:pPr>
        <w:pStyle w:val="Body"/>
        <w:spacing w:after="0"/>
      </w:pPr>
      <w:r w:rsidRPr="005E4952">
        <w:t xml:space="preserve">OECD. (2008). </w:t>
      </w:r>
      <w:r w:rsidRPr="005E4952">
        <w:rPr>
          <w:i/>
          <w:iCs/>
        </w:rPr>
        <w:t>OECD test no. 425: Acute oral toxicity: Up-and-down procedure</w:t>
      </w:r>
      <w:r w:rsidRPr="005E4952">
        <w:t>. OECD Publishing.</w:t>
      </w:r>
    </w:p>
    <w:p w14:paraId="6E93CF84" w14:textId="77777777" w:rsidR="005E4952" w:rsidRPr="005E4952" w:rsidRDefault="005E4952" w:rsidP="005E4952">
      <w:pPr>
        <w:pStyle w:val="Body"/>
        <w:spacing w:after="0"/>
      </w:pPr>
      <w:r w:rsidRPr="005E4952">
        <w:t xml:space="preserve">Pandey, J et al. (2020). Analgesic activity of bark and leaves of </w:t>
      </w:r>
      <w:r w:rsidRPr="005E4952">
        <w:rPr>
          <w:i/>
          <w:iCs/>
        </w:rPr>
        <w:t>Ficus religiosa</w:t>
      </w:r>
      <w:r w:rsidRPr="005E4952">
        <w:t xml:space="preserve"> L. from Nepal, International Journal of Pharmacy and Pharmaceutical Sciences; 12 (7): 32-35.</w:t>
      </w:r>
    </w:p>
    <w:p w14:paraId="378CDAF0" w14:textId="77777777" w:rsidR="005E4952" w:rsidRPr="005E4952" w:rsidRDefault="005E4952" w:rsidP="005E4952">
      <w:pPr>
        <w:pStyle w:val="Body"/>
        <w:spacing w:after="0"/>
      </w:pPr>
      <w:r w:rsidRPr="005E4952">
        <w:t xml:space="preserve">Patel, B. P., </w:t>
      </w:r>
      <w:proofErr w:type="spellStart"/>
      <w:r w:rsidRPr="005E4952">
        <w:t>Upadhaya</w:t>
      </w:r>
      <w:proofErr w:type="spellEnd"/>
      <w:r w:rsidRPr="005E4952">
        <w:t xml:space="preserve">, A., &amp; Kumar, S. (2021). Conservation, cultivation and sustainable utilization of lesser-known plants in Nepal. In </w:t>
      </w:r>
      <w:r w:rsidRPr="005E4952">
        <w:rPr>
          <w:i/>
          <w:iCs/>
        </w:rPr>
        <w:t>Lesser known plants: Conservation, management and utilization</w:t>
      </w:r>
      <w:r w:rsidRPr="005E4952">
        <w:t xml:space="preserve"> (pp. 193–227). Walnut Publication.</w:t>
      </w:r>
    </w:p>
    <w:p w14:paraId="31B7F6E4" w14:textId="77777777" w:rsidR="005E4952" w:rsidRPr="005E4952" w:rsidRDefault="005E4952" w:rsidP="005E4952">
      <w:pPr>
        <w:pStyle w:val="Body"/>
        <w:spacing w:after="0"/>
      </w:pPr>
      <w:r w:rsidRPr="005E4952">
        <w:t xml:space="preserve">Patel, P. K., Sahu, J., &amp; Chandel, S. S. (2016). A detailed review on nociceptive models for the screening of analgesic activity in experimental animals. </w:t>
      </w:r>
      <w:r w:rsidRPr="005E4952">
        <w:rPr>
          <w:i/>
          <w:iCs/>
        </w:rPr>
        <w:t>International Journal of Neurologic Physical Therapy, 2</w:t>
      </w:r>
      <w:r w:rsidRPr="005E4952">
        <w:t xml:space="preserve">(6), 44–50. </w:t>
      </w:r>
      <w:hyperlink r:id="rId46" w:history="1">
        <w:r w:rsidRPr="005E4952">
          <w:rPr>
            <w:rStyle w:val="Hyperlink"/>
          </w:rPr>
          <w:t>https://doi.org/10.11648/j.ijnpt.20160206.11</w:t>
        </w:r>
      </w:hyperlink>
      <w:r w:rsidRPr="005E4952">
        <w:t>a</w:t>
      </w:r>
    </w:p>
    <w:p w14:paraId="79874A2A" w14:textId="77777777" w:rsidR="005E4952" w:rsidRPr="005E4952" w:rsidRDefault="005E4952" w:rsidP="005E4952">
      <w:pPr>
        <w:pStyle w:val="Body"/>
        <w:spacing w:after="0"/>
      </w:pPr>
      <w:r w:rsidRPr="005E4952">
        <w:t xml:space="preserve">Rahman, M. M., Sultana, S., &amp; Islam, M. R. (2012). Antioxidant and antimicrobial activities of </w:t>
      </w:r>
      <w:r w:rsidRPr="005E4952">
        <w:rPr>
          <w:i/>
          <w:iCs/>
        </w:rPr>
        <w:t>Calotropis gigantea</w:t>
      </w:r>
      <w:r w:rsidRPr="005E4952">
        <w:t xml:space="preserve"> (L.) </w:t>
      </w:r>
      <w:proofErr w:type="spellStart"/>
      <w:r w:rsidRPr="005E4952">
        <w:t>Dryand</w:t>
      </w:r>
      <w:proofErr w:type="spellEnd"/>
      <w:r w:rsidRPr="005E4952">
        <w:t xml:space="preserve"> leaves. </w:t>
      </w:r>
      <w:r w:rsidRPr="005E4952">
        <w:rPr>
          <w:i/>
          <w:iCs/>
        </w:rPr>
        <w:t>Asian Pacific Journal of Tropical Biomedicine, 2</w:t>
      </w:r>
      <w:r w:rsidRPr="005E4952">
        <w:t xml:space="preserve">(6), 455–459. </w:t>
      </w:r>
      <w:hyperlink r:id="rId47" w:tgtFrame="_new" w:history="1">
        <w:r w:rsidRPr="005E4952">
          <w:rPr>
            <w:rStyle w:val="Hyperlink"/>
          </w:rPr>
          <w:t>https://doi.org/10.1016/S2221-1691(12)60104-3</w:t>
        </w:r>
      </w:hyperlink>
    </w:p>
    <w:p w14:paraId="56351615" w14:textId="77777777" w:rsidR="005E4952" w:rsidRPr="005E4952" w:rsidRDefault="005E4952" w:rsidP="005E4952">
      <w:pPr>
        <w:pStyle w:val="Body"/>
        <w:spacing w:after="0"/>
      </w:pPr>
      <w:r w:rsidRPr="005E4952">
        <w:t xml:space="preserve">Sheikh JR and Patil Mk (2020) Qualitative test for preliminary phytochemical screening: An overview, </w:t>
      </w:r>
      <w:r w:rsidRPr="005E4952">
        <w:rPr>
          <w:i/>
        </w:rPr>
        <w:t xml:space="preserve">International Journal of Chemical Studies, </w:t>
      </w:r>
      <w:r w:rsidRPr="005E4952">
        <w:t>8(2): 603-308.</w:t>
      </w:r>
    </w:p>
    <w:p w14:paraId="4D9D01F7" w14:textId="77777777" w:rsidR="005E4952" w:rsidRPr="005E4952" w:rsidRDefault="005E4952" w:rsidP="005E4952">
      <w:pPr>
        <w:pStyle w:val="Body"/>
        <w:spacing w:after="0"/>
      </w:pPr>
      <w:r w:rsidRPr="005E4952">
        <w:t xml:space="preserve">Varghese, V. (2025). Anti-inflammatory potential of </w:t>
      </w:r>
      <w:r w:rsidRPr="005E4952">
        <w:rPr>
          <w:i/>
          <w:iCs/>
        </w:rPr>
        <w:t>Calotropis gigantea</w:t>
      </w:r>
      <w:r w:rsidRPr="005E4952">
        <w:t xml:space="preserve"> leaf using </w:t>
      </w:r>
      <w:r w:rsidRPr="005E4952">
        <w:rPr>
          <w:i/>
          <w:iCs/>
        </w:rPr>
        <w:t>in silico</w:t>
      </w:r>
      <w:r w:rsidRPr="005E4952">
        <w:t xml:space="preserve"> techniques. </w:t>
      </w:r>
      <w:r w:rsidRPr="005E4952">
        <w:rPr>
          <w:i/>
          <w:iCs/>
        </w:rPr>
        <w:t>Plant Science Today.</w:t>
      </w:r>
      <w:r w:rsidRPr="005E4952">
        <w:t xml:space="preserve"> Advance online publication. </w:t>
      </w:r>
      <w:hyperlink r:id="rId48" w:tgtFrame="_new" w:history="1">
        <w:r w:rsidRPr="005E4952">
          <w:rPr>
            <w:rStyle w:val="Hyperlink"/>
          </w:rPr>
          <w:t>https://doi.org/10.14719/pst.3631</w:t>
        </w:r>
      </w:hyperlink>
    </w:p>
    <w:p w14:paraId="1B612E82" w14:textId="77777777" w:rsidR="005E4952" w:rsidRPr="005E4952" w:rsidRDefault="005E4952" w:rsidP="005E4952">
      <w:pPr>
        <w:pStyle w:val="Body"/>
        <w:spacing w:after="0"/>
      </w:pPr>
      <w:r w:rsidRPr="005E4952">
        <w:t xml:space="preserve">Yimer, T., Birru, E. M., Adugna, M., Geta, M., &amp; </w:t>
      </w:r>
      <w:proofErr w:type="spellStart"/>
      <w:r w:rsidRPr="005E4952">
        <w:t>Emiru</w:t>
      </w:r>
      <w:proofErr w:type="spellEnd"/>
      <w:r w:rsidRPr="005E4952">
        <w:t xml:space="preserve">, Y. K. (2020). Evaluation of analgesic and anti-inflammatory activities of 80% methanol root extract of </w:t>
      </w:r>
      <w:proofErr w:type="spellStart"/>
      <w:r w:rsidRPr="005E4952">
        <w:rPr>
          <w:i/>
          <w:iCs/>
        </w:rPr>
        <w:t>Echinops</w:t>
      </w:r>
      <w:proofErr w:type="spellEnd"/>
      <w:r w:rsidRPr="005E4952">
        <w:rPr>
          <w:i/>
          <w:iCs/>
        </w:rPr>
        <w:t xml:space="preserve"> </w:t>
      </w:r>
      <w:proofErr w:type="spellStart"/>
      <w:r w:rsidRPr="005E4952">
        <w:rPr>
          <w:i/>
          <w:iCs/>
        </w:rPr>
        <w:t>kebericho</w:t>
      </w:r>
      <w:proofErr w:type="spellEnd"/>
      <w:r w:rsidRPr="005E4952">
        <w:t xml:space="preserve"> M. (</w:t>
      </w:r>
      <w:r w:rsidRPr="005E4952">
        <w:rPr>
          <w:i/>
          <w:iCs/>
        </w:rPr>
        <w:t>Asteraceae</w:t>
      </w:r>
      <w:r w:rsidRPr="005E4952">
        <w:t xml:space="preserve">). </w:t>
      </w:r>
      <w:r w:rsidRPr="005E4952">
        <w:rPr>
          <w:i/>
          <w:iCs/>
        </w:rPr>
        <w:t>Journal of Inflammation Research, 13</w:t>
      </w:r>
      <w:r w:rsidRPr="005E4952">
        <w:t xml:space="preserve">, 647–658. </w:t>
      </w:r>
      <w:hyperlink r:id="rId49" w:history="1">
        <w:r w:rsidRPr="005E4952">
          <w:rPr>
            <w:rStyle w:val="Hyperlink"/>
          </w:rPr>
          <w:t>https://doi.org/10.2147/JIR.S267154</w:t>
        </w:r>
      </w:hyperlink>
    </w:p>
    <w:p w14:paraId="7A41F987" w14:textId="77777777" w:rsidR="00B01FCD" w:rsidRPr="00FB3A86" w:rsidRDefault="00B01FCD" w:rsidP="005E4952">
      <w:pPr>
        <w:pStyle w:val="Body"/>
        <w:spacing w:after="0"/>
        <w:rPr>
          <w:rFonts w:ascii="Arial" w:hAnsi="Arial" w:cs="Arial"/>
          <w:b/>
        </w:rPr>
      </w:pPr>
    </w:p>
    <w:sectPr w:rsidR="00B01FCD" w:rsidRPr="00FB3A86" w:rsidSect="00FF780A">
      <w:headerReference w:type="even" r:id="rId50"/>
      <w:headerReference w:type="default" r:id="rId51"/>
      <w:footerReference w:type="default" r:id="rId52"/>
      <w:headerReference w:type="first" r:id="rId5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7A5C3" w14:textId="77777777" w:rsidR="004061FB" w:rsidRDefault="004061FB" w:rsidP="00C37E61">
      <w:r>
        <w:separator/>
      </w:r>
    </w:p>
  </w:endnote>
  <w:endnote w:type="continuationSeparator" w:id="0">
    <w:p w14:paraId="040CA4F1" w14:textId="77777777" w:rsidR="004061FB" w:rsidRDefault="004061F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4D8E9" w14:textId="77777777" w:rsidR="00FF780A" w:rsidRDefault="00FF78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D8FF3" w14:textId="77777777" w:rsidR="00FF780A" w:rsidRDefault="00FF78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7A575" w14:textId="5555B14B" w:rsidR="00055850" w:rsidRPr="00FF780A" w:rsidRDefault="00055850" w:rsidP="00FF780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6BCE0" w14:textId="77777777" w:rsidR="00055850" w:rsidRPr="00C37E61" w:rsidRDefault="0005585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5641F" w14:textId="77777777" w:rsidR="004061FB" w:rsidRDefault="004061FB" w:rsidP="00C37E61">
      <w:r>
        <w:separator/>
      </w:r>
    </w:p>
  </w:footnote>
  <w:footnote w:type="continuationSeparator" w:id="0">
    <w:p w14:paraId="71378BB2" w14:textId="77777777" w:rsidR="004061FB" w:rsidRDefault="004061F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2C655" w14:textId="599FAED9" w:rsidR="00FF780A" w:rsidRDefault="00FF780A">
    <w:pPr>
      <w:pStyle w:val="Header"/>
    </w:pPr>
    <w:r>
      <w:rPr>
        <w:noProof/>
      </w:rPr>
      <w:pict w14:anchorId="7CD38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67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A0076" w14:textId="11D88E98" w:rsidR="00FF780A" w:rsidRDefault="00FF780A">
    <w:pPr>
      <w:pStyle w:val="Header"/>
    </w:pPr>
    <w:r>
      <w:rPr>
        <w:noProof/>
      </w:rPr>
      <w:pict w14:anchorId="554D4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67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31663" w14:textId="5469176F" w:rsidR="00055850" w:rsidRPr="00296529" w:rsidRDefault="00FF780A" w:rsidP="00296529">
    <w:pPr>
      <w:ind w:left="2160"/>
      <w:jc w:val="center"/>
      <w:rPr>
        <w:rFonts w:ascii="Times New Roman" w:eastAsia="Calibri" w:hAnsi="Times New Roman"/>
        <w:i/>
        <w:sz w:val="18"/>
        <w:szCs w:val="22"/>
      </w:rPr>
    </w:pPr>
    <w:r>
      <w:rPr>
        <w:noProof/>
      </w:rPr>
      <w:pict w14:anchorId="4676B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675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4E93F4" w14:textId="77777777" w:rsidR="00055850" w:rsidRPr="00296529" w:rsidRDefault="0005585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38ED620" w14:textId="77777777" w:rsidR="00055850" w:rsidRPr="00296529" w:rsidRDefault="0005585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B96556" w14:textId="77777777" w:rsidR="00055850" w:rsidRPr="00296529" w:rsidRDefault="0005585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717AAB" w14:textId="77777777" w:rsidR="00055850" w:rsidRDefault="0005585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7BD7A7" w14:textId="77777777" w:rsidR="00055850" w:rsidRDefault="0005585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E0CD9DD" w14:textId="77777777" w:rsidR="00055850" w:rsidRDefault="0005585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752F3" w14:textId="7269BF3F" w:rsidR="00FF780A" w:rsidRDefault="00FF780A">
    <w:pPr>
      <w:pStyle w:val="Header"/>
    </w:pPr>
    <w:r>
      <w:rPr>
        <w:noProof/>
      </w:rPr>
      <w:pict w14:anchorId="1230B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675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25BC3" w14:textId="678ADD39" w:rsidR="00FF780A" w:rsidRDefault="00FF780A">
    <w:pPr>
      <w:pStyle w:val="Header"/>
    </w:pPr>
    <w:r>
      <w:rPr>
        <w:noProof/>
      </w:rPr>
      <w:pict w14:anchorId="70898A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675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5A25E" w14:textId="3CF8BD3B" w:rsidR="00FF780A" w:rsidRDefault="00FF780A">
    <w:pPr>
      <w:pStyle w:val="Header"/>
    </w:pPr>
    <w:r>
      <w:rPr>
        <w:noProof/>
      </w:rPr>
      <w:pict w14:anchorId="6531A7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675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E62648"/>
    <w:multiLevelType w:val="hybridMultilevel"/>
    <w:tmpl w:val="7F8A3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0AB6795"/>
    <w:multiLevelType w:val="hybridMultilevel"/>
    <w:tmpl w:val="3608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F4747E6"/>
    <w:multiLevelType w:val="hybridMultilevel"/>
    <w:tmpl w:val="01C43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DB5287"/>
    <w:multiLevelType w:val="hybridMultilevel"/>
    <w:tmpl w:val="8DF808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9"/>
  </w:num>
  <w:num w:numId="10">
    <w:abstractNumId w:val="2"/>
  </w:num>
  <w:num w:numId="11">
    <w:abstractNumId w:val="20"/>
  </w:num>
  <w:num w:numId="12">
    <w:abstractNumId w:val="3"/>
  </w:num>
  <w:num w:numId="13">
    <w:abstractNumId w:val="19"/>
  </w:num>
  <w:num w:numId="14">
    <w:abstractNumId w:val="9"/>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1"/>
  </w:num>
  <w:num w:numId="31">
    <w:abstractNumId w:val="21"/>
  </w:num>
  <w:num w:numId="32">
    <w:abstractNumId w:val="22"/>
  </w:num>
  <w:num w:numId="33">
    <w:abstractNumId w:val="17"/>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55850"/>
    <w:rsid w:val="000840A2"/>
    <w:rsid w:val="000A47FA"/>
    <w:rsid w:val="000A65D3"/>
    <w:rsid w:val="000B1E33"/>
    <w:rsid w:val="000D689F"/>
    <w:rsid w:val="000E7B7B"/>
    <w:rsid w:val="000E7D62"/>
    <w:rsid w:val="00103357"/>
    <w:rsid w:val="001224B7"/>
    <w:rsid w:val="00123C9F"/>
    <w:rsid w:val="00126190"/>
    <w:rsid w:val="00130F17"/>
    <w:rsid w:val="001320BF"/>
    <w:rsid w:val="00163BC4"/>
    <w:rsid w:val="0017267B"/>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061FB"/>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4952"/>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D4479"/>
    <w:rsid w:val="008E13AE"/>
    <w:rsid w:val="008E1506"/>
    <w:rsid w:val="008E710C"/>
    <w:rsid w:val="008F69D6"/>
    <w:rsid w:val="00902823"/>
    <w:rsid w:val="00915CA6"/>
    <w:rsid w:val="00927834"/>
    <w:rsid w:val="009500A6"/>
    <w:rsid w:val="00957C18"/>
    <w:rsid w:val="009659BA"/>
    <w:rsid w:val="00983040"/>
    <w:rsid w:val="009A7467"/>
    <w:rsid w:val="009B3FB9"/>
    <w:rsid w:val="009C2465"/>
    <w:rsid w:val="009D103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3C0E"/>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61601"/>
    <w:rsid w:val="00D74CB0"/>
    <w:rsid w:val="00D8295D"/>
    <w:rsid w:val="00DB6FB0"/>
    <w:rsid w:val="00DC2A65"/>
    <w:rsid w:val="00DE15F0"/>
    <w:rsid w:val="00DE5663"/>
    <w:rsid w:val="00DE78AA"/>
    <w:rsid w:val="00E053D0"/>
    <w:rsid w:val="00E15994"/>
    <w:rsid w:val="00E3114E"/>
    <w:rsid w:val="00E31A70"/>
    <w:rsid w:val="00E35B02"/>
    <w:rsid w:val="00E65BE1"/>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0FF780A"/>
  </w:rsids>
  <m:mathPr>
    <m:mathFont m:val="Cambria Math"/>
    <m:brkBin m:val="before"/>
    <m:brkBinSub m:val="--"/>
    <m:smallFrac m:val="0"/>
    <m:dispDef/>
    <m:lMargin m:val="0"/>
    <m:rMargin m:val="0"/>
    <m:defJc m:val="centerGroup"/>
    <m:wrapIndent m:val="1440"/>
    <m:intLim m:val="subSup"/>
    <m:naryLim m:val="undOvr"/>
  </m:mathPr>
  <w:themeFontLang w:val="en-US" w:bidi="n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7F5307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E4952"/>
    <w:pPr>
      <w:spacing w:after="200" w:line="276"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172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hyperlink" Target="https://doi.org/10.1016/j.sjbs.2020.10.027" TargetMode="External"/><Relationship Id="rId21" Type="http://schemas.openxmlformats.org/officeDocument/2006/relationships/image" Target="media/image7.emf"/><Relationship Id="rId34" Type="http://schemas.openxmlformats.org/officeDocument/2006/relationships/image" Target="media/image16.png"/><Relationship Id="rId42" Type="http://schemas.openxmlformats.org/officeDocument/2006/relationships/hyperlink" Target="https://doi.org/10.1016/j.jep.2004.11.027" TargetMode="External"/><Relationship Id="rId47" Type="http://schemas.openxmlformats.org/officeDocument/2006/relationships/hyperlink" Target="https://doi.org/10.1016/S2221-1691(12)60104-3"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hyperlink" Target="https://doi.org/10.1155/2018/1614793?utm_source=chatgpt.com" TargetMode="External"/><Relationship Id="rId45" Type="http://schemas.openxmlformats.org/officeDocument/2006/relationships/hyperlink" Target="https://doi.org/10.5281/zenodo.12738905" TargetMode="External"/><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4.jpeg"/><Relationship Id="rId44" Type="http://schemas.openxmlformats.org/officeDocument/2006/relationships/hyperlink" Target="https://doi.org/10.1155/sci5/1669969?utm_source=chatgpt.com"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oleObject" Target="embeddings/oleObject2.bin"/><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hyperlink" Target="http://www.ijsrp.org/research-paper-0313/ijsrp-p1791.pdf" TargetMode="External"/><Relationship Id="rId48" Type="http://schemas.openxmlformats.org/officeDocument/2006/relationships/hyperlink" Target="https://doi.org/10.14719/pst.3631?utm_source=chatgpt.com" TargetMode="Externa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chart" Target="charts/chart2.xml"/><Relationship Id="rId38" Type="http://schemas.openxmlformats.org/officeDocument/2006/relationships/hyperlink" Target="https://doi.org/10.1016/S0378-8741(00)00235-1" TargetMode="External"/><Relationship Id="rId46" Type="http://schemas.openxmlformats.org/officeDocument/2006/relationships/hyperlink" Target="https://doi.org/10.11648/j.ijnpt.20160206.11" TargetMode="External"/><Relationship Id="rId20" Type="http://schemas.openxmlformats.org/officeDocument/2006/relationships/oleObject" Target="embeddings/oleObject1.bin"/><Relationship Id="rId41" Type="http://schemas.openxmlformats.org/officeDocument/2006/relationships/hyperlink" Target="https://doi.org/10.4236/abc.2022.12400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chart" Target="charts/chart1.xml"/><Relationship Id="rId36" Type="http://schemas.openxmlformats.org/officeDocument/2006/relationships/image" Target="media/image18.png"/><Relationship Id="rId49" Type="http://schemas.openxmlformats.org/officeDocument/2006/relationships/hyperlink" Target="https://doi.org/10.2147/JIR.S26715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407079060041872E-2"/>
          <c:y val="7.3186459315626493E-2"/>
          <c:w val="0.69136373578302657"/>
          <c:h val="0.69609767529059696"/>
        </c:manualLayout>
      </c:layout>
      <c:lineChart>
        <c:grouping val="standard"/>
        <c:varyColors val="0"/>
        <c:ser>
          <c:idx val="0"/>
          <c:order val="0"/>
          <c:tx>
            <c:strRef>
              <c:f>Sheet1!$B$1</c:f>
              <c:strCache>
                <c:ptCount val="1"/>
                <c:pt idx="0">
                  <c:v>Diclofenac</c:v>
                </c:pt>
              </c:strCache>
            </c:strRef>
          </c:tx>
          <c:marker>
            <c:symbol val="none"/>
          </c:marker>
          <c:cat>
            <c:strRef>
              <c:f>Sheet1!$A$2:$A$8</c:f>
              <c:strCache>
                <c:ptCount val="5"/>
                <c:pt idx="0">
                  <c:v>0 min.</c:v>
                </c:pt>
                <c:pt idx="1">
                  <c:v>30min. </c:v>
                </c:pt>
                <c:pt idx="2">
                  <c:v>60 min.</c:v>
                </c:pt>
                <c:pt idx="3">
                  <c:v>90min.</c:v>
                </c:pt>
                <c:pt idx="4">
                  <c:v>120min.</c:v>
                </c:pt>
              </c:strCache>
            </c:strRef>
          </c:cat>
          <c:val>
            <c:numRef>
              <c:f>Sheet1!$B$2:$B$8</c:f>
              <c:numCache>
                <c:formatCode>General</c:formatCode>
                <c:ptCount val="7"/>
                <c:pt idx="0">
                  <c:v>12</c:v>
                </c:pt>
                <c:pt idx="1">
                  <c:v>47.290000000000013</c:v>
                </c:pt>
                <c:pt idx="2">
                  <c:v>63.47</c:v>
                </c:pt>
                <c:pt idx="3">
                  <c:v>69.06</c:v>
                </c:pt>
                <c:pt idx="4">
                  <c:v>73.42</c:v>
                </c:pt>
              </c:numCache>
            </c:numRef>
          </c:val>
          <c:smooth val="0"/>
          <c:extLst>
            <c:ext xmlns:c16="http://schemas.microsoft.com/office/drawing/2014/chart" uri="{C3380CC4-5D6E-409C-BE32-E72D297353CC}">
              <c16:uniqueId val="{00000000-E917-40B0-B028-34FE21A9F151}"/>
            </c:ext>
          </c:extLst>
        </c:ser>
        <c:ser>
          <c:idx val="1"/>
          <c:order val="1"/>
          <c:tx>
            <c:strRef>
              <c:f>Sheet1!$C$1</c:f>
              <c:strCache>
                <c:ptCount val="1"/>
                <c:pt idx="0">
                  <c:v>MLE 200mg/kg</c:v>
                </c:pt>
              </c:strCache>
            </c:strRef>
          </c:tx>
          <c:marker>
            <c:symbol val="none"/>
          </c:marker>
          <c:cat>
            <c:strRef>
              <c:f>Sheet1!$A$2:$A$8</c:f>
              <c:strCache>
                <c:ptCount val="5"/>
                <c:pt idx="0">
                  <c:v>0 min.</c:v>
                </c:pt>
                <c:pt idx="1">
                  <c:v>30min. </c:v>
                </c:pt>
                <c:pt idx="2">
                  <c:v>60 min.</c:v>
                </c:pt>
                <c:pt idx="3">
                  <c:v>90min.</c:v>
                </c:pt>
                <c:pt idx="4">
                  <c:v>120min.</c:v>
                </c:pt>
              </c:strCache>
            </c:strRef>
          </c:cat>
          <c:val>
            <c:numRef>
              <c:f>Sheet1!$C$2:$C$8</c:f>
              <c:numCache>
                <c:formatCode>General</c:formatCode>
                <c:ptCount val="7"/>
                <c:pt idx="0">
                  <c:v>4</c:v>
                </c:pt>
                <c:pt idx="1">
                  <c:v>34.93</c:v>
                </c:pt>
                <c:pt idx="2">
                  <c:v>46.690000000000012</c:v>
                </c:pt>
                <c:pt idx="3">
                  <c:v>48.74</c:v>
                </c:pt>
                <c:pt idx="4">
                  <c:v>56.760000000000012</c:v>
                </c:pt>
              </c:numCache>
            </c:numRef>
          </c:val>
          <c:smooth val="0"/>
          <c:extLst>
            <c:ext xmlns:c16="http://schemas.microsoft.com/office/drawing/2014/chart" uri="{C3380CC4-5D6E-409C-BE32-E72D297353CC}">
              <c16:uniqueId val="{00000001-E917-40B0-B028-34FE21A9F151}"/>
            </c:ext>
          </c:extLst>
        </c:ser>
        <c:ser>
          <c:idx val="2"/>
          <c:order val="2"/>
          <c:tx>
            <c:strRef>
              <c:f>Sheet1!$E$1</c:f>
              <c:strCache>
                <c:ptCount val="1"/>
                <c:pt idx="0">
                  <c:v>MLE 400mg/kg2</c:v>
                </c:pt>
              </c:strCache>
            </c:strRef>
          </c:tx>
          <c:marker>
            <c:symbol val="none"/>
          </c:marker>
          <c:cat>
            <c:strRef>
              <c:f>Sheet1!$A$2:$A$8</c:f>
              <c:strCache>
                <c:ptCount val="5"/>
                <c:pt idx="0">
                  <c:v>0 min.</c:v>
                </c:pt>
                <c:pt idx="1">
                  <c:v>30min. </c:v>
                </c:pt>
                <c:pt idx="2">
                  <c:v>60 min.</c:v>
                </c:pt>
                <c:pt idx="3">
                  <c:v>90min.</c:v>
                </c:pt>
                <c:pt idx="4">
                  <c:v>120min.</c:v>
                </c:pt>
              </c:strCache>
            </c:strRef>
          </c:cat>
          <c:val>
            <c:numRef>
              <c:f>Sheet1!$E$2:$E$8</c:f>
              <c:numCache>
                <c:formatCode>General</c:formatCode>
                <c:ptCount val="7"/>
                <c:pt idx="0">
                  <c:v>5</c:v>
                </c:pt>
                <c:pt idx="1">
                  <c:v>40.61</c:v>
                </c:pt>
                <c:pt idx="2">
                  <c:v>59.349999999999994</c:v>
                </c:pt>
                <c:pt idx="3">
                  <c:v>63.120000000000012</c:v>
                </c:pt>
                <c:pt idx="4">
                  <c:v>69.5</c:v>
                </c:pt>
              </c:numCache>
            </c:numRef>
          </c:val>
          <c:smooth val="0"/>
          <c:extLst>
            <c:ext xmlns:c16="http://schemas.microsoft.com/office/drawing/2014/chart" uri="{C3380CC4-5D6E-409C-BE32-E72D297353CC}">
              <c16:uniqueId val="{00000002-E917-40B0-B028-34FE21A9F151}"/>
            </c:ext>
          </c:extLst>
        </c:ser>
        <c:dLbls>
          <c:showLegendKey val="0"/>
          <c:showVal val="0"/>
          <c:showCatName val="0"/>
          <c:showSerName val="0"/>
          <c:showPercent val="0"/>
          <c:showBubbleSize val="0"/>
        </c:dLbls>
        <c:smooth val="0"/>
        <c:axId val="179475584"/>
        <c:axId val="179477504"/>
      </c:lineChart>
      <c:catAx>
        <c:axId val="179475584"/>
        <c:scaling>
          <c:orientation val="minMax"/>
        </c:scaling>
        <c:delete val="0"/>
        <c:axPos val="b"/>
        <c:title>
          <c:tx>
            <c:rich>
              <a:bodyPr/>
              <a:lstStyle/>
              <a:p>
                <a:pPr>
                  <a:defRPr/>
                </a:pPr>
                <a:r>
                  <a:rPr lang="en-US">
                    <a:latin typeface="Times New Roman" pitchFamily="18" charset="0"/>
                    <a:cs typeface="Times New Roman" pitchFamily="18" charset="0"/>
                  </a:rPr>
                  <a:t>Time after dose administration (in minutes)</a:t>
                </a:r>
              </a:p>
            </c:rich>
          </c:tx>
          <c:overlay val="0"/>
        </c:title>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79477504"/>
        <c:crosses val="autoZero"/>
        <c:auto val="1"/>
        <c:lblAlgn val="ctr"/>
        <c:lblOffset val="100"/>
        <c:noMultiLvlLbl val="0"/>
      </c:catAx>
      <c:valAx>
        <c:axId val="179477504"/>
        <c:scaling>
          <c:orientation val="minMax"/>
        </c:scaling>
        <c:delete val="0"/>
        <c:axPos val="l"/>
        <c:title>
          <c:tx>
            <c:rich>
              <a:bodyPr rot="-5400000" vert="horz"/>
              <a:lstStyle/>
              <a:p>
                <a:pPr>
                  <a:defRPr/>
                </a:pPr>
                <a:r>
                  <a:rPr lang="en-US">
                    <a:latin typeface="Times New Roman" pitchFamily="18" charset="0"/>
                    <a:cs typeface="Times New Roman" pitchFamily="18" charset="0"/>
                  </a:rPr>
                  <a:t>Percentage elongation</a:t>
                </a:r>
              </a:p>
            </c:rich>
          </c:tx>
          <c:layout>
            <c:manualLayout>
              <c:xMode val="edge"/>
              <c:yMode val="edge"/>
              <c:x val="0"/>
              <c:y val="0.27248048629765126"/>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79475584"/>
        <c:crosses val="autoZero"/>
        <c:crossBetween val="between"/>
      </c:valAx>
      <c:spPr>
        <a:noFill/>
        <a:ln w="25400">
          <a:noFill/>
        </a:ln>
      </c:spPr>
    </c:plotArea>
    <c:legend>
      <c:legendPos val="r"/>
      <c:legendEntry>
        <c:idx val="0"/>
        <c:txPr>
          <a:bodyPr/>
          <a:lstStyle/>
          <a:p>
            <a:pPr>
              <a:defRPr>
                <a:latin typeface="Times New Roman" pitchFamily="18" charset="0"/>
                <a:cs typeface="Times New Roman" pitchFamily="18" charset="0"/>
              </a:defRPr>
            </a:pPr>
            <a:endParaRPr lang="en-US"/>
          </a:p>
        </c:txPr>
      </c:legendEntry>
      <c:legendEntry>
        <c:idx val="1"/>
        <c:txPr>
          <a:bodyPr/>
          <a:lstStyle/>
          <a:p>
            <a:pPr>
              <a:defRPr>
                <a:latin typeface="Times New Roman" pitchFamily="18" charset="0"/>
                <a:cs typeface="Times New Roman" pitchFamily="18" charset="0"/>
              </a:defRPr>
            </a:pPr>
            <a:endParaRPr lang="en-US"/>
          </a:p>
        </c:txPr>
      </c:legendEntry>
      <c:legendEntry>
        <c:idx val="2"/>
        <c:txPr>
          <a:bodyPr/>
          <a:lstStyle/>
          <a:p>
            <a:pPr>
              <a:defRPr>
                <a:latin typeface="Times New Roman" pitchFamily="18" charset="0"/>
                <a:cs typeface="Times New Roman" pitchFamily="18" charset="0"/>
              </a:defRPr>
            </a:pPr>
            <a:endParaRPr lang="en-US"/>
          </a:p>
        </c:txPr>
      </c:legendEntry>
      <c:layout>
        <c:manualLayout>
          <c:xMode val="edge"/>
          <c:yMode val="edge"/>
          <c:x val="0.60030687568238761"/>
          <c:y val="0.20424167042927854"/>
          <c:w val="0.20494348549015506"/>
          <c:h val="0.2255980997550043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Percentage inhibition of writhing </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Diclofenac</c:v>
                </c:pt>
                <c:pt idx="1">
                  <c:v>MLE 200mg/kg</c:v>
                </c:pt>
                <c:pt idx="2">
                  <c:v>MLE 400mg/kg</c:v>
                </c:pt>
              </c:strCache>
            </c:strRef>
          </c:cat>
          <c:val>
            <c:numRef>
              <c:f>Sheet1!$B$2:$B$4</c:f>
              <c:numCache>
                <c:formatCode>General</c:formatCode>
                <c:ptCount val="3"/>
                <c:pt idx="0">
                  <c:v>71.28</c:v>
                </c:pt>
                <c:pt idx="1">
                  <c:v>37.76</c:v>
                </c:pt>
                <c:pt idx="2">
                  <c:v>62.77</c:v>
                </c:pt>
              </c:numCache>
            </c:numRef>
          </c:val>
          <c:extLst>
            <c:ext xmlns:c16="http://schemas.microsoft.com/office/drawing/2014/chart" uri="{C3380CC4-5D6E-409C-BE32-E72D297353CC}">
              <c16:uniqueId val="{00000000-03E9-44F7-B82F-CE246EA6DA20}"/>
            </c:ext>
          </c:extLst>
        </c:ser>
        <c:dLbls>
          <c:showLegendKey val="0"/>
          <c:showVal val="0"/>
          <c:showCatName val="0"/>
          <c:showSerName val="0"/>
          <c:showPercent val="0"/>
          <c:showBubbleSize val="0"/>
        </c:dLbls>
        <c:gapWidth val="219"/>
        <c:overlap val="-27"/>
        <c:axId val="15540224"/>
        <c:axId val="15542144"/>
      </c:barChart>
      <c:catAx>
        <c:axId val="1554022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Standard and Test drug</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542144"/>
        <c:crosses val="autoZero"/>
        <c:auto val="1"/>
        <c:lblAlgn val="ctr"/>
        <c:lblOffset val="100"/>
        <c:noMultiLvlLbl val="0"/>
      </c:catAx>
      <c:valAx>
        <c:axId val="1554214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Percentage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54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C6771-DD36-4E58-8BC8-5403994D4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14</Pages>
  <Words>4314</Words>
  <Characters>24591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28848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cp:revision>
  <cp:lastPrinted>1999-07-06T11:00:00Z</cp:lastPrinted>
  <dcterms:created xsi:type="dcterms:W3CDTF">2025-10-15T03:25:00Z</dcterms:created>
  <dcterms:modified xsi:type="dcterms:W3CDTF">2025-10-15T12:55:00Z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0f03d4b0-fba1-473b-b824-9c58578c83f3</vt:lpwstr>
  </property>
</Properties>
</file>