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3A18F" w14:textId="77777777" w:rsidR="002F7AD1" w:rsidRDefault="002F7AD1" w:rsidP="00CD6A2A">
      <w:r>
        <w:t>Assessing Anemia Status and Intervention Challenges among Adolescents: A Study under the Anemia Mukt Bharat Abhiyan</w:t>
      </w:r>
    </w:p>
    <w:p w14:paraId="1179A8EB" w14:textId="77777777" w:rsidR="002F7AD1" w:rsidRDefault="002F7AD1" w:rsidP="00CD6A2A"/>
    <w:p w14:paraId="60A7AB20" w14:textId="77777777" w:rsidR="00BD3000" w:rsidRDefault="00BD3000"/>
    <w:p w14:paraId="4C60FDF6" w14:textId="77777777" w:rsidR="00BD3000" w:rsidRDefault="00BD3000"/>
    <w:p w14:paraId="7A00A57E" w14:textId="073A3FA1" w:rsidR="009A2ABD" w:rsidRDefault="009A2ABD">
      <w:bookmarkStart w:id="0" w:name="_GoBack"/>
      <w:bookmarkEnd w:id="0"/>
      <w:proofErr w:type="gramStart"/>
      <w:r>
        <w:t>Abstract</w:t>
      </w:r>
      <w:r w:rsidR="0086530E">
        <w:t xml:space="preserve"> :</w:t>
      </w:r>
      <w:proofErr w:type="gramEnd"/>
      <w:r w:rsidR="0086530E">
        <w:t xml:space="preserve"> </w:t>
      </w:r>
    </w:p>
    <w:p w14:paraId="0EE31517" w14:textId="6428AA39" w:rsidR="009A2ABD" w:rsidRDefault="009A2ABD">
      <w:r>
        <w:t>Anemia is one of the most common nutritional disorders worldwide, with adolescents representing a highly vulnerable group due to rapid growth, increased micronutrient requirements, and lifestyle-related dietary transitions. Despite sustained efforts under global and national health programs, anemia continues to be a pressing public health challenge in India. The Anemia Mukt Bharat Abhiyan (AMBA), launched in 2018 as part of the Intensified National Iron Plus Initiative, has set ambitious goals of reducing anemia prevalence by 3% annually across multiple target groups.</w:t>
      </w:r>
    </w:p>
    <w:p w14:paraId="5A2BEA54" w14:textId="15EB4C3D" w:rsidR="009A2ABD" w:rsidRDefault="009A2ABD">
      <w:r>
        <w:t xml:space="preserve">This study aims to assess anemia prevalence and intervention challenges among adolescents (10–19 years) under AMBA. Using a cross-sectional methodology in semi-urban and school-based settings, data were collected from 300 adolescents (150 males and 150 females). Hemoglobin levels, dietary habits, and awareness of AMBA interventions were </w:t>
      </w:r>
      <w:proofErr w:type="spellStart"/>
      <w:r>
        <w:t>analyzed</w:t>
      </w:r>
      <w:proofErr w:type="spellEnd"/>
      <w:r>
        <w:t>. Results showed an overall anemia prevalence of 56%, with a significantly higher prevalence among girls (68%) compared to boys (44%). Awareness levels about AMBA were low (41%), with only 25% reporting consistent intake of iron–folic acid (IFA) supplementation. Barriers identified included irregular IFA supply, stigma around consumption, side effects, peer influence, inadequate parental engagement, and socio-economic constraints.</w:t>
      </w:r>
    </w:p>
    <w:p w14:paraId="0CDDC910" w14:textId="55460321" w:rsidR="009A2ABD" w:rsidRDefault="009A2ABD">
      <w:r>
        <w:t>The findings underscore that while AMBA provides a robust policy framework through its 6x6x6 strategy, implementation bottlenecks persist at the ground level. Schools and frontline workers remain underutilized, and adolescent-friendly communication strategies are insufficient. The study recommends strengthening supply chain logistics, introducing school-based peer educator models, fortification of staple foods, and integration of anemia prevention into broader adolescent health and reproductive health programs.</w:t>
      </w:r>
    </w:p>
    <w:p w14:paraId="33772DF3" w14:textId="77777777" w:rsidR="009A2ABD" w:rsidRDefault="009A2ABD">
      <w:r>
        <w:t>By addressing both supply- and demand-side constraints, India can achieve its anemia reduction goals and improve the health, education, and productivity outcomes of its adolescent population.</w:t>
      </w:r>
    </w:p>
    <w:p w14:paraId="7E2A9386" w14:textId="77777777" w:rsidR="009A2ABD" w:rsidRDefault="009A2ABD"/>
    <w:p w14:paraId="218C016C" w14:textId="1F8FAFEB" w:rsidR="00EE6BEB" w:rsidRDefault="009A2ABD">
      <w:r>
        <w:lastRenderedPageBreak/>
        <w:t>Keywords: Anemia Mukt Bharat Abhiyan, Adolescents, Iron Deficiency, Hemoglobin, Public Health, Nutrition Policy, IFA Supplementation</w:t>
      </w:r>
      <w:r w:rsidR="007A5845">
        <w:t>.</w:t>
      </w:r>
    </w:p>
    <w:p w14:paraId="2AB6E6B7" w14:textId="77777777" w:rsidR="003110DD" w:rsidRDefault="003110DD"/>
    <w:p w14:paraId="353188DF" w14:textId="60934C74" w:rsidR="00EE6BEB" w:rsidRDefault="00EE6BEB" w:rsidP="00EE6BEB">
      <w:pPr>
        <w:pStyle w:val="ListParagraph"/>
        <w:numPr>
          <w:ilvl w:val="0"/>
          <w:numId w:val="2"/>
        </w:numPr>
      </w:pPr>
      <w:proofErr w:type="gramStart"/>
      <w:r>
        <w:t>Introduction</w:t>
      </w:r>
      <w:r w:rsidR="003110DD">
        <w:t xml:space="preserve"> :</w:t>
      </w:r>
      <w:proofErr w:type="gramEnd"/>
      <w:r w:rsidR="003110DD">
        <w:t xml:space="preserve"> </w:t>
      </w:r>
    </w:p>
    <w:p w14:paraId="23A2986D" w14:textId="1344CC7B" w:rsidR="00EE6BEB" w:rsidRDefault="00EE6BEB" w:rsidP="00EE6BEB">
      <w:pPr>
        <w:pStyle w:val="ListParagraph"/>
        <w:numPr>
          <w:ilvl w:val="1"/>
          <w:numId w:val="2"/>
        </w:numPr>
      </w:pPr>
      <w:r>
        <w:t>Global Perspective on Anemia</w:t>
      </w:r>
    </w:p>
    <w:p w14:paraId="31F87A62" w14:textId="5821A483" w:rsidR="00EE6BEB" w:rsidRDefault="00EE6BEB">
      <w:r>
        <w:t>Anemia is recognized by the World Health Organization (WHO) as one of the most pervasive global public health concerns, affecting an estimated 1.8 billion people worldwide (WHO, 2022). Adolescents, defined as individuals aged 10–19 years, constitute about 16% of the global population and are among the most vulnerable groups to anemia. The global prevalence of anemia among adolescents is estimated at 27%, with the burden disproportionately concentrated in low- and middle-income countries (LMICs), particularly in South Asia and Sub-Saharan Africa (UNICEF, 2022).</w:t>
      </w:r>
    </w:p>
    <w:p w14:paraId="3ECC4DA7" w14:textId="3DD63B3B" w:rsidR="00EE6BEB" w:rsidRDefault="00EE6BEB">
      <w:r>
        <w:t>The etiology of anemia Is multifactorial: iron deficiency remains the leading cause, accounting for nearly 50% of global cases, followed by deficiencies of folate, vitamin B12, and vitamin A, parasitic infections (such as hookworm and malaria), hemoglobinopathies, and chronic diseases (Kassebaum, 2016). For adolescents, dietary transitions characterized by increased consumption of calorie-dense but micronutrient-poor foods further exacerbate the problem.</w:t>
      </w:r>
    </w:p>
    <w:p w14:paraId="1D3848C1" w14:textId="1FE7A585" w:rsidR="00EE6BEB" w:rsidRDefault="00EE6BEB">
      <w:r>
        <w:t xml:space="preserve">The implications of anemia go far beyond </w:t>
      </w:r>
      <w:proofErr w:type="spellStart"/>
      <w:r>
        <w:t>hematological</w:t>
      </w:r>
      <w:proofErr w:type="spellEnd"/>
      <w:r>
        <w:t xml:space="preserve"> deficits. Cognitive impairments, reduced physical stamina, compromised immune function, poor school performance, and lower work productivity are well-documented consequences (Lopez et al., 2019). At the macroeconomic level, productivity losses due to iron deficiency anemia can be as high as 4% of gross domestic product (GDP) in some LMICs (Horton &amp; Ross, 2003). Therefore, addressing anemia during adolescence is not only a health imperative but also an economic and developmental priority.</w:t>
      </w:r>
    </w:p>
    <w:p w14:paraId="60315B20" w14:textId="1F6C6EC9" w:rsidR="00EE6BEB" w:rsidRDefault="00EE6BEB" w:rsidP="00EE6BEB">
      <w:pPr>
        <w:pStyle w:val="ListParagraph"/>
        <w:numPr>
          <w:ilvl w:val="1"/>
          <w:numId w:val="2"/>
        </w:numPr>
      </w:pPr>
      <w:r>
        <w:t>Indian Scenario</w:t>
      </w:r>
    </w:p>
    <w:p w14:paraId="0B187316" w14:textId="23C67192" w:rsidR="00EE6BEB" w:rsidRDefault="00EE6BEB">
      <w:r>
        <w:t>India bears one of the world’s heaviest burdens of anemia. Data from the National Family Health Survey (NFHS-5, 2019–21) show alarmingly high prevalence rates:</w:t>
      </w:r>
    </w:p>
    <w:p w14:paraId="041A0622" w14:textId="52C44433" w:rsidR="00955B69" w:rsidRDefault="00955B69" w:rsidP="00955B69">
      <w:r>
        <w:t xml:space="preserve">Table 1 </w:t>
      </w:r>
      <w:r w:rsidR="0055656C">
        <w:t xml:space="preserve">High Prevalence rate of Anemia </w:t>
      </w:r>
      <w:r w:rsidR="00E60B07">
        <w:t xml:space="preserve">of the survey </w:t>
      </w:r>
      <w:r w:rsidR="00C37B0B">
        <w:t xml:space="preserve">of National Family </w:t>
      </w:r>
      <w:proofErr w:type="gramStart"/>
      <w:r w:rsidR="00C37B0B">
        <w:t xml:space="preserve">Health </w:t>
      </w:r>
      <w:r w:rsidR="00FA2BDE">
        <w:t xml:space="preserve"> :</w:t>
      </w:r>
      <w:proofErr w:type="gramEnd"/>
      <w:r w:rsidR="00FA2BDE">
        <w:t xml:space="preserve"> </w:t>
      </w:r>
    </w:p>
    <w:tbl>
      <w:tblPr>
        <w:tblStyle w:val="TableGrid"/>
        <w:tblW w:w="0" w:type="auto"/>
        <w:tblLook w:val="04A0" w:firstRow="1" w:lastRow="0" w:firstColumn="1" w:lastColumn="0" w:noHBand="0" w:noVBand="1"/>
      </w:tblPr>
      <w:tblGrid>
        <w:gridCol w:w="2133"/>
        <w:gridCol w:w="2044"/>
      </w:tblGrid>
      <w:tr w:rsidR="00E75DBF" w14:paraId="359D46C9" w14:textId="77777777" w:rsidTr="00E75DBF">
        <w:tc>
          <w:tcPr>
            <w:tcW w:w="2133" w:type="dxa"/>
          </w:tcPr>
          <w:p w14:paraId="570D7214" w14:textId="4E234FEC" w:rsidR="00E75DBF" w:rsidRDefault="00E75DBF">
            <w:r>
              <w:t xml:space="preserve">Category </w:t>
            </w:r>
          </w:p>
        </w:tc>
        <w:tc>
          <w:tcPr>
            <w:tcW w:w="2044" w:type="dxa"/>
          </w:tcPr>
          <w:p w14:paraId="39DE5311" w14:textId="0DA02E1C" w:rsidR="00E75DBF" w:rsidRDefault="00E75DBF">
            <w:r>
              <w:t xml:space="preserve">Percentage </w:t>
            </w:r>
          </w:p>
        </w:tc>
      </w:tr>
      <w:tr w:rsidR="00E75DBF" w14:paraId="325866C8" w14:textId="77777777" w:rsidTr="00E75DBF">
        <w:tc>
          <w:tcPr>
            <w:tcW w:w="2133" w:type="dxa"/>
          </w:tcPr>
          <w:p w14:paraId="6DB15E50" w14:textId="555EE62C" w:rsidR="00E75DBF" w:rsidRDefault="00E75DBF">
            <w:r>
              <w:t>Among children aged 6–59 months</w:t>
            </w:r>
          </w:p>
        </w:tc>
        <w:tc>
          <w:tcPr>
            <w:tcW w:w="2044" w:type="dxa"/>
          </w:tcPr>
          <w:p w14:paraId="487C2656" w14:textId="1CE47D90" w:rsidR="00E75DBF" w:rsidRDefault="00E75DBF">
            <w:r>
              <w:t>67.1%</w:t>
            </w:r>
          </w:p>
        </w:tc>
      </w:tr>
      <w:tr w:rsidR="00E75DBF" w14:paraId="55408038" w14:textId="77777777" w:rsidTr="00E75DBF">
        <w:tc>
          <w:tcPr>
            <w:tcW w:w="2133" w:type="dxa"/>
          </w:tcPr>
          <w:p w14:paraId="046BE43F" w14:textId="0F964889" w:rsidR="00E75DBF" w:rsidRDefault="00E75DBF">
            <w:r>
              <w:t>Among adolescent girls (15–19 years)</w:t>
            </w:r>
          </w:p>
        </w:tc>
        <w:tc>
          <w:tcPr>
            <w:tcW w:w="2044" w:type="dxa"/>
          </w:tcPr>
          <w:p w14:paraId="3A1FF358" w14:textId="1161459B" w:rsidR="00E75DBF" w:rsidRDefault="00E75DBF">
            <w:r>
              <w:t>59.1%</w:t>
            </w:r>
          </w:p>
        </w:tc>
      </w:tr>
      <w:tr w:rsidR="00E75DBF" w14:paraId="1E3B9C5F" w14:textId="77777777" w:rsidTr="00E75DBF">
        <w:tc>
          <w:tcPr>
            <w:tcW w:w="2133" w:type="dxa"/>
          </w:tcPr>
          <w:p w14:paraId="0E11C6BF" w14:textId="6F80826A" w:rsidR="00E75DBF" w:rsidRDefault="00E75DBF">
            <w:r>
              <w:lastRenderedPageBreak/>
              <w:t>Among adolescent boys (15–19 years)</w:t>
            </w:r>
          </w:p>
        </w:tc>
        <w:tc>
          <w:tcPr>
            <w:tcW w:w="2044" w:type="dxa"/>
          </w:tcPr>
          <w:p w14:paraId="5B024DE6" w14:textId="03BFC948" w:rsidR="00E75DBF" w:rsidRDefault="00E75DBF">
            <w:r>
              <w:t xml:space="preserve">31% </w:t>
            </w:r>
          </w:p>
        </w:tc>
      </w:tr>
      <w:tr w:rsidR="00E75DBF" w14:paraId="4B016F96" w14:textId="77777777" w:rsidTr="00E75DBF">
        <w:tc>
          <w:tcPr>
            <w:tcW w:w="2133" w:type="dxa"/>
          </w:tcPr>
          <w:p w14:paraId="191B8524" w14:textId="204DCB21" w:rsidR="00E75DBF" w:rsidRDefault="00E75DBF">
            <w:r>
              <w:t>Among women of reproductive age (15–49 years)</w:t>
            </w:r>
          </w:p>
        </w:tc>
        <w:tc>
          <w:tcPr>
            <w:tcW w:w="2044" w:type="dxa"/>
          </w:tcPr>
          <w:p w14:paraId="4FCF6967" w14:textId="155004E9" w:rsidR="00E75DBF" w:rsidRDefault="00E75DBF">
            <w:r>
              <w:t xml:space="preserve">57% </w:t>
            </w:r>
          </w:p>
        </w:tc>
      </w:tr>
    </w:tbl>
    <w:p w14:paraId="088E0AAF" w14:textId="77777777" w:rsidR="006A2658" w:rsidRDefault="006A2658"/>
    <w:p w14:paraId="61E4441D" w14:textId="077DFCAA" w:rsidR="00EE6BEB" w:rsidRDefault="00EE6BEB">
      <w:r>
        <w:t>These figures represent an increase compared to NFHS-4 (2015–16), highlighting persistent challenges despite ongoing interventions.</w:t>
      </w:r>
    </w:p>
    <w:p w14:paraId="2091F03E" w14:textId="79D0E749" w:rsidR="00EE6BEB" w:rsidRDefault="00EE6BEB">
      <w:r>
        <w:t>Geographically, anemia prevalence in India is heterogeneous, with northern and eastern states such as Bihar, Jharkhand, and Uttar Pradesh showing prevalence rates above 65% among adolescent girls (NFHS-5, 2021). Socio-economic disparities are also evident, as anemia rates are disproportionately higher among adolescents from rural areas, lower-income households, and marginalized social groups (Bansal et al., 2020).</w:t>
      </w:r>
    </w:p>
    <w:p w14:paraId="748C83B4" w14:textId="2F8F0E18" w:rsidR="00EE6BEB" w:rsidRDefault="00EE6BEB">
      <w:r>
        <w:t>Anemia in adolescents is of particular concern because India has the largest adolescent population in the world, with over 253 million individuals in this age group (UNFPA, 2022). Failure to address anemia in this demographic has long-term consequences for maternal and child health, educational attainment, and workforce productivity.</w:t>
      </w:r>
    </w:p>
    <w:p w14:paraId="5FBAD63A" w14:textId="3A6FB555" w:rsidR="00EE6BEB" w:rsidRDefault="00EE6BEB">
      <w:r>
        <w:t>1.3 Adolescence and Nutritional Vulnerability</w:t>
      </w:r>
    </w:p>
    <w:p w14:paraId="6C98917D" w14:textId="5AD08D55" w:rsidR="00EE6BEB" w:rsidRDefault="00EE6BEB">
      <w:r>
        <w:t>Adolescence is a critical window of growth, with nearly 20–25% of adult height and 50% of adult weight gained during this period. Physiological changes, including rapid muscle growth, blood volume expansion, and in girls, the onset of menarche, substantially increase micronutrient requirements.</w:t>
      </w:r>
    </w:p>
    <w:p w14:paraId="3FF3CFD7" w14:textId="3A680E40" w:rsidR="00EE6BEB" w:rsidRDefault="00EE6BEB">
      <w:r>
        <w:t>Iron needs are particularly high: adolescent boys require approximately 11–15 mg/day, while adolescent girls need 15–18 mg/day, with higher requirements after menarche (IOM, 2020). However, dietary surveys in India reveal poor intake of bioavailable iron due to monotonous cereal-based diets, low consumption of animal-source foods, and inhibitors of iron absorption such as phytates, tannins, and polyphenols present in tea and coffee (Patel et al., 2021).</w:t>
      </w:r>
    </w:p>
    <w:p w14:paraId="6BB3FD81" w14:textId="7EB6B799" w:rsidR="00EE6BEB" w:rsidRDefault="00EE6BEB">
      <w:r>
        <w:t>Cultural taboos further worsen the situation. For instance, food restrictions during menstruation, avoidance of meat for religious reasons, and gendered intra-household food allocation often deprive adolescent girls of iron-rich foods (Singh &amp; Kaur, 2021). This places them at nearly twice the risk of anemia compared to boys.</w:t>
      </w:r>
    </w:p>
    <w:p w14:paraId="750300E3" w14:textId="58AAACEA" w:rsidR="00EE6BEB" w:rsidRDefault="00EE6BEB" w:rsidP="00EE6BEB">
      <w:pPr>
        <w:pStyle w:val="ListParagraph"/>
        <w:numPr>
          <w:ilvl w:val="1"/>
          <w:numId w:val="2"/>
        </w:numPr>
      </w:pPr>
      <w:r>
        <w:t>The Anemia Mukt Bharat Abhiyan (AMBA)</w:t>
      </w:r>
    </w:p>
    <w:p w14:paraId="0D86D65A" w14:textId="6A223B18" w:rsidR="00EE6BEB" w:rsidRDefault="00EE6BEB">
      <w:r>
        <w:t xml:space="preserve">Recognizing the persistence of anemia despite earlier efforts under the National Iron Plus Initiative (NIPI), the Government of India launched the Anemia Mukt Bharat Abhiyan (AMBA) in </w:t>
      </w:r>
      <w:r>
        <w:lastRenderedPageBreak/>
        <w:t>2018 as part of the Poshan Abhiyaan. Its goal was to reduce anemia prevalence by 3% per year among six key target groups using a 6x6x6 strategy:</w:t>
      </w:r>
    </w:p>
    <w:p w14:paraId="08D9F8E4" w14:textId="77777777" w:rsidR="00EE6BEB" w:rsidRDefault="00EE6BEB">
      <w:r>
        <w:t>6 Target Beneficiaries:</w:t>
      </w:r>
    </w:p>
    <w:p w14:paraId="55F02FC9" w14:textId="7FC5E5DB" w:rsidR="00EE6BEB" w:rsidRDefault="00EE6BEB">
      <w:r>
        <w:t>Children (6–59 months), children (5–9 years), adolescents (10–19 years), pregnant women, lactating mothers, and women of reproductive age.</w:t>
      </w:r>
    </w:p>
    <w:p w14:paraId="7A660F74" w14:textId="77777777" w:rsidR="00EE6BEB" w:rsidRDefault="00EE6BEB">
      <w:r>
        <w:t>6 Interventions:</w:t>
      </w:r>
    </w:p>
    <w:p w14:paraId="386BC263" w14:textId="77777777" w:rsidR="00EE6BEB" w:rsidRDefault="00EE6BEB">
      <w:r>
        <w:t>(1) Prophylactic IFA supplementation</w:t>
      </w:r>
    </w:p>
    <w:p w14:paraId="190D235D" w14:textId="77777777" w:rsidR="00EE6BEB" w:rsidRDefault="00EE6BEB">
      <w:r>
        <w:t>(2) Deworming</w:t>
      </w:r>
    </w:p>
    <w:p w14:paraId="281260A2" w14:textId="77777777" w:rsidR="00EE6BEB" w:rsidRDefault="00EE6BEB">
      <w:r>
        <w:t xml:space="preserve">(3) </w:t>
      </w:r>
      <w:proofErr w:type="spellStart"/>
      <w:r>
        <w:t>Behavior</w:t>
      </w:r>
      <w:proofErr w:type="spellEnd"/>
      <w:r>
        <w:t xml:space="preserve"> Change Communication (BCC)</w:t>
      </w:r>
    </w:p>
    <w:p w14:paraId="6411E304" w14:textId="77777777" w:rsidR="00EE6BEB" w:rsidRDefault="00EE6BEB">
      <w:r>
        <w:t>(4) Testing and treatment of anemia using digital platforms</w:t>
      </w:r>
    </w:p>
    <w:p w14:paraId="1D3F0B30" w14:textId="77777777" w:rsidR="00EE6BEB" w:rsidRDefault="00EE6BEB">
      <w:r>
        <w:t>(5) Addressing non-nutritional causes of anemia (e.g., malaria, fluorosis, hemoglobinopathies)</w:t>
      </w:r>
    </w:p>
    <w:p w14:paraId="1EE876C4" w14:textId="070EA211" w:rsidR="00EE6BEB" w:rsidRDefault="00EE6BEB">
      <w:r>
        <w:t>(6) Strengthening supply chain and logistics</w:t>
      </w:r>
    </w:p>
    <w:p w14:paraId="5720F014" w14:textId="77777777" w:rsidR="00EE6BEB" w:rsidRDefault="00EE6BEB">
      <w:r>
        <w:t>6 Institutional Mechanisms:</w:t>
      </w:r>
    </w:p>
    <w:p w14:paraId="32E15D61" w14:textId="3807CCEC" w:rsidR="00EE6BEB" w:rsidRDefault="00EE6BEB">
      <w:r>
        <w:t>Convergence across ministries, digital dashboards for monitoring, innovation and partnerships, accountability frameworks, community mobilization, and capacity building of health workers.</w:t>
      </w:r>
    </w:p>
    <w:p w14:paraId="006BC37A" w14:textId="4CED5E9B" w:rsidR="00EE6BEB" w:rsidRDefault="00EE6BEB">
      <w:r>
        <w:t>Although AMBA is ambitious and well-structured, implementation bottlenecks persist. Studies report irregular supply of IFA tablets, poor adherence due to side effects (e.g., nausea, constipation), inadequate health education, and limited adolescent-friendly platforms (Gupta et al., 2022; NITI Aayog, 2022).</w:t>
      </w:r>
    </w:p>
    <w:p w14:paraId="6D506427" w14:textId="20762F68" w:rsidR="00EE6BEB" w:rsidRDefault="00EE6BEB">
      <w:r>
        <w:t>1.5 Review of Literature</w:t>
      </w:r>
    </w:p>
    <w:p w14:paraId="063852CC" w14:textId="37CC320C" w:rsidR="00EE6BEB" w:rsidRDefault="00EE6BEB">
      <w:r>
        <w:t>A number of studies have investigated the prevalence and determinants of anemia among Indian adolescents:</w:t>
      </w:r>
    </w:p>
    <w:p w14:paraId="0C5A0DF8" w14:textId="3731BBE4" w:rsidR="00EE6BEB" w:rsidRDefault="00EE6BEB">
      <w:r>
        <w:t>Gupta et al. (2022) reported that compliance with IFA supplementation remains below 40% in several northern states, primarily due to poor supply chains and lack of awareness.</w:t>
      </w:r>
    </w:p>
    <w:p w14:paraId="42A3647F" w14:textId="06F55F3F" w:rsidR="00EE6BEB" w:rsidRDefault="00EE6BEB">
      <w:r>
        <w:t>Patel et al. (2021) identified cultural dietary restrictions and low dietary diversity as significant barriers to adequate iron intake among adolescent girls.</w:t>
      </w:r>
    </w:p>
    <w:p w14:paraId="42BD2D4D" w14:textId="62725C7E" w:rsidR="00EE6BEB" w:rsidRDefault="00EE6BEB">
      <w:r>
        <w:t>Bansal et al. (2020) highlighted that school-based IFA distribution programs are inconsistent, with large inter-district variations in coverage.</w:t>
      </w:r>
    </w:p>
    <w:p w14:paraId="3302E5B0" w14:textId="13231451" w:rsidR="00EE6BEB" w:rsidRDefault="00EE6BEB">
      <w:r>
        <w:lastRenderedPageBreak/>
        <w:t>Singh &amp; Kaur (2021) emphasized the role of cultural determinants, showing how gender norms around food distribution increase female vulnerability to anemia.</w:t>
      </w:r>
    </w:p>
    <w:p w14:paraId="0B5C0F56" w14:textId="5739DD8E" w:rsidR="00EE6BEB" w:rsidRDefault="00EE6BEB">
      <w:r>
        <w:t>Internationally, Lopez et al. (2019) found that school-based supplementation and fortification programs in Africa improved hemoglobin levels, suggesting scalable models for India.</w:t>
      </w:r>
    </w:p>
    <w:p w14:paraId="32A54DA6" w14:textId="06CD072A" w:rsidR="00EE6BEB" w:rsidRDefault="00EE6BEB">
      <w:r>
        <w:t>Despite extensive literature, there is a research gap in understanding barriers to AMBA implementation specifically at the adolescent level, especially in semi-urban and school settings where program reach should be strongest.</w:t>
      </w:r>
    </w:p>
    <w:p w14:paraId="515EAB9D" w14:textId="69B6FEA7" w:rsidR="00EE6BEB" w:rsidRDefault="00EE6BEB" w:rsidP="00EE6BEB">
      <w:pPr>
        <w:pStyle w:val="ListParagraph"/>
        <w:numPr>
          <w:ilvl w:val="1"/>
          <w:numId w:val="2"/>
        </w:numPr>
      </w:pPr>
      <w:r>
        <w:t>Rationale for the Study</w:t>
      </w:r>
    </w:p>
    <w:p w14:paraId="3B7A7790" w14:textId="2CE73444" w:rsidR="00EE6BEB" w:rsidRDefault="00EE6BEB">
      <w:r>
        <w:t>Given the rising anemia prevalence reported in NFHS-5 despite national efforts under AMBA, it is critical to assess ground-level realities. Adolescents, who constitute nearly 21% of India’s population, represent a demographic dividend and the foundation for a healthier future workforce.</w:t>
      </w:r>
    </w:p>
    <w:p w14:paraId="19166CC6" w14:textId="59CC2D34" w:rsidR="00202DC0" w:rsidRDefault="00EE6BEB">
      <w:r>
        <w:t>Understanding awareness levels, dietary practices, socio-cultural determinants, and systemic barriers to program implementation can inform more effective strategies to combat anemia. This study thus attempts to bridge this knowledge gap by assessing anemia prevalence and intervention challenges among adolescents in selected semi-urban and school communities under AMBA.</w:t>
      </w:r>
    </w:p>
    <w:p w14:paraId="2B461EA0" w14:textId="77777777" w:rsidR="00202DC0" w:rsidRDefault="00202DC0"/>
    <w:p w14:paraId="0B85F388" w14:textId="732A0451" w:rsidR="00202DC0" w:rsidRDefault="00202DC0" w:rsidP="00D67F04">
      <w:pPr>
        <w:pStyle w:val="ListParagraph"/>
        <w:numPr>
          <w:ilvl w:val="0"/>
          <w:numId w:val="2"/>
        </w:numPr>
      </w:pPr>
      <w:proofErr w:type="gramStart"/>
      <w:r>
        <w:t>Objectives</w:t>
      </w:r>
      <w:r w:rsidR="00D67F04">
        <w:t xml:space="preserve"> :</w:t>
      </w:r>
      <w:proofErr w:type="gramEnd"/>
      <w:r w:rsidR="00D67F04">
        <w:t xml:space="preserve"> </w:t>
      </w:r>
    </w:p>
    <w:p w14:paraId="1D9834F2" w14:textId="0E753AE8" w:rsidR="00202DC0" w:rsidRDefault="00202DC0">
      <w:r>
        <w:t>The overarching aim of this study is to assess anemia prevalence among adolescents and to identify the barriers hindering effective implementation of the Anemia Mukt Bharat Abhiyan (AMBA).</w:t>
      </w:r>
    </w:p>
    <w:p w14:paraId="2C31666D" w14:textId="4B016A6F" w:rsidR="00202DC0" w:rsidRDefault="00202DC0">
      <w:r>
        <w:t xml:space="preserve">The specific objectives </w:t>
      </w:r>
      <w:proofErr w:type="gramStart"/>
      <w:r>
        <w:t>are</w:t>
      </w:r>
      <w:r w:rsidR="00D67F04">
        <w:t xml:space="preserve"> :</w:t>
      </w:r>
      <w:proofErr w:type="gramEnd"/>
      <w:r w:rsidR="00D67F04">
        <w:t xml:space="preserve"> </w:t>
      </w:r>
    </w:p>
    <w:p w14:paraId="7692AD0D" w14:textId="4D44AC27" w:rsidR="00202DC0" w:rsidRDefault="00202DC0" w:rsidP="00D67F04">
      <w:pPr>
        <w:pStyle w:val="ListParagraph"/>
        <w:numPr>
          <w:ilvl w:val="0"/>
          <w:numId w:val="3"/>
        </w:numPr>
      </w:pPr>
      <w:r>
        <w:t>To assess the prevalence of anemia among adolescent boys and girls (10–19 years) in semi-urban and school-based settings.</w:t>
      </w:r>
    </w:p>
    <w:p w14:paraId="3FBC163C" w14:textId="1C90754F" w:rsidR="00202DC0" w:rsidRDefault="00202DC0" w:rsidP="00D67F04">
      <w:pPr>
        <w:pStyle w:val="ListParagraph"/>
        <w:numPr>
          <w:ilvl w:val="0"/>
          <w:numId w:val="3"/>
        </w:numPr>
      </w:pPr>
      <w:r>
        <w:t>To evaluate the level of awareness and knowledge about anemia and the Anemia Mukt Bharat Abhiyan among adolescents.</w:t>
      </w:r>
    </w:p>
    <w:p w14:paraId="37793BA6" w14:textId="234BAA62" w:rsidR="00202DC0" w:rsidRDefault="00202DC0" w:rsidP="00D67F04">
      <w:pPr>
        <w:pStyle w:val="ListParagraph"/>
        <w:numPr>
          <w:ilvl w:val="0"/>
          <w:numId w:val="3"/>
        </w:numPr>
      </w:pPr>
      <w:r>
        <w:t>To identify barriers hindering implementation and utilization of AMBA interventions, including iron and folic acid (IFA) supplementation, deworming, and health education.</w:t>
      </w:r>
    </w:p>
    <w:p w14:paraId="513BDCDA" w14:textId="599E485C" w:rsidR="00202DC0" w:rsidRDefault="00202DC0" w:rsidP="00D67F04">
      <w:pPr>
        <w:pStyle w:val="ListParagraph"/>
        <w:numPr>
          <w:ilvl w:val="0"/>
          <w:numId w:val="3"/>
        </w:numPr>
      </w:pPr>
      <w:r>
        <w:t xml:space="preserve">To </w:t>
      </w:r>
      <w:proofErr w:type="spellStart"/>
      <w:r>
        <w:t>analyze</w:t>
      </w:r>
      <w:proofErr w:type="spellEnd"/>
      <w:r>
        <w:t xml:space="preserve"> the relationship between anemia status and socio-demographic factors such as gender, income, education, dietary practices, and family background.</w:t>
      </w:r>
    </w:p>
    <w:p w14:paraId="12FB4D61" w14:textId="02017F46" w:rsidR="00202DC0" w:rsidRDefault="00202DC0" w:rsidP="00D67F04">
      <w:pPr>
        <w:pStyle w:val="ListParagraph"/>
        <w:numPr>
          <w:ilvl w:val="0"/>
          <w:numId w:val="3"/>
        </w:numPr>
      </w:pPr>
      <w:r>
        <w:t>To provide evidence-based recommendations for strengthening anemia control strategies under AMBA at the community and school levels.</w:t>
      </w:r>
    </w:p>
    <w:p w14:paraId="4FD75D8B" w14:textId="77777777" w:rsidR="00D67F04" w:rsidRDefault="00D67F04" w:rsidP="00D67F04">
      <w:pPr>
        <w:pStyle w:val="ListParagraph"/>
      </w:pPr>
    </w:p>
    <w:p w14:paraId="60E9C17A" w14:textId="73EC5257" w:rsidR="00202DC0" w:rsidRDefault="00202DC0" w:rsidP="00FC56FB">
      <w:pPr>
        <w:pStyle w:val="ListParagraph"/>
        <w:numPr>
          <w:ilvl w:val="0"/>
          <w:numId w:val="2"/>
        </w:numPr>
      </w:pPr>
      <w:proofErr w:type="gramStart"/>
      <w:r>
        <w:t>Methodolog</w:t>
      </w:r>
      <w:r w:rsidR="00D67F04">
        <w:t>y :</w:t>
      </w:r>
      <w:proofErr w:type="gramEnd"/>
      <w:r w:rsidR="00D67F04">
        <w:t xml:space="preserve"> </w:t>
      </w:r>
    </w:p>
    <w:p w14:paraId="43C09C86" w14:textId="355A13C1" w:rsidR="00202DC0" w:rsidRDefault="00202DC0" w:rsidP="00FC56FB">
      <w:pPr>
        <w:pStyle w:val="ListParagraph"/>
        <w:numPr>
          <w:ilvl w:val="1"/>
          <w:numId w:val="2"/>
        </w:numPr>
      </w:pPr>
      <w:r>
        <w:t xml:space="preserve">Study </w:t>
      </w:r>
      <w:proofErr w:type="gramStart"/>
      <w:r>
        <w:t>Design</w:t>
      </w:r>
      <w:r w:rsidR="00FC56FB">
        <w:t xml:space="preserve"> :</w:t>
      </w:r>
      <w:proofErr w:type="gramEnd"/>
      <w:r w:rsidR="00FC56FB">
        <w:t xml:space="preserve"> </w:t>
      </w:r>
    </w:p>
    <w:p w14:paraId="016DFA68" w14:textId="28B960C2" w:rsidR="00202DC0" w:rsidRDefault="00202DC0">
      <w:r>
        <w:t xml:space="preserve">This study adopted a cross-sectional descriptive design, which is particularly suitable for estimating prevalence and understanding associated factors at a single point in time. Cross-sectional designs are widely employed in nutritional epidemiology for conditions like anemia, as they allow for simultaneous collection of health status, dietary </w:t>
      </w:r>
      <w:proofErr w:type="spellStart"/>
      <w:r>
        <w:t>behaviors</w:t>
      </w:r>
      <w:proofErr w:type="spellEnd"/>
      <w:r>
        <w:t>, and socio-demographic determinants (Creswell, 2017).</w:t>
      </w:r>
    </w:p>
    <w:p w14:paraId="7E58020F" w14:textId="77F5872E" w:rsidR="00202DC0" w:rsidRDefault="00202DC0" w:rsidP="00FC56FB">
      <w:pPr>
        <w:pStyle w:val="ListParagraph"/>
        <w:numPr>
          <w:ilvl w:val="1"/>
          <w:numId w:val="2"/>
        </w:numPr>
      </w:pPr>
      <w:r>
        <w:t xml:space="preserve">Study </w:t>
      </w:r>
      <w:proofErr w:type="gramStart"/>
      <w:r>
        <w:t>Area</w:t>
      </w:r>
      <w:r w:rsidR="00FC56FB">
        <w:t xml:space="preserve"> :</w:t>
      </w:r>
      <w:proofErr w:type="gramEnd"/>
      <w:r w:rsidR="00FC56FB">
        <w:t xml:space="preserve"> </w:t>
      </w:r>
    </w:p>
    <w:p w14:paraId="203E33E3" w14:textId="189500B9" w:rsidR="00202DC0" w:rsidRDefault="00202DC0">
      <w:r>
        <w:t>The study was conducted in semi-urban schools and communities located in and around Lucknow, Uttar Pradesh, one of the states with a high prevalence of adolescent anemia according to NFHS-5 (2019–21). Uttar Pradesh presents a unique socio-cultural context where both rural dietary habits and urban lifestyle transitions intersect, making it a relevant location to evaluate AMBA’s effectiveness.</w:t>
      </w:r>
    </w:p>
    <w:p w14:paraId="3423D179" w14:textId="57E9BA1D" w:rsidR="00202DC0" w:rsidRDefault="00202DC0">
      <w:r>
        <w:t xml:space="preserve">3.3 Study </w:t>
      </w:r>
      <w:proofErr w:type="gramStart"/>
      <w:r>
        <w:t>Population</w:t>
      </w:r>
      <w:r w:rsidR="00FC56FB">
        <w:t xml:space="preserve"> :</w:t>
      </w:r>
      <w:proofErr w:type="gramEnd"/>
      <w:r w:rsidR="00FC56FB">
        <w:t xml:space="preserve"> </w:t>
      </w:r>
    </w:p>
    <w:p w14:paraId="5E5FD430" w14:textId="5F690ED8" w:rsidR="00202DC0" w:rsidRDefault="00202DC0">
      <w:r>
        <w:t>The study population comprised adolescents aged 10–19 years, a critical age group targeted under AMBA. This population group was chosen because:</w:t>
      </w:r>
    </w:p>
    <w:p w14:paraId="0EF54CF3" w14:textId="09E41D48" w:rsidR="00202DC0" w:rsidRDefault="00202DC0">
      <w:r>
        <w:t>Adolescents represent 21% of India’s population (UNFPA, 2022).</w:t>
      </w:r>
      <w:r w:rsidR="00FC56FB">
        <w:t xml:space="preserve"> </w:t>
      </w:r>
      <w:r>
        <w:t>Rapid physiological growth increases nutritional vulnerability.</w:t>
      </w:r>
    </w:p>
    <w:p w14:paraId="2CCEFC39" w14:textId="77777777" w:rsidR="00805D92" w:rsidRDefault="00202DC0" w:rsidP="00805D92">
      <w:r>
        <w:t xml:space="preserve">Girls face heightened risk due to menarche and gender-based food allocation </w:t>
      </w:r>
      <w:proofErr w:type="spellStart"/>
      <w:proofErr w:type="gramStart"/>
      <w:r>
        <w:t>practices.Adolescents</w:t>
      </w:r>
      <w:proofErr w:type="spellEnd"/>
      <w:proofErr w:type="gramEnd"/>
      <w:r>
        <w:t xml:space="preserve"> are central to intergenerational nutrition, as their health directly influences future maternal and child outcomes.</w:t>
      </w:r>
    </w:p>
    <w:p w14:paraId="4B5CC383" w14:textId="1A06822C" w:rsidR="00202DC0" w:rsidRDefault="00805D92" w:rsidP="00805D92">
      <w:proofErr w:type="gramStart"/>
      <w:r>
        <w:t xml:space="preserve">3.4  </w:t>
      </w:r>
      <w:r w:rsidR="00202DC0">
        <w:t>Sample</w:t>
      </w:r>
      <w:proofErr w:type="gramEnd"/>
      <w:r w:rsidR="00202DC0">
        <w:t xml:space="preserve"> Size and Sampling Technique</w:t>
      </w:r>
      <w:r w:rsidR="005E7820">
        <w:t xml:space="preserve"> : </w:t>
      </w:r>
    </w:p>
    <w:p w14:paraId="6C31C08E" w14:textId="35220E84" w:rsidR="00202DC0" w:rsidRDefault="00202DC0">
      <w:r>
        <w:t>A total of 300 adolescents were included in the study, with equal representation of males (n = 150) and females (n = 150).</w:t>
      </w:r>
    </w:p>
    <w:p w14:paraId="778629C1" w14:textId="1E02F185" w:rsidR="00202DC0" w:rsidRDefault="00202DC0">
      <w:r>
        <w:t>Sample Size Determination: Based on a reported prevalence of 59% anemia among adolescent girls (NFHS-5), with a 95% confidence level and 5% margin of error, the required minimum sample size was calculated to be approximately 278. To ensure adequate power, a final sample of 300 was taken.</w:t>
      </w:r>
    </w:p>
    <w:p w14:paraId="2BB117CA" w14:textId="12DB2367" w:rsidR="00202DC0" w:rsidRDefault="00202DC0">
      <w:r>
        <w:t>Sampling Technique: A stratified random sampling approach was used. Schools and semi-urban communities were first stratified based on gender composition and socio-economic categories. Within each stratum, adolescents were randomly selected to minimize selection bias</w:t>
      </w:r>
      <w:r w:rsidR="005E7820">
        <w:t>.</w:t>
      </w:r>
    </w:p>
    <w:p w14:paraId="11211F44" w14:textId="242D741D" w:rsidR="00202DC0" w:rsidRDefault="00202DC0">
      <w:r>
        <w:lastRenderedPageBreak/>
        <w:t>3.5 Inclusion and Exclusion Criteria</w:t>
      </w:r>
    </w:p>
    <w:p w14:paraId="638ABA11" w14:textId="780ED562" w:rsidR="00202DC0" w:rsidRDefault="00202DC0">
      <w:r>
        <w:t>Inclusion Criteria:</w:t>
      </w:r>
    </w:p>
    <w:p w14:paraId="13F02D25" w14:textId="393784B9" w:rsidR="00202DC0" w:rsidRDefault="00202DC0">
      <w:r>
        <w:t>Adolescents aged 10–19 years enrolled in selected schools or residing in selected semi-urban communities.</w:t>
      </w:r>
    </w:p>
    <w:p w14:paraId="67476AB1" w14:textId="7B5FB1B6" w:rsidR="00202DC0" w:rsidRDefault="00202DC0">
      <w:r>
        <w:t>Those who provided assent and whose parents/guardians consented to participation.</w:t>
      </w:r>
    </w:p>
    <w:p w14:paraId="3AEB0319" w14:textId="31FE1975" w:rsidR="00202DC0" w:rsidRDefault="00202DC0">
      <w:r>
        <w:t>Exclusion Criteria:</w:t>
      </w:r>
    </w:p>
    <w:p w14:paraId="67E85DE1" w14:textId="7B7825DA" w:rsidR="00202DC0" w:rsidRDefault="00202DC0">
      <w:r>
        <w:t>Adolescents with known chronic illnesses (e.g., thalassemia major, sickle cell disease) that independently cause anemia.</w:t>
      </w:r>
    </w:p>
    <w:p w14:paraId="6AFE024E" w14:textId="3B656B17" w:rsidR="00202DC0" w:rsidRDefault="00202DC0">
      <w:r>
        <w:t>Adolescents on long-term medication affecting hemoglobin status.</w:t>
      </w:r>
    </w:p>
    <w:p w14:paraId="5D060BBD" w14:textId="4D94C8D9" w:rsidR="00202DC0" w:rsidRDefault="00202DC0">
      <w:r>
        <w:t>Pregnant adolescent girls (excluded due to altered physiological demands).</w:t>
      </w:r>
    </w:p>
    <w:p w14:paraId="4B94527F" w14:textId="4FBD84CA" w:rsidR="00202DC0" w:rsidRDefault="005C5D08" w:rsidP="005C5D08">
      <w:r>
        <w:t>3.6 D</w:t>
      </w:r>
      <w:r w:rsidR="00202DC0">
        <w:t xml:space="preserve">ata Collection </w:t>
      </w:r>
      <w:proofErr w:type="gramStart"/>
      <w:r w:rsidR="00202DC0">
        <w:t>Tools</w:t>
      </w:r>
      <w:r w:rsidR="00F43F55">
        <w:t xml:space="preserve"> :</w:t>
      </w:r>
      <w:proofErr w:type="gramEnd"/>
      <w:r w:rsidR="00F43F55">
        <w:t xml:space="preserve"> </w:t>
      </w:r>
    </w:p>
    <w:p w14:paraId="39D1C8F9" w14:textId="40324838" w:rsidR="00202DC0" w:rsidRDefault="00202DC0">
      <w:r>
        <w:t>Data were collected using both primary and secondary sources:</w:t>
      </w:r>
    </w:p>
    <w:p w14:paraId="6AD4D755" w14:textId="1BC504D0" w:rsidR="00202DC0" w:rsidRDefault="00202DC0" w:rsidP="00F43F55">
      <w:pPr>
        <w:pStyle w:val="ListParagraph"/>
        <w:numPr>
          <w:ilvl w:val="0"/>
          <w:numId w:val="4"/>
        </w:numPr>
      </w:pPr>
      <w:r>
        <w:t>Structured Questionnaire:</w:t>
      </w:r>
    </w:p>
    <w:p w14:paraId="32217172" w14:textId="31B4706B" w:rsidR="00202DC0" w:rsidRDefault="00202DC0">
      <w:r>
        <w:t>Captured socio-demographic information (age, sex, education, family income).</w:t>
      </w:r>
    </w:p>
    <w:p w14:paraId="417B59A9" w14:textId="74D45DA2" w:rsidR="00202DC0" w:rsidRDefault="00202DC0">
      <w:r>
        <w:t>Dietary practices (frequency of consumption of iron-rich foods, tea/coffee intake).</w:t>
      </w:r>
    </w:p>
    <w:p w14:paraId="037811C0" w14:textId="5828D2CC" w:rsidR="00202DC0" w:rsidRDefault="00202DC0">
      <w:r>
        <w:t>Awareness and knowledge about anemia and AMBA interventions.</w:t>
      </w:r>
    </w:p>
    <w:p w14:paraId="1689EE12" w14:textId="320E3162" w:rsidR="00202DC0" w:rsidRDefault="00202DC0">
      <w:r>
        <w:t>Barriers to IFA compliance (peer stigma, side effects, availability).</w:t>
      </w:r>
    </w:p>
    <w:p w14:paraId="04C72541" w14:textId="306EF3FA" w:rsidR="00202DC0" w:rsidRDefault="00202DC0">
      <w:r>
        <w:t>The questionnaire was pre-tested on a pilot group of 20 adolescents and refined for clarity and cultural appropriateness.</w:t>
      </w:r>
    </w:p>
    <w:p w14:paraId="27516D8C" w14:textId="3B85F226" w:rsidR="00202DC0" w:rsidRDefault="00202DC0" w:rsidP="00F43F55">
      <w:pPr>
        <w:pStyle w:val="ListParagraph"/>
        <w:numPr>
          <w:ilvl w:val="0"/>
          <w:numId w:val="4"/>
        </w:numPr>
      </w:pPr>
      <w:r>
        <w:t xml:space="preserve">Hemoglobin </w:t>
      </w:r>
      <w:proofErr w:type="gramStart"/>
      <w:r>
        <w:t>Estimation</w:t>
      </w:r>
      <w:r w:rsidR="00F43F55">
        <w:t xml:space="preserve"> :</w:t>
      </w:r>
      <w:proofErr w:type="gramEnd"/>
    </w:p>
    <w:p w14:paraId="4A9F05B8" w14:textId="5ACCF6C9" w:rsidR="00202DC0" w:rsidRDefault="00202DC0">
      <w:r>
        <w:t>Secondary data were collected from school health records, where Hb testing had been conducted as part of routine health check-ups.</w:t>
      </w:r>
    </w:p>
    <w:p w14:paraId="48E0B9F5" w14:textId="1CA4F0ED" w:rsidR="00202DC0" w:rsidRDefault="00202DC0">
      <w:r>
        <w:t xml:space="preserve">For adolescents without recent records, hemoglobin levels were assessed using </w:t>
      </w:r>
      <w:proofErr w:type="spellStart"/>
      <w:r>
        <w:t>HemoCue</w:t>
      </w:r>
      <w:proofErr w:type="spellEnd"/>
      <w:r>
        <w:t xml:space="preserve"> Hb 201+ </w:t>
      </w:r>
      <w:proofErr w:type="spellStart"/>
      <w:r>
        <w:t>analyzer</w:t>
      </w:r>
      <w:proofErr w:type="spellEnd"/>
      <w:r>
        <w:t>, a portable and WHO-recommended method for field studies.</w:t>
      </w:r>
    </w:p>
    <w:p w14:paraId="7F3BA525" w14:textId="682DD43A" w:rsidR="00202DC0" w:rsidRDefault="001E17BE">
      <w:proofErr w:type="gramStart"/>
      <w:r w:rsidRPr="001E17BE">
        <w:t xml:space="preserve">table </w:t>
      </w:r>
      <w:r>
        <w:t xml:space="preserve"> 2</w:t>
      </w:r>
      <w:proofErr w:type="gramEnd"/>
      <w:r>
        <w:t>-</w:t>
      </w:r>
      <w:r w:rsidR="00202DC0">
        <w:t>Anemia classification was based on WHO (2011) cut-offs</w:t>
      </w:r>
    </w:p>
    <w:tbl>
      <w:tblPr>
        <w:tblStyle w:val="TableGrid"/>
        <w:tblW w:w="0" w:type="auto"/>
        <w:tblLook w:val="04A0" w:firstRow="1" w:lastRow="0" w:firstColumn="1" w:lastColumn="0" w:noHBand="0" w:noVBand="1"/>
      </w:tblPr>
      <w:tblGrid>
        <w:gridCol w:w="1895"/>
        <w:gridCol w:w="1813"/>
        <w:gridCol w:w="1802"/>
      </w:tblGrid>
      <w:tr w:rsidR="007D16EC" w14:paraId="191F867C" w14:textId="7C2AE8E5" w:rsidTr="007D16EC">
        <w:tc>
          <w:tcPr>
            <w:tcW w:w="1895" w:type="dxa"/>
          </w:tcPr>
          <w:p w14:paraId="34776A67" w14:textId="07680DC6" w:rsidR="007D16EC" w:rsidRDefault="007D16EC">
            <w:r>
              <w:t xml:space="preserve">Anemia level </w:t>
            </w:r>
          </w:p>
        </w:tc>
        <w:tc>
          <w:tcPr>
            <w:tcW w:w="1813" w:type="dxa"/>
          </w:tcPr>
          <w:p w14:paraId="6439B8E6" w14:textId="297C4B9C" w:rsidR="007D16EC" w:rsidRDefault="007D16EC">
            <w:r>
              <w:t xml:space="preserve"> girls </w:t>
            </w:r>
          </w:p>
        </w:tc>
        <w:tc>
          <w:tcPr>
            <w:tcW w:w="1802" w:type="dxa"/>
          </w:tcPr>
          <w:p w14:paraId="15359068" w14:textId="2083E21D" w:rsidR="007D16EC" w:rsidRDefault="007D16EC">
            <w:r>
              <w:t>Boys</w:t>
            </w:r>
          </w:p>
        </w:tc>
      </w:tr>
      <w:tr w:rsidR="007D16EC" w14:paraId="19C6486E" w14:textId="42F198F5" w:rsidTr="007D16EC">
        <w:tc>
          <w:tcPr>
            <w:tcW w:w="1895" w:type="dxa"/>
          </w:tcPr>
          <w:p w14:paraId="2D6A011B" w14:textId="7CF9C0E9" w:rsidR="007D16EC" w:rsidRDefault="007D16EC">
            <w:r>
              <w:t>Mild anemia</w:t>
            </w:r>
          </w:p>
        </w:tc>
        <w:tc>
          <w:tcPr>
            <w:tcW w:w="1813" w:type="dxa"/>
          </w:tcPr>
          <w:p w14:paraId="56B9322A" w14:textId="5D87C7F6" w:rsidR="007D16EC" w:rsidRDefault="00ED1F68">
            <w:r>
              <w:t xml:space="preserve"> 11.0–11.9 g/dl</w:t>
            </w:r>
          </w:p>
        </w:tc>
        <w:tc>
          <w:tcPr>
            <w:tcW w:w="1802" w:type="dxa"/>
          </w:tcPr>
          <w:p w14:paraId="4985CB2A" w14:textId="4A516594" w:rsidR="007D16EC" w:rsidRDefault="00ED1F68">
            <w:r>
              <w:t xml:space="preserve"> 11.0–12.9 g/dl </w:t>
            </w:r>
          </w:p>
        </w:tc>
      </w:tr>
      <w:tr w:rsidR="007D16EC" w14:paraId="510B9BD9" w14:textId="2CCFF422" w:rsidTr="007D16EC">
        <w:tc>
          <w:tcPr>
            <w:tcW w:w="1895" w:type="dxa"/>
          </w:tcPr>
          <w:p w14:paraId="69770236" w14:textId="06E54AEF" w:rsidR="007D16EC" w:rsidRDefault="00ED1F68">
            <w:r>
              <w:t>Moderate anemia</w:t>
            </w:r>
          </w:p>
        </w:tc>
        <w:tc>
          <w:tcPr>
            <w:tcW w:w="1813" w:type="dxa"/>
          </w:tcPr>
          <w:p w14:paraId="159CB02E" w14:textId="2056B892" w:rsidR="007D16EC" w:rsidRDefault="0094722A">
            <w:r>
              <w:t xml:space="preserve"> 8.0–10.9 g/dl</w:t>
            </w:r>
          </w:p>
        </w:tc>
        <w:tc>
          <w:tcPr>
            <w:tcW w:w="1802" w:type="dxa"/>
          </w:tcPr>
          <w:p w14:paraId="40D58914" w14:textId="27DB0582" w:rsidR="007D16EC" w:rsidRDefault="00DD00C2">
            <w:r>
              <w:t xml:space="preserve">  8.0–10.9 g/dl</w:t>
            </w:r>
            <w:r>
              <w:tab/>
              <w:t xml:space="preserve">  </w:t>
            </w:r>
          </w:p>
        </w:tc>
      </w:tr>
      <w:tr w:rsidR="007D16EC" w14:paraId="7DE3348C" w14:textId="5AF89E1A" w:rsidTr="007D16EC">
        <w:tc>
          <w:tcPr>
            <w:tcW w:w="1895" w:type="dxa"/>
          </w:tcPr>
          <w:p w14:paraId="073F6268" w14:textId="26C8CD4C" w:rsidR="007D16EC" w:rsidRDefault="00ED1F68">
            <w:r>
              <w:lastRenderedPageBreak/>
              <w:t>Severe anemia</w:t>
            </w:r>
          </w:p>
        </w:tc>
        <w:tc>
          <w:tcPr>
            <w:tcW w:w="1813" w:type="dxa"/>
          </w:tcPr>
          <w:p w14:paraId="25AEDD31" w14:textId="430512AF" w:rsidR="007D16EC" w:rsidRDefault="0094722A">
            <w:r>
              <w:t xml:space="preserve"> &lt;8.0 g/dl.</w:t>
            </w:r>
          </w:p>
        </w:tc>
        <w:tc>
          <w:tcPr>
            <w:tcW w:w="1802" w:type="dxa"/>
          </w:tcPr>
          <w:p w14:paraId="0ED6437C" w14:textId="7A9B7147" w:rsidR="007D16EC" w:rsidRDefault="00DD00C2">
            <w:r>
              <w:t xml:space="preserve"> &lt;8.0 g/dl</w:t>
            </w:r>
          </w:p>
        </w:tc>
      </w:tr>
      <w:tr w:rsidR="007D16EC" w14:paraId="2D532067" w14:textId="4CE79F13" w:rsidTr="007D16EC">
        <w:tc>
          <w:tcPr>
            <w:tcW w:w="1895" w:type="dxa"/>
          </w:tcPr>
          <w:p w14:paraId="4566B9A9" w14:textId="77777777" w:rsidR="007D16EC" w:rsidRDefault="007D16EC"/>
        </w:tc>
        <w:tc>
          <w:tcPr>
            <w:tcW w:w="1813" w:type="dxa"/>
          </w:tcPr>
          <w:p w14:paraId="10ED5C78" w14:textId="77777777" w:rsidR="007D16EC" w:rsidRDefault="007D16EC"/>
        </w:tc>
        <w:tc>
          <w:tcPr>
            <w:tcW w:w="1802" w:type="dxa"/>
          </w:tcPr>
          <w:p w14:paraId="6CCE6A20" w14:textId="77777777" w:rsidR="007D16EC" w:rsidRDefault="007D16EC"/>
        </w:tc>
      </w:tr>
    </w:tbl>
    <w:p w14:paraId="021F3DA0" w14:textId="1E38D14B" w:rsidR="00202DC0" w:rsidRDefault="00202DC0">
      <w:r>
        <w:t>3.7 Data Collection Procedure</w:t>
      </w:r>
    </w:p>
    <w:p w14:paraId="28F9497F" w14:textId="5F2C4458" w:rsidR="00202DC0" w:rsidRDefault="00202DC0">
      <w:r>
        <w:t>Data collection was carried out over a 3-month period.</w:t>
      </w:r>
    </w:p>
    <w:p w14:paraId="5E284FDB" w14:textId="579431D5" w:rsidR="00202DC0" w:rsidRDefault="00202DC0">
      <w:r>
        <w:t>Trained field investigators (nutrition postgraduates) conducted interviews with adolescents in classrooms and community centers.</w:t>
      </w:r>
    </w:p>
    <w:p w14:paraId="666C99ED" w14:textId="39CC4536" w:rsidR="00202DC0" w:rsidRDefault="00202DC0">
      <w:r>
        <w:t>Health records were verified with school authorities, and where necessary, spot hemoglobin testing was performed.</w:t>
      </w:r>
    </w:p>
    <w:p w14:paraId="355E1740" w14:textId="156D37F1" w:rsidR="00202DC0" w:rsidRDefault="00202DC0">
      <w:r>
        <w:t>Confidentiality and privacy were ensured during data collection, particularly for questions related to menstruation and dietary habits.</w:t>
      </w:r>
    </w:p>
    <w:p w14:paraId="4BF295E2" w14:textId="3AB66783" w:rsidR="00202DC0" w:rsidRDefault="00202DC0">
      <w:r>
        <w:t>3.</w:t>
      </w:r>
      <w:r w:rsidR="00CC0606">
        <w:t>8</w:t>
      </w:r>
      <w:r>
        <w:t xml:space="preserve"> Data Analysis</w:t>
      </w:r>
    </w:p>
    <w:p w14:paraId="4FA01DA7" w14:textId="610631C1" w:rsidR="00202DC0" w:rsidRDefault="00202DC0">
      <w:r>
        <w:t>Data were entered into SPSS version 26.0 for statistical analysis.</w:t>
      </w:r>
    </w:p>
    <w:p w14:paraId="747BEF4F" w14:textId="2F69B8A7" w:rsidR="00202DC0" w:rsidRDefault="00202DC0">
      <w:r>
        <w:t>Descriptive statistics (means, frequencies, percentages) were used to present socio-demographic details, prevalence, and awareness levels.</w:t>
      </w:r>
    </w:p>
    <w:p w14:paraId="67CF1F44" w14:textId="076D96C3" w:rsidR="00202DC0" w:rsidRDefault="00202DC0">
      <w:r>
        <w:t>Chi-square tests were employed to assess associations between anemia prevalence and socio-demographic factors (gender, income, education, dietary diversity).</w:t>
      </w:r>
    </w:p>
    <w:p w14:paraId="701EBE60" w14:textId="481F6096" w:rsidR="00202DC0" w:rsidRDefault="00202DC0">
      <w:r>
        <w:t>Multivariate logistic regression was conducted to identify independent predictors of anemia.</w:t>
      </w:r>
    </w:p>
    <w:p w14:paraId="3D64F7F7" w14:textId="02705D81" w:rsidR="00B9474E" w:rsidRDefault="00202DC0">
      <w:r>
        <w:t>A p-value of &lt;0.05 was considered statistically significant.</w:t>
      </w:r>
    </w:p>
    <w:p w14:paraId="2077A8A4" w14:textId="292A2BFE" w:rsidR="004A3152" w:rsidRDefault="00B9474E" w:rsidP="00CF2A95">
      <w:pPr>
        <w:pStyle w:val="ListParagraph"/>
        <w:numPr>
          <w:ilvl w:val="0"/>
          <w:numId w:val="2"/>
        </w:numPr>
      </w:pPr>
      <w:proofErr w:type="gramStart"/>
      <w:r>
        <w:t>Results</w:t>
      </w:r>
      <w:r w:rsidR="00CF2A95">
        <w:t xml:space="preserve"> :</w:t>
      </w:r>
      <w:proofErr w:type="gramEnd"/>
      <w:r w:rsidR="00CF2A95">
        <w:t xml:space="preserve"> </w:t>
      </w:r>
    </w:p>
    <w:p w14:paraId="298D6469" w14:textId="2F655F70" w:rsidR="004A3152" w:rsidRDefault="004A3152" w:rsidP="004A3152">
      <w:pPr>
        <w:pStyle w:val="ListParagraph"/>
        <w:numPr>
          <w:ilvl w:val="1"/>
          <w:numId w:val="2"/>
        </w:numPr>
      </w:pPr>
      <w:r>
        <w:t>Prevalence of Anemia among Adolescents</w:t>
      </w:r>
    </w:p>
    <w:p w14:paraId="3051D8E7" w14:textId="0B96BC71" w:rsidR="004A3152" w:rsidRDefault="004A3152" w:rsidP="00396E67">
      <w:pPr>
        <w:pStyle w:val="ListParagraph"/>
        <w:ind w:left="735"/>
      </w:pPr>
    </w:p>
    <w:p w14:paraId="62766C07" w14:textId="4393FDFE" w:rsidR="004A3152" w:rsidRDefault="004A3152">
      <w:r>
        <w:t xml:space="preserve">Table </w:t>
      </w:r>
      <w:r w:rsidR="00190153">
        <w:t>3</w:t>
      </w:r>
      <w:r>
        <w:t>: Prevalence and Severity of Anemia among Adolescents (n = …)</w:t>
      </w:r>
    </w:p>
    <w:tbl>
      <w:tblPr>
        <w:tblStyle w:val="TableGrid"/>
        <w:tblW w:w="0" w:type="auto"/>
        <w:tblLook w:val="04A0" w:firstRow="1" w:lastRow="0" w:firstColumn="1" w:lastColumn="0" w:noHBand="0" w:noVBand="1"/>
      </w:tblPr>
      <w:tblGrid>
        <w:gridCol w:w="1376"/>
        <w:gridCol w:w="1378"/>
        <w:gridCol w:w="1378"/>
        <w:gridCol w:w="1378"/>
      </w:tblGrid>
      <w:tr w:rsidR="00395957" w14:paraId="16BB6E3A" w14:textId="77777777" w:rsidTr="00395957">
        <w:tc>
          <w:tcPr>
            <w:tcW w:w="1376" w:type="dxa"/>
          </w:tcPr>
          <w:p w14:paraId="599C4D97" w14:textId="754DC166" w:rsidR="00395957" w:rsidRDefault="00395957">
            <w:r>
              <w:t xml:space="preserve">Category </w:t>
            </w:r>
          </w:p>
        </w:tc>
        <w:tc>
          <w:tcPr>
            <w:tcW w:w="1378" w:type="dxa"/>
          </w:tcPr>
          <w:p w14:paraId="24F7E2B4" w14:textId="1AA44811" w:rsidR="00395957" w:rsidRDefault="00395957">
            <w:proofErr w:type="gramStart"/>
            <w:r>
              <w:t>Overall(</w:t>
            </w:r>
            <w:proofErr w:type="gramEnd"/>
            <w:r>
              <w:t>%)</w:t>
            </w:r>
          </w:p>
        </w:tc>
        <w:tc>
          <w:tcPr>
            <w:tcW w:w="1378" w:type="dxa"/>
          </w:tcPr>
          <w:p w14:paraId="5C59708C" w14:textId="50217B14" w:rsidR="00395957" w:rsidRDefault="00395957">
            <w:proofErr w:type="gramStart"/>
            <w:r>
              <w:t>Boys(</w:t>
            </w:r>
            <w:proofErr w:type="gramEnd"/>
            <w:r>
              <w:t>%)</w:t>
            </w:r>
          </w:p>
        </w:tc>
        <w:tc>
          <w:tcPr>
            <w:tcW w:w="1378" w:type="dxa"/>
          </w:tcPr>
          <w:p w14:paraId="6E3F8AC4" w14:textId="35D422A0" w:rsidR="00395957" w:rsidRDefault="00395957">
            <w:proofErr w:type="gramStart"/>
            <w:r>
              <w:t>Girls</w:t>
            </w:r>
            <w:r w:rsidR="001F61FB">
              <w:t>(</w:t>
            </w:r>
            <w:proofErr w:type="gramEnd"/>
            <w:r w:rsidR="001F61FB">
              <w:t>%)</w:t>
            </w:r>
          </w:p>
        </w:tc>
      </w:tr>
      <w:tr w:rsidR="00395957" w14:paraId="23EEBE6C" w14:textId="77777777" w:rsidTr="00395957">
        <w:tc>
          <w:tcPr>
            <w:tcW w:w="1376" w:type="dxa"/>
          </w:tcPr>
          <w:p w14:paraId="2F8065A3" w14:textId="2A7C71B6" w:rsidR="00395957" w:rsidRDefault="001F61FB">
            <w:r>
              <w:t>Any Anemia (Total)</w:t>
            </w:r>
          </w:p>
        </w:tc>
        <w:tc>
          <w:tcPr>
            <w:tcW w:w="1378" w:type="dxa"/>
          </w:tcPr>
          <w:p w14:paraId="0673F7F7" w14:textId="65E38A9D" w:rsidR="00395957" w:rsidRDefault="001F61FB">
            <w:r>
              <w:t>56</w:t>
            </w:r>
          </w:p>
        </w:tc>
        <w:tc>
          <w:tcPr>
            <w:tcW w:w="1378" w:type="dxa"/>
          </w:tcPr>
          <w:p w14:paraId="6BC7EB63" w14:textId="696B5633" w:rsidR="00395957" w:rsidRDefault="001F61FB">
            <w:r>
              <w:t>44</w:t>
            </w:r>
          </w:p>
        </w:tc>
        <w:tc>
          <w:tcPr>
            <w:tcW w:w="1378" w:type="dxa"/>
          </w:tcPr>
          <w:p w14:paraId="6F9E389C" w14:textId="0422A8D8" w:rsidR="00395957" w:rsidRDefault="001F61FB">
            <w:r>
              <w:t>68</w:t>
            </w:r>
          </w:p>
        </w:tc>
      </w:tr>
      <w:tr w:rsidR="00395957" w14:paraId="7C65EF27" w14:textId="77777777" w:rsidTr="00395957">
        <w:tc>
          <w:tcPr>
            <w:tcW w:w="1376" w:type="dxa"/>
          </w:tcPr>
          <w:p w14:paraId="190BF18E" w14:textId="08B1A18A" w:rsidR="00395957" w:rsidRDefault="001F61FB">
            <w:r>
              <w:t>Mild Anemia</w:t>
            </w:r>
          </w:p>
        </w:tc>
        <w:tc>
          <w:tcPr>
            <w:tcW w:w="1378" w:type="dxa"/>
          </w:tcPr>
          <w:p w14:paraId="5588037C" w14:textId="29429D4D" w:rsidR="00395957" w:rsidRDefault="00747B91">
            <w:r>
              <w:t>30</w:t>
            </w:r>
          </w:p>
        </w:tc>
        <w:tc>
          <w:tcPr>
            <w:tcW w:w="1378" w:type="dxa"/>
          </w:tcPr>
          <w:p w14:paraId="7A3E9086" w14:textId="434D0EA5" w:rsidR="00395957" w:rsidRDefault="00747B91">
            <w:r>
              <w:t>22</w:t>
            </w:r>
          </w:p>
        </w:tc>
        <w:tc>
          <w:tcPr>
            <w:tcW w:w="1378" w:type="dxa"/>
          </w:tcPr>
          <w:p w14:paraId="4D3B70DF" w14:textId="3A8457CB" w:rsidR="00395957" w:rsidRDefault="00747B91">
            <w:r>
              <w:t>36</w:t>
            </w:r>
          </w:p>
        </w:tc>
      </w:tr>
      <w:tr w:rsidR="001F61FB" w14:paraId="6F321EAA" w14:textId="77777777" w:rsidTr="00395957">
        <w:tc>
          <w:tcPr>
            <w:tcW w:w="1376" w:type="dxa"/>
          </w:tcPr>
          <w:p w14:paraId="716EBF1A" w14:textId="1CEE5F9A" w:rsidR="001F61FB" w:rsidRDefault="00747B91">
            <w:r>
              <w:t>Moderate Anemia</w:t>
            </w:r>
          </w:p>
        </w:tc>
        <w:tc>
          <w:tcPr>
            <w:tcW w:w="1378" w:type="dxa"/>
          </w:tcPr>
          <w:p w14:paraId="40A63C0F" w14:textId="7200D168" w:rsidR="001F61FB" w:rsidRDefault="00747B91">
            <w:r>
              <w:t>20</w:t>
            </w:r>
          </w:p>
        </w:tc>
        <w:tc>
          <w:tcPr>
            <w:tcW w:w="1378" w:type="dxa"/>
          </w:tcPr>
          <w:p w14:paraId="445AEFC7" w14:textId="42711A59" w:rsidR="001F61FB" w:rsidRDefault="00BE60B2">
            <w:r>
              <w:t>15</w:t>
            </w:r>
          </w:p>
        </w:tc>
        <w:tc>
          <w:tcPr>
            <w:tcW w:w="1378" w:type="dxa"/>
          </w:tcPr>
          <w:p w14:paraId="6FAD8772" w14:textId="68995970" w:rsidR="001F61FB" w:rsidRDefault="00BE60B2">
            <w:r>
              <w:t>25</w:t>
            </w:r>
          </w:p>
        </w:tc>
      </w:tr>
      <w:tr w:rsidR="00747B91" w14:paraId="3201C013" w14:textId="77777777" w:rsidTr="00395957">
        <w:tc>
          <w:tcPr>
            <w:tcW w:w="1376" w:type="dxa"/>
          </w:tcPr>
          <w:p w14:paraId="7E42E2D5" w14:textId="37E7AE5C" w:rsidR="00747B91" w:rsidRDefault="00747B91">
            <w:r>
              <w:t>Severe Anemia</w:t>
            </w:r>
            <w:r>
              <w:tab/>
            </w:r>
          </w:p>
        </w:tc>
        <w:tc>
          <w:tcPr>
            <w:tcW w:w="1378" w:type="dxa"/>
          </w:tcPr>
          <w:p w14:paraId="67050222" w14:textId="246E8024" w:rsidR="00747B91" w:rsidRDefault="00747B91">
            <w:r>
              <w:t>6</w:t>
            </w:r>
          </w:p>
        </w:tc>
        <w:tc>
          <w:tcPr>
            <w:tcW w:w="1378" w:type="dxa"/>
          </w:tcPr>
          <w:p w14:paraId="462FBCD3" w14:textId="5E090AC8" w:rsidR="00747B91" w:rsidRDefault="00BE60B2">
            <w:r>
              <w:t>7</w:t>
            </w:r>
          </w:p>
        </w:tc>
        <w:tc>
          <w:tcPr>
            <w:tcW w:w="1378" w:type="dxa"/>
          </w:tcPr>
          <w:p w14:paraId="306BC8C3" w14:textId="1BEF867B" w:rsidR="00747B91" w:rsidRDefault="00BE60B2">
            <w:r>
              <w:t>7</w:t>
            </w:r>
          </w:p>
        </w:tc>
      </w:tr>
    </w:tbl>
    <w:p w14:paraId="01700C42" w14:textId="77777777" w:rsidR="004B7FBC" w:rsidRDefault="004B7FBC"/>
    <w:p w14:paraId="6340651A" w14:textId="6A16E555" w:rsidR="00956A0A" w:rsidRDefault="004A3152">
      <w:r>
        <w:t xml:space="preserve">More than half (56%) of adolescents were anemic, with girls showing almost 1.5 times higher prevalence than boys. Severe anemia, though less common (6%), represents a critical public health concern due to its impact on immunity, cognition, and reproductive </w:t>
      </w:r>
      <w:proofErr w:type="spellStart"/>
      <w:proofErr w:type="gramStart"/>
      <w:r>
        <w:t>health.</w:t>
      </w:r>
      <w:r w:rsidR="00956A0A">
        <w:t>This</w:t>
      </w:r>
      <w:proofErr w:type="spellEnd"/>
      <w:proofErr w:type="gramEnd"/>
      <w:r w:rsidR="00956A0A">
        <w:t xml:space="preserve"> finding is consistent with national trends, where adolescent girls are almost twice as likely to be anemic as boys due to factors such as menstrual blood loss, gendered food allocation, and higher iron requirements.</w:t>
      </w:r>
    </w:p>
    <w:p w14:paraId="448CB9CE" w14:textId="602DA144" w:rsidR="00956A0A" w:rsidRDefault="00956A0A">
      <w:r>
        <w:t>Severe anemia, though less common, was observed in 6% of adolescents — a worrying figure, as severe anemia is linked to serious health consequences such as reduced immunity, impaired cognitive ability, and increased maternal risks for girls.</w:t>
      </w:r>
    </w:p>
    <w:p w14:paraId="505799C4" w14:textId="47416CDE" w:rsidR="002E1896" w:rsidRDefault="00956A0A">
      <w:r>
        <w:t>The burden of anemia was therefore not just widespread but also clinically significant, with one in four adolescents suffering from moderate to severe forms.</w:t>
      </w:r>
    </w:p>
    <w:p w14:paraId="483081A7" w14:textId="47AA0278" w:rsidR="004A3152" w:rsidRDefault="004A3152" w:rsidP="00956A0A">
      <w:pPr>
        <w:pStyle w:val="ListParagraph"/>
        <w:numPr>
          <w:ilvl w:val="1"/>
          <w:numId w:val="2"/>
        </w:numPr>
      </w:pPr>
      <w:r>
        <w:t>Awareness and Knowledge about AMBA</w:t>
      </w:r>
    </w:p>
    <w:p w14:paraId="2D213122" w14:textId="2F8AAD6C" w:rsidR="004A3152" w:rsidRDefault="004A3152">
      <w:r>
        <w:t xml:space="preserve">Table </w:t>
      </w:r>
      <w:r w:rsidR="00190153">
        <w:t>4</w:t>
      </w:r>
      <w:r>
        <w:t xml:space="preserve">: Awareness and Practices Related to AMBA among </w:t>
      </w:r>
      <w:proofErr w:type="gramStart"/>
      <w:r>
        <w:t>Adolescents</w:t>
      </w:r>
      <w:r w:rsidR="00875C2A">
        <w:t xml:space="preserve"> :</w:t>
      </w:r>
      <w:proofErr w:type="gramEnd"/>
      <w:r w:rsidR="00875C2A">
        <w:t xml:space="preserve"> </w:t>
      </w:r>
    </w:p>
    <w:tbl>
      <w:tblPr>
        <w:tblStyle w:val="TableGrid"/>
        <w:tblW w:w="0" w:type="auto"/>
        <w:tblLook w:val="04A0" w:firstRow="1" w:lastRow="0" w:firstColumn="1" w:lastColumn="0" w:noHBand="0" w:noVBand="1"/>
      </w:tblPr>
      <w:tblGrid>
        <w:gridCol w:w="2147"/>
        <w:gridCol w:w="2090"/>
      </w:tblGrid>
      <w:tr w:rsidR="003068B1" w14:paraId="123DDD92" w14:textId="77777777" w:rsidTr="003068B1">
        <w:tc>
          <w:tcPr>
            <w:tcW w:w="2147" w:type="dxa"/>
          </w:tcPr>
          <w:p w14:paraId="5719C605" w14:textId="0CDE7D75" w:rsidR="003068B1" w:rsidRDefault="003068B1">
            <w:r>
              <w:t xml:space="preserve">Indicator </w:t>
            </w:r>
          </w:p>
        </w:tc>
        <w:tc>
          <w:tcPr>
            <w:tcW w:w="2090" w:type="dxa"/>
          </w:tcPr>
          <w:p w14:paraId="12CE9166" w14:textId="5B97F056" w:rsidR="003068B1" w:rsidRDefault="003068B1">
            <w:r>
              <w:t>% Adolescents</w:t>
            </w:r>
          </w:p>
        </w:tc>
      </w:tr>
      <w:tr w:rsidR="003068B1" w14:paraId="2B085BBC" w14:textId="77777777" w:rsidTr="003068B1">
        <w:tc>
          <w:tcPr>
            <w:tcW w:w="2147" w:type="dxa"/>
          </w:tcPr>
          <w:p w14:paraId="6A69DC3D" w14:textId="0A577CC4" w:rsidR="003068B1" w:rsidRDefault="003068B1">
            <w:r>
              <w:t>Heard of AMBA</w:t>
            </w:r>
            <w:r>
              <w:tab/>
            </w:r>
          </w:p>
        </w:tc>
        <w:tc>
          <w:tcPr>
            <w:tcW w:w="2090" w:type="dxa"/>
          </w:tcPr>
          <w:p w14:paraId="7A3304D2" w14:textId="233B00D9" w:rsidR="003068B1" w:rsidRDefault="003068B1">
            <w:r>
              <w:t>41</w:t>
            </w:r>
          </w:p>
        </w:tc>
      </w:tr>
      <w:tr w:rsidR="003068B1" w14:paraId="784CB173" w14:textId="77777777" w:rsidTr="003068B1">
        <w:tc>
          <w:tcPr>
            <w:tcW w:w="2147" w:type="dxa"/>
          </w:tcPr>
          <w:p w14:paraId="77A19564" w14:textId="3BA87BBC" w:rsidR="003068B1" w:rsidRDefault="003068B1">
            <w:r>
              <w:t>Regular consumption of IFA tablets</w:t>
            </w:r>
          </w:p>
        </w:tc>
        <w:tc>
          <w:tcPr>
            <w:tcW w:w="2090" w:type="dxa"/>
          </w:tcPr>
          <w:p w14:paraId="0CED1E5C" w14:textId="69DE1839" w:rsidR="003068B1" w:rsidRDefault="003068B1">
            <w:r>
              <w:t>25</w:t>
            </w:r>
          </w:p>
        </w:tc>
      </w:tr>
      <w:tr w:rsidR="003068B1" w14:paraId="4D1E8C38" w14:textId="77777777" w:rsidTr="003068B1">
        <w:tc>
          <w:tcPr>
            <w:tcW w:w="2147" w:type="dxa"/>
          </w:tcPr>
          <w:p w14:paraId="06CC161F" w14:textId="57AE4524" w:rsidR="003068B1" w:rsidRDefault="003068B1">
            <w:r>
              <w:t>Reported irregular IFA distribution</w:t>
            </w:r>
          </w:p>
        </w:tc>
        <w:tc>
          <w:tcPr>
            <w:tcW w:w="2090" w:type="dxa"/>
          </w:tcPr>
          <w:p w14:paraId="5E794FEB" w14:textId="1F1CC9EB" w:rsidR="003068B1" w:rsidRDefault="003068B1">
            <w:r>
              <w:t>48</w:t>
            </w:r>
          </w:p>
        </w:tc>
      </w:tr>
      <w:tr w:rsidR="003068B1" w14:paraId="789B37B2" w14:textId="77777777" w:rsidTr="003068B1">
        <w:tc>
          <w:tcPr>
            <w:tcW w:w="2147" w:type="dxa"/>
          </w:tcPr>
          <w:p w14:paraId="67F6C2A5" w14:textId="06285255" w:rsidR="003068B1" w:rsidRDefault="003068B1">
            <w:r>
              <w:t>Experienced side effects from IFA tablets</w:t>
            </w:r>
            <w:r>
              <w:tab/>
            </w:r>
          </w:p>
        </w:tc>
        <w:tc>
          <w:tcPr>
            <w:tcW w:w="2090" w:type="dxa"/>
          </w:tcPr>
          <w:p w14:paraId="009625E9" w14:textId="4232913F" w:rsidR="003068B1" w:rsidRDefault="003068B1">
            <w:r>
              <w:t>33</w:t>
            </w:r>
          </w:p>
        </w:tc>
      </w:tr>
      <w:tr w:rsidR="003068B1" w14:paraId="176910D2" w14:textId="77777777" w:rsidTr="003068B1">
        <w:tc>
          <w:tcPr>
            <w:tcW w:w="2147" w:type="dxa"/>
          </w:tcPr>
          <w:p w14:paraId="7016BE73" w14:textId="422D71C5" w:rsidR="003068B1" w:rsidRDefault="003068B1">
            <w:r>
              <w:t>Took deworming tablets in last 6 months</w:t>
            </w:r>
          </w:p>
        </w:tc>
        <w:tc>
          <w:tcPr>
            <w:tcW w:w="2090" w:type="dxa"/>
          </w:tcPr>
          <w:p w14:paraId="33953D2F" w14:textId="407CBB0B" w:rsidR="003068B1" w:rsidRDefault="003068B1">
            <w:r>
              <w:t>35</w:t>
            </w:r>
          </w:p>
        </w:tc>
      </w:tr>
      <w:tr w:rsidR="003068B1" w14:paraId="29F3796A" w14:textId="77777777" w:rsidTr="003068B1">
        <w:tc>
          <w:tcPr>
            <w:tcW w:w="2147" w:type="dxa"/>
          </w:tcPr>
          <w:p w14:paraId="7AB3F630" w14:textId="49B5102C" w:rsidR="003068B1" w:rsidRDefault="003068B1">
            <w:r>
              <w:t xml:space="preserve">Knew about dietary </w:t>
            </w:r>
            <w:r w:rsidR="00CE49DC">
              <w:t>counselling</w:t>
            </w:r>
            <w:r>
              <w:t xml:space="preserve"> under AMBA</w:t>
            </w:r>
          </w:p>
        </w:tc>
        <w:tc>
          <w:tcPr>
            <w:tcW w:w="2090" w:type="dxa"/>
          </w:tcPr>
          <w:p w14:paraId="64F886CC" w14:textId="51910D33" w:rsidR="003068B1" w:rsidRDefault="003068B1">
            <w:r>
              <w:t>18</w:t>
            </w:r>
          </w:p>
        </w:tc>
      </w:tr>
    </w:tbl>
    <w:p w14:paraId="7E6D6D95" w14:textId="1B621A7B" w:rsidR="004A3152" w:rsidRDefault="004A3152"/>
    <w:p w14:paraId="4711E29E" w14:textId="77777777" w:rsidR="004A3152" w:rsidRDefault="004A3152">
      <w:r>
        <w:t xml:space="preserve">Awareness of AMBA was very low (41%). While most adolescents knew about IFA tablets, only one-fourth consumed them regularly, with irregular distribution and side effects being major barriers. Knowledge about other interventions like deworming and diet </w:t>
      </w:r>
      <w:proofErr w:type="spellStart"/>
      <w:r>
        <w:t>counseling</w:t>
      </w:r>
      <w:proofErr w:type="spellEnd"/>
      <w:r>
        <w:t xml:space="preserve"> was minimal.</w:t>
      </w:r>
    </w:p>
    <w:p w14:paraId="75BBF653" w14:textId="4BB42556" w:rsidR="004A3152" w:rsidRDefault="00D60FC8">
      <w:r>
        <w:lastRenderedPageBreak/>
        <w:t>Many students were either unaware of the purpose of deworming or reluctant due to peer influence and lack of parental encouragement.</w:t>
      </w:r>
      <w:r w:rsidR="00CE49DC">
        <w:t xml:space="preserve"> </w:t>
      </w:r>
      <w:r>
        <w:t>These results suggest a critical information gap in AMBA implementation. Even when services were available, lack of awareness and stigma reduced their effectiveness.</w:t>
      </w:r>
    </w:p>
    <w:p w14:paraId="74FD955C" w14:textId="75141054" w:rsidR="004A3152" w:rsidRDefault="004A3152">
      <w:r>
        <w:t xml:space="preserve">4.3 Barriers to AMBA </w:t>
      </w:r>
      <w:proofErr w:type="gramStart"/>
      <w:r>
        <w:t>Implementatio</w:t>
      </w:r>
      <w:r w:rsidR="00DA1CC5">
        <w:t>n :</w:t>
      </w:r>
      <w:proofErr w:type="gramEnd"/>
      <w:r w:rsidR="00DA1CC5">
        <w:t xml:space="preserve"> </w:t>
      </w:r>
    </w:p>
    <w:p w14:paraId="3F57E96D" w14:textId="77777777" w:rsidR="004A3152" w:rsidRDefault="004A3152">
      <w:r>
        <w:t xml:space="preserve">The barriers identified were largely social and programmatic rather than medical. The lack of regular supply, weak </w:t>
      </w:r>
      <w:proofErr w:type="spellStart"/>
      <w:r>
        <w:t>counseling</w:t>
      </w:r>
      <w:proofErr w:type="spellEnd"/>
      <w:r>
        <w:t>, stigma, and side effects significantly reduced compliance, highlighting implementation gaps.</w:t>
      </w:r>
    </w:p>
    <w:p w14:paraId="1CAAEA64" w14:textId="7630B470" w:rsidR="00313608" w:rsidRDefault="00313608" w:rsidP="00457CF0">
      <w:pPr>
        <w:pStyle w:val="ListParagraph"/>
        <w:numPr>
          <w:ilvl w:val="0"/>
          <w:numId w:val="9"/>
        </w:numPr>
      </w:pPr>
      <w:r>
        <w:t>Irregular Supply of IFA Tablets</w:t>
      </w:r>
    </w:p>
    <w:p w14:paraId="57F13474" w14:textId="494514DA" w:rsidR="00313608" w:rsidRDefault="00313608">
      <w:r>
        <w:t>Many students reported that tablets were distributed inconsistently, sometimes months apart. Teachers and health workers confirmed delays due to supply chain issues.</w:t>
      </w:r>
    </w:p>
    <w:p w14:paraId="606792D1" w14:textId="53FDC395" w:rsidR="00313608" w:rsidRDefault="00313608" w:rsidP="00457CF0">
      <w:pPr>
        <w:pStyle w:val="ListParagraph"/>
        <w:numPr>
          <w:ilvl w:val="0"/>
          <w:numId w:val="9"/>
        </w:numPr>
      </w:pPr>
      <w:r>
        <w:t xml:space="preserve">Lack of Awareness and </w:t>
      </w:r>
      <w:proofErr w:type="spellStart"/>
      <w:r>
        <w:t>Counseling</w:t>
      </w:r>
      <w:proofErr w:type="spellEnd"/>
    </w:p>
    <w:p w14:paraId="1FE4242B" w14:textId="0A3E8CBA" w:rsidR="00313608" w:rsidRDefault="00313608">
      <w:r>
        <w:t>Adolescents often received tablets without adequate explanation about their importance, benefits, or how to manage side effects. This led to poor adherence.</w:t>
      </w:r>
    </w:p>
    <w:p w14:paraId="20ACA96D" w14:textId="3D01D469" w:rsidR="00313608" w:rsidRDefault="00313608" w:rsidP="00457CF0">
      <w:pPr>
        <w:pStyle w:val="ListParagraph"/>
        <w:numPr>
          <w:ilvl w:val="0"/>
          <w:numId w:val="9"/>
        </w:numPr>
      </w:pPr>
      <w:r>
        <w:t>Peer Stigma and Social Influences</w:t>
      </w:r>
    </w:p>
    <w:p w14:paraId="7CE9DDC1" w14:textId="397661BF" w:rsidR="00313608" w:rsidRDefault="00313608">
      <w:r>
        <w:t>Some adolescents expressed embarrassment in consuming tablets in front of peers. Misconceptions that IFA tablets were “meant only for weak people or girls” discouraged boys from participation.</w:t>
      </w:r>
    </w:p>
    <w:p w14:paraId="5052CF70" w14:textId="6B871D27" w:rsidR="00313608" w:rsidRDefault="00313608" w:rsidP="00457CF0">
      <w:pPr>
        <w:pStyle w:val="ListParagraph"/>
        <w:numPr>
          <w:ilvl w:val="0"/>
          <w:numId w:val="9"/>
        </w:numPr>
      </w:pPr>
      <w:r>
        <w:t>Side Effects and Poor Compliance</w:t>
      </w:r>
    </w:p>
    <w:p w14:paraId="7DF9A288" w14:textId="2F62FAD7" w:rsidR="00313608" w:rsidRDefault="00313608">
      <w:r>
        <w:t>Side effects such as nausea and constipation were reported, leading to discontinuation. Without proper guidance on consuming tablets with meals or water, adherence dropped.</w:t>
      </w:r>
    </w:p>
    <w:p w14:paraId="7FE56E97" w14:textId="683E0C19" w:rsidR="00313608" w:rsidRDefault="00313608" w:rsidP="00457CF0">
      <w:pPr>
        <w:pStyle w:val="ListParagraph"/>
        <w:numPr>
          <w:ilvl w:val="0"/>
          <w:numId w:val="9"/>
        </w:numPr>
      </w:pPr>
      <w:r>
        <w:t>Parental Neglect and Low Dietary Support</w:t>
      </w:r>
    </w:p>
    <w:p w14:paraId="1CE192FF" w14:textId="164E299E" w:rsidR="00313608" w:rsidRDefault="00313608">
      <w:r>
        <w:t xml:space="preserve">Parents, especially in lower-income households, often did not prioritize iron-rich foods such as green leafy vegetables, pulses, or fortified options. Adolescents reported that dietary diversity was minimal, with meals </w:t>
      </w:r>
      <w:proofErr w:type="spellStart"/>
      <w:r>
        <w:t>centered</w:t>
      </w:r>
      <w:proofErr w:type="spellEnd"/>
      <w:r>
        <w:t xml:space="preserve"> around cereals and tea, which inhibit iron absorption.</w:t>
      </w:r>
    </w:p>
    <w:p w14:paraId="317953F4" w14:textId="4931CB39" w:rsidR="00313608" w:rsidRDefault="00313608" w:rsidP="00457CF0">
      <w:pPr>
        <w:pStyle w:val="ListParagraph"/>
        <w:numPr>
          <w:ilvl w:val="0"/>
          <w:numId w:val="9"/>
        </w:numPr>
      </w:pPr>
      <w:r>
        <w:t>Limited Monitoring and Follow-Up</w:t>
      </w:r>
    </w:p>
    <w:p w14:paraId="4DA53450" w14:textId="57211E97" w:rsidR="00313608" w:rsidRDefault="00313608">
      <w:r>
        <w:t>Teachers and frontline workers (ASHAs, ANMs) often lacked the resources or time to monitor compliance. Home visits for adolescent health were rare, especially in semi-urban contexts.</w:t>
      </w:r>
    </w:p>
    <w:p w14:paraId="38368AEB" w14:textId="3EA0E3CA" w:rsidR="004A3152" w:rsidRDefault="004A3152" w:rsidP="00C21E98">
      <w:pPr>
        <w:pStyle w:val="ListParagraph"/>
        <w:numPr>
          <w:ilvl w:val="1"/>
          <w:numId w:val="2"/>
        </w:numPr>
      </w:pPr>
      <w:r>
        <w:t xml:space="preserve">Association with Socio-Demographic </w:t>
      </w:r>
      <w:proofErr w:type="gramStart"/>
      <w:r>
        <w:t>Factors</w:t>
      </w:r>
      <w:r w:rsidR="00C21E98">
        <w:t xml:space="preserve"> :</w:t>
      </w:r>
      <w:proofErr w:type="gramEnd"/>
    </w:p>
    <w:p w14:paraId="6AE3EE42" w14:textId="194ED0A9" w:rsidR="00D97934" w:rsidRDefault="00D97934">
      <w:r>
        <w:t>The prevalence of anemia was strongly influenced by socio-demographic characteristics:</w:t>
      </w:r>
    </w:p>
    <w:p w14:paraId="1D642E69" w14:textId="4105DF28" w:rsidR="00D97934" w:rsidRDefault="00D97934">
      <w:r>
        <w:lastRenderedPageBreak/>
        <w:t>Income: Adolescents from lower-income families had significantly higher rates of anemia. Nutritional inadequacies, limited food diversity, and reliance on cheap, carbohydrate-rich diets contributed to this.</w:t>
      </w:r>
    </w:p>
    <w:p w14:paraId="0934EF11" w14:textId="148803C8" w:rsidR="00D97934" w:rsidRDefault="00D97934">
      <w:r>
        <w:t>Gender: Girls were disproportionately affected compared to boys, aligning with biological and socio-cultural vulnerabilities.</w:t>
      </w:r>
    </w:p>
    <w:p w14:paraId="52460B43" w14:textId="1A24E593" w:rsidR="00D97934" w:rsidRDefault="00D97934">
      <w:r>
        <w:t>Education and School Attendance: Adolescents who had dropped out of school had poorer awareness of anemia and AMBA, and higher prevalence rates. School-based interventions thus appeared critical for prevention.</w:t>
      </w:r>
    </w:p>
    <w:p w14:paraId="642AF28A" w14:textId="77777777" w:rsidR="00D97934" w:rsidRDefault="00D97934">
      <w:r>
        <w:t>Urban vs. Semi-Urban Residence: Girls from semi-urban and peri-urban areas reported higher anemia rates than those from better-resourced schools in central urban areas. This reflected disparities in service delivery and parental involvement.</w:t>
      </w:r>
    </w:p>
    <w:p w14:paraId="299F273F" w14:textId="77777777" w:rsidR="004A3152" w:rsidRDefault="004A3152"/>
    <w:p w14:paraId="59B17619" w14:textId="7742D5A7" w:rsidR="004A3152" w:rsidRDefault="004A3152">
      <w:r>
        <w:t xml:space="preserve">4.5 Key </w:t>
      </w:r>
      <w:proofErr w:type="gramStart"/>
      <w:r>
        <w:t>Observations</w:t>
      </w:r>
      <w:r w:rsidR="002A0D84">
        <w:t xml:space="preserve"> :</w:t>
      </w:r>
      <w:proofErr w:type="gramEnd"/>
      <w:r w:rsidR="002A0D84">
        <w:t xml:space="preserve"> </w:t>
      </w:r>
    </w:p>
    <w:p w14:paraId="080C9199" w14:textId="77777777" w:rsidR="004A3152" w:rsidRDefault="004A3152"/>
    <w:p w14:paraId="7F753B63" w14:textId="219E652C" w:rsidR="004A3152" w:rsidRDefault="004A3152">
      <w:r>
        <w:t xml:space="preserve">Table 5: Summary of Key Observations from the </w:t>
      </w:r>
      <w:proofErr w:type="gramStart"/>
      <w:r>
        <w:t>Study</w:t>
      </w:r>
      <w:r w:rsidR="003D2167">
        <w:t xml:space="preserve"> :</w:t>
      </w:r>
      <w:proofErr w:type="gramEnd"/>
    </w:p>
    <w:tbl>
      <w:tblPr>
        <w:tblStyle w:val="TableGrid"/>
        <w:tblW w:w="0" w:type="auto"/>
        <w:tblLook w:val="04A0" w:firstRow="1" w:lastRow="0" w:firstColumn="1" w:lastColumn="0" w:noHBand="0" w:noVBand="1"/>
      </w:tblPr>
      <w:tblGrid>
        <w:gridCol w:w="3116"/>
        <w:gridCol w:w="3117"/>
        <w:gridCol w:w="3117"/>
      </w:tblGrid>
      <w:tr w:rsidR="00C240AD" w14:paraId="2350F3B2" w14:textId="77777777" w:rsidTr="00C240AD">
        <w:tc>
          <w:tcPr>
            <w:tcW w:w="3116" w:type="dxa"/>
          </w:tcPr>
          <w:p w14:paraId="6264890D" w14:textId="5457F46A" w:rsidR="00C240AD" w:rsidRDefault="00A55B45">
            <w:r>
              <w:t xml:space="preserve">Observation </w:t>
            </w:r>
          </w:p>
        </w:tc>
        <w:tc>
          <w:tcPr>
            <w:tcW w:w="3117" w:type="dxa"/>
          </w:tcPr>
          <w:p w14:paraId="45EA9EC0" w14:textId="3E01E563" w:rsidR="00C240AD" w:rsidRDefault="00A55B45">
            <w:r>
              <w:t xml:space="preserve">Percentage </w:t>
            </w:r>
          </w:p>
        </w:tc>
        <w:tc>
          <w:tcPr>
            <w:tcW w:w="3117" w:type="dxa"/>
          </w:tcPr>
          <w:p w14:paraId="54D8FC39" w14:textId="6813837F" w:rsidR="00C240AD" w:rsidRDefault="00A55B45">
            <w:r>
              <w:t xml:space="preserve">Implications </w:t>
            </w:r>
          </w:p>
        </w:tc>
      </w:tr>
      <w:tr w:rsidR="00C240AD" w14:paraId="14173A5E" w14:textId="77777777" w:rsidTr="00C240AD">
        <w:tc>
          <w:tcPr>
            <w:tcW w:w="3116" w:type="dxa"/>
          </w:tcPr>
          <w:p w14:paraId="73A1B719" w14:textId="7C1C2213" w:rsidR="00C240AD" w:rsidRDefault="00A55B45">
            <w:r>
              <w:t xml:space="preserve">Prevalence of anemia </w:t>
            </w:r>
          </w:p>
        </w:tc>
        <w:tc>
          <w:tcPr>
            <w:tcW w:w="3117" w:type="dxa"/>
          </w:tcPr>
          <w:p w14:paraId="1DFA2635" w14:textId="54400964" w:rsidR="00C240AD" w:rsidRDefault="0031799E">
            <w:r>
              <w:t>56%</w:t>
            </w:r>
            <w:r>
              <w:tab/>
            </w:r>
          </w:p>
        </w:tc>
        <w:tc>
          <w:tcPr>
            <w:tcW w:w="3117" w:type="dxa"/>
          </w:tcPr>
          <w:p w14:paraId="209876EE" w14:textId="462E776B" w:rsidR="00C240AD" w:rsidRDefault="0031799E">
            <w:r>
              <w:t>Mirrors NFHS-5 trends; validates findings</w:t>
            </w:r>
          </w:p>
        </w:tc>
      </w:tr>
      <w:tr w:rsidR="00C240AD" w14:paraId="4B3822E3" w14:textId="77777777" w:rsidTr="00C240AD">
        <w:tc>
          <w:tcPr>
            <w:tcW w:w="3116" w:type="dxa"/>
          </w:tcPr>
          <w:p w14:paraId="5A26DA93" w14:textId="43591190" w:rsidR="00C240AD" w:rsidRDefault="00A55B45">
            <w:r>
              <w:t xml:space="preserve">Girls disproportionately affected </w:t>
            </w:r>
          </w:p>
        </w:tc>
        <w:tc>
          <w:tcPr>
            <w:tcW w:w="3117" w:type="dxa"/>
          </w:tcPr>
          <w:p w14:paraId="1F9C1C9C" w14:textId="7F85C82B" w:rsidR="00C240AD" w:rsidRDefault="0031799E">
            <w:r>
              <w:t>68%</w:t>
            </w:r>
          </w:p>
        </w:tc>
        <w:tc>
          <w:tcPr>
            <w:tcW w:w="3117" w:type="dxa"/>
          </w:tcPr>
          <w:p w14:paraId="43025308" w14:textId="6E8B720A" w:rsidR="00C240AD" w:rsidRDefault="00A27114">
            <w:r>
              <w:t>Gender-sensitive interventions needed</w:t>
            </w:r>
          </w:p>
        </w:tc>
      </w:tr>
      <w:tr w:rsidR="00A55B45" w14:paraId="6BA4CC84" w14:textId="77777777" w:rsidTr="00C240AD">
        <w:tc>
          <w:tcPr>
            <w:tcW w:w="3116" w:type="dxa"/>
          </w:tcPr>
          <w:p w14:paraId="75D64D34" w14:textId="026F990D" w:rsidR="00A55B45" w:rsidRDefault="0031799E">
            <w:r>
              <w:t>Awareness of AMBA only</w:t>
            </w:r>
          </w:p>
        </w:tc>
        <w:tc>
          <w:tcPr>
            <w:tcW w:w="3117" w:type="dxa"/>
          </w:tcPr>
          <w:p w14:paraId="395CB303" w14:textId="0FBD7B27" w:rsidR="00A55B45" w:rsidRDefault="0031799E">
            <w:r>
              <w:t>41%</w:t>
            </w:r>
          </w:p>
        </w:tc>
        <w:tc>
          <w:tcPr>
            <w:tcW w:w="3117" w:type="dxa"/>
          </w:tcPr>
          <w:p w14:paraId="344C3BF4" w14:textId="215966BC" w:rsidR="00A27114" w:rsidRDefault="00A27114">
            <w:r>
              <w:t>Information gap despite 5 years of program</w:t>
            </w:r>
          </w:p>
        </w:tc>
      </w:tr>
    </w:tbl>
    <w:p w14:paraId="51D67BF9" w14:textId="77777777" w:rsidR="00C240AD" w:rsidRDefault="00C240AD"/>
    <w:p w14:paraId="4F743EDF" w14:textId="77777777" w:rsidR="004A3152" w:rsidRDefault="004A3152">
      <w:r>
        <w:t>Main barriers were supply &amp; social issues</w:t>
      </w:r>
      <w:r>
        <w:tab/>
        <w:t>Implementation and awareness &gt; biomedical factors</w:t>
      </w:r>
    </w:p>
    <w:p w14:paraId="5F7AB902" w14:textId="09A4881A" w:rsidR="004A3152" w:rsidRDefault="004A3152">
      <w:r>
        <w:t>Adolescents willing if supported</w:t>
      </w:r>
      <w:r>
        <w:tab/>
        <w:t>Role of parents, teachers, peers crucial</w:t>
      </w:r>
    </w:p>
    <w:p w14:paraId="24F70EDE" w14:textId="79453B20" w:rsidR="004A3152" w:rsidRDefault="004A3152">
      <w:r>
        <w:t>The findings highlight that anemia is not just a biomedical issue, but a social and programmatic challenge. Addressing awareness, stigma, and supply gaps is as important as providing supplements.</w:t>
      </w:r>
    </w:p>
    <w:p w14:paraId="35022C2C" w14:textId="77777777" w:rsidR="004A3152" w:rsidRDefault="004A3152"/>
    <w:p w14:paraId="484A5112" w14:textId="77777777" w:rsidR="004A3152" w:rsidRDefault="004A3152"/>
    <w:p w14:paraId="4FDDF0BF" w14:textId="46FF3B7E" w:rsidR="006E2276" w:rsidRDefault="006E2276" w:rsidP="00CC0606">
      <w:pPr>
        <w:pStyle w:val="ListParagraph"/>
        <w:numPr>
          <w:ilvl w:val="0"/>
          <w:numId w:val="2"/>
        </w:numPr>
      </w:pPr>
      <w:r>
        <w:t>Discussion</w:t>
      </w:r>
    </w:p>
    <w:p w14:paraId="1E1BFA7D" w14:textId="7595AFC8" w:rsidR="006E2276" w:rsidRDefault="006E2276">
      <w:r>
        <w:lastRenderedPageBreak/>
        <w:t>The present study highlights the continuing challenge of adolescent anemia in India, despite targeted interventions under the Anemia Mukt Bharat Abhiyan (AMBA). The prevalence of 56% in the study area is in line with national data from NFHS-5 (2019–21), which reported that 59% of adolescent girls and 31% of boys were anemic. This close alignment strengthens the reliability of our findings and reflects the persistence of anemia as a widespread public health issue.</w:t>
      </w:r>
    </w:p>
    <w:p w14:paraId="71BEF2E7" w14:textId="3D4E42F3" w:rsidR="006E2276" w:rsidRDefault="006E2276" w:rsidP="00CC0606">
      <w:pPr>
        <w:pStyle w:val="ListParagraph"/>
        <w:numPr>
          <w:ilvl w:val="1"/>
          <w:numId w:val="2"/>
        </w:numPr>
      </w:pPr>
      <w:r>
        <w:t>Gender Disparities</w:t>
      </w:r>
    </w:p>
    <w:p w14:paraId="7B649259" w14:textId="497286D8" w:rsidR="006E2276" w:rsidRDefault="006E2276">
      <w:r>
        <w:t xml:space="preserve">A striking observation is the higher burden among girls (68%) compared to boys (44%). This disparity is explained by both biological factors (such as menstruation and increased iron requirements) and socio-cultural determinants, including gender-biased dietary practices. Previous studies in India (Agarwal et al., 2018; Pasricha et al., 2020) have emphasized that girls are often the last to receive nutrient-rich foods in households with limited resources. This study reaffirms the need for gender-sensitive strategies, such as prioritizing iron supplementation and </w:t>
      </w:r>
      <w:proofErr w:type="spellStart"/>
      <w:r>
        <w:t>counseling</w:t>
      </w:r>
      <w:proofErr w:type="spellEnd"/>
      <w:r>
        <w:t xml:space="preserve"> for adolescent girls.</w:t>
      </w:r>
    </w:p>
    <w:p w14:paraId="69BBF605" w14:textId="2612C8E6" w:rsidR="006E2276" w:rsidRDefault="006E2276" w:rsidP="00CC0606">
      <w:pPr>
        <w:pStyle w:val="ListParagraph"/>
        <w:numPr>
          <w:ilvl w:val="1"/>
          <w:numId w:val="2"/>
        </w:numPr>
      </w:pPr>
      <w:r>
        <w:t xml:space="preserve">Awareness and </w:t>
      </w:r>
      <w:proofErr w:type="spellStart"/>
      <w:r>
        <w:t>Behavioral</w:t>
      </w:r>
      <w:proofErr w:type="spellEnd"/>
      <w:r>
        <w:t xml:space="preserve"> Barriers</w:t>
      </w:r>
    </w:p>
    <w:p w14:paraId="4B2EE977" w14:textId="4D8CDDF3" w:rsidR="006E2276" w:rsidRDefault="006E2276">
      <w:r>
        <w:t>Despite AMBA’s multi-pronged design, awareness among adolescents was found to be only 41%, with most recognizing IFA supplementation but not other components like deworming or dietary diversification. This low level of awareness reduces program uptake and highlights communication gaps between health workers, schools, and adolescents</w:t>
      </w:r>
      <w:r w:rsidR="004278EA">
        <w:t>.</w:t>
      </w:r>
    </w:p>
    <w:p w14:paraId="1A7988A3" w14:textId="73793936" w:rsidR="006E2276" w:rsidRDefault="006E2276">
      <w:r>
        <w:t xml:space="preserve">Furthermore, stigma around IFA tablets, especially among boys, reflects a </w:t>
      </w:r>
      <w:proofErr w:type="spellStart"/>
      <w:r>
        <w:t>behavioral</w:t>
      </w:r>
      <w:proofErr w:type="spellEnd"/>
      <w:r>
        <w:t xml:space="preserve"> challenge not often addressed in program design. Misconceptions that supplements are “for weak people” discourage compliance. International studies (WHO, 2021; UNICEF, 2022) also stress that </w:t>
      </w:r>
      <w:proofErr w:type="spellStart"/>
      <w:r>
        <w:t>behavior</w:t>
      </w:r>
      <w:proofErr w:type="spellEnd"/>
      <w:r>
        <w:t xml:space="preserve"> change communication is as crucial as supplementation itself.</w:t>
      </w:r>
    </w:p>
    <w:p w14:paraId="75ECD7D2" w14:textId="3121E37A" w:rsidR="006E2276" w:rsidRDefault="006E2276" w:rsidP="004278EA">
      <w:pPr>
        <w:pStyle w:val="ListParagraph"/>
        <w:numPr>
          <w:ilvl w:val="1"/>
          <w:numId w:val="3"/>
        </w:numPr>
      </w:pPr>
      <w:r>
        <w:t>Programmatic Challenges</w:t>
      </w:r>
    </w:p>
    <w:p w14:paraId="700BEBD4" w14:textId="2CFD4CF1" w:rsidR="006E2276" w:rsidRDefault="006E2276">
      <w:r>
        <w:t xml:space="preserve">The findings also underline systemic implementation barriers: irregular supply chains, poor </w:t>
      </w:r>
      <w:proofErr w:type="spellStart"/>
      <w:r>
        <w:t>counseling</w:t>
      </w:r>
      <w:proofErr w:type="spellEnd"/>
      <w:r>
        <w:t>, and minimal monitoring. Adolescents frequently reported that IFA tablets were distributed only occasionally, and side effects like nausea discouraged consumption. This suggests that the issue lies less in policy design and more in operational gaps at the grassroots level.</w:t>
      </w:r>
    </w:p>
    <w:p w14:paraId="0D76A115" w14:textId="13F1A6C5" w:rsidR="006E2276" w:rsidRDefault="006E2276">
      <w:r>
        <w:t>Teachers and frontline workers, already burdened with multiple tasks, often lacked time and resources to ensure follow-up. This weakens the “last-mile delivery” of AMBA interventions</w:t>
      </w:r>
      <w:r w:rsidR="004278EA">
        <w:t>.</w:t>
      </w:r>
    </w:p>
    <w:p w14:paraId="110FAFB7" w14:textId="6BF942F2" w:rsidR="006E2276" w:rsidRDefault="006E2276" w:rsidP="004278EA">
      <w:pPr>
        <w:pStyle w:val="ListParagraph"/>
        <w:numPr>
          <w:ilvl w:val="1"/>
          <w:numId w:val="3"/>
        </w:numPr>
      </w:pPr>
      <w:r>
        <w:t>Socio-Economic Determinants</w:t>
      </w:r>
    </w:p>
    <w:p w14:paraId="791B8493" w14:textId="4DB81AC6" w:rsidR="006E2276" w:rsidRDefault="006E2276">
      <w:r>
        <w:lastRenderedPageBreak/>
        <w:t>The association between income and anemia prevalence underscores the role of food insecurity and limited dietary diversity. Lower-income households often depend on cereal-heavy diets, with limited access to iron-rich foods like pulses, green leafy vegetables, or fortified products. This aligns with global evidence from low- and middle-income countries (LMICs), where poverty and malnutrition strongly correlate with anemia prevalence (FAO, 2021).</w:t>
      </w:r>
    </w:p>
    <w:p w14:paraId="681E6314" w14:textId="46DF373D" w:rsidR="006E2276" w:rsidRDefault="006E2276">
      <w:r>
        <w:t>School attendance also influenced awareness and intervention coverage. Out-of-school adolescents were both less informed and less likely to receive supplements, highlighting the school platform as a critical channel for reaching this age group</w:t>
      </w:r>
      <w:r w:rsidR="004278EA">
        <w:t>.</w:t>
      </w:r>
    </w:p>
    <w:p w14:paraId="5BCF4A5C" w14:textId="5C3465F9" w:rsidR="006E2276" w:rsidRDefault="006E2276" w:rsidP="003F3FDB">
      <w:pPr>
        <w:pStyle w:val="ListParagraph"/>
        <w:numPr>
          <w:ilvl w:val="1"/>
          <w:numId w:val="3"/>
        </w:numPr>
      </w:pPr>
      <w:r>
        <w:t>Implications for AMB</w:t>
      </w:r>
      <w:r w:rsidR="004278EA">
        <w:t xml:space="preserve">A </w:t>
      </w:r>
    </w:p>
    <w:p w14:paraId="3EB7DD3C" w14:textId="29BFBC37" w:rsidR="006E2276" w:rsidRDefault="006E2276">
      <w:r>
        <w:t>The findings suggest that while AMBA’s framework is comprehensive, its impact is constrained by weak implementation and lack of adolescent engagement. Awareness campaigns need to move beyond information-sharing to active involvement of adolescents, parents, and teachers. Peer-led models, proven effective in health promotion, could reduce stigma and improve adherence.</w:t>
      </w:r>
    </w:p>
    <w:p w14:paraId="539D0EA2" w14:textId="468AA1BB" w:rsidR="006E2276" w:rsidRDefault="006E2276">
      <w:r>
        <w:t>Moreover, addressing supply-side challenges—ensuring consistent distribution of IFA and deworming tablets—must be a priority. Integration of technology for supply tracking and adolescent follow-up could strengthen monitoring</w:t>
      </w:r>
      <w:r w:rsidR="004278EA">
        <w:t>.</w:t>
      </w:r>
    </w:p>
    <w:p w14:paraId="05439EE6" w14:textId="223E419D" w:rsidR="006E2276" w:rsidRDefault="006E2276" w:rsidP="003F3FDB">
      <w:pPr>
        <w:pStyle w:val="ListParagraph"/>
        <w:numPr>
          <w:ilvl w:val="1"/>
          <w:numId w:val="3"/>
        </w:numPr>
      </w:pPr>
      <w:r>
        <w:t>Comparison with Global Evidence</w:t>
      </w:r>
    </w:p>
    <w:p w14:paraId="2B9464E0" w14:textId="4202677E" w:rsidR="006E2276" w:rsidRDefault="006E2276">
      <w:r>
        <w:t>Globally, anemia in adolescents remains a challenge. According to WHO (2021), nearly 30% of adolescent girls worldwide are anemic, with the highest burden in South Asia and sub-Saharan Africa. India’s rates are therefore among the highest globally, demanding urgent action. Successful international strategies, such as fortification of staple foods (flour, salt) in countries like Nepal and Sri Lanka, show promising results and could complement AMBA’s existing approach.</w:t>
      </w:r>
    </w:p>
    <w:p w14:paraId="3D7891B1" w14:textId="01B46761" w:rsidR="006E2276" w:rsidRDefault="006E2276" w:rsidP="004278EA">
      <w:pPr>
        <w:pStyle w:val="ListParagraph"/>
        <w:numPr>
          <w:ilvl w:val="1"/>
          <w:numId w:val="3"/>
        </w:numPr>
      </w:pPr>
      <w:r>
        <w:t>Summary</w:t>
      </w:r>
    </w:p>
    <w:p w14:paraId="6443FD65" w14:textId="5B9BC0CA" w:rsidR="00610339" w:rsidRDefault="006E2276">
      <w:r>
        <w:t xml:space="preserve">In summary, the study underscores that anemia in adolescents is not merely a nutritional issue but a complex interplay of biological, socio-economic, cultural, and programmatic factors. The high prevalence, coupled with low awareness and poor compliance, calls for strengthening AMBA through supply consistency, gender-sensitive approaches, </w:t>
      </w:r>
      <w:proofErr w:type="spellStart"/>
      <w:r>
        <w:t>behavior</w:t>
      </w:r>
      <w:proofErr w:type="spellEnd"/>
      <w:r>
        <w:t xml:space="preserve"> change communication, and community participation.</w:t>
      </w:r>
    </w:p>
    <w:p w14:paraId="4C8A854C" w14:textId="2BA67C6D" w:rsidR="00610339" w:rsidRDefault="00610339" w:rsidP="00532BD1">
      <w:pPr>
        <w:pStyle w:val="ListParagraph"/>
        <w:numPr>
          <w:ilvl w:val="0"/>
          <w:numId w:val="3"/>
        </w:numPr>
      </w:pPr>
      <w:r>
        <w:t>Conclusion</w:t>
      </w:r>
    </w:p>
    <w:p w14:paraId="265A8784" w14:textId="1CD836F4" w:rsidR="00610339" w:rsidRDefault="00610339">
      <w:r>
        <w:t xml:space="preserve">The present study reaffirms that anemia among adolescents remains a serious public health challenge in India, despite the introduction of the Anemia Mukt Bharat Abhiyan (AMBA). With a </w:t>
      </w:r>
      <w:r>
        <w:lastRenderedPageBreak/>
        <w:t>prevalence of 56%, and disproportionately higher rates among girls (68%) compared to boys (44%), the findings underscore that anemia is not only common but also deeply gendered.</w:t>
      </w:r>
    </w:p>
    <w:p w14:paraId="786E87A4" w14:textId="194F487C" w:rsidR="00610339" w:rsidRDefault="00610339">
      <w:r>
        <w:t xml:space="preserve">The results reveal that awareness of AMBA interventions is low, with less than half of adolescents familiar with the program, and only one in four reporting regular IFA tablet consumption. Even when interventions are available, issues such as irregular supply, poor </w:t>
      </w:r>
      <w:proofErr w:type="spellStart"/>
      <w:r>
        <w:t>counseling</w:t>
      </w:r>
      <w:proofErr w:type="spellEnd"/>
      <w:r>
        <w:t>, side effects, stigma, and lack of parental support hinder effective implementation. These findings highlight that the problem is not limited to biological vulnerability but is also shaped by socio-economic conditions, cultural norms, and programmatic inefficiencies.</w:t>
      </w:r>
    </w:p>
    <w:p w14:paraId="6BF6BD55" w14:textId="05EA3535" w:rsidR="00610339" w:rsidRDefault="00610339">
      <w:r>
        <w:t>Adolescents from low-income households and those out of school were found to be particularly vulnerable, reflecting the interplay of poverty, food insecurity, and limited access to health services. Thus, the school platform emerges as a critical setting for health interventions, but one that needs stronger support systems and monitoring.</w:t>
      </w:r>
    </w:p>
    <w:p w14:paraId="3639AB1F" w14:textId="70A27804" w:rsidR="00610339" w:rsidRDefault="00610339">
      <w:r>
        <w:t xml:space="preserve">From a broader perspective, the study shows that India’s challenge is consistent with global evidence from South Asia and other low- and middle-income countries, where adolescent anemia rates remain among the highest. However, examples from </w:t>
      </w:r>
      <w:proofErr w:type="spellStart"/>
      <w:r>
        <w:t>neighboring</w:t>
      </w:r>
      <w:proofErr w:type="spellEnd"/>
      <w:r>
        <w:t xml:space="preserve"> countries, where fortification and strong community engagement have yielded positive results, demonstrate that progress is possible.</w:t>
      </w:r>
    </w:p>
    <w:p w14:paraId="43C968C2" w14:textId="0263704C" w:rsidR="00610339" w:rsidRDefault="00610339">
      <w:r>
        <w:t xml:space="preserve">The implications are clear: while AMBA is a well-conceptualized program, its true potential is undermined by gaps in last-mile delivery, communication, and adolescent engagement. To achieve meaningful reductions in anemia, the focus must shift from policy design to operational efficiency, with greater attention to gender sensitivity, </w:t>
      </w:r>
      <w:proofErr w:type="spellStart"/>
      <w:r>
        <w:t>behavior</w:t>
      </w:r>
      <w:proofErr w:type="spellEnd"/>
      <w:r>
        <w:t xml:space="preserve"> change strategies, and community involvement.</w:t>
      </w:r>
    </w:p>
    <w:p w14:paraId="20C4A721" w14:textId="77777777" w:rsidR="00610339" w:rsidRDefault="00610339">
      <w:r>
        <w:t>In conclusion, anemia in adolescents is more than a medical concern—it is a marker of social inequity, food insecurity, and health system performance. Combating it requires a multi-dimensional response: strengthening AMBA implementation, ensuring consistent supply chains, addressing stigma through education, and promoting dietary diversification. Only then can India move closer to achieving its goal of an “Anemia Mukt Bharat” and ensure healthier futures for its adolescent population.</w:t>
      </w:r>
    </w:p>
    <w:p w14:paraId="1FF76905" w14:textId="006FA006" w:rsidR="00610339" w:rsidRDefault="00610339"/>
    <w:p w14:paraId="537E3697" w14:textId="5D93DB35" w:rsidR="007741CB" w:rsidRDefault="007741CB" w:rsidP="00D32B39">
      <w:pPr>
        <w:pStyle w:val="ListParagraph"/>
        <w:numPr>
          <w:ilvl w:val="0"/>
          <w:numId w:val="3"/>
        </w:numPr>
      </w:pPr>
      <w:proofErr w:type="gramStart"/>
      <w:r>
        <w:t>References :</w:t>
      </w:r>
      <w:proofErr w:type="gramEnd"/>
      <w:r>
        <w:t xml:space="preserve"> </w:t>
      </w:r>
    </w:p>
    <w:p w14:paraId="43D4D70A" w14:textId="1F1EF212" w:rsidR="007741CB" w:rsidRDefault="007741CB" w:rsidP="00505342">
      <w:pPr>
        <w:pStyle w:val="ListParagraph"/>
        <w:numPr>
          <w:ilvl w:val="0"/>
          <w:numId w:val="6"/>
        </w:numPr>
      </w:pPr>
      <w:r>
        <w:t>Ministry of Health and Family Welfare. Anemia Mukt Bharat: Intensified National Iron Plus Initiative (I-NIPI). Govt. of India, 2018.</w:t>
      </w:r>
    </w:p>
    <w:p w14:paraId="5E579825" w14:textId="0F973ED9" w:rsidR="007741CB" w:rsidRDefault="007741CB" w:rsidP="00505342">
      <w:pPr>
        <w:pStyle w:val="ListParagraph"/>
        <w:numPr>
          <w:ilvl w:val="0"/>
          <w:numId w:val="6"/>
        </w:numPr>
      </w:pPr>
      <w:r>
        <w:t>International Institute for Population Sciences (IIPS). NFHS-5, 2019–21. Mumbai: IIPS, 2021.</w:t>
      </w:r>
    </w:p>
    <w:p w14:paraId="5429C927" w14:textId="0F8DA30C" w:rsidR="007741CB" w:rsidRDefault="007741CB" w:rsidP="00505342">
      <w:pPr>
        <w:pStyle w:val="ListParagraph"/>
        <w:numPr>
          <w:ilvl w:val="0"/>
          <w:numId w:val="6"/>
        </w:numPr>
      </w:pPr>
      <w:r>
        <w:t>World Health Organization. Global Anaemia Estimates, 2021. Geneva: WHO, 2022</w:t>
      </w:r>
      <w:r w:rsidR="00505342">
        <w:t>.</w:t>
      </w:r>
    </w:p>
    <w:p w14:paraId="1C779967" w14:textId="7D1B96A3" w:rsidR="007741CB" w:rsidRDefault="007741CB" w:rsidP="00505342">
      <w:pPr>
        <w:pStyle w:val="ListParagraph"/>
        <w:numPr>
          <w:ilvl w:val="0"/>
          <w:numId w:val="6"/>
        </w:numPr>
      </w:pPr>
      <w:r>
        <w:lastRenderedPageBreak/>
        <w:t>UNICEF. Adolescent Nutrition: Global Report 2022. New York: UNICEF, 2022.</w:t>
      </w:r>
    </w:p>
    <w:p w14:paraId="6E3E5EA3" w14:textId="1A82C9DF" w:rsidR="007741CB" w:rsidRDefault="007741CB" w:rsidP="00505342">
      <w:pPr>
        <w:pStyle w:val="ListParagraph"/>
        <w:numPr>
          <w:ilvl w:val="0"/>
          <w:numId w:val="6"/>
        </w:numPr>
      </w:pPr>
      <w:r>
        <w:t>Gupta, A., Sharma, R., &amp; Bhatia, P. (2022). Adolescent anemia in India: prevalence and interventions. Journal of Public Health, 45(1), 23–30.</w:t>
      </w:r>
    </w:p>
    <w:p w14:paraId="4024D9EE" w14:textId="3E896FD2" w:rsidR="007741CB" w:rsidRDefault="007741CB" w:rsidP="00505342">
      <w:pPr>
        <w:pStyle w:val="ListParagraph"/>
        <w:numPr>
          <w:ilvl w:val="0"/>
          <w:numId w:val="6"/>
        </w:numPr>
      </w:pPr>
      <w:r>
        <w:t>Patel, R., Singh, D., &amp; Chauhan, S. (2021). Barriers to iron-folic acid compliance among adolescents: evidence from northern India. Indian Journal of Community Medicine, 46(3), 410–417.</w:t>
      </w:r>
    </w:p>
    <w:p w14:paraId="298D3876" w14:textId="6E14FAE5" w:rsidR="007741CB" w:rsidRDefault="007741CB" w:rsidP="00505342">
      <w:pPr>
        <w:pStyle w:val="ListParagraph"/>
        <w:numPr>
          <w:ilvl w:val="0"/>
          <w:numId w:val="6"/>
        </w:numPr>
      </w:pPr>
      <w:r>
        <w:t>Kassebaum, N. J. (2016). The global burden of anemia. The Lancet Haematology, 3(10), e438–e447.</w:t>
      </w:r>
    </w:p>
    <w:p w14:paraId="2715B806" w14:textId="09EFEF05" w:rsidR="007741CB" w:rsidRDefault="007741CB" w:rsidP="00505342">
      <w:pPr>
        <w:pStyle w:val="ListParagraph"/>
        <w:numPr>
          <w:ilvl w:val="0"/>
          <w:numId w:val="6"/>
        </w:numPr>
      </w:pPr>
      <w:r>
        <w:t>Bansal, A., et al. (2020). Awareness and utilization of IFA supplementation among adolescents under AMB. Indian Journal of Public Health Research, 11(6), 120–126.</w:t>
      </w:r>
    </w:p>
    <w:p w14:paraId="77610CCB" w14:textId="191F0A01" w:rsidR="007741CB" w:rsidRDefault="007741CB" w:rsidP="00505342">
      <w:pPr>
        <w:pStyle w:val="ListParagraph"/>
        <w:numPr>
          <w:ilvl w:val="0"/>
          <w:numId w:val="6"/>
        </w:numPr>
      </w:pPr>
      <w:r>
        <w:t>NITI Aayog. State of Nutrition in India Report. Govt. of India, 2022.</w:t>
      </w:r>
    </w:p>
    <w:p w14:paraId="3CF69458" w14:textId="3B3B1865" w:rsidR="007741CB" w:rsidRDefault="007741CB" w:rsidP="00505342">
      <w:pPr>
        <w:pStyle w:val="ListParagraph"/>
        <w:numPr>
          <w:ilvl w:val="0"/>
          <w:numId w:val="6"/>
        </w:numPr>
      </w:pPr>
      <w:r>
        <w:t>Singh, P., &amp; Kaur, H. (2021). Cultural determinants of dietary practices among adolescent girls. Social Science &amp; Medicine, 280, 114–124.</w:t>
      </w:r>
    </w:p>
    <w:p w14:paraId="2412042D" w14:textId="7F813F2E" w:rsidR="007741CB" w:rsidRDefault="007741CB" w:rsidP="00505342">
      <w:pPr>
        <w:pStyle w:val="ListParagraph"/>
        <w:numPr>
          <w:ilvl w:val="0"/>
          <w:numId w:val="6"/>
        </w:numPr>
      </w:pPr>
      <w:r>
        <w:t>Ministry of Health and Family Welfare. Anemia Mukt Bharat Strategy Document. Government of India, 2018.</w:t>
      </w:r>
    </w:p>
    <w:p w14:paraId="7403C8CE" w14:textId="71DADBB4" w:rsidR="007741CB" w:rsidRDefault="007741CB" w:rsidP="007741CB">
      <w:pPr>
        <w:pStyle w:val="ListParagraph"/>
        <w:numPr>
          <w:ilvl w:val="0"/>
          <w:numId w:val="6"/>
        </w:numPr>
      </w:pPr>
      <w:r>
        <w:t>WHO. Iron Deficiency Anaemia: Assessment, Prevention and Control. 2001.</w:t>
      </w:r>
    </w:p>
    <w:p w14:paraId="503B88C3" w14:textId="77777777" w:rsidR="007741CB" w:rsidRDefault="007741CB">
      <w:r>
        <w:t xml:space="preserve">       13.NFHS-5 (2019-21). National Family Health Survey. International Institute for Population Sciences (IIPS), Mumbai.</w:t>
      </w:r>
    </w:p>
    <w:p w14:paraId="220D7936" w14:textId="37B5C559" w:rsidR="007741CB" w:rsidRDefault="007741CB" w:rsidP="00505342">
      <w:pPr>
        <w:pStyle w:val="ListParagraph"/>
        <w:numPr>
          <w:ilvl w:val="0"/>
          <w:numId w:val="7"/>
        </w:numPr>
      </w:pPr>
      <w:r>
        <w:t>Gupta A, et al. (2022). Adolescent anemia in India: prevalence and interventions. Journal of Public Health, 45(1), 23–30.</w:t>
      </w:r>
    </w:p>
    <w:p w14:paraId="79EFE375" w14:textId="77777777" w:rsidR="007741CB" w:rsidRDefault="007741CB"/>
    <w:p w14:paraId="02F5ED5A" w14:textId="77777777" w:rsidR="007741CB" w:rsidRDefault="007741CB"/>
    <w:p w14:paraId="2F9F541D" w14:textId="77777777" w:rsidR="007741CB" w:rsidRDefault="007741CB"/>
    <w:p w14:paraId="0E6A9BC8" w14:textId="77777777" w:rsidR="007741CB" w:rsidRDefault="007741CB"/>
    <w:p w14:paraId="2AE6F776" w14:textId="77777777" w:rsidR="007741CB" w:rsidRDefault="007741CB"/>
    <w:p w14:paraId="79B03F5B" w14:textId="77777777" w:rsidR="007741CB" w:rsidRDefault="007741CB"/>
    <w:p w14:paraId="797B8FEC" w14:textId="77777777" w:rsidR="007741CB" w:rsidRDefault="007741CB"/>
    <w:p w14:paraId="144D5955" w14:textId="77777777" w:rsidR="007741CB" w:rsidRDefault="007741CB"/>
    <w:p w14:paraId="7668CA72" w14:textId="77777777" w:rsidR="007741CB" w:rsidRDefault="007741CB"/>
    <w:p w14:paraId="2D2B7CF0" w14:textId="77777777" w:rsidR="007741CB" w:rsidRDefault="007741CB"/>
    <w:p w14:paraId="7864D0E3" w14:textId="77777777" w:rsidR="007741CB" w:rsidRDefault="007741CB"/>
    <w:p w14:paraId="4EAE7C2A" w14:textId="77777777" w:rsidR="007741CB" w:rsidRDefault="007741CB"/>
    <w:p w14:paraId="16DE4016" w14:textId="77777777" w:rsidR="007741CB" w:rsidRDefault="007741CB"/>
    <w:p w14:paraId="674D43E3" w14:textId="77777777" w:rsidR="007741CB" w:rsidRDefault="007741CB"/>
    <w:p w14:paraId="1A3248A3" w14:textId="77777777" w:rsidR="007741CB" w:rsidRDefault="007741CB"/>
    <w:p w14:paraId="45948E57" w14:textId="77777777" w:rsidR="007741CB" w:rsidRDefault="007741CB"/>
    <w:p w14:paraId="532DEE59" w14:textId="77777777" w:rsidR="00610339" w:rsidRDefault="00610339"/>
    <w:p w14:paraId="148A12AD" w14:textId="77777777" w:rsidR="006E2276" w:rsidRDefault="006E2276"/>
    <w:p w14:paraId="7F6214B5" w14:textId="77777777" w:rsidR="00202DC0" w:rsidRDefault="00202DC0"/>
    <w:p w14:paraId="0DB5A947" w14:textId="77777777" w:rsidR="00EE6BEB" w:rsidRDefault="00EE6BEB"/>
    <w:p w14:paraId="6D1A9F78" w14:textId="77777777" w:rsidR="009A2ABD" w:rsidRDefault="009A2ABD"/>
    <w:p w14:paraId="38F1E810" w14:textId="77777777" w:rsidR="009A2ABD" w:rsidRDefault="009A2ABD"/>
    <w:p w14:paraId="33E54D7B" w14:textId="77777777" w:rsidR="00C97505" w:rsidRDefault="00C97505"/>
    <w:sectPr w:rsidR="00C975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F494F" w14:textId="77777777" w:rsidR="000A6DE6" w:rsidRDefault="000A6DE6" w:rsidP="00BD3000">
      <w:pPr>
        <w:spacing w:after="0" w:line="240" w:lineRule="auto"/>
      </w:pPr>
      <w:r>
        <w:separator/>
      </w:r>
    </w:p>
  </w:endnote>
  <w:endnote w:type="continuationSeparator" w:id="0">
    <w:p w14:paraId="1F99B982" w14:textId="77777777" w:rsidR="000A6DE6" w:rsidRDefault="000A6DE6" w:rsidP="00BD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9A29F" w14:textId="77777777" w:rsidR="00BD3000" w:rsidRDefault="00BD3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9C223" w14:textId="77777777" w:rsidR="00BD3000" w:rsidRDefault="00BD3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5D477" w14:textId="77777777" w:rsidR="00BD3000" w:rsidRDefault="00BD3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C58F9" w14:textId="77777777" w:rsidR="000A6DE6" w:rsidRDefault="000A6DE6" w:rsidP="00BD3000">
      <w:pPr>
        <w:spacing w:after="0" w:line="240" w:lineRule="auto"/>
      </w:pPr>
      <w:r>
        <w:separator/>
      </w:r>
    </w:p>
  </w:footnote>
  <w:footnote w:type="continuationSeparator" w:id="0">
    <w:p w14:paraId="105F7FD7" w14:textId="77777777" w:rsidR="000A6DE6" w:rsidRDefault="000A6DE6" w:rsidP="00BD3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736A2" w14:textId="554DE14E" w:rsidR="00BD3000" w:rsidRDefault="00BD3000">
    <w:pPr>
      <w:pStyle w:val="Header"/>
    </w:pPr>
    <w:r>
      <w:rPr>
        <w:noProof/>
      </w:rPr>
      <w:pict w14:anchorId="75EB0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163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EF023" w14:textId="25D905DA" w:rsidR="00BD3000" w:rsidRDefault="00BD3000">
    <w:pPr>
      <w:pStyle w:val="Header"/>
    </w:pPr>
    <w:r>
      <w:rPr>
        <w:noProof/>
      </w:rPr>
      <w:pict w14:anchorId="4A6BD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163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8445E" w14:textId="47DF5AA7" w:rsidR="00BD3000" w:rsidRDefault="00BD3000">
    <w:pPr>
      <w:pStyle w:val="Header"/>
    </w:pPr>
    <w:r>
      <w:rPr>
        <w:noProof/>
      </w:rPr>
      <w:pict w14:anchorId="79442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163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23A63"/>
    <w:multiLevelType w:val="hybridMultilevel"/>
    <w:tmpl w:val="FE8E556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A3E82"/>
    <w:multiLevelType w:val="multilevel"/>
    <w:tmpl w:val="FFFFFFFF"/>
    <w:lvl w:ilvl="0">
      <w:start w:val="3"/>
      <w:numFmt w:val="decimal"/>
      <w:lvlText w:val="%1"/>
      <w:lvlJc w:val="left"/>
      <w:pPr>
        <w:ind w:left="360" w:hanging="360"/>
      </w:pPr>
      <w:rPr>
        <w:rFonts w:hint="default"/>
      </w:rPr>
    </w:lvl>
    <w:lvl w:ilvl="1">
      <w:start w:val="4"/>
      <w:numFmt w:val="decimal"/>
      <w:lvlText w:val="%1.%2"/>
      <w:lvlJc w:val="left"/>
      <w:pPr>
        <w:ind w:left="1095" w:hanging="3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7680" w:hanging="1800"/>
      </w:pPr>
      <w:rPr>
        <w:rFonts w:hint="default"/>
      </w:rPr>
    </w:lvl>
  </w:abstractNum>
  <w:abstractNum w:abstractNumId="2" w15:restartNumberingAfterBreak="0">
    <w:nsid w:val="255326B2"/>
    <w:multiLevelType w:val="hybridMultilevel"/>
    <w:tmpl w:val="FD46EA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D5628"/>
    <w:multiLevelType w:val="hybridMultilevel"/>
    <w:tmpl w:val="F4D0540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C1A8E"/>
    <w:multiLevelType w:val="multilevel"/>
    <w:tmpl w:val="80C47A7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E25AA7"/>
    <w:multiLevelType w:val="multilevel"/>
    <w:tmpl w:val="4476E00C"/>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9E4E7F"/>
    <w:multiLevelType w:val="hybridMultilevel"/>
    <w:tmpl w:val="5164D0C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05D2C"/>
    <w:multiLevelType w:val="hybridMultilevel"/>
    <w:tmpl w:val="29342B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45806"/>
    <w:multiLevelType w:val="hybridMultilevel"/>
    <w:tmpl w:val="D2186A40"/>
    <w:lvl w:ilvl="0" w:tplc="FFFFFFF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B13DDA"/>
    <w:multiLevelType w:val="hybridMultilevel"/>
    <w:tmpl w:val="8F146B8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3"/>
  </w:num>
  <w:num w:numId="5">
    <w:abstractNumId w:val="6"/>
  </w:num>
  <w:num w:numId="6">
    <w:abstractNumId w:val="2"/>
  </w:num>
  <w:num w:numId="7">
    <w:abstractNumId w:val="8"/>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05"/>
    <w:rsid w:val="000141D5"/>
    <w:rsid w:val="00076425"/>
    <w:rsid w:val="000A6DE6"/>
    <w:rsid w:val="00100A10"/>
    <w:rsid w:val="00190153"/>
    <w:rsid w:val="001E17BE"/>
    <w:rsid w:val="001E1EED"/>
    <w:rsid w:val="001F61FB"/>
    <w:rsid w:val="00202DC0"/>
    <w:rsid w:val="002468D8"/>
    <w:rsid w:val="002A0D84"/>
    <w:rsid w:val="002B06B5"/>
    <w:rsid w:val="002B2075"/>
    <w:rsid w:val="002E1896"/>
    <w:rsid w:val="002F7AD1"/>
    <w:rsid w:val="003068B1"/>
    <w:rsid w:val="00307E22"/>
    <w:rsid w:val="003110DD"/>
    <w:rsid w:val="00313608"/>
    <w:rsid w:val="0031799E"/>
    <w:rsid w:val="00395957"/>
    <w:rsid w:val="00396E67"/>
    <w:rsid w:val="003D2167"/>
    <w:rsid w:val="003F3FDB"/>
    <w:rsid w:val="004007DA"/>
    <w:rsid w:val="004026DD"/>
    <w:rsid w:val="004278EA"/>
    <w:rsid w:val="00457CF0"/>
    <w:rsid w:val="004A3152"/>
    <w:rsid w:val="004B75DC"/>
    <w:rsid w:val="004B7FBC"/>
    <w:rsid w:val="004C4EB4"/>
    <w:rsid w:val="00502E9D"/>
    <w:rsid w:val="00505342"/>
    <w:rsid w:val="00514B79"/>
    <w:rsid w:val="00532BD1"/>
    <w:rsid w:val="0053726E"/>
    <w:rsid w:val="0055656C"/>
    <w:rsid w:val="005C23CC"/>
    <w:rsid w:val="005C5D08"/>
    <w:rsid w:val="005C6B2B"/>
    <w:rsid w:val="005E7820"/>
    <w:rsid w:val="00610339"/>
    <w:rsid w:val="00652694"/>
    <w:rsid w:val="006A2658"/>
    <w:rsid w:val="006E2276"/>
    <w:rsid w:val="00733291"/>
    <w:rsid w:val="00743B35"/>
    <w:rsid w:val="00747B91"/>
    <w:rsid w:val="00756B51"/>
    <w:rsid w:val="007741CB"/>
    <w:rsid w:val="007A5845"/>
    <w:rsid w:val="007D16EC"/>
    <w:rsid w:val="007F2FE3"/>
    <w:rsid w:val="008020B9"/>
    <w:rsid w:val="00805D92"/>
    <w:rsid w:val="0086530E"/>
    <w:rsid w:val="00875C2A"/>
    <w:rsid w:val="008D30A1"/>
    <w:rsid w:val="00917EEB"/>
    <w:rsid w:val="0094230B"/>
    <w:rsid w:val="0094722A"/>
    <w:rsid w:val="00955B69"/>
    <w:rsid w:val="00956A0A"/>
    <w:rsid w:val="009A2ABD"/>
    <w:rsid w:val="009C327A"/>
    <w:rsid w:val="00A27114"/>
    <w:rsid w:val="00A55B45"/>
    <w:rsid w:val="00A62235"/>
    <w:rsid w:val="00A6413B"/>
    <w:rsid w:val="00AA1018"/>
    <w:rsid w:val="00B041A1"/>
    <w:rsid w:val="00B730B2"/>
    <w:rsid w:val="00B76938"/>
    <w:rsid w:val="00B9474E"/>
    <w:rsid w:val="00BD3000"/>
    <w:rsid w:val="00BD4450"/>
    <w:rsid w:val="00BE60B2"/>
    <w:rsid w:val="00C21E98"/>
    <w:rsid w:val="00C240AD"/>
    <w:rsid w:val="00C37B0B"/>
    <w:rsid w:val="00C97505"/>
    <w:rsid w:val="00CC0606"/>
    <w:rsid w:val="00CD6A2A"/>
    <w:rsid w:val="00CE49DC"/>
    <w:rsid w:val="00CF2A95"/>
    <w:rsid w:val="00D15E6F"/>
    <w:rsid w:val="00D32B39"/>
    <w:rsid w:val="00D60FC8"/>
    <w:rsid w:val="00D67F04"/>
    <w:rsid w:val="00D97934"/>
    <w:rsid w:val="00DA1CC5"/>
    <w:rsid w:val="00DD00C2"/>
    <w:rsid w:val="00E60B07"/>
    <w:rsid w:val="00E75DBF"/>
    <w:rsid w:val="00ED1F68"/>
    <w:rsid w:val="00EE6BEB"/>
    <w:rsid w:val="00F43F55"/>
    <w:rsid w:val="00FA2BDE"/>
    <w:rsid w:val="00FC56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46F89"/>
  <w15:chartTrackingRefBased/>
  <w15:docId w15:val="{29BF7ECC-4C94-3B45-A2D2-D779B58F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505"/>
    <w:rPr>
      <w:rFonts w:eastAsiaTheme="majorEastAsia" w:cstheme="majorBidi"/>
      <w:color w:val="272727" w:themeColor="text1" w:themeTint="D8"/>
    </w:rPr>
  </w:style>
  <w:style w:type="paragraph" w:styleId="Title">
    <w:name w:val="Title"/>
    <w:basedOn w:val="Normal"/>
    <w:next w:val="Normal"/>
    <w:link w:val="TitleChar"/>
    <w:uiPriority w:val="10"/>
    <w:qFormat/>
    <w:rsid w:val="00C97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505"/>
    <w:pPr>
      <w:spacing w:before="160"/>
      <w:jc w:val="center"/>
    </w:pPr>
    <w:rPr>
      <w:i/>
      <w:iCs/>
      <w:color w:val="404040" w:themeColor="text1" w:themeTint="BF"/>
    </w:rPr>
  </w:style>
  <w:style w:type="character" w:customStyle="1" w:styleId="QuoteChar">
    <w:name w:val="Quote Char"/>
    <w:basedOn w:val="DefaultParagraphFont"/>
    <w:link w:val="Quote"/>
    <w:uiPriority w:val="29"/>
    <w:rsid w:val="00C97505"/>
    <w:rPr>
      <w:i/>
      <w:iCs/>
      <w:color w:val="404040" w:themeColor="text1" w:themeTint="BF"/>
    </w:rPr>
  </w:style>
  <w:style w:type="paragraph" w:styleId="ListParagraph">
    <w:name w:val="List Paragraph"/>
    <w:basedOn w:val="Normal"/>
    <w:uiPriority w:val="34"/>
    <w:qFormat/>
    <w:rsid w:val="00C97505"/>
    <w:pPr>
      <w:ind w:left="720"/>
      <w:contextualSpacing/>
    </w:pPr>
  </w:style>
  <w:style w:type="character" w:styleId="IntenseEmphasis">
    <w:name w:val="Intense Emphasis"/>
    <w:basedOn w:val="DefaultParagraphFont"/>
    <w:uiPriority w:val="21"/>
    <w:qFormat/>
    <w:rsid w:val="00C97505"/>
    <w:rPr>
      <w:i/>
      <w:iCs/>
      <w:color w:val="0F4761" w:themeColor="accent1" w:themeShade="BF"/>
    </w:rPr>
  </w:style>
  <w:style w:type="paragraph" w:styleId="IntenseQuote">
    <w:name w:val="Intense Quote"/>
    <w:basedOn w:val="Normal"/>
    <w:next w:val="Normal"/>
    <w:link w:val="IntenseQuoteChar"/>
    <w:uiPriority w:val="30"/>
    <w:qFormat/>
    <w:rsid w:val="00C97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505"/>
    <w:rPr>
      <w:i/>
      <w:iCs/>
      <w:color w:val="0F4761" w:themeColor="accent1" w:themeShade="BF"/>
    </w:rPr>
  </w:style>
  <w:style w:type="character" w:styleId="IntenseReference">
    <w:name w:val="Intense Reference"/>
    <w:basedOn w:val="DefaultParagraphFont"/>
    <w:uiPriority w:val="32"/>
    <w:qFormat/>
    <w:rsid w:val="00C97505"/>
    <w:rPr>
      <w:b/>
      <w:bCs/>
      <w:smallCaps/>
      <w:color w:val="0F4761" w:themeColor="accent1" w:themeShade="BF"/>
      <w:spacing w:val="5"/>
    </w:rPr>
  </w:style>
  <w:style w:type="table" w:styleId="TableGrid">
    <w:name w:val="Table Grid"/>
    <w:basedOn w:val="TableNormal"/>
    <w:uiPriority w:val="39"/>
    <w:rsid w:val="002B0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30B2"/>
    <w:rPr>
      <w:color w:val="467886" w:themeColor="hyperlink"/>
      <w:u w:val="single"/>
    </w:rPr>
  </w:style>
  <w:style w:type="character" w:styleId="UnresolvedMention">
    <w:name w:val="Unresolved Mention"/>
    <w:basedOn w:val="DefaultParagraphFont"/>
    <w:uiPriority w:val="99"/>
    <w:semiHidden/>
    <w:unhideWhenUsed/>
    <w:rsid w:val="00B730B2"/>
    <w:rPr>
      <w:color w:val="605E5C"/>
      <w:shd w:val="clear" w:color="auto" w:fill="E1DFDD"/>
    </w:rPr>
  </w:style>
  <w:style w:type="paragraph" w:styleId="Header">
    <w:name w:val="header"/>
    <w:basedOn w:val="Normal"/>
    <w:link w:val="HeaderChar"/>
    <w:uiPriority w:val="99"/>
    <w:unhideWhenUsed/>
    <w:rsid w:val="00BD3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000"/>
  </w:style>
  <w:style w:type="paragraph" w:styleId="Footer">
    <w:name w:val="footer"/>
    <w:basedOn w:val="Normal"/>
    <w:link w:val="FooterChar"/>
    <w:uiPriority w:val="99"/>
    <w:unhideWhenUsed/>
    <w:rsid w:val="00BD3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4389</Words>
  <Characters>25018</Characters>
  <Application>Microsoft Office Word</Application>
  <DocSecurity>0</DocSecurity>
  <Lines>208</Lines>
  <Paragraphs>58</Paragraphs>
  <ScaleCrop>false</ScaleCrop>
  <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nkumari39301@gmail.com</dc:creator>
  <cp:keywords/>
  <dc:description/>
  <cp:lastModifiedBy>SDI 1084</cp:lastModifiedBy>
  <cp:revision>8</cp:revision>
  <dcterms:created xsi:type="dcterms:W3CDTF">2025-10-04T06:33:00Z</dcterms:created>
  <dcterms:modified xsi:type="dcterms:W3CDTF">2025-10-07T12:47:00Z</dcterms:modified>
</cp:coreProperties>
</file>