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7A8A6" w14:textId="5CF881C4" w:rsidR="001F0A20" w:rsidRDefault="00ED078E" w:rsidP="001F0A20">
      <w:pPr>
        <w:spacing w:line="240" w:lineRule="auto"/>
        <w:jc w:val="right"/>
        <w:rPr>
          <w:rFonts w:ascii="Arial" w:hAnsi="Arial" w:cs="Arial"/>
          <w:b/>
          <w:bCs/>
          <w:sz w:val="36"/>
          <w:szCs w:val="36"/>
        </w:rPr>
      </w:pPr>
      <w:r w:rsidRPr="002A2480">
        <w:rPr>
          <w:rFonts w:ascii="Arial" w:hAnsi="Arial" w:cs="Arial"/>
          <w:b/>
          <w:bCs/>
          <w:sz w:val="36"/>
          <w:szCs w:val="36"/>
        </w:rPr>
        <w:t xml:space="preserve">Behavioural and Socio-Economic Determinants of Consumer Expenditure on Organic Millets: Evidence from Hyderabad, </w:t>
      </w:r>
      <w:r w:rsidR="001F0A20">
        <w:rPr>
          <w:rFonts w:ascii="Arial" w:hAnsi="Arial" w:cs="Arial"/>
          <w:b/>
          <w:bCs/>
          <w:sz w:val="36"/>
          <w:szCs w:val="36"/>
        </w:rPr>
        <w:t>India</w:t>
      </w:r>
    </w:p>
    <w:p w14:paraId="254AF422" w14:textId="77777777" w:rsidR="00427CB6" w:rsidRDefault="00427CB6" w:rsidP="0046264F">
      <w:pPr>
        <w:spacing w:line="240" w:lineRule="auto"/>
        <w:jc w:val="both"/>
        <w:rPr>
          <w:rFonts w:ascii="Arial" w:hAnsi="Arial" w:cs="Arial"/>
          <w:b/>
          <w:bCs/>
        </w:rPr>
      </w:pPr>
    </w:p>
    <w:p w14:paraId="46A4758B" w14:textId="59C2E7FE" w:rsidR="005D6782" w:rsidRPr="002A2480" w:rsidRDefault="005D6782" w:rsidP="0046264F">
      <w:pPr>
        <w:spacing w:line="240" w:lineRule="auto"/>
        <w:jc w:val="both"/>
        <w:rPr>
          <w:rFonts w:ascii="Arial" w:hAnsi="Arial" w:cs="Arial"/>
          <w:b/>
          <w:bCs/>
        </w:rPr>
      </w:pPr>
      <w:bookmarkStart w:id="0" w:name="_GoBack"/>
      <w:bookmarkEnd w:id="0"/>
      <w:r w:rsidRPr="002A2480">
        <w:rPr>
          <w:rFonts w:ascii="Arial" w:hAnsi="Arial" w:cs="Arial"/>
          <w:b/>
          <w:bCs/>
        </w:rPr>
        <w:t>ABSTRACT</w:t>
      </w:r>
    </w:p>
    <w:p w14:paraId="30E001DB" w14:textId="3B375DC7" w:rsidR="00ED078E" w:rsidRPr="002A2480" w:rsidRDefault="00ED078E" w:rsidP="0046264F">
      <w:pPr>
        <w:spacing w:line="240" w:lineRule="auto"/>
        <w:jc w:val="both"/>
        <w:rPr>
          <w:rFonts w:ascii="Arial" w:hAnsi="Arial" w:cs="Arial"/>
          <w:sz w:val="20"/>
          <w:szCs w:val="20"/>
        </w:rPr>
      </w:pPr>
      <w:r w:rsidRPr="002A2480">
        <w:rPr>
          <w:rFonts w:ascii="Arial" w:hAnsi="Arial" w:cs="Arial"/>
          <w:sz w:val="20"/>
          <w:szCs w:val="20"/>
        </w:rPr>
        <w:t xml:space="preserve">The study investigated the behavioural and socio-economic </w:t>
      </w:r>
      <w:r w:rsidR="00271AB1" w:rsidRPr="002A2480">
        <w:rPr>
          <w:rFonts w:ascii="Arial" w:hAnsi="Arial" w:cs="Arial"/>
          <w:sz w:val="20"/>
          <w:szCs w:val="20"/>
        </w:rPr>
        <w:t>variables</w:t>
      </w:r>
      <w:r w:rsidRPr="002A2480">
        <w:rPr>
          <w:rFonts w:ascii="Arial" w:hAnsi="Arial" w:cs="Arial"/>
          <w:sz w:val="20"/>
          <w:szCs w:val="20"/>
        </w:rPr>
        <w:t xml:space="preserve"> influencing consumer expenditure on organic millets in Hyderabad, India. As the demand for organic foods has grown, understanding the drivers of consumer behaviour has become vital for promoting sustainable consumption. Primary data from 120 respondents were analysed using Likert scale analysis,</w:t>
      </w:r>
      <w:r w:rsidR="005C083B" w:rsidRPr="002A2480">
        <w:rPr>
          <w:rFonts w:ascii="Arial" w:hAnsi="Arial" w:cs="Arial"/>
          <w:sz w:val="20"/>
          <w:szCs w:val="20"/>
        </w:rPr>
        <w:t xml:space="preserve"> </w:t>
      </w:r>
      <w:r w:rsidRPr="002A2480">
        <w:rPr>
          <w:rFonts w:ascii="Arial" w:hAnsi="Arial" w:cs="Arial"/>
          <w:sz w:val="20"/>
          <w:szCs w:val="20"/>
        </w:rPr>
        <w:t>Chi-square test, and Ordinary Least Squares (OLS) regression. The Likert scale results indicated th</w:t>
      </w:r>
      <w:r w:rsidR="00271AB1" w:rsidRPr="002A2480">
        <w:rPr>
          <w:rFonts w:ascii="Arial" w:hAnsi="Arial" w:cs="Arial"/>
          <w:sz w:val="20"/>
          <w:szCs w:val="20"/>
        </w:rPr>
        <w:t>at consumers</w:t>
      </w:r>
      <w:r w:rsidRPr="002A2480">
        <w:rPr>
          <w:rFonts w:ascii="Arial" w:hAnsi="Arial" w:cs="Arial"/>
          <w:sz w:val="20"/>
          <w:szCs w:val="20"/>
        </w:rPr>
        <w:t xml:space="preserve"> </w:t>
      </w:r>
      <w:r w:rsidR="00271AB1" w:rsidRPr="002A2480">
        <w:rPr>
          <w:rFonts w:ascii="Arial" w:hAnsi="Arial" w:cs="Arial"/>
          <w:sz w:val="20"/>
          <w:szCs w:val="20"/>
        </w:rPr>
        <w:t>are aware of</w:t>
      </w:r>
      <w:r w:rsidRPr="002A2480">
        <w:rPr>
          <w:rFonts w:ascii="Arial" w:hAnsi="Arial" w:cs="Arial"/>
          <w:sz w:val="20"/>
          <w:szCs w:val="20"/>
        </w:rPr>
        <w:t xml:space="preserve"> the health and nutritional benefits of organic millets</w:t>
      </w:r>
      <w:r w:rsidRPr="003110DE">
        <w:rPr>
          <w:rFonts w:ascii="Arial" w:hAnsi="Arial" w:cs="Arial"/>
          <w:sz w:val="20"/>
          <w:szCs w:val="20"/>
        </w:rPr>
        <w:t xml:space="preserve">, while moderate agreement </w:t>
      </w:r>
      <w:r w:rsidR="00271AB1" w:rsidRPr="003110DE">
        <w:rPr>
          <w:rFonts w:ascii="Arial" w:hAnsi="Arial" w:cs="Arial"/>
          <w:sz w:val="20"/>
          <w:szCs w:val="20"/>
        </w:rPr>
        <w:t xml:space="preserve">was </w:t>
      </w:r>
      <w:r w:rsidRPr="003110DE">
        <w:rPr>
          <w:rFonts w:ascii="Arial" w:hAnsi="Arial" w:cs="Arial"/>
          <w:sz w:val="20"/>
          <w:szCs w:val="20"/>
        </w:rPr>
        <w:t xml:space="preserve">observed regarding availability and price concerns. The </w:t>
      </w:r>
      <w:r w:rsidRPr="002A2480">
        <w:rPr>
          <w:rFonts w:ascii="Arial" w:hAnsi="Arial" w:cs="Arial"/>
          <w:sz w:val="20"/>
          <w:szCs w:val="20"/>
        </w:rPr>
        <w:t>Chi-square test revealed that consumer preference varied significantly between certified and non-certified products, highlighting the importance of official certification in influencing purchasing decisions. The OLS regression further showed that availability (β = 239.75***), education (β = 29.61***), and monthly household income (β = 43.47**) had a significant positive effect on organic millet consumption expenditure, whereas certification preference (β = −71.18**) had a negative effect, suggesting that those who prefer certified millets may spend less, possibly due to limited availability or higher prices. The findings underscored the need to improve product availability, enhance consumer awareness, and strengthen certification trust to broaden the consumer base for organic millets in urban India.</w:t>
      </w:r>
    </w:p>
    <w:p w14:paraId="42916DC9" w14:textId="0DCF9107" w:rsidR="00ED078E" w:rsidRPr="002A2480" w:rsidRDefault="002B00E6" w:rsidP="00010057">
      <w:pPr>
        <w:jc w:val="both"/>
        <w:rPr>
          <w:rFonts w:ascii="Arial" w:hAnsi="Arial" w:cs="Arial"/>
          <w:b/>
          <w:bCs/>
          <w:sz w:val="20"/>
          <w:szCs w:val="20"/>
        </w:rPr>
      </w:pPr>
      <w:r>
        <w:rPr>
          <w:rFonts w:ascii="Arial" w:hAnsi="Arial" w:cs="Arial"/>
          <w:b/>
          <w:bCs/>
          <w:sz w:val="20"/>
          <w:szCs w:val="20"/>
        </w:rPr>
        <w:t>KEYWORDS:</w:t>
      </w:r>
      <w:r w:rsidRPr="00010057">
        <w:rPr>
          <w:rFonts w:ascii="Arial" w:hAnsi="Arial" w:cs="Arial"/>
          <w:sz w:val="20"/>
          <w:szCs w:val="20"/>
        </w:rPr>
        <w:t xml:space="preserve"> Organic millets, </w:t>
      </w:r>
      <w:r w:rsidRPr="002B00E6">
        <w:rPr>
          <w:rFonts w:ascii="Arial" w:hAnsi="Arial" w:cs="Arial"/>
          <w:sz w:val="20"/>
          <w:szCs w:val="20"/>
        </w:rPr>
        <w:t>Consumer behaviour</w:t>
      </w:r>
      <w:r w:rsidRPr="00010057">
        <w:rPr>
          <w:rFonts w:ascii="Arial" w:hAnsi="Arial" w:cs="Arial"/>
          <w:sz w:val="20"/>
          <w:szCs w:val="20"/>
        </w:rPr>
        <w:t>,</w:t>
      </w:r>
      <w:r w:rsidRPr="002B00E6">
        <w:rPr>
          <w:rFonts w:ascii="Arial" w:hAnsi="Arial" w:cs="Arial"/>
          <w:sz w:val="20"/>
          <w:szCs w:val="20"/>
        </w:rPr>
        <w:t xml:space="preserve"> Nutritional awareness</w:t>
      </w:r>
      <w:r w:rsidRPr="00010057">
        <w:rPr>
          <w:rFonts w:ascii="Arial" w:hAnsi="Arial" w:cs="Arial"/>
          <w:sz w:val="20"/>
          <w:szCs w:val="20"/>
        </w:rPr>
        <w:t xml:space="preserve">, </w:t>
      </w:r>
      <w:r w:rsidRPr="002B00E6">
        <w:rPr>
          <w:rFonts w:ascii="Arial" w:hAnsi="Arial" w:cs="Arial"/>
          <w:sz w:val="20"/>
          <w:szCs w:val="20"/>
        </w:rPr>
        <w:t>Certification preference</w:t>
      </w:r>
    </w:p>
    <w:p w14:paraId="3F1B009A" w14:textId="4140EE4F" w:rsidR="00ED078E" w:rsidRPr="002A2480" w:rsidRDefault="00ED078E" w:rsidP="0046264F">
      <w:pPr>
        <w:spacing w:line="240" w:lineRule="auto"/>
        <w:jc w:val="both"/>
        <w:rPr>
          <w:rFonts w:ascii="Arial" w:hAnsi="Arial" w:cs="Arial"/>
          <w:b/>
          <w:bCs/>
        </w:rPr>
      </w:pPr>
      <w:r w:rsidRPr="002A2480">
        <w:rPr>
          <w:rFonts w:ascii="Arial" w:hAnsi="Arial" w:cs="Arial"/>
          <w:b/>
          <w:bCs/>
        </w:rPr>
        <w:t xml:space="preserve">1. </w:t>
      </w:r>
      <w:r w:rsidR="005D6782" w:rsidRPr="002A2480">
        <w:rPr>
          <w:rFonts w:ascii="Arial" w:hAnsi="Arial" w:cs="Arial"/>
          <w:b/>
          <w:bCs/>
        </w:rPr>
        <w:t>INTRODUCTION</w:t>
      </w:r>
    </w:p>
    <w:p w14:paraId="11E7F853" w14:textId="69E23462" w:rsidR="00ED078E" w:rsidRPr="002A2480" w:rsidRDefault="00ED078E" w:rsidP="0046264F">
      <w:pPr>
        <w:spacing w:line="240" w:lineRule="auto"/>
        <w:jc w:val="both"/>
        <w:rPr>
          <w:rFonts w:ascii="Arial" w:hAnsi="Arial" w:cs="Arial"/>
          <w:sz w:val="20"/>
          <w:szCs w:val="20"/>
        </w:rPr>
      </w:pPr>
      <w:r w:rsidRPr="002A2480">
        <w:rPr>
          <w:rFonts w:ascii="Arial" w:hAnsi="Arial" w:cs="Arial"/>
          <w:sz w:val="20"/>
          <w:szCs w:val="20"/>
        </w:rPr>
        <w:t>In recent years, increasing awareness of health, nutrition, and environmental sustainability has shifted consumer preferences toward organic foods. Among these, organic millets have emerged as nutrient-rich</w:t>
      </w:r>
      <w:r w:rsidR="001719DA" w:rsidRPr="002A2480">
        <w:rPr>
          <w:rFonts w:ascii="Arial" w:hAnsi="Arial" w:cs="Arial"/>
          <w:sz w:val="20"/>
          <w:szCs w:val="20"/>
        </w:rPr>
        <w:t xml:space="preserve"> </w:t>
      </w:r>
      <w:r w:rsidR="0056318F" w:rsidRPr="002A2480">
        <w:rPr>
          <w:rFonts w:ascii="Arial" w:hAnsi="Arial" w:cs="Arial"/>
          <w:sz w:val="20"/>
          <w:szCs w:val="20"/>
        </w:rPr>
        <w:t xml:space="preserve">climate resilient grains </w:t>
      </w:r>
      <w:r w:rsidRPr="002A2480">
        <w:rPr>
          <w:rFonts w:ascii="Arial" w:hAnsi="Arial" w:cs="Arial"/>
          <w:sz w:val="20"/>
          <w:szCs w:val="20"/>
        </w:rPr>
        <w:t>with potential health benefits such as improved digestion, enhanced nutritional intake, and reduced exposure to chemical residues</w:t>
      </w:r>
      <w:r w:rsidR="009539C4" w:rsidRPr="002A2480">
        <w:rPr>
          <w:rFonts w:ascii="Arial" w:hAnsi="Arial" w:cs="Arial"/>
          <w:sz w:val="20"/>
          <w:szCs w:val="20"/>
        </w:rPr>
        <w:t xml:space="preserve"> (Choudhury </w:t>
      </w:r>
      <w:r w:rsidR="009539C4" w:rsidRPr="002A2480">
        <w:rPr>
          <w:rFonts w:ascii="Arial" w:hAnsi="Arial" w:cs="Arial"/>
          <w:i/>
          <w:iCs/>
          <w:sz w:val="20"/>
          <w:szCs w:val="20"/>
        </w:rPr>
        <w:t>et al</w:t>
      </w:r>
      <w:r w:rsidR="009539C4" w:rsidRPr="002A2480">
        <w:rPr>
          <w:rFonts w:ascii="Arial" w:hAnsi="Arial" w:cs="Arial"/>
          <w:sz w:val="20"/>
          <w:szCs w:val="20"/>
        </w:rPr>
        <w:t>., 2024)</w:t>
      </w:r>
      <w:r w:rsidRPr="002A2480">
        <w:rPr>
          <w:rFonts w:ascii="Arial" w:hAnsi="Arial" w:cs="Arial"/>
          <w:sz w:val="20"/>
          <w:szCs w:val="20"/>
        </w:rPr>
        <w:t xml:space="preserve">. Despite their advantages, the consumption of organic millets in urban India remains limited, largely due to factors such as </w:t>
      </w:r>
      <w:r w:rsidR="00332183" w:rsidRPr="002A2480">
        <w:rPr>
          <w:rFonts w:ascii="Arial" w:hAnsi="Arial" w:cs="Arial"/>
          <w:sz w:val="20"/>
          <w:szCs w:val="20"/>
        </w:rPr>
        <w:t>un</w:t>
      </w:r>
      <w:r w:rsidRPr="002A2480">
        <w:rPr>
          <w:rFonts w:ascii="Arial" w:hAnsi="Arial" w:cs="Arial"/>
          <w:sz w:val="20"/>
          <w:szCs w:val="20"/>
        </w:rPr>
        <w:t>availability, price, lack of awareness, and insufficient consumer familiarity with different millet varieties</w:t>
      </w:r>
      <w:r w:rsidR="00AD53FA" w:rsidRPr="002A2480">
        <w:rPr>
          <w:rFonts w:ascii="Arial" w:hAnsi="Arial" w:cs="Arial"/>
          <w:sz w:val="20"/>
          <w:szCs w:val="20"/>
        </w:rPr>
        <w:t>.</w:t>
      </w:r>
      <w:r w:rsidR="002D04E2" w:rsidRPr="002A2480">
        <w:rPr>
          <w:rFonts w:ascii="Arial" w:hAnsi="Arial" w:cs="Arial"/>
          <w:sz w:val="20"/>
          <w:szCs w:val="20"/>
        </w:rPr>
        <w:t xml:space="preserve"> </w:t>
      </w:r>
    </w:p>
    <w:p w14:paraId="0B2E3DF4" w14:textId="38A7EAF9" w:rsidR="00ED078E" w:rsidRPr="002A2480" w:rsidRDefault="00531E71" w:rsidP="0046264F">
      <w:pPr>
        <w:spacing w:line="240" w:lineRule="auto"/>
        <w:jc w:val="both"/>
        <w:rPr>
          <w:rFonts w:ascii="Arial" w:hAnsi="Arial" w:cs="Arial"/>
          <w:sz w:val="20"/>
          <w:szCs w:val="20"/>
        </w:rPr>
      </w:pPr>
      <w:r w:rsidRPr="002A2480">
        <w:rPr>
          <w:rFonts w:ascii="Arial" w:hAnsi="Arial" w:cs="Arial"/>
          <w:sz w:val="20"/>
          <w:szCs w:val="20"/>
        </w:rPr>
        <w:t>The Government of India has recognized the role of millets in strengthening nutritional security and has undertaken several initiatives to promote them. These include declaring millets as “Nutri-Cereals,” celebrating 2018 as the National Year of Millets, and proposing the International Year of Millets at the United Nations General Assembly. Following this, 2023 was designated as the International Year of Millets (IYM 2023) to raise awareness and promote millets as future-ready crops suitable for changing climatic conditions. The initiative aim</w:t>
      </w:r>
      <w:r w:rsidR="001417C7" w:rsidRPr="002A2480">
        <w:rPr>
          <w:rFonts w:ascii="Arial" w:hAnsi="Arial" w:cs="Arial"/>
          <w:sz w:val="20"/>
          <w:szCs w:val="20"/>
        </w:rPr>
        <w:t>ed</w:t>
      </w:r>
      <w:r w:rsidRPr="002A2480">
        <w:rPr>
          <w:rFonts w:ascii="Arial" w:hAnsi="Arial" w:cs="Arial"/>
          <w:sz w:val="20"/>
          <w:szCs w:val="20"/>
        </w:rPr>
        <w:t xml:space="preserve"> to expand millet cultivation, improve production and processing technologies, and cater to diverse domestic and international markets</w:t>
      </w:r>
      <w:r w:rsidR="001417C7" w:rsidRPr="002A2480">
        <w:rPr>
          <w:rFonts w:ascii="Arial" w:hAnsi="Arial" w:cs="Arial"/>
          <w:sz w:val="20"/>
          <w:szCs w:val="20"/>
        </w:rPr>
        <w:t xml:space="preserve"> (Rao </w:t>
      </w:r>
      <w:r w:rsidR="001417C7" w:rsidRPr="002A2480">
        <w:rPr>
          <w:rFonts w:ascii="Arial" w:hAnsi="Arial" w:cs="Arial"/>
          <w:i/>
          <w:iCs/>
          <w:sz w:val="20"/>
          <w:szCs w:val="20"/>
        </w:rPr>
        <w:t>et al</w:t>
      </w:r>
      <w:r w:rsidR="001417C7" w:rsidRPr="002A2480">
        <w:rPr>
          <w:rFonts w:ascii="Arial" w:hAnsi="Arial" w:cs="Arial"/>
          <w:sz w:val="20"/>
          <w:szCs w:val="20"/>
        </w:rPr>
        <w:t>., 2021)</w:t>
      </w:r>
      <w:r w:rsidRPr="002A2480">
        <w:rPr>
          <w:rFonts w:ascii="Arial" w:hAnsi="Arial" w:cs="Arial"/>
          <w:sz w:val="20"/>
          <w:szCs w:val="20"/>
        </w:rPr>
        <w:t>.</w:t>
      </w:r>
    </w:p>
    <w:p w14:paraId="0F306D60" w14:textId="4E42C171" w:rsidR="0017148B" w:rsidRPr="0017148B" w:rsidRDefault="0017148B" w:rsidP="0046264F">
      <w:pPr>
        <w:spacing w:line="240" w:lineRule="auto"/>
        <w:jc w:val="both"/>
        <w:rPr>
          <w:rFonts w:ascii="Arial" w:hAnsi="Arial" w:cs="Arial"/>
          <w:sz w:val="20"/>
          <w:szCs w:val="20"/>
        </w:rPr>
      </w:pPr>
      <w:r w:rsidRPr="0017148B">
        <w:rPr>
          <w:rFonts w:ascii="Arial" w:hAnsi="Arial" w:cs="Arial"/>
          <w:sz w:val="20"/>
          <w:szCs w:val="20"/>
        </w:rPr>
        <w:t>Numerous studies have shown that demographic, behavioural, and economic factors significantly shape organic food consumption patterns. Socio-demographic variables such as age, income, education level, and urban–rural residence have a notable influence on consumption behaviour (</w:t>
      </w:r>
      <w:proofErr w:type="spellStart"/>
      <w:r w:rsidRPr="0017148B">
        <w:rPr>
          <w:rFonts w:ascii="Arial" w:hAnsi="Arial" w:cs="Arial"/>
          <w:sz w:val="20"/>
          <w:szCs w:val="20"/>
        </w:rPr>
        <w:t>Amirnejad</w:t>
      </w:r>
      <w:proofErr w:type="spellEnd"/>
      <w:r w:rsidRPr="0017148B">
        <w:rPr>
          <w:rFonts w:ascii="Arial" w:hAnsi="Arial" w:cs="Arial"/>
          <w:sz w:val="20"/>
          <w:szCs w:val="20"/>
        </w:rPr>
        <w:t xml:space="preserve"> and </w:t>
      </w:r>
      <w:proofErr w:type="spellStart"/>
      <w:r w:rsidRPr="0017148B">
        <w:rPr>
          <w:rFonts w:ascii="Arial" w:hAnsi="Arial" w:cs="Arial"/>
          <w:sz w:val="20"/>
          <w:szCs w:val="20"/>
        </w:rPr>
        <w:t>Tonakbar</w:t>
      </w:r>
      <w:proofErr w:type="spellEnd"/>
      <w:r w:rsidRPr="0017148B">
        <w:rPr>
          <w:rFonts w:ascii="Arial" w:hAnsi="Arial" w:cs="Arial"/>
          <w:sz w:val="20"/>
          <w:szCs w:val="20"/>
        </w:rPr>
        <w:t>, 2015). Urban consumers tend to prefer organic foods primarily to maintain a healthy lifestyle (Padmavathy and Saraswathy, 2016), whereas traditional dietary practices and cultural familiarity with millets promote their acceptance among rural and semi-urban households (Ankitha and Seth, 2025; Shank</w:t>
      </w:r>
      <w:r w:rsidR="00C55EFC" w:rsidRPr="002A2480">
        <w:rPr>
          <w:rFonts w:ascii="Arial" w:hAnsi="Arial" w:cs="Arial"/>
          <w:sz w:val="20"/>
          <w:szCs w:val="20"/>
        </w:rPr>
        <w:t>e</w:t>
      </w:r>
      <w:r w:rsidRPr="0017148B">
        <w:rPr>
          <w:rFonts w:ascii="Arial" w:hAnsi="Arial" w:cs="Arial"/>
          <w:sz w:val="20"/>
          <w:szCs w:val="20"/>
        </w:rPr>
        <w:t>r, 2024). Moreover, factors such as health, safety, taste, and environmental concerns play a crucial role in shaping consumers’ attitudes and preferences toward organic food products (Sharma and Singhvi, 2018). Consumers’ attitudes and knowledge further determine their purchasing behaviour, thereby contributing to the expansion of the organic food market (Sangeetha and Rajakrishnan, 2022). However, barriers such as limited availability, low consumer preference, and restricted market reach continue to constrain the growth of organic food consumption (Thanki et al., 2024).</w:t>
      </w:r>
    </w:p>
    <w:p w14:paraId="4FE0C2C2" w14:textId="77777777" w:rsidR="0017148B" w:rsidRPr="0017148B" w:rsidRDefault="0017148B" w:rsidP="0046264F">
      <w:pPr>
        <w:spacing w:line="240" w:lineRule="auto"/>
        <w:jc w:val="both"/>
        <w:rPr>
          <w:rFonts w:ascii="Arial" w:hAnsi="Arial" w:cs="Arial"/>
          <w:sz w:val="20"/>
          <w:szCs w:val="20"/>
        </w:rPr>
      </w:pPr>
      <w:r w:rsidRPr="0017148B">
        <w:rPr>
          <w:rFonts w:ascii="Arial" w:hAnsi="Arial" w:cs="Arial"/>
          <w:sz w:val="20"/>
          <w:szCs w:val="20"/>
        </w:rPr>
        <w:t xml:space="preserve">In recent years, millets have gained renewed attention as highly nutritious (Reddy and Patel, 2023) and climate-resilient grains that contribute to both human and environmental health (Reddy et al., 2023; </w:t>
      </w:r>
      <w:r w:rsidRPr="0017148B">
        <w:rPr>
          <w:rFonts w:ascii="Arial" w:hAnsi="Arial" w:cs="Arial"/>
          <w:sz w:val="20"/>
          <w:szCs w:val="20"/>
        </w:rPr>
        <w:lastRenderedPageBreak/>
        <w:t>Vaswani et al., 2024). Several studies have demonstrated a significant association between consumer awareness and the consumption patterns of millets and millet-based products (Pathak et al., 2023). Likewise, consumers’ health consciousness, environmental concern, perceived value, price sensitivity, and social status have been found to significantly influence their purchase intentions toward millet products (</w:t>
      </w:r>
      <w:proofErr w:type="spellStart"/>
      <w:r w:rsidRPr="0017148B">
        <w:rPr>
          <w:rFonts w:ascii="Arial" w:hAnsi="Arial" w:cs="Arial"/>
          <w:sz w:val="20"/>
          <w:szCs w:val="20"/>
        </w:rPr>
        <w:t>Shirahatti</w:t>
      </w:r>
      <w:proofErr w:type="spellEnd"/>
      <w:r w:rsidRPr="0017148B">
        <w:rPr>
          <w:rFonts w:ascii="Arial" w:hAnsi="Arial" w:cs="Arial"/>
          <w:sz w:val="20"/>
          <w:szCs w:val="20"/>
        </w:rPr>
        <w:t xml:space="preserve"> et al., 2022). Despite these positive attributes, millet consumption continues to face several barriers, including inadequate availability in local markets, the time-consuming nature of preparation, lack of trust in health and safety claims, and the perception that millets are difficult to digest (Shah et al., 2024). Furthermore, limited marketing initiatives and weak value chain linkages often constrain millet promotion and accessibility, particularly in modern retail formats (Reddy et al., 2018).</w:t>
      </w:r>
    </w:p>
    <w:p w14:paraId="5C6A992F" w14:textId="77777777" w:rsidR="002409B0" w:rsidRPr="002A2480" w:rsidRDefault="002409B0" w:rsidP="0046264F">
      <w:pPr>
        <w:spacing w:line="240" w:lineRule="auto"/>
        <w:jc w:val="both"/>
        <w:rPr>
          <w:rFonts w:ascii="Arial" w:hAnsi="Arial" w:cs="Arial"/>
          <w:sz w:val="20"/>
          <w:szCs w:val="20"/>
        </w:rPr>
      </w:pPr>
      <w:r w:rsidRPr="002A2480">
        <w:rPr>
          <w:rFonts w:ascii="Arial" w:hAnsi="Arial" w:cs="Arial"/>
          <w:sz w:val="20"/>
          <w:szCs w:val="20"/>
        </w:rPr>
        <w:t>Although organic millets offer both nutritional and environmental advantages, their market presence remains limited. Consumers are generally motivated to purchase organic foods because of their perceived superior quality and environmentally friendly nature. According to Raju and Rukmani (2022), food safety concerns significantly influence consumer buying behaviour. However, the lack of trust and the limited availability of organic millets in the market discourage potential buyers.</w:t>
      </w:r>
    </w:p>
    <w:p w14:paraId="28F85517" w14:textId="6E2B29BF" w:rsidR="005D6782" w:rsidRPr="002A2480" w:rsidRDefault="0096773D" w:rsidP="0046264F">
      <w:pPr>
        <w:spacing w:line="240" w:lineRule="auto"/>
        <w:jc w:val="both"/>
        <w:rPr>
          <w:rFonts w:ascii="Arial" w:hAnsi="Arial" w:cs="Arial"/>
          <w:sz w:val="20"/>
          <w:szCs w:val="20"/>
        </w:rPr>
      </w:pPr>
      <w:r w:rsidRPr="002A2480">
        <w:rPr>
          <w:rFonts w:ascii="Arial" w:hAnsi="Arial" w:cs="Arial"/>
          <w:sz w:val="20"/>
          <w:szCs w:val="20"/>
        </w:rPr>
        <w:t xml:space="preserve">Empirical </w:t>
      </w:r>
      <w:r w:rsidR="002409B0" w:rsidRPr="002A2480">
        <w:rPr>
          <w:rFonts w:ascii="Arial" w:hAnsi="Arial" w:cs="Arial"/>
          <w:sz w:val="20"/>
          <w:szCs w:val="20"/>
        </w:rPr>
        <w:t xml:space="preserve">research exploring the behavioural and socio-economic factors influencing organic millet consumption in urban India is </w:t>
      </w:r>
      <w:r w:rsidRPr="002A2480">
        <w:rPr>
          <w:rFonts w:ascii="Arial" w:hAnsi="Arial" w:cs="Arial"/>
          <w:sz w:val="20"/>
          <w:szCs w:val="20"/>
        </w:rPr>
        <w:t>limited</w:t>
      </w:r>
      <w:r w:rsidR="002409B0" w:rsidRPr="002A2480">
        <w:rPr>
          <w:rFonts w:ascii="Arial" w:hAnsi="Arial" w:cs="Arial"/>
          <w:sz w:val="20"/>
          <w:szCs w:val="20"/>
        </w:rPr>
        <w:t>. To</w:t>
      </w:r>
      <w:r w:rsidR="00ED078E" w:rsidRPr="002A2480">
        <w:rPr>
          <w:rFonts w:ascii="Arial" w:hAnsi="Arial" w:cs="Arial"/>
          <w:sz w:val="20"/>
          <w:szCs w:val="20"/>
        </w:rPr>
        <w:t xml:space="preserve"> address this gap, the present study focuses on Hyderabad, a major urban </w:t>
      </w:r>
      <w:r w:rsidR="009F588C" w:rsidRPr="002A2480">
        <w:rPr>
          <w:rFonts w:ascii="Arial" w:hAnsi="Arial" w:cs="Arial"/>
          <w:sz w:val="20"/>
          <w:szCs w:val="20"/>
        </w:rPr>
        <w:t>centre</w:t>
      </w:r>
      <w:r w:rsidR="00ED078E" w:rsidRPr="002A2480">
        <w:rPr>
          <w:rFonts w:ascii="Arial" w:hAnsi="Arial" w:cs="Arial"/>
          <w:sz w:val="20"/>
          <w:szCs w:val="20"/>
        </w:rPr>
        <w:t xml:space="preserve"> where organic food markets are emerging. The study targets a niche consumer segment that is health-conscious and sustainability-oriented, enabling a detailed examination of factors influencing purchase behaviour</w:t>
      </w:r>
      <w:r w:rsidR="005C083B" w:rsidRPr="002A2480">
        <w:rPr>
          <w:rFonts w:ascii="Arial" w:hAnsi="Arial" w:cs="Arial"/>
          <w:sz w:val="20"/>
          <w:szCs w:val="20"/>
        </w:rPr>
        <w:t xml:space="preserve">. The </w:t>
      </w:r>
      <w:r w:rsidR="00ED078E" w:rsidRPr="002A2480">
        <w:rPr>
          <w:rFonts w:ascii="Arial" w:hAnsi="Arial" w:cs="Arial"/>
          <w:sz w:val="20"/>
          <w:szCs w:val="20"/>
        </w:rPr>
        <w:t>study investigates how socio-economic characteristics (such as income, education, and gender) and behavioural factors (such as availability, certification preference, and trust) affect expenditure on organic millets.</w:t>
      </w:r>
      <w:r w:rsidR="009F588C" w:rsidRPr="002A2480">
        <w:rPr>
          <w:rFonts w:ascii="Arial" w:hAnsi="Arial" w:cs="Arial"/>
          <w:sz w:val="20"/>
          <w:szCs w:val="20"/>
        </w:rPr>
        <w:t xml:space="preserve"> </w:t>
      </w:r>
      <w:r w:rsidR="00ED078E" w:rsidRPr="002A2480">
        <w:rPr>
          <w:rFonts w:ascii="Arial" w:hAnsi="Arial" w:cs="Arial"/>
          <w:sz w:val="20"/>
          <w:szCs w:val="20"/>
        </w:rPr>
        <w:t>The findings aim to provide actionable insights for policymakers, marketers, and value chain actors to improve product availability, build consumer trust, and enhance awareness, ultimately facilitating the expansion of the organic millet market in urban India.</w:t>
      </w:r>
    </w:p>
    <w:p w14:paraId="08ED699E" w14:textId="5EACA283" w:rsidR="005C083B" w:rsidRPr="002A2480" w:rsidRDefault="005C083B" w:rsidP="0046264F">
      <w:pPr>
        <w:spacing w:line="240" w:lineRule="auto"/>
        <w:jc w:val="both"/>
        <w:rPr>
          <w:rFonts w:ascii="Arial" w:hAnsi="Arial" w:cs="Arial"/>
          <w:b/>
          <w:bCs/>
        </w:rPr>
      </w:pPr>
      <w:r w:rsidRPr="002A2480">
        <w:rPr>
          <w:rFonts w:ascii="Arial" w:hAnsi="Arial" w:cs="Arial"/>
          <w:b/>
          <w:bCs/>
        </w:rPr>
        <w:t>2. METHODOLOGY</w:t>
      </w:r>
    </w:p>
    <w:p w14:paraId="377D3132" w14:textId="5DD38DBE" w:rsidR="00F054DF" w:rsidRPr="002A2480" w:rsidRDefault="00F054DF" w:rsidP="0046264F">
      <w:pPr>
        <w:spacing w:line="240" w:lineRule="auto"/>
        <w:jc w:val="both"/>
        <w:rPr>
          <w:rFonts w:ascii="Arial" w:hAnsi="Arial" w:cs="Arial"/>
          <w:sz w:val="20"/>
          <w:szCs w:val="20"/>
        </w:rPr>
      </w:pPr>
      <w:r w:rsidRPr="002A2480">
        <w:rPr>
          <w:rFonts w:ascii="Arial" w:hAnsi="Arial" w:cs="Arial"/>
          <w:sz w:val="20"/>
          <w:szCs w:val="20"/>
        </w:rPr>
        <w:t xml:space="preserve">The study was carried out </w:t>
      </w:r>
      <w:r w:rsidR="001058CB">
        <w:rPr>
          <w:rFonts w:ascii="Arial" w:hAnsi="Arial" w:cs="Arial"/>
          <w:sz w:val="20"/>
          <w:szCs w:val="20"/>
        </w:rPr>
        <w:t>during</w:t>
      </w:r>
      <w:r w:rsidRPr="002A2480">
        <w:rPr>
          <w:rFonts w:ascii="Arial" w:hAnsi="Arial" w:cs="Arial"/>
          <w:sz w:val="20"/>
          <w:szCs w:val="20"/>
        </w:rPr>
        <w:t xml:space="preserve"> </w:t>
      </w:r>
      <w:r w:rsidR="001058CB">
        <w:rPr>
          <w:rFonts w:ascii="Arial" w:hAnsi="Arial" w:cs="Arial"/>
          <w:sz w:val="20"/>
          <w:szCs w:val="20"/>
        </w:rPr>
        <w:t xml:space="preserve">2024 in </w:t>
      </w:r>
      <w:r w:rsidRPr="002A2480">
        <w:rPr>
          <w:rFonts w:ascii="Arial" w:hAnsi="Arial" w:cs="Arial"/>
          <w:sz w:val="20"/>
          <w:szCs w:val="20"/>
        </w:rPr>
        <w:t>Hyderabad city, Telangana, which represents one of the urban markets for organic food products in southern India. Primary data was collected from 120 consumers of organic millets through personal interviews using a pre-tested structured questionnaire. The respondents were chosen from major organic outlets across the city, such as specialized organic stores and supermarkets that stock certified organic products. This approach ensured that the sample represented consumers who actively engage in the organic food market.</w:t>
      </w:r>
    </w:p>
    <w:p w14:paraId="2B9D9530" w14:textId="42C5C0AB" w:rsidR="00D268B4" w:rsidRPr="002A2480" w:rsidRDefault="00D268B4" w:rsidP="0046264F">
      <w:pPr>
        <w:spacing w:line="240" w:lineRule="auto"/>
        <w:jc w:val="both"/>
        <w:rPr>
          <w:rFonts w:ascii="Arial" w:hAnsi="Arial" w:cs="Arial"/>
          <w:b/>
          <w:bCs/>
        </w:rPr>
      </w:pPr>
      <w:r w:rsidRPr="002A2480">
        <w:rPr>
          <w:rFonts w:ascii="Arial" w:hAnsi="Arial" w:cs="Arial"/>
          <w:b/>
          <w:bCs/>
        </w:rPr>
        <w:t>2.1 Likert Scale Technique</w:t>
      </w:r>
    </w:p>
    <w:p w14:paraId="430AD90E" w14:textId="77FFE0C4" w:rsidR="00D268B4" w:rsidRPr="002A2480" w:rsidRDefault="005640FB" w:rsidP="0046264F">
      <w:pPr>
        <w:spacing w:line="240" w:lineRule="auto"/>
        <w:ind w:firstLine="720"/>
        <w:jc w:val="both"/>
        <w:rPr>
          <w:rFonts w:ascii="Arial" w:hAnsi="Arial" w:cs="Arial"/>
          <w:bCs/>
          <w:sz w:val="20"/>
          <w:szCs w:val="20"/>
        </w:rPr>
      </w:pPr>
      <w:r w:rsidRPr="002A2480">
        <w:rPr>
          <w:rFonts w:ascii="Arial" w:hAnsi="Arial" w:cs="Arial"/>
          <w:sz w:val="20"/>
          <w:szCs w:val="20"/>
        </w:rPr>
        <w:t xml:space="preserve">A Likert-scale survey was carried out to assess the consumer perceptions, awareness and attitude towards organic millets across various dimensions, including health and nutritional awareness, sensory attributes, convenience, trust, price, and availability. </w:t>
      </w:r>
      <w:r w:rsidR="00835CD4" w:rsidRPr="002A2480">
        <w:rPr>
          <w:rFonts w:ascii="Arial" w:hAnsi="Arial" w:cs="Arial"/>
          <w:sz w:val="20"/>
          <w:szCs w:val="20"/>
        </w:rPr>
        <w:t xml:space="preserve">Ten </w:t>
      </w:r>
      <w:r w:rsidRPr="002A2480">
        <w:rPr>
          <w:rFonts w:ascii="Arial" w:hAnsi="Arial" w:cs="Arial"/>
          <w:sz w:val="20"/>
          <w:szCs w:val="20"/>
        </w:rPr>
        <w:t>statements rated on a 5-point Likert scale, with scores ranging from 1 (strongly disagree) to 5 (strongly agree).</w:t>
      </w:r>
      <w:r w:rsidR="00D268B4" w:rsidRPr="002A2480">
        <w:rPr>
          <w:rFonts w:ascii="Arial" w:hAnsi="Arial" w:cs="Arial"/>
          <w:bCs/>
          <w:sz w:val="24"/>
          <w:szCs w:val="24"/>
        </w:rPr>
        <w:t xml:space="preserve"> </w:t>
      </w:r>
      <w:r w:rsidR="00D268B4" w:rsidRPr="002A2480">
        <w:rPr>
          <w:rFonts w:ascii="Arial" w:hAnsi="Arial" w:cs="Arial"/>
          <w:bCs/>
          <w:sz w:val="20"/>
          <w:szCs w:val="20"/>
        </w:rPr>
        <w:t xml:space="preserve">The Likert scale, </w:t>
      </w:r>
      <w:r w:rsidR="00835CD4" w:rsidRPr="002A2480">
        <w:rPr>
          <w:rFonts w:ascii="Arial" w:hAnsi="Arial" w:cs="Arial"/>
          <w:bCs/>
          <w:sz w:val="20"/>
          <w:szCs w:val="20"/>
        </w:rPr>
        <w:t>(</w:t>
      </w:r>
      <w:r w:rsidR="00D268B4" w:rsidRPr="002A2480">
        <w:rPr>
          <w:rFonts w:ascii="Arial" w:hAnsi="Arial" w:cs="Arial"/>
          <w:bCs/>
          <w:sz w:val="20"/>
          <w:szCs w:val="20"/>
        </w:rPr>
        <w:t>Likert</w:t>
      </w:r>
      <w:r w:rsidR="00835CD4" w:rsidRPr="002A2480">
        <w:rPr>
          <w:rFonts w:ascii="Arial" w:hAnsi="Arial" w:cs="Arial"/>
          <w:bCs/>
          <w:sz w:val="20"/>
          <w:szCs w:val="20"/>
        </w:rPr>
        <w:t>,</w:t>
      </w:r>
      <w:r w:rsidR="00D268B4" w:rsidRPr="002A2480">
        <w:rPr>
          <w:rFonts w:ascii="Arial" w:hAnsi="Arial" w:cs="Arial"/>
          <w:bCs/>
          <w:sz w:val="20"/>
          <w:szCs w:val="20"/>
        </w:rPr>
        <w:t xml:space="preserve"> 1932</w:t>
      </w:r>
      <w:r w:rsidR="00835CD4" w:rsidRPr="002A2480">
        <w:rPr>
          <w:rFonts w:ascii="Arial" w:hAnsi="Arial" w:cs="Arial"/>
          <w:bCs/>
          <w:sz w:val="20"/>
          <w:szCs w:val="20"/>
        </w:rPr>
        <w:t>)</w:t>
      </w:r>
      <w:r w:rsidR="00D268B4" w:rsidRPr="002A2480">
        <w:rPr>
          <w:rFonts w:ascii="Arial" w:hAnsi="Arial" w:cs="Arial"/>
          <w:bCs/>
          <w:sz w:val="20"/>
          <w:szCs w:val="20"/>
        </w:rPr>
        <w:t>, is one of the most widely used tools for measuring attitudes, opinions, and perceptions in social science research. It provides a quantitative method to capture the degree of agreement or disagreement with a given set of statements. Weighted average Likert score was obtained using the formula,</w:t>
      </w:r>
    </w:p>
    <w:p w14:paraId="1235B51F" w14:textId="7C2BB5D0" w:rsidR="00D268B4" w:rsidRPr="00D268B4" w:rsidRDefault="00D268B4" w:rsidP="0046264F">
      <w:pPr>
        <w:spacing w:line="240" w:lineRule="auto"/>
        <w:ind w:firstLine="720"/>
        <w:jc w:val="both"/>
        <w:rPr>
          <w:rFonts w:ascii="Arial" w:hAnsi="Arial" w:cs="Arial"/>
          <w:bCs/>
          <w:sz w:val="20"/>
          <w:szCs w:val="20"/>
        </w:rPr>
      </w:pPr>
      <w:r w:rsidRPr="00D268B4">
        <w:rPr>
          <w:rFonts w:ascii="Arial" w:hAnsi="Arial" w:cs="Arial"/>
          <w:bCs/>
          <w:sz w:val="20"/>
          <w:szCs w:val="20"/>
        </w:rPr>
        <w:t xml:space="preserve"> Likert scale score = </w:t>
      </w:r>
      <m:oMath>
        <m:f>
          <m:fPr>
            <m:ctrlPr>
              <w:rPr>
                <w:rFonts w:ascii="Cambria Math" w:hAnsi="Cambria Math" w:cs="Arial"/>
                <w:bCs/>
                <w:iCs/>
                <w:sz w:val="20"/>
                <w:szCs w:val="20"/>
              </w:rPr>
            </m:ctrlPr>
          </m:fPr>
          <m:num>
            <m:nary>
              <m:naryPr>
                <m:chr m:val="∑"/>
                <m:limLoc m:val="undOvr"/>
                <m:subHide m:val="1"/>
                <m:supHide m:val="1"/>
                <m:ctrlPr>
                  <w:rPr>
                    <w:rFonts w:ascii="Cambria Math" w:hAnsi="Cambria Math" w:cs="Arial"/>
                    <w:bCs/>
                    <w:iCs/>
                    <w:sz w:val="20"/>
                    <w:szCs w:val="20"/>
                  </w:rPr>
                </m:ctrlPr>
              </m:naryPr>
              <m:sub/>
              <m:sup/>
              <m:e>
                <m:r>
                  <m:rPr>
                    <m:sty m:val="p"/>
                  </m:rPr>
                  <w:rPr>
                    <w:rFonts w:ascii="Cambria Math" w:hAnsi="Cambria Math" w:cs="Arial"/>
                    <w:sz w:val="20"/>
                    <w:szCs w:val="20"/>
                  </w:rPr>
                  <m:t>fx</m:t>
                </m:r>
              </m:e>
            </m:nary>
          </m:num>
          <m:den>
            <m:nary>
              <m:naryPr>
                <m:chr m:val="∑"/>
                <m:limLoc m:val="undOvr"/>
                <m:subHide m:val="1"/>
                <m:supHide m:val="1"/>
                <m:ctrlPr>
                  <w:rPr>
                    <w:rFonts w:ascii="Cambria Math" w:hAnsi="Cambria Math" w:cs="Arial"/>
                    <w:bCs/>
                    <w:iCs/>
                    <w:sz w:val="20"/>
                    <w:szCs w:val="20"/>
                  </w:rPr>
                </m:ctrlPr>
              </m:naryPr>
              <m:sub/>
              <m:sup/>
              <m:e>
                <m:r>
                  <m:rPr>
                    <m:sty m:val="p"/>
                  </m:rPr>
                  <w:rPr>
                    <w:rFonts w:ascii="Cambria Math" w:hAnsi="Cambria Math" w:cs="Arial"/>
                    <w:sz w:val="20"/>
                    <w:szCs w:val="20"/>
                  </w:rPr>
                  <m:t>f</m:t>
                </m:r>
              </m:e>
            </m:nary>
          </m:den>
        </m:f>
      </m:oMath>
    </w:p>
    <w:p w14:paraId="3172213B" w14:textId="77777777" w:rsidR="00D268B4" w:rsidRPr="00D268B4" w:rsidRDefault="00D268B4" w:rsidP="0046264F">
      <w:pPr>
        <w:spacing w:line="240" w:lineRule="auto"/>
        <w:jc w:val="both"/>
        <w:rPr>
          <w:rFonts w:ascii="Arial" w:hAnsi="Arial" w:cs="Arial"/>
          <w:bCs/>
          <w:sz w:val="20"/>
          <w:szCs w:val="20"/>
        </w:rPr>
      </w:pPr>
      <w:r w:rsidRPr="00D268B4">
        <w:rPr>
          <w:rFonts w:ascii="Arial" w:hAnsi="Arial" w:cs="Arial"/>
          <w:bCs/>
          <w:sz w:val="20"/>
          <w:szCs w:val="20"/>
        </w:rPr>
        <w:t>Where,</w:t>
      </w:r>
    </w:p>
    <w:p w14:paraId="0271AC67" w14:textId="77777777" w:rsidR="00D268B4" w:rsidRPr="00D268B4" w:rsidRDefault="00D268B4" w:rsidP="0046264F">
      <w:pPr>
        <w:spacing w:line="240" w:lineRule="auto"/>
        <w:ind w:firstLine="720"/>
        <w:jc w:val="both"/>
        <w:rPr>
          <w:rFonts w:ascii="Arial" w:hAnsi="Arial" w:cs="Arial"/>
          <w:bCs/>
          <w:sz w:val="20"/>
          <w:szCs w:val="20"/>
        </w:rPr>
      </w:pPr>
      <w:r w:rsidRPr="00D268B4">
        <w:rPr>
          <w:rFonts w:ascii="Arial" w:hAnsi="Arial" w:cs="Arial"/>
          <w:bCs/>
          <w:sz w:val="20"/>
          <w:szCs w:val="20"/>
        </w:rPr>
        <w:t>‘f’ is the no. of respondents under each option</w:t>
      </w:r>
    </w:p>
    <w:p w14:paraId="5DEFA855" w14:textId="77777777" w:rsidR="00D268B4" w:rsidRPr="00D268B4" w:rsidRDefault="00D268B4" w:rsidP="0046264F">
      <w:pPr>
        <w:spacing w:line="240" w:lineRule="auto"/>
        <w:ind w:firstLine="720"/>
        <w:jc w:val="both"/>
        <w:rPr>
          <w:rFonts w:ascii="Arial" w:hAnsi="Arial" w:cs="Arial"/>
          <w:bCs/>
          <w:sz w:val="20"/>
          <w:szCs w:val="20"/>
        </w:rPr>
      </w:pPr>
      <w:r w:rsidRPr="00D268B4">
        <w:rPr>
          <w:rFonts w:ascii="Arial" w:hAnsi="Arial" w:cs="Arial"/>
          <w:bCs/>
          <w:sz w:val="20"/>
          <w:szCs w:val="20"/>
        </w:rPr>
        <w:t xml:space="preserve">‘x’ is the value assigned to each option </w:t>
      </w:r>
    </w:p>
    <w:p w14:paraId="6A37C6FA" w14:textId="4F54D709" w:rsidR="00D268B4" w:rsidRPr="00D268B4" w:rsidRDefault="00D268B4" w:rsidP="0046264F">
      <w:pPr>
        <w:spacing w:line="240" w:lineRule="auto"/>
        <w:jc w:val="both"/>
        <w:rPr>
          <w:rFonts w:ascii="Arial" w:hAnsi="Arial" w:cs="Arial"/>
          <w:b/>
          <w:lang w:val="en-US"/>
        </w:rPr>
      </w:pPr>
      <w:r w:rsidRPr="002A2480">
        <w:rPr>
          <w:rFonts w:ascii="Arial" w:hAnsi="Arial" w:cs="Arial"/>
          <w:b/>
          <w:lang w:val="en-US"/>
        </w:rPr>
        <w:t xml:space="preserve">2.2 </w:t>
      </w:r>
      <w:r w:rsidRPr="00D268B4">
        <w:rPr>
          <w:rFonts w:ascii="Arial" w:hAnsi="Arial" w:cs="Arial"/>
          <w:b/>
          <w:lang w:val="en-US"/>
        </w:rPr>
        <w:t>Chi square tests</w:t>
      </w:r>
    </w:p>
    <w:p w14:paraId="78D95822" w14:textId="77777777" w:rsidR="00D268B4" w:rsidRPr="00D268B4" w:rsidRDefault="00D268B4" w:rsidP="0046264F">
      <w:pPr>
        <w:spacing w:line="240" w:lineRule="auto"/>
        <w:jc w:val="both"/>
        <w:rPr>
          <w:rFonts w:ascii="Arial" w:hAnsi="Arial" w:cs="Arial"/>
          <w:bCs/>
          <w:sz w:val="20"/>
          <w:szCs w:val="20"/>
          <w:lang w:val="en-US"/>
        </w:rPr>
      </w:pPr>
      <w:r w:rsidRPr="00D268B4">
        <w:rPr>
          <w:rFonts w:ascii="Arial" w:hAnsi="Arial" w:cs="Arial"/>
          <w:bCs/>
          <w:sz w:val="20"/>
          <w:szCs w:val="20"/>
          <w:lang w:val="en-US"/>
        </w:rPr>
        <w:t>To examine whether there is a statistically significant difference in consumer preference between certified and non-certified organic products, a Chi-square test of independence was conducted. The analysis was based on categorical data collected from respondents regarding their willingness to purchase certified and non-certified organic millets. A 2×2 contingency table was constructed, categorizing responses as either "Yes" or "No" for both certified and non-certified products. The Chi-square test compared the observed frequencies of responses with the expected frequencies under the assumption, H</w:t>
      </w:r>
      <w:r w:rsidRPr="00D268B4">
        <w:rPr>
          <w:rFonts w:ascii="Arial" w:hAnsi="Arial" w:cs="Arial"/>
          <w:bCs/>
          <w:sz w:val="20"/>
          <w:szCs w:val="20"/>
          <w:vertAlign w:val="subscript"/>
          <w:lang w:val="en-US"/>
        </w:rPr>
        <w:t>o</w:t>
      </w:r>
      <w:r w:rsidRPr="00D268B4">
        <w:rPr>
          <w:rFonts w:ascii="Arial" w:hAnsi="Arial" w:cs="Arial"/>
          <w:bCs/>
          <w:sz w:val="20"/>
          <w:szCs w:val="20"/>
          <w:lang w:val="en-US"/>
        </w:rPr>
        <w:t xml:space="preserve">: There is no association between product certification status and consumer preference. </w:t>
      </w:r>
    </w:p>
    <w:p w14:paraId="4516FF18" w14:textId="77777777" w:rsidR="00D268B4" w:rsidRPr="00D268B4" w:rsidRDefault="00D268B4" w:rsidP="0046264F">
      <w:pPr>
        <w:spacing w:line="240" w:lineRule="auto"/>
        <w:jc w:val="both"/>
        <w:rPr>
          <w:rFonts w:ascii="Arial" w:hAnsi="Arial" w:cs="Arial"/>
          <w:bCs/>
          <w:sz w:val="20"/>
          <w:szCs w:val="20"/>
          <w:lang w:val="en-US"/>
        </w:rPr>
      </w:pPr>
      <w:r w:rsidRPr="00D268B4">
        <w:rPr>
          <w:rFonts w:ascii="Arial" w:hAnsi="Arial" w:cs="Arial"/>
          <w:bCs/>
          <w:sz w:val="20"/>
          <w:szCs w:val="20"/>
          <w:lang w:val="en-US"/>
        </w:rPr>
        <w:lastRenderedPageBreak/>
        <w:t>The formula for chi square statistic is given as,</w:t>
      </w:r>
    </w:p>
    <w:p w14:paraId="1E45278B" w14:textId="71D75DE2" w:rsidR="00D268B4" w:rsidRPr="00D268B4" w:rsidRDefault="00D268B4" w:rsidP="00835CD4">
      <w:pPr>
        <w:spacing w:line="240" w:lineRule="auto"/>
        <w:ind w:left="720"/>
        <w:jc w:val="both"/>
        <w:rPr>
          <w:rFonts w:ascii="Arial" w:hAnsi="Arial" w:cs="Arial"/>
          <w:bCs/>
          <w:sz w:val="20"/>
          <w:szCs w:val="20"/>
          <w:lang w:val="en-US"/>
        </w:rPr>
      </w:pPr>
      <w:r w:rsidRPr="00D268B4">
        <w:rPr>
          <w:rFonts w:ascii="Arial" w:hAnsi="Arial" w:cs="Arial"/>
          <w:bCs/>
          <w:sz w:val="20"/>
          <w:szCs w:val="20"/>
        </w:rPr>
        <w:t>χ</w:t>
      </w:r>
      <w:r w:rsidRPr="00D268B4">
        <w:rPr>
          <w:rFonts w:ascii="Arial" w:hAnsi="Arial" w:cs="Arial"/>
          <w:bCs/>
          <w:sz w:val="20"/>
          <w:szCs w:val="20"/>
          <w:vertAlign w:val="superscript"/>
          <w:lang w:val="en-US"/>
        </w:rPr>
        <w:t>2</w:t>
      </w:r>
      <w:r w:rsidRPr="00D268B4">
        <w:rPr>
          <w:rFonts w:ascii="Arial" w:hAnsi="Arial" w:cs="Arial"/>
          <w:bCs/>
          <w:sz w:val="20"/>
          <w:szCs w:val="20"/>
          <w:lang w:val="en-US"/>
        </w:rPr>
        <w:t xml:space="preserve"> =</w:t>
      </w:r>
      <m:oMath>
        <m:r>
          <w:rPr>
            <w:rFonts w:ascii="Cambria Math" w:hAnsi="Cambria Math" w:cs="Arial"/>
            <w:sz w:val="20"/>
            <w:szCs w:val="20"/>
            <w:lang w:val="en-US"/>
          </w:rPr>
          <m:t xml:space="preserve"> ∑</m:t>
        </m:r>
        <m:f>
          <m:fPr>
            <m:ctrlPr>
              <w:rPr>
                <w:rFonts w:ascii="Cambria Math" w:hAnsi="Cambria Math" w:cs="Arial"/>
                <w:bCs/>
                <w:i/>
                <w:sz w:val="20"/>
                <w:szCs w:val="20"/>
                <w:lang w:val="en-US"/>
              </w:rPr>
            </m:ctrlPr>
          </m:fPr>
          <m:num>
            <m:sSup>
              <m:sSupPr>
                <m:ctrlPr>
                  <w:rPr>
                    <w:rFonts w:ascii="Cambria Math" w:hAnsi="Cambria Math" w:cs="Arial"/>
                    <w:bCs/>
                    <w:i/>
                    <w:sz w:val="20"/>
                    <w:szCs w:val="20"/>
                    <w:lang w:val="en-US"/>
                  </w:rPr>
                </m:ctrlPr>
              </m:sSupPr>
              <m:e>
                <m:r>
                  <w:rPr>
                    <w:rFonts w:ascii="Cambria Math" w:hAnsi="Cambria Math" w:cs="Arial"/>
                    <w:sz w:val="20"/>
                    <w:szCs w:val="20"/>
                    <w:lang w:val="en-US"/>
                  </w:rPr>
                  <m:t>(</m:t>
                </m:r>
                <m:sSub>
                  <m:sSubPr>
                    <m:ctrlPr>
                      <w:rPr>
                        <w:rFonts w:ascii="Cambria Math" w:hAnsi="Cambria Math" w:cs="Arial"/>
                        <w:bCs/>
                        <w:i/>
                        <w:sz w:val="20"/>
                        <w:szCs w:val="20"/>
                        <w:lang w:val="en-US"/>
                      </w:rPr>
                    </m:ctrlPr>
                  </m:sSubPr>
                  <m:e>
                    <m:r>
                      <w:rPr>
                        <w:rFonts w:ascii="Cambria Math" w:hAnsi="Cambria Math" w:cs="Arial"/>
                        <w:sz w:val="20"/>
                        <w:szCs w:val="20"/>
                        <w:lang w:val="en-US"/>
                      </w:rPr>
                      <m:t>O</m:t>
                    </m:r>
                  </m:e>
                  <m:sub>
                    <m:r>
                      <w:rPr>
                        <w:rFonts w:ascii="Cambria Math" w:hAnsi="Cambria Math" w:cs="Arial"/>
                        <w:sz w:val="20"/>
                        <w:szCs w:val="20"/>
                        <w:lang w:val="en-US"/>
                      </w:rPr>
                      <m:t>ij</m:t>
                    </m:r>
                  </m:sub>
                </m:sSub>
                <m:r>
                  <w:rPr>
                    <w:rFonts w:ascii="Cambria Math" w:hAnsi="Cambria Math" w:cs="Arial"/>
                    <w:sz w:val="20"/>
                    <w:szCs w:val="20"/>
                    <w:lang w:val="en-US"/>
                  </w:rPr>
                  <m:t>-</m:t>
                </m:r>
                <m:sSub>
                  <m:sSubPr>
                    <m:ctrlPr>
                      <w:rPr>
                        <w:rFonts w:ascii="Cambria Math" w:hAnsi="Cambria Math" w:cs="Arial"/>
                        <w:bCs/>
                        <w:i/>
                        <w:sz w:val="20"/>
                        <w:szCs w:val="20"/>
                        <w:lang w:val="en-US"/>
                      </w:rPr>
                    </m:ctrlPr>
                  </m:sSubPr>
                  <m:e>
                    <m:r>
                      <w:rPr>
                        <w:rFonts w:ascii="Cambria Math" w:hAnsi="Cambria Math" w:cs="Arial"/>
                        <w:sz w:val="20"/>
                        <w:szCs w:val="20"/>
                        <w:lang w:val="en-US"/>
                      </w:rPr>
                      <m:t>E</m:t>
                    </m:r>
                  </m:e>
                  <m:sub>
                    <m:r>
                      <w:rPr>
                        <w:rFonts w:ascii="Cambria Math" w:hAnsi="Cambria Math" w:cs="Arial"/>
                        <w:sz w:val="20"/>
                        <w:szCs w:val="20"/>
                        <w:lang w:val="en-US"/>
                      </w:rPr>
                      <m:t>ij</m:t>
                    </m:r>
                  </m:sub>
                </m:sSub>
                <m:r>
                  <w:rPr>
                    <w:rFonts w:ascii="Cambria Math" w:hAnsi="Cambria Math" w:cs="Arial"/>
                    <w:sz w:val="20"/>
                    <w:szCs w:val="20"/>
                    <w:lang w:val="en-US"/>
                  </w:rPr>
                  <m:t>)</m:t>
                </m:r>
              </m:e>
              <m:sup>
                <m:r>
                  <w:rPr>
                    <w:rFonts w:ascii="Cambria Math" w:hAnsi="Cambria Math" w:cs="Arial"/>
                    <w:sz w:val="20"/>
                    <w:szCs w:val="20"/>
                    <w:lang w:val="en-US"/>
                  </w:rPr>
                  <m:t>2</m:t>
                </m:r>
              </m:sup>
            </m:sSup>
          </m:num>
          <m:den>
            <m:sSub>
              <m:sSubPr>
                <m:ctrlPr>
                  <w:rPr>
                    <w:rFonts w:ascii="Cambria Math" w:hAnsi="Cambria Math" w:cs="Arial"/>
                    <w:bCs/>
                    <w:i/>
                    <w:sz w:val="20"/>
                    <w:szCs w:val="20"/>
                    <w:lang w:val="en-US"/>
                  </w:rPr>
                </m:ctrlPr>
              </m:sSubPr>
              <m:e>
                <m:r>
                  <w:rPr>
                    <w:rFonts w:ascii="Cambria Math" w:hAnsi="Cambria Math" w:cs="Arial"/>
                    <w:sz w:val="20"/>
                    <w:szCs w:val="20"/>
                    <w:lang w:val="en-US"/>
                  </w:rPr>
                  <m:t>E</m:t>
                </m:r>
              </m:e>
              <m:sub>
                <m:r>
                  <w:rPr>
                    <w:rFonts w:ascii="Cambria Math" w:hAnsi="Cambria Math" w:cs="Arial"/>
                    <w:sz w:val="20"/>
                    <w:szCs w:val="20"/>
                    <w:lang w:val="en-US"/>
                  </w:rPr>
                  <m:t>ij</m:t>
                </m:r>
              </m:sub>
            </m:sSub>
          </m:den>
        </m:f>
      </m:oMath>
    </w:p>
    <w:p w14:paraId="5E0AC195" w14:textId="77777777" w:rsidR="00D268B4" w:rsidRPr="00D268B4" w:rsidRDefault="00D268B4" w:rsidP="0046264F">
      <w:pPr>
        <w:spacing w:line="240" w:lineRule="auto"/>
        <w:jc w:val="both"/>
        <w:rPr>
          <w:rFonts w:ascii="Arial" w:hAnsi="Arial" w:cs="Arial"/>
          <w:bCs/>
          <w:sz w:val="20"/>
          <w:szCs w:val="20"/>
          <w:lang w:val="en-US"/>
        </w:rPr>
      </w:pPr>
      <w:r w:rsidRPr="00D268B4">
        <w:rPr>
          <w:rFonts w:ascii="Arial" w:hAnsi="Arial" w:cs="Arial"/>
          <w:bCs/>
          <w:sz w:val="20"/>
          <w:szCs w:val="20"/>
          <w:lang w:val="en-US"/>
        </w:rPr>
        <w:t>Where,</w:t>
      </w:r>
    </w:p>
    <w:p w14:paraId="5DB152E9" w14:textId="5040C9D7" w:rsidR="00D268B4" w:rsidRPr="00D268B4" w:rsidRDefault="00D268B4" w:rsidP="00835CD4">
      <w:pPr>
        <w:spacing w:line="240" w:lineRule="auto"/>
        <w:ind w:left="720"/>
        <w:jc w:val="both"/>
        <w:rPr>
          <w:rFonts w:ascii="Arial" w:hAnsi="Arial" w:cs="Arial"/>
          <w:bCs/>
          <w:iCs/>
          <w:sz w:val="20"/>
          <w:szCs w:val="20"/>
          <w:lang w:val="en-US"/>
        </w:rPr>
      </w:pPr>
      <w:r w:rsidRPr="00D268B4">
        <w:rPr>
          <w:rFonts w:ascii="Arial" w:hAnsi="Arial" w:cs="Arial"/>
          <w:bCs/>
          <w:iCs/>
          <w:sz w:val="20"/>
          <w:szCs w:val="20"/>
          <w:lang w:val="en-US"/>
        </w:rPr>
        <w:t>‘</w:t>
      </w:r>
      <m:oMath>
        <m:sSub>
          <m:sSubPr>
            <m:ctrlPr>
              <w:rPr>
                <w:rFonts w:ascii="Cambria Math" w:hAnsi="Cambria Math" w:cs="Arial"/>
                <w:bCs/>
                <w:iCs/>
                <w:sz w:val="20"/>
                <w:szCs w:val="20"/>
                <w:lang w:val="en-US"/>
              </w:rPr>
            </m:ctrlPr>
          </m:sSubPr>
          <m:e>
            <m:r>
              <m:rPr>
                <m:sty m:val="p"/>
              </m:rPr>
              <w:rPr>
                <w:rFonts w:ascii="Cambria Math" w:hAnsi="Cambria Math" w:cs="Arial"/>
                <w:sz w:val="20"/>
                <w:szCs w:val="20"/>
                <w:lang w:val="en-US"/>
              </w:rPr>
              <m:t>O</m:t>
            </m:r>
          </m:e>
          <m:sub>
            <m:r>
              <m:rPr>
                <m:sty m:val="p"/>
              </m:rPr>
              <w:rPr>
                <w:rFonts w:ascii="Cambria Math" w:hAnsi="Cambria Math" w:cs="Arial"/>
                <w:sz w:val="20"/>
                <w:szCs w:val="20"/>
                <w:lang w:val="en-US"/>
              </w:rPr>
              <m:t>ij</m:t>
            </m:r>
          </m:sub>
        </m:sSub>
      </m:oMath>
      <w:r w:rsidRPr="00D268B4">
        <w:rPr>
          <w:rFonts w:ascii="Arial" w:hAnsi="Arial" w:cs="Arial"/>
          <w:bCs/>
          <w:iCs/>
          <w:sz w:val="20"/>
          <w:szCs w:val="20"/>
          <w:lang w:val="en-US"/>
        </w:rPr>
        <w:t>’ is the Observed frequency in cell i, j</w:t>
      </w:r>
    </w:p>
    <w:p w14:paraId="76C6900E" w14:textId="34DBA2DD" w:rsidR="00D268B4" w:rsidRPr="00D268B4" w:rsidRDefault="00D268B4" w:rsidP="00835CD4">
      <w:pPr>
        <w:spacing w:line="240" w:lineRule="auto"/>
        <w:ind w:left="720"/>
        <w:jc w:val="both"/>
        <w:rPr>
          <w:rFonts w:ascii="Arial" w:hAnsi="Arial" w:cs="Arial"/>
          <w:bCs/>
          <w:sz w:val="20"/>
          <w:szCs w:val="20"/>
          <w:lang w:val="en-US"/>
        </w:rPr>
      </w:pPr>
      <w:r w:rsidRPr="00D268B4">
        <w:rPr>
          <w:rFonts w:ascii="Arial" w:hAnsi="Arial" w:cs="Arial"/>
          <w:bCs/>
          <w:iCs/>
          <w:sz w:val="20"/>
          <w:szCs w:val="20"/>
          <w:lang w:val="en-US"/>
        </w:rPr>
        <w:t>‘</w:t>
      </w:r>
      <m:oMath>
        <m:sSub>
          <m:sSubPr>
            <m:ctrlPr>
              <w:rPr>
                <w:rFonts w:ascii="Cambria Math" w:hAnsi="Cambria Math" w:cs="Arial"/>
                <w:bCs/>
                <w:i/>
                <w:sz w:val="20"/>
                <w:szCs w:val="20"/>
                <w:lang w:val="en-US"/>
              </w:rPr>
            </m:ctrlPr>
          </m:sSubPr>
          <m:e>
            <m:r>
              <w:rPr>
                <w:rFonts w:ascii="Cambria Math" w:hAnsi="Cambria Math" w:cs="Arial"/>
                <w:sz w:val="20"/>
                <w:szCs w:val="20"/>
                <w:lang w:val="en-US"/>
              </w:rPr>
              <m:t>E</m:t>
            </m:r>
          </m:e>
          <m:sub>
            <m:r>
              <w:rPr>
                <w:rFonts w:ascii="Cambria Math" w:hAnsi="Cambria Math" w:cs="Arial"/>
                <w:sz w:val="20"/>
                <w:szCs w:val="20"/>
                <w:lang w:val="en-US"/>
              </w:rPr>
              <m:t>ij</m:t>
            </m:r>
          </m:sub>
        </m:sSub>
      </m:oMath>
      <w:r w:rsidRPr="00D268B4">
        <w:rPr>
          <w:rFonts w:ascii="Arial" w:hAnsi="Arial" w:cs="Arial"/>
          <w:bCs/>
          <w:sz w:val="20"/>
          <w:szCs w:val="20"/>
          <w:lang w:val="en-US"/>
        </w:rPr>
        <w:t>’ is the expected frequency in cell i, j, calculated as</w:t>
      </w:r>
    </w:p>
    <w:p w14:paraId="3A915A01" w14:textId="02690CD2" w:rsidR="00D268B4" w:rsidRPr="00D268B4" w:rsidRDefault="00000089" w:rsidP="00835CD4">
      <w:pPr>
        <w:spacing w:line="240" w:lineRule="auto"/>
        <w:ind w:left="720"/>
        <w:jc w:val="both"/>
        <w:rPr>
          <w:rFonts w:ascii="Arial" w:hAnsi="Arial" w:cs="Arial"/>
          <w:bCs/>
          <w:iCs/>
          <w:sz w:val="20"/>
          <w:szCs w:val="20"/>
          <w:lang w:val="en-US"/>
        </w:rPr>
      </w:pPr>
      <m:oMath>
        <m:sSub>
          <m:sSubPr>
            <m:ctrlPr>
              <w:rPr>
                <w:rFonts w:ascii="Cambria Math" w:hAnsi="Cambria Math" w:cs="Arial"/>
                <w:bCs/>
                <w:i/>
                <w:sz w:val="20"/>
                <w:szCs w:val="20"/>
                <w:lang w:val="en-US"/>
              </w:rPr>
            </m:ctrlPr>
          </m:sSubPr>
          <m:e>
            <m:r>
              <w:rPr>
                <w:rFonts w:ascii="Cambria Math" w:hAnsi="Cambria Math" w:cs="Arial"/>
                <w:sz w:val="20"/>
                <w:szCs w:val="20"/>
                <w:lang w:val="en-US"/>
              </w:rPr>
              <m:t>E</m:t>
            </m:r>
          </m:e>
          <m:sub>
            <m:r>
              <w:rPr>
                <w:rFonts w:ascii="Cambria Math" w:hAnsi="Cambria Math" w:cs="Arial"/>
                <w:sz w:val="20"/>
                <w:szCs w:val="20"/>
                <w:lang w:val="en-US"/>
              </w:rPr>
              <m:t>ij</m:t>
            </m:r>
          </m:sub>
        </m:sSub>
      </m:oMath>
      <w:r w:rsidR="00D268B4" w:rsidRPr="00D268B4">
        <w:rPr>
          <w:rFonts w:ascii="Arial" w:hAnsi="Arial" w:cs="Arial"/>
          <w:bCs/>
          <w:sz w:val="20"/>
          <w:szCs w:val="20"/>
          <w:lang w:val="en-US"/>
        </w:rPr>
        <w:t xml:space="preserve"> = </w:t>
      </w:r>
      <m:oMath>
        <m:f>
          <m:fPr>
            <m:ctrlPr>
              <w:rPr>
                <w:rFonts w:ascii="Cambria Math" w:hAnsi="Cambria Math" w:cs="Arial"/>
                <w:bCs/>
                <w:sz w:val="20"/>
                <w:szCs w:val="20"/>
                <w:lang w:val="en-US"/>
              </w:rPr>
            </m:ctrlPr>
          </m:fPr>
          <m:num>
            <m:d>
              <m:dPr>
                <m:ctrlPr>
                  <w:rPr>
                    <w:rFonts w:ascii="Cambria Math" w:hAnsi="Cambria Math" w:cs="Arial"/>
                    <w:bCs/>
                    <w:sz w:val="20"/>
                    <w:szCs w:val="20"/>
                    <w:lang w:val="en-US"/>
                  </w:rPr>
                </m:ctrlPr>
              </m:dPr>
              <m:e>
                <m:r>
                  <m:rPr>
                    <m:sty m:val="p"/>
                  </m:rPr>
                  <w:rPr>
                    <w:rFonts w:ascii="Cambria Math" w:hAnsi="Cambria Math" w:cs="Arial"/>
                    <w:sz w:val="20"/>
                    <w:szCs w:val="20"/>
                    <w:lang w:val="en-US"/>
                  </w:rPr>
                  <m:t>Row total</m:t>
                </m:r>
              </m:e>
            </m:d>
            <m:r>
              <m:rPr>
                <m:sty m:val="p"/>
              </m:rPr>
              <w:rPr>
                <w:rFonts w:ascii="Cambria Math" w:hAnsi="Cambria Math" w:cs="Arial"/>
                <w:sz w:val="20"/>
                <w:szCs w:val="20"/>
                <w:lang w:val="en-US"/>
              </w:rPr>
              <m:t>x (Column total)</m:t>
            </m:r>
          </m:num>
          <m:den>
            <m:r>
              <m:rPr>
                <m:sty m:val="p"/>
              </m:rPr>
              <w:rPr>
                <w:rFonts w:ascii="Cambria Math" w:hAnsi="Cambria Math" w:cs="Arial"/>
                <w:sz w:val="20"/>
                <w:szCs w:val="20"/>
                <w:lang w:val="en-US"/>
              </w:rPr>
              <m:t>Grand total</m:t>
            </m:r>
          </m:den>
        </m:f>
      </m:oMath>
    </w:p>
    <w:p w14:paraId="615EC6F6" w14:textId="77777777" w:rsidR="0046264F" w:rsidRPr="002A2480" w:rsidRDefault="00D268B4" w:rsidP="0046264F">
      <w:pPr>
        <w:spacing w:line="240" w:lineRule="auto"/>
        <w:jc w:val="both"/>
        <w:rPr>
          <w:rFonts w:ascii="Arial" w:hAnsi="Arial" w:cs="Arial"/>
          <w:b/>
          <w:sz w:val="20"/>
          <w:szCs w:val="20"/>
          <w:lang w:val="en-US"/>
        </w:rPr>
      </w:pPr>
      <w:r w:rsidRPr="002A2480">
        <w:rPr>
          <w:rFonts w:ascii="Arial" w:hAnsi="Arial" w:cs="Arial"/>
          <w:b/>
          <w:sz w:val="20"/>
          <w:szCs w:val="20"/>
          <w:lang w:val="en-US"/>
        </w:rPr>
        <w:t>2.</w:t>
      </w:r>
      <w:r w:rsidRPr="002A2480">
        <w:rPr>
          <w:rFonts w:ascii="Arial" w:hAnsi="Arial" w:cs="Arial"/>
          <w:b/>
          <w:lang w:val="en-US"/>
        </w:rPr>
        <w:t xml:space="preserve">3 </w:t>
      </w:r>
      <w:r w:rsidR="0046264F" w:rsidRPr="002A2480">
        <w:rPr>
          <w:rFonts w:ascii="Arial" w:hAnsi="Arial" w:cs="Arial"/>
          <w:b/>
          <w:lang w:val="en-US"/>
        </w:rPr>
        <w:t>Multiple regression analysis</w:t>
      </w:r>
    </w:p>
    <w:p w14:paraId="0C03B0D3" w14:textId="0EAF18B5" w:rsidR="0046264F" w:rsidRPr="0046264F" w:rsidRDefault="0046264F" w:rsidP="0046264F">
      <w:pPr>
        <w:spacing w:line="240" w:lineRule="auto"/>
        <w:jc w:val="both"/>
        <w:rPr>
          <w:rFonts w:ascii="Arial" w:hAnsi="Arial" w:cs="Arial"/>
          <w:bCs/>
          <w:sz w:val="20"/>
          <w:szCs w:val="20"/>
          <w:lang w:val="en-US"/>
        </w:rPr>
      </w:pPr>
      <w:r w:rsidRPr="0046264F">
        <w:rPr>
          <w:rFonts w:ascii="Arial" w:hAnsi="Arial" w:cs="Arial"/>
          <w:bCs/>
          <w:sz w:val="20"/>
          <w:szCs w:val="20"/>
        </w:rPr>
        <w:t>To identify the factors influencing monthly consumption expenditure on organic millets Ordinary Least Squares multiple regression analysis was employed</w:t>
      </w:r>
      <w:r w:rsidR="00835CD4" w:rsidRPr="002A2480">
        <w:rPr>
          <w:rFonts w:ascii="Arial" w:hAnsi="Arial" w:cs="Arial"/>
          <w:bCs/>
          <w:sz w:val="20"/>
          <w:szCs w:val="20"/>
        </w:rPr>
        <w:t xml:space="preserve">. </w:t>
      </w:r>
      <w:r w:rsidRPr="0046264F">
        <w:rPr>
          <w:rFonts w:ascii="Arial" w:hAnsi="Arial" w:cs="Arial"/>
          <w:bCs/>
          <w:sz w:val="20"/>
          <w:szCs w:val="20"/>
        </w:rPr>
        <w:t>This statistical method estimates the relationship between a dependent variable and multiple independent variables by minimizing the sum of squared residuals.</w:t>
      </w:r>
      <w:r w:rsidRPr="0046264F">
        <w:rPr>
          <w:rFonts w:ascii="Arial" w:hAnsi="Arial" w:cs="Arial"/>
          <w:bCs/>
          <w:sz w:val="20"/>
          <w:szCs w:val="20"/>
          <w:lang w:val="en-US"/>
        </w:rPr>
        <w:t xml:space="preserve"> </w:t>
      </w:r>
      <w:r w:rsidRPr="002A2480">
        <w:rPr>
          <w:rFonts w:ascii="Arial" w:hAnsi="Arial" w:cs="Arial"/>
          <w:sz w:val="20"/>
          <w:szCs w:val="20"/>
        </w:rPr>
        <w:t xml:space="preserve">A stepwise regression procedure was employed to identify the most statistically significant predictors. The final model was selected based on diagnostic criteria including R², </w:t>
      </w:r>
      <w:bookmarkStart w:id="1" w:name="_Hlk210423768"/>
      <w:r w:rsidRPr="002A2480">
        <w:rPr>
          <w:rFonts w:ascii="Arial" w:hAnsi="Arial" w:cs="Arial"/>
          <w:sz w:val="20"/>
          <w:szCs w:val="20"/>
        </w:rPr>
        <w:t>Akaike Information Criterion (AIC), and Bayesian Information Criterion (BIC)</w:t>
      </w:r>
      <w:bookmarkEnd w:id="1"/>
      <w:r w:rsidRPr="002A2480">
        <w:rPr>
          <w:rFonts w:ascii="Arial" w:hAnsi="Arial" w:cs="Arial"/>
          <w:sz w:val="20"/>
          <w:szCs w:val="20"/>
        </w:rPr>
        <w:t xml:space="preserve"> to ensure optimal model fit and parsimony.</w:t>
      </w:r>
      <w:r w:rsidR="004D7B2F" w:rsidRPr="004D7B2F">
        <w:t xml:space="preserve"> </w:t>
      </w:r>
      <w:r w:rsidR="004D7B2F">
        <w:t xml:space="preserve">Analysis was done </w:t>
      </w:r>
      <w:r w:rsidR="004D7B2F" w:rsidRPr="004D7B2F">
        <w:rPr>
          <w:rFonts w:ascii="Arial" w:hAnsi="Arial" w:cs="Arial"/>
          <w:sz w:val="20"/>
          <w:szCs w:val="20"/>
        </w:rPr>
        <w:t xml:space="preserve">using Python </w:t>
      </w:r>
      <w:r w:rsidR="004D7B2F">
        <w:rPr>
          <w:rFonts w:ascii="Arial" w:hAnsi="Arial" w:cs="Arial"/>
          <w:sz w:val="20"/>
          <w:szCs w:val="20"/>
        </w:rPr>
        <w:t>in</w:t>
      </w:r>
      <w:r w:rsidR="004D7B2F" w:rsidRPr="004D7B2F">
        <w:rPr>
          <w:rFonts w:ascii="Arial" w:hAnsi="Arial" w:cs="Arial"/>
          <w:sz w:val="20"/>
          <w:szCs w:val="20"/>
        </w:rPr>
        <w:t xml:space="preserve"> </w:t>
      </w:r>
      <w:proofErr w:type="spellStart"/>
      <w:r w:rsidR="004D7B2F" w:rsidRPr="004D7B2F">
        <w:rPr>
          <w:rFonts w:ascii="Arial" w:hAnsi="Arial" w:cs="Arial"/>
          <w:sz w:val="20"/>
          <w:szCs w:val="20"/>
        </w:rPr>
        <w:t>Jupyter</w:t>
      </w:r>
      <w:proofErr w:type="spellEnd"/>
      <w:r w:rsidR="004D7B2F" w:rsidRPr="004D7B2F">
        <w:rPr>
          <w:rFonts w:ascii="Arial" w:hAnsi="Arial" w:cs="Arial"/>
          <w:sz w:val="20"/>
          <w:szCs w:val="20"/>
        </w:rPr>
        <w:t xml:space="preserve"> Notebook</w:t>
      </w:r>
      <w:r w:rsidR="004D7B2F">
        <w:rPr>
          <w:rFonts w:ascii="Arial" w:hAnsi="Arial" w:cs="Arial"/>
          <w:sz w:val="20"/>
          <w:szCs w:val="20"/>
        </w:rPr>
        <w:t>.</w:t>
      </w:r>
    </w:p>
    <w:p w14:paraId="04A33FE2" w14:textId="77777777" w:rsidR="0046264F" w:rsidRPr="0046264F" w:rsidRDefault="0046264F" w:rsidP="0046264F">
      <w:pPr>
        <w:spacing w:line="240" w:lineRule="auto"/>
        <w:jc w:val="both"/>
        <w:rPr>
          <w:rFonts w:ascii="Arial" w:hAnsi="Arial" w:cs="Arial"/>
          <w:bCs/>
          <w:sz w:val="20"/>
          <w:szCs w:val="20"/>
          <w:lang w:val="en-US"/>
        </w:rPr>
      </w:pPr>
      <w:r w:rsidRPr="0046264F">
        <w:rPr>
          <w:rFonts w:ascii="Arial" w:hAnsi="Arial" w:cs="Arial"/>
          <w:bCs/>
          <w:sz w:val="20"/>
          <w:szCs w:val="20"/>
          <w:lang w:val="en-US"/>
        </w:rPr>
        <w:t>The multiple regression model was structured as,</w:t>
      </w:r>
    </w:p>
    <w:p w14:paraId="05D6818B" w14:textId="29DB0C5E" w:rsidR="0046264F" w:rsidRPr="0046264F" w:rsidRDefault="0046264F" w:rsidP="0046264F">
      <w:pPr>
        <w:spacing w:line="240" w:lineRule="auto"/>
        <w:jc w:val="both"/>
        <w:rPr>
          <w:rFonts w:ascii="Arial" w:hAnsi="Arial" w:cs="Arial"/>
          <w:bCs/>
          <w:sz w:val="20"/>
          <w:szCs w:val="20"/>
          <w:lang w:val="en-US"/>
        </w:rPr>
      </w:pPr>
      <w:r w:rsidRPr="0046264F">
        <w:rPr>
          <w:rFonts w:ascii="Arial" w:hAnsi="Arial" w:cs="Arial"/>
          <w:bCs/>
          <w:sz w:val="20"/>
          <w:szCs w:val="20"/>
          <w:lang w:val="en-US"/>
        </w:rPr>
        <w:t xml:space="preserve">Y = </w:t>
      </w:r>
      <m:oMath>
        <m:r>
          <w:rPr>
            <w:rFonts w:ascii="Cambria Math" w:hAnsi="Cambria Math" w:cs="Arial"/>
            <w:sz w:val="20"/>
            <w:szCs w:val="20"/>
            <w:lang w:val="en-US"/>
          </w:rPr>
          <m:t>β</m:t>
        </m:r>
      </m:oMath>
      <w:r w:rsidRPr="0046264F">
        <w:rPr>
          <w:rFonts w:ascii="Arial" w:hAnsi="Arial" w:cs="Arial"/>
          <w:bCs/>
          <w:sz w:val="20"/>
          <w:szCs w:val="20"/>
          <w:vertAlign w:val="subscript"/>
          <w:lang w:val="en-US"/>
        </w:rPr>
        <w:t>o</w:t>
      </w:r>
      <w:r w:rsidRPr="0046264F">
        <w:rPr>
          <w:rFonts w:ascii="Arial" w:hAnsi="Arial" w:cs="Arial"/>
          <w:bCs/>
          <w:sz w:val="20"/>
          <w:szCs w:val="20"/>
          <w:lang w:val="en-US"/>
        </w:rPr>
        <w:t xml:space="preserve"> + </w:t>
      </w:r>
      <m:oMath>
        <m:r>
          <w:rPr>
            <w:rFonts w:ascii="Cambria Math" w:hAnsi="Cambria Math" w:cs="Arial"/>
            <w:sz w:val="20"/>
            <w:szCs w:val="20"/>
            <w:lang w:val="en-US"/>
          </w:rPr>
          <m:t>β</m:t>
        </m:r>
      </m:oMath>
      <w:r w:rsidRPr="0046264F">
        <w:rPr>
          <w:rFonts w:ascii="Arial" w:hAnsi="Arial" w:cs="Arial"/>
          <w:bCs/>
          <w:sz w:val="20"/>
          <w:szCs w:val="20"/>
          <w:vertAlign w:val="subscript"/>
          <w:lang w:val="en-US"/>
        </w:rPr>
        <w:t>1</w:t>
      </w:r>
      <w:r w:rsidRPr="0046264F">
        <w:rPr>
          <w:rFonts w:ascii="Arial" w:hAnsi="Arial" w:cs="Arial"/>
          <w:bCs/>
          <w:sz w:val="20"/>
          <w:szCs w:val="20"/>
          <w:lang w:val="en-US"/>
        </w:rPr>
        <w:t>x</w:t>
      </w:r>
      <w:proofErr w:type="gramStart"/>
      <w:r w:rsidRPr="0046264F">
        <w:rPr>
          <w:rFonts w:ascii="Arial" w:hAnsi="Arial" w:cs="Arial"/>
          <w:bCs/>
          <w:sz w:val="20"/>
          <w:szCs w:val="20"/>
          <w:vertAlign w:val="subscript"/>
          <w:lang w:val="en-US"/>
        </w:rPr>
        <w:t>1,i</w:t>
      </w:r>
      <w:proofErr w:type="gramEnd"/>
      <w:r w:rsidRPr="0046264F">
        <w:rPr>
          <w:rFonts w:ascii="Arial" w:hAnsi="Arial" w:cs="Arial"/>
          <w:bCs/>
          <w:sz w:val="20"/>
          <w:szCs w:val="20"/>
          <w:lang w:val="en-US"/>
        </w:rPr>
        <w:t xml:space="preserve">+………………+ </w:t>
      </w:r>
      <m:oMath>
        <m:r>
          <w:rPr>
            <w:rFonts w:ascii="Cambria Math" w:hAnsi="Cambria Math" w:cs="Arial"/>
            <w:sz w:val="20"/>
            <w:szCs w:val="20"/>
            <w:lang w:val="en-US"/>
          </w:rPr>
          <m:t>β</m:t>
        </m:r>
      </m:oMath>
      <w:r w:rsidRPr="0046264F">
        <w:rPr>
          <w:rFonts w:ascii="Arial" w:hAnsi="Arial" w:cs="Arial"/>
          <w:bCs/>
          <w:sz w:val="20"/>
          <w:szCs w:val="20"/>
          <w:vertAlign w:val="subscript"/>
          <w:lang w:val="en-US"/>
        </w:rPr>
        <w:t>k</w:t>
      </w:r>
      <w:proofErr w:type="spellStart"/>
      <w:r w:rsidRPr="0046264F">
        <w:rPr>
          <w:rFonts w:ascii="Arial" w:hAnsi="Arial" w:cs="Arial"/>
          <w:bCs/>
          <w:sz w:val="20"/>
          <w:szCs w:val="20"/>
          <w:lang w:val="en-US"/>
        </w:rPr>
        <w:t>x</w:t>
      </w:r>
      <w:r w:rsidRPr="0046264F">
        <w:rPr>
          <w:rFonts w:ascii="Arial" w:hAnsi="Arial" w:cs="Arial"/>
          <w:bCs/>
          <w:sz w:val="20"/>
          <w:szCs w:val="20"/>
          <w:vertAlign w:val="subscript"/>
          <w:lang w:val="en-US"/>
        </w:rPr>
        <w:t>k,i</w:t>
      </w:r>
      <w:proofErr w:type="spellEnd"/>
      <w:r w:rsidRPr="0046264F">
        <w:rPr>
          <w:rFonts w:ascii="Arial" w:hAnsi="Arial" w:cs="Arial"/>
          <w:bCs/>
          <w:sz w:val="20"/>
          <w:szCs w:val="20"/>
          <w:vertAlign w:val="subscript"/>
          <w:lang w:val="en-US"/>
        </w:rPr>
        <w:t xml:space="preserve"> </w:t>
      </w:r>
      <w:r w:rsidRPr="0046264F">
        <w:rPr>
          <w:rFonts w:ascii="Arial" w:hAnsi="Arial" w:cs="Arial"/>
          <w:bCs/>
          <w:sz w:val="20"/>
          <w:szCs w:val="20"/>
          <w:lang w:val="en-US"/>
        </w:rPr>
        <w:t xml:space="preserve">+ </w:t>
      </w:r>
      <w:proofErr w:type="spellStart"/>
      <w:r w:rsidRPr="0046264F">
        <w:rPr>
          <w:rFonts w:ascii="Arial" w:hAnsi="Arial" w:cs="Arial"/>
          <w:bCs/>
          <w:sz w:val="20"/>
          <w:szCs w:val="20"/>
        </w:rPr>
        <w:t>ε</w:t>
      </w:r>
      <w:r w:rsidRPr="0046264F">
        <w:rPr>
          <w:rFonts w:ascii="Arial" w:hAnsi="Arial" w:cs="Arial"/>
          <w:bCs/>
          <w:sz w:val="20"/>
          <w:szCs w:val="20"/>
          <w:vertAlign w:val="subscript"/>
        </w:rPr>
        <w:t>i</w:t>
      </w:r>
      <w:proofErr w:type="spellEnd"/>
      <w:r w:rsidRPr="0046264F">
        <w:rPr>
          <w:rFonts w:ascii="Arial" w:hAnsi="Arial" w:cs="Arial"/>
          <w:bCs/>
          <w:sz w:val="20"/>
          <w:szCs w:val="20"/>
          <w:vertAlign w:val="subscript"/>
        </w:rPr>
        <w:t>​</w:t>
      </w:r>
    </w:p>
    <w:p w14:paraId="11346D11" w14:textId="77777777" w:rsidR="0046264F" w:rsidRPr="0046264F" w:rsidRDefault="0046264F" w:rsidP="0046264F">
      <w:pPr>
        <w:spacing w:line="240" w:lineRule="auto"/>
        <w:jc w:val="both"/>
        <w:rPr>
          <w:rFonts w:ascii="Arial" w:hAnsi="Arial" w:cs="Arial"/>
          <w:bCs/>
          <w:sz w:val="20"/>
          <w:szCs w:val="20"/>
          <w:lang w:val="en-US"/>
        </w:rPr>
      </w:pPr>
      <w:r w:rsidRPr="0046264F">
        <w:rPr>
          <w:rFonts w:ascii="Arial" w:hAnsi="Arial" w:cs="Arial"/>
          <w:bCs/>
          <w:sz w:val="20"/>
          <w:szCs w:val="20"/>
          <w:lang w:val="en-US"/>
        </w:rPr>
        <w:t xml:space="preserve">Where, </w:t>
      </w:r>
    </w:p>
    <w:p w14:paraId="2348E82A" w14:textId="77777777" w:rsidR="0046264F" w:rsidRPr="0046264F" w:rsidRDefault="0046264F" w:rsidP="0046264F">
      <w:pPr>
        <w:spacing w:line="240" w:lineRule="auto"/>
        <w:jc w:val="both"/>
        <w:rPr>
          <w:rFonts w:ascii="Arial" w:hAnsi="Arial" w:cs="Arial"/>
          <w:bCs/>
          <w:sz w:val="20"/>
          <w:szCs w:val="20"/>
          <w:lang w:val="en-US"/>
        </w:rPr>
      </w:pPr>
      <w:r w:rsidRPr="0046264F">
        <w:rPr>
          <w:rFonts w:ascii="Arial" w:hAnsi="Arial" w:cs="Arial"/>
          <w:bCs/>
          <w:sz w:val="20"/>
          <w:szCs w:val="20"/>
          <w:lang w:val="en-US"/>
        </w:rPr>
        <w:t xml:space="preserve">‘Y’ is the </w:t>
      </w:r>
      <w:r w:rsidRPr="0046264F">
        <w:rPr>
          <w:rFonts w:ascii="Arial" w:hAnsi="Arial" w:cs="Arial"/>
          <w:bCs/>
          <w:sz w:val="20"/>
          <w:szCs w:val="20"/>
        </w:rPr>
        <w:t>monthly expenditure on organic millets (in ₹)</w:t>
      </w:r>
    </w:p>
    <w:p w14:paraId="3EFF5592" w14:textId="77777777" w:rsidR="0046264F" w:rsidRPr="0046264F" w:rsidRDefault="0046264F" w:rsidP="0046264F">
      <w:pPr>
        <w:spacing w:line="240" w:lineRule="auto"/>
        <w:jc w:val="both"/>
        <w:rPr>
          <w:rFonts w:ascii="Arial" w:hAnsi="Arial" w:cs="Arial"/>
          <w:bCs/>
          <w:sz w:val="20"/>
          <w:szCs w:val="20"/>
        </w:rPr>
      </w:pPr>
      <w:r w:rsidRPr="0046264F">
        <w:rPr>
          <w:rFonts w:ascii="Arial" w:hAnsi="Arial" w:cs="Arial"/>
          <w:bCs/>
          <w:sz w:val="20"/>
          <w:szCs w:val="20"/>
          <w:lang w:val="en-US"/>
        </w:rPr>
        <w:t>‘X</w:t>
      </w:r>
      <w:r w:rsidRPr="0046264F">
        <w:rPr>
          <w:rFonts w:ascii="Arial" w:hAnsi="Arial" w:cs="Arial"/>
          <w:bCs/>
          <w:sz w:val="20"/>
          <w:szCs w:val="20"/>
          <w:vertAlign w:val="subscript"/>
          <w:lang w:val="en-US"/>
        </w:rPr>
        <w:t>1</w:t>
      </w:r>
      <w:r w:rsidRPr="0046264F">
        <w:rPr>
          <w:rFonts w:ascii="Arial" w:hAnsi="Arial" w:cs="Arial"/>
          <w:bCs/>
          <w:sz w:val="20"/>
          <w:szCs w:val="20"/>
          <w:lang w:val="en-US"/>
        </w:rPr>
        <w:t xml:space="preserve">’ is the </w:t>
      </w:r>
      <w:r w:rsidRPr="0046264F">
        <w:rPr>
          <w:rFonts w:ascii="Arial" w:hAnsi="Arial" w:cs="Arial"/>
          <w:bCs/>
          <w:sz w:val="20"/>
          <w:szCs w:val="20"/>
        </w:rPr>
        <w:t xml:space="preserve">gender of respondent (binary dummy; </w:t>
      </w:r>
      <w:r w:rsidRPr="0046264F">
        <w:rPr>
          <w:rFonts w:ascii="Arial" w:hAnsi="Arial" w:cs="Arial"/>
          <w:bCs/>
          <w:sz w:val="20"/>
          <w:szCs w:val="20"/>
          <w:lang w:val="en-US"/>
        </w:rPr>
        <w:t>female = 1, male = 0</w:t>
      </w:r>
      <w:r w:rsidRPr="0046264F">
        <w:rPr>
          <w:rFonts w:ascii="Arial" w:hAnsi="Arial" w:cs="Arial"/>
          <w:bCs/>
          <w:sz w:val="20"/>
          <w:szCs w:val="20"/>
        </w:rPr>
        <w:t xml:space="preserve">)  </w:t>
      </w:r>
      <w:r w:rsidRPr="0046264F">
        <w:rPr>
          <w:rFonts w:ascii="Arial" w:hAnsi="Arial" w:cs="Arial"/>
          <w:bCs/>
          <w:sz w:val="20"/>
          <w:szCs w:val="20"/>
          <w:lang w:val="en-US"/>
        </w:rPr>
        <w:t xml:space="preserve"> </w:t>
      </w:r>
    </w:p>
    <w:p w14:paraId="6482925C" w14:textId="77777777" w:rsidR="0046264F" w:rsidRPr="0046264F" w:rsidRDefault="0046264F" w:rsidP="0046264F">
      <w:pPr>
        <w:spacing w:line="240" w:lineRule="auto"/>
        <w:jc w:val="both"/>
        <w:rPr>
          <w:rFonts w:ascii="Arial" w:hAnsi="Arial" w:cs="Arial"/>
          <w:bCs/>
          <w:sz w:val="20"/>
          <w:szCs w:val="20"/>
          <w:lang w:val="en-US"/>
        </w:rPr>
      </w:pPr>
      <w:r w:rsidRPr="0046264F">
        <w:rPr>
          <w:rFonts w:ascii="Arial" w:hAnsi="Arial" w:cs="Arial"/>
          <w:bCs/>
          <w:sz w:val="20"/>
          <w:szCs w:val="20"/>
          <w:lang w:val="en-US"/>
        </w:rPr>
        <w:t>‘X</w:t>
      </w:r>
      <w:r w:rsidRPr="0046264F">
        <w:rPr>
          <w:rFonts w:ascii="Arial" w:hAnsi="Arial" w:cs="Arial"/>
          <w:bCs/>
          <w:sz w:val="20"/>
          <w:szCs w:val="20"/>
          <w:vertAlign w:val="subscript"/>
          <w:lang w:val="en-US"/>
        </w:rPr>
        <w:t>2</w:t>
      </w:r>
      <w:r w:rsidRPr="0046264F">
        <w:rPr>
          <w:rFonts w:ascii="Arial" w:hAnsi="Arial" w:cs="Arial"/>
          <w:bCs/>
          <w:sz w:val="20"/>
          <w:szCs w:val="20"/>
          <w:lang w:val="en-US"/>
        </w:rPr>
        <w:t>’ is education in terms of years of schooling</w:t>
      </w:r>
    </w:p>
    <w:p w14:paraId="0035C8D7" w14:textId="77777777" w:rsidR="0046264F" w:rsidRPr="0046264F" w:rsidRDefault="0046264F" w:rsidP="0046264F">
      <w:pPr>
        <w:spacing w:line="240" w:lineRule="auto"/>
        <w:jc w:val="both"/>
        <w:rPr>
          <w:rFonts w:ascii="Arial" w:hAnsi="Arial" w:cs="Arial"/>
          <w:bCs/>
          <w:sz w:val="20"/>
          <w:szCs w:val="20"/>
          <w:lang w:val="en-US"/>
        </w:rPr>
      </w:pPr>
      <w:r w:rsidRPr="0046264F">
        <w:rPr>
          <w:rFonts w:ascii="Arial" w:hAnsi="Arial" w:cs="Arial"/>
          <w:bCs/>
          <w:sz w:val="20"/>
          <w:szCs w:val="20"/>
          <w:lang w:val="en-US"/>
        </w:rPr>
        <w:t>‘X</w:t>
      </w:r>
      <w:r w:rsidRPr="0046264F">
        <w:rPr>
          <w:rFonts w:ascii="Arial" w:hAnsi="Arial" w:cs="Arial"/>
          <w:bCs/>
          <w:sz w:val="20"/>
          <w:szCs w:val="20"/>
          <w:vertAlign w:val="subscript"/>
          <w:lang w:val="en-US"/>
        </w:rPr>
        <w:t>3</w:t>
      </w:r>
      <w:r w:rsidRPr="0046264F">
        <w:rPr>
          <w:rFonts w:ascii="Arial" w:hAnsi="Arial" w:cs="Arial"/>
          <w:bCs/>
          <w:sz w:val="20"/>
          <w:szCs w:val="20"/>
          <w:lang w:val="en-US"/>
        </w:rPr>
        <w:t>’ is the perceived availability of organic millets (ordinal scale)</w:t>
      </w:r>
    </w:p>
    <w:p w14:paraId="2A66856C" w14:textId="77777777" w:rsidR="0046264F" w:rsidRPr="0046264F" w:rsidRDefault="0046264F" w:rsidP="0046264F">
      <w:pPr>
        <w:spacing w:line="240" w:lineRule="auto"/>
        <w:jc w:val="both"/>
        <w:rPr>
          <w:rFonts w:ascii="Arial" w:hAnsi="Arial" w:cs="Arial"/>
          <w:bCs/>
          <w:sz w:val="20"/>
          <w:szCs w:val="20"/>
        </w:rPr>
      </w:pPr>
      <w:r w:rsidRPr="0046264F">
        <w:rPr>
          <w:rFonts w:ascii="Arial" w:hAnsi="Arial" w:cs="Arial"/>
          <w:bCs/>
          <w:sz w:val="20"/>
          <w:szCs w:val="20"/>
          <w:lang w:val="en-US"/>
        </w:rPr>
        <w:t>‘X</w:t>
      </w:r>
      <w:r w:rsidRPr="0046264F">
        <w:rPr>
          <w:rFonts w:ascii="Arial" w:hAnsi="Arial" w:cs="Arial"/>
          <w:bCs/>
          <w:sz w:val="20"/>
          <w:szCs w:val="20"/>
          <w:vertAlign w:val="subscript"/>
          <w:lang w:val="en-US"/>
        </w:rPr>
        <w:t>4</w:t>
      </w:r>
      <w:r w:rsidRPr="0046264F">
        <w:rPr>
          <w:rFonts w:ascii="Arial" w:hAnsi="Arial" w:cs="Arial"/>
          <w:bCs/>
          <w:sz w:val="20"/>
          <w:szCs w:val="20"/>
          <w:lang w:val="en-US"/>
        </w:rPr>
        <w:t xml:space="preserve">’ is the </w:t>
      </w:r>
      <w:r w:rsidRPr="0046264F">
        <w:rPr>
          <w:rFonts w:ascii="Arial" w:hAnsi="Arial" w:cs="Arial"/>
          <w:bCs/>
          <w:sz w:val="20"/>
          <w:szCs w:val="20"/>
        </w:rPr>
        <w:t>preference for certified organic products (binary dummy; yes = 1, no = 0)</w:t>
      </w:r>
    </w:p>
    <w:p w14:paraId="3A19453F" w14:textId="77777777" w:rsidR="0046264F" w:rsidRPr="0046264F" w:rsidRDefault="0046264F" w:rsidP="0046264F">
      <w:pPr>
        <w:spacing w:line="240" w:lineRule="auto"/>
        <w:jc w:val="both"/>
        <w:rPr>
          <w:rFonts w:ascii="Arial" w:hAnsi="Arial" w:cs="Arial"/>
          <w:bCs/>
          <w:sz w:val="20"/>
          <w:szCs w:val="20"/>
        </w:rPr>
      </w:pPr>
      <w:r w:rsidRPr="0046264F">
        <w:rPr>
          <w:rFonts w:ascii="Arial" w:hAnsi="Arial" w:cs="Arial"/>
          <w:bCs/>
          <w:sz w:val="20"/>
          <w:szCs w:val="20"/>
          <w:lang w:val="en-US"/>
        </w:rPr>
        <w:t>‘X</w:t>
      </w:r>
      <w:r w:rsidRPr="0046264F">
        <w:rPr>
          <w:rFonts w:ascii="Arial" w:hAnsi="Arial" w:cs="Arial"/>
          <w:bCs/>
          <w:sz w:val="20"/>
          <w:szCs w:val="20"/>
          <w:vertAlign w:val="subscript"/>
          <w:lang w:val="en-US"/>
        </w:rPr>
        <w:t>5</w:t>
      </w:r>
      <w:r w:rsidRPr="0046264F">
        <w:rPr>
          <w:rFonts w:ascii="Arial" w:hAnsi="Arial" w:cs="Arial"/>
          <w:bCs/>
          <w:sz w:val="20"/>
          <w:szCs w:val="20"/>
          <w:lang w:val="en-US"/>
        </w:rPr>
        <w:t xml:space="preserve">’ is the monthly household income </w:t>
      </w:r>
      <w:r w:rsidRPr="0046264F">
        <w:rPr>
          <w:rFonts w:ascii="Arial" w:hAnsi="Arial" w:cs="Arial"/>
          <w:bCs/>
          <w:sz w:val="20"/>
          <w:szCs w:val="20"/>
        </w:rPr>
        <w:t>in lakh ₹</w:t>
      </w:r>
    </w:p>
    <w:p w14:paraId="76824EE9" w14:textId="0D66A9AD" w:rsidR="0046264F" w:rsidRPr="0046264F" w:rsidRDefault="0046264F" w:rsidP="0046264F">
      <w:pPr>
        <w:spacing w:line="240" w:lineRule="auto"/>
        <w:jc w:val="both"/>
        <w:rPr>
          <w:rFonts w:ascii="Arial" w:hAnsi="Arial" w:cs="Arial"/>
          <w:bCs/>
          <w:sz w:val="20"/>
          <w:szCs w:val="20"/>
          <w:lang w:val="en-US"/>
        </w:rPr>
      </w:pPr>
      <m:oMath>
        <m:r>
          <w:rPr>
            <w:rFonts w:ascii="Cambria Math" w:hAnsi="Cambria Math" w:cs="Arial"/>
            <w:sz w:val="20"/>
            <w:szCs w:val="20"/>
            <w:lang w:val="en-US"/>
          </w:rPr>
          <m:t>β</m:t>
        </m:r>
      </m:oMath>
      <w:r w:rsidRPr="0046264F">
        <w:rPr>
          <w:rFonts w:ascii="Arial" w:hAnsi="Arial" w:cs="Arial"/>
          <w:bCs/>
          <w:sz w:val="20"/>
          <w:szCs w:val="20"/>
          <w:vertAlign w:val="subscript"/>
          <w:lang w:val="en-US"/>
        </w:rPr>
        <w:t>1</w:t>
      </w:r>
      <w:r w:rsidRPr="0046264F">
        <w:rPr>
          <w:rFonts w:ascii="Arial" w:hAnsi="Arial" w:cs="Arial"/>
          <w:bCs/>
          <w:sz w:val="20"/>
          <w:szCs w:val="20"/>
          <w:lang w:val="en-US"/>
        </w:rPr>
        <w:t xml:space="preserve">, </w:t>
      </w:r>
      <m:oMath>
        <m:r>
          <w:rPr>
            <w:rFonts w:ascii="Cambria Math" w:hAnsi="Cambria Math" w:cs="Arial"/>
            <w:sz w:val="20"/>
            <w:szCs w:val="20"/>
            <w:lang w:val="en-US"/>
          </w:rPr>
          <m:t>β</m:t>
        </m:r>
      </m:oMath>
      <w:r w:rsidRPr="0046264F">
        <w:rPr>
          <w:rFonts w:ascii="Arial" w:hAnsi="Arial" w:cs="Arial"/>
          <w:bCs/>
          <w:sz w:val="20"/>
          <w:szCs w:val="20"/>
          <w:vertAlign w:val="subscript"/>
          <w:lang w:val="en-US"/>
        </w:rPr>
        <w:t>2</w:t>
      </w:r>
      <w:r w:rsidRPr="0046264F">
        <w:rPr>
          <w:rFonts w:ascii="Arial" w:hAnsi="Arial" w:cs="Arial"/>
          <w:bCs/>
          <w:sz w:val="20"/>
          <w:szCs w:val="20"/>
          <w:lang w:val="en-US"/>
        </w:rPr>
        <w:t xml:space="preserve">, </w:t>
      </w:r>
      <m:oMath>
        <m:r>
          <w:rPr>
            <w:rFonts w:ascii="Cambria Math" w:hAnsi="Cambria Math" w:cs="Arial"/>
            <w:sz w:val="20"/>
            <w:szCs w:val="20"/>
            <w:lang w:val="en-US"/>
          </w:rPr>
          <m:t>β</m:t>
        </m:r>
      </m:oMath>
      <w:r w:rsidRPr="0046264F">
        <w:rPr>
          <w:rFonts w:ascii="Arial" w:hAnsi="Arial" w:cs="Arial"/>
          <w:bCs/>
          <w:sz w:val="20"/>
          <w:szCs w:val="20"/>
          <w:vertAlign w:val="subscript"/>
          <w:lang w:val="en-US"/>
        </w:rPr>
        <w:t>3</w:t>
      </w:r>
      <w:r w:rsidRPr="0046264F">
        <w:rPr>
          <w:rFonts w:ascii="Arial" w:hAnsi="Arial" w:cs="Arial"/>
          <w:bCs/>
          <w:sz w:val="20"/>
          <w:szCs w:val="20"/>
          <w:lang w:val="en-US"/>
        </w:rPr>
        <w:t xml:space="preserve"> ----- </w:t>
      </w:r>
      <m:oMath>
        <m:r>
          <w:rPr>
            <w:rFonts w:ascii="Cambria Math" w:hAnsi="Cambria Math" w:cs="Arial"/>
            <w:sz w:val="20"/>
            <w:szCs w:val="20"/>
            <w:lang w:val="en-US"/>
          </w:rPr>
          <m:t>β</m:t>
        </m:r>
      </m:oMath>
      <w:r w:rsidRPr="0046264F">
        <w:rPr>
          <w:rFonts w:ascii="Arial" w:hAnsi="Arial" w:cs="Arial"/>
          <w:bCs/>
          <w:sz w:val="20"/>
          <w:szCs w:val="20"/>
          <w:vertAlign w:val="subscript"/>
          <w:lang w:val="en-US"/>
        </w:rPr>
        <w:t>i</w:t>
      </w:r>
      <w:r w:rsidRPr="0046264F">
        <w:rPr>
          <w:rFonts w:ascii="Arial" w:hAnsi="Arial" w:cs="Arial"/>
          <w:bCs/>
          <w:sz w:val="20"/>
          <w:szCs w:val="20"/>
          <w:lang w:val="en-US"/>
        </w:rPr>
        <w:t xml:space="preserve"> - Regression coefficients</w:t>
      </w:r>
    </w:p>
    <w:p w14:paraId="001A365C" w14:textId="77777777" w:rsidR="0046264F" w:rsidRPr="0046264F" w:rsidRDefault="0046264F" w:rsidP="0046264F">
      <w:pPr>
        <w:spacing w:line="240" w:lineRule="auto"/>
        <w:jc w:val="both"/>
        <w:rPr>
          <w:rFonts w:ascii="Arial" w:hAnsi="Arial" w:cs="Arial"/>
          <w:bCs/>
          <w:sz w:val="20"/>
          <w:szCs w:val="20"/>
          <w:lang w:val="en-US"/>
        </w:rPr>
      </w:pPr>
      <w:r w:rsidRPr="0046264F">
        <w:rPr>
          <w:rFonts w:ascii="Arial" w:hAnsi="Arial" w:cs="Arial"/>
          <w:bCs/>
          <w:sz w:val="20"/>
          <w:szCs w:val="20"/>
        </w:rPr>
        <w:t>‘</w:t>
      </w:r>
      <w:proofErr w:type="spellStart"/>
      <w:r w:rsidRPr="0046264F">
        <w:rPr>
          <w:rFonts w:ascii="Arial" w:hAnsi="Arial" w:cs="Arial"/>
          <w:bCs/>
          <w:sz w:val="20"/>
          <w:szCs w:val="20"/>
        </w:rPr>
        <w:t>ε</w:t>
      </w:r>
      <w:r w:rsidRPr="0046264F">
        <w:rPr>
          <w:rFonts w:ascii="Arial" w:hAnsi="Arial" w:cs="Arial"/>
          <w:bCs/>
          <w:sz w:val="20"/>
          <w:szCs w:val="20"/>
          <w:vertAlign w:val="subscript"/>
        </w:rPr>
        <w:t>i</w:t>
      </w:r>
      <w:proofErr w:type="spellEnd"/>
      <w:r w:rsidRPr="0046264F">
        <w:rPr>
          <w:rFonts w:ascii="Arial" w:hAnsi="Arial" w:cs="Arial"/>
          <w:bCs/>
          <w:sz w:val="20"/>
          <w:szCs w:val="20"/>
          <w:vertAlign w:val="subscript"/>
        </w:rPr>
        <w:t>​</w:t>
      </w:r>
      <w:r w:rsidRPr="0046264F">
        <w:rPr>
          <w:rFonts w:ascii="Arial" w:hAnsi="Arial" w:cs="Arial"/>
          <w:bCs/>
          <w:sz w:val="20"/>
          <w:szCs w:val="20"/>
          <w:lang w:val="en-US"/>
        </w:rPr>
        <w:t>’ denotes error term</w:t>
      </w:r>
    </w:p>
    <w:p w14:paraId="7D2D4169" w14:textId="5095BA3D" w:rsidR="005C083B" w:rsidRPr="002A2480" w:rsidRDefault="005640FB" w:rsidP="0046264F">
      <w:pPr>
        <w:spacing w:line="240" w:lineRule="auto"/>
        <w:jc w:val="both"/>
        <w:rPr>
          <w:rFonts w:ascii="Arial" w:hAnsi="Arial" w:cs="Arial"/>
          <w:b/>
          <w:bCs/>
        </w:rPr>
      </w:pPr>
      <w:r w:rsidRPr="002A2480">
        <w:rPr>
          <w:rFonts w:ascii="Arial" w:hAnsi="Arial" w:cs="Arial"/>
          <w:b/>
          <w:bCs/>
        </w:rPr>
        <w:t>3. RESULTS AND DISCUSSION</w:t>
      </w:r>
    </w:p>
    <w:p w14:paraId="6767B95D" w14:textId="727BED8E" w:rsidR="005640FB" w:rsidRPr="002A2480" w:rsidRDefault="005640FB" w:rsidP="0046264F">
      <w:pPr>
        <w:spacing w:line="240" w:lineRule="auto"/>
        <w:jc w:val="both"/>
        <w:rPr>
          <w:rFonts w:ascii="Arial" w:hAnsi="Arial" w:cs="Arial"/>
          <w:b/>
          <w:bCs/>
        </w:rPr>
      </w:pPr>
      <w:r w:rsidRPr="002A2480">
        <w:rPr>
          <w:rFonts w:ascii="Arial" w:hAnsi="Arial" w:cs="Arial"/>
          <w:b/>
          <w:bCs/>
        </w:rPr>
        <w:t>3.1 Consumer behaviour towards purchasing organic millets - Likert scale analysis</w:t>
      </w:r>
    </w:p>
    <w:p w14:paraId="113F04D9" w14:textId="3490D5AA" w:rsidR="005640FB" w:rsidRPr="002A2480" w:rsidRDefault="005640FB" w:rsidP="006145DB">
      <w:pPr>
        <w:spacing w:line="240" w:lineRule="auto"/>
        <w:jc w:val="both"/>
        <w:rPr>
          <w:rFonts w:ascii="Arial" w:hAnsi="Arial" w:cs="Arial"/>
          <w:sz w:val="20"/>
          <w:szCs w:val="20"/>
        </w:rPr>
      </w:pPr>
      <w:r w:rsidRPr="002A2480">
        <w:rPr>
          <w:rFonts w:ascii="Arial" w:hAnsi="Arial" w:cs="Arial"/>
          <w:sz w:val="20"/>
          <w:szCs w:val="20"/>
        </w:rPr>
        <w:t>The Likert scores provide understanding of both the strengths and perceived barriers to organic millet consumption. The results are presented in table 2.</w:t>
      </w:r>
    </w:p>
    <w:p w14:paraId="669B33BB" w14:textId="77777777" w:rsidR="006145DB" w:rsidRPr="002A2480" w:rsidRDefault="006145DB" w:rsidP="006145DB">
      <w:pPr>
        <w:spacing w:line="240" w:lineRule="auto"/>
        <w:jc w:val="both"/>
        <w:rPr>
          <w:rFonts w:ascii="Arial" w:hAnsi="Arial" w:cs="Arial"/>
          <w:sz w:val="20"/>
          <w:szCs w:val="20"/>
        </w:rPr>
      </w:pPr>
      <w:r w:rsidRPr="002A2480">
        <w:rPr>
          <w:rFonts w:ascii="Arial" w:hAnsi="Arial" w:cs="Arial"/>
          <w:sz w:val="20"/>
          <w:szCs w:val="20"/>
        </w:rPr>
        <w:t>The results show that nutritional awareness factor recorded the highest Likert score of 4.28, indicating strong consumer agreement. A significant 51.67 percent agreed and 39.17 percent strongly agreed that they are aware of the nutritional benefits of organic millets. This suggests that organic millet consumers in Hyderabad are well-informed about their nutritional superiority, making this the most positively perceived factor in the study. Conversely, the lowest-scoring factor was the ability to identify millet varieties, with a score of 2.21. A majority of respondents (35 percent) expressed difficulty in distinguishing different millets. This suggests a significant knowledge gap in millet literacy and points to the need for clearer labelling and consumer education campaigns.</w:t>
      </w:r>
    </w:p>
    <w:p w14:paraId="6B1C79BA" w14:textId="77777777" w:rsidR="006145DB" w:rsidRPr="002A2480" w:rsidRDefault="006145DB" w:rsidP="006145DB">
      <w:pPr>
        <w:spacing w:line="240" w:lineRule="auto"/>
        <w:jc w:val="both"/>
        <w:rPr>
          <w:rFonts w:ascii="Arial" w:hAnsi="Arial" w:cs="Arial"/>
          <w:sz w:val="20"/>
          <w:szCs w:val="20"/>
        </w:rPr>
      </w:pPr>
      <w:r w:rsidRPr="002A2480">
        <w:rPr>
          <w:rFonts w:ascii="Arial" w:hAnsi="Arial" w:cs="Arial"/>
          <w:sz w:val="20"/>
          <w:szCs w:val="20"/>
        </w:rPr>
        <w:t xml:space="preserve">The trust in certification labels factor scored 3.91 and over 75 percent of respondents trust the authenticity of organic certification marks. Such trust is crucial in building long-term consumer confidence and justifying price premiums for certified products. The health motivation factor (consumption driven by health benefits) had a score of 3.78, supported by 40 percent agreement and 28.33 percent strong agreement. This indicates that health remains a major driver of organic millet </w:t>
      </w:r>
      <w:r w:rsidRPr="002A2480">
        <w:rPr>
          <w:rFonts w:ascii="Arial" w:hAnsi="Arial" w:cs="Arial"/>
          <w:sz w:val="20"/>
          <w:szCs w:val="20"/>
        </w:rPr>
        <w:lastRenderedPageBreak/>
        <w:t>consumption, with nearly 69 percent of consumers choosing millets primarily for their perceived health advantages.</w:t>
      </w:r>
    </w:p>
    <w:p w14:paraId="3E76CAE2" w14:textId="77777777" w:rsidR="006145DB" w:rsidRPr="002A2480" w:rsidRDefault="006145DB" w:rsidP="006145DB">
      <w:pPr>
        <w:spacing w:line="240" w:lineRule="auto"/>
        <w:jc w:val="both"/>
        <w:rPr>
          <w:rFonts w:ascii="Arial" w:hAnsi="Arial" w:cs="Arial"/>
          <w:sz w:val="20"/>
          <w:szCs w:val="20"/>
        </w:rPr>
      </w:pPr>
      <w:r w:rsidRPr="002A2480">
        <w:rPr>
          <w:rFonts w:ascii="Arial" w:hAnsi="Arial" w:cs="Arial"/>
          <w:sz w:val="20"/>
          <w:szCs w:val="20"/>
        </w:rPr>
        <w:t>The digestive health factor received a moderate score of 3.59, with 50.83 percent agreeing. Although a majority believe in the digestive benefits of organic millets, the high neutrality suggests that more awareness is needed to convince the undecided segment. The price perception factor had a neutral average of 3.03. While 51.67 percent responded neutral, 22.50 percent disagreed and 25.83 percent agreed that organic millets are too expensive. This view suggests that price is a moderate concern and not a strong limitation for most consumers, though it may influence lower-income groups.</w:t>
      </w:r>
    </w:p>
    <w:p w14:paraId="6E5212BF" w14:textId="77777777" w:rsidR="006145DB" w:rsidRPr="002A2480" w:rsidRDefault="006145DB" w:rsidP="006145DB">
      <w:pPr>
        <w:spacing w:line="240" w:lineRule="auto"/>
        <w:jc w:val="both"/>
        <w:rPr>
          <w:rFonts w:ascii="Arial" w:hAnsi="Arial" w:cs="Arial"/>
          <w:sz w:val="20"/>
          <w:szCs w:val="20"/>
        </w:rPr>
      </w:pPr>
      <w:r w:rsidRPr="002A2480">
        <w:rPr>
          <w:rFonts w:ascii="Arial" w:hAnsi="Arial" w:cs="Arial"/>
          <w:sz w:val="20"/>
          <w:szCs w:val="20"/>
        </w:rPr>
        <w:t>The availability factor scored 2.78, indicating a perception of limited access. This reveals significant room for improvement in supply chains and retail distribution, especially in underserved regions. The regular use factor received a low score of 2.74, only 6.67 percent strongly agreed that they regularly include organic millets in their meals. There is a gap between awareness and consistent consumption indicating that awareness does not always translate into habitual dietary change.</w:t>
      </w:r>
    </w:p>
    <w:p w14:paraId="00355D53" w14:textId="77777777" w:rsidR="006145DB" w:rsidRPr="002A2480" w:rsidRDefault="006145DB" w:rsidP="006145DB">
      <w:pPr>
        <w:spacing w:line="240" w:lineRule="auto"/>
        <w:jc w:val="both"/>
        <w:rPr>
          <w:rFonts w:ascii="Arial" w:hAnsi="Arial" w:cs="Arial"/>
          <w:b/>
          <w:bCs/>
          <w:sz w:val="20"/>
          <w:szCs w:val="20"/>
        </w:rPr>
      </w:pPr>
      <w:r w:rsidRPr="002A2480">
        <w:rPr>
          <w:rFonts w:ascii="Arial" w:hAnsi="Arial" w:cs="Arial"/>
          <w:sz w:val="20"/>
          <w:szCs w:val="20"/>
        </w:rPr>
        <w:t>The ease of cooking factor also scored low at 2.58, with 55 percent neutral and 40.83 percent disagreeing. This reflects that many consumers find millets difficult or inconvenient to prepare. The taste and texture preference factor had a low score of 2.57, only 7.50 percent agreed and 1.67 percent strongly agreed that they enjoy the taste and texture. Since taste is a critical factor for continued consumption, this recommends a need for culinary innovation to improve flavour and palatability in order to attract more consumers.</w:t>
      </w:r>
      <w:r w:rsidRPr="002A2480">
        <w:rPr>
          <w:rFonts w:ascii="Arial" w:hAnsi="Arial" w:cs="Arial"/>
          <w:b/>
          <w:bCs/>
          <w:sz w:val="20"/>
          <w:szCs w:val="20"/>
        </w:rPr>
        <w:t xml:space="preserve"> </w:t>
      </w:r>
    </w:p>
    <w:p w14:paraId="663F3B66" w14:textId="2E2C9AA4" w:rsidR="006145DB" w:rsidRPr="002A2480" w:rsidRDefault="006145DB" w:rsidP="006145DB">
      <w:pPr>
        <w:spacing w:line="240" w:lineRule="auto"/>
        <w:rPr>
          <w:rFonts w:ascii="Arial" w:hAnsi="Arial" w:cs="Arial"/>
          <w:b/>
          <w:bCs/>
          <w:sz w:val="20"/>
          <w:szCs w:val="20"/>
        </w:rPr>
      </w:pPr>
      <w:r w:rsidRPr="002A2480">
        <w:rPr>
          <w:rFonts w:ascii="Arial" w:hAnsi="Arial" w:cs="Arial"/>
          <w:b/>
          <w:bCs/>
          <w:sz w:val="20"/>
          <w:szCs w:val="20"/>
        </w:rPr>
        <w:t>Table 1. Consumer behaviour towards purchasing organic millets in Hyderabad city.</w:t>
      </w:r>
    </w:p>
    <w:tbl>
      <w:tblPr>
        <w:tblpPr w:leftFromText="180" w:rightFromText="180" w:vertAnchor="text" w:horzAnchor="margin" w:tblpY="188"/>
        <w:tblW w:w="9300" w:type="dxa"/>
        <w:tblLook w:val="04A0" w:firstRow="1" w:lastRow="0" w:firstColumn="1" w:lastColumn="0" w:noHBand="0" w:noVBand="1"/>
      </w:tblPr>
      <w:tblGrid>
        <w:gridCol w:w="3655"/>
        <w:gridCol w:w="1039"/>
        <w:gridCol w:w="1061"/>
        <w:gridCol w:w="906"/>
        <w:gridCol w:w="850"/>
        <w:gridCol w:w="1028"/>
        <w:gridCol w:w="761"/>
      </w:tblGrid>
      <w:tr w:rsidR="004E043A" w:rsidRPr="002A2480" w14:paraId="0590E1D8" w14:textId="77777777" w:rsidTr="004E043A">
        <w:trPr>
          <w:trHeight w:val="19"/>
        </w:trPr>
        <w:tc>
          <w:tcPr>
            <w:tcW w:w="3655" w:type="dxa"/>
            <w:vMerge w:val="restart"/>
            <w:tcBorders>
              <w:top w:val="single" w:sz="4" w:space="0" w:color="auto"/>
              <w:bottom w:val="single" w:sz="4" w:space="0" w:color="auto"/>
            </w:tcBorders>
            <w:noWrap/>
            <w:vAlign w:val="center"/>
            <w:hideMark/>
          </w:tcPr>
          <w:p w14:paraId="22C879FE" w14:textId="77777777" w:rsidR="006145DB" w:rsidRPr="002A2480" w:rsidRDefault="006145DB" w:rsidP="006145DB">
            <w:pPr>
              <w:spacing w:after="0" w:line="240" w:lineRule="auto"/>
              <w:jc w:val="center"/>
              <w:rPr>
                <w:rFonts w:ascii="Arial" w:eastAsia="Times New Roman" w:hAnsi="Arial" w:cs="Arial"/>
                <w:b/>
                <w:bCs/>
                <w:color w:val="000000"/>
                <w:sz w:val="20"/>
                <w:szCs w:val="20"/>
                <w:lang w:eastAsia="en-IN"/>
              </w:rPr>
            </w:pPr>
            <w:r w:rsidRPr="002A2480">
              <w:rPr>
                <w:rFonts w:ascii="Arial" w:eastAsia="Times New Roman" w:hAnsi="Arial" w:cs="Arial"/>
                <w:b/>
                <w:bCs/>
                <w:color w:val="000000"/>
                <w:sz w:val="20"/>
                <w:szCs w:val="20"/>
                <w:lang w:eastAsia="en-IN"/>
              </w:rPr>
              <w:t>Consumer perception</w:t>
            </w:r>
          </w:p>
        </w:tc>
        <w:tc>
          <w:tcPr>
            <w:tcW w:w="4884" w:type="dxa"/>
            <w:gridSpan w:val="5"/>
            <w:tcBorders>
              <w:top w:val="single" w:sz="4" w:space="0" w:color="auto"/>
              <w:bottom w:val="single" w:sz="4" w:space="0" w:color="auto"/>
            </w:tcBorders>
            <w:noWrap/>
            <w:vAlign w:val="center"/>
            <w:hideMark/>
          </w:tcPr>
          <w:p w14:paraId="7FFCC1E2" w14:textId="77777777" w:rsidR="006145DB" w:rsidRPr="002A2480" w:rsidRDefault="006145DB" w:rsidP="006145DB">
            <w:pPr>
              <w:spacing w:after="0" w:line="240" w:lineRule="auto"/>
              <w:jc w:val="center"/>
              <w:rPr>
                <w:rFonts w:ascii="Arial" w:eastAsia="Times New Roman" w:hAnsi="Arial" w:cs="Arial"/>
                <w:b/>
                <w:bCs/>
                <w:color w:val="000000"/>
                <w:sz w:val="20"/>
                <w:szCs w:val="20"/>
                <w:lang w:eastAsia="en-IN"/>
              </w:rPr>
            </w:pPr>
            <w:r w:rsidRPr="002A2480">
              <w:rPr>
                <w:rFonts w:ascii="Arial" w:eastAsia="Times New Roman" w:hAnsi="Arial" w:cs="Arial"/>
                <w:b/>
                <w:bCs/>
                <w:color w:val="000000"/>
                <w:sz w:val="20"/>
                <w:szCs w:val="20"/>
                <w:lang w:eastAsia="en-IN"/>
              </w:rPr>
              <w:t>Consumer responses</w:t>
            </w:r>
          </w:p>
        </w:tc>
        <w:tc>
          <w:tcPr>
            <w:tcW w:w="0" w:type="auto"/>
            <w:vMerge w:val="restart"/>
            <w:tcBorders>
              <w:top w:val="single" w:sz="4" w:space="0" w:color="auto"/>
              <w:bottom w:val="single" w:sz="4" w:space="0" w:color="auto"/>
            </w:tcBorders>
            <w:vAlign w:val="center"/>
            <w:hideMark/>
          </w:tcPr>
          <w:p w14:paraId="1EA6F1A4" w14:textId="77777777" w:rsidR="006145DB" w:rsidRPr="002A2480" w:rsidRDefault="006145DB" w:rsidP="006145DB">
            <w:pPr>
              <w:spacing w:after="0" w:line="240" w:lineRule="auto"/>
              <w:jc w:val="center"/>
              <w:rPr>
                <w:rFonts w:ascii="Arial" w:eastAsia="Times New Roman" w:hAnsi="Arial" w:cs="Arial"/>
                <w:b/>
                <w:bCs/>
                <w:color w:val="000000"/>
                <w:sz w:val="20"/>
                <w:szCs w:val="20"/>
                <w:lang w:eastAsia="en-IN"/>
              </w:rPr>
            </w:pPr>
            <w:r w:rsidRPr="002A2480">
              <w:rPr>
                <w:rFonts w:ascii="Arial" w:eastAsia="Times New Roman" w:hAnsi="Arial" w:cs="Arial"/>
                <w:b/>
                <w:bCs/>
                <w:color w:val="000000"/>
                <w:sz w:val="20"/>
                <w:szCs w:val="20"/>
                <w:lang w:eastAsia="en-IN"/>
              </w:rPr>
              <w:t>Likert score</w:t>
            </w:r>
          </w:p>
        </w:tc>
      </w:tr>
      <w:tr w:rsidR="006145DB" w:rsidRPr="002A2480" w14:paraId="0EAF1C08" w14:textId="77777777" w:rsidTr="004E043A">
        <w:trPr>
          <w:trHeight w:val="19"/>
        </w:trPr>
        <w:tc>
          <w:tcPr>
            <w:tcW w:w="3655" w:type="dxa"/>
            <w:vMerge/>
            <w:tcBorders>
              <w:top w:val="single" w:sz="4" w:space="0" w:color="auto"/>
              <w:bottom w:val="single" w:sz="4" w:space="0" w:color="auto"/>
            </w:tcBorders>
            <w:vAlign w:val="center"/>
            <w:hideMark/>
          </w:tcPr>
          <w:p w14:paraId="2234D6F7" w14:textId="77777777" w:rsidR="006145DB" w:rsidRPr="002A2480" w:rsidRDefault="006145DB" w:rsidP="006145DB">
            <w:pPr>
              <w:spacing w:after="0" w:line="240" w:lineRule="auto"/>
              <w:rPr>
                <w:rFonts w:ascii="Arial" w:eastAsia="Times New Roman" w:hAnsi="Arial" w:cs="Arial"/>
                <w:color w:val="000000"/>
                <w:sz w:val="20"/>
                <w:szCs w:val="20"/>
                <w:lang w:eastAsia="en-IN"/>
              </w:rPr>
            </w:pPr>
          </w:p>
        </w:tc>
        <w:tc>
          <w:tcPr>
            <w:tcW w:w="1039" w:type="dxa"/>
            <w:tcBorders>
              <w:top w:val="single" w:sz="4" w:space="0" w:color="auto"/>
              <w:bottom w:val="single" w:sz="4" w:space="0" w:color="auto"/>
            </w:tcBorders>
            <w:noWrap/>
            <w:vAlign w:val="center"/>
            <w:hideMark/>
          </w:tcPr>
          <w:p w14:paraId="60277DBF" w14:textId="77777777" w:rsidR="006145DB" w:rsidRPr="002A2480" w:rsidRDefault="006145DB" w:rsidP="006145DB">
            <w:pPr>
              <w:spacing w:after="0" w:line="240" w:lineRule="auto"/>
              <w:jc w:val="center"/>
              <w:rPr>
                <w:rFonts w:ascii="Arial" w:eastAsia="Times New Roman" w:hAnsi="Arial" w:cs="Arial"/>
                <w:b/>
                <w:bCs/>
                <w:color w:val="000000"/>
                <w:sz w:val="20"/>
                <w:szCs w:val="20"/>
                <w:lang w:eastAsia="en-IN"/>
              </w:rPr>
            </w:pPr>
            <w:r w:rsidRPr="002A2480">
              <w:rPr>
                <w:rFonts w:ascii="Arial" w:eastAsia="Times New Roman" w:hAnsi="Arial" w:cs="Arial"/>
                <w:b/>
                <w:bCs/>
                <w:color w:val="000000"/>
                <w:sz w:val="20"/>
                <w:szCs w:val="20"/>
                <w:lang w:eastAsia="en-IN"/>
              </w:rPr>
              <w:t>Strongly disagree</w:t>
            </w:r>
          </w:p>
        </w:tc>
        <w:tc>
          <w:tcPr>
            <w:tcW w:w="1061" w:type="dxa"/>
            <w:tcBorders>
              <w:top w:val="single" w:sz="4" w:space="0" w:color="auto"/>
              <w:bottom w:val="single" w:sz="4" w:space="0" w:color="auto"/>
            </w:tcBorders>
            <w:noWrap/>
            <w:vAlign w:val="center"/>
            <w:hideMark/>
          </w:tcPr>
          <w:p w14:paraId="660FF52E" w14:textId="77777777" w:rsidR="006145DB" w:rsidRPr="002A2480" w:rsidRDefault="006145DB" w:rsidP="006145DB">
            <w:pPr>
              <w:spacing w:after="0" w:line="240" w:lineRule="auto"/>
              <w:jc w:val="center"/>
              <w:rPr>
                <w:rFonts w:ascii="Arial" w:eastAsia="Times New Roman" w:hAnsi="Arial" w:cs="Arial"/>
                <w:b/>
                <w:bCs/>
                <w:color w:val="000000"/>
                <w:sz w:val="20"/>
                <w:szCs w:val="20"/>
                <w:lang w:eastAsia="en-IN"/>
              </w:rPr>
            </w:pPr>
            <w:r w:rsidRPr="002A2480">
              <w:rPr>
                <w:rFonts w:ascii="Arial" w:eastAsia="Times New Roman" w:hAnsi="Arial" w:cs="Arial"/>
                <w:b/>
                <w:bCs/>
                <w:color w:val="000000"/>
                <w:sz w:val="20"/>
                <w:szCs w:val="20"/>
                <w:lang w:eastAsia="en-IN"/>
              </w:rPr>
              <w:t>Disagree</w:t>
            </w:r>
          </w:p>
        </w:tc>
        <w:tc>
          <w:tcPr>
            <w:tcW w:w="906" w:type="dxa"/>
            <w:tcBorders>
              <w:top w:val="single" w:sz="4" w:space="0" w:color="auto"/>
              <w:bottom w:val="single" w:sz="4" w:space="0" w:color="auto"/>
            </w:tcBorders>
            <w:noWrap/>
            <w:vAlign w:val="center"/>
            <w:hideMark/>
          </w:tcPr>
          <w:p w14:paraId="0D3DDC07" w14:textId="77777777" w:rsidR="006145DB" w:rsidRPr="002A2480" w:rsidRDefault="006145DB" w:rsidP="006145DB">
            <w:pPr>
              <w:spacing w:after="0" w:line="240" w:lineRule="auto"/>
              <w:jc w:val="center"/>
              <w:rPr>
                <w:rFonts w:ascii="Arial" w:eastAsia="Times New Roman" w:hAnsi="Arial" w:cs="Arial"/>
                <w:b/>
                <w:bCs/>
                <w:color w:val="000000"/>
                <w:sz w:val="20"/>
                <w:szCs w:val="20"/>
                <w:lang w:eastAsia="en-IN"/>
              </w:rPr>
            </w:pPr>
            <w:r w:rsidRPr="002A2480">
              <w:rPr>
                <w:rFonts w:ascii="Arial" w:eastAsia="Times New Roman" w:hAnsi="Arial" w:cs="Arial"/>
                <w:b/>
                <w:bCs/>
                <w:color w:val="000000"/>
                <w:sz w:val="20"/>
                <w:szCs w:val="20"/>
                <w:lang w:eastAsia="en-IN"/>
              </w:rPr>
              <w:t>Neutral</w:t>
            </w:r>
          </w:p>
        </w:tc>
        <w:tc>
          <w:tcPr>
            <w:tcW w:w="850" w:type="dxa"/>
            <w:tcBorders>
              <w:top w:val="single" w:sz="4" w:space="0" w:color="auto"/>
              <w:bottom w:val="single" w:sz="4" w:space="0" w:color="auto"/>
            </w:tcBorders>
            <w:noWrap/>
            <w:vAlign w:val="center"/>
            <w:hideMark/>
          </w:tcPr>
          <w:p w14:paraId="192EA4C1" w14:textId="77777777" w:rsidR="006145DB" w:rsidRPr="002A2480" w:rsidRDefault="006145DB" w:rsidP="006145DB">
            <w:pPr>
              <w:spacing w:after="0" w:line="240" w:lineRule="auto"/>
              <w:jc w:val="center"/>
              <w:rPr>
                <w:rFonts w:ascii="Arial" w:eastAsia="Times New Roman" w:hAnsi="Arial" w:cs="Arial"/>
                <w:b/>
                <w:bCs/>
                <w:color w:val="000000"/>
                <w:sz w:val="20"/>
                <w:szCs w:val="20"/>
                <w:lang w:eastAsia="en-IN"/>
              </w:rPr>
            </w:pPr>
            <w:r w:rsidRPr="002A2480">
              <w:rPr>
                <w:rFonts w:ascii="Arial" w:eastAsia="Times New Roman" w:hAnsi="Arial" w:cs="Arial"/>
                <w:b/>
                <w:bCs/>
                <w:color w:val="000000"/>
                <w:sz w:val="20"/>
                <w:szCs w:val="20"/>
                <w:lang w:eastAsia="en-IN"/>
              </w:rPr>
              <w:t>Agree</w:t>
            </w:r>
          </w:p>
        </w:tc>
        <w:tc>
          <w:tcPr>
            <w:tcW w:w="1028" w:type="dxa"/>
            <w:tcBorders>
              <w:top w:val="single" w:sz="4" w:space="0" w:color="auto"/>
              <w:bottom w:val="single" w:sz="4" w:space="0" w:color="auto"/>
            </w:tcBorders>
            <w:noWrap/>
            <w:vAlign w:val="center"/>
            <w:hideMark/>
          </w:tcPr>
          <w:p w14:paraId="2D733A09" w14:textId="77777777" w:rsidR="006145DB" w:rsidRPr="002A2480" w:rsidRDefault="006145DB" w:rsidP="006145DB">
            <w:pPr>
              <w:spacing w:after="0" w:line="240" w:lineRule="auto"/>
              <w:jc w:val="center"/>
              <w:rPr>
                <w:rFonts w:ascii="Arial" w:eastAsia="Times New Roman" w:hAnsi="Arial" w:cs="Arial"/>
                <w:b/>
                <w:bCs/>
                <w:color w:val="000000"/>
                <w:sz w:val="20"/>
                <w:szCs w:val="20"/>
                <w:lang w:eastAsia="en-IN"/>
              </w:rPr>
            </w:pPr>
            <w:r w:rsidRPr="002A2480">
              <w:rPr>
                <w:rFonts w:ascii="Arial" w:eastAsia="Times New Roman" w:hAnsi="Arial" w:cs="Arial"/>
                <w:b/>
                <w:bCs/>
                <w:color w:val="000000"/>
                <w:sz w:val="20"/>
                <w:szCs w:val="20"/>
                <w:lang w:eastAsia="en-IN"/>
              </w:rPr>
              <w:t>Strongly agree</w:t>
            </w:r>
          </w:p>
        </w:tc>
        <w:tc>
          <w:tcPr>
            <w:tcW w:w="0" w:type="auto"/>
            <w:vMerge/>
            <w:tcBorders>
              <w:top w:val="single" w:sz="4" w:space="0" w:color="auto"/>
              <w:bottom w:val="single" w:sz="4" w:space="0" w:color="auto"/>
            </w:tcBorders>
            <w:vAlign w:val="center"/>
            <w:hideMark/>
          </w:tcPr>
          <w:p w14:paraId="38862E68" w14:textId="77777777" w:rsidR="006145DB" w:rsidRPr="002A2480" w:rsidRDefault="006145DB" w:rsidP="006145DB">
            <w:pPr>
              <w:spacing w:after="0" w:line="240" w:lineRule="auto"/>
              <w:rPr>
                <w:rFonts w:ascii="Arial" w:eastAsia="Times New Roman" w:hAnsi="Arial" w:cs="Arial"/>
                <w:color w:val="000000"/>
                <w:sz w:val="20"/>
                <w:szCs w:val="20"/>
                <w:lang w:eastAsia="en-IN"/>
              </w:rPr>
            </w:pPr>
          </w:p>
        </w:tc>
      </w:tr>
      <w:tr w:rsidR="006145DB" w:rsidRPr="002A2480" w14:paraId="585E5D84" w14:textId="77777777" w:rsidTr="004E043A">
        <w:trPr>
          <w:trHeight w:val="19"/>
        </w:trPr>
        <w:tc>
          <w:tcPr>
            <w:tcW w:w="3655" w:type="dxa"/>
            <w:tcBorders>
              <w:top w:val="single" w:sz="4" w:space="0" w:color="auto"/>
            </w:tcBorders>
            <w:vAlign w:val="center"/>
            <w:hideMark/>
          </w:tcPr>
          <w:p w14:paraId="6ED326FC" w14:textId="77777777" w:rsidR="006145DB" w:rsidRPr="002A2480" w:rsidRDefault="006145DB" w:rsidP="006145DB">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I am aware of the nutritional benefits of organic millets.</w:t>
            </w:r>
          </w:p>
        </w:tc>
        <w:tc>
          <w:tcPr>
            <w:tcW w:w="1039" w:type="dxa"/>
            <w:tcBorders>
              <w:top w:val="single" w:sz="4" w:space="0" w:color="auto"/>
            </w:tcBorders>
            <w:vAlign w:val="center"/>
            <w:hideMark/>
          </w:tcPr>
          <w:p w14:paraId="358B87B6"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w:t>
            </w:r>
          </w:p>
          <w:p w14:paraId="44E215D4"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(0.00)</w:t>
            </w:r>
          </w:p>
        </w:tc>
        <w:tc>
          <w:tcPr>
            <w:tcW w:w="1061" w:type="dxa"/>
            <w:tcBorders>
              <w:top w:val="single" w:sz="4" w:space="0" w:color="auto"/>
            </w:tcBorders>
            <w:vAlign w:val="center"/>
            <w:hideMark/>
          </w:tcPr>
          <w:p w14:paraId="306C2F26"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3</w:t>
            </w:r>
          </w:p>
          <w:p w14:paraId="41598312"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(2.50)</w:t>
            </w:r>
          </w:p>
        </w:tc>
        <w:tc>
          <w:tcPr>
            <w:tcW w:w="906" w:type="dxa"/>
            <w:tcBorders>
              <w:top w:val="single" w:sz="4" w:space="0" w:color="auto"/>
            </w:tcBorders>
            <w:vAlign w:val="center"/>
            <w:hideMark/>
          </w:tcPr>
          <w:p w14:paraId="22062135"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8 (6.67)</w:t>
            </w:r>
          </w:p>
        </w:tc>
        <w:tc>
          <w:tcPr>
            <w:tcW w:w="850" w:type="dxa"/>
            <w:tcBorders>
              <w:top w:val="single" w:sz="4" w:space="0" w:color="auto"/>
            </w:tcBorders>
            <w:vAlign w:val="center"/>
            <w:hideMark/>
          </w:tcPr>
          <w:p w14:paraId="6034B5A9"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62 (51.67)</w:t>
            </w:r>
          </w:p>
        </w:tc>
        <w:tc>
          <w:tcPr>
            <w:tcW w:w="1028" w:type="dxa"/>
            <w:tcBorders>
              <w:top w:val="single" w:sz="4" w:space="0" w:color="auto"/>
            </w:tcBorders>
            <w:vAlign w:val="center"/>
            <w:hideMark/>
          </w:tcPr>
          <w:p w14:paraId="6129F234"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47</w:t>
            </w:r>
          </w:p>
          <w:p w14:paraId="213D9E9E"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(39.17)</w:t>
            </w:r>
          </w:p>
        </w:tc>
        <w:tc>
          <w:tcPr>
            <w:tcW w:w="0" w:type="auto"/>
            <w:tcBorders>
              <w:top w:val="single" w:sz="4" w:space="0" w:color="auto"/>
            </w:tcBorders>
            <w:vAlign w:val="center"/>
            <w:hideMark/>
          </w:tcPr>
          <w:p w14:paraId="53FAD230"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4.28</w:t>
            </w:r>
          </w:p>
        </w:tc>
      </w:tr>
      <w:tr w:rsidR="006145DB" w:rsidRPr="002A2480" w14:paraId="4AF5D667" w14:textId="77777777" w:rsidTr="004E043A">
        <w:trPr>
          <w:trHeight w:val="19"/>
        </w:trPr>
        <w:tc>
          <w:tcPr>
            <w:tcW w:w="3655" w:type="dxa"/>
            <w:vAlign w:val="center"/>
            <w:hideMark/>
          </w:tcPr>
          <w:p w14:paraId="3736883D" w14:textId="77777777" w:rsidR="006145DB" w:rsidRPr="002A2480" w:rsidRDefault="006145DB" w:rsidP="006145DB">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I trust organic certification labels for millets.</w:t>
            </w:r>
          </w:p>
        </w:tc>
        <w:tc>
          <w:tcPr>
            <w:tcW w:w="1039" w:type="dxa"/>
            <w:vAlign w:val="center"/>
            <w:hideMark/>
          </w:tcPr>
          <w:p w14:paraId="42156C98"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w:t>
            </w:r>
          </w:p>
          <w:p w14:paraId="4AF3D44A"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(0.00)</w:t>
            </w:r>
          </w:p>
        </w:tc>
        <w:tc>
          <w:tcPr>
            <w:tcW w:w="1061" w:type="dxa"/>
            <w:vAlign w:val="center"/>
            <w:hideMark/>
          </w:tcPr>
          <w:p w14:paraId="07240942"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9</w:t>
            </w:r>
          </w:p>
          <w:p w14:paraId="0C83CB72"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(7.50)</w:t>
            </w:r>
          </w:p>
        </w:tc>
        <w:tc>
          <w:tcPr>
            <w:tcW w:w="906" w:type="dxa"/>
            <w:vAlign w:val="center"/>
            <w:hideMark/>
          </w:tcPr>
          <w:p w14:paraId="37209D2C"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20 (16.67)</w:t>
            </w:r>
          </w:p>
        </w:tc>
        <w:tc>
          <w:tcPr>
            <w:tcW w:w="850" w:type="dxa"/>
            <w:vAlign w:val="center"/>
            <w:hideMark/>
          </w:tcPr>
          <w:p w14:paraId="793A62C5"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64 (53.33)</w:t>
            </w:r>
          </w:p>
        </w:tc>
        <w:tc>
          <w:tcPr>
            <w:tcW w:w="1028" w:type="dxa"/>
            <w:vAlign w:val="center"/>
            <w:hideMark/>
          </w:tcPr>
          <w:p w14:paraId="4FEC0BD6"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27</w:t>
            </w:r>
          </w:p>
          <w:p w14:paraId="2D8EFCB7"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(22.50)</w:t>
            </w:r>
          </w:p>
        </w:tc>
        <w:tc>
          <w:tcPr>
            <w:tcW w:w="0" w:type="auto"/>
            <w:vAlign w:val="center"/>
            <w:hideMark/>
          </w:tcPr>
          <w:p w14:paraId="6181C881"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3.91</w:t>
            </w:r>
          </w:p>
        </w:tc>
      </w:tr>
      <w:tr w:rsidR="006145DB" w:rsidRPr="002A2480" w14:paraId="0057D2A5" w14:textId="77777777" w:rsidTr="004E043A">
        <w:trPr>
          <w:trHeight w:val="19"/>
        </w:trPr>
        <w:tc>
          <w:tcPr>
            <w:tcW w:w="3655" w:type="dxa"/>
            <w:vAlign w:val="center"/>
            <w:hideMark/>
          </w:tcPr>
          <w:p w14:paraId="542F0994" w14:textId="77777777" w:rsidR="006145DB" w:rsidRPr="002A2480" w:rsidRDefault="006145DB" w:rsidP="006145DB">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I consume organic millets for their health benefits.</w:t>
            </w:r>
          </w:p>
        </w:tc>
        <w:tc>
          <w:tcPr>
            <w:tcW w:w="1039" w:type="dxa"/>
            <w:vAlign w:val="center"/>
            <w:hideMark/>
          </w:tcPr>
          <w:p w14:paraId="2B8F5CA4"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1</w:t>
            </w:r>
          </w:p>
          <w:p w14:paraId="35E1CC4E"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(0.83)</w:t>
            </w:r>
          </w:p>
        </w:tc>
        <w:tc>
          <w:tcPr>
            <w:tcW w:w="1061" w:type="dxa"/>
            <w:vAlign w:val="center"/>
            <w:hideMark/>
          </w:tcPr>
          <w:p w14:paraId="3267A62D"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20 (16.67)</w:t>
            </w:r>
          </w:p>
        </w:tc>
        <w:tc>
          <w:tcPr>
            <w:tcW w:w="906" w:type="dxa"/>
            <w:vAlign w:val="center"/>
            <w:hideMark/>
          </w:tcPr>
          <w:p w14:paraId="4D5EDE05"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17 (14.17)</w:t>
            </w:r>
          </w:p>
        </w:tc>
        <w:tc>
          <w:tcPr>
            <w:tcW w:w="850" w:type="dxa"/>
            <w:vAlign w:val="center"/>
            <w:hideMark/>
          </w:tcPr>
          <w:p w14:paraId="4B783F35"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48 (40.00)</w:t>
            </w:r>
          </w:p>
        </w:tc>
        <w:tc>
          <w:tcPr>
            <w:tcW w:w="1028" w:type="dxa"/>
            <w:vAlign w:val="center"/>
            <w:hideMark/>
          </w:tcPr>
          <w:p w14:paraId="5F1DA27A"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34</w:t>
            </w:r>
          </w:p>
          <w:p w14:paraId="0EEF1470"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(28.33)</w:t>
            </w:r>
          </w:p>
        </w:tc>
        <w:tc>
          <w:tcPr>
            <w:tcW w:w="0" w:type="auto"/>
            <w:vAlign w:val="center"/>
            <w:hideMark/>
          </w:tcPr>
          <w:p w14:paraId="04EFD8AB"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3.78</w:t>
            </w:r>
          </w:p>
        </w:tc>
      </w:tr>
      <w:tr w:rsidR="006145DB" w:rsidRPr="002A2480" w14:paraId="78F7C08B" w14:textId="77777777" w:rsidTr="004E043A">
        <w:trPr>
          <w:trHeight w:val="19"/>
        </w:trPr>
        <w:tc>
          <w:tcPr>
            <w:tcW w:w="3655" w:type="dxa"/>
            <w:vAlign w:val="center"/>
            <w:hideMark/>
          </w:tcPr>
          <w:p w14:paraId="4438B219" w14:textId="77777777" w:rsidR="006145DB" w:rsidRPr="002A2480" w:rsidRDefault="006145DB" w:rsidP="006145DB">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I believe organic millets improve digestion and gut health.</w:t>
            </w:r>
          </w:p>
        </w:tc>
        <w:tc>
          <w:tcPr>
            <w:tcW w:w="1039" w:type="dxa"/>
            <w:vAlign w:val="center"/>
            <w:hideMark/>
          </w:tcPr>
          <w:p w14:paraId="4E153EBA"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w:t>
            </w:r>
          </w:p>
          <w:p w14:paraId="20143F09"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(0.00)</w:t>
            </w:r>
          </w:p>
        </w:tc>
        <w:tc>
          <w:tcPr>
            <w:tcW w:w="1061" w:type="dxa"/>
            <w:vAlign w:val="center"/>
            <w:hideMark/>
          </w:tcPr>
          <w:p w14:paraId="43C31177"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w:t>
            </w:r>
          </w:p>
          <w:p w14:paraId="2D81C9DD"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(1.67)</w:t>
            </w:r>
          </w:p>
        </w:tc>
        <w:tc>
          <w:tcPr>
            <w:tcW w:w="906" w:type="dxa"/>
            <w:vAlign w:val="center"/>
            <w:hideMark/>
          </w:tcPr>
          <w:p w14:paraId="6729EFA3"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51 (42.50)</w:t>
            </w:r>
          </w:p>
        </w:tc>
        <w:tc>
          <w:tcPr>
            <w:tcW w:w="850" w:type="dxa"/>
            <w:vAlign w:val="center"/>
            <w:hideMark/>
          </w:tcPr>
          <w:p w14:paraId="4EDB1D93"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61 (50.83)</w:t>
            </w:r>
          </w:p>
        </w:tc>
        <w:tc>
          <w:tcPr>
            <w:tcW w:w="1028" w:type="dxa"/>
            <w:vAlign w:val="center"/>
            <w:hideMark/>
          </w:tcPr>
          <w:p w14:paraId="470A76AE"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6</w:t>
            </w:r>
          </w:p>
          <w:p w14:paraId="7777C8B9"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(5.00)</w:t>
            </w:r>
          </w:p>
        </w:tc>
        <w:tc>
          <w:tcPr>
            <w:tcW w:w="0" w:type="auto"/>
            <w:vAlign w:val="center"/>
            <w:hideMark/>
          </w:tcPr>
          <w:p w14:paraId="495C6767"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3.59</w:t>
            </w:r>
          </w:p>
        </w:tc>
      </w:tr>
      <w:tr w:rsidR="006145DB" w:rsidRPr="002A2480" w14:paraId="41C7A6DA" w14:textId="77777777" w:rsidTr="004E043A">
        <w:trPr>
          <w:trHeight w:val="19"/>
        </w:trPr>
        <w:tc>
          <w:tcPr>
            <w:tcW w:w="3655" w:type="dxa"/>
            <w:vAlign w:val="center"/>
            <w:hideMark/>
          </w:tcPr>
          <w:p w14:paraId="53A28470" w14:textId="77777777" w:rsidR="006145DB" w:rsidRPr="002A2480" w:rsidRDefault="006145DB" w:rsidP="006145DB">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 xml:space="preserve">Organic millets are too expensive. </w:t>
            </w:r>
          </w:p>
          <w:p w14:paraId="1CBFA4EA" w14:textId="77777777" w:rsidR="006145DB" w:rsidRPr="002A2480" w:rsidRDefault="006145DB" w:rsidP="006145DB">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(Reverse Scoring)</w:t>
            </w:r>
          </w:p>
        </w:tc>
        <w:tc>
          <w:tcPr>
            <w:tcW w:w="1039" w:type="dxa"/>
            <w:vAlign w:val="center"/>
            <w:hideMark/>
          </w:tcPr>
          <w:p w14:paraId="7F2671E1"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w:t>
            </w:r>
          </w:p>
          <w:p w14:paraId="00EBD2E2"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(0.00)</w:t>
            </w:r>
          </w:p>
        </w:tc>
        <w:tc>
          <w:tcPr>
            <w:tcW w:w="1061" w:type="dxa"/>
            <w:vAlign w:val="center"/>
            <w:hideMark/>
          </w:tcPr>
          <w:p w14:paraId="7205CB3D"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27 (22.50)</w:t>
            </w:r>
          </w:p>
        </w:tc>
        <w:tc>
          <w:tcPr>
            <w:tcW w:w="906" w:type="dxa"/>
            <w:vAlign w:val="center"/>
            <w:hideMark/>
          </w:tcPr>
          <w:p w14:paraId="6352EAA1"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62 (51.67)</w:t>
            </w:r>
          </w:p>
        </w:tc>
        <w:tc>
          <w:tcPr>
            <w:tcW w:w="850" w:type="dxa"/>
            <w:vAlign w:val="center"/>
            <w:hideMark/>
          </w:tcPr>
          <w:p w14:paraId="7F001773"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31 (25.83)</w:t>
            </w:r>
          </w:p>
        </w:tc>
        <w:tc>
          <w:tcPr>
            <w:tcW w:w="1028" w:type="dxa"/>
            <w:vAlign w:val="center"/>
            <w:hideMark/>
          </w:tcPr>
          <w:p w14:paraId="4190855F"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w:t>
            </w:r>
          </w:p>
          <w:p w14:paraId="60596B3F"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(0.00)</w:t>
            </w:r>
          </w:p>
        </w:tc>
        <w:tc>
          <w:tcPr>
            <w:tcW w:w="0" w:type="auto"/>
            <w:vAlign w:val="center"/>
            <w:hideMark/>
          </w:tcPr>
          <w:p w14:paraId="617432A4"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3.03</w:t>
            </w:r>
          </w:p>
        </w:tc>
      </w:tr>
      <w:tr w:rsidR="006145DB" w:rsidRPr="002A2480" w14:paraId="3C1495FD" w14:textId="77777777" w:rsidTr="004E043A">
        <w:trPr>
          <w:trHeight w:val="19"/>
        </w:trPr>
        <w:tc>
          <w:tcPr>
            <w:tcW w:w="3655" w:type="dxa"/>
            <w:vAlign w:val="center"/>
            <w:hideMark/>
          </w:tcPr>
          <w:p w14:paraId="2358DAE7" w14:textId="77777777" w:rsidR="006145DB" w:rsidRPr="002A2480" w:rsidRDefault="006145DB" w:rsidP="006145DB">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Organic millets are easily available in my area.</w:t>
            </w:r>
          </w:p>
        </w:tc>
        <w:tc>
          <w:tcPr>
            <w:tcW w:w="1039" w:type="dxa"/>
            <w:vAlign w:val="center"/>
            <w:hideMark/>
          </w:tcPr>
          <w:p w14:paraId="22D2A45D"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 xml:space="preserve">9 </w:t>
            </w:r>
          </w:p>
          <w:p w14:paraId="05F85277"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(7.50)</w:t>
            </w:r>
          </w:p>
        </w:tc>
        <w:tc>
          <w:tcPr>
            <w:tcW w:w="1061" w:type="dxa"/>
            <w:vAlign w:val="center"/>
            <w:hideMark/>
          </w:tcPr>
          <w:p w14:paraId="22804812"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43 (35.83)</w:t>
            </w:r>
          </w:p>
        </w:tc>
        <w:tc>
          <w:tcPr>
            <w:tcW w:w="906" w:type="dxa"/>
            <w:vAlign w:val="center"/>
            <w:hideMark/>
          </w:tcPr>
          <w:p w14:paraId="2E598DCB"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43 (35.83)</w:t>
            </w:r>
          </w:p>
        </w:tc>
        <w:tc>
          <w:tcPr>
            <w:tcW w:w="850" w:type="dxa"/>
            <w:vAlign w:val="center"/>
            <w:hideMark/>
          </w:tcPr>
          <w:p w14:paraId="3CA16183"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15 (12.50)</w:t>
            </w:r>
          </w:p>
        </w:tc>
        <w:tc>
          <w:tcPr>
            <w:tcW w:w="1028" w:type="dxa"/>
            <w:vAlign w:val="center"/>
            <w:hideMark/>
          </w:tcPr>
          <w:p w14:paraId="1626C458"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10</w:t>
            </w:r>
          </w:p>
          <w:p w14:paraId="68473111"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(8.33)</w:t>
            </w:r>
          </w:p>
        </w:tc>
        <w:tc>
          <w:tcPr>
            <w:tcW w:w="0" w:type="auto"/>
            <w:vAlign w:val="center"/>
            <w:hideMark/>
          </w:tcPr>
          <w:p w14:paraId="0E3255DC"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2.78</w:t>
            </w:r>
          </w:p>
        </w:tc>
      </w:tr>
      <w:tr w:rsidR="006145DB" w:rsidRPr="002A2480" w14:paraId="311458AE" w14:textId="77777777" w:rsidTr="004E043A">
        <w:trPr>
          <w:trHeight w:val="19"/>
        </w:trPr>
        <w:tc>
          <w:tcPr>
            <w:tcW w:w="3655" w:type="dxa"/>
            <w:vAlign w:val="center"/>
            <w:hideMark/>
          </w:tcPr>
          <w:p w14:paraId="7CCAE62B" w14:textId="77777777" w:rsidR="006145DB" w:rsidRPr="002A2480" w:rsidRDefault="006145DB" w:rsidP="006145DB">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I regularly include organic millets in my meals.</w:t>
            </w:r>
          </w:p>
        </w:tc>
        <w:tc>
          <w:tcPr>
            <w:tcW w:w="1039" w:type="dxa"/>
            <w:vAlign w:val="center"/>
            <w:hideMark/>
          </w:tcPr>
          <w:p w14:paraId="0EED08F8"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w:t>
            </w:r>
          </w:p>
          <w:p w14:paraId="367DC39F"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(0.00)</w:t>
            </w:r>
          </w:p>
        </w:tc>
        <w:tc>
          <w:tcPr>
            <w:tcW w:w="1061" w:type="dxa"/>
            <w:vAlign w:val="center"/>
            <w:hideMark/>
          </w:tcPr>
          <w:p w14:paraId="11C68714"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50 (41.67)</w:t>
            </w:r>
          </w:p>
        </w:tc>
        <w:tc>
          <w:tcPr>
            <w:tcW w:w="906" w:type="dxa"/>
            <w:vAlign w:val="center"/>
            <w:hideMark/>
          </w:tcPr>
          <w:p w14:paraId="0838B55A"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59 (49.17)</w:t>
            </w:r>
          </w:p>
        </w:tc>
        <w:tc>
          <w:tcPr>
            <w:tcW w:w="850" w:type="dxa"/>
            <w:vAlign w:val="center"/>
            <w:hideMark/>
          </w:tcPr>
          <w:p w14:paraId="0292022F"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3 (2.50)</w:t>
            </w:r>
          </w:p>
        </w:tc>
        <w:tc>
          <w:tcPr>
            <w:tcW w:w="1028" w:type="dxa"/>
            <w:vAlign w:val="center"/>
            <w:hideMark/>
          </w:tcPr>
          <w:p w14:paraId="366A794D"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8</w:t>
            </w:r>
          </w:p>
          <w:p w14:paraId="2DBC499B"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(6.67)</w:t>
            </w:r>
          </w:p>
        </w:tc>
        <w:tc>
          <w:tcPr>
            <w:tcW w:w="0" w:type="auto"/>
            <w:vAlign w:val="center"/>
            <w:hideMark/>
          </w:tcPr>
          <w:p w14:paraId="2B60867E"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2.74</w:t>
            </w:r>
          </w:p>
        </w:tc>
      </w:tr>
      <w:tr w:rsidR="006145DB" w:rsidRPr="002A2480" w14:paraId="7C96CD1F" w14:textId="77777777" w:rsidTr="004E043A">
        <w:trPr>
          <w:trHeight w:val="19"/>
        </w:trPr>
        <w:tc>
          <w:tcPr>
            <w:tcW w:w="3655" w:type="dxa"/>
            <w:vAlign w:val="center"/>
            <w:hideMark/>
          </w:tcPr>
          <w:p w14:paraId="749ADAEF" w14:textId="77777777" w:rsidR="006145DB" w:rsidRPr="002A2480" w:rsidRDefault="006145DB" w:rsidP="006145DB">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I find it easy to cook and incorporate organic millets into my diet.</w:t>
            </w:r>
          </w:p>
        </w:tc>
        <w:tc>
          <w:tcPr>
            <w:tcW w:w="1039" w:type="dxa"/>
            <w:vAlign w:val="center"/>
            <w:hideMark/>
          </w:tcPr>
          <w:p w14:paraId="73CDE6DA"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3</w:t>
            </w:r>
          </w:p>
          <w:p w14:paraId="3D1E25EB"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(2.50)</w:t>
            </w:r>
          </w:p>
        </w:tc>
        <w:tc>
          <w:tcPr>
            <w:tcW w:w="1061" w:type="dxa"/>
            <w:vAlign w:val="center"/>
            <w:hideMark/>
          </w:tcPr>
          <w:p w14:paraId="48A1716D"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49 (40.83)</w:t>
            </w:r>
          </w:p>
        </w:tc>
        <w:tc>
          <w:tcPr>
            <w:tcW w:w="906" w:type="dxa"/>
            <w:vAlign w:val="center"/>
            <w:hideMark/>
          </w:tcPr>
          <w:p w14:paraId="74894041"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66 (55.00)</w:t>
            </w:r>
          </w:p>
        </w:tc>
        <w:tc>
          <w:tcPr>
            <w:tcW w:w="850" w:type="dxa"/>
            <w:vAlign w:val="center"/>
            <w:hideMark/>
          </w:tcPr>
          <w:p w14:paraId="5072FFC3"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 (0.00)</w:t>
            </w:r>
          </w:p>
        </w:tc>
        <w:tc>
          <w:tcPr>
            <w:tcW w:w="1028" w:type="dxa"/>
            <w:vAlign w:val="center"/>
            <w:hideMark/>
          </w:tcPr>
          <w:p w14:paraId="66CAC94F"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w:t>
            </w:r>
          </w:p>
          <w:p w14:paraId="0C99C401"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(1.67)</w:t>
            </w:r>
          </w:p>
        </w:tc>
        <w:tc>
          <w:tcPr>
            <w:tcW w:w="0" w:type="auto"/>
            <w:vAlign w:val="center"/>
            <w:hideMark/>
          </w:tcPr>
          <w:p w14:paraId="020107D9"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2.58</w:t>
            </w:r>
          </w:p>
        </w:tc>
      </w:tr>
      <w:tr w:rsidR="006145DB" w:rsidRPr="002A2480" w14:paraId="10D9C5E3" w14:textId="77777777" w:rsidTr="004E043A">
        <w:trPr>
          <w:trHeight w:val="19"/>
        </w:trPr>
        <w:tc>
          <w:tcPr>
            <w:tcW w:w="3655" w:type="dxa"/>
            <w:vAlign w:val="center"/>
            <w:hideMark/>
          </w:tcPr>
          <w:p w14:paraId="40480E6F" w14:textId="77777777" w:rsidR="006145DB" w:rsidRPr="002A2480" w:rsidRDefault="006145DB" w:rsidP="006145DB">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I enjoy the taste and texture of organic millets.</w:t>
            </w:r>
          </w:p>
        </w:tc>
        <w:tc>
          <w:tcPr>
            <w:tcW w:w="1039" w:type="dxa"/>
            <w:vAlign w:val="center"/>
            <w:hideMark/>
          </w:tcPr>
          <w:p w14:paraId="275E7F95"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3</w:t>
            </w:r>
          </w:p>
          <w:p w14:paraId="6F514700"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(2.50)</w:t>
            </w:r>
          </w:p>
        </w:tc>
        <w:tc>
          <w:tcPr>
            <w:tcW w:w="1061" w:type="dxa"/>
            <w:vAlign w:val="center"/>
            <w:hideMark/>
          </w:tcPr>
          <w:p w14:paraId="1C1DBCF8"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59 (49.17)</w:t>
            </w:r>
          </w:p>
        </w:tc>
        <w:tc>
          <w:tcPr>
            <w:tcW w:w="906" w:type="dxa"/>
            <w:vAlign w:val="center"/>
            <w:hideMark/>
          </w:tcPr>
          <w:p w14:paraId="3BE73436"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47 (39.17)</w:t>
            </w:r>
          </w:p>
        </w:tc>
        <w:tc>
          <w:tcPr>
            <w:tcW w:w="850" w:type="dxa"/>
            <w:vAlign w:val="center"/>
            <w:hideMark/>
          </w:tcPr>
          <w:p w14:paraId="2FCAC559"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9 (7.50)</w:t>
            </w:r>
          </w:p>
        </w:tc>
        <w:tc>
          <w:tcPr>
            <w:tcW w:w="1028" w:type="dxa"/>
            <w:vAlign w:val="center"/>
            <w:hideMark/>
          </w:tcPr>
          <w:p w14:paraId="1101B6FC"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w:t>
            </w:r>
          </w:p>
          <w:p w14:paraId="09D59840"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(1.67)</w:t>
            </w:r>
          </w:p>
        </w:tc>
        <w:tc>
          <w:tcPr>
            <w:tcW w:w="0" w:type="auto"/>
            <w:vAlign w:val="center"/>
            <w:hideMark/>
          </w:tcPr>
          <w:p w14:paraId="623E734A"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2.57</w:t>
            </w:r>
          </w:p>
        </w:tc>
      </w:tr>
      <w:tr w:rsidR="006145DB" w:rsidRPr="002A2480" w14:paraId="235B60C5" w14:textId="77777777" w:rsidTr="004E043A">
        <w:trPr>
          <w:trHeight w:val="19"/>
        </w:trPr>
        <w:tc>
          <w:tcPr>
            <w:tcW w:w="3655" w:type="dxa"/>
            <w:tcBorders>
              <w:bottom w:val="single" w:sz="4" w:space="0" w:color="auto"/>
            </w:tcBorders>
            <w:vAlign w:val="center"/>
            <w:hideMark/>
          </w:tcPr>
          <w:p w14:paraId="0D894D71" w14:textId="77777777" w:rsidR="006145DB" w:rsidRPr="002A2480" w:rsidRDefault="006145DB" w:rsidP="006145DB">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I can easily identify different types of organic millets.</w:t>
            </w:r>
          </w:p>
        </w:tc>
        <w:tc>
          <w:tcPr>
            <w:tcW w:w="1039" w:type="dxa"/>
            <w:tcBorders>
              <w:bottom w:val="single" w:sz="4" w:space="0" w:color="auto"/>
            </w:tcBorders>
            <w:vAlign w:val="center"/>
            <w:hideMark/>
          </w:tcPr>
          <w:p w14:paraId="676C8F76"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 xml:space="preserve">42 </w:t>
            </w:r>
          </w:p>
          <w:p w14:paraId="4AC89089"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(35.00)</w:t>
            </w:r>
          </w:p>
        </w:tc>
        <w:tc>
          <w:tcPr>
            <w:tcW w:w="1061" w:type="dxa"/>
            <w:tcBorders>
              <w:bottom w:val="single" w:sz="4" w:space="0" w:color="auto"/>
            </w:tcBorders>
            <w:vAlign w:val="center"/>
            <w:hideMark/>
          </w:tcPr>
          <w:p w14:paraId="0B5DBC7A"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29 (24.17)</w:t>
            </w:r>
          </w:p>
        </w:tc>
        <w:tc>
          <w:tcPr>
            <w:tcW w:w="906" w:type="dxa"/>
            <w:tcBorders>
              <w:bottom w:val="single" w:sz="4" w:space="0" w:color="auto"/>
            </w:tcBorders>
            <w:vAlign w:val="center"/>
            <w:hideMark/>
          </w:tcPr>
          <w:p w14:paraId="26144C98"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33 (27.50)</w:t>
            </w:r>
          </w:p>
        </w:tc>
        <w:tc>
          <w:tcPr>
            <w:tcW w:w="850" w:type="dxa"/>
            <w:tcBorders>
              <w:bottom w:val="single" w:sz="4" w:space="0" w:color="auto"/>
            </w:tcBorders>
            <w:vAlign w:val="center"/>
            <w:hideMark/>
          </w:tcPr>
          <w:p w14:paraId="73CB2680"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14 (11.67)</w:t>
            </w:r>
          </w:p>
        </w:tc>
        <w:tc>
          <w:tcPr>
            <w:tcW w:w="1028" w:type="dxa"/>
            <w:tcBorders>
              <w:bottom w:val="single" w:sz="4" w:space="0" w:color="auto"/>
            </w:tcBorders>
            <w:vAlign w:val="center"/>
            <w:hideMark/>
          </w:tcPr>
          <w:p w14:paraId="5391010C"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w:t>
            </w:r>
          </w:p>
          <w:p w14:paraId="7CE20FA2"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(1.67)</w:t>
            </w:r>
          </w:p>
        </w:tc>
        <w:tc>
          <w:tcPr>
            <w:tcW w:w="0" w:type="auto"/>
            <w:tcBorders>
              <w:bottom w:val="single" w:sz="4" w:space="0" w:color="auto"/>
            </w:tcBorders>
            <w:vAlign w:val="center"/>
            <w:hideMark/>
          </w:tcPr>
          <w:p w14:paraId="077EB7BC" w14:textId="77777777" w:rsidR="006145DB" w:rsidRPr="002A2480" w:rsidRDefault="006145DB" w:rsidP="006145DB">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2.21</w:t>
            </w:r>
          </w:p>
        </w:tc>
      </w:tr>
    </w:tbl>
    <w:p w14:paraId="1D0F4B36" w14:textId="043DCA95" w:rsidR="006145DB" w:rsidRPr="002A2480" w:rsidRDefault="006145DB" w:rsidP="006145DB">
      <w:pPr>
        <w:spacing w:line="240" w:lineRule="auto"/>
        <w:rPr>
          <w:rFonts w:ascii="Arial" w:hAnsi="Arial" w:cs="Arial"/>
          <w:sz w:val="20"/>
          <w:szCs w:val="20"/>
        </w:rPr>
      </w:pPr>
      <w:r w:rsidRPr="002A2480">
        <w:rPr>
          <w:rFonts w:ascii="Arial" w:hAnsi="Arial" w:cs="Arial"/>
          <w:sz w:val="20"/>
          <w:szCs w:val="20"/>
        </w:rPr>
        <w:t xml:space="preserve"> Note: Figures given in parenthesis indicate percentage to the total respondents.</w:t>
      </w:r>
    </w:p>
    <w:p w14:paraId="3C57347C" w14:textId="77777777" w:rsidR="001F2AD7" w:rsidRDefault="001F2AD7" w:rsidP="006145DB">
      <w:pPr>
        <w:spacing w:line="240" w:lineRule="auto"/>
        <w:jc w:val="both"/>
        <w:rPr>
          <w:rFonts w:ascii="Arial" w:hAnsi="Arial" w:cs="Arial"/>
          <w:b/>
          <w:bCs/>
        </w:rPr>
      </w:pPr>
    </w:p>
    <w:p w14:paraId="53DF8170" w14:textId="179B4FF5" w:rsidR="006145DB" w:rsidRPr="002A2480" w:rsidRDefault="006145DB" w:rsidP="006145DB">
      <w:pPr>
        <w:spacing w:line="240" w:lineRule="auto"/>
        <w:jc w:val="both"/>
        <w:rPr>
          <w:rFonts w:ascii="Arial" w:hAnsi="Arial" w:cs="Arial"/>
          <w:b/>
          <w:bCs/>
        </w:rPr>
      </w:pPr>
      <w:r w:rsidRPr="002A2480">
        <w:rPr>
          <w:rFonts w:ascii="Arial" w:hAnsi="Arial" w:cs="Arial"/>
          <w:b/>
          <w:bCs/>
        </w:rPr>
        <w:t>3.2 Awareness of benefits of organic millets</w:t>
      </w:r>
    </w:p>
    <w:p w14:paraId="611D27D7" w14:textId="619A074B" w:rsidR="006145DB" w:rsidRPr="002A2480" w:rsidRDefault="006145DB" w:rsidP="006145DB">
      <w:pPr>
        <w:spacing w:line="240" w:lineRule="auto"/>
        <w:ind w:firstLine="720"/>
        <w:jc w:val="both"/>
        <w:rPr>
          <w:rFonts w:ascii="Arial" w:hAnsi="Arial" w:cs="Arial"/>
          <w:sz w:val="20"/>
          <w:szCs w:val="20"/>
        </w:rPr>
      </w:pPr>
      <w:r w:rsidRPr="002A2480">
        <w:rPr>
          <w:rFonts w:ascii="Arial" w:hAnsi="Arial" w:cs="Arial"/>
          <w:sz w:val="20"/>
          <w:szCs w:val="20"/>
        </w:rPr>
        <w:t xml:space="preserve">To assess consumer awareness regarding the benefits of consuming organic millets, respondents were asked to rank four key attributes such as health benefits, nutritional benefits, environmental sustainability, and taste and purity in the order of importance. The data collected was ordinal in nature and was analysed using descriptive statistics to compute mean ranks. The results are shown in table </w:t>
      </w:r>
      <w:r w:rsidR="002B65D5" w:rsidRPr="002A2480">
        <w:rPr>
          <w:rFonts w:ascii="Arial" w:hAnsi="Arial" w:cs="Arial"/>
          <w:sz w:val="20"/>
          <w:szCs w:val="20"/>
        </w:rPr>
        <w:t>2</w:t>
      </w:r>
      <w:r w:rsidRPr="002A2480">
        <w:rPr>
          <w:rFonts w:ascii="Arial" w:hAnsi="Arial" w:cs="Arial"/>
          <w:sz w:val="20"/>
          <w:szCs w:val="20"/>
        </w:rPr>
        <w:t xml:space="preserve">. The findings Indicate that the factor with the highest preference among respondents is health benefits, which recorded the lowest mean rank of 1.38. A significant proportion of respondents (85 out of 120) assigned it rank 1, highlighting that improved health outcomes are the primary motivation </w:t>
      </w:r>
      <w:r w:rsidRPr="002A2480">
        <w:rPr>
          <w:rFonts w:ascii="Arial" w:hAnsi="Arial" w:cs="Arial"/>
          <w:sz w:val="20"/>
          <w:szCs w:val="20"/>
        </w:rPr>
        <w:lastRenderedPageBreak/>
        <w:t xml:space="preserve">for purchasing organic millets. In contrast, the factor with the lowest preference is taste and texture, with the highest mean rank of 3.84. Nutritional benefits emerged as the second most important factor, with a mean rank of 1.96, suggesting that consumers view nutritional value as a key driver in their purchasing behaviour. Environmental sustainability ranked third, with a mean score of 2.82. </w:t>
      </w:r>
    </w:p>
    <w:p w14:paraId="4075855F" w14:textId="35CBE06E" w:rsidR="006145DB" w:rsidRPr="002A2480" w:rsidRDefault="006145DB" w:rsidP="006145DB">
      <w:pPr>
        <w:spacing w:line="240" w:lineRule="auto"/>
        <w:ind w:firstLine="720"/>
        <w:jc w:val="both"/>
        <w:rPr>
          <w:rFonts w:ascii="Arial" w:hAnsi="Arial" w:cs="Arial"/>
          <w:sz w:val="20"/>
          <w:szCs w:val="20"/>
        </w:rPr>
      </w:pPr>
      <w:r w:rsidRPr="002A2480">
        <w:rPr>
          <w:rFonts w:ascii="Arial" w:hAnsi="Arial" w:cs="Arial"/>
          <w:sz w:val="20"/>
          <w:szCs w:val="20"/>
        </w:rPr>
        <w:t xml:space="preserve">Overall, these results underscore that health and nutritional benefits are the dominant factors influencing consumer decisions to purchase organic millets. In comparison, environmental concerns hold moderate influence, while taste and purity are deemed least important, reflecting the perception that health advantages outweigh sensory appeal in driving consumer choices. </w:t>
      </w:r>
      <w:r w:rsidRPr="002A2480">
        <w:rPr>
          <w:rFonts w:ascii="Arial" w:hAnsi="Arial" w:cs="Arial"/>
          <w:bCs/>
          <w:sz w:val="20"/>
          <w:szCs w:val="20"/>
          <w:lang w:val="en-US"/>
        </w:rPr>
        <w:t xml:space="preserve">Reddy </w:t>
      </w:r>
      <w:r w:rsidRPr="002A2480">
        <w:rPr>
          <w:rFonts w:ascii="Arial" w:hAnsi="Arial" w:cs="Arial"/>
          <w:bCs/>
          <w:i/>
          <w:iCs/>
          <w:sz w:val="20"/>
          <w:szCs w:val="20"/>
          <w:lang w:val="en-US"/>
        </w:rPr>
        <w:t>et al</w:t>
      </w:r>
      <w:r w:rsidRPr="002A2480">
        <w:rPr>
          <w:rFonts w:ascii="Arial" w:hAnsi="Arial" w:cs="Arial"/>
          <w:bCs/>
          <w:sz w:val="20"/>
          <w:szCs w:val="20"/>
          <w:lang w:val="en-US"/>
        </w:rPr>
        <w:t>., (2023)</w:t>
      </w:r>
      <w:r w:rsidRPr="002A2480">
        <w:rPr>
          <w:rFonts w:ascii="Arial" w:hAnsi="Arial" w:cs="Arial"/>
          <w:sz w:val="20"/>
          <w:szCs w:val="20"/>
        </w:rPr>
        <w:t xml:space="preserve"> and </w:t>
      </w:r>
      <w:r w:rsidRPr="002A2480">
        <w:rPr>
          <w:rFonts w:ascii="Arial" w:hAnsi="Arial" w:cs="Arial"/>
          <w:bCs/>
          <w:sz w:val="20"/>
          <w:szCs w:val="20"/>
          <w:lang w:val="en-US"/>
        </w:rPr>
        <w:t>Vaswani et al. (2024) also reported the influence of nutritional value on consumption of millets.</w:t>
      </w:r>
    </w:p>
    <w:p w14:paraId="778A65A0" w14:textId="63B4E88A" w:rsidR="006145DB" w:rsidRPr="002A2480" w:rsidRDefault="006145DB" w:rsidP="006145DB">
      <w:pPr>
        <w:spacing w:line="240" w:lineRule="auto"/>
        <w:jc w:val="both"/>
        <w:rPr>
          <w:rFonts w:ascii="Arial" w:hAnsi="Arial" w:cs="Arial"/>
          <w:b/>
          <w:bCs/>
          <w:sz w:val="20"/>
          <w:szCs w:val="20"/>
        </w:rPr>
      </w:pPr>
      <w:r w:rsidRPr="002A2480">
        <w:rPr>
          <w:rFonts w:ascii="Arial" w:hAnsi="Arial" w:cs="Arial"/>
          <w:b/>
          <w:bCs/>
          <w:sz w:val="20"/>
          <w:szCs w:val="20"/>
        </w:rPr>
        <w:t>Table 2. Ranking of perceived benefits of organic millets</w:t>
      </w:r>
    </w:p>
    <w:tbl>
      <w:tblPr>
        <w:tblW w:w="8534" w:type="dxa"/>
        <w:tblBorders>
          <w:top w:val="single" w:sz="4" w:space="0" w:color="auto"/>
          <w:bottom w:val="single" w:sz="4" w:space="0" w:color="auto"/>
        </w:tblBorders>
        <w:tblLook w:val="04A0" w:firstRow="1" w:lastRow="0" w:firstColumn="1" w:lastColumn="0" w:noHBand="0" w:noVBand="1"/>
      </w:tblPr>
      <w:tblGrid>
        <w:gridCol w:w="2763"/>
        <w:gridCol w:w="1043"/>
        <w:gridCol w:w="1043"/>
        <w:gridCol w:w="1043"/>
        <w:gridCol w:w="1043"/>
        <w:gridCol w:w="1599"/>
      </w:tblGrid>
      <w:tr w:rsidR="006145DB" w:rsidRPr="002A2480" w14:paraId="45FAF594" w14:textId="77777777" w:rsidTr="004E043A">
        <w:trPr>
          <w:trHeight w:val="402"/>
        </w:trPr>
        <w:tc>
          <w:tcPr>
            <w:tcW w:w="0" w:type="auto"/>
            <w:vMerge w:val="restart"/>
            <w:tcBorders>
              <w:top w:val="single" w:sz="4" w:space="0" w:color="auto"/>
              <w:bottom w:val="single" w:sz="4" w:space="0" w:color="auto"/>
            </w:tcBorders>
            <w:vAlign w:val="center"/>
          </w:tcPr>
          <w:p w14:paraId="13699C58" w14:textId="77777777" w:rsidR="006145DB" w:rsidRPr="002A2480" w:rsidRDefault="006145DB" w:rsidP="000E5732">
            <w:pPr>
              <w:spacing w:after="0" w:line="240" w:lineRule="auto"/>
              <w:jc w:val="center"/>
              <w:rPr>
                <w:rFonts w:ascii="Arial" w:eastAsia="Times New Roman" w:hAnsi="Arial" w:cs="Arial"/>
                <w:b/>
                <w:bCs/>
                <w:color w:val="000000"/>
                <w:sz w:val="20"/>
                <w:szCs w:val="20"/>
                <w:lang w:eastAsia="en-IN"/>
              </w:rPr>
            </w:pPr>
            <w:r w:rsidRPr="002A2480">
              <w:rPr>
                <w:rFonts w:ascii="Arial" w:eastAsia="Times New Roman" w:hAnsi="Arial" w:cs="Arial"/>
                <w:b/>
                <w:bCs/>
                <w:color w:val="000000"/>
                <w:sz w:val="20"/>
                <w:szCs w:val="20"/>
                <w:lang w:eastAsia="en-IN"/>
              </w:rPr>
              <w:t>Perceived benefits</w:t>
            </w:r>
          </w:p>
        </w:tc>
        <w:tc>
          <w:tcPr>
            <w:tcW w:w="0" w:type="auto"/>
            <w:gridSpan w:val="4"/>
            <w:tcBorders>
              <w:top w:val="single" w:sz="4" w:space="0" w:color="auto"/>
              <w:bottom w:val="single" w:sz="4" w:space="0" w:color="auto"/>
            </w:tcBorders>
            <w:vAlign w:val="center"/>
          </w:tcPr>
          <w:p w14:paraId="559FA120" w14:textId="77777777" w:rsidR="006145DB" w:rsidRPr="002A2480" w:rsidRDefault="006145DB" w:rsidP="000E5732">
            <w:pPr>
              <w:spacing w:after="0" w:line="240" w:lineRule="auto"/>
              <w:jc w:val="center"/>
              <w:rPr>
                <w:rFonts w:ascii="Arial" w:eastAsia="Times New Roman" w:hAnsi="Arial" w:cs="Arial"/>
                <w:b/>
                <w:bCs/>
                <w:color w:val="000000"/>
                <w:sz w:val="20"/>
                <w:szCs w:val="20"/>
                <w:lang w:eastAsia="en-IN"/>
              </w:rPr>
            </w:pPr>
            <w:r w:rsidRPr="002A2480">
              <w:rPr>
                <w:rFonts w:ascii="Arial" w:eastAsia="Times New Roman" w:hAnsi="Arial" w:cs="Arial"/>
                <w:b/>
                <w:bCs/>
                <w:color w:val="000000"/>
                <w:sz w:val="20"/>
                <w:szCs w:val="20"/>
                <w:lang w:eastAsia="en-IN"/>
              </w:rPr>
              <w:t>Consumer responses</w:t>
            </w:r>
          </w:p>
        </w:tc>
        <w:tc>
          <w:tcPr>
            <w:tcW w:w="1599" w:type="dxa"/>
            <w:vMerge w:val="restart"/>
            <w:tcBorders>
              <w:top w:val="single" w:sz="4" w:space="0" w:color="auto"/>
              <w:bottom w:val="single" w:sz="4" w:space="0" w:color="auto"/>
            </w:tcBorders>
            <w:vAlign w:val="center"/>
          </w:tcPr>
          <w:p w14:paraId="67F53B90" w14:textId="77777777" w:rsidR="006145DB" w:rsidRPr="002A2480" w:rsidRDefault="006145DB" w:rsidP="000E5732">
            <w:pPr>
              <w:spacing w:after="0" w:line="240" w:lineRule="auto"/>
              <w:jc w:val="center"/>
              <w:rPr>
                <w:rFonts w:ascii="Arial" w:eastAsia="Times New Roman" w:hAnsi="Arial" w:cs="Arial"/>
                <w:b/>
                <w:bCs/>
                <w:color w:val="000000"/>
                <w:sz w:val="20"/>
                <w:szCs w:val="20"/>
                <w:lang w:eastAsia="en-IN"/>
              </w:rPr>
            </w:pPr>
            <w:r w:rsidRPr="002A2480">
              <w:rPr>
                <w:rFonts w:ascii="Arial" w:eastAsia="Times New Roman" w:hAnsi="Arial" w:cs="Arial"/>
                <w:b/>
                <w:bCs/>
                <w:color w:val="000000"/>
                <w:sz w:val="20"/>
                <w:szCs w:val="20"/>
                <w:lang w:eastAsia="en-IN"/>
              </w:rPr>
              <w:t>Mean Rank</w:t>
            </w:r>
          </w:p>
        </w:tc>
      </w:tr>
      <w:tr w:rsidR="004E043A" w:rsidRPr="002A2480" w14:paraId="5880106E" w14:textId="77777777" w:rsidTr="004E043A">
        <w:trPr>
          <w:trHeight w:val="425"/>
        </w:trPr>
        <w:tc>
          <w:tcPr>
            <w:tcW w:w="0" w:type="auto"/>
            <w:vMerge/>
            <w:tcBorders>
              <w:top w:val="single" w:sz="4" w:space="0" w:color="auto"/>
              <w:bottom w:val="single" w:sz="4" w:space="0" w:color="auto"/>
            </w:tcBorders>
            <w:vAlign w:val="center"/>
            <w:hideMark/>
          </w:tcPr>
          <w:p w14:paraId="47AC08AE" w14:textId="77777777" w:rsidR="006145DB" w:rsidRPr="002A2480" w:rsidRDefault="006145DB" w:rsidP="000E5732">
            <w:pPr>
              <w:spacing w:after="0" w:line="240" w:lineRule="auto"/>
              <w:jc w:val="center"/>
              <w:rPr>
                <w:rFonts w:ascii="Arial" w:eastAsia="Times New Roman" w:hAnsi="Arial" w:cs="Arial"/>
                <w:b/>
                <w:bCs/>
                <w:color w:val="000000"/>
                <w:sz w:val="20"/>
                <w:szCs w:val="20"/>
                <w:lang w:eastAsia="en-IN"/>
              </w:rPr>
            </w:pPr>
          </w:p>
        </w:tc>
        <w:tc>
          <w:tcPr>
            <w:tcW w:w="0" w:type="auto"/>
            <w:tcBorders>
              <w:top w:val="single" w:sz="4" w:space="0" w:color="auto"/>
              <w:bottom w:val="single" w:sz="4" w:space="0" w:color="auto"/>
            </w:tcBorders>
            <w:vAlign w:val="center"/>
            <w:hideMark/>
          </w:tcPr>
          <w:p w14:paraId="2DD5D3DA" w14:textId="77777777" w:rsidR="006145DB" w:rsidRPr="002A2480" w:rsidRDefault="006145DB" w:rsidP="000E5732">
            <w:pPr>
              <w:spacing w:after="0" w:line="240" w:lineRule="auto"/>
              <w:jc w:val="center"/>
              <w:rPr>
                <w:rFonts w:ascii="Arial" w:eastAsia="Times New Roman" w:hAnsi="Arial" w:cs="Arial"/>
                <w:b/>
                <w:bCs/>
                <w:color w:val="000000"/>
                <w:sz w:val="20"/>
                <w:szCs w:val="20"/>
                <w:lang w:eastAsia="en-IN"/>
              </w:rPr>
            </w:pPr>
            <w:r w:rsidRPr="002A2480">
              <w:rPr>
                <w:rFonts w:ascii="Arial" w:eastAsia="Times New Roman" w:hAnsi="Arial" w:cs="Arial"/>
                <w:b/>
                <w:bCs/>
                <w:color w:val="000000"/>
                <w:sz w:val="20"/>
                <w:szCs w:val="20"/>
                <w:lang w:eastAsia="en-IN"/>
              </w:rPr>
              <w:t>Rank 1</w:t>
            </w:r>
          </w:p>
        </w:tc>
        <w:tc>
          <w:tcPr>
            <w:tcW w:w="0" w:type="auto"/>
            <w:tcBorders>
              <w:top w:val="single" w:sz="4" w:space="0" w:color="auto"/>
              <w:bottom w:val="single" w:sz="4" w:space="0" w:color="auto"/>
            </w:tcBorders>
            <w:vAlign w:val="center"/>
            <w:hideMark/>
          </w:tcPr>
          <w:p w14:paraId="7F2D2776" w14:textId="77777777" w:rsidR="006145DB" w:rsidRPr="002A2480" w:rsidRDefault="006145DB" w:rsidP="000E5732">
            <w:pPr>
              <w:spacing w:after="0" w:line="240" w:lineRule="auto"/>
              <w:jc w:val="center"/>
              <w:rPr>
                <w:rFonts w:ascii="Arial" w:eastAsia="Times New Roman" w:hAnsi="Arial" w:cs="Arial"/>
                <w:b/>
                <w:bCs/>
                <w:color w:val="000000"/>
                <w:sz w:val="20"/>
                <w:szCs w:val="20"/>
                <w:lang w:eastAsia="en-IN"/>
              </w:rPr>
            </w:pPr>
            <w:r w:rsidRPr="002A2480">
              <w:rPr>
                <w:rFonts w:ascii="Arial" w:eastAsia="Times New Roman" w:hAnsi="Arial" w:cs="Arial"/>
                <w:b/>
                <w:bCs/>
                <w:color w:val="000000"/>
                <w:sz w:val="20"/>
                <w:szCs w:val="20"/>
                <w:lang w:eastAsia="en-IN"/>
              </w:rPr>
              <w:t>Rank 2</w:t>
            </w:r>
          </w:p>
        </w:tc>
        <w:tc>
          <w:tcPr>
            <w:tcW w:w="0" w:type="auto"/>
            <w:tcBorders>
              <w:top w:val="single" w:sz="4" w:space="0" w:color="auto"/>
              <w:bottom w:val="single" w:sz="4" w:space="0" w:color="auto"/>
            </w:tcBorders>
            <w:vAlign w:val="center"/>
            <w:hideMark/>
          </w:tcPr>
          <w:p w14:paraId="024FCED6" w14:textId="77777777" w:rsidR="006145DB" w:rsidRPr="002A2480" w:rsidRDefault="006145DB" w:rsidP="000E5732">
            <w:pPr>
              <w:spacing w:after="0" w:line="240" w:lineRule="auto"/>
              <w:jc w:val="center"/>
              <w:rPr>
                <w:rFonts w:ascii="Arial" w:eastAsia="Times New Roman" w:hAnsi="Arial" w:cs="Arial"/>
                <w:b/>
                <w:bCs/>
                <w:color w:val="000000"/>
                <w:sz w:val="20"/>
                <w:szCs w:val="20"/>
                <w:lang w:eastAsia="en-IN"/>
              </w:rPr>
            </w:pPr>
            <w:r w:rsidRPr="002A2480">
              <w:rPr>
                <w:rFonts w:ascii="Arial" w:eastAsia="Times New Roman" w:hAnsi="Arial" w:cs="Arial"/>
                <w:b/>
                <w:bCs/>
                <w:color w:val="000000"/>
                <w:sz w:val="20"/>
                <w:szCs w:val="20"/>
                <w:lang w:eastAsia="en-IN"/>
              </w:rPr>
              <w:t>Rank 3</w:t>
            </w:r>
          </w:p>
        </w:tc>
        <w:tc>
          <w:tcPr>
            <w:tcW w:w="0" w:type="auto"/>
            <w:tcBorders>
              <w:top w:val="single" w:sz="4" w:space="0" w:color="auto"/>
              <w:bottom w:val="single" w:sz="4" w:space="0" w:color="auto"/>
            </w:tcBorders>
            <w:vAlign w:val="center"/>
            <w:hideMark/>
          </w:tcPr>
          <w:p w14:paraId="4ABE89AF" w14:textId="77777777" w:rsidR="006145DB" w:rsidRPr="002A2480" w:rsidRDefault="006145DB" w:rsidP="000E5732">
            <w:pPr>
              <w:spacing w:after="0" w:line="240" w:lineRule="auto"/>
              <w:jc w:val="center"/>
              <w:rPr>
                <w:rFonts w:ascii="Arial" w:eastAsia="Times New Roman" w:hAnsi="Arial" w:cs="Arial"/>
                <w:b/>
                <w:bCs/>
                <w:color w:val="000000"/>
                <w:sz w:val="20"/>
                <w:szCs w:val="20"/>
                <w:lang w:eastAsia="en-IN"/>
              </w:rPr>
            </w:pPr>
            <w:r w:rsidRPr="002A2480">
              <w:rPr>
                <w:rFonts w:ascii="Arial" w:eastAsia="Times New Roman" w:hAnsi="Arial" w:cs="Arial"/>
                <w:b/>
                <w:bCs/>
                <w:color w:val="000000"/>
                <w:sz w:val="20"/>
                <w:szCs w:val="20"/>
                <w:lang w:eastAsia="en-IN"/>
              </w:rPr>
              <w:t>Rank 4</w:t>
            </w:r>
          </w:p>
        </w:tc>
        <w:tc>
          <w:tcPr>
            <w:tcW w:w="1599" w:type="dxa"/>
            <w:vMerge/>
            <w:tcBorders>
              <w:top w:val="single" w:sz="4" w:space="0" w:color="auto"/>
              <w:bottom w:val="single" w:sz="4" w:space="0" w:color="auto"/>
            </w:tcBorders>
            <w:vAlign w:val="center"/>
            <w:hideMark/>
          </w:tcPr>
          <w:p w14:paraId="0AB4E349" w14:textId="77777777" w:rsidR="006145DB" w:rsidRPr="002A2480" w:rsidRDefault="006145DB" w:rsidP="000E5732">
            <w:pPr>
              <w:spacing w:after="0" w:line="240" w:lineRule="auto"/>
              <w:jc w:val="center"/>
              <w:rPr>
                <w:rFonts w:ascii="Arial" w:eastAsia="Times New Roman" w:hAnsi="Arial" w:cs="Arial"/>
                <w:b/>
                <w:bCs/>
                <w:color w:val="000000"/>
                <w:sz w:val="20"/>
                <w:szCs w:val="20"/>
                <w:lang w:eastAsia="en-IN"/>
              </w:rPr>
            </w:pPr>
          </w:p>
        </w:tc>
      </w:tr>
      <w:tr w:rsidR="004E043A" w:rsidRPr="002A2480" w14:paraId="23A4D72B" w14:textId="77777777" w:rsidTr="004E043A">
        <w:trPr>
          <w:trHeight w:val="561"/>
        </w:trPr>
        <w:tc>
          <w:tcPr>
            <w:tcW w:w="0" w:type="auto"/>
            <w:tcBorders>
              <w:top w:val="single" w:sz="4" w:space="0" w:color="auto"/>
            </w:tcBorders>
            <w:vAlign w:val="center"/>
            <w:hideMark/>
          </w:tcPr>
          <w:p w14:paraId="44032C8B" w14:textId="77777777" w:rsidR="006145DB" w:rsidRPr="002A2480" w:rsidRDefault="006145DB" w:rsidP="000E5732">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Health benefits</w:t>
            </w:r>
          </w:p>
        </w:tc>
        <w:tc>
          <w:tcPr>
            <w:tcW w:w="0" w:type="auto"/>
            <w:tcBorders>
              <w:top w:val="single" w:sz="4" w:space="0" w:color="auto"/>
            </w:tcBorders>
            <w:vAlign w:val="center"/>
            <w:hideMark/>
          </w:tcPr>
          <w:p w14:paraId="48D0AF81"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85 (70.8)</w:t>
            </w:r>
          </w:p>
        </w:tc>
        <w:tc>
          <w:tcPr>
            <w:tcW w:w="0" w:type="auto"/>
            <w:tcBorders>
              <w:top w:val="single" w:sz="4" w:space="0" w:color="auto"/>
            </w:tcBorders>
            <w:vAlign w:val="center"/>
            <w:hideMark/>
          </w:tcPr>
          <w:p w14:paraId="08E9CDFF"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24 (20.0)</w:t>
            </w:r>
          </w:p>
        </w:tc>
        <w:tc>
          <w:tcPr>
            <w:tcW w:w="0" w:type="auto"/>
            <w:tcBorders>
              <w:top w:val="single" w:sz="4" w:space="0" w:color="auto"/>
            </w:tcBorders>
            <w:vAlign w:val="center"/>
            <w:hideMark/>
          </w:tcPr>
          <w:p w14:paraId="0C9052DB"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11 (9.2)</w:t>
            </w:r>
          </w:p>
        </w:tc>
        <w:tc>
          <w:tcPr>
            <w:tcW w:w="0" w:type="auto"/>
            <w:tcBorders>
              <w:top w:val="single" w:sz="4" w:space="0" w:color="auto"/>
            </w:tcBorders>
            <w:vAlign w:val="center"/>
            <w:hideMark/>
          </w:tcPr>
          <w:p w14:paraId="17C75D46"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 (0.0)</w:t>
            </w:r>
          </w:p>
        </w:tc>
        <w:tc>
          <w:tcPr>
            <w:tcW w:w="1599" w:type="dxa"/>
            <w:tcBorders>
              <w:top w:val="single" w:sz="4" w:space="0" w:color="auto"/>
            </w:tcBorders>
            <w:vAlign w:val="center"/>
            <w:hideMark/>
          </w:tcPr>
          <w:p w14:paraId="5652055E"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1.38</w:t>
            </w:r>
          </w:p>
        </w:tc>
      </w:tr>
      <w:tr w:rsidR="006145DB" w:rsidRPr="002A2480" w14:paraId="59E87070" w14:textId="77777777" w:rsidTr="004E043A">
        <w:trPr>
          <w:trHeight w:val="479"/>
        </w:trPr>
        <w:tc>
          <w:tcPr>
            <w:tcW w:w="0" w:type="auto"/>
            <w:vAlign w:val="center"/>
            <w:hideMark/>
          </w:tcPr>
          <w:p w14:paraId="05DF554E" w14:textId="77777777" w:rsidR="006145DB" w:rsidRPr="002A2480" w:rsidRDefault="006145DB" w:rsidP="000E5732">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Nutritional benefits</w:t>
            </w:r>
          </w:p>
        </w:tc>
        <w:tc>
          <w:tcPr>
            <w:tcW w:w="0" w:type="auto"/>
            <w:vAlign w:val="center"/>
            <w:hideMark/>
          </w:tcPr>
          <w:p w14:paraId="63D84C27"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21 (17.5)</w:t>
            </w:r>
          </w:p>
        </w:tc>
        <w:tc>
          <w:tcPr>
            <w:tcW w:w="0" w:type="auto"/>
            <w:vAlign w:val="center"/>
            <w:hideMark/>
          </w:tcPr>
          <w:p w14:paraId="7BEE648F"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77 (64.2)</w:t>
            </w:r>
          </w:p>
        </w:tc>
        <w:tc>
          <w:tcPr>
            <w:tcW w:w="0" w:type="auto"/>
            <w:vAlign w:val="center"/>
            <w:hideMark/>
          </w:tcPr>
          <w:p w14:paraId="0394AD7A"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19 (15.8)</w:t>
            </w:r>
          </w:p>
        </w:tc>
        <w:tc>
          <w:tcPr>
            <w:tcW w:w="0" w:type="auto"/>
            <w:vAlign w:val="center"/>
            <w:hideMark/>
          </w:tcPr>
          <w:p w14:paraId="79CFC79B"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3 (2.5)</w:t>
            </w:r>
          </w:p>
        </w:tc>
        <w:tc>
          <w:tcPr>
            <w:tcW w:w="1599" w:type="dxa"/>
            <w:vAlign w:val="center"/>
            <w:hideMark/>
          </w:tcPr>
          <w:p w14:paraId="33297E8B"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1.96</w:t>
            </w:r>
          </w:p>
        </w:tc>
      </w:tr>
      <w:tr w:rsidR="006145DB" w:rsidRPr="002A2480" w14:paraId="16026C3A" w14:textId="77777777" w:rsidTr="004E043A">
        <w:trPr>
          <w:trHeight w:val="639"/>
        </w:trPr>
        <w:tc>
          <w:tcPr>
            <w:tcW w:w="0" w:type="auto"/>
            <w:vAlign w:val="center"/>
            <w:hideMark/>
          </w:tcPr>
          <w:p w14:paraId="452E5FA4" w14:textId="77777777" w:rsidR="006145DB" w:rsidRPr="002A2480" w:rsidRDefault="006145DB" w:rsidP="000E5732">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Environmental sustainability</w:t>
            </w:r>
          </w:p>
        </w:tc>
        <w:tc>
          <w:tcPr>
            <w:tcW w:w="0" w:type="auto"/>
            <w:vAlign w:val="center"/>
            <w:hideMark/>
          </w:tcPr>
          <w:p w14:paraId="1F17E016"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12 (10.0)</w:t>
            </w:r>
          </w:p>
        </w:tc>
        <w:tc>
          <w:tcPr>
            <w:tcW w:w="0" w:type="auto"/>
            <w:vAlign w:val="center"/>
            <w:hideMark/>
          </w:tcPr>
          <w:p w14:paraId="71FC66BC"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16 (13.3)</w:t>
            </w:r>
          </w:p>
        </w:tc>
        <w:tc>
          <w:tcPr>
            <w:tcW w:w="0" w:type="auto"/>
            <w:vAlign w:val="center"/>
            <w:hideMark/>
          </w:tcPr>
          <w:p w14:paraId="7AFE23B8"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70 (58.3)</w:t>
            </w:r>
          </w:p>
        </w:tc>
        <w:tc>
          <w:tcPr>
            <w:tcW w:w="0" w:type="auto"/>
            <w:vAlign w:val="center"/>
            <w:hideMark/>
          </w:tcPr>
          <w:p w14:paraId="02AD3991"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22 (18.3)</w:t>
            </w:r>
          </w:p>
        </w:tc>
        <w:tc>
          <w:tcPr>
            <w:tcW w:w="1599" w:type="dxa"/>
            <w:vAlign w:val="center"/>
            <w:hideMark/>
          </w:tcPr>
          <w:p w14:paraId="4A861C8F"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2.82</w:t>
            </w:r>
          </w:p>
        </w:tc>
      </w:tr>
      <w:tr w:rsidR="006145DB" w:rsidRPr="002A2480" w14:paraId="2C331088" w14:textId="77777777" w:rsidTr="004E043A">
        <w:trPr>
          <w:trHeight w:val="479"/>
        </w:trPr>
        <w:tc>
          <w:tcPr>
            <w:tcW w:w="0" w:type="auto"/>
            <w:vAlign w:val="center"/>
            <w:hideMark/>
          </w:tcPr>
          <w:p w14:paraId="75FEA21E" w14:textId="77777777" w:rsidR="006145DB" w:rsidRPr="002A2480" w:rsidRDefault="006145DB" w:rsidP="000E5732">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Taste and texture</w:t>
            </w:r>
          </w:p>
        </w:tc>
        <w:tc>
          <w:tcPr>
            <w:tcW w:w="0" w:type="auto"/>
            <w:vAlign w:val="center"/>
            <w:hideMark/>
          </w:tcPr>
          <w:p w14:paraId="449E49D1"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 (1.7)</w:t>
            </w:r>
          </w:p>
        </w:tc>
        <w:tc>
          <w:tcPr>
            <w:tcW w:w="0" w:type="auto"/>
            <w:vAlign w:val="center"/>
            <w:hideMark/>
          </w:tcPr>
          <w:p w14:paraId="0782A694"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3 (2.5)</w:t>
            </w:r>
          </w:p>
        </w:tc>
        <w:tc>
          <w:tcPr>
            <w:tcW w:w="0" w:type="auto"/>
            <w:vAlign w:val="center"/>
            <w:hideMark/>
          </w:tcPr>
          <w:p w14:paraId="3A3D3277"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20 (16.7)</w:t>
            </w:r>
          </w:p>
        </w:tc>
        <w:tc>
          <w:tcPr>
            <w:tcW w:w="0" w:type="auto"/>
            <w:vAlign w:val="center"/>
            <w:hideMark/>
          </w:tcPr>
          <w:p w14:paraId="58C5C9A2"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95 (79.2)</w:t>
            </w:r>
          </w:p>
        </w:tc>
        <w:tc>
          <w:tcPr>
            <w:tcW w:w="1599" w:type="dxa"/>
            <w:vAlign w:val="center"/>
            <w:hideMark/>
          </w:tcPr>
          <w:p w14:paraId="36D533DA"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3.84</w:t>
            </w:r>
          </w:p>
        </w:tc>
      </w:tr>
    </w:tbl>
    <w:p w14:paraId="3E0DFF2F" w14:textId="77777777" w:rsidR="006145DB" w:rsidRPr="002A2480" w:rsidRDefault="006145DB" w:rsidP="006145DB">
      <w:pPr>
        <w:spacing w:line="240" w:lineRule="auto"/>
        <w:rPr>
          <w:rFonts w:ascii="Arial" w:hAnsi="Arial" w:cs="Arial"/>
          <w:sz w:val="20"/>
          <w:szCs w:val="20"/>
        </w:rPr>
      </w:pPr>
      <w:r w:rsidRPr="002A2480">
        <w:rPr>
          <w:rFonts w:ascii="Arial" w:hAnsi="Arial" w:cs="Arial"/>
          <w:sz w:val="20"/>
          <w:szCs w:val="20"/>
        </w:rPr>
        <w:t>Note: Figures given in parenthesis indicate percentage to the total respondents.</w:t>
      </w:r>
    </w:p>
    <w:p w14:paraId="2B2B3B30" w14:textId="508F1C2A" w:rsidR="006145DB" w:rsidRPr="002A2480" w:rsidRDefault="002B65D5" w:rsidP="006145DB">
      <w:pPr>
        <w:spacing w:line="240" w:lineRule="auto"/>
        <w:rPr>
          <w:rFonts w:ascii="Arial" w:hAnsi="Arial" w:cs="Arial"/>
          <w:b/>
          <w:bCs/>
        </w:rPr>
      </w:pPr>
      <w:r w:rsidRPr="002A2480">
        <w:rPr>
          <w:rFonts w:ascii="Arial" w:hAnsi="Arial" w:cs="Arial"/>
          <w:b/>
          <w:bCs/>
        </w:rPr>
        <w:t>3.3</w:t>
      </w:r>
      <w:r w:rsidR="006145DB" w:rsidRPr="002A2480">
        <w:rPr>
          <w:rFonts w:ascii="Arial" w:hAnsi="Arial" w:cs="Arial"/>
          <w:b/>
          <w:bCs/>
        </w:rPr>
        <w:t xml:space="preserve"> Familiarity with Millet Types</w:t>
      </w:r>
    </w:p>
    <w:p w14:paraId="348A63B9" w14:textId="0AD6895A" w:rsidR="006145DB" w:rsidRPr="002A2480" w:rsidRDefault="006145DB" w:rsidP="006145DB">
      <w:pPr>
        <w:spacing w:line="240" w:lineRule="auto"/>
        <w:ind w:firstLine="720"/>
        <w:jc w:val="both"/>
        <w:rPr>
          <w:rFonts w:ascii="Arial" w:hAnsi="Arial" w:cs="Arial"/>
          <w:sz w:val="20"/>
          <w:szCs w:val="20"/>
        </w:rPr>
      </w:pPr>
      <w:r w:rsidRPr="002A2480">
        <w:rPr>
          <w:rFonts w:ascii="Arial" w:hAnsi="Arial" w:cs="Arial"/>
          <w:sz w:val="20"/>
          <w:szCs w:val="20"/>
        </w:rPr>
        <w:t xml:space="preserve">To understand consumer familiarity, usage patterns, and the ability to identify different millet types, ranking-based question was asked, participants were asked to rank five millet types such as, finger millet, sorghum, pearl millet, foxtail millet, and little millet on a scale from 1 (most familiar/used/recognized) to 5 (least familiar/used/recognized). The mean ranks were then calculated to determine the relative familiarity and usage levels across millet varieties. Results are shown in table </w:t>
      </w:r>
      <w:r w:rsidR="002B65D5" w:rsidRPr="002A2480">
        <w:rPr>
          <w:rFonts w:ascii="Arial" w:hAnsi="Arial" w:cs="Arial"/>
          <w:sz w:val="20"/>
          <w:szCs w:val="20"/>
        </w:rPr>
        <w:t>3</w:t>
      </w:r>
      <w:r w:rsidRPr="002A2480">
        <w:rPr>
          <w:rFonts w:ascii="Arial" w:hAnsi="Arial" w:cs="Arial"/>
          <w:sz w:val="20"/>
          <w:szCs w:val="20"/>
        </w:rPr>
        <w:t>.</w:t>
      </w:r>
    </w:p>
    <w:p w14:paraId="636000B5" w14:textId="045C224C" w:rsidR="002B65D5" w:rsidRPr="002A2480" w:rsidRDefault="002B65D5" w:rsidP="00DE30E0">
      <w:pPr>
        <w:spacing w:line="240" w:lineRule="auto"/>
        <w:jc w:val="both"/>
        <w:rPr>
          <w:rFonts w:ascii="Arial" w:hAnsi="Arial" w:cs="Arial"/>
          <w:sz w:val="20"/>
          <w:szCs w:val="20"/>
        </w:rPr>
      </w:pPr>
      <w:r w:rsidRPr="002A2480">
        <w:rPr>
          <w:rFonts w:ascii="Arial" w:hAnsi="Arial" w:cs="Arial"/>
          <w:sz w:val="20"/>
          <w:szCs w:val="20"/>
        </w:rPr>
        <w:t>Among the five millet types, finger millet has the highest level of familiarity and usage among respondents, as shown by its lowest mean rank of 1.38. This suggests that most people are well-acquainted with finger millet, can easily identify it, and have likely consumed it before. Sorghum is the next most familiar millet, with a mean rank of 2.10. Pearl millet holds a middle position, with a mean rank of 2.58. Foxtail millet, with a mean rank of 4.40, reflects low familiarity and limited exposure. It is likely that many respondents have neither used it regularly nor can confidently identify it. Little millet is the least familiar among all, with the highest mean rank of 4.55.  The results showed the need for educating consumers regarding the variety and types of millets.</w:t>
      </w:r>
    </w:p>
    <w:p w14:paraId="3DDEAAB7" w14:textId="77777777" w:rsidR="00E44711" w:rsidRDefault="00E44711" w:rsidP="006145DB">
      <w:pPr>
        <w:spacing w:line="240" w:lineRule="auto"/>
        <w:jc w:val="both"/>
        <w:rPr>
          <w:rFonts w:ascii="Arial" w:hAnsi="Arial" w:cs="Arial"/>
          <w:b/>
          <w:bCs/>
          <w:sz w:val="20"/>
          <w:szCs w:val="20"/>
        </w:rPr>
      </w:pPr>
      <w:bookmarkStart w:id="2" w:name="_Hlk197423127"/>
    </w:p>
    <w:p w14:paraId="3DF5E02C" w14:textId="77777777" w:rsidR="00E44711" w:rsidRDefault="00E44711" w:rsidP="006145DB">
      <w:pPr>
        <w:spacing w:line="240" w:lineRule="auto"/>
        <w:jc w:val="both"/>
        <w:rPr>
          <w:rFonts w:ascii="Arial" w:hAnsi="Arial" w:cs="Arial"/>
          <w:b/>
          <w:bCs/>
          <w:sz w:val="20"/>
          <w:szCs w:val="20"/>
        </w:rPr>
      </w:pPr>
    </w:p>
    <w:p w14:paraId="17D23535" w14:textId="77777777" w:rsidR="00E44711" w:rsidRDefault="00E44711" w:rsidP="006145DB">
      <w:pPr>
        <w:spacing w:line="240" w:lineRule="auto"/>
        <w:jc w:val="both"/>
        <w:rPr>
          <w:rFonts w:ascii="Arial" w:hAnsi="Arial" w:cs="Arial"/>
          <w:b/>
          <w:bCs/>
          <w:sz w:val="20"/>
          <w:szCs w:val="20"/>
        </w:rPr>
      </w:pPr>
    </w:p>
    <w:p w14:paraId="3C208E64" w14:textId="7A39D5F6" w:rsidR="006145DB" w:rsidRPr="002A2480" w:rsidRDefault="006145DB" w:rsidP="006145DB">
      <w:pPr>
        <w:spacing w:line="240" w:lineRule="auto"/>
        <w:jc w:val="both"/>
        <w:rPr>
          <w:rFonts w:ascii="Arial" w:hAnsi="Arial" w:cs="Arial"/>
          <w:b/>
          <w:bCs/>
          <w:sz w:val="20"/>
          <w:szCs w:val="20"/>
        </w:rPr>
      </w:pPr>
      <w:r w:rsidRPr="002A2480">
        <w:rPr>
          <w:rFonts w:ascii="Arial" w:hAnsi="Arial" w:cs="Arial"/>
          <w:b/>
          <w:bCs/>
          <w:sz w:val="20"/>
          <w:szCs w:val="20"/>
        </w:rPr>
        <w:t xml:space="preserve">Table </w:t>
      </w:r>
      <w:r w:rsidR="002B65D5" w:rsidRPr="002A2480">
        <w:rPr>
          <w:rFonts w:ascii="Arial" w:hAnsi="Arial" w:cs="Arial"/>
          <w:b/>
          <w:bCs/>
          <w:sz w:val="20"/>
          <w:szCs w:val="20"/>
        </w:rPr>
        <w:t>3</w:t>
      </w:r>
      <w:r w:rsidRPr="002A2480">
        <w:rPr>
          <w:rFonts w:ascii="Arial" w:hAnsi="Arial" w:cs="Arial"/>
          <w:b/>
          <w:bCs/>
          <w:sz w:val="20"/>
          <w:szCs w:val="20"/>
        </w:rPr>
        <w:t>. Ranking of millets based on familiarity</w:t>
      </w:r>
    </w:p>
    <w:tbl>
      <w:tblPr>
        <w:tblW w:w="0" w:type="auto"/>
        <w:tblBorders>
          <w:top w:val="single" w:sz="4" w:space="0" w:color="auto"/>
          <w:bottom w:val="single" w:sz="4" w:space="0" w:color="auto"/>
        </w:tblBorders>
        <w:tblLook w:val="04A0" w:firstRow="1" w:lastRow="0" w:firstColumn="1" w:lastColumn="0" w:noHBand="0" w:noVBand="1"/>
      </w:tblPr>
      <w:tblGrid>
        <w:gridCol w:w="1328"/>
        <w:gridCol w:w="1128"/>
        <w:gridCol w:w="1128"/>
        <w:gridCol w:w="1128"/>
        <w:gridCol w:w="1128"/>
        <w:gridCol w:w="1128"/>
        <w:gridCol w:w="1206"/>
      </w:tblGrid>
      <w:tr w:rsidR="006145DB" w:rsidRPr="002A2480" w14:paraId="3660A1E6" w14:textId="77777777" w:rsidTr="004E043A">
        <w:trPr>
          <w:trHeight w:val="215"/>
        </w:trPr>
        <w:tc>
          <w:tcPr>
            <w:tcW w:w="0" w:type="auto"/>
            <w:vMerge w:val="restart"/>
            <w:tcBorders>
              <w:top w:val="single" w:sz="4" w:space="0" w:color="auto"/>
              <w:bottom w:val="single" w:sz="4" w:space="0" w:color="auto"/>
            </w:tcBorders>
            <w:vAlign w:val="center"/>
            <w:hideMark/>
          </w:tcPr>
          <w:bookmarkEnd w:id="2"/>
          <w:p w14:paraId="48037888" w14:textId="77777777" w:rsidR="006145DB" w:rsidRPr="002A2480" w:rsidRDefault="006145DB" w:rsidP="000E5732">
            <w:pPr>
              <w:spacing w:after="0" w:line="240" w:lineRule="auto"/>
              <w:jc w:val="center"/>
              <w:rPr>
                <w:rFonts w:ascii="Arial" w:eastAsia="Times New Roman" w:hAnsi="Arial" w:cs="Arial"/>
                <w:b/>
                <w:bCs/>
                <w:color w:val="000000"/>
                <w:sz w:val="20"/>
                <w:szCs w:val="20"/>
                <w:lang w:eastAsia="en-IN"/>
              </w:rPr>
            </w:pPr>
            <w:r w:rsidRPr="002A2480">
              <w:rPr>
                <w:rFonts w:ascii="Arial" w:eastAsia="Times New Roman" w:hAnsi="Arial" w:cs="Arial"/>
                <w:b/>
                <w:bCs/>
                <w:color w:val="000000"/>
                <w:sz w:val="20"/>
                <w:szCs w:val="20"/>
                <w:lang w:eastAsia="en-IN"/>
              </w:rPr>
              <w:t>Millet type</w:t>
            </w:r>
          </w:p>
        </w:tc>
        <w:tc>
          <w:tcPr>
            <w:tcW w:w="0" w:type="auto"/>
            <w:gridSpan w:val="5"/>
            <w:tcBorders>
              <w:top w:val="single" w:sz="4" w:space="0" w:color="auto"/>
              <w:bottom w:val="single" w:sz="4" w:space="0" w:color="auto"/>
            </w:tcBorders>
            <w:noWrap/>
            <w:vAlign w:val="bottom"/>
            <w:hideMark/>
          </w:tcPr>
          <w:p w14:paraId="4833C9F4" w14:textId="77777777" w:rsidR="006145DB" w:rsidRPr="002A2480" w:rsidRDefault="006145DB" w:rsidP="000E5732">
            <w:pPr>
              <w:spacing w:after="0" w:line="240" w:lineRule="auto"/>
              <w:jc w:val="center"/>
              <w:rPr>
                <w:rFonts w:ascii="Arial" w:eastAsia="Times New Roman" w:hAnsi="Arial" w:cs="Arial"/>
                <w:b/>
                <w:bCs/>
                <w:color w:val="000000"/>
                <w:sz w:val="20"/>
                <w:szCs w:val="20"/>
                <w:lang w:eastAsia="en-IN"/>
              </w:rPr>
            </w:pPr>
            <w:r w:rsidRPr="002A2480">
              <w:rPr>
                <w:rFonts w:ascii="Arial" w:eastAsia="Times New Roman" w:hAnsi="Arial" w:cs="Arial"/>
                <w:b/>
                <w:bCs/>
                <w:color w:val="000000"/>
                <w:sz w:val="20"/>
                <w:szCs w:val="20"/>
                <w:lang w:eastAsia="en-IN"/>
              </w:rPr>
              <w:t>Frequency of ranking</w:t>
            </w:r>
          </w:p>
        </w:tc>
        <w:tc>
          <w:tcPr>
            <w:tcW w:w="0" w:type="auto"/>
            <w:vMerge w:val="restart"/>
            <w:tcBorders>
              <w:top w:val="single" w:sz="4" w:space="0" w:color="auto"/>
              <w:bottom w:val="single" w:sz="4" w:space="0" w:color="auto"/>
            </w:tcBorders>
            <w:vAlign w:val="center"/>
            <w:hideMark/>
          </w:tcPr>
          <w:p w14:paraId="05D77999" w14:textId="77777777" w:rsidR="006145DB" w:rsidRPr="002A2480" w:rsidRDefault="006145DB" w:rsidP="000E5732">
            <w:pPr>
              <w:spacing w:after="0" w:line="240" w:lineRule="auto"/>
              <w:jc w:val="center"/>
              <w:rPr>
                <w:rFonts w:ascii="Arial" w:eastAsia="Times New Roman" w:hAnsi="Arial" w:cs="Arial"/>
                <w:b/>
                <w:bCs/>
                <w:color w:val="000000"/>
                <w:sz w:val="20"/>
                <w:szCs w:val="20"/>
                <w:lang w:eastAsia="en-IN"/>
              </w:rPr>
            </w:pPr>
            <w:r w:rsidRPr="002A2480">
              <w:rPr>
                <w:rFonts w:ascii="Arial" w:eastAsia="Times New Roman" w:hAnsi="Arial" w:cs="Arial"/>
                <w:b/>
                <w:bCs/>
                <w:color w:val="000000"/>
                <w:sz w:val="20"/>
                <w:szCs w:val="20"/>
                <w:lang w:eastAsia="en-IN"/>
              </w:rPr>
              <w:t>Mean rank</w:t>
            </w:r>
          </w:p>
        </w:tc>
      </w:tr>
      <w:tr w:rsidR="006145DB" w:rsidRPr="002A2480" w14:paraId="24F29FEB" w14:textId="77777777" w:rsidTr="004E043A">
        <w:trPr>
          <w:trHeight w:val="208"/>
        </w:trPr>
        <w:tc>
          <w:tcPr>
            <w:tcW w:w="0" w:type="auto"/>
            <w:vMerge/>
            <w:tcBorders>
              <w:top w:val="single" w:sz="4" w:space="0" w:color="auto"/>
              <w:bottom w:val="single" w:sz="4" w:space="0" w:color="auto"/>
            </w:tcBorders>
            <w:vAlign w:val="center"/>
            <w:hideMark/>
          </w:tcPr>
          <w:p w14:paraId="342FBAB0" w14:textId="77777777" w:rsidR="006145DB" w:rsidRPr="002A2480" w:rsidRDefault="006145DB" w:rsidP="000E5732">
            <w:pPr>
              <w:spacing w:after="0" w:line="240" w:lineRule="auto"/>
              <w:rPr>
                <w:rFonts w:ascii="Arial" w:eastAsia="Times New Roman" w:hAnsi="Arial" w:cs="Arial"/>
                <w:b/>
                <w:bCs/>
                <w:color w:val="000000"/>
                <w:sz w:val="20"/>
                <w:szCs w:val="20"/>
                <w:lang w:eastAsia="en-IN"/>
              </w:rPr>
            </w:pPr>
          </w:p>
        </w:tc>
        <w:tc>
          <w:tcPr>
            <w:tcW w:w="0" w:type="auto"/>
            <w:tcBorders>
              <w:top w:val="single" w:sz="4" w:space="0" w:color="auto"/>
              <w:bottom w:val="single" w:sz="4" w:space="0" w:color="auto"/>
            </w:tcBorders>
            <w:vAlign w:val="center"/>
            <w:hideMark/>
          </w:tcPr>
          <w:p w14:paraId="2619CC61" w14:textId="77777777" w:rsidR="006145DB" w:rsidRPr="002A2480" w:rsidRDefault="006145DB" w:rsidP="000E5732">
            <w:pPr>
              <w:spacing w:after="0" w:line="240" w:lineRule="auto"/>
              <w:jc w:val="center"/>
              <w:rPr>
                <w:rFonts w:ascii="Arial" w:eastAsia="Times New Roman" w:hAnsi="Arial" w:cs="Arial"/>
                <w:b/>
                <w:bCs/>
                <w:color w:val="000000"/>
                <w:sz w:val="20"/>
                <w:szCs w:val="20"/>
                <w:lang w:eastAsia="en-IN"/>
              </w:rPr>
            </w:pPr>
            <w:r w:rsidRPr="002A2480">
              <w:rPr>
                <w:rFonts w:ascii="Arial" w:eastAsia="Times New Roman" w:hAnsi="Arial" w:cs="Arial"/>
                <w:b/>
                <w:bCs/>
                <w:color w:val="000000"/>
                <w:sz w:val="20"/>
                <w:szCs w:val="20"/>
                <w:lang w:eastAsia="en-IN"/>
              </w:rPr>
              <w:t>Rank 1</w:t>
            </w:r>
          </w:p>
        </w:tc>
        <w:tc>
          <w:tcPr>
            <w:tcW w:w="0" w:type="auto"/>
            <w:tcBorders>
              <w:top w:val="single" w:sz="4" w:space="0" w:color="auto"/>
              <w:bottom w:val="single" w:sz="4" w:space="0" w:color="auto"/>
            </w:tcBorders>
            <w:vAlign w:val="center"/>
            <w:hideMark/>
          </w:tcPr>
          <w:p w14:paraId="46C261EE" w14:textId="77777777" w:rsidR="006145DB" w:rsidRPr="002A2480" w:rsidRDefault="006145DB" w:rsidP="000E5732">
            <w:pPr>
              <w:spacing w:after="0" w:line="240" w:lineRule="auto"/>
              <w:jc w:val="center"/>
              <w:rPr>
                <w:rFonts w:ascii="Arial" w:eastAsia="Times New Roman" w:hAnsi="Arial" w:cs="Arial"/>
                <w:b/>
                <w:bCs/>
                <w:color w:val="000000"/>
                <w:sz w:val="20"/>
                <w:szCs w:val="20"/>
                <w:lang w:eastAsia="en-IN"/>
              </w:rPr>
            </w:pPr>
            <w:r w:rsidRPr="002A2480">
              <w:rPr>
                <w:rFonts w:ascii="Arial" w:eastAsia="Times New Roman" w:hAnsi="Arial" w:cs="Arial"/>
                <w:b/>
                <w:bCs/>
                <w:color w:val="000000"/>
                <w:sz w:val="20"/>
                <w:szCs w:val="20"/>
                <w:lang w:eastAsia="en-IN"/>
              </w:rPr>
              <w:t>Rank 2</w:t>
            </w:r>
          </w:p>
        </w:tc>
        <w:tc>
          <w:tcPr>
            <w:tcW w:w="0" w:type="auto"/>
            <w:tcBorders>
              <w:top w:val="single" w:sz="4" w:space="0" w:color="auto"/>
              <w:bottom w:val="single" w:sz="4" w:space="0" w:color="auto"/>
            </w:tcBorders>
            <w:vAlign w:val="center"/>
            <w:hideMark/>
          </w:tcPr>
          <w:p w14:paraId="2A33C63F" w14:textId="77777777" w:rsidR="006145DB" w:rsidRPr="002A2480" w:rsidRDefault="006145DB" w:rsidP="000E5732">
            <w:pPr>
              <w:spacing w:after="0" w:line="240" w:lineRule="auto"/>
              <w:jc w:val="center"/>
              <w:rPr>
                <w:rFonts w:ascii="Arial" w:eastAsia="Times New Roman" w:hAnsi="Arial" w:cs="Arial"/>
                <w:b/>
                <w:bCs/>
                <w:color w:val="000000"/>
                <w:sz w:val="20"/>
                <w:szCs w:val="20"/>
                <w:lang w:eastAsia="en-IN"/>
              </w:rPr>
            </w:pPr>
            <w:r w:rsidRPr="002A2480">
              <w:rPr>
                <w:rFonts w:ascii="Arial" w:eastAsia="Times New Roman" w:hAnsi="Arial" w:cs="Arial"/>
                <w:b/>
                <w:bCs/>
                <w:color w:val="000000"/>
                <w:sz w:val="20"/>
                <w:szCs w:val="20"/>
                <w:lang w:eastAsia="en-IN"/>
              </w:rPr>
              <w:t>Rank 3</w:t>
            </w:r>
          </w:p>
        </w:tc>
        <w:tc>
          <w:tcPr>
            <w:tcW w:w="0" w:type="auto"/>
            <w:tcBorders>
              <w:top w:val="single" w:sz="4" w:space="0" w:color="auto"/>
              <w:bottom w:val="single" w:sz="4" w:space="0" w:color="auto"/>
            </w:tcBorders>
            <w:vAlign w:val="center"/>
            <w:hideMark/>
          </w:tcPr>
          <w:p w14:paraId="1F49301C" w14:textId="77777777" w:rsidR="006145DB" w:rsidRPr="002A2480" w:rsidRDefault="006145DB" w:rsidP="000E5732">
            <w:pPr>
              <w:spacing w:after="0" w:line="240" w:lineRule="auto"/>
              <w:jc w:val="center"/>
              <w:rPr>
                <w:rFonts w:ascii="Arial" w:eastAsia="Times New Roman" w:hAnsi="Arial" w:cs="Arial"/>
                <w:b/>
                <w:bCs/>
                <w:color w:val="000000"/>
                <w:sz w:val="20"/>
                <w:szCs w:val="20"/>
                <w:lang w:eastAsia="en-IN"/>
              </w:rPr>
            </w:pPr>
            <w:r w:rsidRPr="002A2480">
              <w:rPr>
                <w:rFonts w:ascii="Arial" w:eastAsia="Times New Roman" w:hAnsi="Arial" w:cs="Arial"/>
                <w:b/>
                <w:bCs/>
                <w:color w:val="000000"/>
                <w:sz w:val="20"/>
                <w:szCs w:val="20"/>
                <w:lang w:eastAsia="en-IN"/>
              </w:rPr>
              <w:t>Rank 4</w:t>
            </w:r>
          </w:p>
        </w:tc>
        <w:tc>
          <w:tcPr>
            <w:tcW w:w="0" w:type="auto"/>
            <w:tcBorders>
              <w:top w:val="single" w:sz="4" w:space="0" w:color="auto"/>
              <w:bottom w:val="single" w:sz="4" w:space="0" w:color="auto"/>
            </w:tcBorders>
            <w:vAlign w:val="center"/>
            <w:hideMark/>
          </w:tcPr>
          <w:p w14:paraId="55C7781D" w14:textId="77777777" w:rsidR="006145DB" w:rsidRPr="002A2480" w:rsidRDefault="006145DB" w:rsidP="000E5732">
            <w:pPr>
              <w:spacing w:after="0" w:line="240" w:lineRule="auto"/>
              <w:jc w:val="center"/>
              <w:rPr>
                <w:rFonts w:ascii="Arial" w:eastAsia="Times New Roman" w:hAnsi="Arial" w:cs="Arial"/>
                <w:b/>
                <w:bCs/>
                <w:color w:val="000000"/>
                <w:sz w:val="20"/>
                <w:szCs w:val="20"/>
                <w:lang w:eastAsia="en-IN"/>
              </w:rPr>
            </w:pPr>
            <w:r w:rsidRPr="002A2480">
              <w:rPr>
                <w:rFonts w:ascii="Arial" w:eastAsia="Times New Roman" w:hAnsi="Arial" w:cs="Arial"/>
                <w:b/>
                <w:bCs/>
                <w:color w:val="000000"/>
                <w:sz w:val="20"/>
                <w:szCs w:val="20"/>
                <w:lang w:eastAsia="en-IN"/>
              </w:rPr>
              <w:t>Rank 5</w:t>
            </w:r>
          </w:p>
        </w:tc>
        <w:tc>
          <w:tcPr>
            <w:tcW w:w="0" w:type="auto"/>
            <w:vMerge/>
            <w:tcBorders>
              <w:top w:val="single" w:sz="4" w:space="0" w:color="auto"/>
              <w:bottom w:val="single" w:sz="4" w:space="0" w:color="auto"/>
            </w:tcBorders>
            <w:vAlign w:val="center"/>
            <w:hideMark/>
          </w:tcPr>
          <w:p w14:paraId="6057D77C" w14:textId="77777777" w:rsidR="006145DB" w:rsidRPr="002A2480" w:rsidRDefault="006145DB" w:rsidP="000E5732">
            <w:pPr>
              <w:spacing w:after="0" w:line="240" w:lineRule="auto"/>
              <w:rPr>
                <w:rFonts w:ascii="Arial" w:eastAsia="Times New Roman" w:hAnsi="Arial" w:cs="Arial"/>
                <w:b/>
                <w:bCs/>
                <w:color w:val="000000"/>
                <w:sz w:val="20"/>
                <w:szCs w:val="20"/>
                <w:lang w:eastAsia="en-IN"/>
              </w:rPr>
            </w:pPr>
          </w:p>
        </w:tc>
      </w:tr>
      <w:tr w:rsidR="006145DB" w:rsidRPr="002A2480" w14:paraId="3685ECC0" w14:textId="77777777" w:rsidTr="004E043A">
        <w:trPr>
          <w:trHeight w:val="430"/>
        </w:trPr>
        <w:tc>
          <w:tcPr>
            <w:tcW w:w="0" w:type="auto"/>
            <w:tcBorders>
              <w:top w:val="single" w:sz="4" w:space="0" w:color="auto"/>
            </w:tcBorders>
            <w:vAlign w:val="center"/>
            <w:hideMark/>
          </w:tcPr>
          <w:p w14:paraId="0AEDB51E" w14:textId="77777777" w:rsidR="006145DB" w:rsidRPr="002A2480" w:rsidRDefault="006145DB" w:rsidP="000E5732">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Finger millet</w:t>
            </w:r>
          </w:p>
        </w:tc>
        <w:tc>
          <w:tcPr>
            <w:tcW w:w="0" w:type="auto"/>
            <w:tcBorders>
              <w:top w:val="single" w:sz="4" w:space="0" w:color="auto"/>
            </w:tcBorders>
            <w:vAlign w:val="center"/>
            <w:hideMark/>
          </w:tcPr>
          <w:p w14:paraId="5C4A02F5"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87 (72.50)</w:t>
            </w:r>
          </w:p>
        </w:tc>
        <w:tc>
          <w:tcPr>
            <w:tcW w:w="0" w:type="auto"/>
            <w:tcBorders>
              <w:top w:val="single" w:sz="4" w:space="0" w:color="auto"/>
            </w:tcBorders>
            <w:vAlign w:val="center"/>
            <w:hideMark/>
          </w:tcPr>
          <w:p w14:paraId="1E6060A6"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27 (22.50)</w:t>
            </w:r>
          </w:p>
        </w:tc>
        <w:tc>
          <w:tcPr>
            <w:tcW w:w="0" w:type="auto"/>
            <w:tcBorders>
              <w:top w:val="single" w:sz="4" w:space="0" w:color="auto"/>
            </w:tcBorders>
            <w:vAlign w:val="center"/>
            <w:hideMark/>
          </w:tcPr>
          <w:p w14:paraId="72688C81"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 (0.00)</w:t>
            </w:r>
          </w:p>
        </w:tc>
        <w:tc>
          <w:tcPr>
            <w:tcW w:w="0" w:type="auto"/>
            <w:tcBorders>
              <w:top w:val="single" w:sz="4" w:space="0" w:color="auto"/>
            </w:tcBorders>
            <w:vAlign w:val="center"/>
            <w:hideMark/>
          </w:tcPr>
          <w:p w14:paraId="2FE326A7"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6 (5.00)</w:t>
            </w:r>
          </w:p>
        </w:tc>
        <w:tc>
          <w:tcPr>
            <w:tcW w:w="0" w:type="auto"/>
            <w:tcBorders>
              <w:top w:val="single" w:sz="4" w:space="0" w:color="auto"/>
            </w:tcBorders>
            <w:vAlign w:val="center"/>
            <w:hideMark/>
          </w:tcPr>
          <w:p w14:paraId="384E9CD3"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 (0.00)</w:t>
            </w:r>
          </w:p>
        </w:tc>
        <w:tc>
          <w:tcPr>
            <w:tcW w:w="0" w:type="auto"/>
            <w:tcBorders>
              <w:top w:val="single" w:sz="4" w:space="0" w:color="auto"/>
            </w:tcBorders>
            <w:vAlign w:val="center"/>
            <w:hideMark/>
          </w:tcPr>
          <w:p w14:paraId="3AE3216C"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1.38</w:t>
            </w:r>
          </w:p>
        </w:tc>
      </w:tr>
      <w:tr w:rsidR="006145DB" w:rsidRPr="002A2480" w14:paraId="0C6836B6" w14:textId="77777777" w:rsidTr="004E043A">
        <w:trPr>
          <w:trHeight w:val="430"/>
        </w:trPr>
        <w:tc>
          <w:tcPr>
            <w:tcW w:w="0" w:type="auto"/>
            <w:vAlign w:val="center"/>
            <w:hideMark/>
          </w:tcPr>
          <w:p w14:paraId="4AD84449" w14:textId="77777777" w:rsidR="006145DB" w:rsidRPr="002A2480" w:rsidRDefault="006145DB" w:rsidP="000E5732">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Sorghum</w:t>
            </w:r>
          </w:p>
        </w:tc>
        <w:tc>
          <w:tcPr>
            <w:tcW w:w="0" w:type="auto"/>
            <w:vAlign w:val="center"/>
            <w:hideMark/>
          </w:tcPr>
          <w:p w14:paraId="65C089BF"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33 (27.50)</w:t>
            </w:r>
          </w:p>
        </w:tc>
        <w:tc>
          <w:tcPr>
            <w:tcW w:w="0" w:type="auto"/>
            <w:vAlign w:val="center"/>
            <w:hideMark/>
          </w:tcPr>
          <w:p w14:paraId="26714D70"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42 (35.00)</w:t>
            </w:r>
          </w:p>
        </w:tc>
        <w:tc>
          <w:tcPr>
            <w:tcW w:w="0" w:type="auto"/>
            <w:vAlign w:val="center"/>
            <w:hideMark/>
          </w:tcPr>
          <w:p w14:paraId="63B48E7D"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45 (37.50)</w:t>
            </w:r>
          </w:p>
        </w:tc>
        <w:tc>
          <w:tcPr>
            <w:tcW w:w="0" w:type="auto"/>
            <w:vAlign w:val="center"/>
            <w:hideMark/>
          </w:tcPr>
          <w:p w14:paraId="20CB3238"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 (0.00)</w:t>
            </w:r>
          </w:p>
        </w:tc>
        <w:tc>
          <w:tcPr>
            <w:tcW w:w="0" w:type="auto"/>
            <w:vAlign w:val="center"/>
            <w:hideMark/>
          </w:tcPr>
          <w:p w14:paraId="2E525BE5"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 (0.00)</w:t>
            </w:r>
          </w:p>
        </w:tc>
        <w:tc>
          <w:tcPr>
            <w:tcW w:w="0" w:type="auto"/>
            <w:vAlign w:val="center"/>
            <w:hideMark/>
          </w:tcPr>
          <w:p w14:paraId="289C39F5"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2.10</w:t>
            </w:r>
          </w:p>
        </w:tc>
      </w:tr>
      <w:tr w:rsidR="006145DB" w:rsidRPr="002A2480" w14:paraId="6D579E1B" w14:textId="77777777" w:rsidTr="004E043A">
        <w:trPr>
          <w:trHeight w:val="430"/>
        </w:trPr>
        <w:tc>
          <w:tcPr>
            <w:tcW w:w="0" w:type="auto"/>
            <w:vAlign w:val="center"/>
            <w:hideMark/>
          </w:tcPr>
          <w:p w14:paraId="15079B44" w14:textId="77777777" w:rsidR="006145DB" w:rsidRPr="002A2480" w:rsidRDefault="006145DB" w:rsidP="000E5732">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Pearl millet</w:t>
            </w:r>
          </w:p>
        </w:tc>
        <w:tc>
          <w:tcPr>
            <w:tcW w:w="0" w:type="auto"/>
            <w:vAlign w:val="center"/>
            <w:hideMark/>
          </w:tcPr>
          <w:p w14:paraId="5FDC4D8D"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 (0.00)</w:t>
            </w:r>
          </w:p>
        </w:tc>
        <w:tc>
          <w:tcPr>
            <w:tcW w:w="0" w:type="auto"/>
            <w:vAlign w:val="center"/>
            <w:hideMark/>
          </w:tcPr>
          <w:p w14:paraId="21980FDD"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51 (42.50)</w:t>
            </w:r>
          </w:p>
        </w:tc>
        <w:tc>
          <w:tcPr>
            <w:tcW w:w="0" w:type="auto"/>
            <w:vAlign w:val="center"/>
            <w:hideMark/>
          </w:tcPr>
          <w:p w14:paraId="61A54B81"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69 (57.50)</w:t>
            </w:r>
          </w:p>
        </w:tc>
        <w:tc>
          <w:tcPr>
            <w:tcW w:w="0" w:type="auto"/>
            <w:vAlign w:val="center"/>
            <w:hideMark/>
          </w:tcPr>
          <w:p w14:paraId="1D4E72E0"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 (0.00)</w:t>
            </w:r>
          </w:p>
        </w:tc>
        <w:tc>
          <w:tcPr>
            <w:tcW w:w="0" w:type="auto"/>
            <w:vAlign w:val="center"/>
            <w:hideMark/>
          </w:tcPr>
          <w:p w14:paraId="6599BB23"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 (0.00)</w:t>
            </w:r>
          </w:p>
        </w:tc>
        <w:tc>
          <w:tcPr>
            <w:tcW w:w="0" w:type="auto"/>
            <w:vAlign w:val="center"/>
            <w:hideMark/>
          </w:tcPr>
          <w:p w14:paraId="55AD1DA8"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2.58</w:t>
            </w:r>
          </w:p>
        </w:tc>
      </w:tr>
      <w:tr w:rsidR="006145DB" w:rsidRPr="002A2480" w14:paraId="2DF9F542" w14:textId="77777777" w:rsidTr="004E043A">
        <w:trPr>
          <w:trHeight w:val="430"/>
        </w:trPr>
        <w:tc>
          <w:tcPr>
            <w:tcW w:w="0" w:type="auto"/>
            <w:vAlign w:val="center"/>
            <w:hideMark/>
          </w:tcPr>
          <w:p w14:paraId="5559571C" w14:textId="77777777" w:rsidR="006145DB" w:rsidRPr="002A2480" w:rsidRDefault="006145DB" w:rsidP="000E5732">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Foxtail millet</w:t>
            </w:r>
          </w:p>
        </w:tc>
        <w:tc>
          <w:tcPr>
            <w:tcW w:w="0" w:type="auto"/>
            <w:vAlign w:val="center"/>
            <w:hideMark/>
          </w:tcPr>
          <w:p w14:paraId="5F6FBD30"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 (0.00)</w:t>
            </w:r>
          </w:p>
        </w:tc>
        <w:tc>
          <w:tcPr>
            <w:tcW w:w="0" w:type="auto"/>
            <w:vAlign w:val="center"/>
            <w:hideMark/>
          </w:tcPr>
          <w:p w14:paraId="5CB9C97B"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 (0.00)</w:t>
            </w:r>
          </w:p>
        </w:tc>
        <w:tc>
          <w:tcPr>
            <w:tcW w:w="0" w:type="auto"/>
            <w:vAlign w:val="center"/>
            <w:hideMark/>
          </w:tcPr>
          <w:p w14:paraId="5E7354DD"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6 (5.00)</w:t>
            </w:r>
          </w:p>
        </w:tc>
        <w:tc>
          <w:tcPr>
            <w:tcW w:w="0" w:type="auto"/>
            <w:vAlign w:val="center"/>
            <w:hideMark/>
          </w:tcPr>
          <w:p w14:paraId="098B92AE"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60 (50.00)</w:t>
            </w:r>
          </w:p>
        </w:tc>
        <w:tc>
          <w:tcPr>
            <w:tcW w:w="0" w:type="auto"/>
            <w:vAlign w:val="center"/>
            <w:hideMark/>
          </w:tcPr>
          <w:p w14:paraId="4A86E25F"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54 (45.00)</w:t>
            </w:r>
          </w:p>
        </w:tc>
        <w:tc>
          <w:tcPr>
            <w:tcW w:w="0" w:type="auto"/>
            <w:vAlign w:val="center"/>
            <w:hideMark/>
          </w:tcPr>
          <w:p w14:paraId="33A72317"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4.40</w:t>
            </w:r>
          </w:p>
        </w:tc>
      </w:tr>
      <w:tr w:rsidR="006145DB" w:rsidRPr="002A2480" w14:paraId="41DC0079" w14:textId="77777777" w:rsidTr="004E043A">
        <w:trPr>
          <w:trHeight w:val="430"/>
        </w:trPr>
        <w:tc>
          <w:tcPr>
            <w:tcW w:w="0" w:type="auto"/>
            <w:vAlign w:val="center"/>
            <w:hideMark/>
          </w:tcPr>
          <w:p w14:paraId="6942BEE3" w14:textId="77777777" w:rsidR="006145DB" w:rsidRPr="002A2480" w:rsidRDefault="006145DB" w:rsidP="000E5732">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lastRenderedPageBreak/>
              <w:t>Little millet</w:t>
            </w:r>
          </w:p>
        </w:tc>
        <w:tc>
          <w:tcPr>
            <w:tcW w:w="0" w:type="auto"/>
            <w:vAlign w:val="center"/>
            <w:hideMark/>
          </w:tcPr>
          <w:p w14:paraId="40A20978"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 (0.00)</w:t>
            </w:r>
          </w:p>
        </w:tc>
        <w:tc>
          <w:tcPr>
            <w:tcW w:w="0" w:type="auto"/>
            <w:vAlign w:val="center"/>
            <w:hideMark/>
          </w:tcPr>
          <w:p w14:paraId="235215DD"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 (0.00)</w:t>
            </w:r>
          </w:p>
        </w:tc>
        <w:tc>
          <w:tcPr>
            <w:tcW w:w="0" w:type="auto"/>
            <w:vAlign w:val="center"/>
            <w:hideMark/>
          </w:tcPr>
          <w:p w14:paraId="1F1D8DE3"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 (0.00)</w:t>
            </w:r>
          </w:p>
        </w:tc>
        <w:tc>
          <w:tcPr>
            <w:tcW w:w="0" w:type="auto"/>
            <w:vAlign w:val="center"/>
            <w:hideMark/>
          </w:tcPr>
          <w:p w14:paraId="4BD905B2"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54 (45.00)</w:t>
            </w:r>
          </w:p>
        </w:tc>
        <w:tc>
          <w:tcPr>
            <w:tcW w:w="0" w:type="auto"/>
            <w:vAlign w:val="center"/>
            <w:hideMark/>
          </w:tcPr>
          <w:p w14:paraId="5FBC5B66"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66 (55.00)</w:t>
            </w:r>
          </w:p>
        </w:tc>
        <w:tc>
          <w:tcPr>
            <w:tcW w:w="0" w:type="auto"/>
            <w:vAlign w:val="center"/>
            <w:hideMark/>
          </w:tcPr>
          <w:p w14:paraId="580B3ACF"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4.55</w:t>
            </w:r>
          </w:p>
        </w:tc>
      </w:tr>
    </w:tbl>
    <w:p w14:paraId="300B03AA" w14:textId="77777777" w:rsidR="006145DB" w:rsidRPr="002A2480" w:rsidRDefault="006145DB" w:rsidP="006145DB">
      <w:pPr>
        <w:spacing w:line="240" w:lineRule="auto"/>
        <w:rPr>
          <w:rFonts w:ascii="Arial" w:hAnsi="Arial" w:cs="Arial"/>
          <w:sz w:val="20"/>
          <w:szCs w:val="20"/>
        </w:rPr>
      </w:pPr>
      <w:r w:rsidRPr="002A2480">
        <w:rPr>
          <w:rFonts w:ascii="Arial" w:hAnsi="Arial" w:cs="Arial"/>
          <w:sz w:val="20"/>
          <w:szCs w:val="20"/>
        </w:rPr>
        <w:t>Note: Figures given in parenthesis indicate percentage to the total respondents.</w:t>
      </w:r>
    </w:p>
    <w:p w14:paraId="3E6F4A91" w14:textId="5579E33E" w:rsidR="006145DB" w:rsidRPr="002A2480" w:rsidRDefault="002B65D5" w:rsidP="006145DB">
      <w:pPr>
        <w:spacing w:line="240" w:lineRule="auto"/>
        <w:rPr>
          <w:rFonts w:ascii="Arial" w:hAnsi="Arial" w:cs="Arial"/>
          <w:b/>
          <w:bCs/>
        </w:rPr>
      </w:pPr>
      <w:r w:rsidRPr="002A2480">
        <w:rPr>
          <w:rFonts w:ascii="Arial" w:hAnsi="Arial" w:cs="Arial"/>
          <w:b/>
          <w:bCs/>
        </w:rPr>
        <w:t>3.4</w:t>
      </w:r>
      <w:r w:rsidR="006145DB" w:rsidRPr="002A2480">
        <w:rPr>
          <w:rFonts w:ascii="Arial" w:hAnsi="Arial" w:cs="Arial"/>
          <w:b/>
          <w:bCs/>
        </w:rPr>
        <w:t xml:space="preserve"> Consumption pattern of organic millets in Hyderabad</w:t>
      </w:r>
    </w:p>
    <w:p w14:paraId="4E8C6BE0" w14:textId="77777777" w:rsidR="006145DB" w:rsidRPr="002A2480" w:rsidRDefault="006145DB" w:rsidP="006145DB">
      <w:pPr>
        <w:spacing w:line="240" w:lineRule="auto"/>
        <w:ind w:firstLine="720"/>
        <w:jc w:val="both"/>
        <w:rPr>
          <w:rFonts w:ascii="Arial" w:hAnsi="Arial" w:cs="Arial"/>
          <w:sz w:val="20"/>
          <w:szCs w:val="20"/>
        </w:rPr>
      </w:pPr>
      <w:r w:rsidRPr="002A2480">
        <w:rPr>
          <w:rFonts w:ascii="Arial" w:hAnsi="Arial" w:cs="Arial"/>
          <w:sz w:val="20"/>
          <w:szCs w:val="20"/>
        </w:rPr>
        <w:t>Consumption pattern refers to the manner in which individuals or households consume goods and services, and includes aspects such as frequency, quantity, form, timing, and source of consumption. In the present study, key aspects of organic millet consumption, including frequency, duration of use, preferred forms of product and meal times during which millets are commonly consumed were evaluated using descriptive statistics.</w:t>
      </w:r>
    </w:p>
    <w:p w14:paraId="7C1349FC" w14:textId="778AE26B" w:rsidR="006145DB" w:rsidRPr="002A2480" w:rsidRDefault="002B65D5" w:rsidP="006145DB">
      <w:pPr>
        <w:spacing w:line="240" w:lineRule="auto"/>
        <w:jc w:val="both"/>
        <w:rPr>
          <w:rFonts w:ascii="Arial" w:hAnsi="Arial" w:cs="Arial"/>
          <w:b/>
          <w:bCs/>
          <w:sz w:val="20"/>
          <w:szCs w:val="20"/>
        </w:rPr>
      </w:pPr>
      <w:r w:rsidRPr="002A2480">
        <w:rPr>
          <w:rFonts w:ascii="Arial" w:hAnsi="Arial" w:cs="Arial"/>
          <w:b/>
          <w:bCs/>
          <w:sz w:val="20"/>
          <w:szCs w:val="20"/>
        </w:rPr>
        <w:t>3.4.1</w:t>
      </w:r>
      <w:r w:rsidR="006145DB" w:rsidRPr="002A2480">
        <w:rPr>
          <w:rFonts w:ascii="Arial" w:hAnsi="Arial" w:cs="Arial"/>
          <w:b/>
          <w:bCs/>
          <w:sz w:val="20"/>
          <w:szCs w:val="20"/>
        </w:rPr>
        <w:t xml:space="preserve"> </w:t>
      </w:r>
      <w:r w:rsidR="006145DB" w:rsidRPr="002A2480">
        <w:rPr>
          <w:rFonts w:ascii="Arial" w:hAnsi="Arial" w:cs="Arial"/>
          <w:b/>
          <w:bCs/>
          <w:sz w:val="20"/>
          <w:szCs w:val="20"/>
          <w:u w:val="single"/>
        </w:rPr>
        <w:t>Frequency of consumption of organic foods and organic millets</w:t>
      </w:r>
    </w:p>
    <w:p w14:paraId="0B0A520B" w14:textId="7F2B04CB" w:rsidR="006145DB" w:rsidRPr="002A2480" w:rsidRDefault="009470FC" w:rsidP="00DE30E0">
      <w:pPr>
        <w:spacing w:line="240" w:lineRule="auto"/>
        <w:jc w:val="both"/>
        <w:rPr>
          <w:rFonts w:ascii="Arial" w:hAnsi="Arial" w:cs="Arial"/>
          <w:sz w:val="20"/>
          <w:szCs w:val="20"/>
        </w:rPr>
      </w:pPr>
      <w:r w:rsidRPr="002A2480">
        <w:rPr>
          <w:rFonts w:ascii="Arial" w:hAnsi="Arial" w:cs="Arial"/>
          <w:noProof/>
          <w:sz w:val="20"/>
          <w:szCs w:val="20"/>
          <w:lang w:eastAsia="en-IN"/>
        </w:rPr>
        <w:drawing>
          <wp:anchor distT="0" distB="0" distL="114300" distR="114300" simplePos="0" relativeHeight="251660288" behindDoc="1" locked="0" layoutInCell="1" allowOverlap="1" wp14:anchorId="2DB1F7B8" wp14:editId="1C38A97E">
            <wp:simplePos x="0" y="0"/>
            <wp:positionH relativeFrom="margin">
              <wp:posOffset>782320</wp:posOffset>
            </wp:positionH>
            <wp:positionV relativeFrom="paragraph">
              <wp:posOffset>1405255</wp:posOffset>
            </wp:positionV>
            <wp:extent cx="3867150" cy="1701800"/>
            <wp:effectExtent l="0" t="0" r="0" b="12700"/>
            <wp:wrapTopAndBottom/>
            <wp:docPr id="2" name="Chart 2">
              <a:extLst xmlns:a="http://schemas.openxmlformats.org/drawingml/2006/main">
                <a:ext uri="{FF2B5EF4-FFF2-40B4-BE49-F238E27FC236}">
                  <a16:creationId xmlns:a16="http://schemas.microsoft.com/office/drawing/2014/main" id="{492086EA-D3D9-4267-9B35-A2CFC74B96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6145DB" w:rsidRPr="002A2480">
        <w:rPr>
          <w:rFonts w:ascii="Arial" w:eastAsia="Times New Roman" w:hAnsi="Arial" w:cs="Arial"/>
          <w:sz w:val="20"/>
          <w:szCs w:val="20"/>
          <w:lang w:eastAsia="en-IN"/>
        </w:rPr>
        <w:t xml:space="preserve">The frequency of consumption of organic foods and millets are shown in fig.1. </w:t>
      </w:r>
      <w:r w:rsidR="006145DB" w:rsidRPr="002A2480">
        <w:rPr>
          <w:rFonts w:ascii="Arial" w:hAnsi="Arial" w:cs="Arial"/>
          <w:sz w:val="20"/>
          <w:szCs w:val="20"/>
        </w:rPr>
        <w:t>The data reveals that the frequency of consumption of organic millets are less than that of organic foods among consumers. A notable 28 percent of respondents consume organic foods daily, while only 11 percent consume organic millets at the same frequency. The majority of consumers (48 percent) consume organic foods weekly (1–3 times), compared to 43 percent for organic millets. Among the respondents, 18 percent consume millets occasionally, and 8 percent rarely, showing that for some, millet consumption remains limited. This contrast suggests that while organic foods have become a part of regular diets for many, organic millets are still in the transitional or exploratory phase for a significant portion of the population.</w:t>
      </w:r>
    </w:p>
    <w:p w14:paraId="13B3EA63" w14:textId="329B2C15" w:rsidR="006145DB" w:rsidRPr="002A2480" w:rsidRDefault="006145DB" w:rsidP="009470FC">
      <w:pPr>
        <w:spacing w:before="100" w:beforeAutospacing="1" w:line="240" w:lineRule="auto"/>
        <w:rPr>
          <w:rFonts w:ascii="Arial" w:hAnsi="Arial" w:cs="Arial"/>
          <w:b/>
          <w:bCs/>
          <w:sz w:val="20"/>
          <w:szCs w:val="20"/>
        </w:rPr>
      </w:pPr>
      <w:r w:rsidRPr="002A2480">
        <w:rPr>
          <w:rFonts w:ascii="Arial" w:hAnsi="Arial" w:cs="Arial"/>
          <w:b/>
          <w:bCs/>
          <w:sz w:val="20"/>
          <w:szCs w:val="20"/>
        </w:rPr>
        <w:t>Fig.1. Frequency of consumption of organic foods and organic millets</w:t>
      </w:r>
    </w:p>
    <w:p w14:paraId="78339567" w14:textId="7CB5BC21" w:rsidR="006145DB" w:rsidRDefault="009470FC" w:rsidP="006145DB">
      <w:pPr>
        <w:spacing w:line="240" w:lineRule="auto"/>
        <w:jc w:val="both"/>
        <w:rPr>
          <w:rFonts w:ascii="Arial" w:hAnsi="Arial" w:cs="Arial"/>
          <w:b/>
          <w:bCs/>
          <w:sz w:val="20"/>
          <w:szCs w:val="20"/>
          <w:u w:val="single"/>
        </w:rPr>
      </w:pPr>
      <w:r w:rsidRPr="002A2480">
        <w:rPr>
          <w:rFonts w:ascii="Arial" w:hAnsi="Arial" w:cs="Arial"/>
          <w:b/>
          <w:bCs/>
          <w:sz w:val="20"/>
          <w:szCs w:val="20"/>
          <w:u w:val="single"/>
        </w:rPr>
        <w:t>3.4.2</w:t>
      </w:r>
      <w:r w:rsidR="006145DB" w:rsidRPr="002A2480">
        <w:rPr>
          <w:rFonts w:ascii="Arial" w:hAnsi="Arial" w:cs="Arial"/>
          <w:b/>
          <w:bCs/>
          <w:sz w:val="20"/>
          <w:szCs w:val="20"/>
          <w:u w:val="single"/>
        </w:rPr>
        <w:t xml:space="preserve"> Duration of consumption of organic millets</w:t>
      </w:r>
    </w:p>
    <w:p w14:paraId="62FF45FB" w14:textId="3AEB27A6" w:rsidR="00E44711" w:rsidRPr="00E44711" w:rsidRDefault="00E44711" w:rsidP="006145DB">
      <w:pPr>
        <w:spacing w:line="240" w:lineRule="auto"/>
        <w:jc w:val="both"/>
        <w:rPr>
          <w:rFonts w:ascii="Arial" w:hAnsi="Arial" w:cs="Arial"/>
          <w:sz w:val="20"/>
          <w:szCs w:val="20"/>
          <w:u w:val="single"/>
        </w:rPr>
      </w:pPr>
      <w:r w:rsidRPr="002A2480">
        <w:rPr>
          <w:rFonts w:ascii="Arial" w:hAnsi="Arial" w:cs="Arial"/>
          <w:sz w:val="20"/>
          <w:szCs w:val="20"/>
        </w:rPr>
        <w:t>The number of years of consumption varied from 0.5 to 7 years among the organic millet consumers of Hyderabad. The mean duration of organic millet consumption was calculated as 1.91 years. This indicate that most consumers have only recently adopted millets into their diets. The classification of respondents according to the number of years of consumption has been presented in fig. 2. Majority of consumers (37 percent) have adopted organic millets recently, within the last two years. This reflects a recent shift in dietary preferences, possibly driven by increased health awareness and market availability. Approximately nine percent are very new adopters, suggesting that awareness and interest are growing and attracting new consumers. Nearly 16 percent have been consuming millets for a period of 3-4 years, and eight percent for more than four years, indicating a growing and stabilizing consumer base for organic millets in Hyderabad. Targeted awareness programs and consistent availability could help retain new users and grow this base further</w:t>
      </w:r>
      <w:r>
        <w:rPr>
          <w:rFonts w:ascii="Arial" w:hAnsi="Arial" w:cs="Arial"/>
          <w:sz w:val="20"/>
          <w:szCs w:val="20"/>
        </w:rPr>
        <w:t>.</w:t>
      </w:r>
    </w:p>
    <w:p w14:paraId="1B2D5584" w14:textId="2A3E9BED" w:rsidR="00911623" w:rsidRDefault="00E44711" w:rsidP="00E44711">
      <w:pPr>
        <w:spacing w:line="240" w:lineRule="auto"/>
        <w:jc w:val="both"/>
        <w:rPr>
          <w:rFonts w:ascii="Arial" w:hAnsi="Arial" w:cs="Arial"/>
          <w:b/>
          <w:bCs/>
          <w:sz w:val="20"/>
          <w:szCs w:val="20"/>
        </w:rPr>
      </w:pPr>
      <w:r w:rsidRPr="002A2480">
        <w:rPr>
          <w:rFonts w:ascii="Arial" w:hAnsi="Arial" w:cs="Arial"/>
          <w:noProof/>
          <w:sz w:val="20"/>
          <w:szCs w:val="20"/>
          <w:lang w:eastAsia="en-IN"/>
        </w:rPr>
        <w:lastRenderedPageBreak/>
        <w:drawing>
          <wp:anchor distT="0" distB="0" distL="114300" distR="114300" simplePos="0" relativeHeight="251667456" behindDoc="1" locked="0" layoutInCell="1" allowOverlap="1" wp14:anchorId="501CA1A8" wp14:editId="38A5883A">
            <wp:simplePos x="0" y="0"/>
            <wp:positionH relativeFrom="margin">
              <wp:posOffset>572770</wp:posOffset>
            </wp:positionH>
            <wp:positionV relativeFrom="paragraph">
              <wp:posOffset>0</wp:posOffset>
            </wp:positionV>
            <wp:extent cx="4768850" cy="1968500"/>
            <wp:effectExtent l="0" t="0" r="12700" b="12700"/>
            <wp:wrapSquare wrapText="bothSides"/>
            <wp:docPr id="1" name="Chart 1">
              <a:extLst xmlns:a="http://schemas.openxmlformats.org/drawingml/2006/main">
                <a:ext uri="{FF2B5EF4-FFF2-40B4-BE49-F238E27FC236}">
                  <a16:creationId xmlns:a16="http://schemas.microsoft.com/office/drawing/2014/main" id="{76AAFB28-9732-472E-96D6-4C629FF300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9470FC" w:rsidRPr="002A2480">
        <w:rPr>
          <w:rFonts w:ascii="Arial" w:hAnsi="Arial" w:cs="Arial"/>
          <w:sz w:val="20"/>
          <w:szCs w:val="20"/>
        </w:rPr>
        <w:t>.</w:t>
      </w:r>
    </w:p>
    <w:p w14:paraId="0519B062" w14:textId="5F8C73AD" w:rsidR="00911623" w:rsidRDefault="00911623" w:rsidP="009470FC">
      <w:pPr>
        <w:spacing w:before="360" w:line="240" w:lineRule="auto"/>
        <w:jc w:val="both"/>
        <w:rPr>
          <w:rFonts w:ascii="Arial" w:hAnsi="Arial" w:cs="Arial"/>
          <w:b/>
          <w:bCs/>
          <w:sz w:val="20"/>
          <w:szCs w:val="20"/>
        </w:rPr>
      </w:pPr>
    </w:p>
    <w:p w14:paraId="4B886A32" w14:textId="77777777" w:rsidR="00E44711" w:rsidRDefault="00E44711" w:rsidP="009470FC">
      <w:pPr>
        <w:spacing w:before="360" w:line="240" w:lineRule="auto"/>
        <w:jc w:val="both"/>
        <w:rPr>
          <w:rFonts w:ascii="Arial" w:hAnsi="Arial" w:cs="Arial"/>
          <w:b/>
          <w:bCs/>
          <w:sz w:val="20"/>
          <w:szCs w:val="20"/>
        </w:rPr>
      </w:pPr>
    </w:p>
    <w:p w14:paraId="12149C12" w14:textId="77777777" w:rsidR="00E44711" w:rsidRDefault="00E44711" w:rsidP="009470FC">
      <w:pPr>
        <w:spacing w:before="360" w:line="240" w:lineRule="auto"/>
        <w:jc w:val="both"/>
        <w:rPr>
          <w:rFonts w:ascii="Arial" w:hAnsi="Arial" w:cs="Arial"/>
          <w:b/>
          <w:bCs/>
          <w:sz w:val="20"/>
          <w:szCs w:val="20"/>
        </w:rPr>
      </w:pPr>
    </w:p>
    <w:p w14:paraId="085D1B86" w14:textId="77777777" w:rsidR="00E44711" w:rsidRDefault="00E44711" w:rsidP="009470FC">
      <w:pPr>
        <w:spacing w:before="360" w:line="240" w:lineRule="auto"/>
        <w:jc w:val="both"/>
        <w:rPr>
          <w:rFonts w:ascii="Arial" w:hAnsi="Arial" w:cs="Arial"/>
          <w:b/>
          <w:bCs/>
          <w:sz w:val="20"/>
          <w:szCs w:val="20"/>
        </w:rPr>
      </w:pPr>
    </w:p>
    <w:p w14:paraId="4516BDD3" w14:textId="77777777" w:rsidR="00E44711" w:rsidRDefault="00E44711" w:rsidP="009470FC">
      <w:pPr>
        <w:spacing w:before="360" w:line="240" w:lineRule="auto"/>
        <w:jc w:val="both"/>
        <w:rPr>
          <w:rFonts w:ascii="Arial" w:hAnsi="Arial" w:cs="Arial"/>
          <w:b/>
          <w:bCs/>
          <w:sz w:val="20"/>
          <w:szCs w:val="20"/>
        </w:rPr>
      </w:pPr>
    </w:p>
    <w:p w14:paraId="64EAC7B8" w14:textId="76F58C5D" w:rsidR="006145DB" w:rsidRPr="002A2480" w:rsidRDefault="006145DB" w:rsidP="009470FC">
      <w:pPr>
        <w:spacing w:before="360" w:line="240" w:lineRule="auto"/>
        <w:jc w:val="both"/>
        <w:rPr>
          <w:rFonts w:ascii="Arial" w:hAnsi="Arial" w:cs="Arial"/>
          <w:b/>
          <w:bCs/>
          <w:sz w:val="20"/>
          <w:szCs w:val="20"/>
        </w:rPr>
      </w:pPr>
      <w:r w:rsidRPr="002A2480">
        <w:rPr>
          <w:rFonts w:ascii="Arial" w:hAnsi="Arial" w:cs="Arial"/>
          <w:b/>
          <w:bCs/>
          <w:sz w:val="20"/>
          <w:szCs w:val="20"/>
        </w:rPr>
        <w:t>Fig.2. distribution of respondents based on no. of years of consumption of organic millets</w:t>
      </w:r>
    </w:p>
    <w:p w14:paraId="1DFCCACB" w14:textId="76AE6357" w:rsidR="006145DB" w:rsidRPr="002A2480" w:rsidRDefault="009470FC" w:rsidP="006145DB">
      <w:pPr>
        <w:spacing w:line="240" w:lineRule="auto"/>
        <w:jc w:val="both"/>
        <w:rPr>
          <w:rFonts w:ascii="Arial" w:hAnsi="Arial" w:cs="Arial"/>
          <w:b/>
          <w:bCs/>
          <w:sz w:val="20"/>
          <w:szCs w:val="20"/>
        </w:rPr>
      </w:pPr>
      <w:r w:rsidRPr="002A2480">
        <w:rPr>
          <w:rFonts w:ascii="Arial" w:hAnsi="Arial" w:cs="Arial"/>
          <w:b/>
          <w:bCs/>
          <w:sz w:val="20"/>
          <w:szCs w:val="20"/>
        </w:rPr>
        <w:t>3.4.3.</w:t>
      </w:r>
      <w:r w:rsidR="006145DB" w:rsidRPr="002A2480">
        <w:rPr>
          <w:rFonts w:ascii="Arial" w:hAnsi="Arial" w:cs="Arial"/>
          <w:b/>
          <w:bCs/>
          <w:sz w:val="20"/>
          <w:szCs w:val="20"/>
        </w:rPr>
        <w:t xml:space="preserve"> </w:t>
      </w:r>
      <w:r w:rsidR="006145DB" w:rsidRPr="002A2480">
        <w:rPr>
          <w:rFonts w:ascii="Arial" w:hAnsi="Arial" w:cs="Arial"/>
          <w:b/>
          <w:bCs/>
          <w:sz w:val="20"/>
          <w:szCs w:val="20"/>
          <w:u w:val="single"/>
        </w:rPr>
        <w:t>Form of consumption of organic millets</w:t>
      </w:r>
    </w:p>
    <w:p w14:paraId="05FC8546" w14:textId="7FE8D95D" w:rsidR="006145DB" w:rsidRPr="002A2480" w:rsidRDefault="006145DB" w:rsidP="00DE30E0">
      <w:pPr>
        <w:spacing w:line="240" w:lineRule="auto"/>
        <w:jc w:val="both"/>
        <w:rPr>
          <w:rFonts w:ascii="Arial" w:hAnsi="Arial" w:cs="Arial"/>
          <w:sz w:val="20"/>
          <w:szCs w:val="20"/>
        </w:rPr>
      </w:pPr>
      <w:r w:rsidRPr="002A2480">
        <w:rPr>
          <w:rFonts w:ascii="Arial" w:hAnsi="Arial" w:cs="Arial"/>
          <w:color w:val="000000" w:themeColor="text1"/>
          <w:sz w:val="20"/>
          <w:szCs w:val="20"/>
        </w:rPr>
        <w:t>The data on the form of consumption of organic millets is given in fig.3, reveals that consumers predominantly prefer convenient options. The most common form in which organic millets were eaten in Hyderabad city was as ready to eat food and snacks, as reported by 33 percent of the respondents, indicating a strong inclination toward instant and easy-to-consume millet-based foods. This is followed by porridge and whole grain consumption at 29 percent, reflecting a considerable preference for traditional and nutritious preparations. Ready-to-cook products, such as instant mixes, were chosen by 19 percent of respondents, roti and bread made from millet flour were consumed by 13 percent of respondents, implying regional eating habits. A small segment of five percent reported consuming millets in other forms, which included dosa, soups, beverages etc. Overall, the findings highlight a dual trend where consumers balance health-conscious traditional choices with the convenience of modern food formats.</w:t>
      </w:r>
    </w:p>
    <w:p w14:paraId="08161834" w14:textId="33DCDB98" w:rsidR="009470FC" w:rsidRPr="002A2480" w:rsidRDefault="009470FC" w:rsidP="006145DB">
      <w:pPr>
        <w:spacing w:before="100" w:beforeAutospacing="1" w:line="240" w:lineRule="auto"/>
        <w:rPr>
          <w:rFonts w:ascii="Arial" w:hAnsi="Arial" w:cs="Arial"/>
          <w:b/>
          <w:bCs/>
          <w:sz w:val="20"/>
          <w:szCs w:val="20"/>
        </w:rPr>
      </w:pPr>
      <w:r w:rsidRPr="002A2480">
        <w:rPr>
          <w:rFonts w:ascii="Arial" w:hAnsi="Arial" w:cs="Arial"/>
          <w:noProof/>
          <w:sz w:val="20"/>
          <w:szCs w:val="20"/>
          <w:lang w:eastAsia="en-IN"/>
        </w:rPr>
        <w:drawing>
          <wp:anchor distT="0" distB="0" distL="114300" distR="114300" simplePos="0" relativeHeight="251661312" behindDoc="1" locked="0" layoutInCell="1" allowOverlap="1" wp14:anchorId="032E3632" wp14:editId="59E3FE78">
            <wp:simplePos x="0" y="0"/>
            <wp:positionH relativeFrom="margin">
              <wp:posOffset>502920</wp:posOffset>
            </wp:positionH>
            <wp:positionV relativeFrom="paragraph">
              <wp:posOffset>124460</wp:posOffset>
            </wp:positionV>
            <wp:extent cx="4318000" cy="2165350"/>
            <wp:effectExtent l="0" t="0" r="6350" b="6350"/>
            <wp:wrapSquare wrapText="bothSides"/>
            <wp:docPr id="3" name="Chart 3">
              <a:extLst xmlns:a="http://schemas.openxmlformats.org/drawingml/2006/main">
                <a:ext uri="{FF2B5EF4-FFF2-40B4-BE49-F238E27FC236}">
                  <a16:creationId xmlns:a16="http://schemas.microsoft.com/office/drawing/2014/main" id="{7C353E63-BBEE-47CA-AAD0-3EF344555F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104B438D" w14:textId="6887B57E" w:rsidR="009470FC" w:rsidRPr="002A2480" w:rsidRDefault="009470FC" w:rsidP="006145DB">
      <w:pPr>
        <w:spacing w:before="100" w:beforeAutospacing="1" w:line="240" w:lineRule="auto"/>
        <w:rPr>
          <w:rFonts w:ascii="Arial" w:hAnsi="Arial" w:cs="Arial"/>
          <w:b/>
          <w:bCs/>
          <w:sz w:val="20"/>
          <w:szCs w:val="20"/>
        </w:rPr>
      </w:pPr>
    </w:p>
    <w:p w14:paraId="5777C12B" w14:textId="32AB0D64" w:rsidR="009470FC" w:rsidRPr="002A2480" w:rsidRDefault="009470FC" w:rsidP="006145DB">
      <w:pPr>
        <w:spacing w:before="100" w:beforeAutospacing="1" w:line="240" w:lineRule="auto"/>
        <w:rPr>
          <w:rFonts w:ascii="Arial" w:hAnsi="Arial" w:cs="Arial"/>
          <w:b/>
          <w:bCs/>
          <w:sz w:val="20"/>
          <w:szCs w:val="20"/>
        </w:rPr>
      </w:pPr>
    </w:p>
    <w:p w14:paraId="6589943C" w14:textId="7BC676F4" w:rsidR="009470FC" w:rsidRPr="002A2480" w:rsidRDefault="009470FC" w:rsidP="006145DB">
      <w:pPr>
        <w:spacing w:before="100" w:beforeAutospacing="1" w:line="240" w:lineRule="auto"/>
        <w:rPr>
          <w:rFonts w:ascii="Arial" w:hAnsi="Arial" w:cs="Arial"/>
          <w:b/>
          <w:bCs/>
          <w:sz w:val="20"/>
          <w:szCs w:val="20"/>
        </w:rPr>
      </w:pPr>
    </w:p>
    <w:p w14:paraId="7CF7838A" w14:textId="77777777" w:rsidR="009470FC" w:rsidRPr="002A2480" w:rsidRDefault="009470FC" w:rsidP="006145DB">
      <w:pPr>
        <w:spacing w:before="100" w:beforeAutospacing="1" w:line="240" w:lineRule="auto"/>
        <w:rPr>
          <w:rFonts w:ascii="Arial" w:hAnsi="Arial" w:cs="Arial"/>
          <w:b/>
          <w:bCs/>
          <w:sz w:val="20"/>
          <w:szCs w:val="20"/>
        </w:rPr>
      </w:pPr>
    </w:p>
    <w:p w14:paraId="0CCC6ADA" w14:textId="77777777" w:rsidR="009470FC" w:rsidRPr="002A2480" w:rsidRDefault="009470FC" w:rsidP="006145DB">
      <w:pPr>
        <w:spacing w:before="100" w:beforeAutospacing="1" w:line="240" w:lineRule="auto"/>
        <w:rPr>
          <w:rFonts w:ascii="Arial" w:hAnsi="Arial" w:cs="Arial"/>
          <w:b/>
          <w:bCs/>
          <w:sz w:val="20"/>
          <w:szCs w:val="20"/>
        </w:rPr>
      </w:pPr>
    </w:p>
    <w:p w14:paraId="4537028F" w14:textId="77777777" w:rsidR="009470FC" w:rsidRPr="002A2480" w:rsidRDefault="009470FC" w:rsidP="006145DB">
      <w:pPr>
        <w:spacing w:before="100" w:beforeAutospacing="1" w:line="240" w:lineRule="auto"/>
        <w:rPr>
          <w:rFonts w:ascii="Arial" w:hAnsi="Arial" w:cs="Arial"/>
          <w:b/>
          <w:bCs/>
          <w:sz w:val="20"/>
          <w:szCs w:val="20"/>
        </w:rPr>
      </w:pPr>
    </w:p>
    <w:p w14:paraId="75821470" w14:textId="77777777" w:rsidR="0008117A" w:rsidRDefault="0008117A" w:rsidP="009470FC">
      <w:pPr>
        <w:spacing w:before="100" w:beforeAutospacing="1" w:line="240" w:lineRule="auto"/>
        <w:rPr>
          <w:rFonts w:ascii="Arial" w:hAnsi="Arial" w:cs="Arial"/>
          <w:b/>
          <w:bCs/>
          <w:sz w:val="20"/>
          <w:szCs w:val="20"/>
        </w:rPr>
      </w:pPr>
    </w:p>
    <w:p w14:paraId="21722D80" w14:textId="1AA63669" w:rsidR="009470FC" w:rsidRPr="002A2480" w:rsidRDefault="006145DB" w:rsidP="009470FC">
      <w:pPr>
        <w:spacing w:before="100" w:beforeAutospacing="1" w:line="240" w:lineRule="auto"/>
        <w:rPr>
          <w:rFonts w:ascii="Arial" w:hAnsi="Arial" w:cs="Arial"/>
          <w:b/>
          <w:bCs/>
          <w:sz w:val="20"/>
          <w:szCs w:val="20"/>
        </w:rPr>
      </w:pPr>
      <w:r w:rsidRPr="002A2480">
        <w:rPr>
          <w:rFonts w:ascii="Arial" w:hAnsi="Arial" w:cs="Arial"/>
          <w:b/>
          <w:bCs/>
          <w:sz w:val="20"/>
          <w:szCs w:val="20"/>
        </w:rPr>
        <w:t>Fig.3. Distribution of respondents based on form of consuming organic millets</w:t>
      </w:r>
    </w:p>
    <w:p w14:paraId="3DDE6DB9" w14:textId="1D4015C6" w:rsidR="006145DB" w:rsidRPr="002A2480" w:rsidRDefault="009470FC" w:rsidP="006145DB">
      <w:pPr>
        <w:spacing w:line="240" w:lineRule="auto"/>
        <w:jc w:val="both"/>
        <w:rPr>
          <w:rFonts w:ascii="Arial" w:hAnsi="Arial" w:cs="Arial"/>
          <w:b/>
          <w:bCs/>
        </w:rPr>
      </w:pPr>
      <w:r w:rsidRPr="002A2480">
        <w:rPr>
          <w:rFonts w:ascii="Arial" w:hAnsi="Arial" w:cs="Arial"/>
          <w:b/>
          <w:bCs/>
        </w:rPr>
        <w:t>3.5</w:t>
      </w:r>
      <w:r w:rsidR="006145DB" w:rsidRPr="002A2480">
        <w:rPr>
          <w:rFonts w:ascii="Arial" w:hAnsi="Arial" w:cs="Arial"/>
          <w:b/>
          <w:bCs/>
        </w:rPr>
        <w:t xml:space="preserve"> Purchase behaviour of organic millet consumers in Hyderabad city</w:t>
      </w:r>
    </w:p>
    <w:p w14:paraId="192434AA" w14:textId="63609760" w:rsidR="006145DB" w:rsidRPr="002A2480" w:rsidRDefault="006145DB" w:rsidP="00DE30E0">
      <w:pPr>
        <w:spacing w:line="240" w:lineRule="auto"/>
        <w:jc w:val="both"/>
        <w:rPr>
          <w:rFonts w:ascii="Arial" w:hAnsi="Arial" w:cs="Arial"/>
          <w:sz w:val="20"/>
          <w:szCs w:val="20"/>
        </w:rPr>
      </w:pPr>
      <w:r w:rsidRPr="002A2480">
        <w:rPr>
          <w:rFonts w:ascii="Arial" w:hAnsi="Arial" w:cs="Arial"/>
          <w:sz w:val="20"/>
          <w:szCs w:val="20"/>
        </w:rPr>
        <w:t>Understanding the purchase behaviour of organic millet consumers in Hyderabad is essential for identifying market trends, consumer preferences, and potential barriers to adoption. In the present study, key factors such as sources of purchase, expenditure on organic millets, deciding factors of purchase, barriers to purchase and certification studies are discussed</w:t>
      </w:r>
    </w:p>
    <w:p w14:paraId="1D052B29" w14:textId="1C538308" w:rsidR="006145DB" w:rsidRPr="002A2480" w:rsidRDefault="00DD6B1F" w:rsidP="006145DB">
      <w:pPr>
        <w:spacing w:line="240" w:lineRule="auto"/>
        <w:jc w:val="both"/>
        <w:rPr>
          <w:rFonts w:ascii="Arial" w:hAnsi="Arial" w:cs="Arial"/>
          <w:b/>
          <w:bCs/>
          <w:color w:val="000000" w:themeColor="text1"/>
          <w:sz w:val="20"/>
          <w:szCs w:val="20"/>
          <w:u w:val="single"/>
        </w:rPr>
      </w:pPr>
      <w:r w:rsidRPr="002A2480">
        <w:rPr>
          <w:rFonts w:ascii="Arial" w:hAnsi="Arial" w:cs="Arial"/>
          <w:b/>
          <w:bCs/>
          <w:color w:val="000000" w:themeColor="text1"/>
          <w:sz w:val="20"/>
          <w:szCs w:val="20"/>
        </w:rPr>
        <w:t>3.5.1</w:t>
      </w:r>
      <w:r w:rsidR="006145DB" w:rsidRPr="002A2480">
        <w:rPr>
          <w:rFonts w:ascii="Arial" w:hAnsi="Arial" w:cs="Arial"/>
          <w:b/>
          <w:bCs/>
          <w:color w:val="000000" w:themeColor="text1"/>
          <w:sz w:val="20"/>
          <w:szCs w:val="20"/>
        </w:rPr>
        <w:t xml:space="preserve"> </w:t>
      </w:r>
      <w:r w:rsidR="006145DB" w:rsidRPr="002A2480">
        <w:rPr>
          <w:rFonts w:ascii="Arial" w:hAnsi="Arial" w:cs="Arial"/>
          <w:b/>
          <w:bCs/>
          <w:color w:val="000000" w:themeColor="text1"/>
          <w:sz w:val="20"/>
          <w:szCs w:val="20"/>
          <w:u w:val="single"/>
        </w:rPr>
        <w:t>Source of purchase of organic millets</w:t>
      </w:r>
    </w:p>
    <w:p w14:paraId="6A558FB8" w14:textId="2E1EB1B7" w:rsidR="006145DB" w:rsidRPr="002A2480" w:rsidRDefault="006145DB" w:rsidP="00DE30E0">
      <w:pPr>
        <w:spacing w:line="240" w:lineRule="auto"/>
        <w:jc w:val="both"/>
        <w:rPr>
          <w:rFonts w:ascii="Arial" w:hAnsi="Arial" w:cs="Arial"/>
          <w:color w:val="000000" w:themeColor="text1"/>
          <w:sz w:val="20"/>
          <w:szCs w:val="20"/>
        </w:rPr>
      </w:pPr>
      <w:r w:rsidRPr="002A2480">
        <w:rPr>
          <w:rFonts w:ascii="Arial" w:hAnsi="Arial" w:cs="Arial"/>
          <w:color w:val="000000" w:themeColor="text1"/>
          <w:sz w:val="20"/>
          <w:szCs w:val="20"/>
        </w:rPr>
        <w:t xml:space="preserve">The respondents were asked to rank various sources of purchase based on their preference, such as specialised organic stores, retail stores (a larger, formal outlet or chain store or organic sections in </w:t>
      </w:r>
      <w:r w:rsidRPr="002A2480">
        <w:rPr>
          <w:rFonts w:ascii="Arial" w:hAnsi="Arial" w:cs="Arial"/>
          <w:color w:val="000000" w:themeColor="text1"/>
          <w:sz w:val="20"/>
          <w:szCs w:val="20"/>
        </w:rPr>
        <w:lastRenderedPageBreak/>
        <w:t>supermarkets), online platforms, and direct-from-farm purchases</w:t>
      </w:r>
      <w:r w:rsidRPr="002A2480">
        <w:rPr>
          <w:rFonts w:ascii="Arial" w:hAnsi="Arial" w:cs="Arial"/>
          <w:sz w:val="20"/>
          <w:szCs w:val="20"/>
        </w:rPr>
        <w:t xml:space="preserve"> on a scale from 1 (most preferred) to 4 (least preferred)</w:t>
      </w:r>
      <w:r w:rsidRPr="002A2480">
        <w:rPr>
          <w:rFonts w:ascii="Arial" w:hAnsi="Arial" w:cs="Arial"/>
          <w:color w:val="000000" w:themeColor="text1"/>
          <w:sz w:val="20"/>
          <w:szCs w:val="20"/>
        </w:rPr>
        <w:t xml:space="preserve">. The rankings helped in identifying dominant channels and understanding consumer priorities. The results are presented in table </w:t>
      </w:r>
      <w:r w:rsidR="00722C44">
        <w:rPr>
          <w:rFonts w:ascii="Arial" w:hAnsi="Arial" w:cs="Arial"/>
          <w:color w:val="000000" w:themeColor="text1"/>
          <w:sz w:val="20"/>
          <w:szCs w:val="20"/>
        </w:rPr>
        <w:t>4</w:t>
      </w:r>
      <w:r w:rsidRPr="002A2480">
        <w:rPr>
          <w:rFonts w:ascii="Arial" w:hAnsi="Arial" w:cs="Arial"/>
          <w:color w:val="000000" w:themeColor="text1"/>
          <w:sz w:val="20"/>
          <w:szCs w:val="20"/>
        </w:rPr>
        <w:t xml:space="preserve">. </w:t>
      </w:r>
    </w:p>
    <w:p w14:paraId="6F777F26" w14:textId="2BB9591B" w:rsidR="006145DB" w:rsidRPr="002A2480" w:rsidRDefault="006145DB" w:rsidP="006145DB">
      <w:pPr>
        <w:spacing w:line="240" w:lineRule="auto"/>
        <w:jc w:val="both"/>
        <w:rPr>
          <w:rFonts w:ascii="Arial" w:hAnsi="Arial" w:cs="Arial"/>
          <w:b/>
          <w:bCs/>
          <w:sz w:val="20"/>
          <w:szCs w:val="20"/>
        </w:rPr>
      </w:pPr>
      <w:r w:rsidRPr="002A2480">
        <w:rPr>
          <w:rFonts w:ascii="Arial" w:hAnsi="Arial" w:cs="Arial"/>
          <w:b/>
          <w:bCs/>
          <w:sz w:val="20"/>
          <w:szCs w:val="20"/>
        </w:rPr>
        <w:t xml:space="preserve">Table </w:t>
      </w:r>
      <w:r w:rsidR="00722C44">
        <w:rPr>
          <w:rFonts w:ascii="Arial" w:hAnsi="Arial" w:cs="Arial"/>
          <w:b/>
          <w:bCs/>
          <w:sz w:val="20"/>
          <w:szCs w:val="20"/>
        </w:rPr>
        <w:t>4-</w:t>
      </w:r>
      <w:r w:rsidRPr="002A2480">
        <w:rPr>
          <w:rFonts w:ascii="Arial" w:hAnsi="Arial" w:cs="Arial"/>
          <w:b/>
          <w:bCs/>
          <w:sz w:val="20"/>
          <w:szCs w:val="20"/>
        </w:rPr>
        <w:t xml:space="preserve"> Preferred point of purchase of organic millets</w:t>
      </w:r>
    </w:p>
    <w:tbl>
      <w:tblPr>
        <w:tblW w:w="8500" w:type="dxa"/>
        <w:tblBorders>
          <w:top w:val="single" w:sz="4" w:space="0" w:color="auto"/>
          <w:bottom w:val="single" w:sz="4" w:space="0" w:color="auto"/>
        </w:tblBorders>
        <w:tblLook w:val="04A0" w:firstRow="1" w:lastRow="0" w:firstColumn="1" w:lastColumn="0" w:noHBand="0" w:noVBand="1"/>
      </w:tblPr>
      <w:tblGrid>
        <w:gridCol w:w="2122"/>
        <w:gridCol w:w="1417"/>
        <w:gridCol w:w="1276"/>
        <w:gridCol w:w="1234"/>
        <w:gridCol w:w="1387"/>
        <w:gridCol w:w="1064"/>
      </w:tblGrid>
      <w:tr w:rsidR="006145DB" w:rsidRPr="002A2480" w14:paraId="1A170055" w14:textId="77777777" w:rsidTr="004E043A">
        <w:trPr>
          <w:trHeight w:val="220"/>
        </w:trPr>
        <w:tc>
          <w:tcPr>
            <w:tcW w:w="2122" w:type="dxa"/>
            <w:vMerge w:val="restart"/>
            <w:tcBorders>
              <w:top w:val="single" w:sz="4" w:space="0" w:color="auto"/>
              <w:bottom w:val="single" w:sz="4" w:space="0" w:color="auto"/>
            </w:tcBorders>
            <w:vAlign w:val="center"/>
            <w:hideMark/>
          </w:tcPr>
          <w:p w14:paraId="5655D7EE" w14:textId="77777777" w:rsidR="006145DB" w:rsidRPr="002A2480" w:rsidRDefault="006145DB" w:rsidP="000E5732">
            <w:pPr>
              <w:spacing w:after="0" w:line="240" w:lineRule="auto"/>
              <w:rPr>
                <w:rFonts w:ascii="Arial" w:eastAsia="Times New Roman" w:hAnsi="Arial" w:cs="Arial"/>
                <w:b/>
                <w:bCs/>
                <w:color w:val="000000"/>
                <w:sz w:val="20"/>
                <w:szCs w:val="20"/>
                <w:lang w:eastAsia="en-IN"/>
              </w:rPr>
            </w:pPr>
            <w:r w:rsidRPr="002A2480">
              <w:rPr>
                <w:rFonts w:ascii="Arial" w:eastAsia="Times New Roman" w:hAnsi="Arial" w:cs="Arial"/>
                <w:b/>
                <w:bCs/>
                <w:color w:val="000000"/>
                <w:sz w:val="20"/>
                <w:szCs w:val="20"/>
                <w:lang w:eastAsia="en-IN"/>
              </w:rPr>
              <w:t>Point of Purchase</w:t>
            </w:r>
          </w:p>
        </w:tc>
        <w:tc>
          <w:tcPr>
            <w:tcW w:w="5314" w:type="dxa"/>
            <w:gridSpan w:val="4"/>
            <w:tcBorders>
              <w:top w:val="single" w:sz="4" w:space="0" w:color="auto"/>
              <w:bottom w:val="single" w:sz="4" w:space="0" w:color="auto"/>
            </w:tcBorders>
            <w:noWrap/>
            <w:vAlign w:val="bottom"/>
            <w:hideMark/>
          </w:tcPr>
          <w:p w14:paraId="36499A81" w14:textId="77777777" w:rsidR="006145DB" w:rsidRPr="002A2480" w:rsidRDefault="006145DB" w:rsidP="000E5732">
            <w:pPr>
              <w:spacing w:after="0" w:line="240" w:lineRule="auto"/>
              <w:jc w:val="center"/>
              <w:rPr>
                <w:rFonts w:ascii="Arial" w:eastAsia="Times New Roman" w:hAnsi="Arial" w:cs="Arial"/>
                <w:b/>
                <w:bCs/>
                <w:color w:val="000000"/>
                <w:sz w:val="20"/>
                <w:szCs w:val="20"/>
                <w:lang w:eastAsia="en-IN"/>
              </w:rPr>
            </w:pPr>
            <w:r w:rsidRPr="002A2480">
              <w:rPr>
                <w:rFonts w:ascii="Arial" w:eastAsia="Times New Roman" w:hAnsi="Arial" w:cs="Arial"/>
                <w:b/>
                <w:bCs/>
                <w:color w:val="000000"/>
                <w:sz w:val="20"/>
                <w:szCs w:val="20"/>
                <w:lang w:eastAsia="en-IN"/>
              </w:rPr>
              <w:t>Consumer responses</w:t>
            </w:r>
          </w:p>
        </w:tc>
        <w:tc>
          <w:tcPr>
            <w:tcW w:w="1064" w:type="dxa"/>
            <w:vMerge w:val="restart"/>
            <w:tcBorders>
              <w:top w:val="single" w:sz="4" w:space="0" w:color="auto"/>
              <w:bottom w:val="single" w:sz="4" w:space="0" w:color="auto"/>
            </w:tcBorders>
            <w:vAlign w:val="center"/>
            <w:hideMark/>
          </w:tcPr>
          <w:p w14:paraId="40B926EC" w14:textId="77777777" w:rsidR="006145DB" w:rsidRPr="002A2480" w:rsidRDefault="006145DB" w:rsidP="000E5732">
            <w:pPr>
              <w:spacing w:after="0" w:line="240" w:lineRule="auto"/>
              <w:jc w:val="center"/>
              <w:rPr>
                <w:rFonts w:ascii="Arial" w:eastAsia="Times New Roman" w:hAnsi="Arial" w:cs="Arial"/>
                <w:b/>
                <w:bCs/>
                <w:color w:val="000000"/>
                <w:sz w:val="20"/>
                <w:szCs w:val="20"/>
                <w:lang w:eastAsia="en-IN"/>
              </w:rPr>
            </w:pPr>
            <w:r w:rsidRPr="002A2480">
              <w:rPr>
                <w:rFonts w:ascii="Arial" w:eastAsia="Times New Roman" w:hAnsi="Arial" w:cs="Arial"/>
                <w:b/>
                <w:bCs/>
                <w:color w:val="000000"/>
                <w:sz w:val="20"/>
                <w:szCs w:val="20"/>
                <w:lang w:eastAsia="en-IN"/>
              </w:rPr>
              <w:t>Mean Rank</w:t>
            </w:r>
          </w:p>
        </w:tc>
      </w:tr>
      <w:tr w:rsidR="006145DB" w:rsidRPr="002A2480" w14:paraId="6D638E37" w14:textId="77777777" w:rsidTr="004E043A">
        <w:trPr>
          <w:trHeight w:val="398"/>
        </w:trPr>
        <w:tc>
          <w:tcPr>
            <w:tcW w:w="2122" w:type="dxa"/>
            <w:vMerge/>
            <w:tcBorders>
              <w:top w:val="single" w:sz="4" w:space="0" w:color="auto"/>
              <w:bottom w:val="single" w:sz="4" w:space="0" w:color="auto"/>
            </w:tcBorders>
            <w:vAlign w:val="center"/>
            <w:hideMark/>
          </w:tcPr>
          <w:p w14:paraId="7F747320" w14:textId="77777777" w:rsidR="006145DB" w:rsidRPr="002A2480" w:rsidRDefault="006145DB" w:rsidP="000E5732">
            <w:pPr>
              <w:spacing w:after="0" w:line="240" w:lineRule="auto"/>
              <w:rPr>
                <w:rFonts w:ascii="Arial" w:eastAsia="Times New Roman" w:hAnsi="Arial" w:cs="Arial"/>
                <w:color w:val="000000"/>
                <w:sz w:val="20"/>
                <w:szCs w:val="20"/>
                <w:lang w:eastAsia="en-IN"/>
              </w:rPr>
            </w:pPr>
          </w:p>
        </w:tc>
        <w:tc>
          <w:tcPr>
            <w:tcW w:w="1417" w:type="dxa"/>
            <w:tcBorders>
              <w:top w:val="single" w:sz="4" w:space="0" w:color="auto"/>
              <w:bottom w:val="single" w:sz="4" w:space="0" w:color="auto"/>
            </w:tcBorders>
            <w:vAlign w:val="center"/>
            <w:hideMark/>
          </w:tcPr>
          <w:p w14:paraId="31717FF2"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1</w:t>
            </w:r>
          </w:p>
        </w:tc>
        <w:tc>
          <w:tcPr>
            <w:tcW w:w="1276" w:type="dxa"/>
            <w:tcBorders>
              <w:top w:val="single" w:sz="4" w:space="0" w:color="auto"/>
              <w:bottom w:val="single" w:sz="4" w:space="0" w:color="auto"/>
            </w:tcBorders>
            <w:vAlign w:val="center"/>
            <w:hideMark/>
          </w:tcPr>
          <w:p w14:paraId="6A46415A"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w:t>
            </w:r>
          </w:p>
        </w:tc>
        <w:tc>
          <w:tcPr>
            <w:tcW w:w="1234" w:type="dxa"/>
            <w:tcBorders>
              <w:top w:val="single" w:sz="4" w:space="0" w:color="auto"/>
              <w:bottom w:val="single" w:sz="4" w:space="0" w:color="auto"/>
            </w:tcBorders>
            <w:vAlign w:val="center"/>
            <w:hideMark/>
          </w:tcPr>
          <w:p w14:paraId="2445FCC1"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3</w:t>
            </w:r>
          </w:p>
        </w:tc>
        <w:tc>
          <w:tcPr>
            <w:tcW w:w="1387" w:type="dxa"/>
            <w:tcBorders>
              <w:top w:val="single" w:sz="4" w:space="0" w:color="auto"/>
              <w:bottom w:val="single" w:sz="4" w:space="0" w:color="auto"/>
            </w:tcBorders>
            <w:vAlign w:val="center"/>
            <w:hideMark/>
          </w:tcPr>
          <w:p w14:paraId="2BFE3089" w14:textId="77777777" w:rsidR="006145DB" w:rsidRPr="002A2480" w:rsidRDefault="006145DB" w:rsidP="000E5732">
            <w:pPr>
              <w:spacing w:after="0" w:line="240" w:lineRule="auto"/>
              <w:jc w:val="center"/>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4</w:t>
            </w:r>
          </w:p>
        </w:tc>
        <w:tc>
          <w:tcPr>
            <w:tcW w:w="1064" w:type="dxa"/>
            <w:vMerge/>
            <w:tcBorders>
              <w:top w:val="single" w:sz="4" w:space="0" w:color="auto"/>
              <w:bottom w:val="single" w:sz="4" w:space="0" w:color="auto"/>
            </w:tcBorders>
            <w:vAlign w:val="center"/>
            <w:hideMark/>
          </w:tcPr>
          <w:p w14:paraId="5198C8FE" w14:textId="77777777" w:rsidR="006145DB" w:rsidRPr="002A2480" w:rsidRDefault="006145DB" w:rsidP="000E5732">
            <w:pPr>
              <w:spacing w:after="0" w:line="240" w:lineRule="auto"/>
              <w:rPr>
                <w:rFonts w:ascii="Arial" w:eastAsia="Times New Roman" w:hAnsi="Arial" w:cs="Arial"/>
                <w:color w:val="000000"/>
                <w:sz w:val="20"/>
                <w:szCs w:val="20"/>
                <w:lang w:eastAsia="en-IN"/>
              </w:rPr>
            </w:pPr>
          </w:p>
        </w:tc>
      </w:tr>
      <w:tr w:rsidR="006145DB" w:rsidRPr="002A2480" w14:paraId="124F8299" w14:textId="77777777" w:rsidTr="004E043A">
        <w:trPr>
          <w:trHeight w:val="543"/>
        </w:trPr>
        <w:tc>
          <w:tcPr>
            <w:tcW w:w="2122" w:type="dxa"/>
            <w:tcBorders>
              <w:top w:val="single" w:sz="4" w:space="0" w:color="auto"/>
            </w:tcBorders>
            <w:vAlign w:val="center"/>
            <w:hideMark/>
          </w:tcPr>
          <w:p w14:paraId="1F53BAEF" w14:textId="77777777" w:rsidR="006145DB" w:rsidRPr="002A2480" w:rsidRDefault="006145DB" w:rsidP="000E5732">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Direct from farmer</w:t>
            </w:r>
          </w:p>
        </w:tc>
        <w:tc>
          <w:tcPr>
            <w:tcW w:w="1417" w:type="dxa"/>
            <w:tcBorders>
              <w:top w:val="single" w:sz="4" w:space="0" w:color="auto"/>
            </w:tcBorders>
            <w:vAlign w:val="center"/>
            <w:hideMark/>
          </w:tcPr>
          <w:p w14:paraId="6A372C7A" w14:textId="77777777" w:rsidR="006145DB" w:rsidRPr="002A2480" w:rsidRDefault="006145DB" w:rsidP="000E5732">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19 (15.83)</w:t>
            </w:r>
          </w:p>
        </w:tc>
        <w:tc>
          <w:tcPr>
            <w:tcW w:w="1276" w:type="dxa"/>
            <w:tcBorders>
              <w:top w:val="single" w:sz="4" w:space="0" w:color="auto"/>
            </w:tcBorders>
            <w:vAlign w:val="center"/>
            <w:hideMark/>
          </w:tcPr>
          <w:p w14:paraId="61B2335D" w14:textId="77777777" w:rsidR="006145DB" w:rsidRPr="002A2480" w:rsidRDefault="006145DB" w:rsidP="000E5732">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6 (5.00)</w:t>
            </w:r>
          </w:p>
        </w:tc>
        <w:tc>
          <w:tcPr>
            <w:tcW w:w="1234" w:type="dxa"/>
            <w:tcBorders>
              <w:top w:val="single" w:sz="4" w:space="0" w:color="auto"/>
            </w:tcBorders>
            <w:vAlign w:val="center"/>
            <w:hideMark/>
          </w:tcPr>
          <w:p w14:paraId="0C6957F8" w14:textId="77777777" w:rsidR="006145DB" w:rsidRPr="002A2480" w:rsidRDefault="006145DB" w:rsidP="000E5732">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16 (13.33)</w:t>
            </w:r>
          </w:p>
        </w:tc>
        <w:tc>
          <w:tcPr>
            <w:tcW w:w="1387" w:type="dxa"/>
            <w:tcBorders>
              <w:top w:val="single" w:sz="4" w:space="0" w:color="auto"/>
            </w:tcBorders>
            <w:vAlign w:val="center"/>
            <w:hideMark/>
          </w:tcPr>
          <w:p w14:paraId="40608F20" w14:textId="77777777" w:rsidR="006145DB" w:rsidRPr="002A2480" w:rsidRDefault="006145DB" w:rsidP="000E5732">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79 (65.83)</w:t>
            </w:r>
          </w:p>
        </w:tc>
        <w:tc>
          <w:tcPr>
            <w:tcW w:w="1064" w:type="dxa"/>
            <w:tcBorders>
              <w:top w:val="single" w:sz="4" w:space="0" w:color="auto"/>
            </w:tcBorders>
            <w:vAlign w:val="center"/>
            <w:hideMark/>
          </w:tcPr>
          <w:p w14:paraId="535F83C8" w14:textId="77777777" w:rsidR="006145DB" w:rsidRPr="002A2480" w:rsidRDefault="006145DB" w:rsidP="000E5732">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3.29</w:t>
            </w:r>
          </w:p>
        </w:tc>
      </w:tr>
      <w:tr w:rsidR="006145DB" w:rsidRPr="002A2480" w14:paraId="089222D9" w14:textId="77777777" w:rsidTr="004E043A">
        <w:trPr>
          <w:trHeight w:val="441"/>
        </w:trPr>
        <w:tc>
          <w:tcPr>
            <w:tcW w:w="2122" w:type="dxa"/>
            <w:vAlign w:val="center"/>
            <w:hideMark/>
          </w:tcPr>
          <w:p w14:paraId="0F51F37D" w14:textId="77777777" w:rsidR="006145DB" w:rsidRPr="002A2480" w:rsidRDefault="006145DB" w:rsidP="000E5732">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Specialised Store</w:t>
            </w:r>
          </w:p>
        </w:tc>
        <w:tc>
          <w:tcPr>
            <w:tcW w:w="1417" w:type="dxa"/>
            <w:vAlign w:val="center"/>
            <w:hideMark/>
          </w:tcPr>
          <w:p w14:paraId="55F6B5F6" w14:textId="77777777" w:rsidR="006145DB" w:rsidRPr="002A2480" w:rsidRDefault="006145DB" w:rsidP="000E5732">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74 (61.67)</w:t>
            </w:r>
          </w:p>
        </w:tc>
        <w:tc>
          <w:tcPr>
            <w:tcW w:w="1276" w:type="dxa"/>
            <w:vAlign w:val="center"/>
            <w:hideMark/>
          </w:tcPr>
          <w:p w14:paraId="74AF7701" w14:textId="77777777" w:rsidR="006145DB" w:rsidRPr="002A2480" w:rsidRDefault="006145DB" w:rsidP="000E5732">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41 (34.17)</w:t>
            </w:r>
          </w:p>
        </w:tc>
        <w:tc>
          <w:tcPr>
            <w:tcW w:w="1234" w:type="dxa"/>
            <w:vAlign w:val="center"/>
            <w:hideMark/>
          </w:tcPr>
          <w:p w14:paraId="0A755D00" w14:textId="77777777" w:rsidR="006145DB" w:rsidRPr="002A2480" w:rsidRDefault="006145DB" w:rsidP="000E5732">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5 (4.17)</w:t>
            </w:r>
          </w:p>
        </w:tc>
        <w:tc>
          <w:tcPr>
            <w:tcW w:w="1387" w:type="dxa"/>
            <w:vAlign w:val="center"/>
            <w:hideMark/>
          </w:tcPr>
          <w:p w14:paraId="537D7163" w14:textId="77777777" w:rsidR="006145DB" w:rsidRPr="002A2480" w:rsidRDefault="006145DB" w:rsidP="000E5732">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 (0.00)</w:t>
            </w:r>
          </w:p>
        </w:tc>
        <w:tc>
          <w:tcPr>
            <w:tcW w:w="1064" w:type="dxa"/>
            <w:vAlign w:val="center"/>
            <w:hideMark/>
          </w:tcPr>
          <w:p w14:paraId="0E73B923" w14:textId="77777777" w:rsidR="006145DB" w:rsidRPr="002A2480" w:rsidRDefault="006145DB" w:rsidP="000E5732">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1.43</w:t>
            </w:r>
          </w:p>
        </w:tc>
      </w:tr>
      <w:tr w:rsidR="006145DB" w:rsidRPr="002A2480" w14:paraId="17F855E3" w14:textId="77777777" w:rsidTr="004E043A">
        <w:trPr>
          <w:trHeight w:val="441"/>
        </w:trPr>
        <w:tc>
          <w:tcPr>
            <w:tcW w:w="2122" w:type="dxa"/>
            <w:vAlign w:val="center"/>
            <w:hideMark/>
          </w:tcPr>
          <w:p w14:paraId="694F9BF9" w14:textId="77777777" w:rsidR="006145DB" w:rsidRPr="002A2480" w:rsidRDefault="006145DB" w:rsidP="000E5732">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Retail store</w:t>
            </w:r>
          </w:p>
        </w:tc>
        <w:tc>
          <w:tcPr>
            <w:tcW w:w="1417" w:type="dxa"/>
            <w:vAlign w:val="center"/>
            <w:hideMark/>
          </w:tcPr>
          <w:p w14:paraId="2E1F81B0" w14:textId="77777777" w:rsidR="006145DB" w:rsidRPr="002A2480" w:rsidRDefault="006145DB" w:rsidP="000E5732">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28 (23.33)</w:t>
            </w:r>
          </w:p>
        </w:tc>
        <w:tc>
          <w:tcPr>
            <w:tcW w:w="1276" w:type="dxa"/>
            <w:vAlign w:val="center"/>
            <w:hideMark/>
          </w:tcPr>
          <w:p w14:paraId="09BF1BCD" w14:textId="77777777" w:rsidR="006145DB" w:rsidRPr="002A2480" w:rsidRDefault="006145DB" w:rsidP="000E5732">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54 (45.00)</w:t>
            </w:r>
          </w:p>
        </w:tc>
        <w:tc>
          <w:tcPr>
            <w:tcW w:w="1234" w:type="dxa"/>
            <w:vAlign w:val="center"/>
            <w:hideMark/>
          </w:tcPr>
          <w:p w14:paraId="039A394E" w14:textId="77777777" w:rsidR="006145DB" w:rsidRPr="002A2480" w:rsidRDefault="006145DB" w:rsidP="000E5732">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34 (28.33)</w:t>
            </w:r>
          </w:p>
        </w:tc>
        <w:tc>
          <w:tcPr>
            <w:tcW w:w="1387" w:type="dxa"/>
            <w:vAlign w:val="center"/>
            <w:hideMark/>
          </w:tcPr>
          <w:p w14:paraId="4E9510CB" w14:textId="77777777" w:rsidR="006145DB" w:rsidRPr="002A2480" w:rsidRDefault="006145DB" w:rsidP="000E5732">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4 (3.33)</w:t>
            </w:r>
          </w:p>
        </w:tc>
        <w:tc>
          <w:tcPr>
            <w:tcW w:w="1064" w:type="dxa"/>
            <w:vAlign w:val="center"/>
            <w:hideMark/>
          </w:tcPr>
          <w:p w14:paraId="47B22312" w14:textId="77777777" w:rsidR="006145DB" w:rsidRPr="002A2480" w:rsidRDefault="006145DB" w:rsidP="000E5732">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2.12</w:t>
            </w:r>
          </w:p>
        </w:tc>
      </w:tr>
      <w:tr w:rsidR="006145DB" w:rsidRPr="002A2480" w14:paraId="4461068D" w14:textId="77777777" w:rsidTr="004E043A">
        <w:trPr>
          <w:trHeight w:val="507"/>
        </w:trPr>
        <w:tc>
          <w:tcPr>
            <w:tcW w:w="2122" w:type="dxa"/>
            <w:vAlign w:val="center"/>
            <w:hideMark/>
          </w:tcPr>
          <w:p w14:paraId="2D03B1F8" w14:textId="77777777" w:rsidR="006145DB" w:rsidRPr="002A2480" w:rsidRDefault="006145DB" w:rsidP="000E5732">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Online platforms</w:t>
            </w:r>
          </w:p>
        </w:tc>
        <w:tc>
          <w:tcPr>
            <w:tcW w:w="1417" w:type="dxa"/>
            <w:vAlign w:val="center"/>
            <w:hideMark/>
          </w:tcPr>
          <w:p w14:paraId="01CF3C08" w14:textId="77777777" w:rsidR="006145DB" w:rsidRPr="002A2480" w:rsidRDefault="006145DB" w:rsidP="000E5732">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1 (0.83)</w:t>
            </w:r>
          </w:p>
        </w:tc>
        <w:tc>
          <w:tcPr>
            <w:tcW w:w="1276" w:type="dxa"/>
            <w:vAlign w:val="center"/>
            <w:hideMark/>
          </w:tcPr>
          <w:p w14:paraId="063EB695" w14:textId="77777777" w:rsidR="006145DB" w:rsidRPr="002A2480" w:rsidRDefault="006145DB" w:rsidP="000E5732">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44 (36.67)</w:t>
            </w:r>
          </w:p>
        </w:tc>
        <w:tc>
          <w:tcPr>
            <w:tcW w:w="1234" w:type="dxa"/>
            <w:vAlign w:val="center"/>
            <w:hideMark/>
          </w:tcPr>
          <w:p w14:paraId="2EEF2409" w14:textId="77777777" w:rsidR="006145DB" w:rsidRPr="002A2480" w:rsidRDefault="006145DB" w:rsidP="000E5732">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53 (44.17)</w:t>
            </w:r>
          </w:p>
        </w:tc>
        <w:tc>
          <w:tcPr>
            <w:tcW w:w="1387" w:type="dxa"/>
            <w:vAlign w:val="center"/>
            <w:hideMark/>
          </w:tcPr>
          <w:p w14:paraId="274636B1" w14:textId="77777777" w:rsidR="006145DB" w:rsidRPr="002A2480" w:rsidRDefault="006145DB" w:rsidP="000E5732">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22 (18.33)</w:t>
            </w:r>
          </w:p>
        </w:tc>
        <w:tc>
          <w:tcPr>
            <w:tcW w:w="1064" w:type="dxa"/>
            <w:vAlign w:val="center"/>
            <w:hideMark/>
          </w:tcPr>
          <w:p w14:paraId="4BACEF31" w14:textId="77777777" w:rsidR="006145DB" w:rsidRPr="002A2480" w:rsidRDefault="006145DB" w:rsidP="000E5732">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2.8</w:t>
            </w:r>
          </w:p>
        </w:tc>
      </w:tr>
    </w:tbl>
    <w:p w14:paraId="594525FD" w14:textId="77777777" w:rsidR="006145DB" w:rsidRPr="002A2480" w:rsidRDefault="006145DB" w:rsidP="006145DB">
      <w:pPr>
        <w:spacing w:line="240" w:lineRule="auto"/>
        <w:rPr>
          <w:rFonts w:ascii="Arial" w:hAnsi="Arial" w:cs="Arial"/>
          <w:sz w:val="20"/>
          <w:szCs w:val="20"/>
        </w:rPr>
      </w:pPr>
      <w:r w:rsidRPr="002A2480">
        <w:rPr>
          <w:rFonts w:ascii="Arial" w:hAnsi="Arial" w:cs="Arial"/>
          <w:sz w:val="20"/>
          <w:szCs w:val="20"/>
        </w:rPr>
        <w:t>Note: Figures given in parenthesis indicate percentage to the total respondents.</w:t>
      </w:r>
    </w:p>
    <w:p w14:paraId="4CCF41C9" w14:textId="31B4ED2E" w:rsidR="006145DB" w:rsidRPr="002A2480" w:rsidRDefault="006145DB" w:rsidP="00DE30E0">
      <w:pPr>
        <w:spacing w:line="240" w:lineRule="auto"/>
        <w:jc w:val="both"/>
        <w:rPr>
          <w:rFonts w:ascii="Arial" w:hAnsi="Arial" w:cs="Arial"/>
          <w:sz w:val="20"/>
          <w:szCs w:val="20"/>
        </w:rPr>
      </w:pPr>
      <w:r w:rsidRPr="002A2480">
        <w:rPr>
          <w:rFonts w:ascii="Arial" w:hAnsi="Arial" w:cs="Arial"/>
          <w:sz w:val="20"/>
          <w:szCs w:val="20"/>
        </w:rPr>
        <w:t xml:space="preserve">The </w:t>
      </w:r>
      <w:r w:rsidR="0008117A">
        <w:rPr>
          <w:rFonts w:ascii="Arial" w:hAnsi="Arial" w:cs="Arial"/>
          <w:sz w:val="20"/>
          <w:szCs w:val="20"/>
        </w:rPr>
        <w:t>results</w:t>
      </w:r>
      <w:r w:rsidRPr="002A2480">
        <w:rPr>
          <w:rFonts w:ascii="Arial" w:hAnsi="Arial" w:cs="Arial"/>
          <w:sz w:val="20"/>
          <w:szCs w:val="20"/>
        </w:rPr>
        <w:t xml:space="preserve"> revealed that specialised organic stores are the most preferred option among organic millet consumers of Hyderabad. With a mean rank of 1.43 and 61.67 percent of respondents ranking them first, these stores are perceived as the most reliable and desirable source. Retail stores follow with a mean rank of 2.12, indicating moderate preference likely due to accessibility and brand familiarity. E-commerce platforms have a higher mean rank of 2.80, suggesting that while online shopping is convenient, it may not yet fully satisfy consumer expectations for organic products and they prefer in store purchases more. Direct purchase from farmers is the least preferred, with the highest mean rank of 3.29 and 65.83 percent of respondents ranking it last, reflecting concerns around certification, availability, or ease of purchase.</w:t>
      </w:r>
    </w:p>
    <w:p w14:paraId="461BA4EB" w14:textId="0CE83097" w:rsidR="006145DB" w:rsidRPr="002A2480" w:rsidRDefault="00DD6B1F" w:rsidP="006145DB">
      <w:pPr>
        <w:spacing w:line="240" w:lineRule="auto"/>
        <w:jc w:val="both"/>
        <w:rPr>
          <w:rFonts w:ascii="Arial" w:hAnsi="Arial" w:cs="Arial"/>
          <w:b/>
          <w:bCs/>
          <w:sz w:val="20"/>
          <w:szCs w:val="20"/>
          <w:u w:val="single"/>
        </w:rPr>
      </w:pPr>
      <w:r w:rsidRPr="002A2480">
        <w:rPr>
          <w:rFonts w:ascii="Arial" w:hAnsi="Arial" w:cs="Arial"/>
          <w:b/>
          <w:bCs/>
          <w:sz w:val="20"/>
          <w:szCs w:val="20"/>
        </w:rPr>
        <w:t>3.5.2</w:t>
      </w:r>
      <w:r w:rsidR="006145DB" w:rsidRPr="002A2480">
        <w:rPr>
          <w:rFonts w:ascii="Arial" w:hAnsi="Arial" w:cs="Arial"/>
          <w:b/>
          <w:bCs/>
          <w:sz w:val="20"/>
          <w:szCs w:val="20"/>
        </w:rPr>
        <w:t xml:space="preserve"> </w:t>
      </w:r>
      <w:r w:rsidR="006145DB" w:rsidRPr="002A2480">
        <w:rPr>
          <w:rFonts w:ascii="Arial" w:hAnsi="Arial" w:cs="Arial"/>
          <w:b/>
          <w:bCs/>
          <w:sz w:val="20"/>
          <w:szCs w:val="20"/>
          <w:u w:val="single"/>
        </w:rPr>
        <w:t>Monthly expenditure on organic millets</w:t>
      </w:r>
    </w:p>
    <w:p w14:paraId="2D92B09A" w14:textId="536655BB" w:rsidR="006145DB" w:rsidRPr="002A2480" w:rsidRDefault="006145DB" w:rsidP="00DE30E0">
      <w:pPr>
        <w:spacing w:line="240" w:lineRule="auto"/>
        <w:jc w:val="both"/>
        <w:rPr>
          <w:rFonts w:ascii="Arial" w:hAnsi="Arial" w:cs="Arial"/>
          <w:b/>
          <w:bCs/>
          <w:sz w:val="20"/>
          <w:szCs w:val="20"/>
        </w:rPr>
      </w:pPr>
      <w:r w:rsidRPr="002A2480">
        <w:rPr>
          <w:rFonts w:ascii="Arial" w:hAnsi="Arial" w:cs="Arial"/>
          <w:sz w:val="20"/>
          <w:szCs w:val="20"/>
        </w:rPr>
        <w:t xml:space="preserve">The monthly expense data on organic millets among consumers in Hyderabad is shown </w:t>
      </w:r>
      <w:r w:rsidRPr="0008117A">
        <w:rPr>
          <w:rFonts w:ascii="Arial" w:hAnsi="Arial" w:cs="Arial"/>
          <w:sz w:val="20"/>
          <w:szCs w:val="20"/>
        </w:rPr>
        <w:t>in fig.</w:t>
      </w:r>
      <w:r w:rsidR="0008117A">
        <w:rPr>
          <w:rFonts w:ascii="Arial" w:hAnsi="Arial" w:cs="Arial"/>
          <w:sz w:val="20"/>
          <w:szCs w:val="20"/>
        </w:rPr>
        <w:t xml:space="preserve"> 4.</w:t>
      </w:r>
      <w:r w:rsidRPr="002A2480">
        <w:rPr>
          <w:rFonts w:ascii="Arial" w:hAnsi="Arial" w:cs="Arial"/>
          <w:sz w:val="20"/>
          <w:szCs w:val="20"/>
        </w:rPr>
        <w:t xml:space="preserve">  which reveals a clear trend of moderate spending. A majority of consumers (53 percent) spend between ₹500 and ₹1000 per month on organic millets, indicating a steady but budget-conscious interest in these products. Around 18 percent of consumers spend less than ₹500, representing either occasional users or those new to the concept of organic foods. Meanwhile, 24 percent of consumers fall into the ₹1000–₹1500 range, showing a deeper commitment to organic millet consumption. Only six percent of consumers spend more than ₹1500 monthly, highlighting that high-end demand is still limited.</w:t>
      </w:r>
      <w:r w:rsidR="00DD6B1F" w:rsidRPr="002A2480">
        <w:rPr>
          <w:rFonts w:ascii="Arial" w:hAnsi="Arial" w:cs="Arial"/>
          <w:sz w:val="20"/>
          <w:szCs w:val="20"/>
        </w:rPr>
        <w:t xml:space="preserve"> Overall, the data suggests that while there is a growing market for organic millets, the majority of consumers operate within a moderate budget, and strategies to enhance awareness, accessibility, and perceived benefits could help expand consumption across higher spending categories.</w:t>
      </w:r>
    </w:p>
    <w:p w14:paraId="6F8DC6A1" w14:textId="0DDFAD58" w:rsidR="006145DB" w:rsidRPr="002A2480" w:rsidRDefault="00DD6B1F" w:rsidP="006145DB">
      <w:pPr>
        <w:spacing w:line="240" w:lineRule="auto"/>
        <w:jc w:val="both"/>
        <w:rPr>
          <w:rFonts w:ascii="Arial" w:hAnsi="Arial" w:cs="Arial"/>
          <w:b/>
          <w:bCs/>
          <w:sz w:val="20"/>
          <w:szCs w:val="20"/>
        </w:rPr>
      </w:pPr>
      <w:r w:rsidRPr="002A2480">
        <w:rPr>
          <w:rFonts w:ascii="Arial" w:hAnsi="Arial" w:cs="Arial"/>
          <w:noProof/>
          <w:sz w:val="20"/>
          <w:szCs w:val="20"/>
          <w:lang w:eastAsia="en-IN"/>
        </w:rPr>
        <w:drawing>
          <wp:anchor distT="0" distB="0" distL="114300" distR="114300" simplePos="0" relativeHeight="251665408" behindDoc="0" locked="0" layoutInCell="1" allowOverlap="1" wp14:anchorId="552757F0" wp14:editId="240BADDA">
            <wp:simplePos x="0" y="0"/>
            <wp:positionH relativeFrom="column">
              <wp:posOffset>617220</wp:posOffset>
            </wp:positionH>
            <wp:positionV relativeFrom="paragraph">
              <wp:posOffset>95250</wp:posOffset>
            </wp:positionV>
            <wp:extent cx="4540250" cy="2241550"/>
            <wp:effectExtent l="0" t="0" r="12700" b="6350"/>
            <wp:wrapSquare wrapText="bothSides"/>
            <wp:docPr id="4" name="Chart 4">
              <a:extLst xmlns:a="http://schemas.openxmlformats.org/drawingml/2006/main">
                <a:ext uri="{FF2B5EF4-FFF2-40B4-BE49-F238E27FC236}">
                  <a16:creationId xmlns:a16="http://schemas.microsoft.com/office/drawing/2014/main" id="{9F5570E1-BC96-4FEF-8F73-B9C0D9E663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2D0A01A8" w14:textId="4ABE9ED2" w:rsidR="006145DB" w:rsidRPr="002A2480" w:rsidRDefault="006145DB" w:rsidP="006145DB">
      <w:pPr>
        <w:spacing w:before="100" w:beforeAutospacing="1" w:line="240" w:lineRule="auto"/>
        <w:rPr>
          <w:rFonts w:ascii="Arial" w:hAnsi="Arial" w:cs="Arial"/>
          <w:b/>
          <w:bCs/>
          <w:sz w:val="20"/>
          <w:szCs w:val="20"/>
        </w:rPr>
      </w:pPr>
    </w:p>
    <w:p w14:paraId="73EE448C" w14:textId="77777777" w:rsidR="006145DB" w:rsidRPr="002A2480" w:rsidRDefault="006145DB" w:rsidP="006145DB">
      <w:pPr>
        <w:spacing w:before="100" w:beforeAutospacing="1" w:line="240" w:lineRule="auto"/>
        <w:rPr>
          <w:rFonts w:ascii="Arial" w:hAnsi="Arial" w:cs="Arial"/>
          <w:b/>
          <w:bCs/>
          <w:sz w:val="20"/>
          <w:szCs w:val="20"/>
        </w:rPr>
      </w:pPr>
    </w:p>
    <w:p w14:paraId="16C8A9BF" w14:textId="77777777" w:rsidR="006145DB" w:rsidRPr="002A2480" w:rsidRDefault="006145DB" w:rsidP="006145DB">
      <w:pPr>
        <w:spacing w:before="100" w:beforeAutospacing="1" w:line="240" w:lineRule="auto"/>
        <w:rPr>
          <w:rFonts w:ascii="Arial" w:hAnsi="Arial" w:cs="Arial"/>
          <w:b/>
          <w:bCs/>
          <w:sz w:val="20"/>
          <w:szCs w:val="20"/>
        </w:rPr>
      </w:pPr>
    </w:p>
    <w:p w14:paraId="2B24B3AB" w14:textId="77777777" w:rsidR="006145DB" w:rsidRPr="002A2480" w:rsidRDefault="006145DB" w:rsidP="006145DB">
      <w:pPr>
        <w:spacing w:before="100" w:beforeAutospacing="1" w:line="240" w:lineRule="auto"/>
        <w:rPr>
          <w:rFonts w:ascii="Arial" w:hAnsi="Arial" w:cs="Arial"/>
          <w:b/>
          <w:bCs/>
          <w:sz w:val="20"/>
          <w:szCs w:val="20"/>
        </w:rPr>
      </w:pPr>
    </w:p>
    <w:p w14:paraId="3A0D7233" w14:textId="77777777" w:rsidR="006145DB" w:rsidRPr="002A2480" w:rsidRDefault="006145DB" w:rsidP="006145DB">
      <w:pPr>
        <w:spacing w:before="100" w:beforeAutospacing="1" w:line="240" w:lineRule="auto"/>
        <w:rPr>
          <w:rFonts w:ascii="Arial" w:hAnsi="Arial" w:cs="Arial"/>
          <w:b/>
          <w:bCs/>
          <w:sz w:val="20"/>
          <w:szCs w:val="20"/>
        </w:rPr>
      </w:pPr>
    </w:p>
    <w:p w14:paraId="0701AE08" w14:textId="77777777" w:rsidR="00DD6B1F" w:rsidRPr="002A2480" w:rsidRDefault="00DD6B1F" w:rsidP="006145DB">
      <w:pPr>
        <w:spacing w:before="100" w:beforeAutospacing="1" w:line="240" w:lineRule="auto"/>
        <w:rPr>
          <w:rFonts w:ascii="Arial" w:hAnsi="Arial" w:cs="Arial"/>
          <w:b/>
          <w:bCs/>
          <w:sz w:val="20"/>
          <w:szCs w:val="20"/>
        </w:rPr>
      </w:pPr>
    </w:p>
    <w:p w14:paraId="0CC0A80C" w14:textId="77777777" w:rsidR="00DD6B1F" w:rsidRPr="002A2480" w:rsidRDefault="00DD6B1F" w:rsidP="006145DB">
      <w:pPr>
        <w:spacing w:before="100" w:beforeAutospacing="1" w:line="240" w:lineRule="auto"/>
        <w:rPr>
          <w:rFonts w:ascii="Arial" w:hAnsi="Arial" w:cs="Arial"/>
          <w:b/>
          <w:bCs/>
          <w:sz w:val="20"/>
          <w:szCs w:val="20"/>
        </w:rPr>
      </w:pPr>
    </w:p>
    <w:p w14:paraId="30E2E884" w14:textId="667E0CDF" w:rsidR="006145DB" w:rsidRPr="002A2480" w:rsidRDefault="006145DB" w:rsidP="006145DB">
      <w:pPr>
        <w:spacing w:before="100" w:beforeAutospacing="1" w:line="240" w:lineRule="auto"/>
        <w:rPr>
          <w:rFonts w:ascii="Arial" w:hAnsi="Arial" w:cs="Arial"/>
          <w:b/>
          <w:bCs/>
          <w:sz w:val="20"/>
          <w:szCs w:val="20"/>
        </w:rPr>
      </w:pPr>
      <w:r w:rsidRPr="002A2480">
        <w:rPr>
          <w:rFonts w:ascii="Arial" w:hAnsi="Arial" w:cs="Arial"/>
          <w:b/>
          <w:bCs/>
          <w:sz w:val="20"/>
          <w:szCs w:val="20"/>
        </w:rPr>
        <w:t>Fig. 4. Distribution of respondents based on monthly expenditure on organic millets</w:t>
      </w:r>
    </w:p>
    <w:p w14:paraId="65C799BB" w14:textId="650F3EA2" w:rsidR="006145DB" w:rsidRPr="002A2480" w:rsidRDefault="00DD6B1F" w:rsidP="006145DB">
      <w:pPr>
        <w:spacing w:line="240" w:lineRule="auto"/>
        <w:jc w:val="both"/>
        <w:rPr>
          <w:rFonts w:ascii="Arial" w:hAnsi="Arial" w:cs="Arial"/>
          <w:b/>
          <w:bCs/>
          <w:sz w:val="20"/>
          <w:szCs w:val="20"/>
        </w:rPr>
      </w:pPr>
      <w:r w:rsidRPr="002A2480">
        <w:rPr>
          <w:rFonts w:ascii="Arial" w:hAnsi="Arial" w:cs="Arial"/>
          <w:b/>
          <w:bCs/>
          <w:sz w:val="20"/>
          <w:szCs w:val="20"/>
        </w:rPr>
        <w:lastRenderedPageBreak/>
        <w:t>3.5.3.</w:t>
      </w:r>
      <w:r w:rsidR="006145DB" w:rsidRPr="002A2480">
        <w:rPr>
          <w:rFonts w:ascii="Arial" w:hAnsi="Arial" w:cs="Arial"/>
          <w:b/>
          <w:bCs/>
          <w:sz w:val="20"/>
          <w:szCs w:val="20"/>
        </w:rPr>
        <w:t xml:space="preserve"> </w:t>
      </w:r>
      <w:r w:rsidR="006145DB" w:rsidRPr="002A2480">
        <w:rPr>
          <w:rFonts w:ascii="Arial" w:hAnsi="Arial" w:cs="Arial"/>
          <w:b/>
          <w:bCs/>
          <w:sz w:val="20"/>
          <w:szCs w:val="20"/>
          <w:u w:val="single"/>
        </w:rPr>
        <w:t>Factors preventing purchase of organic millets</w:t>
      </w:r>
    </w:p>
    <w:p w14:paraId="356198F7" w14:textId="0FEBE3AA" w:rsidR="006145DB" w:rsidRPr="002A2480" w:rsidRDefault="006145DB" w:rsidP="00DE30E0">
      <w:pPr>
        <w:spacing w:line="240" w:lineRule="auto"/>
        <w:jc w:val="both"/>
        <w:rPr>
          <w:rFonts w:ascii="Arial" w:hAnsi="Arial" w:cs="Arial"/>
          <w:sz w:val="20"/>
          <w:szCs w:val="20"/>
        </w:rPr>
      </w:pPr>
      <w:r w:rsidRPr="002A2480">
        <w:rPr>
          <w:rFonts w:ascii="Arial" w:hAnsi="Arial" w:cs="Arial"/>
          <w:sz w:val="20"/>
          <w:szCs w:val="20"/>
        </w:rPr>
        <w:t>The major factors</w:t>
      </w:r>
      <w:r w:rsidRPr="002A2480">
        <w:rPr>
          <w:rFonts w:ascii="Arial" w:hAnsi="Arial" w:cs="Arial"/>
          <w:b/>
          <w:bCs/>
          <w:sz w:val="20"/>
          <w:szCs w:val="20"/>
        </w:rPr>
        <w:t xml:space="preserve"> </w:t>
      </w:r>
      <w:r w:rsidRPr="002A2480">
        <w:rPr>
          <w:rFonts w:ascii="Arial" w:hAnsi="Arial" w:cs="Arial"/>
          <w:sz w:val="20"/>
          <w:szCs w:val="20"/>
        </w:rPr>
        <w:t>preventing the purchase of organic millets</w:t>
      </w:r>
      <w:r w:rsidRPr="002A2480">
        <w:rPr>
          <w:rFonts w:ascii="Arial" w:hAnsi="Arial" w:cs="Arial"/>
          <w:b/>
          <w:bCs/>
          <w:sz w:val="20"/>
          <w:szCs w:val="20"/>
        </w:rPr>
        <w:t xml:space="preserve"> </w:t>
      </w:r>
      <w:r w:rsidRPr="002A2480">
        <w:rPr>
          <w:rFonts w:ascii="Arial" w:hAnsi="Arial" w:cs="Arial"/>
          <w:sz w:val="20"/>
          <w:szCs w:val="20"/>
        </w:rPr>
        <w:t xml:space="preserve">among consumers of Hyderabad was analysed, and presented in fig. 6. Limited availability of millet products emerged as the most significant barrier, reported by 37 percent of respondents. This indicates that access to organic millets remains a major challenge, possibly due to supply chain limitations or restricted retail presence. The higher relative price was the second most cited reason, affecting 21 percent of respondents, showing a moderate level of price sensitivity among consumers. </w:t>
      </w:r>
    </w:p>
    <w:p w14:paraId="3F233387" w14:textId="2AFAF4B3" w:rsidR="006145DB" w:rsidRPr="002A2480" w:rsidRDefault="006145DB" w:rsidP="00DE30E0">
      <w:pPr>
        <w:spacing w:line="240" w:lineRule="auto"/>
        <w:jc w:val="both"/>
        <w:rPr>
          <w:rFonts w:ascii="Arial" w:hAnsi="Arial" w:cs="Arial"/>
          <w:sz w:val="20"/>
          <w:szCs w:val="20"/>
        </w:rPr>
      </w:pPr>
      <w:r w:rsidRPr="002A2480">
        <w:rPr>
          <w:rFonts w:ascii="Arial" w:hAnsi="Arial" w:cs="Arial"/>
          <w:sz w:val="20"/>
          <w:szCs w:val="20"/>
        </w:rPr>
        <w:t>About 19 percent of respondents mentioned that organic millets are not preferred by their family members, suggesting that household preferences and acceptance play an important role in shaping purchase decisions. Doubts about the authenticity of organic labels were expressed by 13% percent of respondents, pointing to concerns over the credibility and transparency of certification processes. Almost 10 percent of the respondents indicated lack of information as a barrier, highlighting the need for better consumer education and awareness campaigns. Similar to these findings, Shah et al. (2024) identified barriers to purchase millets as inaccessibility, lack of trust, and misconceptions about quality taste or nutritional value.</w:t>
      </w:r>
    </w:p>
    <w:p w14:paraId="333E3F31" w14:textId="5F9EE59E" w:rsidR="006145DB" w:rsidRPr="002A2480" w:rsidRDefault="00DD6B1F" w:rsidP="002A2480">
      <w:pPr>
        <w:spacing w:before="100" w:beforeAutospacing="1" w:line="240" w:lineRule="auto"/>
        <w:rPr>
          <w:rFonts w:ascii="Arial" w:hAnsi="Arial" w:cs="Arial"/>
          <w:b/>
          <w:bCs/>
          <w:sz w:val="20"/>
          <w:szCs w:val="20"/>
        </w:rPr>
      </w:pPr>
      <w:r w:rsidRPr="002A2480">
        <w:rPr>
          <w:rFonts w:ascii="Arial" w:hAnsi="Arial" w:cs="Arial"/>
          <w:noProof/>
          <w:sz w:val="20"/>
          <w:szCs w:val="20"/>
          <w:lang w:eastAsia="en-IN"/>
        </w:rPr>
        <w:drawing>
          <wp:anchor distT="0" distB="0" distL="114300" distR="114300" simplePos="0" relativeHeight="251662336" behindDoc="0" locked="0" layoutInCell="1" allowOverlap="1" wp14:anchorId="3903C601" wp14:editId="7BC2CB37">
            <wp:simplePos x="0" y="0"/>
            <wp:positionH relativeFrom="margin">
              <wp:posOffset>458470</wp:posOffset>
            </wp:positionH>
            <wp:positionV relativeFrom="paragraph">
              <wp:posOffset>0</wp:posOffset>
            </wp:positionV>
            <wp:extent cx="4483100" cy="1949450"/>
            <wp:effectExtent l="0" t="0" r="12700" b="12700"/>
            <wp:wrapTopAndBottom/>
            <wp:docPr id="6" name="Chart 6">
              <a:extLst xmlns:a="http://schemas.openxmlformats.org/drawingml/2006/main">
                <a:ext uri="{FF2B5EF4-FFF2-40B4-BE49-F238E27FC236}">
                  <a16:creationId xmlns:a16="http://schemas.microsoft.com/office/drawing/2014/main" id="{F6023DD1-022B-42DF-9AD5-9A379CA65C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2A2480">
        <w:rPr>
          <w:rFonts w:ascii="Arial" w:hAnsi="Arial" w:cs="Arial"/>
          <w:b/>
          <w:bCs/>
          <w:sz w:val="20"/>
          <w:szCs w:val="20"/>
        </w:rPr>
        <w:t xml:space="preserve">Fig. </w:t>
      </w:r>
      <w:r w:rsidR="00DE30E0" w:rsidRPr="002A2480">
        <w:rPr>
          <w:rFonts w:ascii="Arial" w:hAnsi="Arial" w:cs="Arial"/>
          <w:b/>
          <w:bCs/>
          <w:sz w:val="20"/>
          <w:szCs w:val="20"/>
        </w:rPr>
        <w:t>5</w:t>
      </w:r>
      <w:r w:rsidRPr="002A2480">
        <w:rPr>
          <w:rFonts w:ascii="Arial" w:hAnsi="Arial" w:cs="Arial"/>
          <w:b/>
          <w:bCs/>
          <w:sz w:val="20"/>
          <w:szCs w:val="20"/>
        </w:rPr>
        <w:t>. Key factors preventing purchase of organic millet products</w:t>
      </w:r>
    </w:p>
    <w:p w14:paraId="760B032E" w14:textId="73549BEB" w:rsidR="006145DB" w:rsidRPr="002A2480" w:rsidRDefault="00DD6B1F" w:rsidP="006145DB">
      <w:pPr>
        <w:spacing w:line="240" w:lineRule="auto"/>
        <w:jc w:val="both"/>
        <w:rPr>
          <w:rFonts w:ascii="Arial" w:hAnsi="Arial" w:cs="Arial"/>
          <w:b/>
          <w:bCs/>
        </w:rPr>
      </w:pPr>
      <w:r w:rsidRPr="002A2480">
        <w:rPr>
          <w:rFonts w:ascii="Arial" w:hAnsi="Arial" w:cs="Arial"/>
          <w:b/>
          <w:bCs/>
        </w:rPr>
        <w:t>3.6</w:t>
      </w:r>
      <w:r w:rsidR="006145DB" w:rsidRPr="002A2480">
        <w:rPr>
          <w:rFonts w:ascii="Arial" w:hAnsi="Arial" w:cs="Arial"/>
          <w:b/>
          <w:bCs/>
        </w:rPr>
        <w:t xml:space="preserve"> Consumer preference for certified vs non-certified organic millets: Chi-square test </w:t>
      </w:r>
    </w:p>
    <w:p w14:paraId="1F85E763" w14:textId="02FEB571" w:rsidR="006145DB" w:rsidRPr="002A2480" w:rsidRDefault="006145DB" w:rsidP="00DE30E0">
      <w:pPr>
        <w:spacing w:line="240" w:lineRule="auto"/>
        <w:jc w:val="both"/>
        <w:rPr>
          <w:rFonts w:ascii="Arial" w:hAnsi="Arial" w:cs="Arial"/>
          <w:sz w:val="20"/>
          <w:szCs w:val="20"/>
        </w:rPr>
      </w:pPr>
      <w:r w:rsidRPr="002A2480">
        <w:rPr>
          <w:rFonts w:ascii="Arial" w:hAnsi="Arial" w:cs="Arial"/>
          <w:sz w:val="20"/>
          <w:szCs w:val="20"/>
        </w:rPr>
        <w:t xml:space="preserve">A Chi-square test of independence was conducted to examine the statistical significance of difference in consumer preference between certified and non-certified organic millets. The results shown in table </w:t>
      </w:r>
      <w:r w:rsidR="00722C44">
        <w:rPr>
          <w:rFonts w:ascii="Arial" w:hAnsi="Arial" w:cs="Arial"/>
          <w:sz w:val="20"/>
          <w:szCs w:val="20"/>
        </w:rPr>
        <w:t>5</w:t>
      </w:r>
      <w:r w:rsidRPr="002A2480">
        <w:rPr>
          <w:rFonts w:ascii="Arial" w:hAnsi="Arial" w:cs="Arial"/>
          <w:sz w:val="20"/>
          <w:szCs w:val="20"/>
        </w:rPr>
        <w:t xml:space="preserve"> revealed a statistically significant difference in consumer preferences. The value of Chi-square statistic was 6.67 with 1 degree of freedom. Since the p-value (p = 0.00) is less than the conventional significance level of 0.05, the null hypothesis of no difference in preference was rejected. This indicates that consumer preference varies between certified and non-certified products, highlighting the importance of official certification in influencing purchasing decisions.</w:t>
      </w:r>
    </w:p>
    <w:p w14:paraId="6F0A7530" w14:textId="489FD0F8" w:rsidR="006145DB" w:rsidRPr="002A2480" w:rsidRDefault="006145DB" w:rsidP="006145DB">
      <w:pPr>
        <w:spacing w:line="240" w:lineRule="auto"/>
        <w:rPr>
          <w:rFonts w:ascii="Arial" w:hAnsi="Arial" w:cs="Arial"/>
          <w:b/>
          <w:bCs/>
          <w:sz w:val="20"/>
          <w:szCs w:val="20"/>
        </w:rPr>
      </w:pPr>
      <w:r w:rsidRPr="002A2480">
        <w:rPr>
          <w:rFonts w:ascii="Arial" w:hAnsi="Arial" w:cs="Arial"/>
          <w:b/>
          <w:bCs/>
          <w:sz w:val="20"/>
          <w:szCs w:val="20"/>
        </w:rPr>
        <w:t xml:space="preserve">Table </w:t>
      </w:r>
      <w:r w:rsidR="00722C44">
        <w:rPr>
          <w:rFonts w:ascii="Arial" w:hAnsi="Arial" w:cs="Arial"/>
          <w:b/>
          <w:bCs/>
          <w:sz w:val="20"/>
          <w:szCs w:val="20"/>
        </w:rPr>
        <w:t>5</w:t>
      </w:r>
      <w:r w:rsidRPr="002A2480">
        <w:rPr>
          <w:rFonts w:ascii="Arial" w:hAnsi="Arial" w:cs="Arial"/>
          <w:b/>
          <w:bCs/>
          <w:sz w:val="20"/>
          <w:szCs w:val="20"/>
        </w:rPr>
        <w:t>. Results of Chi-Square Test for significance of organic certification</w:t>
      </w:r>
    </w:p>
    <w:tbl>
      <w:tblPr>
        <w:tblW w:w="4388" w:type="dxa"/>
        <w:jc w:val="center"/>
        <w:tblBorders>
          <w:top w:val="single" w:sz="4" w:space="0" w:color="auto"/>
          <w:bottom w:val="single" w:sz="4" w:space="0" w:color="auto"/>
        </w:tblBorders>
        <w:tblLook w:val="04A0" w:firstRow="1" w:lastRow="0" w:firstColumn="1" w:lastColumn="0" w:noHBand="0" w:noVBand="1"/>
      </w:tblPr>
      <w:tblGrid>
        <w:gridCol w:w="3323"/>
        <w:gridCol w:w="1065"/>
      </w:tblGrid>
      <w:tr w:rsidR="006145DB" w:rsidRPr="002A2480" w14:paraId="1277EBEA" w14:textId="77777777" w:rsidTr="00D80992">
        <w:trPr>
          <w:trHeight w:val="393"/>
          <w:jc w:val="center"/>
        </w:trPr>
        <w:tc>
          <w:tcPr>
            <w:tcW w:w="0" w:type="auto"/>
            <w:tcBorders>
              <w:top w:val="single" w:sz="4" w:space="0" w:color="auto"/>
              <w:bottom w:val="single" w:sz="4" w:space="0" w:color="auto"/>
            </w:tcBorders>
            <w:vAlign w:val="center"/>
            <w:hideMark/>
          </w:tcPr>
          <w:p w14:paraId="7F3EA36D" w14:textId="77777777" w:rsidR="006145DB" w:rsidRPr="002A2480" w:rsidRDefault="006145DB" w:rsidP="000E5732">
            <w:pPr>
              <w:spacing w:after="0" w:line="240" w:lineRule="auto"/>
              <w:jc w:val="center"/>
              <w:rPr>
                <w:rFonts w:ascii="Arial" w:eastAsia="Times New Roman" w:hAnsi="Arial" w:cs="Arial"/>
                <w:b/>
                <w:bCs/>
                <w:color w:val="000000"/>
                <w:sz w:val="20"/>
                <w:szCs w:val="20"/>
                <w:lang w:eastAsia="en-IN"/>
              </w:rPr>
            </w:pPr>
            <w:r w:rsidRPr="002A2480">
              <w:rPr>
                <w:rFonts w:ascii="Arial" w:eastAsia="Times New Roman" w:hAnsi="Arial" w:cs="Arial"/>
                <w:b/>
                <w:bCs/>
                <w:color w:val="000000"/>
                <w:sz w:val="20"/>
                <w:szCs w:val="20"/>
                <w:lang w:eastAsia="en-IN"/>
              </w:rPr>
              <w:t>Statistic</w:t>
            </w:r>
          </w:p>
        </w:tc>
        <w:tc>
          <w:tcPr>
            <w:tcW w:w="0" w:type="auto"/>
            <w:tcBorders>
              <w:top w:val="single" w:sz="4" w:space="0" w:color="auto"/>
              <w:bottom w:val="single" w:sz="4" w:space="0" w:color="auto"/>
            </w:tcBorders>
            <w:vAlign w:val="center"/>
            <w:hideMark/>
          </w:tcPr>
          <w:p w14:paraId="21108981" w14:textId="77777777" w:rsidR="006145DB" w:rsidRPr="002A2480" w:rsidRDefault="006145DB" w:rsidP="000E5732">
            <w:pPr>
              <w:spacing w:after="0" w:line="240" w:lineRule="auto"/>
              <w:jc w:val="center"/>
              <w:rPr>
                <w:rFonts w:ascii="Arial" w:eastAsia="Times New Roman" w:hAnsi="Arial" w:cs="Arial"/>
                <w:b/>
                <w:bCs/>
                <w:color w:val="000000"/>
                <w:sz w:val="20"/>
                <w:szCs w:val="20"/>
                <w:lang w:eastAsia="en-IN"/>
              </w:rPr>
            </w:pPr>
            <w:r w:rsidRPr="002A2480">
              <w:rPr>
                <w:rFonts w:ascii="Arial" w:eastAsia="Times New Roman" w:hAnsi="Arial" w:cs="Arial"/>
                <w:b/>
                <w:bCs/>
                <w:color w:val="000000"/>
                <w:sz w:val="20"/>
                <w:szCs w:val="20"/>
                <w:lang w:eastAsia="en-IN"/>
              </w:rPr>
              <w:t>Value</w:t>
            </w:r>
          </w:p>
        </w:tc>
      </w:tr>
      <w:tr w:rsidR="006145DB" w:rsidRPr="002A2480" w14:paraId="5F450907" w14:textId="77777777" w:rsidTr="00D80992">
        <w:trPr>
          <w:trHeight w:val="407"/>
          <w:jc w:val="center"/>
        </w:trPr>
        <w:tc>
          <w:tcPr>
            <w:tcW w:w="0" w:type="auto"/>
            <w:tcBorders>
              <w:top w:val="single" w:sz="4" w:space="0" w:color="auto"/>
            </w:tcBorders>
            <w:vAlign w:val="center"/>
            <w:hideMark/>
          </w:tcPr>
          <w:p w14:paraId="1DA21F84" w14:textId="77777777" w:rsidR="006145DB" w:rsidRPr="002A2480" w:rsidRDefault="006145DB" w:rsidP="000E5732">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Chi-square value (χ²)</w:t>
            </w:r>
          </w:p>
        </w:tc>
        <w:tc>
          <w:tcPr>
            <w:tcW w:w="0" w:type="auto"/>
            <w:tcBorders>
              <w:top w:val="single" w:sz="4" w:space="0" w:color="auto"/>
            </w:tcBorders>
            <w:vAlign w:val="center"/>
            <w:hideMark/>
          </w:tcPr>
          <w:p w14:paraId="6F9FC492" w14:textId="77777777" w:rsidR="006145DB" w:rsidRPr="002A2480" w:rsidRDefault="006145DB" w:rsidP="000E5732">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6.67</w:t>
            </w:r>
          </w:p>
        </w:tc>
      </w:tr>
      <w:tr w:rsidR="006145DB" w:rsidRPr="002A2480" w14:paraId="7BA204E8" w14:textId="77777777" w:rsidTr="00D80992">
        <w:trPr>
          <w:trHeight w:val="580"/>
          <w:jc w:val="center"/>
        </w:trPr>
        <w:tc>
          <w:tcPr>
            <w:tcW w:w="0" w:type="auto"/>
            <w:vAlign w:val="center"/>
            <w:hideMark/>
          </w:tcPr>
          <w:p w14:paraId="76783246" w14:textId="77777777" w:rsidR="006145DB" w:rsidRPr="002A2480" w:rsidRDefault="006145DB" w:rsidP="000E5732">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Degrees of freedom (df)</w:t>
            </w:r>
          </w:p>
        </w:tc>
        <w:tc>
          <w:tcPr>
            <w:tcW w:w="0" w:type="auto"/>
            <w:vAlign w:val="center"/>
            <w:hideMark/>
          </w:tcPr>
          <w:p w14:paraId="7C2D945F" w14:textId="77777777" w:rsidR="006145DB" w:rsidRPr="002A2480" w:rsidRDefault="006145DB" w:rsidP="000E5732">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1</w:t>
            </w:r>
          </w:p>
        </w:tc>
      </w:tr>
      <w:tr w:rsidR="006145DB" w:rsidRPr="002A2480" w14:paraId="22B60C4B" w14:textId="77777777" w:rsidTr="00D80992">
        <w:trPr>
          <w:trHeight w:val="407"/>
          <w:jc w:val="center"/>
        </w:trPr>
        <w:tc>
          <w:tcPr>
            <w:tcW w:w="0" w:type="auto"/>
            <w:vAlign w:val="center"/>
            <w:hideMark/>
          </w:tcPr>
          <w:p w14:paraId="11A336FD" w14:textId="77777777" w:rsidR="006145DB" w:rsidRPr="002A2480" w:rsidRDefault="006145DB" w:rsidP="000E5732">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P-value</w:t>
            </w:r>
          </w:p>
        </w:tc>
        <w:tc>
          <w:tcPr>
            <w:tcW w:w="0" w:type="auto"/>
            <w:vAlign w:val="center"/>
            <w:hideMark/>
          </w:tcPr>
          <w:p w14:paraId="3D814161" w14:textId="77777777" w:rsidR="006145DB" w:rsidRPr="002A2480" w:rsidRDefault="006145DB" w:rsidP="000E5732">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0.00</w:t>
            </w:r>
          </w:p>
        </w:tc>
      </w:tr>
      <w:tr w:rsidR="006145DB" w:rsidRPr="002A2480" w14:paraId="4DDDED0B" w14:textId="77777777" w:rsidTr="00D80992">
        <w:trPr>
          <w:trHeight w:val="407"/>
          <w:jc w:val="center"/>
        </w:trPr>
        <w:tc>
          <w:tcPr>
            <w:tcW w:w="0" w:type="auto"/>
            <w:vAlign w:val="center"/>
            <w:hideMark/>
          </w:tcPr>
          <w:p w14:paraId="3D025BDC" w14:textId="77777777" w:rsidR="006145DB" w:rsidRPr="002A2480" w:rsidRDefault="006145DB" w:rsidP="000E5732">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Significance level (α)</w:t>
            </w:r>
          </w:p>
        </w:tc>
        <w:tc>
          <w:tcPr>
            <w:tcW w:w="0" w:type="auto"/>
            <w:vAlign w:val="center"/>
            <w:hideMark/>
          </w:tcPr>
          <w:p w14:paraId="1E8ACCC2" w14:textId="77777777" w:rsidR="006145DB" w:rsidRPr="002A2480" w:rsidRDefault="006145DB" w:rsidP="000E5732">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0.05</w:t>
            </w:r>
          </w:p>
        </w:tc>
      </w:tr>
    </w:tbl>
    <w:p w14:paraId="55DB8C2C" w14:textId="77777777" w:rsidR="006145DB" w:rsidRPr="002A2480" w:rsidRDefault="006145DB" w:rsidP="006145DB">
      <w:pPr>
        <w:spacing w:line="240" w:lineRule="auto"/>
        <w:rPr>
          <w:rFonts w:ascii="Arial" w:hAnsi="Arial" w:cs="Arial"/>
          <w:sz w:val="20"/>
          <w:szCs w:val="20"/>
          <w:lang w:val="en-US"/>
        </w:rPr>
      </w:pPr>
    </w:p>
    <w:p w14:paraId="629D5145" w14:textId="146EC868" w:rsidR="006145DB" w:rsidRPr="002A2480" w:rsidRDefault="002A2480" w:rsidP="006145DB">
      <w:pPr>
        <w:spacing w:line="240" w:lineRule="auto"/>
        <w:rPr>
          <w:rFonts w:ascii="Arial" w:hAnsi="Arial" w:cs="Arial"/>
          <w:b/>
          <w:bCs/>
          <w:sz w:val="20"/>
          <w:szCs w:val="20"/>
        </w:rPr>
      </w:pPr>
      <w:r w:rsidRPr="002A2480">
        <w:rPr>
          <w:rFonts w:ascii="Arial" w:hAnsi="Arial" w:cs="Arial"/>
          <w:b/>
          <w:bCs/>
          <w:sz w:val="20"/>
          <w:szCs w:val="20"/>
          <w:lang w:val="en-US"/>
        </w:rPr>
        <w:t>3.7</w:t>
      </w:r>
      <w:r w:rsidR="006145DB" w:rsidRPr="002A2480">
        <w:rPr>
          <w:rFonts w:ascii="Arial" w:hAnsi="Arial" w:cs="Arial"/>
          <w:b/>
          <w:bCs/>
          <w:sz w:val="20"/>
          <w:szCs w:val="20"/>
          <w:lang w:val="en-US"/>
        </w:rPr>
        <w:t xml:space="preserve"> </w:t>
      </w:r>
      <w:r w:rsidR="006145DB" w:rsidRPr="002A2480">
        <w:rPr>
          <w:rFonts w:ascii="Arial" w:hAnsi="Arial" w:cs="Arial"/>
          <w:b/>
          <w:bCs/>
          <w:sz w:val="20"/>
          <w:szCs w:val="20"/>
        </w:rPr>
        <w:t xml:space="preserve">Factors influencing organic millet consumption expenditure - OLS regression analysis </w:t>
      </w:r>
    </w:p>
    <w:p w14:paraId="28AF08D3" w14:textId="19BD36BF" w:rsidR="006145DB" w:rsidRPr="002A2480" w:rsidRDefault="006145DB" w:rsidP="002A2480">
      <w:pPr>
        <w:spacing w:line="240" w:lineRule="auto"/>
        <w:ind w:firstLine="720"/>
        <w:jc w:val="both"/>
        <w:rPr>
          <w:rFonts w:ascii="Arial" w:hAnsi="Arial" w:cs="Arial"/>
          <w:sz w:val="20"/>
          <w:szCs w:val="20"/>
        </w:rPr>
      </w:pPr>
      <w:r w:rsidRPr="002A2480">
        <w:rPr>
          <w:rFonts w:ascii="Arial" w:hAnsi="Arial" w:cs="Arial"/>
          <w:sz w:val="20"/>
          <w:szCs w:val="20"/>
        </w:rPr>
        <w:t>Ordinary Least Squares (OLS) regression was conducted to examine the influence of socio-demographic and perception-based factors on monthly millet consumption expenditure. Descriptive statistics of variables included in the estimation is given in table</w:t>
      </w:r>
      <w:r w:rsidR="00DE30E0" w:rsidRPr="002A2480">
        <w:rPr>
          <w:rFonts w:ascii="Arial" w:hAnsi="Arial" w:cs="Arial"/>
          <w:sz w:val="20"/>
          <w:szCs w:val="20"/>
        </w:rPr>
        <w:t xml:space="preserve"> </w:t>
      </w:r>
      <w:r w:rsidR="00722C44">
        <w:rPr>
          <w:rFonts w:ascii="Arial" w:hAnsi="Arial" w:cs="Arial"/>
          <w:sz w:val="20"/>
          <w:szCs w:val="20"/>
        </w:rPr>
        <w:t>6</w:t>
      </w:r>
      <w:r w:rsidR="00DE30E0" w:rsidRPr="002A2480">
        <w:rPr>
          <w:rFonts w:ascii="Arial" w:hAnsi="Arial" w:cs="Arial"/>
          <w:sz w:val="20"/>
          <w:szCs w:val="20"/>
        </w:rPr>
        <w:t>.</w:t>
      </w:r>
      <w:r w:rsidRPr="002A2480">
        <w:rPr>
          <w:rFonts w:ascii="Arial" w:hAnsi="Arial" w:cs="Arial"/>
          <w:sz w:val="20"/>
          <w:szCs w:val="20"/>
        </w:rPr>
        <w:t xml:space="preserve"> </w:t>
      </w:r>
    </w:p>
    <w:p w14:paraId="5DF25A92" w14:textId="500E6ED0" w:rsidR="006145DB" w:rsidRPr="002A2480" w:rsidRDefault="006145DB" w:rsidP="006145DB">
      <w:pPr>
        <w:spacing w:line="240" w:lineRule="auto"/>
        <w:jc w:val="both"/>
        <w:rPr>
          <w:rFonts w:ascii="Arial" w:hAnsi="Arial" w:cs="Arial"/>
          <w:b/>
          <w:bCs/>
          <w:sz w:val="20"/>
          <w:szCs w:val="20"/>
        </w:rPr>
      </w:pPr>
      <w:bookmarkStart w:id="3" w:name="_Hlk209615559"/>
      <w:r w:rsidRPr="002A2480">
        <w:rPr>
          <w:rFonts w:ascii="Arial" w:hAnsi="Arial" w:cs="Arial"/>
          <w:b/>
          <w:bCs/>
          <w:sz w:val="20"/>
          <w:szCs w:val="20"/>
        </w:rPr>
        <w:lastRenderedPageBreak/>
        <w:t>Table</w:t>
      </w:r>
      <w:r w:rsidR="00DE30E0" w:rsidRPr="002A2480">
        <w:rPr>
          <w:rFonts w:ascii="Arial" w:hAnsi="Arial" w:cs="Arial"/>
          <w:b/>
          <w:bCs/>
          <w:sz w:val="20"/>
          <w:szCs w:val="20"/>
        </w:rPr>
        <w:t xml:space="preserve"> </w:t>
      </w:r>
      <w:r w:rsidR="00722C44">
        <w:rPr>
          <w:rFonts w:ascii="Arial" w:hAnsi="Arial" w:cs="Arial"/>
          <w:b/>
          <w:bCs/>
          <w:sz w:val="20"/>
          <w:szCs w:val="20"/>
        </w:rPr>
        <w:t>6</w:t>
      </w:r>
      <w:r w:rsidR="00DE30E0" w:rsidRPr="002A2480">
        <w:rPr>
          <w:rFonts w:ascii="Arial" w:hAnsi="Arial" w:cs="Arial"/>
          <w:b/>
          <w:bCs/>
          <w:sz w:val="20"/>
          <w:szCs w:val="20"/>
        </w:rPr>
        <w:t>.</w:t>
      </w:r>
      <w:r w:rsidRPr="002A2480">
        <w:rPr>
          <w:rFonts w:ascii="Arial" w:hAnsi="Arial" w:cs="Arial"/>
          <w:b/>
          <w:bCs/>
          <w:sz w:val="20"/>
          <w:szCs w:val="20"/>
        </w:rPr>
        <w:t xml:space="preserve"> Descriptive statistics of variables included in the estimation</w:t>
      </w:r>
    </w:p>
    <w:tbl>
      <w:tblPr>
        <w:tblStyle w:val="TableGrid"/>
        <w:tblW w:w="0" w:type="auto"/>
        <w:tblInd w:w="38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1500"/>
        <w:gridCol w:w="1360"/>
      </w:tblGrid>
      <w:tr w:rsidR="006145DB" w:rsidRPr="002A2480" w14:paraId="11B40BFE" w14:textId="77777777" w:rsidTr="00D80992">
        <w:trPr>
          <w:trHeight w:val="468"/>
        </w:trPr>
        <w:tc>
          <w:tcPr>
            <w:tcW w:w="4641" w:type="dxa"/>
            <w:tcBorders>
              <w:top w:val="single" w:sz="4" w:space="0" w:color="auto"/>
              <w:bottom w:val="single" w:sz="4" w:space="0" w:color="auto"/>
            </w:tcBorders>
            <w:vAlign w:val="center"/>
          </w:tcPr>
          <w:p w14:paraId="35897DAA" w14:textId="77777777" w:rsidR="006145DB" w:rsidRPr="002A2480" w:rsidRDefault="006145DB" w:rsidP="000E5732">
            <w:pPr>
              <w:jc w:val="center"/>
              <w:rPr>
                <w:rFonts w:ascii="Arial" w:hAnsi="Arial" w:cs="Arial"/>
                <w:b/>
                <w:bCs/>
                <w:sz w:val="20"/>
                <w:szCs w:val="20"/>
              </w:rPr>
            </w:pPr>
            <w:r w:rsidRPr="002A2480">
              <w:rPr>
                <w:rFonts w:ascii="Arial" w:hAnsi="Arial" w:cs="Arial"/>
                <w:b/>
                <w:bCs/>
                <w:sz w:val="20"/>
                <w:szCs w:val="20"/>
              </w:rPr>
              <w:t>Variable</w:t>
            </w:r>
          </w:p>
        </w:tc>
        <w:tc>
          <w:tcPr>
            <w:tcW w:w="1500" w:type="dxa"/>
            <w:tcBorders>
              <w:top w:val="single" w:sz="4" w:space="0" w:color="auto"/>
              <w:bottom w:val="single" w:sz="4" w:space="0" w:color="auto"/>
            </w:tcBorders>
            <w:vAlign w:val="center"/>
          </w:tcPr>
          <w:p w14:paraId="76A6A870" w14:textId="77777777" w:rsidR="006145DB" w:rsidRPr="002A2480" w:rsidRDefault="006145DB" w:rsidP="000E5732">
            <w:pPr>
              <w:jc w:val="center"/>
              <w:rPr>
                <w:rFonts w:ascii="Arial" w:hAnsi="Arial" w:cs="Arial"/>
                <w:b/>
                <w:bCs/>
                <w:sz w:val="20"/>
                <w:szCs w:val="20"/>
              </w:rPr>
            </w:pPr>
            <w:r w:rsidRPr="002A2480">
              <w:rPr>
                <w:rFonts w:ascii="Arial" w:hAnsi="Arial" w:cs="Arial"/>
                <w:b/>
                <w:bCs/>
                <w:sz w:val="20"/>
                <w:szCs w:val="20"/>
              </w:rPr>
              <w:t>Mean</w:t>
            </w:r>
          </w:p>
          <w:p w14:paraId="7298CE0A" w14:textId="77777777" w:rsidR="006145DB" w:rsidRPr="002A2480" w:rsidRDefault="006145DB" w:rsidP="000E5732">
            <w:pPr>
              <w:jc w:val="center"/>
              <w:rPr>
                <w:rFonts w:ascii="Arial" w:hAnsi="Arial" w:cs="Arial"/>
                <w:b/>
                <w:bCs/>
                <w:sz w:val="20"/>
                <w:szCs w:val="20"/>
              </w:rPr>
            </w:pPr>
            <w:r w:rsidRPr="002A2480">
              <w:rPr>
                <w:rFonts w:ascii="Arial" w:hAnsi="Arial" w:cs="Arial"/>
                <w:b/>
                <w:bCs/>
                <w:sz w:val="20"/>
                <w:szCs w:val="20"/>
              </w:rPr>
              <w:t xml:space="preserve"> (n = 120)</w:t>
            </w:r>
          </w:p>
        </w:tc>
        <w:tc>
          <w:tcPr>
            <w:tcW w:w="1360" w:type="dxa"/>
            <w:tcBorders>
              <w:top w:val="single" w:sz="4" w:space="0" w:color="auto"/>
              <w:bottom w:val="single" w:sz="4" w:space="0" w:color="auto"/>
            </w:tcBorders>
            <w:vAlign w:val="center"/>
          </w:tcPr>
          <w:p w14:paraId="6B25517D" w14:textId="77777777" w:rsidR="006145DB" w:rsidRPr="002A2480" w:rsidRDefault="006145DB" w:rsidP="000E5732">
            <w:pPr>
              <w:jc w:val="center"/>
              <w:rPr>
                <w:rFonts w:ascii="Arial" w:hAnsi="Arial" w:cs="Arial"/>
                <w:b/>
                <w:bCs/>
                <w:sz w:val="20"/>
                <w:szCs w:val="20"/>
              </w:rPr>
            </w:pPr>
            <w:r w:rsidRPr="002A2480">
              <w:rPr>
                <w:rFonts w:ascii="Arial" w:hAnsi="Arial" w:cs="Arial"/>
                <w:b/>
                <w:bCs/>
                <w:sz w:val="20"/>
                <w:szCs w:val="20"/>
              </w:rPr>
              <w:t>Standard deviation</w:t>
            </w:r>
          </w:p>
        </w:tc>
      </w:tr>
      <w:tr w:rsidR="006145DB" w:rsidRPr="002A2480" w14:paraId="4A2B931F" w14:textId="77777777" w:rsidTr="00D80992">
        <w:trPr>
          <w:trHeight w:val="468"/>
        </w:trPr>
        <w:tc>
          <w:tcPr>
            <w:tcW w:w="4641" w:type="dxa"/>
            <w:tcBorders>
              <w:top w:val="single" w:sz="4" w:space="0" w:color="auto"/>
            </w:tcBorders>
            <w:vAlign w:val="center"/>
          </w:tcPr>
          <w:p w14:paraId="433CD22F" w14:textId="77777777" w:rsidR="006145DB" w:rsidRPr="002A2480" w:rsidRDefault="006145DB" w:rsidP="000E5732">
            <w:pPr>
              <w:rPr>
                <w:rFonts w:ascii="Arial" w:hAnsi="Arial" w:cs="Arial"/>
                <w:sz w:val="20"/>
                <w:szCs w:val="20"/>
              </w:rPr>
            </w:pPr>
            <w:r w:rsidRPr="002A2480">
              <w:rPr>
                <w:rFonts w:ascii="Arial" w:hAnsi="Arial" w:cs="Arial"/>
                <w:sz w:val="20"/>
                <w:szCs w:val="20"/>
              </w:rPr>
              <w:t>Monthly household expenditure on OM (₹) *</w:t>
            </w:r>
          </w:p>
        </w:tc>
        <w:tc>
          <w:tcPr>
            <w:tcW w:w="1500" w:type="dxa"/>
            <w:tcBorders>
              <w:top w:val="single" w:sz="4" w:space="0" w:color="auto"/>
            </w:tcBorders>
            <w:vAlign w:val="center"/>
          </w:tcPr>
          <w:p w14:paraId="0F5836C9" w14:textId="77777777" w:rsidR="006145DB" w:rsidRPr="002A2480" w:rsidRDefault="006145DB" w:rsidP="000E5732">
            <w:pPr>
              <w:jc w:val="right"/>
              <w:rPr>
                <w:rFonts w:ascii="Arial" w:hAnsi="Arial" w:cs="Arial"/>
                <w:sz w:val="20"/>
                <w:szCs w:val="20"/>
              </w:rPr>
            </w:pPr>
            <w:r w:rsidRPr="002A2480">
              <w:rPr>
                <w:rFonts w:ascii="Arial" w:hAnsi="Arial" w:cs="Arial"/>
                <w:sz w:val="20"/>
                <w:szCs w:val="20"/>
              </w:rPr>
              <w:t>807.25</w:t>
            </w:r>
          </w:p>
        </w:tc>
        <w:tc>
          <w:tcPr>
            <w:tcW w:w="1360" w:type="dxa"/>
            <w:tcBorders>
              <w:top w:val="single" w:sz="4" w:space="0" w:color="auto"/>
            </w:tcBorders>
            <w:vAlign w:val="center"/>
          </w:tcPr>
          <w:p w14:paraId="463A6B1A" w14:textId="77777777" w:rsidR="006145DB" w:rsidRPr="002A2480" w:rsidRDefault="006145DB" w:rsidP="000E5732">
            <w:pPr>
              <w:jc w:val="right"/>
              <w:rPr>
                <w:rFonts w:ascii="Arial" w:hAnsi="Arial" w:cs="Arial"/>
                <w:sz w:val="20"/>
                <w:szCs w:val="20"/>
              </w:rPr>
            </w:pPr>
            <w:r w:rsidRPr="002A2480">
              <w:rPr>
                <w:rFonts w:ascii="Arial" w:hAnsi="Arial" w:cs="Arial"/>
                <w:sz w:val="20"/>
                <w:szCs w:val="20"/>
              </w:rPr>
              <w:t>337.54</w:t>
            </w:r>
          </w:p>
        </w:tc>
      </w:tr>
      <w:tr w:rsidR="006145DB" w:rsidRPr="002A2480" w14:paraId="24A28D51" w14:textId="77777777" w:rsidTr="00D80992">
        <w:trPr>
          <w:trHeight w:val="468"/>
        </w:trPr>
        <w:tc>
          <w:tcPr>
            <w:tcW w:w="4641" w:type="dxa"/>
            <w:vAlign w:val="center"/>
          </w:tcPr>
          <w:p w14:paraId="04B7DB77" w14:textId="77777777" w:rsidR="006145DB" w:rsidRPr="002A2480" w:rsidRDefault="006145DB" w:rsidP="000E5732">
            <w:pPr>
              <w:rPr>
                <w:rFonts w:ascii="Arial" w:hAnsi="Arial" w:cs="Arial"/>
                <w:sz w:val="20"/>
                <w:szCs w:val="20"/>
              </w:rPr>
            </w:pPr>
            <w:r w:rsidRPr="002A2480">
              <w:rPr>
                <w:rFonts w:ascii="Arial" w:hAnsi="Arial" w:cs="Arial"/>
                <w:sz w:val="20"/>
                <w:szCs w:val="20"/>
              </w:rPr>
              <w:t>Perceived availability (ordinal)</w:t>
            </w:r>
          </w:p>
        </w:tc>
        <w:tc>
          <w:tcPr>
            <w:tcW w:w="1500" w:type="dxa"/>
            <w:vAlign w:val="center"/>
          </w:tcPr>
          <w:p w14:paraId="1C6B177C" w14:textId="77777777" w:rsidR="006145DB" w:rsidRPr="002A2480" w:rsidRDefault="006145DB" w:rsidP="000E5732">
            <w:pPr>
              <w:jc w:val="right"/>
              <w:rPr>
                <w:rFonts w:ascii="Arial" w:hAnsi="Arial" w:cs="Arial"/>
                <w:sz w:val="20"/>
                <w:szCs w:val="20"/>
              </w:rPr>
            </w:pPr>
            <w:r w:rsidRPr="002A2480">
              <w:rPr>
                <w:rFonts w:ascii="Arial" w:hAnsi="Arial" w:cs="Arial"/>
                <w:sz w:val="20"/>
                <w:szCs w:val="20"/>
              </w:rPr>
              <w:t>2.25</w:t>
            </w:r>
          </w:p>
        </w:tc>
        <w:tc>
          <w:tcPr>
            <w:tcW w:w="1360" w:type="dxa"/>
            <w:vAlign w:val="center"/>
          </w:tcPr>
          <w:p w14:paraId="5370ACD0" w14:textId="77777777" w:rsidR="006145DB" w:rsidRPr="002A2480" w:rsidRDefault="006145DB" w:rsidP="000E5732">
            <w:pPr>
              <w:jc w:val="right"/>
              <w:rPr>
                <w:rFonts w:ascii="Arial" w:hAnsi="Arial" w:cs="Arial"/>
                <w:sz w:val="20"/>
                <w:szCs w:val="20"/>
              </w:rPr>
            </w:pPr>
            <w:r w:rsidRPr="002A2480">
              <w:rPr>
                <w:rFonts w:ascii="Arial" w:hAnsi="Arial" w:cs="Arial"/>
                <w:sz w:val="20"/>
                <w:szCs w:val="20"/>
              </w:rPr>
              <w:t>1.06</w:t>
            </w:r>
          </w:p>
        </w:tc>
      </w:tr>
      <w:tr w:rsidR="006145DB" w:rsidRPr="002A2480" w14:paraId="11562876" w14:textId="77777777" w:rsidTr="00D80992">
        <w:trPr>
          <w:trHeight w:val="468"/>
        </w:trPr>
        <w:tc>
          <w:tcPr>
            <w:tcW w:w="4641" w:type="dxa"/>
            <w:vAlign w:val="center"/>
          </w:tcPr>
          <w:p w14:paraId="0B142988" w14:textId="77777777" w:rsidR="006145DB" w:rsidRPr="002A2480" w:rsidRDefault="006145DB" w:rsidP="000E5732">
            <w:pPr>
              <w:rPr>
                <w:rFonts w:ascii="Arial" w:hAnsi="Arial" w:cs="Arial"/>
                <w:sz w:val="20"/>
                <w:szCs w:val="20"/>
              </w:rPr>
            </w:pPr>
            <w:r w:rsidRPr="002A2480">
              <w:rPr>
                <w:rFonts w:ascii="Arial" w:hAnsi="Arial" w:cs="Arial"/>
                <w:sz w:val="20"/>
                <w:szCs w:val="20"/>
              </w:rPr>
              <w:t>Gender</w:t>
            </w:r>
            <w:r w:rsidRPr="002A2480">
              <w:rPr>
                <w:rFonts w:ascii="Arial" w:hAnsi="Arial" w:cs="Arial"/>
                <w:sz w:val="20"/>
                <w:szCs w:val="20"/>
                <w:lang w:val="en-US"/>
              </w:rPr>
              <w:t xml:space="preserve"> (female = 1, male = 0</w:t>
            </w:r>
            <w:r w:rsidRPr="002A2480">
              <w:rPr>
                <w:rFonts w:ascii="Arial" w:hAnsi="Arial" w:cs="Arial"/>
                <w:sz w:val="20"/>
                <w:szCs w:val="20"/>
              </w:rPr>
              <w:t xml:space="preserve">)  </w:t>
            </w:r>
            <w:r w:rsidRPr="002A2480">
              <w:rPr>
                <w:rFonts w:ascii="Arial" w:hAnsi="Arial" w:cs="Arial"/>
                <w:sz w:val="20"/>
                <w:szCs w:val="20"/>
                <w:lang w:val="en-US"/>
              </w:rPr>
              <w:t xml:space="preserve"> </w:t>
            </w:r>
          </w:p>
        </w:tc>
        <w:tc>
          <w:tcPr>
            <w:tcW w:w="1500" w:type="dxa"/>
            <w:vAlign w:val="center"/>
          </w:tcPr>
          <w:p w14:paraId="1F89F65D" w14:textId="77777777" w:rsidR="006145DB" w:rsidRPr="002A2480" w:rsidRDefault="006145DB" w:rsidP="000E5732">
            <w:pPr>
              <w:jc w:val="right"/>
              <w:rPr>
                <w:rFonts w:ascii="Arial" w:hAnsi="Arial" w:cs="Arial"/>
                <w:sz w:val="20"/>
                <w:szCs w:val="20"/>
              </w:rPr>
            </w:pPr>
            <w:r w:rsidRPr="002A2480">
              <w:rPr>
                <w:rFonts w:ascii="Arial" w:hAnsi="Arial" w:cs="Arial"/>
                <w:sz w:val="20"/>
                <w:szCs w:val="20"/>
              </w:rPr>
              <w:t>0.41</w:t>
            </w:r>
          </w:p>
        </w:tc>
        <w:tc>
          <w:tcPr>
            <w:tcW w:w="1360" w:type="dxa"/>
            <w:vAlign w:val="center"/>
          </w:tcPr>
          <w:p w14:paraId="0ABD0ADB" w14:textId="77777777" w:rsidR="006145DB" w:rsidRPr="002A2480" w:rsidRDefault="006145DB" w:rsidP="000E5732">
            <w:pPr>
              <w:jc w:val="right"/>
              <w:rPr>
                <w:rFonts w:ascii="Arial" w:hAnsi="Arial" w:cs="Arial"/>
                <w:sz w:val="20"/>
                <w:szCs w:val="20"/>
              </w:rPr>
            </w:pPr>
            <w:r w:rsidRPr="002A2480">
              <w:rPr>
                <w:rFonts w:ascii="Arial" w:hAnsi="Arial" w:cs="Arial"/>
                <w:sz w:val="20"/>
                <w:szCs w:val="20"/>
              </w:rPr>
              <w:t>0.49</w:t>
            </w:r>
          </w:p>
        </w:tc>
      </w:tr>
      <w:tr w:rsidR="006145DB" w:rsidRPr="002A2480" w14:paraId="2CEEC80F" w14:textId="77777777" w:rsidTr="00D80992">
        <w:trPr>
          <w:trHeight w:val="455"/>
        </w:trPr>
        <w:tc>
          <w:tcPr>
            <w:tcW w:w="4641" w:type="dxa"/>
            <w:vAlign w:val="center"/>
          </w:tcPr>
          <w:p w14:paraId="315AF37C" w14:textId="77777777" w:rsidR="006145DB" w:rsidRPr="002A2480" w:rsidRDefault="006145DB" w:rsidP="000E5732">
            <w:pPr>
              <w:rPr>
                <w:rFonts w:ascii="Arial" w:hAnsi="Arial" w:cs="Arial"/>
                <w:sz w:val="20"/>
                <w:szCs w:val="20"/>
              </w:rPr>
            </w:pPr>
            <w:r w:rsidRPr="002A2480">
              <w:rPr>
                <w:rFonts w:ascii="Arial" w:hAnsi="Arial" w:cs="Arial"/>
                <w:sz w:val="20"/>
                <w:szCs w:val="20"/>
              </w:rPr>
              <w:t>Monthly household income (in lakh ₹)</w:t>
            </w:r>
          </w:p>
        </w:tc>
        <w:tc>
          <w:tcPr>
            <w:tcW w:w="1500" w:type="dxa"/>
            <w:vAlign w:val="center"/>
          </w:tcPr>
          <w:p w14:paraId="093BB3DE" w14:textId="77777777" w:rsidR="006145DB" w:rsidRPr="002A2480" w:rsidRDefault="006145DB" w:rsidP="000E5732">
            <w:pPr>
              <w:jc w:val="right"/>
              <w:rPr>
                <w:rFonts w:ascii="Arial" w:hAnsi="Arial" w:cs="Arial"/>
                <w:sz w:val="20"/>
                <w:szCs w:val="20"/>
              </w:rPr>
            </w:pPr>
            <w:r w:rsidRPr="002A2480">
              <w:rPr>
                <w:rFonts w:ascii="Arial" w:hAnsi="Arial" w:cs="Arial"/>
                <w:sz w:val="20"/>
                <w:szCs w:val="20"/>
              </w:rPr>
              <w:t>1.14</w:t>
            </w:r>
          </w:p>
        </w:tc>
        <w:tc>
          <w:tcPr>
            <w:tcW w:w="1360" w:type="dxa"/>
            <w:vAlign w:val="center"/>
          </w:tcPr>
          <w:p w14:paraId="526FFAA1" w14:textId="77777777" w:rsidR="006145DB" w:rsidRPr="002A2480" w:rsidRDefault="006145DB" w:rsidP="000E5732">
            <w:pPr>
              <w:jc w:val="right"/>
              <w:rPr>
                <w:rFonts w:ascii="Arial" w:hAnsi="Arial" w:cs="Arial"/>
                <w:sz w:val="20"/>
                <w:szCs w:val="20"/>
              </w:rPr>
            </w:pPr>
            <w:r w:rsidRPr="002A2480">
              <w:rPr>
                <w:rFonts w:ascii="Arial" w:hAnsi="Arial" w:cs="Arial"/>
                <w:sz w:val="20"/>
                <w:szCs w:val="20"/>
              </w:rPr>
              <w:t>0.98</w:t>
            </w:r>
          </w:p>
        </w:tc>
      </w:tr>
      <w:tr w:rsidR="006145DB" w:rsidRPr="002A2480" w14:paraId="7E2EF751" w14:textId="77777777" w:rsidTr="00D80992">
        <w:trPr>
          <w:trHeight w:val="468"/>
        </w:trPr>
        <w:tc>
          <w:tcPr>
            <w:tcW w:w="4641" w:type="dxa"/>
            <w:vAlign w:val="center"/>
          </w:tcPr>
          <w:p w14:paraId="5F7DAB8F" w14:textId="77777777" w:rsidR="006145DB" w:rsidRPr="002A2480" w:rsidRDefault="006145DB" w:rsidP="000E5732">
            <w:pPr>
              <w:rPr>
                <w:rFonts w:ascii="Arial" w:hAnsi="Arial" w:cs="Arial"/>
                <w:sz w:val="20"/>
                <w:szCs w:val="20"/>
              </w:rPr>
            </w:pPr>
            <w:r w:rsidRPr="002A2480">
              <w:rPr>
                <w:rFonts w:ascii="Arial" w:hAnsi="Arial" w:cs="Arial"/>
                <w:sz w:val="20"/>
                <w:szCs w:val="20"/>
              </w:rPr>
              <w:t>Education (years)</w:t>
            </w:r>
          </w:p>
        </w:tc>
        <w:tc>
          <w:tcPr>
            <w:tcW w:w="1500" w:type="dxa"/>
            <w:vAlign w:val="center"/>
          </w:tcPr>
          <w:p w14:paraId="732B6B0E" w14:textId="77777777" w:rsidR="006145DB" w:rsidRPr="002A2480" w:rsidRDefault="006145DB" w:rsidP="000E5732">
            <w:pPr>
              <w:jc w:val="right"/>
              <w:rPr>
                <w:rFonts w:ascii="Arial" w:hAnsi="Arial" w:cs="Arial"/>
                <w:sz w:val="20"/>
                <w:szCs w:val="20"/>
              </w:rPr>
            </w:pPr>
            <w:r w:rsidRPr="002A2480">
              <w:rPr>
                <w:rFonts w:ascii="Arial" w:hAnsi="Arial" w:cs="Arial"/>
                <w:sz w:val="20"/>
                <w:szCs w:val="20"/>
              </w:rPr>
              <w:t>11.05</w:t>
            </w:r>
          </w:p>
        </w:tc>
        <w:tc>
          <w:tcPr>
            <w:tcW w:w="1360" w:type="dxa"/>
            <w:vAlign w:val="center"/>
          </w:tcPr>
          <w:p w14:paraId="63B6FDAE" w14:textId="77777777" w:rsidR="006145DB" w:rsidRPr="002A2480" w:rsidRDefault="006145DB" w:rsidP="000E5732">
            <w:pPr>
              <w:jc w:val="right"/>
              <w:rPr>
                <w:rFonts w:ascii="Arial" w:hAnsi="Arial" w:cs="Arial"/>
                <w:sz w:val="20"/>
                <w:szCs w:val="20"/>
              </w:rPr>
            </w:pPr>
            <w:r w:rsidRPr="002A2480">
              <w:rPr>
                <w:rFonts w:ascii="Arial" w:hAnsi="Arial" w:cs="Arial"/>
                <w:sz w:val="20"/>
                <w:szCs w:val="20"/>
              </w:rPr>
              <w:t>1.83</w:t>
            </w:r>
          </w:p>
        </w:tc>
      </w:tr>
      <w:tr w:rsidR="006145DB" w:rsidRPr="002A2480" w14:paraId="585585CC" w14:textId="77777777" w:rsidTr="00D80992">
        <w:trPr>
          <w:trHeight w:val="468"/>
        </w:trPr>
        <w:tc>
          <w:tcPr>
            <w:tcW w:w="4641" w:type="dxa"/>
            <w:vAlign w:val="center"/>
          </w:tcPr>
          <w:p w14:paraId="6AD2C8F9" w14:textId="77777777" w:rsidR="006145DB" w:rsidRPr="002A2480" w:rsidRDefault="006145DB" w:rsidP="000E5732">
            <w:pPr>
              <w:tabs>
                <w:tab w:val="left" w:pos="2966"/>
              </w:tabs>
              <w:rPr>
                <w:rFonts w:ascii="Arial" w:hAnsi="Arial" w:cs="Arial"/>
                <w:sz w:val="20"/>
                <w:szCs w:val="20"/>
              </w:rPr>
            </w:pPr>
            <w:r w:rsidRPr="002A2480">
              <w:rPr>
                <w:rFonts w:ascii="Arial" w:hAnsi="Arial" w:cs="Arial"/>
                <w:sz w:val="20"/>
                <w:szCs w:val="20"/>
              </w:rPr>
              <w:t>Certification Preference (yes = 1, no = 0)</w:t>
            </w:r>
          </w:p>
        </w:tc>
        <w:tc>
          <w:tcPr>
            <w:tcW w:w="1500" w:type="dxa"/>
            <w:vAlign w:val="center"/>
          </w:tcPr>
          <w:p w14:paraId="3374DDB0" w14:textId="77777777" w:rsidR="006145DB" w:rsidRPr="002A2480" w:rsidRDefault="006145DB" w:rsidP="000E5732">
            <w:pPr>
              <w:jc w:val="right"/>
              <w:rPr>
                <w:rFonts w:ascii="Arial" w:hAnsi="Arial" w:cs="Arial"/>
                <w:sz w:val="20"/>
                <w:szCs w:val="20"/>
              </w:rPr>
            </w:pPr>
            <w:r w:rsidRPr="002A2480">
              <w:rPr>
                <w:rFonts w:ascii="Arial" w:hAnsi="Arial" w:cs="Arial"/>
                <w:sz w:val="20"/>
                <w:szCs w:val="20"/>
              </w:rPr>
              <w:t>0.48</w:t>
            </w:r>
          </w:p>
        </w:tc>
        <w:tc>
          <w:tcPr>
            <w:tcW w:w="1360" w:type="dxa"/>
            <w:vAlign w:val="center"/>
          </w:tcPr>
          <w:p w14:paraId="25696BB3" w14:textId="77777777" w:rsidR="006145DB" w:rsidRPr="002A2480" w:rsidRDefault="006145DB" w:rsidP="000E5732">
            <w:pPr>
              <w:jc w:val="right"/>
              <w:rPr>
                <w:rFonts w:ascii="Arial" w:hAnsi="Arial" w:cs="Arial"/>
                <w:sz w:val="20"/>
                <w:szCs w:val="20"/>
              </w:rPr>
            </w:pPr>
            <w:r w:rsidRPr="002A2480">
              <w:rPr>
                <w:rFonts w:ascii="Arial" w:hAnsi="Arial" w:cs="Arial"/>
                <w:sz w:val="20"/>
                <w:szCs w:val="20"/>
              </w:rPr>
              <w:t>0.5</w:t>
            </w:r>
          </w:p>
        </w:tc>
      </w:tr>
    </w:tbl>
    <w:p w14:paraId="63FABFCB" w14:textId="421A8E58" w:rsidR="006145DB" w:rsidRPr="002A2480" w:rsidRDefault="006145DB" w:rsidP="006145DB">
      <w:pPr>
        <w:spacing w:line="240" w:lineRule="auto"/>
        <w:jc w:val="both"/>
        <w:rPr>
          <w:rFonts w:ascii="Arial" w:hAnsi="Arial" w:cs="Arial"/>
          <w:sz w:val="20"/>
          <w:szCs w:val="20"/>
        </w:rPr>
      </w:pPr>
      <w:r w:rsidRPr="002A2480">
        <w:rPr>
          <w:rFonts w:ascii="Arial" w:hAnsi="Arial" w:cs="Arial"/>
          <w:sz w:val="20"/>
          <w:szCs w:val="20"/>
          <w:lang w:val="en-US"/>
        </w:rPr>
        <w:t>Note: Dependent variable</w:t>
      </w:r>
    </w:p>
    <w:bookmarkEnd w:id="3"/>
    <w:p w14:paraId="2ADF2868" w14:textId="41FD5886" w:rsidR="006145DB" w:rsidRPr="002A2480" w:rsidRDefault="006145DB" w:rsidP="006145DB">
      <w:pPr>
        <w:spacing w:line="240" w:lineRule="auto"/>
        <w:rPr>
          <w:rFonts w:ascii="Arial" w:hAnsi="Arial" w:cs="Arial"/>
          <w:b/>
          <w:bCs/>
          <w:sz w:val="20"/>
          <w:szCs w:val="20"/>
        </w:rPr>
      </w:pPr>
      <w:r w:rsidRPr="002A2480">
        <w:rPr>
          <w:rFonts w:ascii="Arial" w:hAnsi="Arial" w:cs="Arial"/>
          <w:b/>
          <w:bCs/>
          <w:sz w:val="20"/>
          <w:szCs w:val="20"/>
        </w:rPr>
        <w:t xml:space="preserve">Table </w:t>
      </w:r>
      <w:r w:rsidR="00722C44">
        <w:rPr>
          <w:rFonts w:ascii="Arial" w:hAnsi="Arial" w:cs="Arial"/>
          <w:b/>
          <w:bCs/>
          <w:sz w:val="20"/>
          <w:szCs w:val="20"/>
        </w:rPr>
        <w:t>7</w:t>
      </w:r>
      <w:r w:rsidRPr="002A2480">
        <w:rPr>
          <w:rFonts w:ascii="Arial" w:hAnsi="Arial" w:cs="Arial"/>
          <w:b/>
          <w:bCs/>
          <w:sz w:val="20"/>
          <w:szCs w:val="20"/>
        </w:rPr>
        <w:t>. Organic millet consumption expenditure and socio-economic determinants: OLS regression estimates</w:t>
      </w:r>
    </w:p>
    <w:tbl>
      <w:tblPr>
        <w:tblpPr w:leftFromText="180" w:rightFromText="180" w:vertAnchor="text" w:horzAnchor="margin" w:tblpY="-95"/>
        <w:tblW w:w="8428" w:type="dxa"/>
        <w:tblBorders>
          <w:top w:val="single" w:sz="4" w:space="0" w:color="auto"/>
          <w:bottom w:val="single" w:sz="4" w:space="0" w:color="auto"/>
        </w:tblBorders>
        <w:tblLook w:val="04A0" w:firstRow="1" w:lastRow="0" w:firstColumn="1" w:lastColumn="0" w:noHBand="0" w:noVBand="1"/>
      </w:tblPr>
      <w:tblGrid>
        <w:gridCol w:w="3620"/>
        <w:gridCol w:w="1894"/>
        <w:gridCol w:w="1534"/>
        <w:gridCol w:w="1380"/>
      </w:tblGrid>
      <w:tr w:rsidR="00DE30E0" w:rsidRPr="002A2480" w14:paraId="15178ACD" w14:textId="77777777" w:rsidTr="00D80992">
        <w:trPr>
          <w:trHeight w:val="416"/>
        </w:trPr>
        <w:tc>
          <w:tcPr>
            <w:tcW w:w="3620" w:type="dxa"/>
            <w:tcBorders>
              <w:top w:val="single" w:sz="4" w:space="0" w:color="auto"/>
              <w:bottom w:val="single" w:sz="4" w:space="0" w:color="auto"/>
            </w:tcBorders>
            <w:vAlign w:val="center"/>
            <w:hideMark/>
          </w:tcPr>
          <w:p w14:paraId="454761FE" w14:textId="77777777" w:rsidR="00DE30E0" w:rsidRPr="002A2480" w:rsidRDefault="00DE30E0" w:rsidP="00DE30E0">
            <w:pPr>
              <w:spacing w:after="0" w:line="240" w:lineRule="auto"/>
              <w:jc w:val="center"/>
              <w:rPr>
                <w:rFonts w:ascii="Arial" w:eastAsia="Times New Roman" w:hAnsi="Arial" w:cs="Arial"/>
                <w:b/>
                <w:bCs/>
                <w:color w:val="000000"/>
                <w:sz w:val="20"/>
                <w:szCs w:val="20"/>
                <w:lang w:eastAsia="en-IN"/>
              </w:rPr>
            </w:pPr>
            <w:bookmarkStart w:id="4" w:name="_Hlk197950691"/>
            <w:r w:rsidRPr="002A2480">
              <w:rPr>
                <w:rFonts w:ascii="Arial" w:eastAsia="Times New Roman" w:hAnsi="Arial" w:cs="Arial"/>
                <w:b/>
                <w:bCs/>
                <w:color w:val="000000"/>
                <w:sz w:val="20"/>
                <w:szCs w:val="20"/>
                <w:lang w:eastAsia="en-IN"/>
              </w:rPr>
              <w:t>Predictor</w:t>
            </w:r>
          </w:p>
        </w:tc>
        <w:tc>
          <w:tcPr>
            <w:tcW w:w="1894" w:type="dxa"/>
            <w:tcBorders>
              <w:top w:val="single" w:sz="4" w:space="0" w:color="auto"/>
              <w:bottom w:val="single" w:sz="4" w:space="0" w:color="auto"/>
            </w:tcBorders>
            <w:vAlign w:val="center"/>
            <w:hideMark/>
          </w:tcPr>
          <w:p w14:paraId="5E87228A" w14:textId="77777777" w:rsidR="00DE30E0" w:rsidRPr="002A2480" w:rsidRDefault="00DE30E0" w:rsidP="00DE30E0">
            <w:pPr>
              <w:spacing w:after="0" w:line="240" w:lineRule="auto"/>
              <w:jc w:val="center"/>
              <w:rPr>
                <w:rFonts w:ascii="Arial" w:eastAsia="Times New Roman" w:hAnsi="Arial" w:cs="Arial"/>
                <w:b/>
                <w:bCs/>
                <w:color w:val="000000"/>
                <w:sz w:val="20"/>
                <w:szCs w:val="20"/>
                <w:lang w:eastAsia="en-IN"/>
              </w:rPr>
            </w:pPr>
            <w:r w:rsidRPr="002A2480">
              <w:rPr>
                <w:rFonts w:ascii="Arial" w:eastAsia="Times New Roman" w:hAnsi="Arial" w:cs="Arial"/>
                <w:b/>
                <w:bCs/>
                <w:color w:val="000000"/>
                <w:sz w:val="20"/>
                <w:szCs w:val="20"/>
                <w:lang w:eastAsia="en-IN"/>
              </w:rPr>
              <w:t>Coefficient (β)</w:t>
            </w:r>
          </w:p>
        </w:tc>
        <w:tc>
          <w:tcPr>
            <w:tcW w:w="1534" w:type="dxa"/>
            <w:tcBorders>
              <w:top w:val="single" w:sz="4" w:space="0" w:color="auto"/>
              <w:bottom w:val="single" w:sz="4" w:space="0" w:color="auto"/>
            </w:tcBorders>
            <w:vAlign w:val="center"/>
            <w:hideMark/>
          </w:tcPr>
          <w:p w14:paraId="0144FD1A" w14:textId="77777777" w:rsidR="00DE30E0" w:rsidRPr="002A2480" w:rsidRDefault="00DE30E0" w:rsidP="00DE30E0">
            <w:pPr>
              <w:spacing w:after="0" w:line="240" w:lineRule="auto"/>
              <w:jc w:val="center"/>
              <w:rPr>
                <w:rFonts w:ascii="Arial" w:eastAsia="Times New Roman" w:hAnsi="Arial" w:cs="Arial"/>
                <w:b/>
                <w:bCs/>
                <w:color w:val="000000"/>
                <w:sz w:val="20"/>
                <w:szCs w:val="20"/>
                <w:lang w:eastAsia="en-IN"/>
              </w:rPr>
            </w:pPr>
            <w:r w:rsidRPr="002A2480">
              <w:rPr>
                <w:rFonts w:ascii="Arial" w:eastAsia="Times New Roman" w:hAnsi="Arial" w:cs="Arial"/>
                <w:b/>
                <w:bCs/>
                <w:color w:val="000000"/>
                <w:sz w:val="20"/>
                <w:szCs w:val="20"/>
                <w:lang w:eastAsia="en-IN"/>
              </w:rPr>
              <w:t>Standard Error</w:t>
            </w:r>
          </w:p>
        </w:tc>
        <w:tc>
          <w:tcPr>
            <w:tcW w:w="1380" w:type="dxa"/>
            <w:tcBorders>
              <w:top w:val="single" w:sz="4" w:space="0" w:color="auto"/>
              <w:bottom w:val="single" w:sz="4" w:space="0" w:color="auto"/>
            </w:tcBorders>
            <w:vAlign w:val="center"/>
            <w:hideMark/>
          </w:tcPr>
          <w:p w14:paraId="4EAE7050" w14:textId="77777777" w:rsidR="00DE30E0" w:rsidRPr="002A2480" w:rsidRDefault="00DE30E0" w:rsidP="00DE30E0">
            <w:pPr>
              <w:spacing w:after="0" w:line="240" w:lineRule="auto"/>
              <w:jc w:val="center"/>
              <w:rPr>
                <w:rFonts w:ascii="Arial" w:eastAsia="Times New Roman" w:hAnsi="Arial" w:cs="Arial"/>
                <w:b/>
                <w:bCs/>
                <w:color w:val="000000"/>
                <w:sz w:val="20"/>
                <w:szCs w:val="20"/>
                <w:lang w:eastAsia="en-IN"/>
              </w:rPr>
            </w:pPr>
            <w:r w:rsidRPr="002A2480">
              <w:rPr>
                <w:rFonts w:ascii="Arial" w:eastAsia="Times New Roman" w:hAnsi="Arial" w:cs="Arial"/>
                <w:b/>
                <w:bCs/>
                <w:color w:val="000000"/>
                <w:sz w:val="20"/>
                <w:szCs w:val="20"/>
                <w:lang w:eastAsia="en-IN"/>
              </w:rPr>
              <w:t>p-Value</w:t>
            </w:r>
          </w:p>
        </w:tc>
      </w:tr>
      <w:tr w:rsidR="00DE30E0" w:rsidRPr="002A2480" w14:paraId="2E1DCB74" w14:textId="77777777" w:rsidTr="00D80992">
        <w:trPr>
          <w:trHeight w:val="429"/>
        </w:trPr>
        <w:tc>
          <w:tcPr>
            <w:tcW w:w="3620" w:type="dxa"/>
            <w:tcBorders>
              <w:top w:val="single" w:sz="4" w:space="0" w:color="auto"/>
            </w:tcBorders>
            <w:vAlign w:val="center"/>
            <w:hideMark/>
          </w:tcPr>
          <w:p w14:paraId="4334A254" w14:textId="77777777" w:rsidR="00DE30E0" w:rsidRPr="002A2480" w:rsidRDefault="00DE30E0" w:rsidP="00DE30E0">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Availability</w:t>
            </w:r>
          </w:p>
        </w:tc>
        <w:tc>
          <w:tcPr>
            <w:tcW w:w="1894" w:type="dxa"/>
            <w:tcBorders>
              <w:top w:val="single" w:sz="4" w:space="0" w:color="auto"/>
            </w:tcBorders>
            <w:vAlign w:val="center"/>
            <w:hideMark/>
          </w:tcPr>
          <w:p w14:paraId="554451C6" w14:textId="77777777" w:rsidR="00DE30E0" w:rsidRPr="002A2480" w:rsidRDefault="00DE30E0" w:rsidP="00DE30E0">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239.75***</w:t>
            </w:r>
          </w:p>
        </w:tc>
        <w:tc>
          <w:tcPr>
            <w:tcW w:w="1534" w:type="dxa"/>
            <w:tcBorders>
              <w:top w:val="single" w:sz="4" w:space="0" w:color="auto"/>
            </w:tcBorders>
            <w:vAlign w:val="center"/>
            <w:hideMark/>
          </w:tcPr>
          <w:p w14:paraId="3901E9EE" w14:textId="77777777" w:rsidR="00DE30E0" w:rsidRPr="002A2480" w:rsidRDefault="00DE30E0" w:rsidP="00DE30E0">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15.98</w:t>
            </w:r>
          </w:p>
        </w:tc>
        <w:tc>
          <w:tcPr>
            <w:tcW w:w="1380" w:type="dxa"/>
            <w:tcBorders>
              <w:top w:val="single" w:sz="4" w:space="0" w:color="auto"/>
            </w:tcBorders>
            <w:vAlign w:val="center"/>
            <w:hideMark/>
          </w:tcPr>
          <w:p w14:paraId="19781080" w14:textId="77777777" w:rsidR="00DE30E0" w:rsidRPr="002A2480" w:rsidRDefault="00DE30E0" w:rsidP="00DE30E0">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0.00</w:t>
            </w:r>
          </w:p>
        </w:tc>
      </w:tr>
      <w:tr w:rsidR="00DE30E0" w:rsidRPr="002A2480" w14:paraId="774A2DA3" w14:textId="77777777" w:rsidTr="00D80992">
        <w:trPr>
          <w:trHeight w:val="342"/>
        </w:trPr>
        <w:tc>
          <w:tcPr>
            <w:tcW w:w="3620" w:type="dxa"/>
            <w:vAlign w:val="center"/>
            <w:hideMark/>
          </w:tcPr>
          <w:p w14:paraId="4812E985" w14:textId="77777777" w:rsidR="00DE30E0" w:rsidRPr="002A2480" w:rsidRDefault="00DE30E0" w:rsidP="00DE30E0">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Gender</w:t>
            </w:r>
          </w:p>
        </w:tc>
        <w:tc>
          <w:tcPr>
            <w:tcW w:w="1894" w:type="dxa"/>
            <w:vAlign w:val="center"/>
            <w:hideMark/>
          </w:tcPr>
          <w:p w14:paraId="18957EFE" w14:textId="77777777" w:rsidR="00DE30E0" w:rsidRPr="002A2480" w:rsidRDefault="00DE30E0" w:rsidP="00DE30E0">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14.60</w:t>
            </w:r>
          </w:p>
        </w:tc>
        <w:tc>
          <w:tcPr>
            <w:tcW w:w="1534" w:type="dxa"/>
            <w:vAlign w:val="center"/>
            <w:hideMark/>
          </w:tcPr>
          <w:p w14:paraId="3A358A6D" w14:textId="77777777" w:rsidR="00DE30E0" w:rsidRPr="002A2480" w:rsidRDefault="00DE30E0" w:rsidP="00DE30E0">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28.67</w:t>
            </w:r>
          </w:p>
        </w:tc>
        <w:tc>
          <w:tcPr>
            <w:tcW w:w="1380" w:type="dxa"/>
            <w:vAlign w:val="center"/>
            <w:hideMark/>
          </w:tcPr>
          <w:p w14:paraId="330C3B42" w14:textId="77777777" w:rsidR="00DE30E0" w:rsidRPr="002A2480" w:rsidRDefault="00DE30E0" w:rsidP="00DE30E0">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0.61</w:t>
            </w:r>
          </w:p>
        </w:tc>
      </w:tr>
      <w:tr w:rsidR="00DE30E0" w:rsidRPr="002A2480" w14:paraId="5AF6888E" w14:textId="77777777" w:rsidTr="00D80992">
        <w:trPr>
          <w:trHeight w:val="388"/>
        </w:trPr>
        <w:tc>
          <w:tcPr>
            <w:tcW w:w="3620" w:type="dxa"/>
            <w:vAlign w:val="center"/>
            <w:hideMark/>
          </w:tcPr>
          <w:p w14:paraId="73C5BE2C" w14:textId="77777777" w:rsidR="00DE30E0" w:rsidRPr="002A2480" w:rsidRDefault="00DE30E0" w:rsidP="00DE30E0">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Monthly household income</w:t>
            </w:r>
          </w:p>
        </w:tc>
        <w:tc>
          <w:tcPr>
            <w:tcW w:w="1894" w:type="dxa"/>
            <w:vAlign w:val="center"/>
            <w:hideMark/>
          </w:tcPr>
          <w:p w14:paraId="041D96D9" w14:textId="77777777" w:rsidR="00DE30E0" w:rsidRPr="002A2480" w:rsidRDefault="00DE30E0" w:rsidP="00DE30E0">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43.47**</w:t>
            </w:r>
          </w:p>
        </w:tc>
        <w:tc>
          <w:tcPr>
            <w:tcW w:w="1534" w:type="dxa"/>
            <w:vAlign w:val="center"/>
            <w:hideMark/>
          </w:tcPr>
          <w:p w14:paraId="7E30B5DB" w14:textId="77777777" w:rsidR="00DE30E0" w:rsidRPr="002A2480" w:rsidRDefault="00DE30E0" w:rsidP="00DE30E0">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0.00</w:t>
            </w:r>
          </w:p>
        </w:tc>
        <w:tc>
          <w:tcPr>
            <w:tcW w:w="1380" w:type="dxa"/>
            <w:vAlign w:val="center"/>
            <w:hideMark/>
          </w:tcPr>
          <w:p w14:paraId="2DBD8726" w14:textId="77777777" w:rsidR="00DE30E0" w:rsidRPr="002A2480" w:rsidRDefault="00DE30E0" w:rsidP="00DE30E0">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0.01</w:t>
            </w:r>
          </w:p>
        </w:tc>
      </w:tr>
      <w:tr w:rsidR="00DE30E0" w:rsidRPr="002A2480" w14:paraId="48537559" w14:textId="77777777" w:rsidTr="00D80992">
        <w:trPr>
          <w:trHeight w:val="429"/>
        </w:trPr>
        <w:tc>
          <w:tcPr>
            <w:tcW w:w="3620" w:type="dxa"/>
            <w:vAlign w:val="center"/>
            <w:hideMark/>
          </w:tcPr>
          <w:p w14:paraId="3EE1A1ED" w14:textId="77777777" w:rsidR="00DE30E0" w:rsidRPr="002A2480" w:rsidRDefault="00DE30E0" w:rsidP="00DE30E0">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Education</w:t>
            </w:r>
          </w:p>
        </w:tc>
        <w:tc>
          <w:tcPr>
            <w:tcW w:w="1894" w:type="dxa"/>
            <w:vAlign w:val="center"/>
            <w:hideMark/>
          </w:tcPr>
          <w:p w14:paraId="710DE1FA" w14:textId="77777777" w:rsidR="00DE30E0" w:rsidRPr="002A2480" w:rsidRDefault="00DE30E0" w:rsidP="00DE30E0">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29.61***</w:t>
            </w:r>
          </w:p>
        </w:tc>
        <w:tc>
          <w:tcPr>
            <w:tcW w:w="1534" w:type="dxa"/>
            <w:vAlign w:val="center"/>
            <w:hideMark/>
          </w:tcPr>
          <w:p w14:paraId="3CA32EB4" w14:textId="77777777" w:rsidR="00DE30E0" w:rsidRPr="002A2480" w:rsidRDefault="00DE30E0" w:rsidP="00DE30E0">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9.12</w:t>
            </w:r>
          </w:p>
        </w:tc>
        <w:tc>
          <w:tcPr>
            <w:tcW w:w="1380" w:type="dxa"/>
            <w:vAlign w:val="center"/>
            <w:hideMark/>
          </w:tcPr>
          <w:p w14:paraId="5B438508" w14:textId="77777777" w:rsidR="00DE30E0" w:rsidRPr="002A2480" w:rsidRDefault="00DE30E0" w:rsidP="00DE30E0">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0.00</w:t>
            </w:r>
          </w:p>
        </w:tc>
      </w:tr>
      <w:tr w:rsidR="00DE30E0" w:rsidRPr="002A2480" w14:paraId="5808565B" w14:textId="77777777" w:rsidTr="00D80992">
        <w:trPr>
          <w:trHeight w:val="303"/>
        </w:trPr>
        <w:tc>
          <w:tcPr>
            <w:tcW w:w="3620" w:type="dxa"/>
            <w:vAlign w:val="center"/>
            <w:hideMark/>
          </w:tcPr>
          <w:p w14:paraId="44C9B152" w14:textId="77777777" w:rsidR="00DE30E0" w:rsidRPr="002A2480" w:rsidRDefault="00DE30E0" w:rsidP="00DE30E0">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 xml:space="preserve">Certification Preference </w:t>
            </w:r>
          </w:p>
        </w:tc>
        <w:tc>
          <w:tcPr>
            <w:tcW w:w="1894" w:type="dxa"/>
            <w:vAlign w:val="center"/>
            <w:hideMark/>
          </w:tcPr>
          <w:p w14:paraId="08A47667" w14:textId="77777777" w:rsidR="00DE30E0" w:rsidRPr="002A2480" w:rsidRDefault="00DE30E0" w:rsidP="00DE30E0">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-71.18**</w:t>
            </w:r>
          </w:p>
        </w:tc>
        <w:tc>
          <w:tcPr>
            <w:tcW w:w="1534" w:type="dxa"/>
            <w:vAlign w:val="center"/>
            <w:hideMark/>
          </w:tcPr>
          <w:p w14:paraId="285EF834" w14:textId="77777777" w:rsidR="00DE30E0" w:rsidRPr="002A2480" w:rsidRDefault="00DE30E0" w:rsidP="00DE30E0">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28.73</w:t>
            </w:r>
          </w:p>
        </w:tc>
        <w:tc>
          <w:tcPr>
            <w:tcW w:w="1380" w:type="dxa"/>
            <w:vAlign w:val="center"/>
            <w:hideMark/>
          </w:tcPr>
          <w:p w14:paraId="5E64B1DD" w14:textId="77777777" w:rsidR="00DE30E0" w:rsidRPr="002A2480" w:rsidRDefault="00DE30E0" w:rsidP="00DE30E0">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0.01</w:t>
            </w:r>
          </w:p>
        </w:tc>
      </w:tr>
      <w:tr w:rsidR="00DE30E0" w:rsidRPr="002A2480" w14:paraId="17679030" w14:textId="77777777" w:rsidTr="00D80992">
        <w:trPr>
          <w:trHeight w:val="388"/>
        </w:trPr>
        <w:tc>
          <w:tcPr>
            <w:tcW w:w="3620" w:type="dxa"/>
            <w:vAlign w:val="center"/>
          </w:tcPr>
          <w:p w14:paraId="52E5D08D" w14:textId="77777777" w:rsidR="00DE30E0" w:rsidRPr="002A2480" w:rsidRDefault="00DE30E0" w:rsidP="00DE30E0">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Constant</w:t>
            </w:r>
          </w:p>
        </w:tc>
        <w:tc>
          <w:tcPr>
            <w:tcW w:w="1894" w:type="dxa"/>
            <w:noWrap/>
            <w:vAlign w:val="center"/>
          </w:tcPr>
          <w:p w14:paraId="557E95DA" w14:textId="77777777" w:rsidR="00DE30E0" w:rsidRPr="002A2480" w:rsidRDefault="00DE30E0" w:rsidP="00DE30E0">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-80.99</w:t>
            </w:r>
          </w:p>
        </w:tc>
        <w:tc>
          <w:tcPr>
            <w:tcW w:w="1534" w:type="dxa"/>
            <w:noWrap/>
            <w:vAlign w:val="center"/>
          </w:tcPr>
          <w:p w14:paraId="7447A3DC" w14:textId="77777777" w:rsidR="00DE30E0" w:rsidRPr="002A2480" w:rsidRDefault="00DE30E0" w:rsidP="00DE30E0">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91.58</w:t>
            </w:r>
          </w:p>
        </w:tc>
        <w:tc>
          <w:tcPr>
            <w:tcW w:w="1380" w:type="dxa"/>
            <w:noWrap/>
            <w:vAlign w:val="center"/>
          </w:tcPr>
          <w:p w14:paraId="7B661CB0" w14:textId="77777777" w:rsidR="00DE30E0" w:rsidRPr="002A2480" w:rsidRDefault="00DE30E0" w:rsidP="00DE30E0">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0.37</w:t>
            </w:r>
          </w:p>
        </w:tc>
      </w:tr>
      <w:tr w:rsidR="00DE30E0" w:rsidRPr="002A2480" w14:paraId="43CE16A7" w14:textId="77777777" w:rsidTr="00D80992">
        <w:trPr>
          <w:trHeight w:val="388"/>
        </w:trPr>
        <w:tc>
          <w:tcPr>
            <w:tcW w:w="3620" w:type="dxa"/>
            <w:vAlign w:val="center"/>
            <w:hideMark/>
          </w:tcPr>
          <w:p w14:paraId="7B134BD7" w14:textId="77777777" w:rsidR="00DE30E0" w:rsidRPr="002A2480" w:rsidRDefault="00DE30E0" w:rsidP="00DE30E0">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R-squared</w:t>
            </w:r>
          </w:p>
        </w:tc>
        <w:tc>
          <w:tcPr>
            <w:tcW w:w="1894" w:type="dxa"/>
            <w:noWrap/>
            <w:vAlign w:val="center"/>
            <w:hideMark/>
          </w:tcPr>
          <w:p w14:paraId="2E515F1B" w14:textId="77777777" w:rsidR="00DE30E0" w:rsidRPr="002A2480" w:rsidRDefault="00DE30E0" w:rsidP="00DE30E0">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0.80</w:t>
            </w:r>
          </w:p>
        </w:tc>
        <w:tc>
          <w:tcPr>
            <w:tcW w:w="1534" w:type="dxa"/>
            <w:noWrap/>
            <w:vAlign w:val="bottom"/>
            <w:hideMark/>
          </w:tcPr>
          <w:p w14:paraId="02BA6D26" w14:textId="77777777" w:rsidR="00DE30E0" w:rsidRPr="002A2480" w:rsidRDefault="00DE30E0" w:rsidP="00DE30E0">
            <w:pPr>
              <w:spacing w:after="0" w:line="240" w:lineRule="auto"/>
              <w:jc w:val="right"/>
              <w:rPr>
                <w:rFonts w:ascii="Arial" w:eastAsia="Times New Roman" w:hAnsi="Arial" w:cs="Arial"/>
                <w:color w:val="000000"/>
                <w:sz w:val="20"/>
                <w:szCs w:val="20"/>
                <w:lang w:eastAsia="en-IN"/>
              </w:rPr>
            </w:pPr>
          </w:p>
        </w:tc>
        <w:tc>
          <w:tcPr>
            <w:tcW w:w="1380" w:type="dxa"/>
            <w:noWrap/>
            <w:vAlign w:val="bottom"/>
            <w:hideMark/>
          </w:tcPr>
          <w:p w14:paraId="44F9F238" w14:textId="77777777" w:rsidR="00DE30E0" w:rsidRPr="002A2480" w:rsidRDefault="00DE30E0" w:rsidP="00DE30E0">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 </w:t>
            </w:r>
          </w:p>
        </w:tc>
      </w:tr>
      <w:tr w:rsidR="00DE30E0" w:rsidRPr="002A2480" w14:paraId="0D14CAB2" w14:textId="77777777" w:rsidTr="00D80992">
        <w:trPr>
          <w:trHeight w:val="469"/>
        </w:trPr>
        <w:tc>
          <w:tcPr>
            <w:tcW w:w="3620" w:type="dxa"/>
            <w:vAlign w:val="center"/>
            <w:hideMark/>
          </w:tcPr>
          <w:p w14:paraId="5447DA03" w14:textId="77777777" w:rsidR="00DE30E0" w:rsidRPr="002A2480" w:rsidRDefault="00DE30E0" w:rsidP="00DE30E0">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Adjusted r squared</w:t>
            </w:r>
          </w:p>
        </w:tc>
        <w:tc>
          <w:tcPr>
            <w:tcW w:w="1894" w:type="dxa"/>
            <w:noWrap/>
            <w:vAlign w:val="center"/>
            <w:hideMark/>
          </w:tcPr>
          <w:p w14:paraId="63837AA8" w14:textId="77777777" w:rsidR="00DE30E0" w:rsidRPr="002A2480" w:rsidRDefault="00DE30E0" w:rsidP="00DE30E0">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0.79</w:t>
            </w:r>
          </w:p>
        </w:tc>
        <w:tc>
          <w:tcPr>
            <w:tcW w:w="1534" w:type="dxa"/>
            <w:noWrap/>
            <w:vAlign w:val="bottom"/>
            <w:hideMark/>
          </w:tcPr>
          <w:p w14:paraId="46056981" w14:textId="77777777" w:rsidR="00DE30E0" w:rsidRPr="002A2480" w:rsidRDefault="00DE30E0" w:rsidP="00DE30E0">
            <w:pPr>
              <w:spacing w:after="0" w:line="240" w:lineRule="auto"/>
              <w:jc w:val="right"/>
              <w:rPr>
                <w:rFonts w:ascii="Arial" w:eastAsia="Times New Roman" w:hAnsi="Arial" w:cs="Arial"/>
                <w:color w:val="000000"/>
                <w:sz w:val="20"/>
                <w:szCs w:val="20"/>
                <w:lang w:eastAsia="en-IN"/>
              </w:rPr>
            </w:pPr>
          </w:p>
        </w:tc>
        <w:tc>
          <w:tcPr>
            <w:tcW w:w="1380" w:type="dxa"/>
            <w:noWrap/>
            <w:vAlign w:val="bottom"/>
            <w:hideMark/>
          </w:tcPr>
          <w:p w14:paraId="58AD57F9" w14:textId="77777777" w:rsidR="00DE30E0" w:rsidRPr="002A2480" w:rsidRDefault="00DE30E0" w:rsidP="00DE30E0">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 </w:t>
            </w:r>
          </w:p>
        </w:tc>
      </w:tr>
      <w:tr w:rsidR="00DE30E0" w:rsidRPr="002A2480" w14:paraId="6B2BA784" w14:textId="77777777" w:rsidTr="00D80992">
        <w:trPr>
          <w:trHeight w:val="388"/>
        </w:trPr>
        <w:tc>
          <w:tcPr>
            <w:tcW w:w="3620" w:type="dxa"/>
            <w:vAlign w:val="center"/>
            <w:hideMark/>
          </w:tcPr>
          <w:p w14:paraId="71B0BCF8" w14:textId="77777777" w:rsidR="00DE30E0" w:rsidRPr="002A2480" w:rsidRDefault="00DE30E0" w:rsidP="00DE30E0">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F-statistic</w:t>
            </w:r>
          </w:p>
        </w:tc>
        <w:tc>
          <w:tcPr>
            <w:tcW w:w="1894" w:type="dxa"/>
            <w:noWrap/>
            <w:vAlign w:val="center"/>
            <w:hideMark/>
          </w:tcPr>
          <w:p w14:paraId="244E59AD" w14:textId="77777777" w:rsidR="00DE30E0" w:rsidRPr="002A2480" w:rsidRDefault="00DE30E0" w:rsidP="00DE30E0">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92.72</w:t>
            </w:r>
          </w:p>
        </w:tc>
        <w:tc>
          <w:tcPr>
            <w:tcW w:w="1534" w:type="dxa"/>
            <w:noWrap/>
            <w:vAlign w:val="bottom"/>
            <w:hideMark/>
          </w:tcPr>
          <w:p w14:paraId="6CD304C2" w14:textId="77777777" w:rsidR="00DE30E0" w:rsidRPr="002A2480" w:rsidRDefault="00DE30E0" w:rsidP="00DE30E0">
            <w:pPr>
              <w:spacing w:after="0" w:line="240" w:lineRule="auto"/>
              <w:jc w:val="right"/>
              <w:rPr>
                <w:rFonts w:ascii="Arial" w:eastAsia="Times New Roman" w:hAnsi="Arial" w:cs="Arial"/>
                <w:color w:val="000000"/>
                <w:sz w:val="20"/>
                <w:szCs w:val="20"/>
                <w:lang w:eastAsia="en-IN"/>
              </w:rPr>
            </w:pPr>
          </w:p>
        </w:tc>
        <w:tc>
          <w:tcPr>
            <w:tcW w:w="1380" w:type="dxa"/>
            <w:noWrap/>
            <w:vAlign w:val="bottom"/>
            <w:hideMark/>
          </w:tcPr>
          <w:p w14:paraId="766A682E" w14:textId="77777777" w:rsidR="00DE30E0" w:rsidRPr="002A2480" w:rsidRDefault="00DE30E0" w:rsidP="00DE30E0">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 </w:t>
            </w:r>
          </w:p>
        </w:tc>
      </w:tr>
      <w:tr w:rsidR="00DE30E0" w:rsidRPr="002A2480" w14:paraId="45FD37F2" w14:textId="77777777" w:rsidTr="00D80992">
        <w:trPr>
          <w:trHeight w:val="388"/>
        </w:trPr>
        <w:tc>
          <w:tcPr>
            <w:tcW w:w="3620" w:type="dxa"/>
            <w:vAlign w:val="center"/>
            <w:hideMark/>
          </w:tcPr>
          <w:p w14:paraId="04C66812" w14:textId="77777777" w:rsidR="00DE30E0" w:rsidRPr="002A2480" w:rsidRDefault="00DE30E0" w:rsidP="00DE30E0">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Prob(F-statistic)</w:t>
            </w:r>
          </w:p>
        </w:tc>
        <w:tc>
          <w:tcPr>
            <w:tcW w:w="1894" w:type="dxa"/>
            <w:noWrap/>
            <w:vAlign w:val="center"/>
            <w:hideMark/>
          </w:tcPr>
          <w:p w14:paraId="4A932A6B" w14:textId="77777777" w:rsidR="00DE30E0" w:rsidRPr="002A2480" w:rsidRDefault="00DE30E0" w:rsidP="00DE30E0">
            <w:pPr>
              <w:spacing w:after="0" w:line="240" w:lineRule="auto"/>
              <w:jc w:val="right"/>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0.00</w:t>
            </w:r>
          </w:p>
        </w:tc>
        <w:tc>
          <w:tcPr>
            <w:tcW w:w="1534" w:type="dxa"/>
            <w:noWrap/>
            <w:vAlign w:val="bottom"/>
            <w:hideMark/>
          </w:tcPr>
          <w:p w14:paraId="0ACF2756" w14:textId="77777777" w:rsidR="00DE30E0" w:rsidRPr="002A2480" w:rsidRDefault="00DE30E0" w:rsidP="00DE30E0">
            <w:pPr>
              <w:spacing w:after="0" w:line="240" w:lineRule="auto"/>
              <w:jc w:val="right"/>
              <w:rPr>
                <w:rFonts w:ascii="Arial" w:eastAsia="Times New Roman" w:hAnsi="Arial" w:cs="Arial"/>
                <w:color w:val="000000"/>
                <w:sz w:val="20"/>
                <w:szCs w:val="20"/>
                <w:lang w:eastAsia="en-IN"/>
              </w:rPr>
            </w:pPr>
          </w:p>
        </w:tc>
        <w:tc>
          <w:tcPr>
            <w:tcW w:w="1380" w:type="dxa"/>
            <w:noWrap/>
            <w:vAlign w:val="bottom"/>
            <w:hideMark/>
          </w:tcPr>
          <w:p w14:paraId="4824C743" w14:textId="77777777" w:rsidR="00DE30E0" w:rsidRPr="002A2480" w:rsidRDefault="00DE30E0" w:rsidP="00DE30E0">
            <w:pPr>
              <w:spacing w:after="0" w:line="240" w:lineRule="auto"/>
              <w:rPr>
                <w:rFonts w:ascii="Arial" w:eastAsia="Times New Roman" w:hAnsi="Arial" w:cs="Arial"/>
                <w:color w:val="000000"/>
                <w:sz w:val="20"/>
                <w:szCs w:val="20"/>
                <w:lang w:eastAsia="en-IN"/>
              </w:rPr>
            </w:pPr>
            <w:r w:rsidRPr="002A2480">
              <w:rPr>
                <w:rFonts w:ascii="Arial" w:eastAsia="Times New Roman" w:hAnsi="Arial" w:cs="Arial"/>
                <w:color w:val="000000"/>
                <w:sz w:val="20"/>
                <w:szCs w:val="20"/>
                <w:lang w:eastAsia="en-IN"/>
              </w:rPr>
              <w:t> </w:t>
            </w:r>
          </w:p>
        </w:tc>
      </w:tr>
    </w:tbl>
    <w:p w14:paraId="4E1DDCF2" w14:textId="67010623" w:rsidR="006145DB" w:rsidRPr="002A2480" w:rsidRDefault="006145DB" w:rsidP="006145DB">
      <w:pPr>
        <w:tabs>
          <w:tab w:val="left" w:pos="3263"/>
        </w:tabs>
        <w:spacing w:line="240" w:lineRule="auto"/>
        <w:jc w:val="both"/>
        <w:rPr>
          <w:rFonts w:ascii="Arial" w:hAnsi="Arial" w:cs="Arial"/>
          <w:sz w:val="20"/>
          <w:szCs w:val="20"/>
          <w:lang w:val="en-US"/>
        </w:rPr>
      </w:pPr>
      <w:r w:rsidRPr="002A2480">
        <w:rPr>
          <w:rFonts w:ascii="Arial" w:hAnsi="Arial" w:cs="Arial"/>
          <w:sz w:val="20"/>
          <w:szCs w:val="20"/>
          <w:lang w:val="en-US"/>
        </w:rPr>
        <w:t>Note: *** and ** indicate statistically significant at 1 percent and 5 percent respectively</w:t>
      </w:r>
    </w:p>
    <w:bookmarkEnd w:id="4"/>
    <w:p w14:paraId="11BA5AD5" w14:textId="2AAF7ECC" w:rsidR="004A368A" w:rsidRDefault="004A368A" w:rsidP="002A2480">
      <w:pPr>
        <w:spacing w:line="240" w:lineRule="auto"/>
        <w:jc w:val="both"/>
        <w:rPr>
          <w:rFonts w:ascii="Arial" w:hAnsi="Arial" w:cs="Arial"/>
          <w:sz w:val="20"/>
          <w:szCs w:val="20"/>
        </w:rPr>
      </w:pPr>
      <w:r w:rsidRPr="004A368A">
        <w:rPr>
          <w:rFonts w:ascii="Arial" w:hAnsi="Arial" w:cs="Arial"/>
          <w:sz w:val="20"/>
          <w:szCs w:val="20"/>
        </w:rPr>
        <w:t>The model demonstrates a strong explanatory power, with an R² value of 0.80 and an adjusted R² of 0.79, indicating that approximately 79 percent of the variation in monthly organic millet expenditure is explained by the included socio-demographic and perception-based variables. The F-statistic is highly significant (p &lt; 0.01), confirming the overall validity of the model.</w:t>
      </w:r>
    </w:p>
    <w:p w14:paraId="03A339E8" w14:textId="581FD296" w:rsidR="002A2480" w:rsidRPr="004A368A" w:rsidRDefault="002A2480" w:rsidP="002A2480">
      <w:pPr>
        <w:spacing w:line="240" w:lineRule="auto"/>
        <w:jc w:val="both"/>
        <w:rPr>
          <w:rFonts w:ascii="Arial" w:hAnsi="Arial" w:cs="Arial"/>
          <w:sz w:val="20"/>
          <w:szCs w:val="20"/>
        </w:rPr>
      </w:pPr>
      <w:r w:rsidRPr="004A368A">
        <w:rPr>
          <w:rFonts w:ascii="Arial" w:hAnsi="Arial" w:cs="Arial"/>
          <w:sz w:val="20"/>
          <w:szCs w:val="20"/>
        </w:rPr>
        <w:t xml:space="preserve">The results are presented in table </w:t>
      </w:r>
      <w:r w:rsidR="00722C44">
        <w:rPr>
          <w:rFonts w:ascii="Arial" w:hAnsi="Arial" w:cs="Arial"/>
          <w:sz w:val="20"/>
          <w:szCs w:val="20"/>
        </w:rPr>
        <w:t>7</w:t>
      </w:r>
      <w:r w:rsidRPr="004A368A">
        <w:rPr>
          <w:rFonts w:ascii="Arial" w:hAnsi="Arial" w:cs="Arial"/>
          <w:sz w:val="20"/>
          <w:szCs w:val="20"/>
        </w:rPr>
        <w:t>. The results indicate that among the predictors, the perceived availability of organic millets is positively and highly significant. A one-unit improvement in perceived availability increases monthly millet expenditure by ₹239.75, holding other factors constant. This finding suggests that improving the distribution and shelf presence of organic millets could directly stimulate consumer spending, as easy access reduces search costs and increases purchase frequency. The positive coefficient for household income highlights that organic millet consumption is income elastic, implying that higher-income consumers are more likely to allocate a portion of their budget to premium, health-oriented products.</w:t>
      </w:r>
    </w:p>
    <w:p w14:paraId="4492C27A" w14:textId="6A2A341D" w:rsidR="002A2480" w:rsidRPr="004A368A" w:rsidRDefault="002A2480" w:rsidP="002A2480">
      <w:pPr>
        <w:spacing w:line="240" w:lineRule="auto"/>
        <w:jc w:val="both"/>
        <w:rPr>
          <w:rFonts w:ascii="Arial" w:hAnsi="Arial" w:cs="Arial"/>
          <w:sz w:val="20"/>
          <w:szCs w:val="20"/>
        </w:rPr>
      </w:pPr>
      <w:r w:rsidRPr="004A368A">
        <w:rPr>
          <w:rFonts w:ascii="Arial" w:hAnsi="Arial" w:cs="Arial"/>
          <w:sz w:val="20"/>
          <w:szCs w:val="20"/>
        </w:rPr>
        <w:t xml:space="preserve">Education also shows a positive and significant effect, underscoring the role of nutritional awareness and informed decision-making in promoting millet consumption. In contrast, the preference for certified products exhibits a significant negative association, indicating that consumers who prefer certified products may actually spend less, possibly due to the limited availability or higher prices of certified millets. Gender was not found to have a significant effect, suggesting that millet consumption </w:t>
      </w:r>
      <w:r w:rsidRPr="004A368A">
        <w:rPr>
          <w:rFonts w:ascii="Arial" w:hAnsi="Arial" w:cs="Arial"/>
          <w:sz w:val="20"/>
          <w:szCs w:val="20"/>
        </w:rPr>
        <w:lastRenderedPageBreak/>
        <w:t>expenditure is relatively uniform across male and female consumers, reflecting household-level rather than individual-level purchase decisions.</w:t>
      </w:r>
    </w:p>
    <w:p w14:paraId="471E67FB" w14:textId="0AF29719" w:rsidR="00911623" w:rsidRPr="001F2AD7" w:rsidRDefault="004A368A" w:rsidP="0099687A">
      <w:pPr>
        <w:pStyle w:val="NormalWeb"/>
        <w:jc w:val="both"/>
        <w:rPr>
          <w:rFonts w:ascii="Arial" w:hAnsi="Arial" w:cs="Arial"/>
          <w:sz w:val="20"/>
          <w:szCs w:val="20"/>
        </w:rPr>
      </w:pPr>
      <w:r w:rsidRPr="004A368A">
        <w:rPr>
          <w:rFonts w:ascii="Arial" w:hAnsi="Arial" w:cs="Arial"/>
          <w:sz w:val="20"/>
          <w:szCs w:val="20"/>
        </w:rPr>
        <w:t>Overall, the findings underscore the importance of improving market availability, enhancing consumer awareness, and addressing certification-related barriers to expand demand and strengthen the organic millet market. These results are consistent with Kalra et al. (2020), who identified income, education, and availability as key drivers of organic product demand in India, and with Pathak et al. (2023), who reported the influence of demographic factors on millet consumption behaviour. Collectively, the results reaffirm that socio-economic capacity and product accessibility are central determinants of organic millet consumption patterns. The insights from this analysis provide a valuable foundation for designing targeted interventions that integrate consumer behaviour with market development strategies, thereby promoting the sustainable growth of the organic millet sector.</w:t>
      </w:r>
    </w:p>
    <w:p w14:paraId="7BA194E2" w14:textId="6E3D7780" w:rsidR="0099687A" w:rsidRPr="0099687A" w:rsidRDefault="0099687A" w:rsidP="0099687A">
      <w:pPr>
        <w:pStyle w:val="NormalWeb"/>
        <w:jc w:val="both"/>
        <w:rPr>
          <w:rFonts w:ascii="Arial" w:hAnsi="Arial" w:cs="Arial"/>
          <w:b/>
          <w:bCs/>
          <w:sz w:val="22"/>
          <w:szCs w:val="22"/>
        </w:rPr>
      </w:pPr>
      <w:r w:rsidRPr="0099687A">
        <w:rPr>
          <w:rFonts w:ascii="Arial" w:hAnsi="Arial" w:cs="Arial"/>
          <w:b/>
          <w:bCs/>
          <w:sz w:val="22"/>
          <w:szCs w:val="22"/>
        </w:rPr>
        <w:t>4. CONCLUSION</w:t>
      </w:r>
    </w:p>
    <w:p w14:paraId="1A64D01B" w14:textId="77777777" w:rsidR="001F2AD7" w:rsidRDefault="0099687A" w:rsidP="001F2AD7">
      <w:pPr>
        <w:spacing w:before="100" w:beforeAutospacing="1" w:after="100" w:afterAutospacing="1" w:line="240" w:lineRule="auto"/>
        <w:jc w:val="both"/>
        <w:rPr>
          <w:rFonts w:ascii="Arial" w:eastAsia="Times New Roman" w:hAnsi="Arial" w:cs="Arial"/>
          <w:sz w:val="20"/>
          <w:szCs w:val="20"/>
          <w:lang w:eastAsia="en-IN"/>
        </w:rPr>
      </w:pPr>
      <w:r w:rsidRPr="0099687A">
        <w:rPr>
          <w:rFonts w:ascii="Arial" w:eastAsia="Times New Roman" w:hAnsi="Arial" w:cs="Arial"/>
          <w:sz w:val="20"/>
          <w:szCs w:val="20"/>
          <w:lang w:eastAsia="en-IN"/>
        </w:rPr>
        <w:t>The analysis of organic millet consumption in Hyderabad shows that health and nutritional benefits are the main drivers of consumer choice, while taste, ease of cooking, and regular use remain lower priorities. Likert-scale results indicate strong awareness of nutritional advantages, moderate trust in certification, and perceived limited availability. Finger millet and sorghum are the most familiar types, whereas foxtail and little millet are less known. Consumption patterns reveal that most consumers are recent adopters, prefer convenient forms such as ready-to-eat foods and snacks, and spend moderately on organic millets. Key barriers include limited availability, higher prices, household preferences, and doubts about certification. Chi-square analysis confirms a significant preference for certified millets, and OLS regression shows that perceived availability, income, and education positively influence expenditure, while preference for certification negatively affects spending, and gender has no significant impact. Overall, socio-economic capacity, accessibility, and consumer perceptions jointly shape organic millet consumption.</w:t>
      </w:r>
    </w:p>
    <w:p w14:paraId="39708DDC" w14:textId="5C754855" w:rsidR="0099687A" w:rsidRPr="0099687A" w:rsidRDefault="0099687A" w:rsidP="001F2AD7">
      <w:pPr>
        <w:spacing w:before="100" w:beforeAutospacing="1" w:after="100" w:afterAutospacing="1" w:line="240" w:lineRule="auto"/>
        <w:jc w:val="both"/>
        <w:rPr>
          <w:rFonts w:ascii="Arial" w:eastAsia="Times New Roman" w:hAnsi="Arial" w:cs="Arial"/>
          <w:lang w:eastAsia="en-IN"/>
        </w:rPr>
      </w:pPr>
      <w:r w:rsidRPr="001F2AD7">
        <w:rPr>
          <w:rFonts w:ascii="Arial" w:eastAsia="Times New Roman" w:hAnsi="Arial" w:cs="Arial"/>
          <w:b/>
          <w:bCs/>
          <w:lang w:eastAsia="en-IN"/>
        </w:rPr>
        <w:t>5. POLICY IMPLICATIONS</w:t>
      </w:r>
    </w:p>
    <w:p w14:paraId="2DFEF1F6" w14:textId="77777777" w:rsidR="0099687A" w:rsidRPr="0099687A" w:rsidRDefault="0099687A" w:rsidP="0099687A">
      <w:pPr>
        <w:spacing w:before="100" w:beforeAutospacing="1" w:after="100" w:afterAutospacing="1" w:line="240" w:lineRule="auto"/>
        <w:jc w:val="both"/>
        <w:rPr>
          <w:rFonts w:ascii="Arial" w:eastAsia="Times New Roman" w:hAnsi="Arial" w:cs="Arial"/>
          <w:sz w:val="20"/>
          <w:szCs w:val="20"/>
          <w:lang w:eastAsia="en-IN"/>
        </w:rPr>
      </w:pPr>
      <w:r w:rsidRPr="0099687A">
        <w:rPr>
          <w:rFonts w:ascii="Arial" w:eastAsia="Times New Roman" w:hAnsi="Arial" w:cs="Arial"/>
          <w:sz w:val="20"/>
          <w:szCs w:val="20"/>
          <w:lang w:eastAsia="en-IN"/>
        </w:rPr>
        <w:t>To promote the organic millet market, strategies should focus on improving distribution and retail presence, particularly through specialized stores and supermarkets, to enhance accessibility. Consumer education campaigns highlighting nutritional benefits, health advantages, and millet variety literacy can encourage informed and habitual consumption. Enhancing the affordability and transparency of certified products through streamlined certification and clear labelling will reduce barriers and build trust. Additionally, promoting convenient product formats, such as ready-to-cook meals and millet-based snacks, can align traditional dietary habits with modern lifestyles, supporting wider adoption and sustainable growth of the sector.</w:t>
      </w:r>
    </w:p>
    <w:p w14:paraId="2FCFEC83" w14:textId="77777777" w:rsidR="006145DB" w:rsidRPr="00911623" w:rsidRDefault="006145DB" w:rsidP="006145DB">
      <w:pPr>
        <w:spacing w:line="240" w:lineRule="auto"/>
        <w:jc w:val="both"/>
        <w:rPr>
          <w:rFonts w:ascii="Arial" w:hAnsi="Arial" w:cs="Arial"/>
          <w:b/>
          <w:bCs/>
        </w:rPr>
      </w:pPr>
      <w:r w:rsidRPr="00911623">
        <w:rPr>
          <w:rFonts w:ascii="Arial" w:hAnsi="Arial" w:cs="Arial"/>
          <w:b/>
          <w:bCs/>
        </w:rPr>
        <w:t>REFERENCES</w:t>
      </w:r>
    </w:p>
    <w:p w14:paraId="56B12FC9" w14:textId="69F1DE2E" w:rsidR="006145DB" w:rsidRPr="00911623" w:rsidRDefault="006145DB" w:rsidP="006145DB">
      <w:pPr>
        <w:pStyle w:val="ListParagraph"/>
        <w:numPr>
          <w:ilvl w:val="0"/>
          <w:numId w:val="1"/>
        </w:numPr>
        <w:spacing w:line="240" w:lineRule="auto"/>
        <w:jc w:val="both"/>
        <w:rPr>
          <w:rFonts w:ascii="Arial" w:hAnsi="Arial" w:cs="Arial"/>
          <w:sz w:val="20"/>
          <w:szCs w:val="20"/>
        </w:rPr>
      </w:pPr>
      <w:r w:rsidRPr="00911623">
        <w:rPr>
          <w:rFonts w:ascii="Arial" w:hAnsi="Arial" w:cs="Arial"/>
          <w:sz w:val="20"/>
          <w:szCs w:val="20"/>
        </w:rPr>
        <w:t xml:space="preserve">Choudhury, N., Ajay, Salman, M., </w:t>
      </w:r>
      <w:r w:rsidR="00911623" w:rsidRPr="00911623">
        <w:rPr>
          <w:rFonts w:ascii="Arial" w:hAnsi="Arial" w:cs="Arial"/>
          <w:sz w:val="20"/>
          <w:szCs w:val="20"/>
        </w:rPr>
        <w:t>&amp;</w:t>
      </w:r>
      <w:r w:rsidRPr="00911623">
        <w:rPr>
          <w:rFonts w:ascii="Arial" w:hAnsi="Arial" w:cs="Arial"/>
          <w:sz w:val="20"/>
          <w:szCs w:val="20"/>
        </w:rPr>
        <w:t xml:space="preserve"> Choudhury, A. (2024). Millets in Organic Agricultural System. In </w:t>
      </w:r>
      <w:hyperlink r:id="rId13" w:history="1">
        <w:r w:rsidRPr="00911623">
          <w:rPr>
            <w:rStyle w:val="Hyperlink"/>
            <w:rFonts w:ascii="Arial" w:hAnsi="Arial" w:cs="Arial"/>
            <w:color w:val="000000" w:themeColor="text1"/>
            <w:sz w:val="20"/>
            <w:szCs w:val="20"/>
            <w:u w:val="none"/>
          </w:rPr>
          <w:t>Pradhan</w:t>
        </w:r>
      </w:hyperlink>
      <w:r w:rsidRPr="00911623">
        <w:rPr>
          <w:rFonts w:ascii="Arial" w:hAnsi="Arial" w:cs="Arial"/>
          <w:color w:val="000000" w:themeColor="text1"/>
          <w:sz w:val="20"/>
          <w:szCs w:val="20"/>
        </w:rPr>
        <w:t>, J., </w:t>
      </w:r>
      <w:hyperlink r:id="rId14" w:history="1">
        <w:r w:rsidRPr="00911623">
          <w:rPr>
            <w:rStyle w:val="Hyperlink"/>
            <w:rFonts w:ascii="Arial" w:hAnsi="Arial" w:cs="Arial"/>
            <w:color w:val="000000" w:themeColor="text1"/>
            <w:sz w:val="20"/>
            <w:szCs w:val="20"/>
            <w:u w:val="none"/>
          </w:rPr>
          <w:t xml:space="preserve"> Sahoo</w:t>
        </w:r>
      </w:hyperlink>
      <w:r w:rsidRPr="00911623">
        <w:rPr>
          <w:rFonts w:ascii="Arial" w:hAnsi="Arial" w:cs="Arial"/>
          <w:color w:val="000000" w:themeColor="text1"/>
          <w:sz w:val="20"/>
          <w:szCs w:val="20"/>
        </w:rPr>
        <w:t>, J. P., </w:t>
      </w:r>
      <w:hyperlink r:id="rId15" w:history="1">
        <w:r w:rsidRPr="00911623">
          <w:rPr>
            <w:rStyle w:val="Hyperlink"/>
            <w:rFonts w:ascii="Arial" w:hAnsi="Arial" w:cs="Arial"/>
            <w:color w:val="000000" w:themeColor="text1"/>
            <w:sz w:val="20"/>
            <w:szCs w:val="20"/>
            <w:u w:val="none"/>
          </w:rPr>
          <w:t xml:space="preserve"> Samal</w:t>
        </w:r>
      </w:hyperlink>
      <w:r w:rsidRPr="00911623">
        <w:rPr>
          <w:rFonts w:ascii="Arial" w:hAnsi="Arial" w:cs="Arial"/>
          <w:color w:val="000000" w:themeColor="text1"/>
          <w:sz w:val="20"/>
          <w:szCs w:val="20"/>
        </w:rPr>
        <w:t>, K. C., </w:t>
      </w:r>
      <w:hyperlink r:id="rId16" w:history="1">
        <w:r w:rsidRPr="00911623">
          <w:rPr>
            <w:rStyle w:val="Hyperlink"/>
            <w:rFonts w:ascii="Arial" w:hAnsi="Arial" w:cs="Arial"/>
            <w:color w:val="000000" w:themeColor="text1"/>
            <w:sz w:val="20"/>
            <w:szCs w:val="20"/>
            <w:u w:val="none"/>
          </w:rPr>
          <w:t xml:space="preserve"> Dash</w:t>
        </w:r>
      </w:hyperlink>
      <w:r w:rsidRPr="00911623">
        <w:rPr>
          <w:rFonts w:ascii="Arial" w:hAnsi="Arial" w:cs="Arial"/>
          <w:color w:val="000000" w:themeColor="text1"/>
          <w:sz w:val="20"/>
          <w:szCs w:val="20"/>
        </w:rPr>
        <w:t xml:space="preserve">, M. (Eds) </w:t>
      </w:r>
      <w:r w:rsidRPr="00911623">
        <w:rPr>
          <w:rFonts w:ascii="Arial" w:hAnsi="Arial" w:cs="Arial"/>
          <w:sz w:val="20"/>
          <w:szCs w:val="20"/>
        </w:rPr>
        <w:t xml:space="preserve">Millets and Other Potential Crops. CRC Press. 69-90. </w:t>
      </w:r>
    </w:p>
    <w:p w14:paraId="668315D2" w14:textId="42F2F403" w:rsidR="006145DB" w:rsidRPr="00911623" w:rsidRDefault="006145DB" w:rsidP="006145DB">
      <w:pPr>
        <w:pStyle w:val="ListParagraph"/>
        <w:numPr>
          <w:ilvl w:val="0"/>
          <w:numId w:val="1"/>
        </w:numPr>
        <w:spacing w:line="240" w:lineRule="auto"/>
        <w:jc w:val="both"/>
        <w:rPr>
          <w:rFonts w:ascii="Arial" w:hAnsi="Arial" w:cs="Arial"/>
          <w:sz w:val="20"/>
          <w:szCs w:val="20"/>
        </w:rPr>
      </w:pPr>
      <w:r w:rsidRPr="00911623">
        <w:rPr>
          <w:rFonts w:ascii="Arial" w:hAnsi="Arial" w:cs="Arial"/>
          <w:sz w:val="20"/>
          <w:szCs w:val="20"/>
        </w:rPr>
        <w:t xml:space="preserve">Rao, B. D., Bhandari, R., </w:t>
      </w:r>
      <w:r w:rsidR="00911623" w:rsidRPr="00911623">
        <w:rPr>
          <w:rFonts w:ascii="Arial" w:hAnsi="Arial" w:cs="Arial"/>
          <w:sz w:val="20"/>
          <w:szCs w:val="20"/>
        </w:rPr>
        <w:t>&amp;</w:t>
      </w:r>
      <w:r w:rsidRPr="00911623">
        <w:rPr>
          <w:rFonts w:ascii="Arial" w:hAnsi="Arial" w:cs="Arial"/>
          <w:sz w:val="20"/>
          <w:szCs w:val="20"/>
        </w:rPr>
        <w:t xml:space="preserve"> </w:t>
      </w:r>
      <w:proofErr w:type="spellStart"/>
      <w:r w:rsidRPr="00911623">
        <w:rPr>
          <w:rFonts w:ascii="Arial" w:hAnsi="Arial" w:cs="Arial"/>
          <w:sz w:val="20"/>
          <w:szCs w:val="20"/>
        </w:rPr>
        <w:t>Tonapi</w:t>
      </w:r>
      <w:proofErr w:type="spellEnd"/>
      <w:r w:rsidRPr="00911623">
        <w:rPr>
          <w:rFonts w:ascii="Arial" w:hAnsi="Arial" w:cs="Arial"/>
          <w:sz w:val="20"/>
          <w:szCs w:val="20"/>
        </w:rPr>
        <w:t xml:space="preserve">, V. A K. (2021). “White Paper on Millets – A Policy Note on Mainstreaming Millets for Nutrition Security”. ICAR-Indian Institute of Millets Research (IIMR), </w:t>
      </w:r>
      <w:proofErr w:type="spellStart"/>
      <w:r w:rsidRPr="00911623">
        <w:rPr>
          <w:rFonts w:ascii="Arial" w:hAnsi="Arial" w:cs="Arial"/>
          <w:sz w:val="20"/>
          <w:szCs w:val="20"/>
        </w:rPr>
        <w:t>Rajendranagar</w:t>
      </w:r>
      <w:proofErr w:type="spellEnd"/>
      <w:r w:rsidRPr="00911623">
        <w:rPr>
          <w:rFonts w:ascii="Arial" w:hAnsi="Arial" w:cs="Arial"/>
          <w:sz w:val="20"/>
          <w:szCs w:val="20"/>
        </w:rPr>
        <w:t xml:space="preserve">, Hyderabad-500030  </w:t>
      </w:r>
    </w:p>
    <w:p w14:paraId="4DE91765" w14:textId="64F317F5" w:rsidR="006145DB" w:rsidRPr="00911623" w:rsidRDefault="006145DB" w:rsidP="006145DB">
      <w:pPr>
        <w:pStyle w:val="ListParagraph"/>
        <w:numPr>
          <w:ilvl w:val="0"/>
          <w:numId w:val="1"/>
        </w:numPr>
        <w:spacing w:line="240" w:lineRule="auto"/>
        <w:jc w:val="both"/>
        <w:rPr>
          <w:rFonts w:ascii="Arial" w:hAnsi="Arial" w:cs="Arial"/>
          <w:bCs/>
          <w:sz w:val="20"/>
          <w:szCs w:val="20"/>
          <w:lang w:val="en-US"/>
        </w:rPr>
      </w:pPr>
      <w:proofErr w:type="spellStart"/>
      <w:r w:rsidRPr="00911623">
        <w:rPr>
          <w:rFonts w:ascii="Arial" w:hAnsi="Arial" w:cs="Arial"/>
          <w:bCs/>
          <w:sz w:val="20"/>
          <w:szCs w:val="20"/>
          <w:lang w:val="en-US"/>
        </w:rPr>
        <w:t>Amirnejad</w:t>
      </w:r>
      <w:proofErr w:type="spellEnd"/>
      <w:r w:rsidRPr="00911623">
        <w:rPr>
          <w:rFonts w:ascii="Arial" w:hAnsi="Arial" w:cs="Arial"/>
          <w:bCs/>
          <w:sz w:val="20"/>
          <w:szCs w:val="20"/>
          <w:lang w:val="en-US"/>
        </w:rPr>
        <w:t xml:space="preserve">, H. </w:t>
      </w:r>
      <w:r w:rsidR="00911623" w:rsidRPr="00911623">
        <w:rPr>
          <w:rFonts w:ascii="Arial" w:hAnsi="Arial" w:cs="Arial"/>
          <w:bCs/>
          <w:sz w:val="20"/>
          <w:szCs w:val="20"/>
          <w:lang w:val="en-US"/>
        </w:rPr>
        <w:t>&amp;</w:t>
      </w:r>
      <w:r w:rsidRPr="00911623">
        <w:rPr>
          <w:rFonts w:ascii="Arial" w:hAnsi="Arial" w:cs="Arial"/>
          <w:bCs/>
          <w:sz w:val="20"/>
          <w:szCs w:val="20"/>
          <w:lang w:val="en-US"/>
        </w:rPr>
        <w:t xml:space="preserve"> </w:t>
      </w:r>
      <w:proofErr w:type="spellStart"/>
      <w:r w:rsidRPr="00911623">
        <w:rPr>
          <w:rFonts w:ascii="Arial" w:hAnsi="Arial" w:cs="Arial"/>
          <w:bCs/>
          <w:sz w:val="20"/>
          <w:szCs w:val="20"/>
          <w:lang w:val="en-US"/>
        </w:rPr>
        <w:t>Tonakbar</w:t>
      </w:r>
      <w:proofErr w:type="spellEnd"/>
      <w:r w:rsidRPr="00911623">
        <w:rPr>
          <w:rFonts w:ascii="Arial" w:hAnsi="Arial" w:cs="Arial"/>
          <w:bCs/>
          <w:sz w:val="20"/>
          <w:szCs w:val="20"/>
          <w:lang w:val="en-US"/>
        </w:rPr>
        <w:t>, P. 2015. The willingness to pay for organic milk by consumers in Tehran. Journal of Agricultural Science and Technology. 17: 1685-1694</w:t>
      </w:r>
    </w:p>
    <w:p w14:paraId="02334C12" w14:textId="5CEAF4D5" w:rsidR="006145DB" w:rsidRPr="00911623" w:rsidRDefault="006145DB" w:rsidP="006145DB">
      <w:pPr>
        <w:pStyle w:val="ListParagraph"/>
        <w:numPr>
          <w:ilvl w:val="0"/>
          <w:numId w:val="1"/>
        </w:numPr>
        <w:spacing w:line="240" w:lineRule="auto"/>
        <w:jc w:val="both"/>
        <w:rPr>
          <w:rFonts w:ascii="Arial" w:hAnsi="Arial" w:cs="Arial"/>
          <w:sz w:val="20"/>
          <w:szCs w:val="20"/>
        </w:rPr>
      </w:pPr>
      <w:r w:rsidRPr="00911623">
        <w:rPr>
          <w:rFonts w:ascii="Arial" w:hAnsi="Arial" w:cs="Arial"/>
          <w:sz w:val="20"/>
          <w:szCs w:val="20"/>
        </w:rPr>
        <w:t>Padmavathy, J., &amp;</w:t>
      </w:r>
      <w:r w:rsidR="00911623" w:rsidRPr="00911623">
        <w:rPr>
          <w:rFonts w:ascii="Arial" w:hAnsi="Arial" w:cs="Arial"/>
          <w:sz w:val="20"/>
          <w:szCs w:val="20"/>
        </w:rPr>
        <w:t xml:space="preserve"> </w:t>
      </w:r>
      <w:r w:rsidRPr="00911623">
        <w:rPr>
          <w:rFonts w:ascii="Arial" w:hAnsi="Arial" w:cs="Arial"/>
          <w:sz w:val="20"/>
          <w:szCs w:val="20"/>
        </w:rPr>
        <w:t xml:space="preserve">Saraswathy, R. (2016). A study on the Consumers Buying </w:t>
      </w:r>
      <w:proofErr w:type="spellStart"/>
      <w:r w:rsidRPr="00911623">
        <w:rPr>
          <w:rFonts w:ascii="Arial" w:hAnsi="Arial" w:cs="Arial"/>
          <w:sz w:val="20"/>
          <w:szCs w:val="20"/>
        </w:rPr>
        <w:t>Behavior</w:t>
      </w:r>
      <w:proofErr w:type="spellEnd"/>
      <w:r w:rsidRPr="00911623">
        <w:rPr>
          <w:rFonts w:ascii="Arial" w:hAnsi="Arial" w:cs="Arial"/>
          <w:sz w:val="20"/>
          <w:szCs w:val="20"/>
        </w:rPr>
        <w:t xml:space="preserve"> towards </w:t>
      </w:r>
      <w:proofErr w:type="spellStart"/>
      <w:r w:rsidRPr="00911623">
        <w:rPr>
          <w:rFonts w:ascii="Arial" w:hAnsi="Arial" w:cs="Arial"/>
          <w:sz w:val="20"/>
          <w:szCs w:val="20"/>
        </w:rPr>
        <w:t>organicfood</w:t>
      </w:r>
      <w:proofErr w:type="spellEnd"/>
      <w:r w:rsidRPr="00911623">
        <w:rPr>
          <w:rFonts w:ascii="Arial" w:hAnsi="Arial" w:cs="Arial"/>
          <w:sz w:val="20"/>
          <w:szCs w:val="20"/>
        </w:rPr>
        <w:t xml:space="preserve"> products in Thanjavur district. Intercontinental Journal of Marketing Research, 4(2): 42–49.</w:t>
      </w:r>
    </w:p>
    <w:p w14:paraId="04FA01DE" w14:textId="77777777" w:rsidR="006145DB" w:rsidRPr="00911623" w:rsidRDefault="006145DB" w:rsidP="006145DB">
      <w:pPr>
        <w:pStyle w:val="ListParagraph"/>
        <w:numPr>
          <w:ilvl w:val="0"/>
          <w:numId w:val="1"/>
        </w:numPr>
        <w:spacing w:line="240" w:lineRule="auto"/>
        <w:jc w:val="both"/>
        <w:rPr>
          <w:rFonts w:ascii="Arial" w:hAnsi="Arial" w:cs="Arial"/>
          <w:sz w:val="20"/>
          <w:szCs w:val="20"/>
        </w:rPr>
      </w:pPr>
      <w:r w:rsidRPr="00911623">
        <w:rPr>
          <w:rFonts w:ascii="Arial" w:hAnsi="Arial" w:cs="Arial"/>
          <w:sz w:val="20"/>
          <w:szCs w:val="20"/>
        </w:rPr>
        <w:t>Ankita, &amp; Seth, U. (2025). Millets in India: exploring historical significance, cultural heritage and ethnic foods. Journal of Ethnic Foods, 12(1), 2.</w:t>
      </w:r>
    </w:p>
    <w:p w14:paraId="06266564" w14:textId="77777777" w:rsidR="006145DB" w:rsidRPr="00911623" w:rsidRDefault="006145DB" w:rsidP="006145DB">
      <w:pPr>
        <w:pStyle w:val="ListParagraph"/>
        <w:numPr>
          <w:ilvl w:val="0"/>
          <w:numId w:val="1"/>
        </w:numPr>
        <w:spacing w:line="240" w:lineRule="auto"/>
        <w:jc w:val="both"/>
        <w:rPr>
          <w:rFonts w:ascii="Arial" w:hAnsi="Arial" w:cs="Arial"/>
          <w:sz w:val="20"/>
          <w:szCs w:val="20"/>
        </w:rPr>
      </w:pPr>
      <w:r w:rsidRPr="00911623">
        <w:rPr>
          <w:rFonts w:ascii="Arial" w:hAnsi="Arial" w:cs="Arial"/>
          <w:sz w:val="20"/>
          <w:szCs w:val="20"/>
        </w:rPr>
        <w:t>Shanker, N. (2024). Millets: The Ancient Grain for Modern Health. In Millets: The Multi-Cereal Paradigm for Food Sustainability (pp. 31-42). Cham: Springer Nature Switzerland.</w:t>
      </w:r>
    </w:p>
    <w:p w14:paraId="0A0C593B" w14:textId="198FD45A" w:rsidR="006145DB" w:rsidRPr="00911623" w:rsidRDefault="006145DB" w:rsidP="006145DB">
      <w:pPr>
        <w:pStyle w:val="ListParagraph"/>
        <w:numPr>
          <w:ilvl w:val="0"/>
          <w:numId w:val="1"/>
        </w:numPr>
        <w:spacing w:line="240" w:lineRule="auto"/>
        <w:jc w:val="both"/>
        <w:rPr>
          <w:rFonts w:ascii="Arial" w:hAnsi="Arial" w:cs="Arial"/>
          <w:sz w:val="20"/>
          <w:szCs w:val="20"/>
        </w:rPr>
      </w:pPr>
      <w:r w:rsidRPr="00911623">
        <w:rPr>
          <w:rFonts w:ascii="Arial" w:hAnsi="Arial" w:cs="Arial"/>
          <w:sz w:val="20"/>
          <w:szCs w:val="20"/>
        </w:rPr>
        <w:t xml:space="preserve">Sharma, N. </w:t>
      </w:r>
      <w:r w:rsidR="00911623" w:rsidRPr="00911623">
        <w:rPr>
          <w:rFonts w:ascii="Arial" w:hAnsi="Arial" w:cs="Arial"/>
          <w:sz w:val="20"/>
          <w:szCs w:val="20"/>
        </w:rPr>
        <w:t>&amp;</w:t>
      </w:r>
      <w:r w:rsidRPr="00911623">
        <w:rPr>
          <w:rFonts w:ascii="Arial" w:hAnsi="Arial" w:cs="Arial"/>
          <w:sz w:val="20"/>
          <w:szCs w:val="20"/>
        </w:rPr>
        <w:t xml:space="preserve"> Singhvi, R. (2018). Consumer’s perception and Behaviour towards organic food: A systematic review of literature. Journal of Pharmacognosy and Phytochemistry. 7(2):2152-2155.</w:t>
      </w:r>
    </w:p>
    <w:p w14:paraId="16C7E197" w14:textId="7755A2DF" w:rsidR="006145DB" w:rsidRPr="00911623" w:rsidRDefault="006145DB" w:rsidP="006145DB">
      <w:pPr>
        <w:pStyle w:val="ListParagraph"/>
        <w:widowControl w:val="0"/>
        <w:numPr>
          <w:ilvl w:val="0"/>
          <w:numId w:val="1"/>
        </w:numPr>
        <w:autoSpaceDE w:val="0"/>
        <w:autoSpaceDN w:val="0"/>
        <w:spacing w:line="240" w:lineRule="auto"/>
        <w:jc w:val="both"/>
        <w:rPr>
          <w:rFonts w:ascii="Arial" w:eastAsia="Times New Roman" w:hAnsi="Arial" w:cs="Arial"/>
          <w:color w:val="222222"/>
          <w:sz w:val="20"/>
          <w:szCs w:val="20"/>
          <w:shd w:val="clear" w:color="auto" w:fill="FFFFFF"/>
          <w:lang w:val="en-US"/>
        </w:rPr>
      </w:pPr>
      <w:r w:rsidRPr="00911623">
        <w:rPr>
          <w:rFonts w:ascii="Arial" w:eastAsia="Times New Roman" w:hAnsi="Arial" w:cs="Arial"/>
          <w:color w:val="222222"/>
          <w:sz w:val="20"/>
          <w:szCs w:val="20"/>
          <w:shd w:val="clear" w:color="auto" w:fill="FFFFFF"/>
          <w:lang w:val="en-US"/>
        </w:rPr>
        <w:t xml:space="preserve">Sangeetha, R. </w:t>
      </w:r>
      <w:r w:rsidR="00911623" w:rsidRPr="00911623">
        <w:rPr>
          <w:rFonts w:ascii="Arial" w:eastAsia="Times New Roman" w:hAnsi="Arial" w:cs="Arial"/>
          <w:color w:val="222222"/>
          <w:sz w:val="20"/>
          <w:szCs w:val="20"/>
          <w:shd w:val="clear" w:color="auto" w:fill="FFFFFF"/>
          <w:lang w:val="en-US"/>
        </w:rPr>
        <w:t>&amp;</w:t>
      </w:r>
      <w:r w:rsidRPr="00911623">
        <w:rPr>
          <w:rFonts w:ascii="Arial" w:eastAsia="Times New Roman" w:hAnsi="Arial" w:cs="Arial"/>
          <w:color w:val="222222"/>
          <w:sz w:val="20"/>
          <w:szCs w:val="20"/>
          <w:shd w:val="clear" w:color="auto" w:fill="FFFFFF"/>
          <w:lang w:val="en-US"/>
        </w:rPr>
        <w:t xml:space="preserve"> Rajakrishnan, M. </w:t>
      </w:r>
      <w:r w:rsidR="00911623" w:rsidRPr="00911623">
        <w:rPr>
          <w:rFonts w:ascii="Arial" w:eastAsia="Times New Roman" w:hAnsi="Arial" w:cs="Arial"/>
          <w:color w:val="222222"/>
          <w:sz w:val="20"/>
          <w:szCs w:val="20"/>
          <w:shd w:val="clear" w:color="auto" w:fill="FFFFFF"/>
          <w:lang w:val="en-US"/>
        </w:rPr>
        <w:t>(</w:t>
      </w:r>
      <w:r w:rsidRPr="00911623">
        <w:rPr>
          <w:rFonts w:ascii="Arial" w:eastAsia="Times New Roman" w:hAnsi="Arial" w:cs="Arial"/>
          <w:color w:val="222222"/>
          <w:sz w:val="20"/>
          <w:szCs w:val="20"/>
          <w:shd w:val="clear" w:color="auto" w:fill="FFFFFF"/>
          <w:lang w:val="en-US"/>
        </w:rPr>
        <w:t>2022</w:t>
      </w:r>
      <w:r w:rsidR="00911623" w:rsidRPr="00911623">
        <w:rPr>
          <w:rFonts w:ascii="Arial" w:eastAsia="Times New Roman" w:hAnsi="Arial" w:cs="Arial"/>
          <w:color w:val="222222"/>
          <w:sz w:val="20"/>
          <w:szCs w:val="20"/>
          <w:shd w:val="clear" w:color="auto" w:fill="FFFFFF"/>
          <w:lang w:val="en-US"/>
        </w:rPr>
        <w:t>)</w:t>
      </w:r>
      <w:r w:rsidRPr="00911623">
        <w:rPr>
          <w:rFonts w:ascii="Arial" w:eastAsia="Times New Roman" w:hAnsi="Arial" w:cs="Arial"/>
          <w:color w:val="222222"/>
          <w:sz w:val="20"/>
          <w:szCs w:val="20"/>
          <w:shd w:val="clear" w:color="auto" w:fill="FFFFFF"/>
          <w:lang w:val="en-US"/>
        </w:rPr>
        <w:t xml:space="preserve">. Consumer Behavior Towards Purchase of Organic Food </w:t>
      </w:r>
      <w:r w:rsidRPr="00911623">
        <w:rPr>
          <w:rFonts w:ascii="Arial" w:eastAsia="Times New Roman" w:hAnsi="Arial" w:cs="Arial"/>
          <w:color w:val="222222"/>
          <w:sz w:val="20"/>
          <w:szCs w:val="20"/>
          <w:shd w:val="clear" w:color="auto" w:fill="FFFFFF"/>
          <w:lang w:val="en-US"/>
        </w:rPr>
        <w:lastRenderedPageBreak/>
        <w:t>Products in Coimbatore City–An Empirical Study. International Journal for Modern Trends in Science and Technology, 8(12): 117-122.</w:t>
      </w:r>
    </w:p>
    <w:p w14:paraId="0D26106D" w14:textId="266DEEF4" w:rsidR="006145DB" w:rsidRPr="00911623" w:rsidRDefault="006145DB" w:rsidP="006145DB">
      <w:pPr>
        <w:pStyle w:val="ListParagraph"/>
        <w:numPr>
          <w:ilvl w:val="0"/>
          <w:numId w:val="1"/>
        </w:numPr>
        <w:spacing w:line="240" w:lineRule="auto"/>
        <w:jc w:val="both"/>
        <w:rPr>
          <w:rFonts w:ascii="Arial" w:hAnsi="Arial" w:cs="Arial"/>
          <w:sz w:val="20"/>
          <w:szCs w:val="20"/>
        </w:rPr>
      </w:pPr>
      <w:r w:rsidRPr="00911623">
        <w:rPr>
          <w:rFonts w:ascii="Arial" w:hAnsi="Arial" w:cs="Arial"/>
          <w:sz w:val="20"/>
          <w:szCs w:val="20"/>
        </w:rPr>
        <w:t xml:space="preserve">Thanki, S., Guru, S., </w:t>
      </w:r>
      <w:r w:rsidR="00911623" w:rsidRPr="00911623">
        <w:rPr>
          <w:rFonts w:ascii="Arial" w:hAnsi="Arial" w:cs="Arial"/>
          <w:sz w:val="20"/>
          <w:szCs w:val="20"/>
        </w:rPr>
        <w:t>&amp;</w:t>
      </w:r>
      <w:r w:rsidRPr="00911623">
        <w:rPr>
          <w:rFonts w:ascii="Arial" w:hAnsi="Arial" w:cs="Arial"/>
          <w:sz w:val="20"/>
          <w:szCs w:val="20"/>
        </w:rPr>
        <w:t xml:space="preserve"> Shah, B. (2024) </w:t>
      </w:r>
      <w:proofErr w:type="spellStart"/>
      <w:r w:rsidRPr="00911623">
        <w:rPr>
          <w:rFonts w:ascii="Arial" w:hAnsi="Arial" w:cs="Arial"/>
          <w:sz w:val="20"/>
          <w:szCs w:val="20"/>
        </w:rPr>
        <w:t>Analyzing</w:t>
      </w:r>
      <w:proofErr w:type="spellEnd"/>
      <w:r w:rsidRPr="00911623">
        <w:rPr>
          <w:rFonts w:ascii="Arial" w:hAnsi="Arial" w:cs="Arial"/>
          <w:sz w:val="20"/>
          <w:szCs w:val="20"/>
        </w:rPr>
        <w:t xml:space="preserve"> barriers for organic food consumption in India: a DEMATEL-based approach. British Food Journal. 126 (12): 4459–4484. </w:t>
      </w:r>
      <w:hyperlink r:id="rId17" w:tgtFrame="_blank" w:history="1">
        <w:r w:rsidRPr="00911623">
          <w:rPr>
            <w:rStyle w:val="Hyperlink"/>
            <w:rFonts w:ascii="Arial" w:hAnsi="Arial" w:cs="Arial"/>
            <w:sz w:val="20"/>
            <w:szCs w:val="20"/>
          </w:rPr>
          <w:t>https://doi.org/10.1108/BFJ-06-2024-0598</w:t>
        </w:r>
      </w:hyperlink>
    </w:p>
    <w:p w14:paraId="0850E122" w14:textId="38C08143" w:rsidR="006145DB" w:rsidRPr="00911623" w:rsidRDefault="006145DB" w:rsidP="006145DB">
      <w:pPr>
        <w:pStyle w:val="ListParagraph"/>
        <w:numPr>
          <w:ilvl w:val="0"/>
          <w:numId w:val="1"/>
        </w:numPr>
        <w:spacing w:line="240" w:lineRule="auto"/>
        <w:jc w:val="both"/>
        <w:rPr>
          <w:rFonts w:ascii="Arial" w:hAnsi="Arial" w:cs="Arial"/>
          <w:bCs/>
          <w:sz w:val="20"/>
          <w:szCs w:val="20"/>
          <w:lang w:val="en-US"/>
        </w:rPr>
      </w:pPr>
      <w:r w:rsidRPr="00911623">
        <w:rPr>
          <w:rFonts w:ascii="Arial" w:hAnsi="Arial" w:cs="Arial"/>
          <w:bCs/>
          <w:sz w:val="20"/>
          <w:szCs w:val="20"/>
          <w:lang w:val="en-US"/>
        </w:rPr>
        <w:t xml:space="preserve">Reddy, R. </w:t>
      </w:r>
      <w:r w:rsidR="00911623" w:rsidRPr="00911623">
        <w:rPr>
          <w:rFonts w:ascii="Arial" w:hAnsi="Arial" w:cs="Arial"/>
          <w:bCs/>
          <w:sz w:val="20"/>
          <w:szCs w:val="20"/>
          <w:lang w:val="en-US"/>
        </w:rPr>
        <w:t>&amp;</w:t>
      </w:r>
      <w:r w:rsidRPr="00911623">
        <w:rPr>
          <w:rFonts w:ascii="Arial" w:hAnsi="Arial" w:cs="Arial"/>
          <w:bCs/>
          <w:sz w:val="20"/>
          <w:szCs w:val="20"/>
          <w:lang w:val="en-US"/>
        </w:rPr>
        <w:t xml:space="preserve"> Patel, D. 2023. A Study on Consumers’ Awareness and Preference towards Millets and Its Products in Vizianagaram District, Andhra Pradesh, India. Asian Journal of Agricultural Extension, Economics &amp; Sociology. 41(6): 9-16.</w:t>
      </w:r>
    </w:p>
    <w:p w14:paraId="21D981AC" w14:textId="44208495" w:rsidR="006145DB" w:rsidRPr="00911623" w:rsidRDefault="006145DB" w:rsidP="006145DB">
      <w:pPr>
        <w:pStyle w:val="ListParagraph"/>
        <w:numPr>
          <w:ilvl w:val="0"/>
          <w:numId w:val="1"/>
        </w:numPr>
        <w:spacing w:line="240" w:lineRule="auto"/>
        <w:jc w:val="both"/>
        <w:rPr>
          <w:rFonts w:ascii="Arial" w:hAnsi="Arial" w:cs="Arial"/>
          <w:sz w:val="20"/>
          <w:szCs w:val="20"/>
          <w:lang w:val="en-US"/>
        </w:rPr>
      </w:pPr>
      <w:r w:rsidRPr="00911623">
        <w:rPr>
          <w:rFonts w:ascii="Arial" w:hAnsi="Arial" w:cs="Arial"/>
          <w:sz w:val="20"/>
          <w:szCs w:val="20"/>
          <w:lang w:val="en-US"/>
        </w:rPr>
        <w:t xml:space="preserve">Reddy, M.M., Babu, G.P., Vasanthi, R. </w:t>
      </w:r>
      <w:r w:rsidR="00911623" w:rsidRPr="00911623">
        <w:rPr>
          <w:rFonts w:ascii="Arial" w:hAnsi="Arial" w:cs="Arial"/>
          <w:sz w:val="20"/>
          <w:szCs w:val="20"/>
          <w:lang w:val="en-US"/>
        </w:rPr>
        <w:t>&amp;</w:t>
      </w:r>
      <w:r w:rsidRPr="00911623">
        <w:rPr>
          <w:rFonts w:ascii="Arial" w:hAnsi="Arial" w:cs="Arial"/>
          <w:sz w:val="20"/>
          <w:szCs w:val="20"/>
          <w:lang w:val="en-US"/>
        </w:rPr>
        <w:t xml:space="preserve"> Murthy, B.R. (2023). Factors influencing the consumption pattern of millets and millet-based products in Kurnool district of Andhra Pradesh. Andhra Pradesh Journal of Agricultural Science. 9(4): 254-256.</w:t>
      </w:r>
    </w:p>
    <w:p w14:paraId="30507B0A" w14:textId="2C384688" w:rsidR="006145DB" w:rsidRPr="00911623" w:rsidRDefault="006145DB" w:rsidP="006145DB">
      <w:pPr>
        <w:pStyle w:val="ListParagraph"/>
        <w:numPr>
          <w:ilvl w:val="0"/>
          <w:numId w:val="1"/>
        </w:numPr>
        <w:spacing w:line="240" w:lineRule="auto"/>
        <w:jc w:val="both"/>
        <w:rPr>
          <w:rFonts w:ascii="Arial" w:hAnsi="Arial" w:cs="Arial"/>
          <w:sz w:val="20"/>
          <w:szCs w:val="20"/>
        </w:rPr>
      </w:pPr>
      <w:r w:rsidRPr="00911623">
        <w:rPr>
          <w:rFonts w:ascii="Arial" w:hAnsi="Arial" w:cs="Arial"/>
          <w:sz w:val="20"/>
          <w:szCs w:val="20"/>
        </w:rPr>
        <w:t xml:space="preserve">Vaswani, L., Mathur, A., Beniwal, A. </w:t>
      </w:r>
      <w:r w:rsidR="00911623" w:rsidRPr="00911623">
        <w:rPr>
          <w:rFonts w:ascii="Arial" w:hAnsi="Arial" w:cs="Arial"/>
          <w:sz w:val="20"/>
          <w:szCs w:val="20"/>
        </w:rPr>
        <w:t>&amp;</w:t>
      </w:r>
      <w:r w:rsidRPr="00911623">
        <w:rPr>
          <w:rFonts w:ascii="Arial" w:hAnsi="Arial" w:cs="Arial"/>
          <w:sz w:val="20"/>
          <w:szCs w:val="20"/>
        </w:rPr>
        <w:t xml:space="preserve"> Saharan, H. (2024). Market Dynamics and Consumer Insights for Value-Added Pearl Millet Products: Empirical Evidence from Rajasthan, India. Asian Journal of Agricultural Extension, Economics &amp; Sociology. 42(10): 91-100.</w:t>
      </w:r>
    </w:p>
    <w:p w14:paraId="1A8CFEC5" w14:textId="274AB50E" w:rsidR="006145DB" w:rsidRPr="00911623" w:rsidRDefault="006145DB" w:rsidP="006145DB">
      <w:pPr>
        <w:pStyle w:val="ListParagraph"/>
        <w:numPr>
          <w:ilvl w:val="0"/>
          <w:numId w:val="1"/>
        </w:numPr>
        <w:spacing w:line="240" w:lineRule="auto"/>
        <w:jc w:val="both"/>
        <w:rPr>
          <w:rFonts w:ascii="Arial" w:hAnsi="Arial" w:cs="Arial"/>
          <w:sz w:val="20"/>
          <w:szCs w:val="20"/>
          <w:lang w:val="en-US"/>
        </w:rPr>
      </w:pPr>
      <w:r w:rsidRPr="00911623">
        <w:rPr>
          <w:rFonts w:ascii="Arial" w:hAnsi="Arial" w:cs="Arial"/>
          <w:sz w:val="20"/>
          <w:szCs w:val="20"/>
          <w:lang w:val="en-US"/>
        </w:rPr>
        <w:t>Pathak, H., Kiran, K.</w:t>
      </w:r>
      <w:r w:rsidR="00010057">
        <w:rPr>
          <w:rFonts w:ascii="Arial" w:hAnsi="Arial" w:cs="Arial"/>
          <w:sz w:val="20"/>
          <w:szCs w:val="20"/>
          <w:lang w:val="en-US"/>
        </w:rPr>
        <w:t xml:space="preserve"> </w:t>
      </w:r>
      <w:r w:rsidRPr="00911623">
        <w:rPr>
          <w:rFonts w:ascii="Arial" w:hAnsi="Arial" w:cs="Arial"/>
          <w:sz w:val="20"/>
          <w:szCs w:val="20"/>
          <w:lang w:val="en-US"/>
        </w:rPr>
        <w:t>N.</w:t>
      </w:r>
      <w:r w:rsidR="00010057">
        <w:rPr>
          <w:rFonts w:ascii="Arial" w:hAnsi="Arial" w:cs="Arial"/>
          <w:sz w:val="20"/>
          <w:szCs w:val="20"/>
          <w:lang w:val="en-US"/>
        </w:rPr>
        <w:t xml:space="preserve"> </w:t>
      </w:r>
      <w:r w:rsidRPr="00911623">
        <w:rPr>
          <w:rFonts w:ascii="Arial" w:hAnsi="Arial" w:cs="Arial"/>
          <w:sz w:val="20"/>
          <w:szCs w:val="20"/>
          <w:lang w:val="en-US"/>
        </w:rPr>
        <w:t xml:space="preserve">M. </w:t>
      </w:r>
      <w:r w:rsidR="00911623" w:rsidRPr="00911623">
        <w:rPr>
          <w:rFonts w:ascii="Arial" w:hAnsi="Arial" w:cs="Arial"/>
          <w:sz w:val="20"/>
          <w:szCs w:val="20"/>
          <w:lang w:val="en-US"/>
        </w:rPr>
        <w:t>&amp;</w:t>
      </w:r>
      <w:r w:rsidRPr="00911623">
        <w:rPr>
          <w:rFonts w:ascii="Arial" w:hAnsi="Arial" w:cs="Arial"/>
          <w:sz w:val="20"/>
          <w:szCs w:val="20"/>
          <w:lang w:val="en-US"/>
        </w:rPr>
        <w:t xml:space="preserve"> </w:t>
      </w:r>
      <w:proofErr w:type="spellStart"/>
      <w:r w:rsidRPr="00911623">
        <w:rPr>
          <w:rFonts w:ascii="Arial" w:hAnsi="Arial" w:cs="Arial"/>
          <w:sz w:val="20"/>
          <w:szCs w:val="20"/>
          <w:lang w:val="en-US"/>
        </w:rPr>
        <w:t>Gauraha</w:t>
      </w:r>
      <w:proofErr w:type="spellEnd"/>
      <w:r w:rsidRPr="00911623">
        <w:rPr>
          <w:rFonts w:ascii="Arial" w:hAnsi="Arial" w:cs="Arial"/>
          <w:sz w:val="20"/>
          <w:szCs w:val="20"/>
          <w:lang w:val="en-US"/>
        </w:rPr>
        <w:t>, A.</w:t>
      </w:r>
      <w:r w:rsidR="00010057">
        <w:rPr>
          <w:rFonts w:ascii="Arial" w:hAnsi="Arial" w:cs="Arial"/>
          <w:sz w:val="20"/>
          <w:szCs w:val="20"/>
          <w:lang w:val="en-US"/>
        </w:rPr>
        <w:t xml:space="preserve"> </w:t>
      </w:r>
      <w:r w:rsidRPr="00911623">
        <w:rPr>
          <w:rFonts w:ascii="Arial" w:hAnsi="Arial" w:cs="Arial"/>
          <w:sz w:val="20"/>
          <w:szCs w:val="20"/>
          <w:lang w:val="en-US"/>
        </w:rPr>
        <w:t xml:space="preserve">K. </w:t>
      </w:r>
      <w:r w:rsidR="00010057">
        <w:rPr>
          <w:rFonts w:ascii="Arial" w:hAnsi="Arial" w:cs="Arial"/>
          <w:sz w:val="20"/>
          <w:szCs w:val="20"/>
          <w:lang w:val="en-US"/>
        </w:rPr>
        <w:t>(</w:t>
      </w:r>
      <w:r w:rsidRPr="00911623">
        <w:rPr>
          <w:rFonts w:ascii="Arial" w:hAnsi="Arial" w:cs="Arial"/>
          <w:sz w:val="20"/>
          <w:szCs w:val="20"/>
          <w:lang w:val="en-US"/>
        </w:rPr>
        <w:t>2023</w:t>
      </w:r>
      <w:r w:rsidR="00010057">
        <w:rPr>
          <w:rFonts w:ascii="Arial" w:hAnsi="Arial" w:cs="Arial"/>
          <w:sz w:val="20"/>
          <w:szCs w:val="20"/>
          <w:lang w:val="en-US"/>
        </w:rPr>
        <w:t>)</w:t>
      </w:r>
      <w:r w:rsidRPr="00911623">
        <w:rPr>
          <w:rFonts w:ascii="Arial" w:hAnsi="Arial" w:cs="Arial"/>
          <w:sz w:val="20"/>
          <w:szCs w:val="20"/>
          <w:lang w:val="en-US"/>
        </w:rPr>
        <w:t>. Consumer Awareness and Consumption Pattern of Millets and Millet-Based Products in Raipur City, Chhattisgarh. Indian Journal of Agricultural Economics. 78(3). 486-500.</w:t>
      </w:r>
    </w:p>
    <w:p w14:paraId="2E169C61" w14:textId="47A7036B" w:rsidR="006145DB" w:rsidRPr="00911623" w:rsidRDefault="006145DB" w:rsidP="006145DB">
      <w:pPr>
        <w:pStyle w:val="ListParagraph"/>
        <w:widowControl w:val="0"/>
        <w:numPr>
          <w:ilvl w:val="0"/>
          <w:numId w:val="1"/>
        </w:numPr>
        <w:autoSpaceDE w:val="0"/>
        <w:autoSpaceDN w:val="0"/>
        <w:spacing w:line="240" w:lineRule="auto"/>
        <w:jc w:val="both"/>
        <w:rPr>
          <w:rFonts w:ascii="Arial" w:eastAsia="Times New Roman" w:hAnsi="Arial" w:cs="Arial"/>
          <w:color w:val="000000"/>
          <w:sz w:val="20"/>
          <w:szCs w:val="20"/>
          <w:shd w:val="clear" w:color="auto" w:fill="FFFFFF"/>
          <w:lang w:val="en-US"/>
        </w:rPr>
      </w:pPr>
      <w:proofErr w:type="spellStart"/>
      <w:r w:rsidRPr="00911623">
        <w:rPr>
          <w:rFonts w:ascii="Arial" w:eastAsia="Times New Roman" w:hAnsi="Arial" w:cs="Arial"/>
          <w:color w:val="000000"/>
          <w:sz w:val="20"/>
          <w:szCs w:val="20"/>
          <w:shd w:val="clear" w:color="auto" w:fill="FFFFFF"/>
          <w:lang w:val="en-US"/>
        </w:rPr>
        <w:t>Shirahatti</w:t>
      </w:r>
      <w:proofErr w:type="spellEnd"/>
      <w:r w:rsidRPr="00911623">
        <w:rPr>
          <w:rFonts w:ascii="Arial" w:eastAsia="Times New Roman" w:hAnsi="Arial" w:cs="Arial"/>
          <w:color w:val="000000"/>
          <w:sz w:val="20"/>
          <w:szCs w:val="20"/>
          <w:shd w:val="clear" w:color="auto" w:fill="FFFFFF"/>
          <w:lang w:val="en-US"/>
        </w:rPr>
        <w:t xml:space="preserve">, D., </w:t>
      </w:r>
      <w:proofErr w:type="spellStart"/>
      <w:r w:rsidRPr="00911623">
        <w:rPr>
          <w:rFonts w:ascii="Arial" w:eastAsia="Times New Roman" w:hAnsi="Arial" w:cs="Arial"/>
          <w:color w:val="000000"/>
          <w:sz w:val="20"/>
          <w:szCs w:val="20"/>
          <w:shd w:val="clear" w:color="auto" w:fill="FFFFFF"/>
          <w:lang w:val="en-US"/>
        </w:rPr>
        <w:t>Nagadeepa</w:t>
      </w:r>
      <w:proofErr w:type="spellEnd"/>
      <w:r w:rsidRPr="00911623">
        <w:rPr>
          <w:rFonts w:ascii="Arial" w:eastAsia="Times New Roman" w:hAnsi="Arial" w:cs="Arial"/>
          <w:color w:val="000000"/>
          <w:sz w:val="20"/>
          <w:szCs w:val="20"/>
          <w:shd w:val="clear" w:color="auto" w:fill="FFFFFF"/>
          <w:lang w:val="en-US"/>
        </w:rPr>
        <w:t>, C., Singh, S.</w:t>
      </w:r>
      <w:r w:rsidR="00010057">
        <w:rPr>
          <w:rFonts w:ascii="Arial" w:eastAsia="Times New Roman" w:hAnsi="Arial" w:cs="Arial"/>
          <w:color w:val="000000"/>
          <w:sz w:val="20"/>
          <w:szCs w:val="20"/>
          <w:shd w:val="clear" w:color="auto" w:fill="FFFFFF"/>
          <w:lang w:val="en-US"/>
        </w:rPr>
        <w:t xml:space="preserve"> </w:t>
      </w:r>
      <w:r w:rsidRPr="00911623">
        <w:rPr>
          <w:rFonts w:ascii="Arial" w:eastAsia="Times New Roman" w:hAnsi="Arial" w:cs="Arial"/>
          <w:color w:val="000000"/>
          <w:sz w:val="20"/>
          <w:szCs w:val="20"/>
          <w:shd w:val="clear" w:color="auto" w:fill="FFFFFF"/>
          <w:lang w:val="en-US"/>
        </w:rPr>
        <w:t xml:space="preserve">K. </w:t>
      </w:r>
      <w:r w:rsidR="00911623" w:rsidRPr="00911623">
        <w:rPr>
          <w:rFonts w:ascii="Arial" w:eastAsia="Times New Roman" w:hAnsi="Arial" w:cs="Arial"/>
          <w:color w:val="000000"/>
          <w:sz w:val="20"/>
          <w:szCs w:val="20"/>
          <w:shd w:val="clear" w:color="auto" w:fill="FFFFFF"/>
          <w:lang w:val="en-US"/>
        </w:rPr>
        <w:t>&amp;</w:t>
      </w:r>
      <w:r w:rsidRPr="00911623">
        <w:rPr>
          <w:rFonts w:ascii="Arial" w:eastAsia="Times New Roman" w:hAnsi="Arial" w:cs="Arial"/>
          <w:color w:val="000000"/>
          <w:sz w:val="20"/>
          <w:szCs w:val="20"/>
          <w:shd w:val="clear" w:color="auto" w:fill="FFFFFF"/>
          <w:lang w:val="en-US"/>
        </w:rPr>
        <w:t xml:space="preserve"> </w:t>
      </w:r>
      <w:proofErr w:type="spellStart"/>
      <w:r w:rsidRPr="00911623">
        <w:rPr>
          <w:rFonts w:ascii="Arial" w:eastAsia="Times New Roman" w:hAnsi="Arial" w:cs="Arial"/>
          <w:color w:val="000000"/>
          <w:sz w:val="20"/>
          <w:szCs w:val="20"/>
          <w:shd w:val="clear" w:color="auto" w:fill="FFFFFF"/>
          <w:lang w:val="en-US"/>
        </w:rPr>
        <w:t>Koteswari</w:t>
      </w:r>
      <w:proofErr w:type="spellEnd"/>
      <w:r w:rsidRPr="00911623">
        <w:rPr>
          <w:rFonts w:ascii="Arial" w:eastAsia="Times New Roman" w:hAnsi="Arial" w:cs="Arial"/>
          <w:color w:val="000000"/>
          <w:sz w:val="20"/>
          <w:szCs w:val="20"/>
          <w:shd w:val="clear" w:color="auto" w:fill="FFFFFF"/>
          <w:lang w:val="en-US"/>
        </w:rPr>
        <w:t xml:space="preserve">, B. </w:t>
      </w:r>
      <w:r w:rsidR="00010057">
        <w:rPr>
          <w:rFonts w:ascii="Arial" w:eastAsia="Times New Roman" w:hAnsi="Arial" w:cs="Arial"/>
          <w:color w:val="000000"/>
          <w:sz w:val="20"/>
          <w:szCs w:val="20"/>
          <w:shd w:val="clear" w:color="auto" w:fill="FFFFFF"/>
          <w:lang w:val="en-US"/>
        </w:rPr>
        <w:t>(</w:t>
      </w:r>
      <w:r w:rsidRPr="00911623">
        <w:rPr>
          <w:rFonts w:ascii="Arial" w:eastAsia="Times New Roman" w:hAnsi="Arial" w:cs="Arial"/>
          <w:color w:val="000000"/>
          <w:sz w:val="20"/>
          <w:szCs w:val="20"/>
          <w:shd w:val="clear" w:color="auto" w:fill="FFFFFF"/>
          <w:lang w:val="en-US"/>
        </w:rPr>
        <w:t>2022</w:t>
      </w:r>
      <w:r w:rsidR="00010057">
        <w:rPr>
          <w:rFonts w:ascii="Arial" w:eastAsia="Times New Roman" w:hAnsi="Arial" w:cs="Arial"/>
          <w:color w:val="000000"/>
          <w:sz w:val="20"/>
          <w:szCs w:val="20"/>
          <w:shd w:val="clear" w:color="auto" w:fill="FFFFFF"/>
          <w:lang w:val="en-US"/>
        </w:rPr>
        <w:t>)</w:t>
      </w:r>
      <w:r w:rsidRPr="00911623">
        <w:rPr>
          <w:rFonts w:ascii="Arial" w:eastAsia="Times New Roman" w:hAnsi="Arial" w:cs="Arial"/>
          <w:color w:val="000000"/>
          <w:sz w:val="20"/>
          <w:szCs w:val="20"/>
          <w:shd w:val="clear" w:color="auto" w:fill="FFFFFF"/>
          <w:lang w:val="en-US"/>
        </w:rPr>
        <w:t>. Transformation towards Millets: Consumer Purchase Intention and Purchase Behaviour towards Consumer Satisfaction.</w:t>
      </w:r>
      <w:r w:rsidRPr="00911623">
        <w:rPr>
          <w:rFonts w:ascii="Arial" w:eastAsia="Times New Roman" w:hAnsi="Arial" w:cs="Arial"/>
          <w:sz w:val="20"/>
          <w:szCs w:val="20"/>
          <w:lang w:val="en-US"/>
        </w:rPr>
        <w:t xml:space="preserve"> </w:t>
      </w:r>
      <w:r w:rsidRPr="00911623">
        <w:rPr>
          <w:rFonts w:ascii="Arial" w:eastAsia="Times New Roman" w:hAnsi="Arial" w:cs="Arial"/>
          <w:color w:val="000000"/>
          <w:sz w:val="20"/>
          <w:szCs w:val="20"/>
          <w:shd w:val="clear" w:color="auto" w:fill="FFFFFF"/>
          <w:lang w:val="en-US"/>
        </w:rPr>
        <w:t>Empirical Economics Letters. 21 (2): 173-182.</w:t>
      </w:r>
    </w:p>
    <w:p w14:paraId="3479F80A" w14:textId="2677BCE9" w:rsidR="006145DB" w:rsidRPr="00911623" w:rsidRDefault="006145DB" w:rsidP="006145DB">
      <w:pPr>
        <w:pStyle w:val="ListParagraph"/>
        <w:numPr>
          <w:ilvl w:val="0"/>
          <w:numId w:val="1"/>
        </w:numPr>
        <w:spacing w:line="240" w:lineRule="auto"/>
        <w:jc w:val="both"/>
        <w:rPr>
          <w:rFonts w:ascii="Arial" w:hAnsi="Arial" w:cs="Arial"/>
          <w:sz w:val="20"/>
          <w:szCs w:val="20"/>
        </w:rPr>
      </w:pPr>
      <w:r w:rsidRPr="00911623">
        <w:rPr>
          <w:rFonts w:ascii="Arial" w:hAnsi="Arial" w:cs="Arial"/>
          <w:sz w:val="20"/>
          <w:szCs w:val="20"/>
        </w:rPr>
        <w:t xml:space="preserve">Shah, P., Joshi, R., Tripathy, N.P. </w:t>
      </w:r>
      <w:r w:rsidR="00911623" w:rsidRPr="00911623">
        <w:rPr>
          <w:rFonts w:ascii="Arial" w:hAnsi="Arial" w:cs="Arial"/>
          <w:sz w:val="20"/>
          <w:szCs w:val="20"/>
        </w:rPr>
        <w:t>&amp;</w:t>
      </w:r>
      <w:r w:rsidRPr="00911623">
        <w:rPr>
          <w:rFonts w:ascii="Arial" w:hAnsi="Arial" w:cs="Arial"/>
          <w:sz w:val="20"/>
          <w:szCs w:val="20"/>
        </w:rPr>
        <w:t xml:space="preserve"> Mehta, N., (2024). What are the drivers of millet-based food consumption in India? A Theory of Consumption Values (TCV) perspective. Journal of International Food &amp; Agribusiness Marketing, 37(9):1-24.</w:t>
      </w:r>
      <w:bookmarkStart w:id="5" w:name="_Hlk191327753"/>
    </w:p>
    <w:p w14:paraId="462D5BB5" w14:textId="77777777" w:rsidR="006145DB" w:rsidRPr="00911623" w:rsidRDefault="006145DB" w:rsidP="006145DB">
      <w:pPr>
        <w:pStyle w:val="ListParagraph"/>
        <w:numPr>
          <w:ilvl w:val="0"/>
          <w:numId w:val="1"/>
        </w:numPr>
        <w:spacing w:line="240" w:lineRule="auto"/>
        <w:jc w:val="both"/>
        <w:rPr>
          <w:rFonts w:ascii="Arial" w:hAnsi="Arial" w:cs="Arial"/>
          <w:sz w:val="20"/>
          <w:szCs w:val="20"/>
        </w:rPr>
      </w:pPr>
      <w:r w:rsidRPr="00911623">
        <w:rPr>
          <w:rFonts w:ascii="Arial" w:hAnsi="Arial" w:cs="Arial"/>
          <w:sz w:val="20"/>
          <w:szCs w:val="20"/>
        </w:rPr>
        <w:t>Reddy, A. A., Raju, S. S., Suresh, A., &amp; Kumar, P. (2018). Analysis of pearl millet market structure and value chain in India. Journal of Agribusiness in Developing and Emerging Economies, 8(2), 406-424.</w:t>
      </w:r>
    </w:p>
    <w:p w14:paraId="5523F632" w14:textId="4F8B7E01" w:rsidR="006145DB" w:rsidRPr="00911623" w:rsidRDefault="006145DB" w:rsidP="006145DB">
      <w:pPr>
        <w:pStyle w:val="ListParagraph"/>
        <w:numPr>
          <w:ilvl w:val="0"/>
          <w:numId w:val="1"/>
        </w:numPr>
        <w:spacing w:line="240" w:lineRule="auto"/>
        <w:jc w:val="both"/>
        <w:rPr>
          <w:rFonts w:ascii="Arial" w:hAnsi="Arial" w:cs="Arial"/>
          <w:sz w:val="20"/>
          <w:szCs w:val="20"/>
        </w:rPr>
      </w:pPr>
      <w:r w:rsidRPr="00911623">
        <w:rPr>
          <w:rFonts w:ascii="Arial" w:hAnsi="Arial" w:cs="Arial"/>
          <w:sz w:val="20"/>
          <w:szCs w:val="20"/>
          <w:lang w:val="en-US"/>
        </w:rPr>
        <w:t>Raju, S.</w:t>
      </w:r>
      <w:r w:rsidR="00010057">
        <w:rPr>
          <w:rFonts w:ascii="Arial" w:hAnsi="Arial" w:cs="Arial"/>
          <w:sz w:val="20"/>
          <w:szCs w:val="20"/>
          <w:lang w:val="en-US"/>
        </w:rPr>
        <w:t xml:space="preserve"> </w:t>
      </w:r>
      <w:r w:rsidRPr="00911623">
        <w:rPr>
          <w:rFonts w:ascii="Arial" w:hAnsi="Arial" w:cs="Arial"/>
          <w:sz w:val="20"/>
          <w:szCs w:val="20"/>
          <w:lang w:val="en-US"/>
        </w:rPr>
        <w:t xml:space="preserve">V. S. </w:t>
      </w:r>
      <w:r w:rsidR="00911623" w:rsidRPr="00911623">
        <w:rPr>
          <w:rFonts w:ascii="Arial" w:hAnsi="Arial" w:cs="Arial"/>
          <w:sz w:val="20"/>
          <w:szCs w:val="20"/>
          <w:lang w:val="en-US"/>
        </w:rPr>
        <w:t>&amp;</w:t>
      </w:r>
      <w:r w:rsidRPr="00911623">
        <w:rPr>
          <w:rFonts w:ascii="Arial" w:hAnsi="Arial" w:cs="Arial"/>
          <w:sz w:val="20"/>
          <w:szCs w:val="20"/>
          <w:lang w:val="en-US"/>
        </w:rPr>
        <w:t xml:space="preserve"> Rukmani, A.</w:t>
      </w:r>
      <w:r w:rsidR="00010057">
        <w:rPr>
          <w:rFonts w:ascii="Arial" w:hAnsi="Arial" w:cs="Arial"/>
          <w:sz w:val="20"/>
          <w:szCs w:val="20"/>
          <w:lang w:val="en-US"/>
        </w:rPr>
        <w:t xml:space="preserve"> (</w:t>
      </w:r>
      <w:r w:rsidRPr="00911623">
        <w:rPr>
          <w:rFonts w:ascii="Arial" w:hAnsi="Arial" w:cs="Arial"/>
          <w:sz w:val="20"/>
          <w:szCs w:val="20"/>
          <w:lang w:val="en-US"/>
        </w:rPr>
        <w:t>2022</w:t>
      </w:r>
      <w:r w:rsidR="00010057">
        <w:rPr>
          <w:rFonts w:ascii="Arial" w:hAnsi="Arial" w:cs="Arial"/>
          <w:sz w:val="20"/>
          <w:szCs w:val="20"/>
          <w:lang w:val="en-US"/>
        </w:rPr>
        <w:t>)</w:t>
      </w:r>
      <w:r w:rsidRPr="00911623">
        <w:rPr>
          <w:rFonts w:ascii="Arial" w:hAnsi="Arial" w:cs="Arial"/>
          <w:sz w:val="20"/>
          <w:szCs w:val="20"/>
          <w:lang w:val="en-US"/>
        </w:rPr>
        <w:t>. Factors influencing consumer buying behavior towards organic millets and pulses in Hyderabad city–a study. International journal of economic perspectives. 16(1): 32-44.</w:t>
      </w:r>
    </w:p>
    <w:p w14:paraId="5FA8D09A" w14:textId="6F75AE14" w:rsidR="006145DB" w:rsidRPr="00911623" w:rsidRDefault="006145DB" w:rsidP="00BF0D8B">
      <w:pPr>
        <w:pStyle w:val="ListParagraph"/>
        <w:numPr>
          <w:ilvl w:val="0"/>
          <w:numId w:val="1"/>
        </w:numPr>
        <w:spacing w:line="240" w:lineRule="auto"/>
        <w:jc w:val="both"/>
        <w:rPr>
          <w:rFonts w:ascii="Arial" w:hAnsi="Arial" w:cs="Arial"/>
          <w:sz w:val="20"/>
          <w:szCs w:val="20"/>
        </w:rPr>
      </w:pPr>
      <w:r w:rsidRPr="00911623">
        <w:rPr>
          <w:rFonts w:ascii="Arial" w:hAnsi="Arial" w:cs="Arial"/>
          <w:sz w:val="20"/>
          <w:szCs w:val="20"/>
        </w:rPr>
        <w:t>Likert, R. 1932. A technique for the measurement of attitudes. Archives of Psychology, 140: 1–55.</w:t>
      </w:r>
      <w:bookmarkEnd w:id="5"/>
    </w:p>
    <w:p w14:paraId="7CB828C7" w14:textId="6FD8A559" w:rsidR="00911623" w:rsidRPr="00911623" w:rsidRDefault="00911623" w:rsidP="00911623">
      <w:pPr>
        <w:pStyle w:val="ListParagraph"/>
        <w:widowControl w:val="0"/>
        <w:numPr>
          <w:ilvl w:val="0"/>
          <w:numId w:val="1"/>
        </w:numPr>
        <w:autoSpaceDE w:val="0"/>
        <w:autoSpaceDN w:val="0"/>
        <w:spacing w:line="276" w:lineRule="auto"/>
        <w:jc w:val="both"/>
        <w:rPr>
          <w:rFonts w:ascii="Arial" w:eastAsia="Times New Roman" w:hAnsi="Arial" w:cs="Arial"/>
          <w:bCs/>
          <w:color w:val="000000"/>
          <w:sz w:val="20"/>
          <w:szCs w:val="20"/>
          <w:lang w:val="en-US"/>
        </w:rPr>
      </w:pPr>
      <w:r w:rsidRPr="00911623">
        <w:rPr>
          <w:rFonts w:ascii="Arial" w:eastAsia="Times New Roman" w:hAnsi="Arial" w:cs="Arial"/>
          <w:bCs/>
          <w:color w:val="000000"/>
          <w:sz w:val="20"/>
          <w:szCs w:val="20"/>
          <w:lang w:val="en-US"/>
        </w:rPr>
        <w:t xml:space="preserve">Kalra, S., Dixit, S. </w:t>
      </w:r>
      <w:r w:rsidR="00010057">
        <w:rPr>
          <w:rFonts w:ascii="Arial" w:eastAsia="Times New Roman" w:hAnsi="Arial" w:cs="Arial"/>
          <w:bCs/>
          <w:color w:val="000000"/>
          <w:sz w:val="20"/>
          <w:szCs w:val="20"/>
          <w:lang w:val="en-US"/>
        </w:rPr>
        <w:t>&amp;</w:t>
      </w:r>
      <w:r w:rsidRPr="00911623">
        <w:rPr>
          <w:rFonts w:ascii="Arial" w:eastAsia="Times New Roman" w:hAnsi="Arial" w:cs="Arial"/>
          <w:bCs/>
          <w:color w:val="000000"/>
          <w:sz w:val="20"/>
          <w:szCs w:val="20"/>
          <w:lang w:val="en-US"/>
        </w:rPr>
        <w:t xml:space="preserve"> Lyall, B.</w:t>
      </w:r>
      <w:r w:rsidR="00010057">
        <w:rPr>
          <w:rFonts w:ascii="Arial" w:eastAsia="Times New Roman" w:hAnsi="Arial" w:cs="Arial"/>
          <w:bCs/>
          <w:color w:val="000000"/>
          <w:sz w:val="20"/>
          <w:szCs w:val="20"/>
          <w:lang w:val="en-US"/>
        </w:rPr>
        <w:t xml:space="preserve"> </w:t>
      </w:r>
      <w:r w:rsidRPr="00911623">
        <w:rPr>
          <w:rFonts w:ascii="Arial" w:eastAsia="Times New Roman" w:hAnsi="Arial" w:cs="Arial"/>
          <w:bCs/>
          <w:color w:val="000000"/>
          <w:sz w:val="20"/>
          <w:szCs w:val="20"/>
          <w:lang w:val="en-US"/>
        </w:rPr>
        <w:t xml:space="preserve">W., </w:t>
      </w:r>
      <w:r w:rsidR="00010057">
        <w:rPr>
          <w:rFonts w:ascii="Arial" w:eastAsia="Times New Roman" w:hAnsi="Arial" w:cs="Arial"/>
          <w:bCs/>
          <w:color w:val="000000"/>
          <w:sz w:val="20"/>
          <w:szCs w:val="20"/>
          <w:lang w:val="en-US"/>
        </w:rPr>
        <w:t>(</w:t>
      </w:r>
      <w:r w:rsidRPr="00911623">
        <w:rPr>
          <w:rFonts w:ascii="Arial" w:eastAsia="Times New Roman" w:hAnsi="Arial" w:cs="Arial"/>
          <w:bCs/>
          <w:color w:val="000000"/>
          <w:sz w:val="20"/>
          <w:szCs w:val="20"/>
          <w:lang w:val="en-US"/>
        </w:rPr>
        <w:t>2020</w:t>
      </w:r>
      <w:r w:rsidR="00010057">
        <w:rPr>
          <w:rFonts w:ascii="Arial" w:eastAsia="Times New Roman" w:hAnsi="Arial" w:cs="Arial"/>
          <w:bCs/>
          <w:color w:val="000000"/>
          <w:sz w:val="20"/>
          <w:szCs w:val="20"/>
          <w:lang w:val="en-US"/>
        </w:rPr>
        <w:t>)</w:t>
      </w:r>
      <w:r w:rsidRPr="00911623">
        <w:rPr>
          <w:rFonts w:ascii="Arial" w:eastAsia="Times New Roman" w:hAnsi="Arial" w:cs="Arial"/>
          <w:bCs/>
          <w:color w:val="000000"/>
          <w:sz w:val="20"/>
          <w:szCs w:val="20"/>
          <w:lang w:val="en-US"/>
        </w:rPr>
        <w:t>. Impact of consumer perception on demand of organic food products in India. International Journal of Science and Technology Research. 9:1084-092.</w:t>
      </w:r>
    </w:p>
    <w:p w14:paraId="10A418EC" w14:textId="77777777" w:rsidR="00911623" w:rsidRPr="00911623" w:rsidRDefault="00911623" w:rsidP="00911623">
      <w:pPr>
        <w:pStyle w:val="ListParagraph"/>
        <w:spacing w:line="240" w:lineRule="auto"/>
        <w:ind w:left="360"/>
        <w:jc w:val="both"/>
        <w:rPr>
          <w:rFonts w:ascii="Arial" w:hAnsi="Arial" w:cs="Arial"/>
          <w:sz w:val="20"/>
          <w:szCs w:val="20"/>
        </w:rPr>
      </w:pPr>
    </w:p>
    <w:sectPr w:rsidR="00911623" w:rsidRPr="00911623" w:rsidSect="0001005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18DFE" w14:textId="77777777" w:rsidR="00000089" w:rsidRDefault="00000089" w:rsidP="00835CD4">
      <w:pPr>
        <w:spacing w:after="0" w:line="240" w:lineRule="auto"/>
      </w:pPr>
      <w:r>
        <w:separator/>
      </w:r>
    </w:p>
  </w:endnote>
  <w:endnote w:type="continuationSeparator" w:id="0">
    <w:p w14:paraId="58208E53" w14:textId="77777777" w:rsidR="00000089" w:rsidRDefault="00000089" w:rsidP="0083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92805" w14:textId="77777777" w:rsidR="00427CB6" w:rsidRDefault="00427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BE41E" w14:textId="77777777" w:rsidR="00427CB6" w:rsidRDefault="00427C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BD0F3" w14:textId="77777777" w:rsidR="00427CB6" w:rsidRDefault="00427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6FCDC" w14:textId="77777777" w:rsidR="00000089" w:rsidRDefault="00000089" w:rsidP="00835CD4">
      <w:pPr>
        <w:spacing w:after="0" w:line="240" w:lineRule="auto"/>
      </w:pPr>
      <w:r>
        <w:separator/>
      </w:r>
    </w:p>
  </w:footnote>
  <w:footnote w:type="continuationSeparator" w:id="0">
    <w:p w14:paraId="1BE2F5BD" w14:textId="77777777" w:rsidR="00000089" w:rsidRDefault="00000089" w:rsidP="00835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8861" w14:textId="1E7C2841" w:rsidR="00427CB6" w:rsidRDefault="00427CB6">
    <w:pPr>
      <w:pStyle w:val="Header"/>
    </w:pPr>
    <w:r>
      <w:rPr>
        <w:noProof/>
      </w:rPr>
      <w:pict w14:anchorId="1BA4D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6350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74123" w14:textId="6A273274" w:rsidR="00427CB6" w:rsidRDefault="00427CB6">
    <w:pPr>
      <w:pStyle w:val="Header"/>
    </w:pPr>
    <w:r>
      <w:rPr>
        <w:noProof/>
      </w:rPr>
      <w:pict w14:anchorId="017B1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6350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DFF0E" w14:textId="20B08312" w:rsidR="00427CB6" w:rsidRDefault="00427CB6">
    <w:pPr>
      <w:pStyle w:val="Header"/>
    </w:pPr>
    <w:r>
      <w:rPr>
        <w:noProof/>
      </w:rPr>
      <w:pict w14:anchorId="0586D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6350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320E53"/>
    <w:multiLevelType w:val="hybridMultilevel"/>
    <w:tmpl w:val="5AC0CDD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81F"/>
    <w:rsid w:val="00000089"/>
    <w:rsid w:val="00010057"/>
    <w:rsid w:val="00042E26"/>
    <w:rsid w:val="0008117A"/>
    <w:rsid w:val="000B2F14"/>
    <w:rsid w:val="001058CB"/>
    <w:rsid w:val="001403BA"/>
    <w:rsid w:val="001417C7"/>
    <w:rsid w:val="0017148B"/>
    <w:rsid w:val="001719DA"/>
    <w:rsid w:val="001F0A20"/>
    <w:rsid w:val="001F2AD7"/>
    <w:rsid w:val="002409B0"/>
    <w:rsid w:val="00252BB7"/>
    <w:rsid w:val="00271AB1"/>
    <w:rsid w:val="002A2480"/>
    <w:rsid w:val="002B00E6"/>
    <w:rsid w:val="002B65D5"/>
    <w:rsid w:val="002C5759"/>
    <w:rsid w:val="002D04E2"/>
    <w:rsid w:val="002D4D0B"/>
    <w:rsid w:val="003110DE"/>
    <w:rsid w:val="00332183"/>
    <w:rsid w:val="0039361D"/>
    <w:rsid w:val="00427CB6"/>
    <w:rsid w:val="0046264F"/>
    <w:rsid w:val="004A368A"/>
    <w:rsid w:val="004D7B2F"/>
    <w:rsid w:val="004E043A"/>
    <w:rsid w:val="00531E71"/>
    <w:rsid w:val="005439BF"/>
    <w:rsid w:val="0056318F"/>
    <w:rsid w:val="005640FB"/>
    <w:rsid w:val="005B7936"/>
    <w:rsid w:val="005C083B"/>
    <w:rsid w:val="005C781F"/>
    <w:rsid w:val="005D6782"/>
    <w:rsid w:val="006145DB"/>
    <w:rsid w:val="00663101"/>
    <w:rsid w:val="006B28DC"/>
    <w:rsid w:val="006E522F"/>
    <w:rsid w:val="00722C44"/>
    <w:rsid w:val="00731337"/>
    <w:rsid w:val="00735BB2"/>
    <w:rsid w:val="007A2D3E"/>
    <w:rsid w:val="007B7FB6"/>
    <w:rsid w:val="007F16BE"/>
    <w:rsid w:val="00835CD4"/>
    <w:rsid w:val="008B54B7"/>
    <w:rsid w:val="009021B2"/>
    <w:rsid w:val="00911623"/>
    <w:rsid w:val="0093757F"/>
    <w:rsid w:val="009470FC"/>
    <w:rsid w:val="009539C4"/>
    <w:rsid w:val="0096773D"/>
    <w:rsid w:val="0099687A"/>
    <w:rsid w:val="009F588C"/>
    <w:rsid w:val="00A629BD"/>
    <w:rsid w:val="00AD53FA"/>
    <w:rsid w:val="00B03ABF"/>
    <w:rsid w:val="00BE068F"/>
    <w:rsid w:val="00C55EFC"/>
    <w:rsid w:val="00C92889"/>
    <w:rsid w:val="00D04F95"/>
    <w:rsid w:val="00D10B83"/>
    <w:rsid w:val="00D268B4"/>
    <w:rsid w:val="00D80992"/>
    <w:rsid w:val="00DD6B1F"/>
    <w:rsid w:val="00DE30E0"/>
    <w:rsid w:val="00E44711"/>
    <w:rsid w:val="00E81B82"/>
    <w:rsid w:val="00EA3EF7"/>
    <w:rsid w:val="00EB5CD3"/>
    <w:rsid w:val="00ED078E"/>
    <w:rsid w:val="00EE78AA"/>
    <w:rsid w:val="00F054DF"/>
    <w:rsid w:val="00F13AF1"/>
    <w:rsid w:val="00F201F7"/>
    <w:rsid w:val="00FC03A6"/>
    <w:rsid w:val="00FC39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CAB580"/>
  <w15:chartTrackingRefBased/>
  <w15:docId w15:val="{6994CAF9-9589-48A2-908A-448EFD1D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F16BE"/>
    <w:rPr>
      <w:b/>
      <w:bCs/>
    </w:rPr>
  </w:style>
  <w:style w:type="character" w:styleId="Hyperlink">
    <w:name w:val="Hyperlink"/>
    <w:basedOn w:val="DefaultParagraphFont"/>
    <w:uiPriority w:val="99"/>
    <w:unhideWhenUsed/>
    <w:rsid w:val="009539C4"/>
    <w:rPr>
      <w:color w:val="0563C1" w:themeColor="hyperlink"/>
      <w:u w:val="single"/>
    </w:rPr>
  </w:style>
  <w:style w:type="character" w:styleId="UnresolvedMention">
    <w:name w:val="Unresolved Mention"/>
    <w:basedOn w:val="DefaultParagraphFont"/>
    <w:uiPriority w:val="99"/>
    <w:semiHidden/>
    <w:unhideWhenUsed/>
    <w:rsid w:val="009539C4"/>
    <w:rPr>
      <w:color w:val="605E5C"/>
      <w:shd w:val="clear" w:color="auto" w:fill="E1DFDD"/>
    </w:rPr>
  </w:style>
  <w:style w:type="paragraph" w:styleId="ListParagraph">
    <w:name w:val="List Paragraph"/>
    <w:basedOn w:val="Normal"/>
    <w:uiPriority w:val="34"/>
    <w:qFormat/>
    <w:rsid w:val="00663101"/>
    <w:pPr>
      <w:ind w:left="720"/>
      <w:contextualSpacing/>
    </w:pPr>
  </w:style>
  <w:style w:type="table" w:styleId="TableGrid">
    <w:name w:val="Table Grid"/>
    <w:basedOn w:val="TableNormal"/>
    <w:uiPriority w:val="39"/>
    <w:rsid w:val="00564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CD4"/>
  </w:style>
  <w:style w:type="paragraph" w:styleId="Footer">
    <w:name w:val="footer"/>
    <w:basedOn w:val="Normal"/>
    <w:link w:val="FooterChar"/>
    <w:uiPriority w:val="99"/>
    <w:unhideWhenUsed/>
    <w:rsid w:val="00835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CD4"/>
  </w:style>
  <w:style w:type="paragraph" w:styleId="NormalWeb">
    <w:name w:val="Normal (Web)"/>
    <w:basedOn w:val="Normal"/>
    <w:uiPriority w:val="99"/>
    <w:unhideWhenUsed/>
    <w:rsid w:val="004A368A"/>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026145">
      <w:bodyDiv w:val="1"/>
      <w:marLeft w:val="0"/>
      <w:marRight w:val="0"/>
      <w:marTop w:val="0"/>
      <w:marBottom w:val="0"/>
      <w:divBdr>
        <w:top w:val="none" w:sz="0" w:space="0" w:color="auto"/>
        <w:left w:val="none" w:sz="0" w:space="0" w:color="auto"/>
        <w:bottom w:val="none" w:sz="0" w:space="0" w:color="auto"/>
        <w:right w:val="none" w:sz="0" w:space="0" w:color="auto"/>
      </w:divBdr>
    </w:div>
    <w:div w:id="898445121">
      <w:bodyDiv w:val="1"/>
      <w:marLeft w:val="0"/>
      <w:marRight w:val="0"/>
      <w:marTop w:val="0"/>
      <w:marBottom w:val="0"/>
      <w:divBdr>
        <w:top w:val="none" w:sz="0" w:space="0" w:color="auto"/>
        <w:left w:val="none" w:sz="0" w:space="0" w:color="auto"/>
        <w:bottom w:val="none" w:sz="0" w:space="0" w:color="auto"/>
        <w:right w:val="none" w:sz="0" w:space="0" w:color="auto"/>
      </w:divBdr>
    </w:div>
    <w:div w:id="1139616624">
      <w:bodyDiv w:val="1"/>
      <w:marLeft w:val="0"/>
      <w:marRight w:val="0"/>
      <w:marTop w:val="0"/>
      <w:marBottom w:val="0"/>
      <w:divBdr>
        <w:top w:val="none" w:sz="0" w:space="0" w:color="auto"/>
        <w:left w:val="none" w:sz="0" w:space="0" w:color="auto"/>
        <w:bottom w:val="none" w:sz="0" w:space="0" w:color="auto"/>
        <w:right w:val="none" w:sz="0" w:space="0" w:color="auto"/>
      </w:divBdr>
    </w:div>
    <w:div w:id="1258708230">
      <w:bodyDiv w:val="1"/>
      <w:marLeft w:val="0"/>
      <w:marRight w:val="0"/>
      <w:marTop w:val="0"/>
      <w:marBottom w:val="0"/>
      <w:divBdr>
        <w:top w:val="none" w:sz="0" w:space="0" w:color="auto"/>
        <w:left w:val="none" w:sz="0" w:space="0" w:color="auto"/>
        <w:bottom w:val="none" w:sz="0" w:space="0" w:color="auto"/>
        <w:right w:val="none" w:sz="0" w:space="0" w:color="auto"/>
      </w:divBdr>
    </w:div>
    <w:div w:id="1974745779">
      <w:bodyDiv w:val="1"/>
      <w:marLeft w:val="0"/>
      <w:marRight w:val="0"/>
      <w:marTop w:val="0"/>
      <w:marBottom w:val="0"/>
      <w:divBdr>
        <w:top w:val="none" w:sz="0" w:space="0" w:color="auto"/>
        <w:left w:val="none" w:sz="0" w:space="0" w:color="auto"/>
        <w:bottom w:val="none" w:sz="0" w:space="0" w:color="auto"/>
        <w:right w:val="none" w:sz="0" w:space="0" w:color="auto"/>
      </w:divBdr>
    </w:div>
    <w:div w:id="214495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taylorfrancis.com/search?contributorName=Jyostnarani%20Pradhan&amp;contributorRole=editor&amp;redirectFromPDP=true&amp;context=ub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doi.org/10.1108/BFJ-06-2024-059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aylorfrancis.com/search?contributorName=Manasi%20Dash&amp;contributorRole=editor&amp;redirectFromPDP=true&amp;context=ub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aylorfrancis.com/search?contributorName=Kailash%20Chandra%20Samal&amp;contributorRole=editor&amp;redirectFromPDP=true&amp;context=ubx" TargetMode="External"/><Relationship Id="rId23"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taylorfrancis.com/search?contributorName=Jyoti%20Prakash%20Sahoo&amp;contributorRole=editor&amp;redirectFromPDP=true&amp;context=ubx"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ACER\Desktop\DATA%20PRIMARY%20COC\consumer%20survey.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ACER\Desktop\rnd\table%20%20rnd.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ACER\Desktop\rnd\table%20%20rnd.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ACER\Desktop\rnd\table%20%20rn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823772028496439"/>
          <c:y val="8.2089552238805971E-2"/>
          <c:w val="0.7656374849695512"/>
          <c:h val="0.65192678340580557"/>
        </c:manualLayout>
      </c:layout>
      <c:barChart>
        <c:barDir val="col"/>
        <c:grouping val="clustered"/>
        <c:varyColors val="0"/>
        <c:ser>
          <c:idx val="0"/>
          <c:order val="0"/>
          <c:tx>
            <c:strRef>
              <c:f>pattern!$X$126</c:f>
              <c:strCache>
                <c:ptCount val="1"/>
                <c:pt idx="0">
                  <c:v>Percentage of respondents</c:v>
                </c:pt>
              </c:strCache>
            </c:strRef>
          </c:tx>
          <c:spPr>
            <a:solidFill>
              <a:schemeClr val="accent1"/>
            </a:solidFill>
            <a:ln>
              <a:noFill/>
            </a:ln>
            <a:effectLst/>
          </c:spPr>
          <c:invertIfNegative val="0"/>
          <c:cat>
            <c:strRef>
              <c:f>pattern!$W$127:$W$131</c:f>
              <c:strCache>
                <c:ptCount val="5"/>
                <c:pt idx="0">
                  <c:v>&lt; 1 </c:v>
                </c:pt>
                <c:pt idx="1">
                  <c:v>1-2 </c:v>
                </c:pt>
                <c:pt idx="2">
                  <c:v>2-3 </c:v>
                </c:pt>
                <c:pt idx="3">
                  <c:v>3-4 </c:v>
                </c:pt>
                <c:pt idx="4">
                  <c:v>&gt;4 </c:v>
                </c:pt>
              </c:strCache>
            </c:strRef>
          </c:cat>
          <c:val>
            <c:numRef>
              <c:f>pattern!$X$127:$X$131</c:f>
              <c:numCache>
                <c:formatCode>0</c:formatCode>
                <c:ptCount val="5"/>
                <c:pt idx="0">
                  <c:v>9.1666666666666661</c:v>
                </c:pt>
                <c:pt idx="1">
                  <c:v>36.666666666666664</c:v>
                </c:pt>
                <c:pt idx="2">
                  <c:v>30.833333333333332</c:v>
                </c:pt>
                <c:pt idx="3">
                  <c:v>15.833333333333334</c:v>
                </c:pt>
                <c:pt idx="4">
                  <c:v>7.5</c:v>
                </c:pt>
              </c:numCache>
            </c:numRef>
          </c:val>
          <c:extLst>
            <c:ext xmlns:c16="http://schemas.microsoft.com/office/drawing/2014/chart" uri="{C3380CC4-5D6E-409C-BE32-E72D297353CC}">
              <c16:uniqueId val="{00000000-B874-49B8-AE2D-58167E631B6A}"/>
            </c:ext>
          </c:extLst>
        </c:ser>
        <c:dLbls>
          <c:showLegendKey val="0"/>
          <c:showVal val="0"/>
          <c:showCatName val="0"/>
          <c:showSerName val="0"/>
          <c:showPercent val="0"/>
          <c:showBubbleSize val="0"/>
        </c:dLbls>
        <c:gapWidth val="219"/>
        <c:overlap val="-27"/>
        <c:axId val="253489375"/>
        <c:axId val="520560143"/>
      </c:barChart>
      <c:catAx>
        <c:axId val="253489375"/>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r>
                  <a:rPr lang="en-IN"/>
                  <a:t>Duration in years</a:t>
                </a:r>
              </a:p>
            </c:rich>
          </c:tx>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20560143"/>
        <c:crosses val="autoZero"/>
        <c:auto val="1"/>
        <c:lblAlgn val="ctr"/>
        <c:lblOffset val="100"/>
        <c:noMultiLvlLbl val="0"/>
      </c:catAx>
      <c:valAx>
        <c:axId val="5205601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r>
                  <a:rPr lang="en-IN"/>
                  <a:t>Percentage of respondents</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53489375"/>
        <c:crosses val="autoZero"/>
        <c:crossBetween val="between"/>
      </c:valAx>
      <c:spPr>
        <a:noFill/>
        <a:ln>
          <a:noFill/>
        </a:ln>
        <a:effectLst/>
      </c:spPr>
    </c:plotArea>
    <c:plotVisOnly val="1"/>
    <c:dispBlanksAs val="gap"/>
    <c:showDLblsOverMax val="0"/>
  </c:chart>
  <c:spPr>
    <a:solidFill>
      <a:schemeClr val="bg1"/>
    </a:solidFill>
    <a:ln w="3175" cap="flat" cmpd="sng" algn="ctr">
      <a:solidFill>
        <a:schemeClr val="tx1"/>
      </a:solidFill>
      <a:round/>
    </a:ln>
    <a:effectLst/>
  </c:spPr>
  <c:txPr>
    <a:bodyPr/>
    <a:lstStyle/>
    <a:p>
      <a:pPr>
        <a:defRPr sz="105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275758879308732"/>
          <c:y val="0.10133304316859891"/>
          <c:w val="0.8539292223989644"/>
          <c:h val="0.50150812624745023"/>
        </c:manualLayout>
      </c:layout>
      <c:barChart>
        <c:barDir val="col"/>
        <c:grouping val="clustered"/>
        <c:varyColors val="0"/>
        <c:ser>
          <c:idx val="0"/>
          <c:order val="0"/>
          <c:tx>
            <c:strRef>
              <c:f>pattern!$C$137</c:f>
              <c:strCache>
                <c:ptCount val="1"/>
                <c:pt idx="0">
                  <c:v>Organic foods</c:v>
                </c:pt>
              </c:strCache>
            </c:strRef>
          </c:tx>
          <c:spPr>
            <a:solidFill>
              <a:schemeClr val="accent1"/>
            </a:solidFill>
            <a:ln>
              <a:noFill/>
            </a:ln>
            <a:effectLst/>
          </c:spPr>
          <c:invertIfNegative val="0"/>
          <c:cat>
            <c:strRef>
              <c:f>pattern!$B$138:$B$142</c:f>
              <c:strCache>
                <c:ptCount val="5"/>
                <c:pt idx="0">
                  <c:v>Daily </c:v>
                </c:pt>
                <c:pt idx="1">
                  <c:v>Weekly (1-3 times)</c:v>
                </c:pt>
                <c:pt idx="2">
                  <c:v>Monthly (1-3 times)</c:v>
                </c:pt>
                <c:pt idx="3">
                  <c:v>Occassionally</c:v>
                </c:pt>
                <c:pt idx="4">
                  <c:v> Rarely</c:v>
                </c:pt>
              </c:strCache>
            </c:strRef>
          </c:cat>
          <c:val>
            <c:numRef>
              <c:f>pattern!$C$138:$C$142</c:f>
              <c:numCache>
                <c:formatCode>0</c:formatCode>
                <c:ptCount val="5"/>
                <c:pt idx="0">
                  <c:v>27.5</c:v>
                </c:pt>
                <c:pt idx="1">
                  <c:v>47.5</c:v>
                </c:pt>
                <c:pt idx="2">
                  <c:v>12.5</c:v>
                </c:pt>
                <c:pt idx="3">
                  <c:v>10</c:v>
                </c:pt>
                <c:pt idx="4">
                  <c:v>1.6666666666666667</c:v>
                </c:pt>
              </c:numCache>
            </c:numRef>
          </c:val>
          <c:extLst>
            <c:ext xmlns:c16="http://schemas.microsoft.com/office/drawing/2014/chart" uri="{C3380CC4-5D6E-409C-BE32-E72D297353CC}">
              <c16:uniqueId val="{00000000-93B4-4F20-B960-3101070FC91E}"/>
            </c:ext>
          </c:extLst>
        </c:ser>
        <c:ser>
          <c:idx val="1"/>
          <c:order val="1"/>
          <c:tx>
            <c:strRef>
              <c:f>pattern!$D$137</c:f>
              <c:strCache>
                <c:ptCount val="1"/>
                <c:pt idx="0">
                  <c:v>Organic millets</c:v>
                </c:pt>
              </c:strCache>
            </c:strRef>
          </c:tx>
          <c:spPr>
            <a:solidFill>
              <a:schemeClr val="accent2"/>
            </a:solidFill>
            <a:ln>
              <a:noFill/>
            </a:ln>
            <a:effectLst/>
          </c:spPr>
          <c:invertIfNegative val="0"/>
          <c:cat>
            <c:strRef>
              <c:f>pattern!$B$138:$B$142</c:f>
              <c:strCache>
                <c:ptCount val="5"/>
                <c:pt idx="0">
                  <c:v>Daily </c:v>
                </c:pt>
                <c:pt idx="1">
                  <c:v>Weekly (1-3 times)</c:v>
                </c:pt>
                <c:pt idx="2">
                  <c:v>Monthly (1-3 times)</c:v>
                </c:pt>
                <c:pt idx="3">
                  <c:v>Occassionally</c:v>
                </c:pt>
                <c:pt idx="4">
                  <c:v> Rarely</c:v>
                </c:pt>
              </c:strCache>
            </c:strRef>
          </c:cat>
          <c:val>
            <c:numRef>
              <c:f>pattern!$D$138:$D$142</c:f>
              <c:numCache>
                <c:formatCode>0</c:formatCode>
                <c:ptCount val="5"/>
                <c:pt idx="0">
                  <c:v>10.833333333333334</c:v>
                </c:pt>
                <c:pt idx="1">
                  <c:v>42.5</c:v>
                </c:pt>
                <c:pt idx="2">
                  <c:v>20.833333333333332</c:v>
                </c:pt>
                <c:pt idx="3">
                  <c:v>17.5</c:v>
                </c:pt>
                <c:pt idx="4">
                  <c:v>8.3333333333333339</c:v>
                </c:pt>
              </c:numCache>
            </c:numRef>
          </c:val>
          <c:extLst>
            <c:ext xmlns:c16="http://schemas.microsoft.com/office/drawing/2014/chart" uri="{C3380CC4-5D6E-409C-BE32-E72D297353CC}">
              <c16:uniqueId val="{00000001-93B4-4F20-B960-3101070FC91E}"/>
            </c:ext>
          </c:extLst>
        </c:ser>
        <c:dLbls>
          <c:showLegendKey val="0"/>
          <c:showVal val="0"/>
          <c:showCatName val="0"/>
          <c:showSerName val="0"/>
          <c:showPercent val="0"/>
          <c:showBubbleSize val="0"/>
        </c:dLbls>
        <c:gapWidth val="219"/>
        <c:overlap val="-27"/>
        <c:axId val="668884511"/>
        <c:axId val="668884927"/>
      </c:barChart>
      <c:catAx>
        <c:axId val="66888451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IN"/>
                  <a:t>Frequency of consumption</a:t>
                </a:r>
              </a:p>
            </c:rich>
          </c:tx>
          <c:layout>
            <c:manualLayout>
              <c:xMode val="edge"/>
              <c:yMode val="edge"/>
              <c:x val="0.38103152395206791"/>
              <c:y val="0.8073137340244529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668884927"/>
        <c:crosses val="autoZero"/>
        <c:auto val="1"/>
        <c:lblAlgn val="ctr"/>
        <c:lblOffset val="100"/>
        <c:noMultiLvlLbl val="0"/>
      </c:catAx>
      <c:valAx>
        <c:axId val="6688849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IN"/>
                  <a:t>Percentage of 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6688845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3175" cap="flat" cmpd="sng" algn="ctr">
      <a:solidFill>
        <a:schemeClr val="tx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Sheet4!$K$10</c:f>
              <c:strCache>
                <c:ptCount val="1"/>
                <c:pt idx="0">
                  <c:v>percentage</c:v>
                </c:pt>
              </c:strCache>
            </c:strRef>
          </c:tx>
          <c:spPr>
            <a:solidFill>
              <a:schemeClr val="accent1"/>
            </a:solidFill>
            <a:ln>
              <a:noFill/>
            </a:ln>
            <a:effectLst/>
          </c:spPr>
          <c:invertIfNegative val="0"/>
          <c:cat>
            <c:strRef>
              <c:f>Sheet4!$J$11:$J$15</c:f>
              <c:strCache>
                <c:ptCount val="5"/>
                <c:pt idx="0">
                  <c:v>Roti and bread</c:v>
                </c:pt>
                <c:pt idx="1">
                  <c:v>Ready to cook products</c:v>
                </c:pt>
                <c:pt idx="2">
                  <c:v>Porridge and whole grain</c:v>
                </c:pt>
                <c:pt idx="3">
                  <c:v>Ready to eat products and Snacks</c:v>
                </c:pt>
                <c:pt idx="4">
                  <c:v>Others</c:v>
                </c:pt>
              </c:strCache>
            </c:strRef>
          </c:cat>
          <c:val>
            <c:numRef>
              <c:f>Sheet4!$K$11:$K$15</c:f>
              <c:numCache>
                <c:formatCode>0</c:formatCode>
                <c:ptCount val="5"/>
                <c:pt idx="0">
                  <c:v>13.333333333333334</c:v>
                </c:pt>
                <c:pt idx="1">
                  <c:v>19.166666666666668</c:v>
                </c:pt>
                <c:pt idx="2">
                  <c:v>29.166666666666668</c:v>
                </c:pt>
                <c:pt idx="3">
                  <c:v>33.333333333333336</c:v>
                </c:pt>
                <c:pt idx="4">
                  <c:v>5</c:v>
                </c:pt>
              </c:numCache>
            </c:numRef>
          </c:val>
          <c:extLst>
            <c:ext xmlns:c16="http://schemas.microsoft.com/office/drawing/2014/chart" uri="{C3380CC4-5D6E-409C-BE32-E72D297353CC}">
              <c16:uniqueId val="{00000000-672D-49D3-882B-C868EB66F26E}"/>
            </c:ext>
          </c:extLst>
        </c:ser>
        <c:dLbls>
          <c:showLegendKey val="0"/>
          <c:showVal val="0"/>
          <c:showCatName val="0"/>
          <c:showSerName val="0"/>
          <c:showPercent val="0"/>
          <c:showBubbleSize val="0"/>
        </c:dLbls>
        <c:gapWidth val="219"/>
        <c:overlap val="-27"/>
        <c:axId val="1602559279"/>
        <c:axId val="1602557199"/>
      </c:barChart>
      <c:catAx>
        <c:axId val="16025592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IN"/>
                  <a:t>Form of millets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02557199"/>
        <c:crosses val="autoZero"/>
        <c:auto val="1"/>
        <c:lblAlgn val="ctr"/>
        <c:lblOffset val="100"/>
        <c:noMultiLvlLbl val="0"/>
      </c:catAx>
      <c:valAx>
        <c:axId val="16025571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IN"/>
                  <a:t>Percentage of 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02559279"/>
        <c:crosses val="autoZero"/>
        <c:crossBetween val="between"/>
      </c:valAx>
      <c:spPr>
        <a:noFill/>
        <a:ln>
          <a:noFill/>
        </a:ln>
        <a:effectLst/>
      </c:spPr>
    </c:plotArea>
    <c:plotVisOnly val="1"/>
    <c:dispBlanksAs val="gap"/>
    <c:showDLblsOverMax val="0"/>
  </c:chart>
  <c:spPr>
    <a:solidFill>
      <a:schemeClr val="bg1"/>
    </a:solidFill>
    <a:ln w="3175" cap="flat" cmpd="sng" algn="ctr">
      <a:solidFill>
        <a:schemeClr val="tx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Sheet4!$V$8</c:f>
              <c:strCache>
                <c:ptCount val="1"/>
                <c:pt idx="0">
                  <c:v>percentage</c:v>
                </c:pt>
              </c:strCache>
            </c:strRef>
          </c:tx>
          <c:spPr>
            <a:solidFill>
              <a:schemeClr val="accent1"/>
            </a:solidFill>
            <a:ln>
              <a:noFill/>
            </a:ln>
            <a:effectLst/>
          </c:spPr>
          <c:invertIfNegative val="0"/>
          <c:cat>
            <c:strRef>
              <c:f>Sheet4!$U$9:$U$12</c:f>
              <c:strCache>
                <c:ptCount val="4"/>
                <c:pt idx="0">
                  <c:v>Less than ₹500</c:v>
                </c:pt>
                <c:pt idx="1">
                  <c:v>₹500-₹1000</c:v>
                </c:pt>
                <c:pt idx="2">
                  <c:v>₹1000-₹1500</c:v>
                </c:pt>
                <c:pt idx="3">
                  <c:v>₹1500 and more</c:v>
                </c:pt>
              </c:strCache>
            </c:strRef>
          </c:cat>
          <c:val>
            <c:numRef>
              <c:f>Sheet4!$V$9:$V$12</c:f>
              <c:numCache>
                <c:formatCode>0</c:formatCode>
                <c:ptCount val="4"/>
                <c:pt idx="0">
                  <c:v>17.5</c:v>
                </c:pt>
                <c:pt idx="1">
                  <c:v>52.5</c:v>
                </c:pt>
                <c:pt idx="2">
                  <c:v>24.166666666666668</c:v>
                </c:pt>
                <c:pt idx="3">
                  <c:v>5.833333333333333</c:v>
                </c:pt>
              </c:numCache>
            </c:numRef>
          </c:val>
          <c:extLst>
            <c:ext xmlns:c16="http://schemas.microsoft.com/office/drawing/2014/chart" uri="{C3380CC4-5D6E-409C-BE32-E72D297353CC}">
              <c16:uniqueId val="{00000000-3567-4F20-8C79-2A8DEB50829E}"/>
            </c:ext>
          </c:extLst>
        </c:ser>
        <c:dLbls>
          <c:showLegendKey val="0"/>
          <c:showVal val="0"/>
          <c:showCatName val="0"/>
          <c:showSerName val="0"/>
          <c:showPercent val="0"/>
          <c:showBubbleSize val="0"/>
        </c:dLbls>
        <c:gapWidth val="219"/>
        <c:overlap val="-27"/>
        <c:axId val="1539952991"/>
        <c:axId val="1539948831"/>
      </c:barChart>
      <c:catAx>
        <c:axId val="15399529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IN"/>
                  <a:t>Expense category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39948831"/>
        <c:crosses val="autoZero"/>
        <c:auto val="1"/>
        <c:lblAlgn val="ctr"/>
        <c:lblOffset val="100"/>
        <c:noMultiLvlLbl val="0"/>
      </c:catAx>
      <c:valAx>
        <c:axId val="15399488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IN"/>
                  <a:t>Percentage of 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39952991"/>
        <c:crosses val="autoZero"/>
        <c:crossBetween val="between"/>
      </c:valAx>
      <c:spPr>
        <a:noFill/>
        <a:ln>
          <a:noFill/>
        </a:ln>
        <a:effectLst/>
      </c:spPr>
    </c:plotArea>
    <c:plotVisOnly val="1"/>
    <c:dispBlanksAs val="gap"/>
    <c:showDLblsOverMax val="0"/>
  </c:chart>
  <c:spPr>
    <a:solidFill>
      <a:schemeClr val="bg1"/>
    </a:solidFill>
    <a:ln w="3175" cap="flat" cmpd="sng" algn="ctr">
      <a:solidFill>
        <a:schemeClr val="tx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Sheet5!$H$8</c:f>
              <c:strCache>
                <c:ptCount val="1"/>
                <c:pt idx="0">
                  <c:v>percentage</c:v>
                </c:pt>
              </c:strCache>
            </c:strRef>
          </c:tx>
          <c:spPr>
            <a:solidFill>
              <a:schemeClr val="accent1"/>
            </a:solidFill>
            <a:ln>
              <a:noFill/>
            </a:ln>
            <a:effectLst/>
          </c:spPr>
          <c:invertIfNegative val="0"/>
          <c:cat>
            <c:strRef>
              <c:f>Sheet5!$G$9:$G$13</c:f>
              <c:strCache>
                <c:ptCount val="5"/>
                <c:pt idx="0">
                  <c:v>Higher relative  price </c:v>
                </c:pt>
                <c:pt idx="1">
                  <c:v>Limited availability </c:v>
                </c:pt>
                <c:pt idx="2">
                  <c:v>Lack of information</c:v>
                </c:pt>
                <c:pt idx="3">
                  <c:v>Doubts about label</c:v>
                </c:pt>
                <c:pt idx="4">
                  <c:v>Not preferred by family</c:v>
                </c:pt>
              </c:strCache>
            </c:strRef>
          </c:cat>
          <c:val>
            <c:numRef>
              <c:f>Sheet5!$H$9:$H$13</c:f>
              <c:numCache>
                <c:formatCode>0</c:formatCode>
                <c:ptCount val="5"/>
                <c:pt idx="0">
                  <c:v>20.833333333333332</c:v>
                </c:pt>
                <c:pt idx="1">
                  <c:v>36.666666666666664</c:v>
                </c:pt>
                <c:pt idx="2">
                  <c:v>10</c:v>
                </c:pt>
                <c:pt idx="3">
                  <c:v>13.333333333333334</c:v>
                </c:pt>
                <c:pt idx="4">
                  <c:v>19.166666666666668</c:v>
                </c:pt>
              </c:numCache>
            </c:numRef>
          </c:val>
          <c:extLst>
            <c:ext xmlns:c16="http://schemas.microsoft.com/office/drawing/2014/chart" uri="{C3380CC4-5D6E-409C-BE32-E72D297353CC}">
              <c16:uniqueId val="{00000000-C6BB-46DB-8875-06BD2A46BB84}"/>
            </c:ext>
          </c:extLst>
        </c:ser>
        <c:dLbls>
          <c:showLegendKey val="0"/>
          <c:showVal val="0"/>
          <c:showCatName val="0"/>
          <c:showSerName val="0"/>
          <c:showPercent val="0"/>
          <c:showBubbleSize val="0"/>
        </c:dLbls>
        <c:gapWidth val="219"/>
        <c:overlap val="-27"/>
        <c:axId val="1764005119"/>
        <c:axId val="1763997215"/>
      </c:barChart>
      <c:catAx>
        <c:axId val="17640051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IN"/>
                  <a:t>Purchase barriers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63997215"/>
        <c:crosses val="autoZero"/>
        <c:auto val="1"/>
        <c:lblAlgn val="ctr"/>
        <c:lblOffset val="100"/>
        <c:noMultiLvlLbl val="0"/>
      </c:catAx>
      <c:valAx>
        <c:axId val="17639972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IN"/>
                  <a:t>Percentage of 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64005119"/>
        <c:crosses val="autoZero"/>
        <c:crossBetween val="between"/>
      </c:valAx>
      <c:spPr>
        <a:noFill/>
        <a:ln>
          <a:noFill/>
        </a:ln>
        <a:effectLst/>
      </c:spPr>
    </c:plotArea>
    <c:plotVisOnly val="1"/>
    <c:dispBlanksAs val="gap"/>
    <c:showDLblsOverMax val="0"/>
  </c:chart>
  <c:spPr>
    <a:solidFill>
      <a:schemeClr val="bg1"/>
    </a:solidFill>
    <a:ln w="3175" cap="flat" cmpd="sng" algn="ctr">
      <a:solidFill>
        <a:schemeClr val="tx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19B5A-6943-43EF-BB5E-AA9BAD0BE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12</Pages>
  <Words>5818</Words>
  <Characters>33167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shanaayyoob@gmail.com</dc:creator>
  <cp:keywords/>
  <dc:description/>
  <cp:lastModifiedBy>SDI 1084</cp:lastModifiedBy>
  <cp:revision>24</cp:revision>
  <dcterms:created xsi:type="dcterms:W3CDTF">2025-10-06T13:16:00Z</dcterms:created>
  <dcterms:modified xsi:type="dcterms:W3CDTF">2025-10-10T12:51:00Z</dcterms:modified>
</cp:coreProperties>
</file>