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5F081" w14:textId="77777777" w:rsidR="004629D9" w:rsidRDefault="004629D9" w:rsidP="00B16039">
      <w:pPr>
        <w:spacing w:line="276" w:lineRule="auto"/>
        <w:jc w:val="both"/>
        <w:rPr>
          <w:rFonts w:ascii="Times New Roman" w:hAnsi="Times New Roman" w:cs="Times New Roman"/>
          <w:b/>
        </w:rPr>
      </w:pPr>
      <w:r w:rsidRPr="004629D9">
        <w:rPr>
          <w:rFonts w:ascii="Times New Roman" w:hAnsi="Times New Roman" w:cs="Times New Roman"/>
          <w:b/>
        </w:rPr>
        <w:t>Review Article</w:t>
      </w:r>
    </w:p>
    <w:p w14:paraId="2F3E95FD" w14:textId="77777777" w:rsidR="004629D9" w:rsidRDefault="004629D9" w:rsidP="00B16039">
      <w:pPr>
        <w:spacing w:line="276" w:lineRule="auto"/>
        <w:jc w:val="both"/>
        <w:rPr>
          <w:rFonts w:ascii="Times New Roman" w:hAnsi="Times New Roman" w:cs="Times New Roman"/>
          <w:b/>
        </w:rPr>
      </w:pPr>
    </w:p>
    <w:p w14:paraId="7E2E49D5" w14:textId="12C87509" w:rsidR="00E1671D" w:rsidRPr="00E41B80" w:rsidRDefault="00A07020" w:rsidP="00B16039">
      <w:pPr>
        <w:spacing w:line="276" w:lineRule="auto"/>
        <w:jc w:val="both"/>
        <w:rPr>
          <w:rFonts w:ascii="Times New Roman" w:hAnsi="Times New Roman" w:cs="Times New Roman"/>
          <w:b/>
        </w:rPr>
      </w:pPr>
      <w:r w:rsidRPr="00E41B80">
        <w:rPr>
          <w:rFonts w:ascii="Times New Roman" w:hAnsi="Times New Roman" w:cs="Times New Roman"/>
          <w:b/>
        </w:rPr>
        <w:t xml:space="preserve">From Waste to Resource: </w:t>
      </w:r>
      <w:r w:rsidR="00E41B80">
        <w:rPr>
          <w:rFonts w:ascii="Times New Roman" w:hAnsi="Times New Roman" w:cs="Times New Roman"/>
          <w:b/>
        </w:rPr>
        <w:t xml:space="preserve">Assessing </w:t>
      </w:r>
      <w:r w:rsidRPr="00E41B80">
        <w:rPr>
          <w:rFonts w:ascii="Times New Roman" w:hAnsi="Times New Roman" w:cs="Times New Roman"/>
          <w:b/>
        </w:rPr>
        <w:t>Governance Models for Implementing Circular Economy Principles in Urban Water and Nutrient Management</w:t>
      </w:r>
      <w:r w:rsidR="00201995" w:rsidRPr="00E41B80">
        <w:rPr>
          <w:rFonts w:ascii="Times New Roman" w:hAnsi="Times New Roman" w:cs="Times New Roman"/>
          <w:b/>
        </w:rPr>
        <w:t xml:space="preserve"> in Ghana</w:t>
      </w:r>
    </w:p>
    <w:p w14:paraId="0E9F6F79" w14:textId="77777777" w:rsidR="00173800" w:rsidRDefault="00173800" w:rsidP="00275F01">
      <w:pPr>
        <w:spacing w:after="189"/>
        <w:ind w:left="-5" w:right="21"/>
        <w:rPr>
          <w:rFonts w:ascii="Times New Roman" w:hAnsi="Times New Roman" w:cs="Times New Roman"/>
        </w:rPr>
      </w:pPr>
    </w:p>
    <w:p w14:paraId="07CCBD89" w14:textId="3B823E5E" w:rsidR="00275F01" w:rsidRPr="00E41B80" w:rsidRDefault="00275F01" w:rsidP="00275F01">
      <w:pPr>
        <w:spacing w:after="189"/>
        <w:ind w:left="-5" w:right="21"/>
        <w:rPr>
          <w:rFonts w:ascii="Times New Roman" w:hAnsi="Times New Roman" w:cs="Times New Roman"/>
        </w:rPr>
      </w:pPr>
      <w:r w:rsidRPr="00E41B80">
        <w:rPr>
          <w:rFonts w:ascii="Times New Roman" w:hAnsi="Times New Roman" w:cs="Times New Roman"/>
        </w:rPr>
        <w:t xml:space="preserve">. </w:t>
      </w:r>
    </w:p>
    <w:p w14:paraId="159B0D7B" w14:textId="77777777" w:rsidR="00E21E96" w:rsidRPr="00E41B80" w:rsidRDefault="009B6AE0" w:rsidP="00E21E96">
      <w:pPr>
        <w:rPr>
          <w:rFonts w:ascii="Times New Roman" w:hAnsi="Times New Roman" w:cs="Times New Roman"/>
          <w:b/>
        </w:rPr>
      </w:pPr>
      <w:r w:rsidRPr="00E41B80">
        <w:rPr>
          <w:rFonts w:ascii="Times New Roman" w:hAnsi="Times New Roman" w:cs="Times New Roman"/>
          <w:b/>
        </w:rPr>
        <w:t>ABSTRACT</w:t>
      </w:r>
    </w:p>
    <w:p w14:paraId="7860E56C" w14:textId="77777777" w:rsidR="009016ED" w:rsidRPr="00E41B80" w:rsidRDefault="009B6AE0" w:rsidP="00E21E96">
      <w:pPr>
        <w:jc w:val="both"/>
        <w:rPr>
          <w:rFonts w:ascii="Times New Roman" w:hAnsi="Times New Roman" w:cs="Times New Roman"/>
          <w:b/>
          <w:lang w:val="en-US"/>
        </w:rPr>
      </w:pPr>
      <w:r w:rsidRPr="00E41B80">
        <w:rPr>
          <w:rFonts w:ascii="Times New Roman" w:hAnsi="Times New Roman" w:cs="Times New Roman"/>
        </w:rPr>
        <w:t>The shift from linear to circular economy systems is critical for sustainable water and nutrient management, particularly in developing cou</w:t>
      </w:r>
      <w:r w:rsidR="009016ED" w:rsidRPr="00E41B80">
        <w:rPr>
          <w:rFonts w:ascii="Times New Roman" w:hAnsi="Times New Roman" w:cs="Times New Roman"/>
        </w:rPr>
        <w:t>ntries such as Ghana. This paper</w:t>
      </w:r>
      <w:r w:rsidRPr="00E41B80">
        <w:rPr>
          <w:rFonts w:ascii="Times New Roman" w:hAnsi="Times New Roman" w:cs="Times New Roman"/>
        </w:rPr>
        <w:t xml:space="preserve"> </w:t>
      </w:r>
      <w:r w:rsidR="009016ED" w:rsidRPr="00E41B80">
        <w:rPr>
          <w:rFonts w:ascii="Times New Roman" w:hAnsi="Times New Roman" w:cs="Times New Roman"/>
        </w:rPr>
        <w:t>explores</w:t>
      </w:r>
      <w:r w:rsidRPr="00E41B80">
        <w:rPr>
          <w:rFonts w:ascii="Times New Roman" w:hAnsi="Times New Roman" w:cs="Times New Roman"/>
        </w:rPr>
        <w:t xml:space="preserve"> governance models shaping the implementation of circular economy principles, focusing on state-regulated, collaborative, public-private, community-based, and adaptive approaches</w:t>
      </w:r>
      <w:r w:rsidR="009016ED" w:rsidRPr="00E41B80">
        <w:rPr>
          <w:rFonts w:ascii="Times New Roman" w:hAnsi="Times New Roman" w:cs="Times New Roman"/>
        </w:rPr>
        <w:t xml:space="preserve"> through a systematic review of journals published from</w:t>
      </w:r>
      <w:r w:rsidR="00286CD0" w:rsidRPr="00E41B80">
        <w:rPr>
          <w:rFonts w:ascii="Times New Roman" w:hAnsi="Times New Roman" w:cs="Times New Roman"/>
        </w:rPr>
        <w:t xml:space="preserve"> </w:t>
      </w:r>
      <w:r w:rsidR="009016ED" w:rsidRPr="00E41B80">
        <w:rPr>
          <w:rFonts w:ascii="Times New Roman" w:hAnsi="Times New Roman" w:cs="Times New Roman"/>
        </w:rPr>
        <w:t>2018 to 2025</w:t>
      </w:r>
      <w:r w:rsidRPr="00E41B80">
        <w:rPr>
          <w:rFonts w:ascii="Times New Roman" w:hAnsi="Times New Roman" w:cs="Times New Roman"/>
        </w:rPr>
        <w:t xml:space="preserve">. </w:t>
      </w:r>
      <w:r w:rsidR="009016ED" w:rsidRPr="00E41B80">
        <w:rPr>
          <w:rFonts w:ascii="Times New Roman" w:hAnsi="Times New Roman" w:cs="Times New Roman"/>
        </w:rPr>
        <w:t>The</w:t>
      </w:r>
      <w:r w:rsidRPr="00E41B80">
        <w:rPr>
          <w:rFonts w:ascii="Times New Roman" w:hAnsi="Times New Roman" w:cs="Times New Roman"/>
        </w:rPr>
        <w:t xml:space="preserve"> </w:t>
      </w:r>
      <w:r w:rsidR="009016ED" w:rsidRPr="00E41B80">
        <w:rPr>
          <w:rFonts w:ascii="Times New Roman" w:hAnsi="Times New Roman" w:cs="Times New Roman"/>
        </w:rPr>
        <w:t>findings revealed</w:t>
      </w:r>
      <w:r w:rsidRPr="00E41B80">
        <w:rPr>
          <w:rFonts w:ascii="Times New Roman" w:hAnsi="Times New Roman" w:cs="Times New Roman"/>
        </w:rPr>
        <w:t xml:space="preserve"> that state-regulated frameworks, such as Ghana’s National Plastics Management Policy and Circular Economy Roadmap, provide essential direction but face weak enforcement and limited financing. Collaborative and multi-stakeholder platforms, including the Waste Recovery Platform and the Circular Bio-Economy Innovation Hub, foster innovation but require long-term financial sustainability. Public-private partnerships mobilize investment but risk political interference and limited transparency, while community-led initiatives enhance legitimacy but often lack safety and technical integration with formal systems. Adaptive governance emerges as the most promising model, offering flexibility through integrated tools and </w:t>
      </w:r>
      <w:r w:rsidR="009016ED" w:rsidRPr="00E41B80">
        <w:rPr>
          <w:rFonts w:ascii="Times New Roman" w:hAnsi="Times New Roman" w:cs="Times New Roman"/>
        </w:rPr>
        <w:t xml:space="preserve">monitoring mechanisms. The paper concludes that Ghana’s transition to a circular economy will require </w:t>
      </w:r>
      <w:r w:rsidR="009016ED" w:rsidRPr="00E41B80">
        <w:rPr>
          <w:rStyle w:val="Strong"/>
          <w:rFonts w:ascii="Times New Roman" w:hAnsi="Times New Roman" w:cs="Times New Roman"/>
          <w:b w:val="0"/>
        </w:rPr>
        <w:t>stronger state enforcement, the establishment of financing mechanisms to sustain collaborative platforms, transparent regulatory safeguards for public-private projects, formal recognition and training for community actors, and the adoption of adaptive monitoring frameworks</w:t>
      </w:r>
      <w:r w:rsidR="009016ED" w:rsidRPr="00E41B80">
        <w:rPr>
          <w:rFonts w:ascii="Times New Roman" w:hAnsi="Times New Roman" w:cs="Times New Roman"/>
        </w:rPr>
        <w:t>. These targeted recommendations strengthen the policy and institutional pathways for sustainable resource management in Ghana.</w:t>
      </w:r>
    </w:p>
    <w:p w14:paraId="384E53D9" w14:textId="77777777" w:rsidR="009B6AE0" w:rsidRPr="00E41B80" w:rsidRDefault="009B6AE0" w:rsidP="009B6AE0">
      <w:pPr>
        <w:pStyle w:val="NormalWeb"/>
        <w:jc w:val="both"/>
        <w:rPr>
          <w:sz w:val="22"/>
          <w:szCs w:val="22"/>
        </w:rPr>
      </w:pPr>
      <w:r w:rsidRPr="00E41B80">
        <w:rPr>
          <w:rStyle w:val="Strong"/>
          <w:sz w:val="22"/>
          <w:szCs w:val="22"/>
        </w:rPr>
        <w:t>Keywords:</w:t>
      </w:r>
      <w:r w:rsidRPr="00E41B80">
        <w:rPr>
          <w:sz w:val="22"/>
          <w:szCs w:val="22"/>
        </w:rPr>
        <w:t xml:space="preserve"> Circular E</w:t>
      </w:r>
      <w:r w:rsidR="009016ED" w:rsidRPr="00E41B80">
        <w:rPr>
          <w:sz w:val="22"/>
          <w:szCs w:val="22"/>
        </w:rPr>
        <w:t>conomy, Water and nutrient management,</w:t>
      </w:r>
      <w:r w:rsidRPr="00E41B80">
        <w:rPr>
          <w:sz w:val="22"/>
          <w:szCs w:val="22"/>
        </w:rPr>
        <w:t xml:space="preserve"> Governance models</w:t>
      </w:r>
      <w:r w:rsidR="009016ED" w:rsidRPr="00E41B80">
        <w:rPr>
          <w:sz w:val="22"/>
          <w:szCs w:val="22"/>
        </w:rPr>
        <w:t>,</w:t>
      </w:r>
      <w:r w:rsidRPr="00E41B80">
        <w:rPr>
          <w:sz w:val="22"/>
          <w:szCs w:val="22"/>
        </w:rPr>
        <w:t xml:space="preserve"> Public-private partnerships</w:t>
      </w:r>
      <w:r w:rsidR="009016ED" w:rsidRPr="00E41B80">
        <w:rPr>
          <w:sz w:val="22"/>
          <w:szCs w:val="22"/>
        </w:rPr>
        <w:t>,</w:t>
      </w:r>
      <w:r w:rsidRPr="00E41B80">
        <w:rPr>
          <w:sz w:val="22"/>
          <w:szCs w:val="22"/>
        </w:rPr>
        <w:t xml:space="preserve"> Community participation</w:t>
      </w:r>
      <w:r w:rsidR="009016ED" w:rsidRPr="00E41B80">
        <w:rPr>
          <w:sz w:val="22"/>
          <w:szCs w:val="22"/>
        </w:rPr>
        <w:t>,</w:t>
      </w:r>
      <w:r w:rsidRPr="00E41B80">
        <w:rPr>
          <w:sz w:val="22"/>
          <w:szCs w:val="22"/>
        </w:rPr>
        <w:t xml:space="preserve"> Adaptive governance</w:t>
      </w:r>
      <w:r w:rsidR="009016ED" w:rsidRPr="00E41B80">
        <w:rPr>
          <w:sz w:val="22"/>
          <w:szCs w:val="22"/>
        </w:rPr>
        <w:t>,</w:t>
      </w:r>
      <w:r w:rsidRPr="00E41B80">
        <w:rPr>
          <w:sz w:val="22"/>
          <w:szCs w:val="22"/>
        </w:rPr>
        <w:t xml:space="preserve"> Ghana</w:t>
      </w:r>
    </w:p>
    <w:p w14:paraId="2E94A14B" w14:textId="77777777" w:rsidR="00201995" w:rsidRPr="00E41B80" w:rsidRDefault="007C71C8" w:rsidP="00B16039">
      <w:pPr>
        <w:pStyle w:val="ListParagraph"/>
        <w:numPr>
          <w:ilvl w:val="0"/>
          <w:numId w:val="1"/>
        </w:numPr>
        <w:spacing w:line="276" w:lineRule="auto"/>
        <w:jc w:val="both"/>
        <w:rPr>
          <w:rFonts w:ascii="Times New Roman" w:hAnsi="Times New Roman" w:cs="Times New Roman"/>
          <w:b/>
        </w:rPr>
      </w:pPr>
      <w:r w:rsidRPr="00E41B80">
        <w:rPr>
          <w:rFonts w:ascii="Times New Roman" w:hAnsi="Times New Roman" w:cs="Times New Roman"/>
          <w:b/>
        </w:rPr>
        <w:t>INTRODUCTION</w:t>
      </w:r>
    </w:p>
    <w:p w14:paraId="16FC8C38" w14:textId="77777777" w:rsidR="00E06CB2" w:rsidRPr="00E41B80" w:rsidRDefault="001C5191" w:rsidP="00B16039">
      <w:pPr>
        <w:spacing w:before="100" w:beforeAutospacing="1" w:after="100" w:afterAutospacing="1" w:line="276" w:lineRule="auto"/>
        <w:jc w:val="both"/>
        <w:rPr>
          <w:rFonts w:ascii="Times New Roman" w:eastAsia="Times New Roman" w:hAnsi="Times New Roman" w:cs="Times New Roman"/>
          <w:lang w:val="en-US"/>
        </w:rPr>
      </w:pPr>
      <w:r w:rsidRPr="00E41B80">
        <w:rPr>
          <w:rFonts w:ascii="Times New Roman" w:eastAsia="Times New Roman" w:hAnsi="Times New Roman" w:cs="Times New Roman"/>
          <w:lang w:val="en-US"/>
        </w:rPr>
        <w:t>Globally, urban water and nutrient flows are increasingly recognized as important environmental, social, and economic challenges</w:t>
      </w:r>
      <w:r w:rsidR="006E4446" w:rsidRPr="00E41B80">
        <w:rPr>
          <w:rFonts w:ascii="Times New Roman" w:eastAsia="Times New Roman" w:hAnsi="Times New Roman" w:cs="Times New Roman"/>
          <w:lang w:val="en-US"/>
        </w:rPr>
        <w:t xml:space="preserve"> (Jian, 2025)</w:t>
      </w:r>
      <w:r w:rsidRPr="00E41B80">
        <w:rPr>
          <w:rFonts w:ascii="Times New Roman" w:eastAsia="Times New Roman" w:hAnsi="Times New Roman" w:cs="Times New Roman"/>
          <w:lang w:val="en-US"/>
        </w:rPr>
        <w:t>. Urbanization leads to the rapid generation of more organic waste and wastewater, and most of the world's cities lack the infrastructure needed to handle them safely</w:t>
      </w:r>
      <w:r w:rsidR="00503E25" w:rsidRPr="00E41B80">
        <w:rPr>
          <w:rFonts w:ascii="Times New Roman" w:eastAsia="Times New Roman" w:hAnsi="Times New Roman" w:cs="Times New Roman"/>
          <w:lang w:val="en-US"/>
        </w:rPr>
        <w:t xml:space="preserve"> (Lema, 2025)</w:t>
      </w:r>
      <w:r w:rsidRPr="00E41B80">
        <w:rPr>
          <w:rFonts w:ascii="Times New Roman" w:eastAsia="Times New Roman" w:hAnsi="Times New Roman" w:cs="Times New Roman"/>
          <w:lang w:val="en-US"/>
        </w:rPr>
        <w:t>. This results in water scarcity, pollution of water bodies, eutrophication, and the loss of useful nutrients. Principles of circular economies, such as closing material loops, restoring natural systems, and minimizing waste, offer the potential to turn environmentally harmful waste into valuable resour</w:t>
      </w:r>
      <w:r w:rsidR="00503E25" w:rsidRPr="00E41B80">
        <w:rPr>
          <w:rFonts w:ascii="Times New Roman" w:eastAsia="Times New Roman" w:hAnsi="Times New Roman" w:cs="Times New Roman"/>
          <w:lang w:val="en-US"/>
        </w:rPr>
        <w:t>ces (Sesay &amp; Fang, 2025</w:t>
      </w:r>
      <w:r w:rsidR="006E4446" w:rsidRPr="00E41B80">
        <w:rPr>
          <w:rFonts w:ascii="Times New Roman" w:eastAsia="Times New Roman" w:hAnsi="Times New Roman" w:cs="Times New Roman"/>
          <w:lang w:val="en-US"/>
        </w:rPr>
        <w:t>; Debrah et al.</w:t>
      </w:r>
      <w:r w:rsidRPr="00E41B80">
        <w:rPr>
          <w:rFonts w:ascii="Times New Roman" w:eastAsia="Times New Roman" w:hAnsi="Times New Roman" w:cs="Times New Roman"/>
          <w:lang w:val="en-US"/>
        </w:rPr>
        <w:t>, 2022).</w:t>
      </w:r>
    </w:p>
    <w:p w14:paraId="719C0F3E" w14:textId="77777777" w:rsidR="00E06CB2" w:rsidRPr="00E41B80" w:rsidRDefault="00E06CB2" w:rsidP="00B16039">
      <w:pPr>
        <w:spacing w:before="100" w:beforeAutospacing="1" w:after="100" w:afterAutospacing="1" w:line="276" w:lineRule="auto"/>
        <w:jc w:val="both"/>
        <w:rPr>
          <w:rFonts w:ascii="Times New Roman" w:eastAsia="Times New Roman" w:hAnsi="Times New Roman" w:cs="Times New Roman"/>
          <w:lang w:val="en-US"/>
        </w:rPr>
      </w:pPr>
      <w:r w:rsidRPr="00E41B80">
        <w:rPr>
          <w:rFonts w:ascii="Times New Roman" w:eastAsia="Times New Roman" w:hAnsi="Times New Roman" w:cs="Times New Roman"/>
          <w:lang w:val="en-US"/>
        </w:rPr>
        <w:t xml:space="preserve">The problem is notably sharp in Sub-Saharan Africa. Less than 10 % of wastewater generated is properly treated before being released into the environment, and many urban areas rely on informal sanitation or water reuse of untreated or partially treated wastewater, exposing individuals to health and </w:t>
      </w:r>
      <w:r w:rsidR="00503E25" w:rsidRPr="00E41B80">
        <w:rPr>
          <w:rFonts w:ascii="Times New Roman" w:eastAsia="Times New Roman" w:hAnsi="Times New Roman" w:cs="Times New Roman"/>
          <w:lang w:val="en-US"/>
        </w:rPr>
        <w:t>environmental risks (Nyika &amp; Dinka, 2025; Agbo et al., 2025</w:t>
      </w:r>
      <w:r w:rsidR="006E4446" w:rsidRPr="00E41B80">
        <w:rPr>
          <w:rFonts w:ascii="Times New Roman" w:eastAsia="Times New Roman" w:hAnsi="Times New Roman" w:cs="Times New Roman"/>
          <w:lang w:val="en-US"/>
        </w:rPr>
        <w:t xml:space="preserve">; </w:t>
      </w:r>
      <w:r w:rsidR="00503E25" w:rsidRPr="00E41B80">
        <w:rPr>
          <w:rFonts w:ascii="Times New Roman" w:eastAsia="Times New Roman" w:hAnsi="Times New Roman" w:cs="Times New Roman"/>
          <w:lang w:val="en-US"/>
        </w:rPr>
        <w:t>Sesay &amp; Fang, 2025</w:t>
      </w:r>
      <w:r w:rsidRPr="00E41B80">
        <w:rPr>
          <w:rFonts w:ascii="Times New Roman" w:eastAsia="Times New Roman" w:hAnsi="Times New Roman" w:cs="Times New Roman"/>
          <w:lang w:val="en-US"/>
        </w:rPr>
        <w:t xml:space="preserve">). But that informal reuse here is itself </w:t>
      </w:r>
      <w:r w:rsidRPr="00E41B80">
        <w:rPr>
          <w:rFonts w:ascii="Times New Roman" w:eastAsia="Times New Roman" w:hAnsi="Times New Roman" w:cs="Times New Roman"/>
          <w:lang w:val="en-US"/>
        </w:rPr>
        <w:lastRenderedPageBreak/>
        <w:t>a measure of local practice that can potentially be tied and transformed into resource recovery with appropria</w:t>
      </w:r>
      <w:r w:rsidR="006E4446" w:rsidRPr="00E41B80">
        <w:rPr>
          <w:rFonts w:ascii="Times New Roman" w:eastAsia="Times New Roman" w:hAnsi="Times New Roman" w:cs="Times New Roman"/>
          <w:lang w:val="en-US"/>
        </w:rPr>
        <w:t>te regulation (</w:t>
      </w:r>
      <w:proofErr w:type="spellStart"/>
      <w:r w:rsidR="005527C3" w:rsidRPr="00E41B80">
        <w:rPr>
          <w:rFonts w:ascii="Times New Roman" w:eastAsia="Times New Roman" w:hAnsi="Times New Roman" w:cs="Times New Roman"/>
          <w:lang w:val="en-US"/>
        </w:rPr>
        <w:t>Tahiru</w:t>
      </w:r>
      <w:proofErr w:type="spellEnd"/>
      <w:r w:rsidR="005527C3" w:rsidRPr="00E41B80">
        <w:rPr>
          <w:rFonts w:ascii="Times New Roman" w:eastAsia="Times New Roman" w:hAnsi="Times New Roman" w:cs="Times New Roman"/>
          <w:lang w:val="en-US"/>
        </w:rPr>
        <w:t>, 2024</w:t>
      </w:r>
      <w:r w:rsidRPr="00E41B80">
        <w:rPr>
          <w:rFonts w:ascii="Times New Roman" w:eastAsia="Times New Roman" w:hAnsi="Times New Roman" w:cs="Times New Roman"/>
          <w:lang w:val="en-US"/>
        </w:rPr>
        <w:t>).</w:t>
      </w:r>
    </w:p>
    <w:p w14:paraId="0B01A1A2" w14:textId="77777777" w:rsidR="00E06CB2" w:rsidRPr="00E41B80" w:rsidRDefault="00E06CB2" w:rsidP="00B16039">
      <w:pPr>
        <w:spacing w:before="100" w:beforeAutospacing="1" w:after="100" w:afterAutospacing="1" w:line="276" w:lineRule="auto"/>
        <w:jc w:val="both"/>
        <w:rPr>
          <w:rFonts w:ascii="Times New Roman" w:eastAsia="Times New Roman" w:hAnsi="Times New Roman" w:cs="Times New Roman"/>
          <w:lang w:val="en-US"/>
        </w:rPr>
      </w:pPr>
      <w:r w:rsidRPr="00E41B80">
        <w:rPr>
          <w:rFonts w:ascii="Times New Roman" w:eastAsia="Times New Roman" w:hAnsi="Times New Roman" w:cs="Times New Roman"/>
          <w:lang w:val="en-US"/>
        </w:rPr>
        <w:t>Ghana represents both obstacles and opportunities in the application of the circular economy to urban water and nutrient management</w:t>
      </w:r>
      <w:r w:rsidR="00503E25" w:rsidRPr="00E41B80">
        <w:rPr>
          <w:rFonts w:ascii="Times New Roman" w:eastAsia="Times New Roman" w:hAnsi="Times New Roman" w:cs="Times New Roman"/>
          <w:lang w:val="en-US"/>
        </w:rPr>
        <w:t xml:space="preserve"> (Africa Circular, 2025)</w:t>
      </w:r>
      <w:r w:rsidRPr="00E41B80">
        <w:rPr>
          <w:rFonts w:ascii="Times New Roman" w:eastAsia="Times New Roman" w:hAnsi="Times New Roman" w:cs="Times New Roman"/>
          <w:lang w:val="en-US"/>
        </w:rPr>
        <w:t>. Pilot and policy projects, including the "WIDER UPTAKE" project, are aiming to encourage treatment wastewater reuse and sludge and wastewater treatment plant-based biochar recovery and utilization in urban agriculture and other usages and to construct stakeholder partnerships, business mode</w:t>
      </w:r>
      <w:r w:rsidR="00503E25" w:rsidRPr="00E41B80">
        <w:rPr>
          <w:rFonts w:ascii="Times New Roman" w:eastAsia="Times New Roman" w:hAnsi="Times New Roman" w:cs="Times New Roman"/>
          <w:lang w:val="en-US"/>
        </w:rPr>
        <w:t>ls, and monitoring systems (</w:t>
      </w:r>
      <w:proofErr w:type="spellStart"/>
      <w:r w:rsidR="00503E25" w:rsidRPr="00E41B80">
        <w:rPr>
          <w:rFonts w:ascii="Times New Roman" w:eastAsia="Times New Roman" w:hAnsi="Times New Roman" w:cs="Times New Roman"/>
          <w:lang w:val="en-US"/>
        </w:rPr>
        <w:t>Ahenkan</w:t>
      </w:r>
      <w:proofErr w:type="spellEnd"/>
      <w:r w:rsidR="00503E25" w:rsidRPr="00E41B80">
        <w:rPr>
          <w:rFonts w:ascii="Times New Roman" w:eastAsia="Times New Roman" w:hAnsi="Times New Roman" w:cs="Times New Roman"/>
          <w:lang w:val="en-US"/>
        </w:rPr>
        <w:t xml:space="preserve"> et al., 2025</w:t>
      </w:r>
      <w:r w:rsidRPr="00E41B80">
        <w:rPr>
          <w:rFonts w:ascii="Times New Roman" w:eastAsia="Times New Roman" w:hAnsi="Times New Roman" w:cs="Times New Roman"/>
          <w:lang w:val="en-US"/>
        </w:rPr>
        <w:t>). Governance inhibitors, however, can be observed: lack of a clear circular economy policy document, scarce regulation of resource recovery solutions, dispersed institutional mandates, and health and environmental protection fears all prevent s</w:t>
      </w:r>
      <w:r w:rsidR="00B90860" w:rsidRPr="00E41B80">
        <w:rPr>
          <w:rFonts w:ascii="Times New Roman" w:eastAsia="Times New Roman" w:hAnsi="Times New Roman" w:cs="Times New Roman"/>
          <w:lang w:val="en-US"/>
        </w:rPr>
        <w:t>caling of such innovations (</w:t>
      </w:r>
      <w:proofErr w:type="spellStart"/>
      <w:r w:rsidR="00B90860" w:rsidRPr="00E41B80">
        <w:rPr>
          <w:rFonts w:ascii="Times New Roman" w:eastAsia="Times New Roman" w:hAnsi="Times New Roman" w:cs="Times New Roman"/>
          <w:lang w:val="en-US"/>
        </w:rPr>
        <w:t>Ahenkan</w:t>
      </w:r>
      <w:proofErr w:type="spellEnd"/>
      <w:r w:rsidR="00B90860" w:rsidRPr="00E41B80">
        <w:rPr>
          <w:rFonts w:ascii="Times New Roman" w:eastAsia="Times New Roman" w:hAnsi="Times New Roman" w:cs="Times New Roman"/>
          <w:lang w:val="en-US"/>
        </w:rPr>
        <w:t xml:space="preserve"> et al, 2025</w:t>
      </w:r>
      <w:r w:rsidRPr="00E41B80">
        <w:rPr>
          <w:rFonts w:ascii="Times New Roman" w:eastAsia="Times New Roman" w:hAnsi="Times New Roman" w:cs="Times New Roman"/>
          <w:lang w:val="en-US"/>
        </w:rPr>
        <w:t>; Debrah et al., 2022).</w:t>
      </w:r>
    </w:p>
    <w:p w14:paraId="58A26ABD" w14:textId="77777777" w:rsidR="007C71C8" w:rsidRPr="00E41B80" w:rsidRDefault="00E06CB2" w:rsidP="00B16039">
      <w:pPr>
        <w:spacing w:before="100" w:beforeAutospacing="1" w:after="100" w:afterAutospacing="1" w:line="276" w:lineRule="auto"/>
        <w:jc w:val="both"/>
        <w:rPr>
          <w:rFonts w:ascii="Times New Roman" w:eastAsia="Times New Roman" w:hAnsi="Times New Roman" w:cs="Times New Roman"/>
          <w:lang w:val="en-US"/>
        </w:rPr>
      </w:pPr>
      <w:r w:rsidRPr="00E41B80">
        <w:rPr>
          <w:rFonts w:ascii="Times New Roman" w:eastAsia="Times New Roman" w:hAnsi="Times New Roman" w:cs="Times New Roman"/>
          <w:lang w:val="en-US"/>
        </w:rPr>
        <w:t>The distance between technical potential and practical application argues that forms of governance, such as policy tools, institutional structures, enforcement agents, forms of cooperation among concerned parties, and public health protection, hold the key to supporting circular transitions in urban water and nutrient</w:t>
      </w:r>
      <w:r w:rsidR="001C5191" w:rsidRPr="00E41B80">
        <w:rPr>
          <w:rFonts w:ascii="Times New Roman" w:eastAsia="Times New Roman" w:hAnsi="Times New Roman" w:cs="Times New Roman"/>
          <w:lang w:val="en-US"/>
        </w:rPr>
        <w:t xml:space="preserve"> systems. The paper explored </w:t>
      </w:r>
      <w:r w:rsidRPr="00E41B80">
        <w:rPr>
          <w:rFonts w:ascii="Times New Roman" w:eastAsia="Times New Roman" w:hAnsi="Times New Roman" w:cs="Times New Roman"/>
          <w:lang w:val="en-US"/>
        </w:rPr>
        <w:t xml:space="preserve">governance </w:t>
      </w:r>
      <w:r w:rsidR="001C5191" w:rsidRPr="00E41B80">
        <w:rPr>
          <w:rFonts w:ascii="Times New Roman" w:eastAsia="Times New Roman" w:hAnsi="Times New Roman" w:cs="Times New Roman"/>
          <w:lang w:val="en-US"/>
        </w:rPr>
        <w:t xml:space="preserve">models </w:t>
      </w:r>
      <w:r w:rsidRPr="00E41B80">
        <w:rPr>
          <w:rFonts w:ascii="Times New Roman" w:eastAsia="Times New Roman" w:hAnsi="Times New Roman" w:cs="Times New Roman"/>
          <w:lang w:val="en-US"/>
        </w:rPr>
        <w:t>of applying the principles of the Circular economy to Ghana's urban water and nutrient management.</w:t>
      </w:r>
      <w:r w:rsidR="007C71C8" w:rsidRPr="00E41B80">
        <w:rPr>
          <w:rFonts w:ascii="Times New Roman" w:eastAsia="Times New Roman" w:hAnsi="Times New Roman" w:cs="Times New Roman"/>
          <w:lang w:val="en-US"/>
        </w:rPr>
        <w:t xml:space="preserve"> </w:t>
      </w:r>
    </w:p>
    <w:p w14:paraId="69E5B8E9" w14:textId="77777777" w:rsidR="00DE38A8" w:rsidRPr="00E41B80" w:rsidRDefault="00DE38A8" w:rsidP="00B16039">
      <w:pPr>
        <w:pStyle w:val="ListParagraph"/>
        <w:numPr>
          <w:ilvl w:val="0"/>
          <w:numId w:val="1"/>
        </w:numPr>
        <w:spacing w:before="100" w:beforeAutospacing="1" w:after="100" w:afterAutospacing="1" w:line="276" w:lineRule="auto"/>
        <w:jc w:val="both"/>
        <w:rPr>
          <w:rFonts w:ascii="Times New Roman" w:hAnsi="Times New Roman" w:cs="Times New Roman"/>
          <w:b/>
        </w:rPr>
      </w:pPr>
      <w:r w:rsidRPr="00E41B80">
        <w:rPr>
          <w:rFonts w:ascii="Times New Roman" w:hAnsi="Times New Roman" w:cs="Times New Roman"/>
          <w:b/>
        </w:rPr>
        <w:t>LITERATURE REVIEW</w:t>
      </w:r>
    </w:p>
    <w:p w14:paraId="2CF3C432" w14:textId="77777777" w:rsidR="00E06CB2" w:rsidRPr="00E41B80" w:rsidRDefault="00E06CB2" w:rsidP="00B16039">
      <w:pPr>
        <w:pStyle w:val="ListParagraph"/>
        <w:numPr>
          <w:ilvl w:val="1"/>
          <w:numId w:val="1"/>
        </w:numPr>
        <w:spacing w:before="100" w:beforeAutospacing="1" w:after="100" w:afterAutospacing="1" w:line="276" w:lineRule="auto"/>
        <w:jc w:val="both"/>
        <w:rPr>
          <w:rFonts w:ascii="Times New Roman" w:hAnsi="Times New Roman" w:cs="Times New Roman"/>
          <w:b/>
        </w:rPr>
      </w:pPr>
      <w:r w:rsidRPr="00E41B80">
        <w:rPr>
          <w:rFonts w:ascii="Times New Roman" w:hAnsi="Times New Roman" w:cs="Times New Roman"/>
          <w:b/>
        </w:rPr>
        <w:t>Circular Economy in Water and Nutrient Management</w:t>
      </w:r>
    </w:p>
    <w:p w14:paraId="1EBA8E2E" w14:textId="77777777" w:rsidR="00C22DD5" w:rsidRPr="00E41B80" w:rsidRDefault="001C5191" w:rsidP="00B16039">
      <w:pPr>
        <w:pStyle w:val="NormalWeb"/>
        <w:spacing w:line="276" w:lineRule="auto"/>
        <w:jc w:val="both"/>
        <w:rPr>
          <w:sz w:val="22"/>
          <w:szCs w:val="22"/>
        </w:rPr>
      </w:pPr>
      <w:r w:rsidRPr="00E41B80">
        <w:rPr>
          <w:sz w:val="22"/>
          <w:szCs w:val="22"/>
        </w:rPr>
        <w:t>The circular economy</w:t>
      </w:r>
      <w:r w:rsidR="00C22DD5" w:rsidRPr="00E41B80">
        <w:rPr>
          <w:sz w:val="22"/>
          <w:szCs w:val="22"/>
        </w:rPr>
        <w:t xml:space="preserve"> concept seeks to move beyond linear models of “take–use–dispose” by promoting </w:t>
      </w:r>
      <w:r w:rsidR="00C22DD5" w:rsidRPr="00E41B80">
        <w:rPr>
          <w:rStyle w:val="Emphasis"/>
          <w:i w:val="0"/>
          <w:sz w:val="22"/>
          <w:szCs w:val="22"/>
        </w:rPr>
        <w:t>closing loops</w:t>
      </w:r>
      <w:r w:rsidR="00C22DD5" w:rsidRPr="00E41B80">
        <w:rPr>
          <w:i/>
          <w:sz w:val="22"/>
          <w:szCs w:val="22"/>
        </w:rPr>
        <w:t xml:space="preserve">, </w:t>
      </w:r>
      <w:r w:rsidR="00C22DD5" w:rsidRPr="00E41B80">
        <w:rPr>
          <w:rStyle w:val="Emphasis"/>
          <w:i w:val="0"/>
          <w:sz w:val="22"/>
          <w:szCs w:val="22"/>
        </w:rPr>
        <w:t xml:space="preserve">waste </w:t>
      </w:r>
      <w:proofErr w:type="spellStart"/>
      <w:r w:rsidR="00C22DD5" w:rsidRPr="00E41B80">
        <w:rPr>
          <w:rStyle w:val="Emphasis"/>
          <w:i w:val="0"/>
          <w:sz w:val="22"/>
          <w:szCs w:val="22"/>
        </w:rPr>
        <w:t>valorisation</w:t>
      </w:r>
      <w:proofErr w:type="spellEnd"/>
      <w:r w:rsidR="00C22DD5" w:rsidRPr="00E41B80">
        <w:rPr>
          <w:i/>
          <w:sz w:val="22"/>
          <w:szCs w:val="22"/>
        </w:rPr>
        <w:t xml:space="preserve">, </w:t>
      </w:r>
      <w:r w:rsidR="00C22DD5" w:rsidRPr="00E41B80">
        <w:rPr>
          <w:sz w:val="22"/>
          <w:szCs w:val="22"/>
        </w:rPr>
        <w:t>and</w:t>
      </w:r>
      <w:r w:rsidR="00C22DD5" w:rsidRPr="00E41B80">
        <w:rPr>
          <w:i/>
          <w:sz w:val="22"/>
          <w:szCs w:val="22"/>
        </w:rPr>
        <w:t xml:space="preserve"> </w:t>
      </w:r>
      <w:r w:rsidR="00C22DD5" w:rsidRPr="00E41B80">
        <w:rPr>
          <w:rStyle w:val="Emphasis"/>
          <w:i w:val="0"/>
          <w:sz w:val="22"/>
          <w:szCs w:val="22"/>
        </w:rPr>
        <w:t>regeneration of natural systems</w:t>
      </w:r>
      <w:r w:rsidR="00C22DD5" w:rsidRPr="00E41B80">
        <w:rPr>
          <w:sz w:val="22"/>
          <w:szCs w:val="22"/>
        </w:rPr>
        <w:t xml:space="preserve"> (Fernandes &amp; Cunha Marques, 2023; </w:t>
      </w:r>
      <w:proofErr w:type="spellStart"/>
      <w:r w:rsidR="00C22DD5" w:rsidRPr="00E41B80">
        <w:rPr>
          <w:sz w:val="22"/>
          <w:szCs w:val="22"/>
        </w:rPr>
        <w:t>Peydayesh</w:t>
      </w:r>
      <w:proofErr w:type="spellEnd"/>
      <w:r w:rsidR="00C22DD5" w:rsidRPr="00E41B80">
        <w:rPr>
          <w:sz w:val="22"/>
          <w:szCs w:val="22"/>
        </w:rPr>
        <w:t xml:space="preserve"> &amp; </w:t>
      </w:r>
      <w:proofErr w:type="spellStart"/>
      <w:r w:rsidR="00C22DD5" w:rsidRPr="00E41B80">
        <w:rPr>
          <w:sz w:val="22"/>
          <w:szCs w:val="22"/>
        </w:rPr>
        <w:t>Mezzenga</w:t>
      </w:r>
      <w:proofErr w:type="spellEnd"/>
      <w:r w:rsidR="00C22DD5" w:rsidRPr="00E41B80">
        <w:rPr>
          <w:sz w:val="22"/>
          <w:szCs w:val="22"/>
        </w:rPr>
        <w:t xml:space="preserve">, 2024). In the context of water and nutrient management, the </w:t>
      </w:r>
      <w:r w:rsidRPr="00E41B80">
        <w:rPr>
          <w:sz w:val="22"/>
          <w:szCs w:val="22"/>
        </w:rPr>
        <w:t xml:space="preserve">circular economy </w:t>
      </w:r>
      <w:r w:rsidR="00C22DD5" w:rsidRPr="00E41B80">
        <w:rPr>
          <w:sz w:val="22"/>
          <w:szCs w:val="22"/>
        </w:rPr>
        <w:t>framework emphasizes recovering and reusing water, extracting nutrients (nitrogen, phosphorus) from wastewater and organic wastes, and integrating these recovered resources into productive uses such as agriculture</w:t>
      </w:r>
      <w:r w:rsidR="00503E25" w:rsidRPr="00E41B80">
        <w:rPr>
          <w:sz w:val="22"/>
          <w:szCs w:val="22"/>
        </w:rPr>
        <w:t xml:space="preserve"> (Hamam et al., 2024)</w:t>
      </w:r>
      <w:r w:rsidR="00C22DD5" w:rsidRPr="00E41B80">
        <w:rPr>
          <w:sz w:val="22"/>
          <w:szCs w:val="22"/>
        </w:rPr>
        <w:t>.</w:t>
      </w:r>
    </w:p>
    <w:p w14:paraId="75ED3048" w14:textId="77777777" w:rsidR="00F07F9D" w:rsidRPr="00E41B80" w:rsidRDefault="00F07F9D" w:rsidP="00B16039">
      <w:pPr>
        <w:pStyle w:val="NormalWeb"/>
        <w:spacing w:line="276" w:lineRule="auto"/>
        <w:jc w:val="both"/>
        <w:rPr>
          <w:sz w:val="22"/>
          <w:szCs w:val="22"/>
        </w:rPr>
      </w:pPr>
    </w:p>
    <w:p w14:paraId="2762357D" w14:textId="77777777" w:rsidR="00C22DD5" w:rsidRPr="00E41B80" w:rsidRDefault="00C22DD5" w:rsidP="00B16039">
      <w:pPr>
        <w:spacing w:line="276" w:lineRule="auto"/>
        <w:rPr>
          <w:rFonts w:ascii="Times New Roman" w:hAnsi="Times New Roman" w:cs="Times New Roman"/>
          <w:b/>
        </w:rPr>
      </w:pPr>
      <w:r w:rsidRPr="00E41B80">
        <w:rPr>
          <w:rFonts w:ascii="Times New Roman" w:hAnsi="Times New Roman" w:cs="Times New Roman"/>
          <w:b/>
        </w:rPr>
        <w:t>2.1.1 Key Technologies and Strategies</w:t>
      </w:r>
    </w:p>
    <w:p w14:paraId="7DAAD5A5" w14:textId="77777777" w:rsidR="00362694" w:rsidRPr="00E41B80" w:rsidRDefault="00362694" w:rsidP="00B16039">
      <w:pPr>
        <w:spacing w:line="276" w:lineRule="auto"/>
        <w:rPr>
          <w:rFonts w:ascii="Times New Roman" w:eastAsia="Times New Roman" w:hAnsi="Times New Roman" w:cs="Times New Roman"/>
          <w:lang w:val="en-US"/>
        </w:rPr>
      </w:pPr>
      <w:proofErr w:type="spellStart"/>
      <w:r w:rsidRPr="00E41B80">
        <w:rPr>
          <w:rFonts w:ascii="Times New Roman" w:eastAsia="Times New Roman" w:hAnsi="Times New Roman" w:cs="Times New Roman"/>
          <w:lang w:val="en-US"/>
        </w:rPr>
        <w:t>Farfán</w:t>
      </w:r>
      <w:proofErr w:type="spellEnd"/>
      <w:r w:rsidRPr="00E41B80">
        <w:rPr>
          <w:rFonts w:ascii="Times New Roman" w:eastAsia="Times New Roman" w:hAnsi="Times New Roman" w:cs="Times New Roman"/>
          <w:lang w:val="en-US"/>
        </w:rPr>
        <w:t xml:space="preserve"> </w:t>
      </w:r>
      <w:proofErr w:type="spellStart"/>
      <w:r w:rsidRPr="00E41B80">
        <w:rPr>
          <w:rFonts w:ascii="Times New Roman" w:eastAsia="Times New Roman" w:hAnsi="Times New Roman" w:cs="Times New Roman"/>
          <w:lang w:val="en-US"/>
        </w:rPr>
        <w:t>Chilicaus</w:t>
      </w:r>
      <w:proofErr w:type="spellEnd"/>
      <w:r w:rsidRPr="00E41B80">
        <w:rPr>
          <w:rFonts w:ascii="Times New Roman" w:eastAsia="Times New Roman" w:hAnsi="Times New Roman" w:cs="Times New Roman"/>
          <w:lang w:val="en-US"/>
        </w:rPr>
        <w:t xml:space="preserve"> et al. (2025) illustrate that circular economy-oriented water management has made significant advancements on technological levels. Membrane bioreactors, constructed wetlands, and advanced oxidation processes are being increasingly used for wastewater treatment and water reuse safely and effectively. Nutrient recovery techniques are also increasing; materials such as </w:t>
      </w:r>
      <w:proofErr w:type="spellStart"/>
      <w:r w:rsidRPr="00E41B80">
        <w:rPr>
          <w:rFonts w:ascii="Times New Roman" w:eastAsia="Times New Roman" w:hAnsi="Times New Roman" w:cs="Times New Roman"/>
          <w:lang w:val="en-US"/>
        </w:rPr>
        <w:t>biochars</w:t>
      </w:r>
      <w:proofErr w:type="spellEnd"/>
      <w:r w:rsidRPr="00E41B80">
        <w:rPr>
          <w:rFonts w:ascii="Times New Roman" w:eastAsia="Times New Roman" w:hAnsi="Times New Roman" w:cs="Times New Roman"/>
          <w:lang w:val="en-US"/>
        </w:rPr>
        <w:t>, magnetic phases, and layered double hydroxides, as well as methods like struvite precipitation, are being used to recycle phosphorus and nitrogen from wastewater streams (Akter et al., 2024; Chakraborty et al., 2024). Eco-technologies like constructed wetlands serve twin purposes: treatment and natural purification at lower energy input, thus becoming increasingly viable in varied contexts (</w:t>
      </w:r>
      <w:proofErr w:type="spellStart"/>
      <w:r w:rsidRPr="00E41B80">
        <w:rPr>
          <w:rFonts w:ascii="Times New Roman" w:eastAsia="Times New Roman" w:hAnsi="Times New Roman" w:cs="Times New Roman"/>
          <w:lang w:val="en-US"/>
        </w:rPr>
        <w:t>Farfán</w:t>
      </w:r>
      <w:proofErr w:type="spellEnd"/>
      <w:r w:rsidRPr="00E41B80">
        <w:rPr>
          <w:rFonts w:ascii="Times New Roman" w:eastAsia="Times New Roman" w:hAnsi="Times New Roman" w:cs="Times New Roman"/>
          <w:lang w:val="en-US"/>
        </w:rPr>
        <w:t xml:space="preserve"> </w:t>
      </w:r>
      <w:proofErr w:type="spellStart"/>
      <w:r w:rsidRPr="00E41B80">
        <w:rPr>
          <w:rFonts w:ascii="Times New Roman" w:eastAsia="Times New Roman" w:hAnsi="Times New Roman" w:cs="Times New Roman"/>
          <w:lang w:val="en-US"/>
        </w:rPr>
        <w:t>Chilicaus</w:t>
      </w:r>
      <w:proofErr w:type="spellEnd"/>
      <w:r w:rsidRPr="00E41B80">
        <w:rPr>
          <w:rFonts w:ascii="Times New Roman" w:eastAsia="Times New Roman" w:hAnsi="Times New Roman" w:cs="Times New Roman"/>
          <w:lang w:val="en-US"/>
        </w:rPr>
        <w:t xml:space="preserve"> et al., 2025).</w:t>
      </w:r>
    </w:p>
    <w:p w14:paraId="1DD327F5" w14:textId="77777777" w:rsidR="00C22DD5" w:rsidRPr="00E41B80" w:rsidRDefault="00C22DD5" w:rsidP="00B16039">
      <w:pPr>
        <w:spacing w:line="276" w:lineRule="auto"/>
        <w:rPr>
          <w:rFonts w:ascii="Times New Roman" w:hAnsi="Times New Roman" w:cs="Times New Roman"/>
          <w:b/>
        </w:rPr>
      </w:pPr>
      <w:r w:rsidRPr="00E41B80">
        <w:rPr>
          <w:rFonts w:ascii="Times New Roman" w:hAnsi="Times New Roman" w:cs="Times New Roman"/>
          <w:b/>
        </w:rPr>
        <w:t>2.1.2 Environmental, Health, and Agricultural Benefits</w:t>
      </w:r>
    </w:p>
    <w:p w14:paraId="48B0B626" w14:textId="77777777" w:rsidR="00C22DD5" w:rsidRPr="00E41B80" w:rsidRDefault="00C22DD5" w:rsidP="00B16039">
      <w:pPr>
        <w:pStyle w:val="NormalWeb"/>
        <w:spacing w:line="276" w:lineRule="auto"/>
        <w:jc w:val="both"/>
        <w:rPr>
          <w:sz w:val="22"/>
          <w:szCs w:val="22"/>
        </w:rPr>
      </w:pPr>
      <w:r w:rsidRPr="00E41B80">
        <w:rPr>
          <w:sz w:val="22"/>
          <w:szCs w:val="22"/>
        </w:rPr>
        <w:t xml:space="preserve">The circular management of water and nutrients has been linked to multiple co-benefits. Recovering nutrients reduces dependency on synthetic fertilizers, and returning organic matter to soils improves soil </w:t>
      </w:r>
      <w:r w:rsidRPr="00E41B80">
        <w:rPr>
          <w:sz w:val="22"/>
          <w:szCs w:val="22"/>
        </w:rPr>
        <w:lastRenderedPageBreak/>
        <w:t>fertility and resilience (especially under climate change press</w:t>
      </w:r>
      <w:r w:rsidR="00D4253A" w:rsidRPr="00E41B80">
        <w:rPr>
          <w:sz w:val="22"/>
          <w:szCs w:val="22"/>
        </w:rPr>
        <w:t>ures) (</w:t>
      </w:r>
      <w:proofErr w:type="spellStart"/>
      <w:r w:rsidR="00D4253A" w:rsidRPr="00E41B80">
        <w:rPr>
          <w:sz w:val="22"/>
          <w:szCs w:val="22"/>
        </w:rPr>
        <w:t>Crovella</w:t>
      </w:r>
      <w:proofErr w:type="spellEnd"/>
      <w:r w:rsidR="00D4253A" w:rsidRPr="00E41B80">
        <w:rPr>
          <w:sz w:val="22"/>
          <w:szCs w:val="22"/>
        </w:rPr>
        <w:t xml:space="preserve"> et al.,</w:t>
      </w:r>
      <w:r w:rsidRPr="00E41B80">
        <w:rPr>
          <w:sz w:val="22"/>
          <w:szCs w:val="22"/>
        </w:rPr>
        <w:t xml:space="preserve"> 2024). Water reuse helps alleviate water scarcity, reduces pollution loads in rivers and lakes, and can</w:t>
      </w:r>
      <w:r w:rsidR="00794AB6" w:rsidRPr="00E41B80">
        <w:rPr>
          <w:sz w:val="22"/>
          <w:szCs w:val="22"/>
        </w:rPr>
        <w:t xml:space="preserve"> mitigate eutrophication (</w:t>
      </w:r>
      <w:proofErr w:type="spellStart"/>
      <w:r w:rsidR="00794AB6" w:rsidRPr="00E41B80">
        <w:rPr>
          <w:sz w:val="22"/>
          <w:szCs w:val="22"/>
        </w:rPr>
        <w:t>Fiskal</w:t>
      </w:r>
      <w:proofErr w:type="spellEnd"/>
      <w:r w:rsidRPr="00E41B80">
        <w:rPr>
          <w:sz w:val="22"/>
          <w:szCs w:val="22"/>
        </w:rPr>
        <w:t xml:space="preserve"> e</w:t>
      </w:r>
      <w:r w:rsidR="00D4253A" w:rsidRPr="00E41B80">
        <w:rPr>
          <w:sz w:val="22"/>
          <w:szCs w:val="22"/>
        </w:rPr>
        <w:t>t al.</w:t>
      </w:r>
      <w:r w:rsidRPr="00E41B80">
        <w:rPr>
          <w:sz w:val="22"/>
          <w:szCs w:val="22"/>
        </w:rPr>
        <w:t>, 2019). Additionally, the systematic map of nutrient recovery from human excreta and domestic wastewater highlights the potential to mitigate aquatic pollution while addressing nutrient insecurity (</w:t>
      </w:r>
      <w:r w:rsidR="00D4253A" w:rsidRPr="00E41B80">
        <w:rPr>
          <w:sz w:val="22"/>
          <w:szCs w:val="22"/>
        </w:rPr>
        <w:t>Macura et al., 2024</w:t>
      </w:r>
      <w:r w:rsidRPr="00E41B80">
        <w:rPr>
          <w:sz w:val="22"/>
          <w:szCs w:val="22"/>
        </w:rPr>
        <w:t>).</w:t>
      </w:r>
    </w:p>
    <w:p w14:paraId="3E48A8F8" w14:textId="77777777" w:rsidR="00C22DD5" w:rsidRPr="00E41B80" w:rsidRDefault="00C22DD5" w:rsidP="00B16039">
      <w:pPr>
        <w:spacing w:line="276" w:lineRule="auto"/>
        <w:rPr>
          <w:rFonts w:ascii="Times New Roman" w:hAnsi="Times New Roman" w:cs="Times New Roman"/>
          <w:b/>
        </w:rPr>
      </w:pPr>
      <w:r w:rsidRPr="00E41B80">
        <w:rPr>
          <w:rFonts w:ascii="Times New Roman" w:hAnsi="Times New Roman" w:cs="Times New Roman"/>
          <w:b/>
        </w:rPr>
        <w:t>2.1.3 Barriers and Constraints to Implementation</w:t>
      </w:r>
    </w:p>
    <w:p w14:paraId="048711C8" w14:textId="77777777" w:rsidR="00C22DD5" w:rsidRPr="00E41B80" w:rsidRDefault="00C22DD5" w:rsidP="00B16039">
      <w:pPr>
        <w:pStyle w:val="NormalWeb"/>
        <w:spacing w:line="276" w:lineRule="auto"/>
        <w:jc w:val="both"/>
        <w:rPr>
          <w:sz w:val="22"/>
          <w:szCs w:val="22"/>
        </w:rPr>
      </w:pPr>
      <w:r w:rsidRPr="00E41B80">
        <w:rPr>
          <w:sz w:val="22"/>
          <w:szCs w:val="22"/>
        </w:rPr>
        <w:t xml:space="preserve">Despite technological promise and demonstrated benefits, </w:t>
      </w:r>
      <w:r w:rsidR="001C5191" w:rsidRPr="00E41B80">
        <w:rPr>
          <w:sz w:val="22"/>
          <w:szCs w:val="22"/>
        </w:rPr>
        <w:t xml:space="preserve">the </w:t>
      </w:r>
      <w:r w:rsidRPr="00E41B80">
        <w:rPr>
          <w:sz w:val="22"/>
          <w:szCs w:val="22"/>
        </w:rPr>
        <w:t xml:space="preserve">implementation of </w:t>
      </w:r>
      <w:r w:rsidR="001C5191" w:rsidRPr="00E41B80">
        <w:rPr>
          <w:sz w:val="22"/>
          <w:szCs w:val="22"/>
        </w:rPr>
        <w:t>circular economy</w:t>
      </w:r>
      <w:r w:rsidRPr="00E41B80">
        <w:rPr>
          <w:sz w:val="22"/>
          <w:szCs w:val="22"/>
        </w:rPr>
        <w:t xml:space="preserve"> approaches in water and nutrient management faces several barriers</w:t>
      </w:r>
      <w:r w:rsidR="00D567CB" w:rsidRPr="00E41B80">
        <w:rPr>
          <w:sz w:val="22"/>
          <w:szCs w:val="22"/>
        </w:rPr>
        <w:t>,</w:t>
      </w:r>
      <w:r w:rsidR="00FA2419" w:rsidRPr="00E41B80">
        <w:rPr>
          <w:sz w:val="22"/>
          <w:szCs w:val="22"/>
        </w:rPr>
        <w:t xml:space="preserve"> </w:t>
      </w:r>
      <w:r w:rsidR="00D567CB" w:rsidRPr="00E41B80">
        <w:rPr>
          <w:sz w:val="22"/>
          <w:szCs w:val="22"/>
        </w:rPr>
        <w:t>as shown in Figure 1</w:t>
      </w:r>
      <w:r w:rsidRPr="00E41B80">
        <w:rPr>
          <w:sz w:val="22"/>
          <w:szCs w:val="22"/>
        </w:rPr>
        <w:t>. Economic constraints, particularly the cost of technologies and infrastructure, are frequently cited</w:t>
      </w:r>
      <w:r w:rsidR="00D567CB" w:rsidRPr="00E41B80">
        <w:rPr>
          <w:sz w:val="22"/>
          <w:szCs w:val="22"/>
        </w:rPr>
        <w:t xml:space="preserve"> (</w:t>
      </w:r>
      <w:proofErr w:type="spellStart"/>
      <w:r w:rsidR="00D567CB" w:rsidRPr="00E41B80">
        <w:rPr>
          <w:sz w:val="22"/>
          <w:szCs w:val="22"/>
        </w:rPr>
        <w:t>Farfán</w:t>
      </w:r>
      <w:proofErr w:type="spellEnd"/>
      <w:r w:rsidR="00D567CB" w:rsidRPr="00E41B80">
        <w:rPr>
          <w:sz w:val="22"/>
          <w:szCs w:val="22"/>
        </w:rPr>
        <w:t xml:space="preserve"> </w:t>
      </w:r>
      <w:proofErr w:type="spellStart"/>
      <w:r w:rsidR="00D567CB" w:rsidRPr="00E41B80">
        <w:rPr>
          <w:sz w:val="22"/>
          <w:szCs w:val="22"/>
        </w:rPr>
        <w:t>Chilicaus</w:t>
      </w:r>
      <w:proofErr w:type="spellEnd"/>
      <w:r w:rsidR="00D567CB" w:rsidRPr="00E41B80">
        <w:rPr>
          <w:sz w:val="22"/>
          <w:szCs w:val="22"/>
        </w:rPr>
        <w:t xml:space="preserve"> et al., 2025)</w:t>
      </w:r>
      <w:r w:rsidRPr="00E41B80">
        <w:rPr>
          <w:sz w:val="22"/>
          <w:szCs w:val="22"/>
        </w:rPr>
        <w:t>. Regulatory and policy gaps, especially around standards for reuse and recovered products, hinder uptake (</w:t>
      </w:r>
      <w:r w:rsidR="001C5191" w:rsidRPr="00E41B80">
        <w:rPr>
          <w:sz w:val="22"/>
          <w:szCs w:val="22"/>
        </w:rPr>
        <w:t>Akter et al</w:t>
      </w:r>
      <w:r w:rsidRPr="00E41B80">
        <w:rPr>
          <w:sz w:val="22"/>
          <w:szCs w:val="22"/>
        </w:rPr>
        <w:t xml:space="preserve">, 2024). Institutional capacity is often weak, with fragmented governance, </w:t>
      </w:r>
      <w:r w:rsidR="001C5191" w:rsidRPr="00E41B80">
        <w:rPr>
          <w:sz w:val="22"/>
          <w:szCs w:val="22"/>
        </w:rPr>
        <w:t xml:space="preserve">a </w:t>
      </w:r>
      <w:r w:rsidRPr="00E41B80">
        <w:rPr>
          <w:sz w:val="22"/>
          <w:szCs w:val="22"/>
        </w:rPr>
        <w:t>lack of coordination among agencies, and insufficient stakeholder engagement limiting scaling. Health and safety concerns, e.g., potential pathogen transmission, chemical contamination, must be managed through rigorous treatm</w:t>
      </w:r>
      <w:r w:rsidR="001C5191" w:rsidRPr="00E41B80">
        <w:rPr>
          <w:sz w:val="22"/>
          <w:szCs w:val="22"/>
        </w:rPr>
        <w:t>ent, monitoring, and regulation</w:t>
      </w:r>
      <w:r w:rsidR="00FA2419" w:rsidRPr="00E41B80">
        <w:rPr>
          <w:sz w:val="22"/>
          <w:szCs w:val="22"/>
        </w:rPr>
        <w:t xml:space="preserve"> (</w:t>
      </w:r>
      <w:proofErr w:type="spellStart"/>
      <w:r w:rsidR="00FA2419" w:rsidRPr="00E41B80">
        <w:rPr>
          <w:sz w:val="22"/>
          <w:szCs w:val="22"/>
        </w:rPr>
        <w:t>Keraita</w:t>
      </w:r>
      <w:proofErr w:type="spellEnd"/>
      <w:r w:rsidR="00FA2419" w:rsidRPr="00E41B80">
        <w:rPr>
          <w:sz w:val="22"/>
          <w:szCs w:val="22"/>
        </w:rPr>
        <w:t xml:space="preserve"> et al., 2018)</w:t>
      </w:r>
      <w:r w:rsidRPr="00E41B80">
        <w:rPr>
          <w:sz w:val="22"/>
          <w:szCs w:val="22"/>
        </w:rPr>
        <w:t>.</w:t>
      </w:r>
    </w:p>
    <w:p w14:paraId="4CC1D768" w14:textId="77777777" w:rsidR="00D567CB" w:rsidRPr="00E41B80" w:rsidRDefault="00D567CB" w:rsidP="00B16039">
      <w:pPr>
        <w:pStyle w:val="NormalWeb"/>
        <w:spacing w:line="276" w:lineRule="auto"/>
        <w:jc w:val="both"/>
        <w:rPr>
          <w:sz w:val="22"/>
          <w:szCs w:val="22"/>
        </w:rPr>
      </w:pPr>
      <w:r w:rsidRPr="00E41B80">
        <w:rPr>
          <w:noProof/>
          <w:sz w:val="22"/>
          <w:szCs w:val="22"/>
        </w:rPr>
        <w:drawing>
          <wp:inline distT="0" distB="0" distL="0" distR="0" wp14:anchorId="73E7B047" wp14:editId="1A6292B9">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371A1FF" w14:textId="77777777" w:rsidR="006375FA" w:rsidRPr="00E41B80" w:rsidRDefault="006375FA" w:rsidP="001A46CF">
      <w:pPr>
        <w:pStyle w:val="NormalWeb"/>
        <w:spacing w:line="276" w:lineRule="auto"/>
        <w:jc w:val="center"/>
        <w:rPr>
          <w:b/>
          <w:sz w:val="22"/>
          <w:szCs w:val="22"/>
        </w:rPr>
      </w:pPr>
      <w:r w:rsidRPr="00E41B80">
        <w:rPr>
          <w:b/>
          <w:sz w:val="22"/>
          <w:szCs w:val="22"/>
        </w:rPr>
        <w:t>Figure 1:</w:t>
      </w:r>
      <w:r w:rsidRPr="00E41B80">
        <w:rPr>
          <w:sz w:val="22"/>
          <w:szCs w:val="22"/>
        </w:rPr>
        <w:t xml:space="preserve"> </w:t>
      </w:r>
      <w:r w:rsidRPr="00E41B80">
        <w:rPr>
          <w:b/>
          <w:sz w:val="22"/>
          <w:szCs w:val="22"/>
        </w:rPr>
        <w:t>Barriers and Constraints to Implementation</w:t>
      </w:r>
    </w:p>
    <w:p w14:paraId="79609F15" w14:textId="77777777" w:rsidR="006375FA" w:rsidRPr="00E41B80" w:rsidRDefault="006375FA" w:rsidP="001A46CF">
      <w:pPr>
        <w:pStyle w:val="NormalWeb"/>
        <w:spacing w:line="276" w:lineRule="auto"/>
        <w:jc w:val="center"/>
        <w:rPr>
          <w:sz w:val="22"/>
          <w:szCs w:val="22"/>
        </w:rPr>
      </w:pPr>
      <w:r w:rsidRPr="00E41B80">
        <w:rPr>
          <w:sz w:val="22"/>
          <w:szCs w:val="22"/>
        </w:rPr>
        <w:t>Source: Authors Construct</w:t>
      </w:r>
    </w:p>
    <w:p w14:paraId="0AC3D49B" w14:textId="77777777" w:rsidR="00C22DD5" w:rsidRPr="00E41B80" w:rsidRDefault="00C22DD5" w:rsidP="00B16039">
      <w:pPr>
        <w:spacing w:line="276" w:lineRule="auto"/>
        <w:rPr>
          <w:rFonts w:ascii="Times New Roman" w:hAnsi="Times New Roman" w:cs="Times New Roman"/>
          <w:b/>
        </w:rPr>
      </w:pPr>
      <w:r w:rsidRPr="00E41B80">
        <w:rPr>
          <w:rFonts w:ascii="Times New Roman" w:hAnsi="Times New Roman" w:cs="Times New Roman"/>
          <w:b/>
        </w:rPr>
        <w:t>2.1.4 Life Cycle and Sustainability Assessment Perspectives</w:t>
      </w:r>
    </w:p>
    <w:p w14:paraId="15BFE80C" w14:textId="77777777" w:rsidR="001C5191" w:rsidRPr="00E41B80" w:rsidRDefault="001C5191" w:rsidP="00B16039">
      <w:pPr>
        <w:pStyle w:val="NormalWeb"/>
        <w:spacing w:line="276" w:lineRule="auto"/>
        <w:jc w:val="both"/>
        <w:rPr>
          <w:sz w:val="22"/>
          <w:szCs w:val="22"/>
        </w:rPr>
      </w:pPr>
      <w:r w:rsidRPr="00E41B80">
        <w:rPr>
          <w:sz w:val="22"/>
          <w:szCs w:val="22"/>
        </w:rPr>
        <w:t>Life cycle assessment</w:t>
      </w:r>
      <w:r w:rsidR="00C22DD5" w:rsidRPr="00E41B80">
        <w:rPr>
          <w:sz w:val="22"/>
          <w:szCs w:val="22"/>
        </w:rPr>
        <w:t xml:space="preserve"> studies have become frequent in assessing the environmental outcomes of </w:t>
      </w:r>
      <w:r w:rsidRPr="00E41B80">
        <w:rPr>
          <w:sz w:val="22"/>
          <w:szCs w:val="22"/>
        </w:rPr>
        <w:t>circular economy</w:t>
      </w:r>
      <w:r w:rsidR="00C22DD5" w:rsidRPr="00E41B80">
        <w:rPr>
          <w:sz w:val="22"/>
          <w:szCs w:val="22"/>
        </w:rPr>
        <w:t xml:space="preserve"> interventions in water and nutrient recovery</w:t>
      </w:r>
      <w:r w:rsidR="00F45BAA" w:rsidRPr="00E41B80">
        <w:rPr>
          <w:sz w:val="22"/>
          <w:szCs w:val="22"/>
        </w:rPr>
        <w:t xml:space="preserve"> (Rebello, 2024)</w:t>
      </w:r>
      <w:r w:rsidR="00C966D7" w:rsidRPr="00E41B80">
        <w:rPr>
          <w:sz w:val="22"/>
          <w:szCs w:val="22"/>
        </w:rPr>
        <w:t xml:space="preserve">. </w:t>
      </w:r>
      <w:proofErr w:type="spellStart"/>
      <w:r w:rsidR="00FA2419" w:rsidRPr="00E41B80">
        <w:rPr>
          <w:sz w:val="22"/>
          <w:szCs w:val="22"/>
        </w:rPr>
        <w:t>Pausta</w:t>
      </w:r>
      <w:proofErr w:type="spellEnd"/>
      <w:r w:rsidR="00FA2419" w:rsidRPr="00E41B80">
        <w:rPr>
          <w:sz w:val="22"/>
          <w:szCs w:val="22"/>
        </w:rPr>
        <w:t xml:space="preserve"> et al. (2024)</w:t>
      </w:r>
      <w:r w:rsidR="00C22DD5" w:rsidRPr="00E41B80">
        <w:rPr>
          <w:sz w:val="22"/>
          <w:szCs w:val="22"/>
        </w:rPr>
        <w:t xml:space="preserve"> found that wastewater reuse for irrigation, sludge extraction for bio-based products, and nutrient biosolid recovery for </w:t>
      </w:r>
      <w:r w:rsidR="00C22DD5" w:rsidRPr="00E41B80">
        <w:rPr>
          <w:sz w:val="22"/>
          <w:szCs w:val="22"/>
        </w:rPr>
        <w:lastRenderedPageBreak/>
        <w:t>soil amendment can yield significant reductions in greenhouse gas emissions and environmental b</w:t>
      </w:r>
      <w:r w:rsidRPr="00E41B80">
        <w:rPr>
          <w:sz w:val="22"/>
          <w:szCs w:val="22"/>
        </w:rPr>
        <w:t>urdens</w:t>
      </w:r>
      <w:r w:rsidR="00C22DD5" w:rsidRPr="00E41B80">
        <w:rPr>
          <w:sz w:val="22"/>
          <w:szCs w:val="22"/>
        </w:rPr>
        <w:t xml:space="preserve">. Such </w:t>
      </w:r>
      <w:r w:rsidRPr="00E41B80">
        <w:rPr>
          <w:sz w:val="22"/>
          <w:szCs w:val="22"/>
        </w:rPr>
        <w:t>Life cycle assessment</w:t>
      </w:r>
      <w:r w:rsidR="00C22DD5" w:rsidRPr="00E41B80">
        <w:rPr>
          <w:sz w:val="22"/>
          <w:szCs w:val="22"/>
        </w:rPr>
        <w:t xml:space="preserve">s help compare trade-offs among different recovery pathways (e.g., energy requirements vs. pollutant removal vs. nutrient yield), informing more environmentally and economically sustainable </w:t>
      </w:r>
      <w:r w:rsidRPr="00E41B80">
        <w:rPr>
          <w:sz w:val="22"/>
          <w:szCs w:val="22"/>
        </w:rPr>
        <w:t>decision-making</w:t>
      </w:r>
      <w:r w:rsidR="0038315D" w:rsidRPr="00E41B80">
        <w:rPr>
          <w:sz w:val="22"/>
          <w:szCs w:val="22"/>
        </w:rPr>
        <w:t>.</w:t>
      </w:r>
    </w:p>
    <w:p w14:paraId="7E35CE80" w14:textId="77777777" w:rsidR="00C22DD5" w:rsidRPr="00E41B80" w:rsidRDefault="00C22DD5" w:rsidP="00B16039">
      <w:pPr>
        <w:spacing w:line="276" w:lineRule="auto"/>
        <w:rPr>
          <w:rFonts w:ascii="Times New Roman" w:hAnsi="Times New Roman" w:cs="Times New Roman"/>
          <w:b/>
        </w:rPr>
      </w:pPr>
      <w:r w:rsidRPr="00E41B80">
        <w:rPr>
          <w:rFonts w:ascii="Times New Roman" w:hAnsi="Times New Roman" w:cs="Times New Roman"/>
          <w:b/>
        </w:rPr>
        <w:t>2.1.5 Relevance of C</w:t>
      </w:r>
      <w:r w:rsidR="00C966D7" w:rsidRPr="00E41B80">
        <w:rPr>
          <w:rFonts w:ascii="Times New Roman" w:hAnsi="Times New Roman" w:cs="Times New Roman"/>
          <w:b/>
        </w:rPr>
        <w:t xml:space="preserve">ircular </w:t>
      </w:r>
      <w:r w:rsidRPr="00E41B80">
        <w:rPr>
          <w:rFonts w:ascii="Times New Roman" w:hAnsi="Times New Roman" w:cs="Times New Roman"/>
          <w:b/>
        </w:rPr>
        <w:t>E</w:t>
      </w:r>
      <w:r w:rsidR="00C966D7" w:rsidRPr="00E41B80">
        <w:rPr>
          <w:rFonts w:ascii="Times New Roman" w:hAnsi="Times New Roman" w:cs="Times New Roman"/>
          <w:b/>
        </w:rPr>
        <w:t>conomy</w:t>
      </w:r>
      <w:r w:rsidRPr="00E41B80">
        <w:rPr>
          <w:rFonts w:ascii="Times New Roman" w:hAnsi="Times New Roman" w:cs="Times New Roman"/>
          <w:b/>
        </w:rPr>
        <w:t xml:space="preserve"> Water &amp; Nutrient Management to Low-Resource Settings</w:t>
      </w:r>
    </w:p>
    <w:p w14:paraId="714002E7" w14:textId="77777777" w:rsidR="00C22DD5" w:rsidRPr="00E41B80" w:rsidRDefault="00C22DD5" w:rsidP="00B16039">
      <w:pPr>
        <w:pStyle w:val="NormalWeb"/>
        <w:spacing w:line="276" w:lineRule="auto"/>
        <w:jc w:val="both"/>
        <w:rPr>
          <w:sz w:val="22"/>
          <w:szCs w:val="22"/>
        </w:rPr>
      </w:pPr>
      <w:r w:rsidRPr="00E41B80">
        <w:rPr>
          <w:sz w:val="22"/>
          <w:szCs w:val="22"/>
        </w:rPr>
        <w:t xml:space="preserve">In low- and middle-income settings, including many countries in Sub-Saharan Africa and Ghana, the relevance of </w:t>
      </w:r>
      <w:r w:rsidR="001C5191" w:rsidRPr="00E41B80">
        <w:rPr>
          <w:sz w:val="22"/>
          <w:szCs w:val="22"/>
        </w:rPr>
        <w:t>the circular economy</w:t>
      </w:r>
      <w:r w:rsidRPr="00E41B80">
        <w:rPr>
          <w:sz w:val="22"/>
          <w:szCs w:val="22"/>
        </w:rPr>
        <w:t xml:space="preserve"> in water and nutrient management is particularly strong</w:t>
      </w:r>
      <w:r w:rsidR="00694562" w:rsidRPr="00E41B80">
        <w:rPr>
          <w:sz w:val="22"/>
          <w:szCs w:val="22"/>
        </w:rPr>
        <w:t xml:space="preserve"> (Feleke et al., 2021)</w:t>
      </w:r>
      <w:r w:rsidRPr="00E41B80">
        <w:rPr>
          <w:sz w:val="22"/>
          <w:szCs w:val="22"/>
        </w:rPr>
        <w:t>. These regions often have nutrient-deficient soils, limited access to synthetic fertilizers, underserved sanitation infrastructure, and a high prevalence of informal reuse practices</w:t>
      </w:r>
      <w:r w:rsidR="00694562" w:rsidRPr="00E41B80">
        <w:rPr>
          <w:sz w:val="22"/>
          <w:szCs w:val="22"/>
        </w:rPr>
        <w:t xml:space="preserve"> (FAO, 2021)</w:t>
      </w:r>
      <w:r w:rsidRPr="00E41B80">
        <w:rPr>
          <w:sz w:val="22"/>
          <w:szCs w:val="22"/>
        </w:rPr>
        <w:t xml:space="preserve">. Accordingly, </w:t>
      </w:r>
      <w:r w:rsidR="001C5191" w:rsidRPr="00E41B80">
        <w:rPr>
          <w:sz w:val="22"/>
          <w:szCs w:val="22"/>
        </w:rPr>
        <w:t>circular economy</w:t>
      </w:r>
      <w:r w:rsidRPr="00E41B80">
        <w:rPr>
          <w:sz w:val="22"/>
          <w:szCs w:val="22"/>
        </w:rPr>
        <w:t xml:space="preserve"> approaches that recover water and nutrients promise dual dividends: improving agricultural productivity and soil health, while reducing pollution and public health risks. Moreover, community-based, decentralized systems and low-cost technologies are more feasible in these contexts, particularly where centralized systems are lacking or unaffo</w:t>
      </w:r>
      <w:r w:rsidR="00694562" w:rsidRPr="00E41B80">
        <w:rPr>
          <w:sz w:val="22"/>
          <w:szCs w:val="22"/>
        </w:rPr>
        <w:t>rdable (</w:t>
      </w:r>
      <w:r w:rsidRPr="00E41B80">
        <w:rPr>
          <w:sz w:val="22"/>
          <w:szCs w:val="22"/>
        </w:rPr>
        <w:t>Fernandes &amp; Cunha Marques, 2023).</w:t>
      </w:r>
    </w:p>
    <w:p w14:paraId="3FBC423E" w14:textId="77777777" w:rsidR="00F07F9D" w:rsidRPr="00E41B80" w:rsidRDefault="00F07F9D" w:rsidP="00B16039">
      <w:pPr>
        <w:pStyle w:val="NormalWeb"/>
        <w:spacing w:line="276" w:lineRule="auto"/>
        <w:jc w:val="both"/>
        <w:rPr>
          <w:sz w:val="22"/>
          <w:szCs w:val="22"/>
        </w:rPr>
      </w:pPr>
    </w:p>
    <w:p w14:paraId="344614C6" w14:textId="77777777" w:rsidR="00E06CB2" w:rsidRPr="00E41B80" w:rsidRDefault="00E06CB2" w:rsidP="00B16039">
      <w:pPr>
        <w:pStyle w:val="ListParagraph"/>
        <w:numPr>
          <w:ilvl w:val="1"/>
          <w:numId w:val="1"/>
        </w:numPr>
        <w:spacing w:before="100" w:beforeAutospacing="1" w:after="100" w:afterAutospacing="1" w:line="276" w:lineRule="auto"/>
        <w:jc w:val="both"/>
        <w:rPr>
          <w:rFonts w:ascii="Times New Roman" w:hAnsi="Times New Roman" w:cs="Times New Roman"/>
          <w:b/>
        </w:rPr>
      </w:pPr>
      <w:r w:rsidRPr="00E41B80">
        <w:rPr>
          <w:rFonts w:ascii="Times New Roman" w:hAnsi="Times New Roman" w:cs="Times New Roman"/>
          <w:b/>
        </w:rPr>
        <w:t>Urban Water and Nutrient Management in Ghana</w:t>
      </w:r>
    </w:p>
    <w:p w14:paraId="7F97B802" w14:textId="77777777" w:rsidR="00C22DD5" w:rsidRPr="00E41B80" w:rsidRDefault="00C22DD5" w:rsidP="00B16039">
      <w:pPr>
        <w:pStyle w:val="NormalWeb"/>
        <w:spacing w:line="276" w:lineRule="auto"/>
        <w:jc w:val="both"/>
        <w:rPr>
          <w:sz w:val="22"/>
          <w:szCs w:val="22"/>
        </w:rPr>
      </w:pPr>
      <w:r w:rsidRPr="00E41B80">
        <w:rPr>
          <w:sz w:val="22"/>
          <w:szCs w:val="22"/>
        </w:rPr>
        <w:t xml:space="preserve">Urban water and nutrient management in Ghana is a growing concern due to rapid urbanization, population growth, and weak infrastructure systems. Ghana’s cities, particularly Accra and Kumasi, face challenges in ensuring sustainable water supply, wastewater treatment, and nutrient recovery </w:t>
      </w:r>
      <w:r w:rsidR="001C5191" w:rsidRPr="00E41B80">
        <w:rPr>
          <w:sz w:val="22"/>
          <w:szCs w:val="22"/>
        </w:rPr>
        <w:t>(</w:t>
      </w:r>
      <w:proofErr w:type="spellStart"/>
      <w:r w:rsidR="001C5191" w:rsidRPr="00E41B80">
        <w:rPr>
          <w:sz w:val="22"/>
          <w:szCs w:val="22"/>
        </w:rPr>
        <w:t>Adubofour</w:t>
      </w:r>
      <w:proofErr w:type="spellEnd"/>
      <w:r w:rsidR="001C5191" w:rsidRPr="00E41B80">
        <w:rPr>
          <w:sz w:val="22"/>
          <w:szCs w:val="22"/>
        </w:rPr>
        <w:t xml:space="preserve"> et al.</w:t>
      </w:r>
      <w:r w:rsidRPr="00E41B80">
        <w:rPr>
          <w:sz w:val="22"/>
          <w:szCs w:val="22"/>
        </w:rPr>
        <w:t>, 2020). The expansion of informal settlements has placed significant pressure on already inadequate sanitation and drainage infrastructure, contributing to water pollution and nutrient losses (Owusu, 2021).</w:t>
      </w:r>
    </w:p>
    <w:p w14:paraId="7A7B1AE3" w14:textId="77777777" w:rsidR="00C22DD5" w:rsidRPr="00E41B80" w:rsidRDefault="00C22DD5" w:rsidP="00B16039">
      <w:pPr>
        <w:pStyle w:val="NormalWeb"/>
        <w:spacing w:line="276" w:lineRule="auto"/>
        <w:jc w:val="both"/>
        <w:rPr>
          <w:sz w:val="22"/>
          <w:szCs w:val="22"/>
        </w:rPr>
      </w:pPr>
      <w:r w:rsidRPr="00E41B80">
        <w:rPr>
          <w:sz w:val="22"/>
          <w:szCs w:val="22"/>
        </w:rPr>
        <w:t>Water resource management in Ghana has long been constrained by over-reliance on centralized systems, which often fail to provide equitable access and efficient service deliver</w:t>
      </w:r>
      <w:r w:rsidR="002C3BBC" w:rsidRPr="00E41B80">
        <w:rPr>
          <w:sz w:val="22"/>
          <w:szCs w:val="22"/>
        </w:rPr>
        <w:t>y (</w:t>
      </w:r>
      <w:r w:rsidR="00904A80" w:rsidRPr="00E41B80">
        <w:rPr>
          <w:sz w:val="22"/>
          <w:szCs w:val="22"/>
        </w:rPr>
        <w:t>Ghana Water Company Limited, 2023)</w:t>
      </w:r>
      <w:r w:rsidRPr="00E41B80">
        <w:rPr>
          <w:sz w:val="22"/>
          <w:szCs w:val="22"/>
        </w:rPr>
        <w:t>. At the same time, untreated wastewater is frequently discharged into rivers and streams, affecting aquatic ecosystems and public health (Boadi &amp; Kuitunen, 2019). Urban agriculture in cities such as Accra depends heavily on untreated wastewater for irrigation, raising concerns about food safety but also highlighting opportunities for nutrient rec</w:t>
      </w:r>
      <w:r w:rsidR="00EC07F1" w:rsidRPr="00E41B80">
        <w:rPr>
          <w:sz w:val="22"/>
          <w:szCs w:val="22"/>
        </w:rPr>
        <w:t>ycling (Darko et al., 2025</w:t>
      </w:r>
      <w:r w:rsidRPr="00E41B80">
        <w:rPr>
          <w:sz w:val="22"/>
          <w:szCs w:val="22"/>
        </w:rPr>
        <w:t>).</w:t>
      </w:r>
    </w:p>
    <w:p w14:paraId="5FC36189" w14:textId="77777777" w:rsidR="00C22DD5" w:rsidRPr="00E41B80" w:rsidRDefault="00C22DD5" w:rsidP="00B16039">
      <w:pPr>
        <w:pStyle w:val="NormalWeb"/>
        <w:spacing w:line="276" w:lineRule="auto"/>
        <w:jc w:val="both"/>
        <w:rPr>
          <w:sz w:val="22"/>
          <w:szCs w:val="22"/>
        </w:rPr>
      </w:pPr>
      <w:r w:rsidRPr="00E41B80">
        <w:rPr>
          <w:sz w:val="22"/>
          <w:szCs w:val="22"/>
        </w:rPr>
        <w:t>Nutrient management remains underdeveloped despite its potential contribution to circular economy practices. Most municipal waste streams, particularly organic waste and fecal sludge, are not harnessed</w:t>
      </w:r>
      <w:r w:rsidR="001C5191" w:rsidRPr="00E41B80">
        <w:rPr>
          <w:sz w:val="22"/>
          <w:szCs w:val="22"/>
        </w:rPr>
        <w:t xml:space="preserve"> for resource reco</w:t>
      </w:r>
      <w:r w:rsidR="00EC07F1" w:rsidRPr="00E41B80">
        <w:rPr>
          <w:sz w:val="22"/>
          <w:szCs w:val="22"/>
        </w:rPr>
        <w:t>very (Kusi-Appiah</w:t>
      </w:r>
      <w:r w:rsidR="001C5191" w:rsidRPr="00E41B80">
        <w:rPr>
          <w:sz w:val="22"/>
          <w:szCs w:val="22"/>
        </w:rPr>
        <w:t xml:space="preserve"> et al.</w:t>
      </w:r>
      <w:r w:rsidR="00EC07F1" w:rsidRPr="00E41B80">
        <w:rPr>
          <w:sz w:val="22"/>
          <w:szCs w:val="22"/>
        </w:rPr>
        <w:t>, 202</w:t>
      </w:r>
      <w:r w:rsidRPr="00E41B80">
        <w:rPr>
          <w:sz w:val="22"/>
          <w:szCs w:val="22"/>
        </w:rPr>
        <w:t>5). Recent initiatives, however, demonstrate a shift towards resource recovery and reuse models, including composting, biogas generation, and wastewater reuse for irrigation (</w:t>
      </w:r>
      <w:proofErr w:type="spellStart"/>
      <w:r w:rsidRPr="00E41B80">
        <w:rPr>
          <w:sz w:val="22"/>
          <w:szCs w:val="22"/>
        </w:rPr>
        <w:t>Otoo</w:t>
      </w:r>
      <w:proofErr w:type="spellEnd"/>
      <w:r w:rsidRPr="00E41B80">
        <w:rPr>
          <w:sz w:val="22"/>
          <w:szCs w:val="22"/>
        </w:rPr>
        <w:t xml:space="preserve"> &amp; </w:t>
      </w:r>
      <w:proofErr w:type="spellStart"/>
      <w:r w:rsidRPr="00E41B80">
        <w:rPr>
          <w:sz w:val="22"/>
          <w:szCs w:val="22"/>
        </w:rPr>
        <w:t>Drechsel</w:t>
      </w:r>
      <w:proofErr w:type="spellEnd"/>
      <w:r w:rsidRPr="00E41B80">
        <w:rPr>
          <w:sz w:val="22"/>
          <w:szCs w:val="22"/>
        </w:rPr>
        <w:t>, 2018). Such practices, though limited in scale, indicate pathways for integrating circular economy principles into Ghana’s urban water and nutrient management frameworks.</w:t>
      </w:r>
    </w:p>
    <w:p w14:paraId="6581B456" w14:textId="77777777" w:rsidR="00C22DD5" w:rsidRPr="00E41B80" w:rsidRDefault="00C22DD5" w:rsidP="00B16039">
      <w:pPr>
        <w:pStyle w:val="NormalWeb"/>
        <w:spacing w:line="276" w:lineRule="auto"/>
        <w:jc w:val="both"/>
        <w:rPr>
          <w:sz w:val="22"/>
          <w:szCs w:val="22"/>
        </w:rPr>
      </w:pPr>
      <w:r w:rsidRPr="00E41B80">
        <w:rPr>
          <w:sz w:val="22"/>
          <w:szCs w:val="22"/>
        </w:rPr>
        <w:t xml:space="preserve">Governance challenges remain a key barrier. Fragmented institutional responsibilities, weak enforcement of environmental regulations, and limited financing mechanisms hinder effective implementation of sustainable </w:t>
      </w:r>
      <w:r w:rsidR="001C5191" w:rsidRPr="00E41B80">
        <w:rPr>
          <w:sz w:val="22"/>
          <w:szCs w:val="22"/>
        </w:rPr>
        <w:t>systems (Agyei et al.</w:t>
      </w:r>
      <w:r w:rsidRPr="00E41B80">
        <w:rPr>
          <w:sz w:val="22"/>
          <w:szCs w:val="22"/>
        </w:rPr>
        <w:t xml:space="preserve">, 2022). Addressing these gaps will require strengthening governance </w:t>
      </w:r>
      <w:r w:rsidRPr="00E41B80">
        <w:rPr>
          <w:sz w:val="22"/>
          <w:szCs w:val="22"/>
        </w:rPr>
        <w:lastRenderedPageBreak/>
        <w:t>models that promote multi-stakeholder collaboration, private sector participation, and community engagement, in line with circular economy principles</w:t>
      </w:r>
    </w:p>
    <w:p w14:paraId="3BF032D7" w14:textId="77777777" w:rsidR="00C22DD5" w:rsidRPr="00E41B80" w:rsidRDefault="00E06CB2" w:rsidP="00B16039">
      <w:pPr>
        <w:pStyle w:val="ListParagraph"/>
        <w:numPr>
          <w:ilvl w:val="1"/>
          <w:numId w:val="1"/>
        </w:numPr>
        <w:spacing w:before="100" w:beforeAutospacing="1" w:after="100" w:afterAutospacing="1" w:line="276" w:lineRule="auto"/>
        <w:jc w:val="both"/>
        <w:rPr>
          <w:rFonts w:ascii="Times New Roman" w:hAnsi="Times New Roman" w:cs="Times New Roman"/>
          <w:b/>
        </w:rPr>
      </w:pPr>
      <w:r w:rsidRPr="00E41B80">
        <w:rPr>
          <w:rFonts w:ascii="Times New Roman" w:hAnsi="Times New Roman" w:cs="Times New Roman"/>
          <w:b/>
        </w:rPr>
        <w:t>Governance Models for Implementing Circular Economy Principles</w:t>
      </w:r>
    </w:p>
    <w:p w14:paraId="08DB35A7" w14:textId="77777777" w:rsidR="00C22DD5" w:rsidRPr="00E41B80" w:rsidRDefault="00C22DD5" w:rsidP="00B16039">
      <w:pPr>
        <w:pStyle w:val="NormalWeb"/>
        <w:spacing w:line="276" w:lineRule="auto"/>
        <w:jc w:val="both"/>
        <w:rPr>
          <w:sz w:val="22"/>
          <w:szCs w:val="22"/>
        </w:rPr>
      </w:pPr>
      <w:r w:rsidRPr="00E41B80">
        <w:rPr>
          <w:sz w:val="22"/>
          <w:szCs w:val="22"/>
        </w:rPr>
        <w:t>The gov</w:t>
      </w:r>
      <w:r w:rsidR="001C5191" w:rsidRPr="00E41B80">
        <w:rPr>
          <w:sz w:val="22"/>
          <w:szCs w:val="22"/>
        </w:rPr>
        <w:t>ernance of circular economy</w:t>
      </w:r>
      <w:r w:rsidRPr="00E41B80">
        <w:rPr>
          <w:sz w:val="22"/>
          <w:szCs w:val="22"/>
        </w:rPr>
        <w:t xml:space="preserve"> principles in water and nutrient management is shaped by the interaction of institutions, policies, and stakeholders</w:t>
      </w:r>
      <w:r w:rsidR="00EC714D" w:rsidRPr="00E41B80">
        <w:rPr>
          <w:sz w:val="22"/>
          <w:szCs w:val="22"/>
        </w:rPr>
        <w:t xml:space="preserve"> (</w:t>
      </w:r>
      <w:proofErr w:type="spellStart"/>
      <w:r w:rsidR="00EC714D" w:rsidRPr="00E41B80">
        <w:rPr>
          <w:sz w:val="22"/>
          <w:szCs w:val="22"/>
        </w:rPr>
        <w:t>Lasseur</w:t>
      </w:r>
      <w:proofErr w:type="spellEnd"/>
      <w:r w:rsidR="00EC714D" w:rsidRPr="00E41B80">
        <w:rPr>
          <w:sz w:val="22"/>
          <w:szCs w:val="22"/>
        </w:rPr>
        <w:t xml:space="preserve"> et al., 2024)</w:t>
      </w:r>
      <w:r w:rsidRPr="00E41B80">
        <w:rPr>
          <w:sz w:val="22"/>
          <w:szCs w:val="22"/>
        </w:rPr>
        <w:t>. Effective governance models provide the framework through which resources can be recovered, reused, and reintegrated into production systems</w:t>
      </w:r>
      <w:r w:rsidR="00EC714D" w:rsidRPr="00E41B80">
        <w:rPr>
          <w:sz w:val="22"/>
          <w:szCs w:val="22"/>
        </w:rPr>
        <w:t xml:space="preserve"> (World Bank, 2024)</w:t>
      </w:r>
      <w:r w:rsidRPr="00E41B80">
        <w:rPr>
          <w:sz w:val="22"/>
          <w:szCs w:val="22"/>
        </w:rPr>
        <w:t>. In Ghana, as elsewhere in Sub-Saharan Africa, a variety of governance approaches are evolving, ranging from state-led regulation to participatory and hybrid governance systems</w:t>
      </w:r>
      <w:r w:rsidR="00EC714D" w:rsidRPr="00E41B80">
        <w:rPr>
          <w:sz w:val="22"/>
          <w:szCs w:val="22"/>
        </w:rPr>
        <w:t xml:space="preserve"> (Agyei et al., 2023)</w:t>
      </w:r>
      <w:r w:rsidRPr="00E41B80">
        <w:rPr>
          <w:sz w:val="22"/>
          <w:szCs w:val="22"/>
        </w:rPr>
        <w:t>.</w:t>
      </w:r>
      <w:r w:rsidR="006E72E9" w:rsidRPr="00E41B80">
        <w:rPr>
          <w:sz w:val="22"/>
          <w:szCs w:val="22"/>
        </w:rPr>
        <w:t xml:space="preserve"> Figure 2 indicates the models for implementing circular economy principles.</w:t>
      </w:r>
    </w:p>
    <w:p w14:paraId="5CA60F73" w14:textId="77777777" w:rsidR="00C22DD5" w:rsidRPr="00E41B80" w:rsidRDefault="00C22DD5" w:rsidP="00B16039">
      <w:pPr>
        <w:pStyle w:val="Heading3"/>
        <w:spacing w:line="276" w:lineRule="auto"/>
        <w:jc w:val="both"/>
        <w:rPr>
          <w:sz w:val="22"/>
          <w:szCs w:val="22"/>
        </w:rPr>
      </w:pPr>
      <w:r w:rsidRPr="00E41B80">
        <w:rPr>
          <w:sz w:val="22"/>
          <w:szCs w:val="22"/>
        </w:rPr>
        <w:t>2.3.1 State-Regulated Governance</w:t>
      </w:r>
    </w:p>
    <w:p w14:paraId="69AB8910" w14:textId="77777777" w:rsidR="00C22DD5" w:rsidRPr="00E41B80" w:rsidRDefault="00C22DD5" w:rsidP="00B16039">
      <w:pPr>
        <w:pStyle w:val="NormalWeb"/>
        <w:spacing w:line="276" w:lineRule="auto"/>
        <w:jc w:val="both"/>
        <w:rPr>
          <w:sz w:val="22"/>
          <w:szCs w:val="22"/>
        </w:rPr>
      </w:pPr>
      <w:r w:rsidRPr="00E41B80">
        <w:rPr>
          <w:sz w:val="22"/>
          <w:szCs w:val="22"/>
        </w:rPr>
        <w:t xml:space="preserve">State-regulated governance models remain the backbone of </w:t>
      </w:r>
      <w:r w:rsidR="001C5191" w:rsidRPr="00E41B80">
        <w:rPr>
          <w:sz w:val="22"/>
          <w:szCs w:val="22"/>
        </w:rPr>
        <w:t>circular economy</w:t>
      </w:r>
      <w:r w:rsidRPr="00E41B80">
        <w:rPr>
          <w:sz w:val="22"/>
          <w:szCs w:val="22"/>
        </w:rPr>
        <w:t xml:space="preserve"> implementation, relying on government institutions to set policies, standards, and enforcement mechanisms</w:t>
      </w:r>
      <w:r w:rsidR="00EC714D" w:rsidRPr="00E41B80">
        <w:rPr>
          <w:sz w:val="22"/>
          <w:szCs w:val="22"/>
        </w:rPr>
        <w:t xml:space="preserve"> (</w:t>
      </w:r>
      <w:r w:rsidR="00266168" w:rsidRPr="00E41B80">
        <w:rPr>
          <w:sz w:val="22"/>
          <w:szCs w:val="22"/>
        </w:rPr>
        <w:t xml:space="preserve">United Nations Environment </w:t>
      </w:r>
      <w:proofErr w:type="spellStart"/>
      <w:r w:rsidR="00266168" w:rsidRPr="00E41B80">
        <w:rPr>
          <w:sz w:val="22"/>
          <w:szCs w:val="22"/>
        </w:rPr>
        <w:t>Programme</w:t>
      </w:r>
      <w:proofErr w:type="spellEnd"/>
      <w:r w:rsidR="00266168" w:rsidRPr="00E41B80">
        <w:rPr>
          <w:sz w:val="22"/>
          <w:szCs w:val="22"/>
        </w:rPr>
        <w:t>, 2023)</w:t>
      </w:r>
      <w:r w:rsidRPr="00E41B80">
        <w:rPr>
          <w:sz w:val="22"/>
          <w:szCs w:val="22"/>
        </w:rPr>
        <w:t xml:space="preserve">. </w:t>
      </w:r>
      <w:r w:rsidR="00266168" w:rsidRPr="00E41B80">
        <w:rPr>
          <w:sz w:val="22"/>
          <w:szCs w:val="22"/>
        </w:rPr>
        <w:t>According to the Government of Ghana (2020</w:t>
      </w:r>
      <w:r w:rsidR="00266168" w:rsidRPr="00E41B80">
        <w:rPr>
          <w:i/>
          <w:sz w:val="22"/>
          <w:szCs w:val="22"/>
        </w:rPr>
        <w:t xml:space="preserve">), </w:t>
      </w:r>
      <w:r w:rsidRPr="00E41B80">
        <w:rPr>
          <w:sz w:val="22"/>
          <w:szCs w:val="22"/>
        </w:rPr>
        <w:t xml:space="preserve">Ghana’s government has increasingly recognized the importance of </w:t>
      </w:r>
      <w:r w:rsidR="001C5191" w:rsidRPr="00E41B80">
        <w:rPr>
          <w:sz w:val="22"/>
          <w:szCs w:val="22"/>
        </w:rPr>
        <w:t>circular economy</w:t>
      </w:r>
      <w:r w:rsidRPr="00E41B80">
        <w:rPr>
          <w:sz w:val="22"/>
          <w:szCs w:val="22"/>
        </w:rPr>
        <w:t xml:space="preserve"> principles, particularly in waste and resource management. For instance, the </w:t>
      </w:r>
      <w:r w:rsidRPr="00E41B80">
        <w:rPr>
          <w:rStyle w:val="Emphasis"/>
          <w:i w:val="0"/>
          <w:sz w:val="22"/>
          <w:szCs w:val="22"/>
        </w:rPr>
        <w:t>National Plastics Management Policy</w:t>
      </w:r>
      <w:r w:rsidRPr="00E41B80">
        <w:rPr>
          <w:i/>
          <w:sz w:val="22"/>
          <w:szCs w:val="22"/>
        </w:rPr>
        <w:t xml:space="preserve"> </w:t>
      </w:r>
      <w:r w:rsidRPr="00E41B80">
        <w:rPr>
          <w:sz w:val="22"/>
          <w:szCs w:val="22"/>
        </w:rPr>
        <w:t>and the</w:t>
      </w:r>
      <w:r w:rsidRPr="00E41B80">
        <w:rPr>
          <w:i/>
          <w:sz w:val="22"/>
          <w:szCs w:val="22"/>
        </w:rPr>
        <w:t xml:space="preserve"> </w:t>
      </w:r>
      <w:r w:rsidRPr="00E41B80">
        <w:rPr>
          <w:rStyle w:val="Emphasis"/>
          <w:i w:val="0"/>
          <w:sz w:val="22"/>
          <w:szCs w:val="22"/>
        </w:rPr>
        <w:t>Circular Economy Roadmap and Action Plan</w:t>
      </w:r>
      <w:r w:rsidRPr="00E41B80">
        <w:rPr>
          <w:sz w:val="22"/>
          <w:szCs w:val="22"/>
        </w:rPr>
        <w:t xml:space="preserve"> launched by the Ministry of Environment, Science, Technology, and Innovation (MESTI) provide policy direction to guide transitions away from linear models (MESTI, 2023). Such frameworks aim to institutionalize safe waste reuse, wastewater treatment, and nutrient recovery practices. While state regulation establishes legitimacy and ensures alignment with national development goals, weak enforcement and inadequate financing remain persistent cha</w:t>
      </w:r>
      <w:r w:rsidR="001C5191" w:rsidRPr="00E41B80">
        <w:rPr>
          <w:sz w:val="22"/>
          <w:szCs w:val="22"/>
        </w:rPr>
        <w:t>llenges (Agyei et al.</w:t>
      </w:r>
      <w:r w:rsidR="00EC714D" w:rsidRPr="00E41B80">
        <w:rPr>
          <w:sz w:val="22"/>
          <w:szCs w:val="22"/>
        </w:rPr>
        <w:t>, 2023</w:t>
      </w:r>
      <w:r w:rsidRPr="00E41B80">
        <w:rPr>
          <w:sz w:val="22"/>
          <w:szCs w:val="22"/>
        </w:rPr>
        <w:t>).</w:t>
      </w:r>
    </w:p>
    <w:p w14:paraId="74B6264B" w14:textId="77777777" w:rsidR="00C22DD5" w:rsidRPr="00E41B80" w:rsidRDefault="00C22DD5" w:rsidP="00B16039">
      <w:pPr>
        <w:pStyle w:val="Heading3"/>
        <w:spacing w:line="276" w:lineRule="auto"/>
        <w:jc w:val="both"/>
        <w:rPr>
          <w:sz w:val="22"/>
          <w:szCs w:val="22"/>
        </w:rPr>
      </w:pPr>
      <w:r w:rsidRPr="00E41B80">
        <w:rPr>
          <w:sz w:val="22"/>
          <w:szCs w:val="22"/>
        </w:rPr>
        <w:t>2.3.2 Collaborative and Multi-Stakeholder Governance</w:t>
      </w:r>
    </w:p>
    <w:p w14:paraId="0AE7F247" w14:textId="77777777" w:rsidR="00C22DD5" w:rsidRPr="00E41B80" w:rsidRDefault="00C22DD5" w:rsidP="00B16039">
      <w:pPr>
        <w:pStyle w:val="NormalWeb"/>
        <w:spacing w:line="276" w:lineRule="auto"/>
        <w:jc w:val="both"/>
        <w:rPr>
          <w:sz w:val="22"/>
          <w:szCs w:val="22"/>
        </w:rPr>
      </w:pPr>
      <w:r w:rsidRPr="00E41B80">
        <w:rPr>
          <w:sz w:val="22"/>
          <w:szCs w:val="22"/>
        </w:rPr>
        <w:t>Collaborative governance models emphasize the participation of multiple stakeholders, including government agencies, private companies, academic institutions, and civil society organizations</w:t>
      </w:r>
      <w:r w:rsidR="00266168" w:rsidRPr="00E41B80">
        <w:rPr>
          <w:sz w:val="22"/>
          <w:szCs w:val="22"/>
        </w:rPr>
        <w:t xml:space="preserve"> (Wan, 2025)</w:t>
      </w:r>
      <w:r w:rsidRPr="00E41B80">
        <w:rPr>
          <w:sz w:val="22"/>
          <w:szCs w:val="22"/>
        </w:rPr>
        <w:t>. These models are particularly relevant in Ghana, where resource recovery projects require technical expertise, innovation, and social acceptance</w:t>
      </w:r>
      <w:r w:rsidR="00266168" w:rsidRPr="00E41B80">
        <w:rPr>
          <w:sz w:val="22"/>
          <w:szCs w:val="22"/>
        </w:rPr>
        <w:t xml:space="preserve"> (Ghana Climate Innovation Centre, 2025)</w:t>
      </w:r>
      <w:r w:rsidRPr="00E41B80">
        <w:rPr>
          <w:sz w:val="22"/>
          <w:szCs w:val="22"/>
        </w:rPr>
        <w:t xml:space="preserve">. The Circular </w:t>
      </w:r>
      <w:r w:rsidR="001C5191" w:rsidRPr="00E41B80">
        <w:rPr>
          <w:sz w:val="22"/>
          <w:szCs w:val="22"/>
        </w:rPr>
        <w:t>Bio Economy</w:t>
      </w:r>
      <w:r w:rsidRPr="00E41B80">
        <w:rPr>
          <w:sz w:val="22"/>
          <w:szCs w:val="22"/>
        </w:rPr>
        <w:t xml:space="preserve"> Innovation Hub, for example, has been designed as a co-ownership model that brings together ministries, research institutions, and businesses to build capacity in waste valorization and nutrient recovery (International Water Management Institute [IWMI], 2024). Similarly, the Ghana Waste Recovery Platform fosters dialogue and business linkages across sectors, supporting small enterprises in scaling up recycling and nutrient reuse activities (Waste Recovery Platform, 2022). Such collaborative frameworks offer opportunities for knowledge sharing and innovation; however, they may also encounter difficulties in sustaining partnerships and balancing the interests of diverse actor</w:t>
      </w:r>
      <w:r w:rsidR="00714AE7" w:rsidRPr="00E41B80">
        <w:rPr>
          <w:sz w:val="22"/>
          <w:szCs w:val="22"/>
        </w:rPr>
        <w:t>s</w:t>
      </w:r>
      <w:r w:rsidRPr="00E41B80">
        <w:rPr>
          <w:sz w:val="22"/>
          <w:szCs w:val="22"/>
        </w:rPr>
        <w:t>.</w:t>
      </w:r>
    </w:p>
    <w:p w14:paraId="7F4637F9" w14:textId="77777777" w:rsidR="00C22DD5" w:rsidRPr="00E41B80" w:rsidRDefault="00C22DD5" w:rsidP="00B16039">
      <w:pPr>
        <w:pStyle w:val="Heading3"/>
        <w:spacing w:line="276" w:lineRule="auto"/>
        <w:jc w:val="both"/>
        <w:rPr>
          <w:sz w:val="22"/>
          <w:szCs w:val="22"/>
        </w:rPr>
      </w:pPr>
      <w:r w:rsidRPr="00E41B80">
        <w:rPr>
          <w:sz w:val="22"/>
          <w:szCs w:val="22"/>
        </w:rPr>
        <w:t>2.3.3 Public-Private Partnerships and Hybrid Models</w:t>
      </w:r>
    </w:p>
    <w:p w14:paraId="43DE55C6" w14:textId="77777777" w:rsidR="00C22DD5" w:rsidRPr="00E41B80" w:rsidRDefault="00C22DD5" w:rsidP="00B16039">
      <w:pPr>
        <w:pStyle w:val="NormalWeb"/>
        <w:spacing w:line="276" w:lineRule="auto"/>
        <w:jc w:val="both"/>
        <w:rPr>
          <w:sz w:val="22"/>
          <w:szCs w:val="22"/>
        </w:rPr>
      </w:pPr>
      <w:r w:rsidRPr="00E41B80">
        <w:rPr>
          <w:sz w:val="22"/>
          <w:szCs w:val="22"/>
        </w:rPr>
        <w:t>Pu</w:t>
      </w:r>
      <w:r w:rsidR="005527C3" w:rsidRPr="00E41B80">
        <w:rPr>
          <w:sz w:val="22"/>
          <w:szCs w:val="22"/>
        </w:rPr>
        <w:t>blic-private partnerships</w:t>
      </w:r>
      <w:r w:rsidRPr="00E41B80">
        <w:rPr>
          <w:sz w:val="22"/>
          <w:szCs w:val="22"/>
        </w:rPr>
        <w:t xml:space="preserve"> and hybrid governance arrangements combine public oversight with private sector investment and expertise</w:t>
      </w:r>
      <w:r w:rsidR="005527C3" w:rsidRPr="00E41B80">
        <w:rPr>
          <w:sz w:val="22"/>
          <w:szCs w:val="22"/>
        </w:rPr>
        <w:t xml:space="preserve"> (</w:t>
      </w:r>
      <w:proofErr w:type="spellStart"/>
      <w:r w:rsidR="005527C3" w:rsidRPr="00E41B80">
        <w:rPr>
          <w:sz w:val="22"/>
          <w:szCs w:val="22"/>
        </w:rPr>
        <w:t>Alidu</w:t>
      </w:r>
      <w:proofErr w:type="spellEnd"/>
      <w:r w:rsidR="005527C3" w:rsidRPr="00E41B80">
        <w:rPr>
          <w:sz w:val="22"/>
          <w:szCs w:val="22"/>
        </w:rPr>
        <w:t>, 2018)</w:t>
      </w:r>
      <w:r w:rsidRPr="00E41B80">
        <w:rPr>
          <w:sz w:val="22"/>
          <w:szCs w:val="22"/>
        </w:rPr>
        <w:t xml:space="preserve">. These models have gained traction in Ghana as mechanisms for financing and implementing </w:t>
      </w:r>
      <w:r w:rsidR="001C5191" w:rsidRPr="00E41B80">
        <w:rPr>
          <w:sz w:val="22"/>
          <w:szCs w:val="22"/>
        </w:rPr>
        <w:t>circular economy</w:t>
      </w:r>
      <w:r w:rsidRPr="00E41B80">
        <w:rPr>
          <w:sz w:val="22"/>
          <w:szCs w:val="22"/>
        </w:rPr>
        <w:t xml:space="preserve"> initiatives. For example, hybrid waste-to-energy projects </w:t>
      </w:r>
      <w:r w:rsidRPr="00E41B80">
        <w:rPr>
          <w:sz w:val="22"/>
          <w:szCs w:val="22"/>
        </w:rPr>
        <w:lastRenderedPageBreak/>
        <w:t>in Accra have demonstrated the potential for converting municipal waste into compost and energy while engaging both public agencies and private inv</w:t>
      </w:r>
      <w:r w:rsidR="001C5191" w:rsidRPr="00E41B80">
        <w:rPr>
          <w:sz w:val="22"/>
          <w:szCs w:val="22"/>
        </w:rPr>
        <w:t>estors (Gyamfi et al.</w:t>
      </w:r>
      <w:r w:rsidRPr="00E41B80">
        <w:rPr>
          <w:sz w:val="22"/>
          <w:szCs w:val="22"/>
        </w:rPr>
        <w:t xml:space="preserve">, 2023). International collaborations such as the Go Circular Project, supported by development partners, also illustrate hybrid governance, where state actors, private enterprises, and civil society work collectively to reduce waste and promote recycling (Citi Newsroom, 2025). These models can accelerate the adoption of </w:t>
      </w:r>
      <w:r w:rsidR="009450C4" w:rsidRPr="00E41B80">
        <w:rPr>
          <w:sz w:val="22"/>
          <w:szCs w:val="22"/>
        </w:rPr>
        <w:t>circular economy</w:t>
      </w:r>
      <w:r w:rsidRPr="00E41B80">
        <w:rPr>
          <w:sz w:val="22"/>
          <w:szCs w:val="22"/>
        </w:rPr>
        <w:t xml:space="preserve"> practices by mobilizing resources and improving efficiency; nevertheless, they require transparent contracting and mechanisms to safeguard public interests against purely profit-driven ou</w:t>
      </w:r>
      <w:r w:rsidR="001A46CF" w:rsidRPr="00E41B80">
        <w:rPr>
          <w:sz w:val="22"/>
          <w:szCs w:val="22"/>
        </w:rPr>
        <w:t>tcomes (</w:t>
      </w:r>
      <w:proofErr w:type="spellStart"/>
      <w:r w:rsidR="001A46CF" w:rsidRPr="00E41B80">
        <w:rPr>
          <w:sz w:val="22"/>
          <w:szCs w:val="22"/>
        </w:rPr>
        <w:t>Otoo</w:t>
      </w:r>
      <w:proofErr w:type="spellEnd"/>
      <w:r w:rsidR="001A46CF" w:rsidRPr="00E41B80">
        <w:rPr>
          <w:sz w:val="22"/>
          <w:szCs w:val="22"/>
        </w:rPr>
        <w:t xml:space="preserve"> &amp; </w:t>
      </w:r>
      <w:proofErr w:type="spellStart"/>
      <w:r w:rsidR="001A46CF" w:rsidRPr="00E41B80">
        <w:rPr>
          <w:sz w:val="22"/>
          <w:szCs w:val="22"/>
        </w:rPr>
        <w:t>Drechsel</w:t>
      </w:r>
      <w:proofErr w:type="spellEnd"/>
      <w:r w:rsidR="001A46CF" w:rsidRPr="00E41B80">
        <w:rPr>
          <w:sz w:val="22"/>
          <w:szCs w:val="22"/>
        </w:rPr>
        <w:t>, 2018).</w:t>
      </w:r>
    </w:p>
    <w:p w14:paraId="438D72C2" w14:textId="77777777" w:rsidR="00C22DD5" w:rsidRPr="00E41B80" w:rsidRDefault="00C22DD5" w:rsidP="00B16039">
      <w:pPr>
        <w:pStyle w:val="Heading3"/>
        <w:spacing w:line="276" w:lineRule="auto"/>
        <w:jc w:val="both"/>
        <w:rPr>
          <w:sz w:val="22"/>
          <w:szCs w:val="22"/>
        </w:rPr>
      </w:pPr>
      <w:r w:rsidRPr="00E41B80">
        <w:rPr>
          <w:sz w:val="22"/>
          <w:szCs w:val="22"/>
        </w:rPr>
        <w:t>2.3.4 Community and Participatory Governance</w:t>
      </w:r>
    </w:p>
    <w:p w14:paraId="2478508C" w14:textId="77777777" w:rsidR="00C22DD5" w:rsidRPr="00E41B80" w:rsidRDefault="00C22DD5" w:rsidP="00B16039">
      <w:pPr>
        <w:pStyle w:val="NormalWeb"/>
        <w:spacing w:line="276" w:lineRule="auto"/>
        <w:jc w:val="both"/>
        <w:rPr>
          <w:sz w:val="22"/>
          <w:szCs w:val="22"/>
        </w:rPr>
      </w:pPr>
      <w:r w:rsidRPr="00E41B80">
        <w:rPr>
          <w:sz w:val="22"/>
          <w:szCs w:val="22"/>
        </w:rPr>
        <w:t xml:space="preserve">Community-based governance approaches highlight the role of local actors and informal systems in implementing </w:t>
      </w:r>
      <w:r w:rsidR="00435B13" w:rsidRPr="00E41B80">
        <w:rPr>
          <w:sz w:val="22"/>
          <w:szCs w:val="22"/>
        </w:rPr>
        <w:t>circular economy</w:t>
      </w:r>
      <w:r w:rsidRPr="00E41B80">
        <w:rPr>
          <w:sz w:val="22"/>
          <w:szCs w:val="22"/>
        </w:rPr>
        <w:t xml:space="preserve"> principles</w:t>
      </w:r>
      <w:r w:rsidR="009450C4" w:rsidRPr="00E41B80">
        <w:rPr>
          <w:sz w:val="22"/>
          <w:szCs w:val="22"/>
        </w:rPr>
        <w:t xml:space="preserve"> (Asare et al., 2024)</w:t>
      </w:r>
      <w:r w:rsidRPr="00E41B80">
        <w:rPr>
          <w:sz w:val="22"/>
          <w:szCs w:val="22"/>
        </w:rPr>
        <w:t>. In Ghana, urban agriculture heavily relies on wastewater and organic waste, which are often managed informally by farmers and local entrepreneurs (</w:t>
      </w:r>
      <w:r w:rsidR="00EC07F1" w:rsidRPr="00E41B80">
        <w:rPr>
          <w:sz w:val="22"/>
          <w:szCs w:val="22"/>
        </w:rPr>
        <w:t>Darko et al., 2025</w:t>
      </w:r>
      <w:r w:rsidRPr="00E41B80">
        <w:rPr>
          <w:sz w:val="22"/>
          <w:szCs w:val="22"/>
        </w:rPr>
        <w:t xml:space="preserve">). Participatory models that integrate these practices into formal governance structures can enhance both efficiency and legitimacy. The Waste Recovery Platform, for example, has sought to link informal waste pickers with formal recycling enterprises, enabling communities to benefit from </w:t>
      </w:r>
      <w:r w:rsidR="00B04F72" w:rsidRPr="00E41B80">
        <w:rPr>
          <w:sz w:val="22"/>
          <w:szCs w:val="22"/>
        </w:rPr>
        <w:t xml:space="preserve">circular economy </w:t>
      </w:r>
      <w:r w:rsidRPr="00E41B80">
        <w:rPr>
          <w:sz w:val="22"/>
          <w:szCs w:val="22"/>
        </w:rPr>
        <w:t xml:space="preserve">value chains (Waste Recovery Platform, 2022). Evidence from other Sub-Saharan African contexts indicates that participatory governance enhances social acceptance and ensures local knowledge is harnessed in </w:t>
      </w:r>
      <w:r w:rsidR="00B04F72" w:rsidRPr="00E41B80">
        <w:rPr>
          <w:sz w:val="22"/>
          <w:szCs w:val="22"/>
        </w:rPr>
        <w:t>circular economy</w:t>
      </w:r>
      <w:r w:rsidRPr="00E41B80">
        <w:rPr>
          <w:sz w:val="22"/>
          <w:szCs w:val="22"/>
        </w:rPr>
        <w:t xml:space="preserve"> interventions (African C</w:t>
      </w:r>
      <w:r w:rsidR="00B04F72" w:rsidRPr="00E41B80">
        <w:rPr>
          <w:sz w:val="22"/>
          <w:szCs w:val="22"/>
        </w:rPr>
        <w:t>ircular Business Alliance</w:t>
      </w:r>
      <w:r w:rsidRPr="00E41B80">
        <w:rPr>
          <w:sz w:val="22"/>
          <w:szCs w:val="22"/>
        </w:rPr>
        <w:t>, 2024). Nevertheless, challenges remain, particularly around technical capacity, financing, and alignment with national regulatory frameworks (Owusu, 2021).</w:t>
      </w:r>
    </w:p>
    <w:p w14:paraId="36B6DD0E" w14:textId="77777777" w:rsidR="00C22DD5" w:rsidRPr="00E41B80" w:rsidRDefault="00C22DD5" w:rsidP="00B16039">
      <w:pPr>
        <w:pStyle w:val="Heading3"/>
        <w:spacing w:line="276" w:lineRule="auto"/>
        <w:jc w:val="both"/>
        <w:rPr>
          <w:sz w:val="22"/>
          <w:szCs w:val="22"/>
        </w:rPr>
      </w:pPr>
      <w:r w:rsidRPr="00E41B80">
        <w:rPr>
          <w:sz w:val="22"/>
          <w:szCs w:val="22"/>
        </w:rPr>
        <w:t>2.3.5 Adaptive and Flexible Governance</w:t>
      </w:r>
    </w:p>
    <w:p w14:paraId="204B45E5" w14:textId="77777777" w:rsidR="00C22DD5" w:rsidRPr="00E41B80" w:rsidRDefault="00C22DD5" w:rsidP="00B16039">
      <w:pPr>
        <w:pStyle w:val="NormalWeb"/>
        <w:spacing w:line="276" w:lineRule="auto"/>
        <w:jc w:val="both"/>
        <w:rPr>
          <w:sz w:val="22"/>
          <w:szCs w:val="22"/>
        </w:rPr>
      </w:pPr>
      <w:r w:rsidRPr="00E41B80">
        <w:rPr>
          <w:sz w:val="22"/>
          <w:szCs w:val="22"/>
        </w:rPr>
        <w:t xml:space="preserve">Given the complexity of urban resource systems, adaptive governance has been proposed as a means of integrating flexibility and innovation into </w:t>
      </w:r>
      <w:r w:rsidR="00435B13" w:rsidRPr="00E41B80">
        <w:rPr>
          <w:sz w:val="22"/>
          <w:szCs w:val="22"/>
        </w:rPr>
        <w:t>circular economy</w:t>
      </w:r>
      <w:r w:rsidRPr="00E41B80">
        <w:rPr>
          <w:sz w:val="22"/>
          <w:szCs w:val="22"/>
        </w:rPr>
        <w:t xml:space="preserve"> implementation</w:t>
      </w:r>
      <w:r w:rsidR="00696AC3" w:rsidRPr="00E41B80">
        <w:rPr>
          <w:sz w:val="22"/>
          <w:szCs w:val="22"/>
        </w:rPr>
        <w:t xml:space="preserve"> (</w:t>
      </w:r>
      <w:proofErr w:type="spellStart"/>
      <w:r w:rsidR="00696AC3" w:rsidRPr="00E41B80">
        <w:rPr>
          <w:sz w:val="22"/>
          <w:szCs w:val="22"/>
        </w:rPr>
        <w:t>Frijns</w:t>
      </w:r>
      <w:proofErr w:type="spellEnd"/>
      <w:r w:rsidR="00696AC3" w:rsidRPr="00E41B80">
        <w:rPr>
          <w:sz w:val="22"/>
          <w:szCs w:val="22"/>
        </w:rPr>
        <w:t xml:space="preserve"> et al., 2023)</w:t>
      </w:r>
      <w:r w:rsidRPr="00E41B80">
        <w:rPr>
          <w:sz w:val="22"/>
          <w:szCs w:val="22"/>
        </w:rPr>
        <w:t>. Adaptive governance blends regulatory frameworks, market incentives, and participatory mechanisms in ways that respond to local needs</w:t>
      </w:r>
      <w:r w:rsidR="00696AC3" w:rsidRPr="00E41B80">
        <w:rPr>
          <w:sz w:val="22"/>
          <w:szCs w:val="22"/>
        </w:rPr>
        <w:t xml:space="preserve"> (Panda et al., 2025)</w:t>
      </w:r>
      <w:r w:rsidRPr="00E41B80">
        <w:rPr>
          <w:sz w:val="22"/>
          <w:szCs w:val="22"/>
        </w:rPr>
        <w:t xml:space="preserve">. </w:t>
      </w:r>
      <w:proofErr w:type="spellStart"/>
      <w:r w:rsidRPr="00E41B80">
        <w:rPr>
          <w:sz w:val="22"/>
          <w:szCs w:val="22"/>
        </w:rPr>
        <w:t>Rang</w:t>
      </w:r>
      <w:r w:rsidR="00435B13" w:rsidRPr="00E41B80">
        <w:rPr>
          <w:sz w:val="22"/>
          <w:szCs w:val="22"/>
        </w:rPr>
        <w:t>oni</w:t>
      </w:r>
      <w:proofErr w:type="spellEnd"/>
      <w:r w:rsidR="00435B13" w:rsidRPr="00E41B80">
        <w:rPr>
          <w:sz w:val="22"/>
          <w:szCs w:val="22"/>
        </w:rPr>
        <w:t xml:space="preserve"> et al.</w:t>
      </w:r>
      <w:r w:rsidRPr="00E41B80">
        <w:rPr>
          <w:sz w:val="22"/>
          <w:szCs w:val="22"/>
        </w:rPr>
        <w:t xml:space="preserve"> (2023) argue that flexible governance, which combines assessment tools with stakeholder involvement, provides a pathway for measuring and advancing territorial circularity. In Ghana, initiatives such as the Circular </w:t>
      </w:r>
      <w:r w:rsidR="00435B13" w:rsidRPr="00E41B80">
        <w:rPr>
          <w:sz w:val="22"/>
          <w:szCs w:val="22"/>
        </w:rPr>
        <w:t>Bio Economy</w:t>
      </w:r>
      <w:r w:rsidRPr="00E41B80">
        <w:rPr>
          <w:sz w:val="22"/>
          <w:szCs w:val="22"/>
        </w:rPr>
        <w:t xml:space="preserve"> Innovation Hub demonstrate how adaptive models can evolve by blending state oversight with collaborative, community, and private-sector roles (IWMI, 2024). Such approaches are particularly relevant in contexts where infrastructure and institutional capacity are limited, as they allow governance frameworks to respond to emerging challenges and opportunities.</w:t>
      </w:r>
    </w:p>
    <w:p w14:paraId="02C51393" w14:textId="77777777" w:rsidR="0022068E" w:rsidRPr="00E41B80" w:rsidRDefault="0022068E" w:rsidP="00B16039">
      <w:pPr>
        <w:pStyle w:val="NormalWeb"/>
        <w:spacing w:line="276" w:lineRule="auto"/>
        <w:jc w:val="both"/>
        <w:rPr>
          <w:sz w:val="22"/>
          <w:szCs w:val="22"/>
        </w:rPr>
      </w:pPr>
      <w:r w:rsidRPr="00E41B80">
        <w:rPr>
          <w:noProof/>
          <w:sz w:val="22"/>
          <w:szCs w:val="22"/>
        </w:rPr>
        <w:lastRenderedPageBreak/>
        <w:drawing>
          <wp:inline distT="0" distB="0" distL="0" distR="0" wp14:anchorId="52A391A8" wp14:editId="6817BAB0">
            <wp:extent cx="6010275" cy="45815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D8C966A" w14:textId="77777777" w:rsidR="00070C5E" w:rsidRPr="00E41B80" w:rsidRDefault="006E72E9" w:rsidP="00832652">
      <w:pPr>
        <w:spacing w:before="100" w:beforeAutospacing="1" w:after="100" w:afterAutospacing="1" w:line="276" w:lineRule="auto"/>
        <w:jc w:val="center"/>
        <w:rPr>
          <w:rFonts w:ascii="Times New Roman" w:hAnsi="Times New Roman" w:cs="Times New Roman"/>
          <w:b/>
        </w:rPr>
      </w:pPr>
      <w:r w:rsidRPr="00E41B80">
        <w:rPr>
          <w:rFonts w:ascii="Times New Roman" w:hAnsi="Times New Roman" w:cs="Times New Roman"/>
          <w:b/>
        </w:rPr>
        <w:t>Figure 2</w:t>
      </w:r>
      <w:r w:rsidR="00070C5E" w:rsidRPr="00E41B80">
        <w:rPr>
          <w:rFonts w:ascii="Times New Roman" w:hAnsi="Times New Roman" w:cs="Times New Roman"/>
          <w:b/>
        </w:rPr>
        <w:t>:</w:t>
      </w:r>
      <w:r w:rsidR="00070C5E" w:rsidRPr="00E41B80">
        <w:rPr>
          <w:rFonts w:ascii="Times New Roman" w:hAnsi="Times New Roman" w:cs="Times New Roman"/>
        </w:rPr>
        <w:t xml:space="preserve"> </w:t>
      </w:r>
      <w:r w:rsidR="00070C5E" w:rsidRPr="00E41B80">
        <w:rPr>
          <w:rFonts w:ascii="Times New Roman" w:hAnsi="Times New Roman" w:cs="Times New Roman"/>
          <w:b/>
        </w:rPr>
        <w:t>Governance Models for Implementing Circular Economy Principles</w:t>
      </w:r>
    </w:p>
    <w:p w14:paraId="75733A32" w14:textId="77777777" w:rsidR="00070C5E" w:rsidRPr="00E41B80" w:rsidRDefault="00070C5E" w:rsidP="00832652">
      <w:pPr>
        <w:spacing w:before="100" w:beforeAutospacing="1" w:after="100" w:afterAutospacing="1" w:line="276" w:lineRule="auto"/>
        <w:jc w:val="center"/>
        <w:rPr>
          <w:rFonts w:ascii="Times New Roman" w:hAnsi="Times New Roman" w:cs="Times New Roman"/>
        </w:rPr>
      </w:pPr>
      <w:r w:rsidRPr="00E41B80">
        <w:rPr>
          <w:rFonts w:ascii="Times New Roman" w:hAnsi="Times New Roman" w:cs="Times New Roman"/>
        </w:rPr>
        <w:t>Source: Authors’ construct</w:t>
      </w:r>
    </w:p>
    <w:p w14:paraId="608C9144" w14:textId="77777777" w:rsidR="00C7711B" w:rsidRPr="00E41B80" w:rsidRDefault="008F18E5" w:rsidP="00B16039">
      <w:pPr>
        <w:pStyle w:val="ListParagraph"/>
        <w:numPr>
          <w:ilvl w:val="0"/>
          <w:numId w:val="1"/>
        </w:numPr>
        <w:spacing w:before="100" w:beforeAutospacing="1" w:after="100" w:afterAutospacing="1" w:line="276" w:lineRule="auto"/>
        <w:jc w:val="both"/>
        <w:rPr>
          <w:rFonts w:ascii="Times New Roman" w:hAnsi="Times New Roman" w:cs="Times New Roman"/>
          <w:b/>
        </w:rPr>
      </w:pPr>
      <w:r w:rsidRPr="00E41B80">
        <w:rPr>
          <w:rFonts w:ascii="Times New Roman" w:hAnsi="Times New Roman" w:cs="Times New Roman"/>
          <w:b/>
        </w:rPr>
        <w:t>METHODOLOGY</w:t>
      </w:r>
    </w:p>
    <w:p w14:paraId="0BADB659" w14:textId="77777777" w:rsidR="00C7711B" w:rsidRPr="00E41B80" w:rsidRDefault="00C7711B" w:rsidP="00B16039">
      <w:pPr>
        <w:spacing w:line="276" w:lineRule="auto"/>
        <w:jc w:val="both"/>
        <w:rPr>
          <w:rFonts w:ascii="Times New Roman" w:hAnsi="Times New Roman" w:cs="Times New Roman"/>
          <w:lang w:val="en-US"/>
        </w:rPr>
      </w:pPr>
      <w:r w:rsidRPr="00E41B80">
        <w:rPr>
          <w:rFonts w:ascii="Times New Roman" w:hAnsi="Times New Roman" w:cs="Times New Roman"/>
          <w:lang w:val="en-US"/>
        </w:rPr>
        <w:t xml:space="preserve">This paper applied a systematic review approach to </w:t>
      </w:r>
      <w:r w:rsidRPr="00E41B80">
        <w:rPr>
          <w:rFonts w:ascii="Times New Roman" w:hAnsi="Times New Roman" w:cs="Times New Roman"/>
        </w:rPr>
        <w:t xml:space="preserve">assess the </w:t>
      </w:r>
      <w:r w:rsidR="00B16039" w:rsidRPr="00E41B80">
        <w:rPr>
          <w:rFonts w:ascii="Times New Roman" w:eastAsia="Times New Roman" w:hAnsi="Times New Roman" w:cs="Times New Roman"/>
          <w:lang w:val="en-US"/>
        </w:rPr>
        <w:t>governance models of applying the principles of the Circular economy to Ghana's urban water and nutrient management</w:t>
      </w:r>
      <w:r w:rsidRPr="00E41B80">
        <w:rPr>
          <w:rFonts w:ascii="Times New Roman" w:hAnsi="Times New Roman" w:cs="Times New Roman"/>
          <w:lang w:val="en-US"/>
        </w:rPr>
        <w:t xml:space="preserve">. The systematic review approach was employed due to its strength in accumulating existing knowledge from various sources based on an explicit and reproducible protocol. The review aimed to determine the </w:t>
      </w:r>
      <w:r w:rsidR="00B16039" w:rsidRPr="00E41B80">
        <w:rPr>
          <w:rFonts w:ascii="Times New Roman" w:eastAsia="Times New Roman" w:hAnsi="Times New Roman" w:cs="Times New Roman"/>
          <w:lang w:val="en-US"/>
        </w:rPr>
        <w:t>governance models for implementing the principles of the Circular economy to urban water and nutrient management</w:t>
      </w:r>
      <w:r w:rsidRPr="00E41B80">
        <w:rPr>
          <w:rFonts w:ascii="Times New Roman" w:hAnsi="Times New Roman" w:cs="Times New Roman"/>
          <w:lang w:val="en-US"/>
        </w:rPr>
        <w:t>.</w:t>
      </w:r>
    </w:p>
    <w:p w14:paraId="2239233D" w14:textId="77777777" w:rsidR="00C7711B" w:rsidRPr="00E41B80" w:rsidRDefault="00C7711B" w:rsidP="00B16039">
      <w:pPr>
        <w:spacing w:line="276" w:lineRule="auto"/>
        <w:jc w:val="both"/>
        <w:rPr>
          <w:rFonts w:ascii="Times New Roman" w:hAnsi="Times New Roman" w:cs="Times New Roman"/>
          <w:lang w:val="en-US"/>
        </w:rPr>
      </w:pPr>
      <w:r w:rsidRPr="00E41B80">
        <w:rPr>
          <w:rFonts w:ascii="Times New Roman" w:hAnsi="Times New Roman" w:cs="Times New Roman"/>
          <w:lang w:val="en-US"/>
        </w:rPr>
        <w:t>In an attempt to obtain pertinent literature, an extensive search was carried out on major academic databases, such as Scopus, Web of Science, ScienceDirect, PubMed, and Google Scholar, as indicated in Figure 3. The research strategy utilized the application of the following keywords: "</w:t>
      </w:r>
      <w:r w:rsidR="00B16039" w:rsidRPr="00E41B80">
        <w:rPr>
          <w:rFonts w:ascii="Times New Roman" w:eastAsia="Times New Roman" w:hAnsi="Times New Roman" w:cs="Times New Roman"/>
          <w:lang w:val="en-US"/>
        </w:rPr>
        <w:t>governance models</w:t>
      </w:r>
      <w:r w:rsidRPr="00E41B80">
        <w:rPr>
          <w:rFonts w:ascii="Times New Roman" w:hAnsi="Times New Roman" w:cs="Times New Roman"/>
          <w:lang w:val="en-US"/>
        </w:rPr>
        <w:t>," "</w:t>
      </w:r>
      <w:r w:rsidR="00B16039" w:rsidRPr="00E41B80">
        <w:rPr>
          <w:rFonts w:ascii="Times New Roman" w:eastAsia="Times New Roman" w:hAnsi="Times New Roman" w:cs="Times New Roman"/>
          <w:lang w:val="en-US"/>
        </w:rPr>
        <w:t>Circular economy</w:t>
      </w:r>
      <w:r w:rsidRPr="00E41B80">
        <w:rPr>
          <w:rFonts w:ascii="Times New Roman" w:hAnsi="Times New Roman" w:cs="Times New Roman"/>
          <w:lang w:val="en-US"/>
        </w:rPr>
        <w:t xml:space="preserve">," </w:t>
      </w:r>
      <w:r w:rsidR="00B16039" w:rsidRPr="00E41B80">
        <w:rPr>
          <w:rFonts w:ascii="Times New Roman" w:hAnsi="Times New Roman" w:cs="Times New Roman"/>
          <w:lang w:val="en-US"/>
        </w:rPr>
        <w:t xml:space="preserve">‘’Ghana,’’ </w:t>
      </w:r>
      <w:r w:rsidRPr="00E41B80">
        <w:rPr>
          <w:rFonts w:ascii="Times New Roman" w:hAnsi="Times New Roman" w:cs="Times New Roman"/>
          <w:lang w:val="en-US"/>
        </w:rPr>
        <w:t>"</w:t>
      </w:r>
      <w:r w:rsidR="00B16039" w:rsidRPr="00E41B80">
        <w:rPr>
          <w:rFonts w:ascii="Times New Roman" w:eastAsia="Times New Roman" w:hAnsi="Times New Roman" w:cs="Times New Roman"/>
          <w:lang w:val="en-US"/>
        </w:rPr>
        <w:t>urban water</w:t>
      </w:r>
      <w:r w:rsidRPr="00E41B80">
        <w:rPr>
          <w:rFonts w:ascii="Times New Roman" w:hAnsi="Times New Roman" w:cs="Times New Roman"/>
          <w:lang w:val="en-US"/>
        </w:rPr>
        <w:t>," and "</w:t>
      </w:r>
      <w:r w:rsidR="00B16039" w:rsidRPr="00E41B80">
        <w:rPr>
          <w:rFonts w:ascii="Times New Roman" w:eastAsia="Times New Roman" w:hAnsi="Times New Roman" w:cs="Times New Roman"/>
          <w:lang w:val="en-US"/>
        </w:rPr>
        <w:t>nutrient management</w:t>
      </w:r>
      <w:r w:rsidRPr="00E41B80">
        <w:rPr>
          <w:rFonts w:ascii="Times New Roman" w:hAnsi="Times New Roman" w:cs="Times New Roman"/>
          <w:lang w:val="en-US"/>
        </w:rPr>
        <w:t xml:space="preserve">." The application of Boolean operators was utilized to enhance the search parameters' specificity. Only English-language articles were included, and the search was limited to publications from </w:t>
      </w:r>
      <w:r w:rsidR="00E40990" w:rsidRPr="00E41B80">
        <w:rPr>
          <w:rFonts w:ascii="Times New Roman" w:hAnsi="Times New Roman" w:cs="Times New Roman"/>
          <w:lang w:val="en-US"/>
        </w:rPr>
        <w:t>2018</w:t>
      </w:r>
      <w:r w:rsidRPr="00E41B80">
        <w:rPr>
          <w:rFonts w:ascii="Times New Roman" w:hAnsi="Times New Roman" w:cs="Times New Roman"/>
          <w:lang w:val="en-US"/>
        </w:rPr>
        <w:t xml:space="preserve"> to 2025 to encompass both older and newer perspectives. The selection criteria for the studies targeted research that had investigated </w:t>
      </w:r>
      <w:r w:rsidRPr="00E41B80">
        <w:rPr>
          <w:rFonts w:ascii="Times New Roman" w:hAnsi="Times New Roman" w:cs="Times New Roman"/>
        </w:rPr>
        <w:t xml:space="preserve">the </w:t>
      </w:r>
      <w:r w:rsidR="00B16039" w:rsidRPr="00E41B80">
        <w:rPr>
          <w:rFonts w:ascii="Times New Roman" w:eastAsia="Times New Roman" w:hAnsi="Times New Roman" w:cs="Times New Roman"/>
          <w:lang w:val="en-US"/>
        </w:rPr>
        <w:t xml:space="preserve">governance </w:t>
      </w:r>
      <w:r w:rsidR="00B16039" w:rsidRPr="00E41B80">
        <w:rPr>
          <w:rFonts w:ascii="Times New Roman" w:eastAsia="Times New Roman" w:hAnsi="Times New Roman" w:cs="Times New Roman"/>
          <w:lang w:val="en-US"/>
        </w:rPr>
        <w:lastRenderedPageBreak/>
        <w:t>models for implementing the principles of the Circular economy to urban water and nutrient management</w:t>
      </w:r>
      <w:r w:rsidRPr="00E41B80">
        <w:rPr>
          <w:rFonts w:ascii="Times New Roman" w:hAnsi="Times New Roman" w:cs="Times New Roman"/>
          <w:lang w:val="en-US"/>
        </w:rPr>
        <w:t>. The review incorporated peer-reviewed articles, scholarly books, organizational reports, and empirical case studies. Nonetheless, opinion articles, non-academic literature, research that did not meet the general themes, and duplicate articles were not included in the review.</w:t>
      </w:r>
    </w:p>
    <w:p w14:paraId="0509A9C4" w14:textId="77777777" w:rsidR="003C0B35" w:rsidRPr="00E41B80" w:rsidRDefault="00C7711B" w:rsidP="003C0B35">
      <w:pPr>
        <w:jc w:val="both"/>
        <w:rPr>
          <w:rFonts w:ascii="Times New Roman" w:hAnsi="Times New Roman" w:cs="Times New Roman"/>
        </w:rPr>
      </w:pPr>
      <w:r w:rsidRPr="00E41B80">
        <w:rPr>
          <w:rFonts w:ascii="Times New Roman" w:hAnsi="Times New Roman" w:cs="Times New Roman"/>
          <w:lang w:val="en-US"/>
        </w:rPr>
        <w:t xml:space="preserve">Following the identification of qualifying studies, data were extracted with the assistance of a structured coding scheme. This included the recording of details about each study's author(s), publication year, research objectives, methodology, key findings, and its applicability to the Ghanaian or African green infrastructure experience. This was followed by a thematic synthesis of the data that was extracted. The findings </w:t>
      </w:r>
      <w:r w:rsidR="00B16039" w:rsidRPr="00E41B80">
        <w:rPr>
          <w:rFonts w:ascii="Times New Roman" w:hAnsi="Times New Roman" w:cs="Times New Roman"/>
          <w:lang w:val="en-US"/>
        </w:rPr>
        <w:t>were always classified under one</w:t>
      </w:r>
      <w:r w:rsidRPr="00E41B80">
        <w:rPr>
          <w:rFonts w:ascii="Times New Roman" w:hAnsi="Times New Roman" w:cs="Times New Roman"/>
          <w:lang w:val="en-US"/>
        </w:rPr>
        <w:t xml:space="preserve"> broad </w:t>
      </w:r>
      <w:r w:rsidR="00D2401E" w:rsidRPr="00E41B80">
        <w:rPr>
          <w:rFonts w:ascii="Times New Roman" w:hAnsi="Times New Roman" w:cs="Times New Roman"/>
          <w:lang w:val="en-US"/>
        </w:rPr>
        <w:t>dimension</w:t>
      </w:r>
      <w:r w:rsidRPr="00E41B80">
        <w:rPr>
          <w:rFonts w:ascii="Times New Roman" w:hAnsi="Times New Roman" w:cs="Times New Roman"/>
          <w:lang w:val="en-US"/>
        </w:rPr>
        <w:t xml:space="preserve">: </w:t>
      </w:r>
      <w:r w:rsidR="00B16039" w:rsidRPr="00E41B80">
        <w:rPr>
          <w:rFonts w:ascii="Times New Roman" w:hAnsi="Times New Roman" w:cs="Times New Roman"/>
        </w:rPr>
        <w:t>Governance Models for Implementing Circular Economy Principles</w:t>
      </w:r>
      <w:r w:rsidRPr="00E41B80">
        <w:rPr>
          <w:rFonts w:ascii="Times New Roman" w:hAnsi="Times New Roman" w:cs="Times New Roman"/>
          <w:lang w:val="en-US"/>
        </w:rPr>
        <w:t xml:space="preserve">, including </w:t>
      </w:r>
      <w:r w:rsidR="003C0B35" w:rsidRPr="00E41B80">
        <w:rPr>
          <w:rFonts w:ascii="Times New Roman" w:hAnsi="Times New Roman" w:cs="Times New Roman"/>
        </w:rPr>
        <w:t>State-Regulated Governance, Collaborative and Multi-Stakeholder Governance, Public-Private Partnerships and Hybrid Models, Community and Participatory Governance, and Adaptive and Flexible Governance</w:t>
      </w:r>
      <w:r w:rsidR="00D2401E" w:rsidRPr="00E41B80">
        <w:rPr>
          <w:rFonts w:ascii="Times New Roman" w:hAnsi="Times New Roman" w:cs="Times New Roman"/>
        </w:rPr>
        <w:t>.</w:t>
      </w:r>
    </w:p>
    <w:p w14:paraId="5EC26612" w14:textId="77777777" w:rsidR="00C7711B" w:rsidRPr="00E41B80" w:rsidRDefault="00C7711B" w:rsidP="003C0B35">
      <w:pPr>
        <w:spacing w:before="100" w:beforeAutospacing="1" w:after="100" w:afterAutospacing="1" w:line="276" w:lineRule="auto"/>
        <w:jc w:val="both"/>
        <w:rPr>
          <w:rFonts w:ascii="Times New Roman" w:hAnsi="Times New Roman" w:cs="Times New Roman"/>
          <w:b/>
        </w:rPr>
      </w:pPr>
      <w:r w:rsidRPr="00E41B80">
        <w:rPr>
          <w:rFonts w:ascii="Times New Roman" w:hAnsi="Times New Roman" w:cs="Times New Roman"/>
          <w:lang w:val="en-US"/>
        </w:rPr>
        <w:t xml:space="preserve">Although the systematic review approach guarantees some degree of </w:t>
      </w:r>
      <w:proofErr w:type="spellStart"/>
      <w:r w:rsidRPr="00E41B80">
        <w:rPr>
          <w:rFonts w:ascii="Times New Roman" w:hAnsi="Times New Roman" w:cs="Times New Roman"/>
          <w:lang w:val="en-US"/>
        </w:rPr>
        <w:t>academicity</w:t>
      </w:r>
      <w:proofErr w:type="spellEnd"/>
      <w:r w:rsidRPr="00E41B80">
        <w:rPr>
          <w:rFonts w:ascii="Times New Roman" w:hAnsi="Times New Roman" w:cs="Times New Roman"/>
          <w:lang w:val="en-US"/>
        </w:rPr>
        <w:t xml:space="preserve"> and comprehensiveness, some limitations were realized. Most notably, there was the risk of publication bias as a result of the restriction of grey literature and non-English sources. Secondly, even though there is increased interest in </w:t>
      </w:r>
      <w:r w:rsidR="003C0B35" w:rsidRPr="00E41B80">
        <w:rPr>
          <w:rFonts w:ascii="Times New Roman" w:eastAsia="Times New Roman" w:hAnsi="Times New Roman" w:cs="Times New Roman"/>
          <w:lang w:val="en-US"/>
        </w:rPr>
        <w:t xml:space="preserve">urban water and </w:t>
      </w:r>
      <w:r w:rsidR="00D2401E" w:rsidRPr="00E41B80">
        <w:rPr>
          <w:rFonts w:ascii="Times New Roman" w:eastAsia="Times New Roman" w:hAnsi="Times New Roman" w:cs="Times New Roman"/>
          <w:lang w:val="en-US"/>
        </w:rPr>
        <w:t>nutrients</w:t>
      </w:r>
      <w:r w:rsidR="003C0B35" w:rsidRPr="00E41B80">
        <w:rPr>
          <w:rFonts w:ascii="Times New Roman" w:eastAsia="Times New Roman" w:hAnsi="Times New Roman" w:cs="Times New Roman"/>
          <w:lang w:val="en-US"/>
        </w:rPr>
        <w:t xml:space="preserve"> </w:t>
      </w:r>
      <w:r w:rsidRPr="00E41B80">
        <w:rPr>
          <w:rFonts w:ascii="Times New Roman" w:hAnsi="Times New Roman" w:cs="Times New Roman"/>
          <w:lang w:val="en-US"/>
        </w:rPr>
        <w:t>in Ghana, studies specific to Ghana remain scarce. This gap highlights the necessity for more localized studies exploring the intricate l</w:t>
      </w:r>
      <w:r w:rsidR="003C0B35" w:rsidRPr="00E41B80">
        <w:rPr>
          <w:rFonts w:ascii="Times New Roman" w:hAnsi="Times New Roman" w:cs="Times New Roman"/>
          <w:lang w:val="en-US"/>
        </w:rPr>
        <w:t>ink between governance model</w:t>
      </w:r>
      <w:r w:rsidRPr="00E41B80">
        <w:rPr>
          <w:rFonts w:ascii="Times New Roman" w:hAnsi="Times New Roman" w:cs="Times New Roman"/>
          <w:lang w:val="en-US"/>
        </w:rPr>
        <w:t xml:space="preserve">, </w:t>
      </w:r>
      <w:r w:rsidR="003C0B35" w:rsidRPr="00E41B80">
        <w:rPr>
          <w:rFonts w:ascii="Times New Roman" w:hAnsi="Times New Roman" w:cs="Times New Roman"/>
        </w:rPr>
        <w:t>circular principles</w:t>
      </w:r>
      <w:r w:rsidRPr="00E41B80">
        <w:rPr>
          <w:rFonts w:ascii="Times New Roman" w:hAnsi="Times New Roman" w:cs="Times New Roman"/>
        </w:rPr>
        <w:t>,</w:t>
      </w:r>
      <w:r w:rsidRPr="00E41B80">
        <w:rPr>
          <w:rFonts w:ascii="Times New Roman" w:hAnsi="Times New Roman" w:cs="Times New Roman"/>
          <w:lang w:val="en-US"/>
        </w:rPr>
        <w:t xml:space="preserve"> </w:t>
      </w:r>
      <w:r w:rsidR="003C0B35" w:rsidRPr="00E41B80">
        <w:rPr>
          <w:rFonts w:ascii="Times New Roman" w:eastAsia="Times New Roman" w:hAnsi="Times New Roman" w:cs="Times New Roman"/>
          <w:lang w:val="en-US"/>
        </w:rPr>
        <w:t>urban water</w:t>
      </w:r>
      <w:r w:rsidR="00D2401E" w:rsidRPr="00E41B80">
        <w:rPr>
          <w:rFonts w:ascii="Times New Roman" w:eastAsia="Times New Roman" w:hAnsi="Times New Roman" w:cs="Times New Roman"/>
          <w:lang w:val="en-US"/>
        </w:rPr>
        <w:t>,</w:t>
      </w:r>
      <w:r w:rsidR="003C0B35" w:rsidRPr="00E41B80">
        <w:rPr>
          <w:rFonts w:ascii="Times New Roman" w:eastAsia="Times New Roman" w:hAnsi="Times New Roman" w:cs="Times New Roman"/>
          <w:lang w:val="en-US"/>
        </w:rPr>
        <w:t xml:space="preserve"> and nutrient management </w:t>
      </w:r>
      <w:r w:rsidRPr="00E41B80">
        <w:rPr>
          <w:rFonts w:ascii="Times New Roman" w:hAnsi="Times New Roman" w:cs="Times New Roman"/>
          <w:lang w:val="en-US"/>
        </w:rPr>
        <w:t xml:space="preserve">in Ghanaian Cities. Yet the methodological approach taken in this research offers a solid foundation for syntheses of current knowledge and formulating insights that are relevant to both scholars and policymakers. It also enables the identification of key themes and evidence gaps that can guide future research and </w:t>
      </w:r>
      <w:r w:rsidR="003C0B35" w:rsidRPr="00E41B80">
        <w:rPr>
          <w:rFonts w:ascii="Times New Roman" w:eastAsia="Times New Roman" w:hAnsi="Times New Roman" w:cs="Times New Roman"/>
          <w:lang w:val="en-US"/>
        </w:rPr>
        <w:t xml:space="preserve">urban water and nutrient management </w:t>
      </w:r>
      <w:r w:rsidRPr="00E41B80">
        <w:rPr>
          <w:rFonts w:ascii="Times New Roman" w:hAnsi="Times New Roman" w:cs="Times New Roman"/>
          <w:lang w:val="en-US"/>
        </w:rPr>
        <w:t xml:space="preserve">initiatives. </w:t>
      </w:r>
    </w:p>
    <w:p w14:paraId="62D29E46" w14:textId="77777777" w:rsidR="00C7711B" w:rsidRPr="00E41B80" w:rsidRDefault="00C7711B" w:rsidP="00B16039">
      <w:pPr>
        <w:spacing w:line="276" w:lineRule="auto"/>
        <w:jc w:val="both"/>
        <w:rPr>
          <w:rFonts w:ascii="Times New Roman" w:hAnsi="Times New Roman" w:cs="Times New Roman"/>
        </w:rPr>
      </w:pPr>
      <w:r w:rsidRPr="00E41B80">
        <w:rPr>
          <w:rFonts w:ascii="Times New Roman" w:hAnsi="Times New Roman" w:cs="Times New Roman"/>
          <w:noProof/>
          <w:lang w:val="en-US"/>
        </w:rPr>
        <w:lastRenderedPageBreak/>
        <w:drawing>
          <wp:inline distT="0" distB="0" distL="0" distR="0" wp14:anchorId="7161D7EA" wp14:editId="51A50E03">
            <wp:extent cx="5992238" cy="5807412"/>
            <wp:effectExtent l="0" t="38100" r="0" b="222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50EC62F" w14:textId="77777777" w:rsidR="00C7711B" w:rsidRPr="00E41B80" w:rsidRDefault="00C7711B" w:rsidP="00B16039">
      <w:pPr>
        <w:spacing w:line="276" w:lineRule="auto"/>
        <w:jc w:val="center"/>
        <w:rPr>
          <w:rStyle w:val="Strong"/>
          <w:rFonts w:ascii="Times New Roman" w:hAnsi="Times New Roman" w:cs="Times New Roman"/>
        </w:rPr>
      </w:pPr>
      <w:r w:rsidRPr="00E41B80">
        <w:rPr>
          <w:rStyle w:val="Strong"/>
          <w:rFonts w:ascii="Times New Roman" w:hAnsi="Times New Roman" w:cs="Times New Roman"/>
        </w:rPr>
        <w:t>Figure 3: PRISMA Flow Diagram</w:t>
      </w:r>
    </w:p>
    <w:p w14:paraId="62D5E259" w14:textId="77777777" w:rsidR="00C7711B" w:rsidRPr="00E41B80" w:rsidRDefault="00C7711B" w:rsidP="00B16039">
      <w:pPr>
        <w:spacing w:line="276" w:lineRule="auto"/>
        <w:jc w:val="center"/>
        <w:rPr>
          <w:rStyle w:val="Strong"/>
          <w:rFonts w:ascii="Times New Roman" w:hAnsi="Times New Roman" w:cs="Times New Roman"/>
          <w:b w:val="0"/>
        </w:rPr>
      </w:pPr>
      <w:r w:rsidRPr="00E41B80">
        <w:rPr>
          <w:rStyle w:val="Strong"/>
          <w:rFonts w:ascii="Times New Roman" w:hAnsi="Times New Roman" w:cs="Times New Roman"/>
        </w:rPr>
        <w:t>Source: Authors’ construct</w:t>
      </w:r>
    </w:p>
    <w:p w14:paraId="4259520A" w14:textId="77777777" w:rsidR="00C7711B" w:rsidRPr="00E41B80" w:rsidRDefault="00C7711B" w:rsidP="00B16039">
      <w:pPr>
        <w:pStyle w:val="ListParagraph"/>
        <w:numPr>
          <w:ilvl w:val="1"/>
          <w:numId w:val="1"/>
        </w:numPr>
        <w:spacing w:line="276" w:lineRule="auto"/>
        <w:jc w:val="both"/>
        <w:rPr>
          <w:rFonts w:ascii="Times New Roman" w:hAnsi="Times New Roman" w:cs="Times New Roman"/>
          <w:b/>
          <w:bCs/>
        </w:rPr>
      </w:pPr>
      <w:r w:rsidRPr="00E41B80">
        <w:rPr>
          <w:rStyle w:val="Strong"/>
          <w:rFonts w:ascii="Times New Roman" w:hAnsi="Times New Roman" w:cs="Times New Roman"/>
        </w:rPr>
        <w:t>Contextual Focus on Ghana</w:t>
      </w:r>
    </w:p>
    <w:p w14:paraId="77AD1E13" w14:textId="77777777" w:rsidR="00C7711B" w:rsidRPr="00E41B80" w:rsidRDefault="008A242B" w:rsidP="00B16039">
      <w:pPr>
        <w:pStyle w:val="NormalWeb"/>
        <w:spacing w:line="276" w:lineRule="auto"/>
        <w:jc w:val="both"/>
        <w:rPr>
          <w:sz w:val="22"/>
          <w:szCs w:val="22"/>
        </w:rPr>
      </w:pPr>
      <w:r w:rsidRPr="00E41B80">
        <w:rPr>
          <w:sz w:val="22"/>
          <w:szCs w:val="22"/>
        </w:rPr>
        <w:t xml:space="preserve">Ghana, as shown in Figure 4, is a West African nation known for its rich cultural heritage, democratic stability, and diverse ecological zones. Bordered by Côte d’Ivoire to the west, Burkina Faso to the north, Togo to the east, and the Gulf of Guinea to the south, Ghana spans approximately 238,535 square kilometers and has a population exceeding 33 million as of 2025 (World Bank, 2025). </w:t>
      </w:r>
      <w:r w:rsidR="00C7711B" w:rsidRPr="00E41B80">
        <w:rPr>
          <w:sz w:val="22"/>
          <w:szCs w:val="22"/>
        </w:rPr>
        <w:t>Ghana provides a compelling context for examining governance models for im</w:t>
      </w:r>
      <w:r w:rsidR="0001789C" w:rsidRPr="00E41B80">
        <w:rPr>
          <w:sz w:val="22"/>
          <w:szCs w:val="22"/>
        </w:rPr>
        <w:t>plementing circular economy</w:t>
      </w:r>
      <w:r w:rsidR="00C7711B" w:rsidRPr="00E41B80">
        <w:rPr>
          <w:sz w:val="22"/>
          <w:szCs w:val="22"/>
        </w:rPr>
        <w:t xml:space="preserve"> principles in urban water and nutrient management. The country has experienced rapid urbanization over the last three decades, with more than 56% of its population currently living in urban areas, particularly in Accra, Kumasi, Sekondi-</w:t>
      </w:r>
      <w:r w:rsidR="00C7711B" w:rsidRPr="00E41B80">
        <w:rPr>
          <w:sz w:val="22"/>
          <w:szCs w:val="22"/>
        </w:rPr>
        <w:lastRenderedPageBreak/>
        <w:t>Takoradi, and Tamale (Ghana Statistical Service, 2021). This urban expansion has placed enormous pressure on basic services, especially water supply, sanitation, and solid waste management, creating significant challenges in ensuring environmental sustainability and public health (Owusu, 2021).</w:t>
      </w:r>
    </w:p>
    <w:p w14:paraId="4767B3F1" w14:textId="77777777" w:rsidR="00C7711B" w:rsidRPr="00E41B80" w:rsidRDefault="00C7711B" w:rsidP="00B16039">
      <w:pPr>
        <w:pStyle w:val="NormalWeb"/>
        <w:spacing w:line="276" w:lineRule="auto"/>
        <w:jc w:val="both"/>
        <w:rPr>
          <w:sz w:val="22"/>
          <w:szCs w:val="22"/>
        </w:rPr>
      </w:pPr>
      <w:r w:rsidRPr="00E41B80">
        <w:rPr>
          <w:sz w:val="22"/>
          <w:szCs w:val="22"/>
        </w:rPr>
        <w:t>Urban water management in Ghana is characterized by increasing demand, intermittent supply, and infrastructure deficits. Gh</w:t>
      </w:r>
      <w:r w:rsidR="0001789C" w:rsidRPr="00E41B80">
        <w:rPr>
          <w:sz w:val="22"/>
          <w:szCs w:val="22"/>
        </w:rPr>
        <w:t>ana Water Company Limited</w:t>
      </w:r>
      <w:r w:rsidRPr="00E41B80">
        <w:rPr>
          <w:sz w:val="22"/>
          <w:szCs w:val="22"/>
        </w:rPr>
        <w:t xml:space="preserve"> is responsible for urban water provision; however, capacity limitations and high levels of non-revenue water constrain efficiency and equita</w:t>
      </w:r>
      <w:r w:rsidR="00694562" w:rsidRPr="00E41B80">
        <w:rPr>
          <w:sz w:val="22"/>
          <w:szCs w:val="22"/>
        </w:rPr>
        <w:t>ble access (Tetra Tech &amp; USAID, 2024</w:t>
      </w:r>
      <w:r w:rsidRPr="00E41B80">
        <w:rPr>
          <w:sz w:val="22"/>
          <w:szCs w:val="22"/>
        </w:rPr>
        <w:t xml:space="preserve">). In addition, wastewater treatment is extremely limited, with less than 10% of wastewater in urban areas receiving any form of treatment before disposal </w:t>
      </w:r>
      <w:r w:rsidR="0001789C" w:rsidRPr="00E41B80">
        <w:rPr>
          <w:sz w:val="22"/>
          <w:szCs w:val="22"/>
        </w:rPr>
        <w:t>(</w:t>
      </w:r>
      <w:proofErr w:type="spellStart"/>
      <w:r w:rsidR="0001789C" w:rsidRPr="00E41B80">
        <w:rPr>
          <w:sz w:val="22"/>
          <w:szCs w:val="22"/>
        </w:rPr>
        <w:t>Adubofour</w:t>
      </w:r>
      <w:proofErr w:type="spellEnd"/>
      <w:r w:rsidR="0001789C" w:rsidRPr="00E41B80">
        <w:rPr>
          <w:sz w:val="22"/>
          <w:szCs w:val="22"/>
        </w:rPr>
        <w:t xml:space="preserve"> et al.</w:t>
      </w:r>
      <w:r w:rsidRPr="00E41B80">
        <w:rPr>
          <w:sz w:val="22"/>
          <w:szCs w:val="22"/>
        </w:rPr>
        <w:t>, 2020). Untreated effluents are often discharged directly into rivers and streams, contributing to water pollution and threatening ecosystems and human health.</w:t>
      </w:r>
    </w:p>
    <w:p w14:paraId="706EF3E6" w14:textId="77777777" w:rsidR="00C7711B" w:rsidRPr="00E41B80" w:rsidRDefault="00C7711B" w:rsidP="00B16039">
      <w:pPr>
        <w:pStyle w:val="NormalWeb"/>
        <w:spacing w:line="276" w:lineRule="auto"/>
        <w:jc w:val="both"/>
        <w:rPr>
          <w:sz w:val="22"/>
          <w:szCs w:val="22"/>
        </w:rPr>
      </w:pPr>
      <w:r w:rsidRPr="00E41B80">
        <w:rPr>
          <w:sz w:val="22"/>
          <w:szCs w:val="22"/>
        </w:rPr>
        <w:t>Nutrient management is also underdeveloped, despite the significant potential for recovery from organic waste and fecal sludge. Urban centers in Ghana generate large volumes of organic waste, yet most of it is disposed of in open dumpsites or landfills, with minimal reuse or recycling (Boadi &amp; Kuitunen, 2019). Where reuse</w:t>
      </w:r>
      <w:r w:rsidR="0001789C" w:rsidRPr="00E41B80">
        <w:rPr>
          <w:sz w:val="22"/>
          <w:szCs w:val="22"/>
        </w:rPr>
        <w:t xml:space="preserve"> occurs, it is largely informal, </w:t>
      </w:r>
      <w:r w:rsidRPr="00E41B80">
        <w:rPr>
          <w:sz w:val="22"/>
          <w:szCs w:val="22"/>
        </w:rPr>
        <w:t>such as the use of untreated wastewater for irrigating</w:t>
      </w:r>
      <w:r w:rsidR="0001789C" w:rsidRPr="00E41B80">
        <w:rPr>
          <w:sz w:val="22"/>
          <w:szCs w:val="22"/>
        </w:rPr>
        <w:t xml:space="preserve"> vegetables in Accra and Kumasi, </w:t>
      </w:r>
      <w:r w:rsidRPr="00E41B80">
        <w:rPr>
          <w:sz w:val="22"/>
          <w:szCs w:val="22"/>
        </w:rPr>
        <w:t>which poses health risks while simultaneously highlighting opportunities for nutrient recovery (</w:t>
      </w:r>
      <w:r w:rsidR="00EC07F1" w:rsidRPr="00E41B80">
        <w:rPr>
          <w:sz w:val="22"/>
          <w:szCs w:val="22"/>
        </w:rPr>
        <w:t>Darko et al., 2025</w:t>
      </w:r>
      <w:r w:rsidRPr="00E41B80">
        <w:rPr>
          <w:sz w:val="22"/>
          <w:szCs w:val="22"/>
        </w:rPr>
        <w:t>). Recent initiatives, such as resource recovery and reuse projects supported by international organizations, show the potential for composting, biogas production, and treated wastewater irrigation, but these remain limited in scope and require stronger governance frameworks for scaling up (</w:t>
      </w:r>
      <w:proofErr w:type="spellStart"/>
      <w:r w:rsidRPr="00E41B80">
        <w:rPr>
          <w:sz w:val="22"/>
          <w:szCs w:val="22"/>
        </w:rPr>
        <w:t>Otoo</w:t>
      </w:r>
      <w:proofErr w:type="spellEnd"/>
      <w:r w:rsidRPr="00E41B80">
        <w:rPr>
          <w:sz w:val="22"/>
          <w:szCs w:val="22"/>
        </w:rPr>
        <w:t xml:space="preserve"> &amp; </w:t>
      </w:r>
      <w:proofErr w:type="spellStart"/>
      <w:r w:rsidRPr="00E41B80">
        <w:rPr>
          <w:sz w:val="22"/>
          <w:szCs w:val="22"/>
        </w:rPr>
        <w:t>Drechsel</w:t>
      </w:r>
      <w:proofErr w:type="spellEnd"/>
      <w:r w:rsidRPr="00E41B80">
        <w:rPr>
          <w:sz w:val="22"/>
          <w:szCs w:val="22"/>
        </w:rPr>
        <w:t>, 2018).</w:t>
      </w:r>
    </w:p>
    <w:p w14:paraId="6B8FA61A" w14:textId="77777777" w:rsidR="00C7711B" w:rsidRPr="00E41B80" w:rsidRDefault="00C7711B" w:rsidP="00B16039">
      <w:pPr>
        <w:pStyle w:val="NormalWeb"/>
        <w:spacing w:line="276" w:lineRule="auto"/>
        <w:jc w:val="both"/>
        <w:rPr>
          <w:sz w:val="22"/>
          <w:szCs w:val="22"/>
        </w:rPr>
      </w:pPr>
      <w:r w:rsidRPr="00E41B80">
        <w:rPr>
          <w:sz w:val="22"/>
          <w:szCs w:val="22"/>
        </w:rPr>
        <w:t xml:space="preserve">Ghana has, however, begun to integrate </w:t>
      </w:r>
      <w:r w:rsidR="00CC3E21" w:rsidRPr="00E41B80">
        <w:rPr>
          <w:sz w:val="22"/>
          <w:szCs w:val="22"/>
        </w:rPr>
        <w:t>circular economy</w:t>
      </w:r>
      <w:r w:rsidRPr="00E41B80">
        <w:rPr>
          <w:sz w:val="22"/>
          <w:szCs w:val="22"/>
        </w:rPr>
        <w:t xml:space="preserve"> principles into its national development strategies. The</w:t>
      </w:r>
      <w:r w:rsidRPr="00E41B80">
        <w:rPr>
          <w:i/>
          <w:sz w:val="22"/>
          <w:szCs w:val="22"/>
        </w:rPr>
        <w:t xml:space="preserve"> </w:t>
      </w:r>
      <w:r w:rsidRPr="00E41B80">
        <w:rPr>
          <w:rStyle w:val="Emphasis"/>
          <w:i w:val="0"/>
          <w:sz w:val="22"/>
          <w:szCs w:val="22"/>
        </w:rPr>
        <w:t>National Plastics Management Policy</w:t>
      </w:r>
      <w:r w:rsidRPr="00E41B80">
        <w:rPr>
          <w:i/>
          <w:sz w:val="22"/>
          <w:szCs w:val="22"/>
        </w:rPr>
        <w:t xml:space="preserve"> </w:t>
      </w:r>
      <w:r w:rsidRPr="00E41B80">
        <w:rPr>
          <w:sz w:val="22"/>
          <w:szCs w:val="22"/>
        </w:rPr>
        <w:t>(Government of Ghana, 2020) and the</w:t>
      </w:r>
      <w:r w:rsidRPr="00E41B80">
        <w:rPr>
          <w:i/>
          <w:sz w:val="22"/>
          <w:szCs w:val="22"/>
        </w:rPr>
        <w:t xml:space="preserve"> </w:t>
      </w:r>
      <w:r w:rsidRPr="00E41B80">
        <w:rPr>
          <w:rStyle w:val="Emphasis"/>
          <w:i w:val="0"/>
          <w:sz w:val="22"/>
          <w:szCs w:val="22"/>
        </w:rPr>
        <w:t>Circular Economy Roadmap and Action Plan</w:t>
      </w:r>
      <w:r w:rsidRPr="00E41B80">
        <w:rPr>
          <w:i/>
          <w:sz w:val="22"/>
          <w:szCs w:val="22"/>
        </w:rPr>
        <w:t xml:space="preserve"> </w:t>
      </w:r>
      <w:r w:rsidRPr="00E41B80">
        <w:rPr>
          <w:sz w:val="22"/>
          <w:szCs w:val="22"/>
        </w:rPr>
        <w:t xml:space="preserve">(MESTI, 2023) provide explicit policy directions aimed at reducing waste and promoting resource recovery. Initiatives like the Circular </w:t>
      </w:r>
      <w:r w:rsidR="00B90860" w:rsidRPr="00E41B80">
        <w:rPr>
          <w:sz w:val="22"/>
          <w:szCs w:val="22"/>
        </w:rPr>
        <w:t>Bio Economy</w:t>
      </w:r>
      <w:r w:rsidRPr="00E41B80">
        <w:rPr>
          <w:sz w:val="22"/>
          <w:szCs w:val="22"/>
        </w:rPr>
        <w:t xml:space="preserve"> Innovation Hub (IWMI, 2024) and the Waste Recovery Platform (Waste Recovery Platform, 2022) demonstrate growing recognition of the need for multi-stakeholder governance in operationalizing </w:t>
      </w:r>
      <w:r w:rsidR="0001789C" w:rsidRPr="00E41B80">
        <w:rPr>
          <w:sz w:val="22"/>
          <w:szCs w:val="22"/>
        </w:rPr>
        <w:t>circular economy</w:t>
      </w:r>
      <w:r w:rsidRPr="00E41B80">
        <w:rPr>
          <w:sz w:val="22"/>
          <w:szCs w:val="22"/>
        </w:rPr>
        <w:t xml:space="preserve"> practices. Despite these advances, governance fragmentation, weak enforcement, and limited financing continue to undermine effective impleme</w:t>
      </w:r>
      <w:r w:rsidR="0001789C" w:rsidRPr="00E41B80">
        <w:rPr>
          <w:sz w:val="22"/>
          <w:szCs w:val="22"/>
        </w:rPr>
        <w:t>ntation (Agyei et al.</w:t>
      </w:r>
      <w:r w:rsidR="00CC3E21" w:rsidRPr="00E41B80">
        <w:rPr>
          <w:sz w:val="22"/>
          <w:szCs w:val="22"/>
        </w:rPr>
        <w:t>, 2023</w:t>
      </w:r>
      <w:r w:rsidRPr="00E41B80">
        <w:rPr>
          <w:sz w:val="22"/>
          <w:szCs w:val="22"/>
        </w:rPr>
        <w:t>).</w:t>
      </w:r>
    </w:p>
    <w:p w14:paraId="00E434DA" w14:textId="77777777" w:rsidR="00C7711B" w:rsidRPr="00E41B80" w:rsidRDefault="00C7711B" w:rsidP="00B16039">
      <w:pPr>
        <w:pStyle w:val="NormalWeb"/>
        <w:spacing w:line="276" w:lineRule="auto"/>
        <w:jc w:val="both"/>
        <w:rPr>
          <w:sz w:val="22"/>
          <w:szCs w:val="22"/>
        </w:rPr>
      </w:pPr>
      <w:r w:rsidRPr="00E41B80">
        <w:rPr>
          <w:sz w:val="22"/>
          <w:szCs w:val="22"/>
        </w:rPr>
        <w:t xml:space="preserve">In this context, Ghana serves as an appropriate case study for exploring governance models for </w:t>
      </w:r>
      <w:r w:rsidR="00694562" w:rsidRPr="00E41B80">
        <w:rPr>
          <w:sz w:val="22"/>
          <w:szCs w:val="22"/>
        </w:rPr>
        <w:t xml:space="preserve">the </w:t>
      </w:r>
      <w:r w:rsidR="0001789C" w:rsidRPr="00E41B80">
        <w:rPr>
          <w:sz w:val="22"/>
          <w:szCs w:val="22"/>
        </w:rPr>
        <w:t>circular economy</w:t>
      </w:r>
      <w:r w:rsidRPr="00E41B80">
        <w:rPr>
          <w:sz w:val="22"/>
          <w:szCs w:val="22"/>
        </w:rPr>
        <w:t xml:space="preserve"> in water and nutrient management. The combination of rapid urban growth, underdeveloped infrastructure, and emerging </w:t>
      </w:r>
      <w:r w:rsidR="0001789C" w:rsidRPr="00E41B80">
        <w:rPr>
          <w:sz w:val="22"/>
          <w:szCs w:val="22"/>
        </w:rPr>
        <w:t xml:space="preserve">circular economy </w:t>
      </w:r>
      <w:r w:rsidRPr="00E41B80">
        <w:rPr>
          <w:sz w:val="22"/>
          <w:szCs w:val="22"/>
        </w:rPr>
        <w:t>initiatives presents both challenges and opportunities for policy innovation. Understanding how governance frameworks can be designed and strengthened to support resource recovery and sustainable urban management is critical for Ghana’s transition towards circularity.</w:t>
      </w:r>
    </w:p>
    <w:p w14:paraId="4DCC36FB" w14:textId="77777777" w:rsidR="00EA3EC3" w:rsidRPr="00E41B80" w:rsidRDefault="009F59BE" w:rsidP="00B16039">
      <w:pPr>
        <w:pStyle w:val="NormalWeb"/>
        <w:spacing w:line="276" w:lineRule="auto"/>
        <w:jc w:val="both"/>
        <w:rPr>
          <w:sz w:val="22"/>
          <w:szCs w:val="22"/>
        </w:rPr>
      </w:pPr>
      <w:r w:rsidRPr="00E41B80">
        <w:rPr>
          <w:noProof/>
          <w:sz w:val="22"/>
          <w:szCs w:val="22"/>
        </w:rPr>
        <w:lastRenderedPageBreak/>
        <w:drawing>
          <wp:inline distT="0" distB="0" distL="0" distR="0" wp14:anchorId="44177968" wp14:editId="53996F56">
            <wp:extent cx="5876925" cy="5819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png"/>
                    <pic:cNvPicPr/>
                  </pic:nvPicPr>
                  <pic:blipFill>
                    <a:blip r:embed="rId22">
                      <a:extLst>
                        <a:ext uri="{28A0092B-C50C-407E-A947-70E740481C1C}">
                          <a14:useLocalDpi xmlns:a14="http://schemas.microsoft.com/office/drawing/2010/main" val="0"/>
                        </a:ext>
                      </a:extLst>
                    </a:blip>
                    <a:stretch>
                      <a:fillRect/>
                    </a:stretch>
                  </pic:blipFill>
                  <pic:spPr>
                    <a:xfrm>
                      <a:off x="0" y="0"/>
                      <a:ext cx="5876925" cy="5819775"/>
                    </a:xfrm>
                    <a:prstGeom prst="rect">
                      <a:avLst/>
                    </a:prstGeom>
                  </pic:spPr>
                </pic:pic>
              </a:graphicData>
            </a:graphic>
          </wp:inline>
        </w:drawing>
      </w:r>
    </w:p>
    <w:p w14:paraId="2E662655" w14:textId="77777777" w:rsidR="009F59BE" w:rsidRPr="00E41B80" w:rsidRDefault="009F59BE" w:rsidP="00194A87">
      <w:pPr>
        <w:pStyle w:val="NormalWeb"/>
        <w:spacing w:line="276" w:lineRule="auto"/>
        <w:jc w:val="center"/>
        <w:rPr>
          <w:b/>
          <w:sz w:val="22"/>
          <w:szCs w:val="22"/>
        </w:rPr>
      </w:pPr>
      <w:r w:rsidRPr="00E41B80">
        <w:rPr>
          <w:b/>
          <w:sz w:val="22"/>
          <w:szCs w:val="22"/>
        </w:rPr>
        <w:t>Figure 4: Map of the Study Area</w:t>
      </w:r>
    </w:p>
    <w:p w14:paraId="1FD96672" w14:textId="77777777" w:rsidR="009F59BE" w:rsidRPr="00E41B80" w:rsidRDefault="009F59BE" w:rsidP="00194A87">
      <w:pPr>
        <w:pStyle w:val="NormalWeb"/>
        <w:spacing w:line="276" w:lineRule="auto"/>
        <w:jc w:val="center"/>
        <w:rPr>
          <w:sz w:val="22"/>
          <w:szCs w:val="22"/>
        </w:rPr>
      </w:pPr>
      <w:r w:rsidRPr="00E41B80">
        <w:rPr>
          <w:sz w:val="22"/>
          <w:szCs w:val="22"/>
        </w:rPr>
        <w:t xml:space="preserve">Source: </w:t>
      </w:r>
      <w:proofErr w:type="spellStart"/>
      <w:r w:rsidRPr="00E41B80">
        <w:rPr>
          <w:sz w:val="22"/>
          <w:szCs w:val="22"/>
        </w:rPr>
        <w:t>Tengan</w:t>
      </w:r>
      <w:proofErr w:type="spellEnd"/>
      <w:r w:rsidRPr="00E41B80">
        <w:rPr>
          <w:sz w:val="22"/>
          <w:szCs w:val="22"/>
        </w:rPr>
        <w:t xml:space="preserve"> &amp; </w:t>
      </w:r>
      <w:proofErr w:type="spellStart"/>
      <w:r w:rsidRPr="00E41B80">
        <w:rPr>
          <w:sz w:val="22"/>
          <w:szCs w:val="22"/>
        </w:rPr>
        <w:t>Aigbavboa</w:t>
      </w:r>
      <w:proofErr w:type="spellEnd"/>
      <w:r w:rsidRPr="00E41B80">
        <w:rPr>
          <w:sz w:val="22"/>
          <w:szCs w:val="22"/>
        </w:rPr>
        <w:t xml:space="preserve"> (2021)</w:t>
      </w:r>
    </w:p>
    <w:p w14:paraId="723BD58A" w14:textId="77777777" w:rsidR="003661CA" w:rsidRPr="00E41B80" w:rsidRDefault="003661CA" w:rsidP="003661CA">
      <w:pPr>
        <w:pStyle w:val="NormalWeb"/>
        <w:numPr>
          <w:ilvl w:val="0"/>
          <w:numId w:val="1"/>
        </w:numPr>
        <w:spacing w:line="276" w:lineRule="auto"/>
        <w:jc w:val="both"/>
        <w:rPr>
          <w:b/>
          <w:sz w:val="22"/>
          <w:szCs w:val="22"/>
        </w:rPr>
      </w:pPr>
      <w:r w:rsidRPr="00E41B80">
        <w:rPr>
          <w:b/>
          <w:sz w:val="22"/>
          <w:szCs w:val="22"/>
        </w:rPr>
        <w:t>RESULTS AND ANALYSIS</w:t>
      </w:r>
    </w:p>
    <w:p w14:paraId="7C7BFCD3" w14:textId="77777777" w:rsidR="00CE6F3E" w:rsidRPr="00E41B80" w:rsidRDefault="00CE6F3E" w:rsidP="00CE6F3E">
      <w:pPr>
        <w:jc w:val="both"/>
        <w:rPr>
          <w:rFonts w:ascii="Times New Roman" w:hAnsi="Times New Roman" w:cs="Times New Roman"/>
        </w:rPr>
      </w:pPr>
      <w:r w:rsidRPr="00E41B80">
        <w:rPr>
          <w:rFonts w:ascii="Times New Roman" w:hAnsi="Times New Roman" w:cs="Times New Roman"/>
        </w:rPr>
        <w:t>The governance of circular economy principles in water and nutrient management depends on how institutions, policies, and stakeholders interact to shape implementation outcomes. Different governance approaches are being adopted in Ghana and elsewhere in Sub-Saharan Africa, each offering unique strengths and facing particular challenges. To illustrate these variations, Tables 1, 2, 3, 4, and 5 summarize the key contributions of different authors and institutions under each governance model, thereby providing a comparative understanding of how governance models influence circular economy practices.</w:t>
      </w:r>
    </w:p>
    <w:p w14:paraId="3B9F27DC" w14:textId="77777777" w:rsidR="00CE6F3E" w:rsidRPr="00E41B80" w:rsidRDefault="00CE6F3E" w:rsidP="00CE6F3E">
      <w:pPr>
        <w:jc w:val="center"/>
        <w:rPr>
          <w:rFonts w:ascii="Times New Roman" w:hAnsi="Times New Roman" w:cs="Times New Roman"/>
          <w:b/>
        </w:rPr>
      </w:pPr>
      <w:r w:rsidRPr="00E41B80">
        <w:rPr>
          <w:rFonts w:ascii="Times New Roman" w:hAnsi="Times New Roman" w:cs="Times New Roman"/>
          <w:b/>
        </w:rPr>
        <w:lastRenderedPageBreak/>
        <w:t>Table 1: State-Regulated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9"/>
        <w:gridCol w:w="1975"/>
        <w:gridCol w:w="1488"/>
        <w:gridCol w:w="2422"/>
        <w:gridCol w:w="1716"/>
      </w:tblGrid>
      <w:tr w:rsidR="00CE6F3E" w:rsidRPr="00E41B80" w14:paraId="261F645D" w14:textId="77777777" w:rsidTr="00CE10E5">
        <w:trPr>
          <w:tblHeader/>
          <w:tblCellSpacing w:w="15" w:type="dxa"/>
        </w:trPr>
        <w:tc>
          <w:tcPr>
            <w:tcW w:w="0" w:type="auto"/>
            <w:tcBorders>
              <w:top w:val="single" w:sz="4" w:space="0" w:color="auto"/>
              <w:bottom w:val="single" w:sz="4" w:space="0" w:color="auto"/>
            </w:tcBorders>
            <w:shd w:val="clear" w:color="auto" w:fill="F4B083" w:themeFill="accent2" w:themeFillTint="99"/>
            <w:vAlign w:val="center"/>
            <w:hideMark/>
          </w:tcPr>
          <w:p w14:paraId="63C8EA7A" w14:textId="77777777" w:rsidR="00CE6F3E" w:rsidRPr="00E41B80" w:rsidRDefault="00CE6F3E" w:rsidP="00CE6F3E">
            <w:pPr>
              <w:rPr>
                <w:rFonts w:ascii="Times New Roman" w:hAnsi="Times New Roman" w:cs="Times New Roman"/>
                <w:b/>
                <w:bCs/>
              </w:rPr>
            </w:pPr>
            <w:r w:rsidRPr="00E41B80">
              <w:rPr>
                <w:rFonts w:ascii="Times New Roman" w:hAnsi="Times New Roman" w:cs="Times New Roman"/>
                <w:b/>
                <w:bCs/>
              </w:rPr>
              <w:t>Author(s)</w:t>
            </w:r>
          </w:p>
        </w:tc>
        <w:tc>
          <w:tcPr>
            <w:tcW w:w="0" w:type="auto"/>
            <w:tcBorders>
              <w:top w:val="single" w:sz="4" w:space="0" w:color="auto"/>
              <w:bottom w:val="single" w:sz="4" w:space="0" w:color="auto"/>
            </w:tcBorders>
            <w:shd w:val="clear" w:color="auto" w:fill="F4B083" w:themeFill="accent2" w:themeFillTint="99"/>
            <w:vAlign w:val="center"/>
            <w:hideMark/>
          </w:tcPr>
          <w:p w14:paraId="2DD83612" w14:textId="77777777" w:rsidR="00CE6F3E" w:rsidRPr="00E41B80" w:rsidRDefault="00CE6F3E" w:rsidP="00CE6F3E">
            <w:pPr>
              <w:jc w:val="center"/>
              <w:rPr>
                <w:rFonts w:ascii="Times New Roman" w:hAnsi="Times New Roman" w:cs="Times New Roman"/>
                <w:b/>
                <w:bCs/>
              </w:rPr>
            </w:pPr>
            <w:r w:rsidRPr="00E41B80">
              <w:rPr>
                <w:rFonts w:ascii="Times New Roman" w:hAnsi="Times New Roman" w:cs="Times New Roman"/>
                <w:b/>
                <w:bCs/>
              </w:rPr>
              <w:t>Objectives</w:t>
            </w:r>
          </w:p>
        </w:tc>
        <w:tc>
          <w:tcPr>
            <w:tcW w:w="0" w:type="auto"/>
            <w:tcBorders>
              <w:top w:val="single" w:sz="4" w:space="0" w:color="auto"/>
              <w:bottom w:val="single" w:sz="4" w:space="0" w:color="auto"/>
            </w:tcBorders>
            <w:shd w:val="clear" w:color="auto" w:fill="F4B083" w:themeFill="accent2" w:themeFillTint="99"/>
            <w:vAlign w:val="center"/>
            <w:hideMark/>
          </w:tcPr>
          <w:p w14:paraId="5A9F0BA8" w14:textId="77777777" w:rsidR="00CE6F3E" w:rsidRPr="00E41B80" w:rsidRDefault="00CE6F3E" w:rsidP="00CE6F3E">
            <w:pPr>
              <w:jc w:val="center"/>
              <w:rPr>
                <w:rFonts w:ascii="Times New Roman" w:hAnsi="Times New Roman" w:cs="Times New Roman"/>
                <w:b/>
                <w:bCs/>
              </w:rPr>
            </w:pPr>
            <w:r w:rsidRPr="00E41B80">
              <w:rPr>
                <w:rFonts w:ascii="Times New Roman" w:hAnsi="Times New Roman" w:cs="Times New Roman"/>
                <w:b/>
                <w:bCs/>
              </w:rPr>
              <w:t>Methodology</w:t>
            </w:r>
          </w:p>
        </w:tc>
        <w:tc>
          <w:tcPr>
            <w:tcW w:w="0" w:type="auto"/>
            <w:tcBorders>
              <w:top w:val="single" w:sz="4" w:space="0" w:color="auto"/>
              <w:bottom w:val="single" w:sz="4" w:space="0" w:color="auto"/>
            </w:tcBorders>
            <w:shd w:val="clear" w:color="auto" w:fill="F4B083" w:themeFill="accent2" w:themeFillTint="99"/>
            <w:vAlign w:val="center"/>
            <w:hideMark/>
          </w:tcPr>
          <w:p w14:paraId="228F11F0" w14:textId="77777777" w:rsidR="00CE6F3E" w:rsidRPr="00E41B80" w:rsidRDefault="00CE6F3E" w:rsidP="00CE6F3E">
            <w:pPr>
              <w:jc w:val="center"/>
              <w:rPr>
                <w:rFonts w:ascii="Times New Roman" w:hAnsi="Times New Roman" w:cs="Times New Roman"/>
                <w:b/>
                <w:bCs/>
              </w:rPr>
            </w:pPr>
            <w:r w:rsidRPr="00E41B80">
              <w:rPr>
                <w:rFonts w:ascii="Times New Roman" w:hAnsi="Times New Roman" w:cs="Times New Roman"/>
                <w:b/>
                <w:bCs/>
              </w:rPr>
              <w:t>Key Findings</w:t>
            </w:r>
          </w:p>
        </w:tc>
        <w:tc>
          <w:tcPr>
            <w:tcW w:w="0" w:type="auto"/>
            <w:tcBorders>
              <w:top w:val="single" w:sz="4" w:space="0" w:color="auto"/>
              <w:bottom w:val="single" w:sz="4" w:space="0" w:color="auto"/>
            </w:tcBorders>
            <w:shd w:val="clear" w:color="auto" w:fill="F4B083" w:themeFill="accent2" w:themeFillTint="99"/>
            <w:vAlign w:val="center"/>
            <w:hideMark/>
          </w:tcPr>
          <w:p w14:paraId="65AFD8DC" w14:textId="77777777" w:rsidR="00CE6F3E" w:rsidRPr="00E41B80" w:rsidRDefault="00CE6F3E" w:rsidP="00CE6F3E">
            <w:pPr>
              <w:jc w:val="center"/>
              <w:rPr>
                <w:rFonts w:ascii="Times New Roman" w:hAnsi="Times New Roman" w:cs="Times New Roman"/>
                <w:b/>
                <w:bCs/>
              </w:rPr>
            </w:pPr>
            <w:r w:rsidRPr="00E41B80">
              <w:rPr>
                <w:rFonts w:ascii="Times New Roman" w:hAnsi="Times New Roman" w:cs="Times New Roman"/>
                <w:b/>
                <w:bCs/>
              </w:rPr>
              <w:t>Relevance</w:t>
            </w:r>
          </w:p>
        </w:tc>
      </w:tr>
      <w:tr w:rsidR="00CE6F3E" w:rsidRPr="00E41B80" w14:paraId="34E5231F" w14:textId="77777777" w:rsidTr="00F07F9D">
        <w:trPr>
          <w:tblCellSpacing w:w="15" w:type="dxa"/>
        </w:trPr>
        <w:tc>
          <w:tcPr>
            <w:tcW w:w="0" w:type="auto"/>
            <w:tcBorders>
              <w:bottom w:val="single" w:sz="4" w:space="0" w:color="auto"/>
            </w:tcBorders>
            <w:vAlign w:val="center"/>
            <w:hideMark/>
          </w:tcPr>
          <w:p w14:paraId="1D5A019A" w14:textId="77777777" w:rsidR="00CE6F3E" w:rsidRPr="00E41B80" w:rsidRDefault="00F07F9D" w:rsidP="00CE6F3E">
            <w:pPr>
              <w:rPr>
                <w:rFonts w:ascii="Times New Roman" w:hAnsi="Times New Roman" w:cs="Times New Roman"/>
              </w:rPr>
            </w:pPr>
            <w:r w:rsidRPr="00E41B80">
              <w:rPr>
                <w:rFonts w:ascii="Times New Roman" w:hAnsi="Times New Roman" w:cs="Times New Roman"/>
              </w:rPr>
              <w:t>Agyei et al.</w:t>
            </w:r>
            <w:r w:rsidR="00CE6F3E" w:rsidRPr="00E41B80">
              <w:rPr>
                <w:rFonts w:ascii="Times New Roman" w:hAnsi="Times New Roman" w:cs="Times New Roman"/>
              </w:rPr>
              <w:t xml:space="preserve"> (2023)</w:t>
            </w:r>
          </w:p>
        </w:tc>
        <w:tc>
          <w:tcPr>
            <w:tcW w:w="0" w:type="auto"/>
            <w:tcBorders>
              <w:bottom w:val="single" w:sz="4" w:space="0" w:color="auto"/>
            </w:tcBorders>
            <w:vAlign w:val="center"/>
            <w:hideMark/>
          </w:tcPr>
          <w:p w14:paraId="20FC452B"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To examine pathways towards a circular economy in Ghana through waste transfer stations and informal waste collectors.</w:t>
            </w:r>
          </w:p>
        </w:tc>
        <w:tc>
          <w:tcPr>
            <w:tcW w:w="0" w:type="auto"/>
            <w:tcBorders>
              <w:bottom w:val="single" w:sz="4" w:space="0" w:color="auto"/>
            </w:tcBorders>
            <w:vAlign w:val="center"/>
            <w:hideMark/>
          </w:tcPr>
          <w:p w14:paraId="08F63C65"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 xml:space="preserve">Case study analysis in </w:t>
            </w:r>
            <w:r w:rsidR="00D2401E" w:rsidRPr="00E41B80">
              <w:rPr>
                <w:rFonts w:ascii="Times New Roman" w:hAnsi="Times New Roman" w:cs="Times New Roman"/>
              </w:rPr>
              <w:t xml:space="preserve">an </w:t>
            </w:r>
            <w:r w:rsidRPr="00E41B80">
              <w:rPr>
                <w:rFonts w:ascii="Times New Roman" w:hAnsi="Times New Roman" w:cs="Times New Roman"/>
              </w:rPr>
              <w:t>edited volume.</w:t>
            </w:r>
          </w:p>
        </w:tc>
        <w:tc>
          <w:tcPr>
            <w:tcW w:w="0" w:type="auto"/>
            <w:tcBorders>
              <w:bottom w:val="single" w:sz="4" w:space="0" w:color="auto"/>
            </w:tcBorders>
            <w:vAlign w:val="center"/>
            <w:hideMark/>
          </w:tcPr>
          <w:p w14:paraId="6977A3E3"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Found that state regulation aids institutionalization of waste reuse but faces weak enforcement and limited financing.</w:t>
            </w:r>
          </w:p>
        </w:tc>
        <w:tc>
          <w:tcPr>
            <w:tcW w:w="0" w:type="auto"/>
            <w:tcBorders>
              <w:bottom w:val="single" w:sz="4" w:space="0" w:color="auto"/>
            </w:tcBorders>
            <w:vAlign w:val="center"/>
            <w:hideMark/>
          </w:tcPr>
          <w:p w14:paraId="2DD73A52"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Shows challenges in applying state-led governance in Ghana.</w:t>
            </w:r>
          </w:p>
        </w:tc>
      </w:tr>
      <w:tr w:rsidR="00CE6F3E" w:rsidRPr="00E41B80" w14:paraId="7967BA47" w14:textId="77777777" w:rsidTr="00F07F9D">
        <w:trPr>
          <w:tblCellSpacing w:w="15" w:type="dxa"/>
        </w:trPr>
        <w:tc>
          <w:tcPr>
            <w:tcW w:w="0" w:type="auto"/>
            <w:tcBorders>
              <w:top w:val="single" w:sz="4" w:space="0" w:color="auto"/>
              <w:bottom w:val="single" w:sz="4" w:space="0" w:color="auto"/>
            </w:tcBorders>
            <w:vAlign w:val="center"/>
            <w:hideMark/>
          </w:tcPr>
          <w:p w14:paraId="5581331A" w14:textId="77777777" w:rsidR="00CE6F3E" w:rsidRPr="00E41B80" w:rsidRDefault="00CE6F3E" w:rsidP="00CE6F3E">
            <w:pPr>
              <w:rPr>
                <w:rFonts w:ascii="Times New Roman" w:hAnsi="Times New Roman" w:cs="Times New Roman"/>
              </w:rPr>
            </w:pPr>
            <w:r w:rsidRPr="00E41B80">
              <w:rPr>
                <w:rFonts w:ascii="Times New Roman" w:hAnsi="Times New Roman" w:cs="Times New Roman"/>
              </w:rPr>
              <w:t>Government of Ghana (2020)</w:t>
            </w:r>
          </w:p>
        </w:tc>
        <w:tc>
          <w:tcPr>
            <w:tcW w:w="0" w:type="auto"/>
            <w:tcBorders>
              <w:top w:val="single" w:sz="4" w:space="0" w:color="auto"/>
              <w:bottom w:val="single" w:sz="4" w:space="0" w:color="auto"/>
            </w:tcBorders>
            <w:vAlign w:val="center"/>
            <w:hideMark/>
          </w:tcPr>
          <w:p w14:paraId="58925A4A"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To provide a framework for plastics management in Ghana.</w:t>
            </w:r>
          </w:p>
        </w:tc>
        <w:tc>
          <w:tcPr>
            <w:tcW w:w="0" w:type="auto"/>
            <w:tcBorders>
              <w:top w:val="single" w:sz="4" w:space="0" w:color="auto"/>
              <w:bottom w:val="single" w:sz="4" w:space="0" w:color="auto"/>
            </w:tcBorders>
            <w:vAlign w:val="center"/>
            <w:hideMark/>
          </w:tcPr>
          <w:p w14:paraId="019EADAA"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Policy document.</w:t>
            </w:r>
          </w:p>
        </w:tc>
        <w:tc>
          <w:tcPr>
            <w:tcW w:w="0" w:type="auto"/>
            <w:tcBorders>
              <w:top w:val="single" w:sz="4" w:space="0" w:color="auto"/>
              <w:bottom w:val="single" w:sz="4" w:space="0" w:color="auto"/>
            </w:tcBorders>
            <w:vAlign w:val="center"/>
            <w:hideMark/>
          </w:tcPr>
          <w:p w14:paraId="3F7911FF"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Established the National Plastics Management Policy to transition away from linear waste systems.</w:t>
            </w:r>
          </w:p>
        </w:tc>
        <w:tc>
          <w:tcPr>
            <w:tcW w:w="0" w:type="auto"/>
            <w:tcBorders>
              <w:top w:val="single" w:sz="4" w:space="0" w:color="auto"/>
              <w:bottom w:val="single" w:sz="4" w:space="0" w:color="auto"/>
            </w:tcBorders>
            <w:vAlign w:val="center"/>
            <w:hideMark/>
          </w:tcPr>
          <w:p w14:paraId="22B4492B"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Foundation for state regulation in Ghana’s circular economy initiatives.</w:t>
            </w:r>
          </w:p>
        </w:tc>
      </w:tr>
      <w:tr w:rsidR="00CE6F3E" w:rsidRPr="00E41B80" w14:paraId="72E7C4C9" w14:textId="77777777" w:rsidTr="00F07F9D">
        <w:trPr>
          <w:tblCellSpacing w:w="15" w:type="dxa"/>
        </w:trPr>
        <w:tc>
          <w:tcPr>
            <w:tcW w:w="0" w:type="auto"/>
            <w:tcBorders>
              <w:top w:val="single" w:sz="4" w:space="0" w:color="auto"/>
              <w:bottom w:val="single" w:sz="4" w:space="0" w:color="auto"/>
            </w:tcBorders>
            <w:vAlign w:val="center"/>
            <w:hideMark/>
          </w:tcPr>
          <w:p w14:paraId="1B6236D2" w14:textId="77777777" w:rsidR="00CE6F3E" w:rsidRPr="00E41B80" w:rsidRDefault="00CE6F3E" w:rsidP="00CE6F3E">
            <w:pPr>
              <w:rPr>
                <w:rFonts w:ascii="Times New Roman" w:hAnsi="Times New Roman" w:cs="Times New Roman"/>
              </w:rPr>
            </w:pPr>
            <w:r w:rsidRPr="00E41B80">
              <w:rPr>
                <w:rFonts w:ascii="Times New Roman" w:hAnsi="Times New Roman" w:cs="Times New Roman"/>
              </w:rPr>
              <w:t>Ministry of Environment, Science, Technology and Innovation (MESTI) (2023)</w:t>
            </w:r>
          </w:p>
        </w:tc>
        <w:tc>
          <w:tcPr>
            <w:tcW w:w="0" w:type="auto"/>
            <w:tcBorders>
              <w:top w:val="single" w:sz="4" w:space="0" w:color="auto"/>
              <w:bottom w:val="single" w:sz="4" w:space="0" w:color="auto"/>
            </w:tcBorders>
            <w:vAlign w:val="center"/>
            <w:hideMark/>
          </w:tcPr>
          <w:p w14:paraId="21DDE80A"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 xml:space="preserve">To develop a roadmap and action plan for </w:t>
            </w:r>
            <w:r w:rsidR="00D2401E" w:rsidRPr="00E41B80">
              <w:rPr>
                <w:rFonts w:ascii="Times New Roman" w:hAnsi="Times New Roman" w:cs="Times New Roman"/>
              </w:rPr>
              <w:t xml:space="preserve">the </w:t>
            </w:r>
            <w:r w:rsidRPr="00E41B80">
              <w:rPr>
                <w:rFonts w:ascii="Times New Roman" w:hAnsi="Times New Roman" w:cs="Times New Roman"/>
              </w:rPr>
              <w:t>circular economy transition.</w:t>
            </w:r>
          </w:p>
        </w:tc>
        <w:tc>
          <w:tcPr>
            <w:tcW w:w="0" w:type="auto"/>
            <w:tcBorders>
              <w:top w:val="single" w:sz="4" w:space="0" w:color="auto"/>
              <w:bottom w:val="single" w:sz="4" w:space="0" w:color="auto"/>
            </w:tcBorders>
            <w:vAlign w:val="center"/>
            <w:hideMark/>
          </w:tcPr>
          <w:p w14:paraId="591B81A0"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Strategic policy roadmap.</w:t>
            </w:r>
          </w:p>
        </w:tc>
        <w:tc>
          <w:tcPr>
            <w:tcW w:w="0" w:type="auto"/>
            <w:tcBorders>
              <w:top w:val="single" w:sz="4" w:space="0" w:color="auto"/>
              <w:bottom w:val="single" w:sz="4" w:space="0" w:color="auto"/>
            </w:tcBorders>
            <w:vAlign w:val="center"/>
            <w:hideMark/>
          </w:tcPr>
          <w:p w14:paraId="0F48C798"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 xml:space="preserve">Provides </w:t>
            </w:r>
            <w:r w:rsidR="00D2401E" w:rsidRPr="00E41B80">
              <w:rPr>
                <w:rFonts w:ascii="Times New Roman" w:hAnsi="Times New Roman" w:cs="Times New Roman"/>
              </w:rPr>
              <w:t xml:space="preserve">a </w:t>
            </w:r>
            <w:r w:rsidRPr="00E41B80">
              <w:rPr>
                <w:rFonts w:ascii="Times New Roman" w:hAnsi="Times New Roman" w:cs="Times New Roman"/>
              </w:rPr>
              <w:t>structured implementation plan for waste reuse, wastewater treatment, and nutrient recovery.</w:t>
            </w:r>
          </w:p>
        </w:tc>
        <w:tc>
          <w:tcPr>
            <w:tcW w:w="0" w:type="auto"/>
            <w:tcBorders>
              <w:top w:val="single" w:sz="4" w:space="0" w:color="auto"/>
              <w:bottom w:val="single" w:sz="4" w:space="0" w:color="auto"/>
            </w:tcBorders>
            <w:vAlign w:val="center"/>
            <w:hideMark/>
          </w:tcPr>
          <w:p w14:paraId="761DDE58"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Strengthens state-regulated governance by aligning national stakeholders.</w:t>
            </w:r>
          </w:p>
        </w:tc>
      </w:tr>
      <w:tr w:rsidR="00CE6F3E" w:rsidRPr="00E41B80" w14:paraId="381C7CC4" w14:textId="77777777" w:rsidTr="00F07F9D">
        <w:trPr>
          <w:tblCellSpacing w:w="15" w:type="dxa"/>
        </w:trPr>
        <w:tc>
          <w:tcPr>
            <w:tcW w:w="0" w:type="auto"/>
            <w:tcBorders>
              <w:top w:val="single" w:sz="4" w:space="0" w:color="auto"/>
              <w:bottom w:val="single" w:sz="4" w:space="0" w:color="auto"/>
            </w:tcBorders>
            <w:vAlign w:val="center"/>
            <w:hideMark/>
          </w:tcPr>
          <w:p w14:paraId="407545BC" w14:textId="77777777" w:rsidR="00CE6F3E" w:rsidRPr="00E41B80" w:rsidRDefault="00CE6F3E" w:rsidP="00CE6F3E">
            <w:pPr>
              <w:rPr>
                <w:rFonts w:ascii="Times New Roman" w:hAnsi="Times New Roman" w:cs="Times New Roman"/>
              </w:rPr>
            </w:pPr>
            <w:r w:rsidRPr="00E41B80">
              <w:rPr>
                <w:rFonts w:ascii="Times New Roman" w:hAnsi="Times New Roman" w:cs="Times New Roman"/>
              </w:rPr>
              <w:t>United Nations Environment Programme (2023)</w:t>
            </w:r>
          </w:p>
        </w:tc>
        <w:tc>
          <w:tcPr>
            <w:tcW w:w="0" w:type="auto"/>
            <w:tcBorders>
              <w:top w:val="single" w:sz="4" w:space="0" w:color="auto"/>
              <w:bottom w:val="single" w:sz="4" w:space="0" w:color="auto"/>
            </w:tcBorders>
            <w:vAlign w:val="center"/>
            <w:hideMark/>
          </w:tcPr>
          <w:p w14:paraId="6E011ABB"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 xml:space="preserve">To outline governance and policy pathways for </w:t>
            </w:r>
            <w:r w:rsidR="00D2401E" w:rsidRPr="00E41B80">
              <w:rPr>
                <w:rFonts w:ascii="Times New Roman" w:hAnsi="Times New Roman" w:cs="Times New Roman"/>
              </w:rPr>
              <w:t xml:space="preserve">the </w:t>
            </w:r>
            <w:r w:rsidRPr="00E41B80">
              <w:rPr>
                <w:rFonts w:ascii="Times New Roman" w:hAnsi="Times New Roman" w:cs="Times New Roman"/>
              </w:rPr>
              <w:t>global circular economy.</w:t>
            </w:r>
          </w:p>
        </w:tc>
        <w:tc>
          <w:tcPr>
            <w:tcW w:w="0" w:type="auto"/>
            <w:tcBorders>
              <w:top w:val="single" w:sz="4" w:space="0" w:color="auto"/>
              <w:bottom w:val="single" w:sz="4" w:space="0" w:color="auto"/>
            </w:tcBorders>
            <w:vAlign w:val="center"/>
            <w:hideMark/>
          </w:tcPr>
          <w:p w14:paraId="3B6B652E"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International policy report.</w:t>
            </w:r>
          </w:p>
        </w:tc>
        <w:tc>
          <w:tcPr>
            <w:tcW w:w="0" w:type="auto"/>
            <w:tcBorders>
              <w:top w:val="single" w:sz="4" w:space="0" w:color="auto"/>
              <w:bottom w:val="single" w:sz="4" w:space="0" w:color="auto"/>
            </w:tcBorders>
            <w:vAlign w:val="center"/>
            <w:hideMark/>
          </w:tcPr>
          <w:p w14:paraId="22156942"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 xml:space="preserve">Emphasizes </w:t>
            </w:r>
            <w:r w:rsidR="00D2401E" w:rsidRPr="00E41B80">
              <w:rPr>
                <w:rFonts w:ascii="Times New Roman" w:hAnsi="Times New Roman" w:cs="Times New Roman"/>
              </w:rPr>
              <w:t xml:space="preserve">the </w:t>
            </w:r>
            <w:r w:rsidRPr="00E41B80">
              <w:rPr>
                <w:rFonts w:ascii="Times New Roman" w:hAnsi="Times New Roman" w:cs="Times New Roman"/>
              </w:rPr>
              <w:t>role of state regulation in legitimizing and aligning CE with development goals.</w:t>
            </w:r>
          </w:p>
        </w:tc>
        <w:tc>
          <w:tcPr>
            <w:tcW w:w="0" w:type="auto"/>
            <w:tcBorders>
              <w:top w:val="single" w:sz="4" w:space="0" w:color="auto"/>
              <w:bottom w:val="single" w:sz="4" w:space="0" w:color="auto"/>
            </w:tcBorders>
            <w:vAlign w:val="center"/>
            <w:hideMark/>
          </w:tcPr>
          <w:p w14:paraId="2A73D0C2"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Offers international reference that supports Ghana’s state-regulated governance.</w:t>
            </w:r>
          </w:p>
        </w:tc>
      </w:tr>
    </w:tbl>
    <w:p w14:paraId="37EB4053" w14:textId="77777777" w:rsidR="00CE6F3E" w:rsidRPr="00E41B80" w:rsidRDefault="00CE6F3E" w:rsidP="00CE6F3E">
      <w:pPr>
        <w:jc w:val="center"/>
        <w:rPr>
          <w:rFonts w:ascii="Times New Roman" w:hAnsi="Times New Roman" w:cs="Times New Roman"/>
        </w:rPr>
      </w:pPr>
      <w:r w:rsidRPr="00E41B80">
        <w:rPr>
          <w:rFonts w:ascii="Times New Roman" w:hAnsi="Times New Roman" w:cs="Times New Roman"/>
        </w:rPr>
        <w:t>Source: Authors’ Construct</w:t>
      </w:r>
    </w:p>
    <w:p w14:paraId="570F70D0" w14:textId="77777777" w:rsidR="00CE6F3E" w:rsidRPr="00E41B80" w:rsidRDefault="00CE6F3E" w:rsidP="00067E74">
      <w:pPr>
        <w:jc w:val="both"/>
        <w:rPr>
          <w:rFonts w:ascii="Times New Roman" w:hAnsi="Times New Roman" w:cs="Times New Roman"/>
        </w:rPr>
      </w:pPr>
      <w:r w:rsidRPr="00E41B80">
        <w:rPr>
          <w:rFonts w:ascii="Times New Roman" w:eastAsia="Times New Roman" w:hAnsi="Times New Roman" w:cs="Times New Roman"/>
          <w:lang w:val="en-US"/>
        </w:rPr>
        <w:t xml:space="preserve">The literature largely confirms that state regulation provides legitimacy and structure for the implementation of circular economy principles. The United Nations Environment </w:t>
      </w:r>
      <w:proofErr w:type="spellStart"/>
      <w:r w:rsidRPr="00E41B80">
        <w:rPr>
          <w:rFonts w:ascii="Times New Roman" w:eastAsia="Times New Roman" w:hAnsi="Times New Roman" w:cs="Times New Roman"/>
          <w:lang w:val="en-US"/>
        </w:rPr>
        <w:t>Programme</w:t>
      </w:r>
      <w:proofErr w:type="spellEnd"/>
      <w:r w:rsidRPr="00E41B80">
        <w:rPr>
          <w:rFonts w:ascii="Times New Roman" w:eastAsia="Times New Roman" w:hAnsi="Times New Roman" w:cs="Times New Roman"/>
          <w:lang w:val="en-US"/>
        </w:rPr>
        <w:t xml:space="preserve"> (2023) emphasizes the critical role of national governments in aligning circular economy transitions with sustainable development goals. This is consistent with the Government of Ghana (2020), which introduced the National Plastics Management Policy as a key framework for shifting away from linear waste practices. The Ministry of Environment, Science, Technology</w:t>
      </w:r>
      <w:r w:rsidR="00A14FBA" w:rsidRPr="00E41B80">
        <w:rPr>
          <w:rFonts w:ascii="Times New Roman" w:eastAsia="Times New Roman" w:hAnsi="Times New Roman" w:cs="Times New Roman"/>
          <w:lang w:val="en-US"/>
        </w:rPr>
        <w:t>,</w:t>
      </w:r>
      <w:r w:rsidRPr="00E41B80">
        <w:rPr>
          <w:rFonts w:ascii="Times New Roman" w:eastAsia="Times New Roman" w:hAnsi="Times New Roman" w:cs="Times New Roman"/>
          <w:lang w:val="en-US"/>
        </w:rPr>
        <w:t xml:space="preserve"> and Innovation (2023) further advanced this agenda by developing a Circular Economy Roadmap to guide implementation in collaboration with academia and civil society.</w:t>
      </w:r>
      <w:r w:rsidR="00067E74" w:rsidRPr="00E41B80">
        <w:rPr>
          <w:rFonts w:ascii="Times New Roman" w:hAnsi="Times New Roman" w:cs="Times New Roman"/>
        </w:rPr>
        <w:t xml:space="preserve"> </w:t>
      </w:r>
      <w:r w:rsidRPr="00E41B80">
        <w:rPr>
          <w:rFonts w:ascii="Times New Roman" w:eastAsia="Times New Roman" w:hAnsi="Times New Roman" w:cs="Times New Roman"/>
          <w:lang w:val="en-US"/>
        </w:rPr>
        <w:t>While these frameworks highlight the strengths</w:t>
      </w:r>
      <w:r w:rsidR="00067E74" w:rsidRPr="00E41B80">
        <w:rPr>
          <w:rFonts w:ascii="Times New Roman" w:eastAsia="Times New Roman" w:hAnsi="Times New Roman" w:cs="Times New Roman"/>
          <w:lang w:val="en-US"/>
        </w:rPr>
        <w:t xml:space="preserve"> of state regulation, Agyei et al. </w:t>
      </w:r>
      <w:r w:rsidRPr="00E41B80">
        <w:rPr>
          <w:rFonts w:ascii="Times New Roman" w:eastAsia="Times New Roman" w:hAnsi="Times New Roman" w:cs="Times New Roman"/>
          <w:lang w:val="en-US"/>
        </w:rPr>
        <w:t xml:space="preserve">(2023) argue that weak enforcement and inadequate financing remain major barriers to effective implementation. This contrast reveals a gap between the </w:t>
      </w:r>
      <w:r w:rsidRPr="00E41B80">
        <w:rPr>
          <w:rFonts w:ascii="Times New Roman" w:eastAsia="Times New Roman" w:hAnsi="Times New Roman" w:cs="Times New Roman"/>
          <w:bCs/>
          <w:lang w:val="en-US"/>
        </w:rPr>
        <w:t>formal policy frameworks that exist on paper and the actual practices in implementation</w:t>
      </w:r>
      <w:r w:rsidRPr="00E41B80">
        <w:rPr>
          <w:rFonts w:ascii="Times New Roman" w:eastAsia="Times New Roman" w:hAnsi="Times New Roman" w:cs="Times New Roman"/>
          <w:lang w:val="en-US"/>
        </w:rPr>
        <w:t>. Although there is consensus on the importance of state-regulated governance, the evidence shows that the model in Ghana is undermined by resource and institutional constraints.</w:t>
      </w:r>
    </w:p>
    <w:p w14:paraId="0667D267" w14:textId="77777777" w:rsidR="00CE6F3E" w:rsidRPr="00E41B80" w:rsidRDefault="00CE6F3E" w:rsidP="00CE6F3E">
      <w:pPr>
        <w:jc w:val="both"/>
        <w:rPr>
          <w:rFonts w:ascii="Times New Roman" w:hAnsi="Times New Roman" w:cs="Times New Roman"/>
        </w:rPr>
      </w:pPr>
    </w:p>
    <w:p w14:paraId="57FF700A" w14:textId="77777777" w:rsidR="00067E74" w:rsidRPr="00E41B80" w:rsidRDefault="00067E74" w:rsidP="00CE6F3E">
      <w:pPr>
        <w:jc w:val="both"/>
        <w:rPr>
          <w:rFonts w:ascii="Times New Roman" w:hAnsi="Times New Roman" w:cs="Times New Roman"/>
        </w:rPr>
      </w:pPr>
    </w:p>
    <w:p w14:paraId="7D7A196E" w14:textId="77777777" w:rsidR="00CE6F3E" w:rsidRPr="00E41B80" w:rsidRDefault="00A14FBA" w:rsidP="00067E74">
      <w:pPr>
        <w:jc w:val="center"/>
        <w:rPr>
          <w:rFonts w:ascii="Times New Roman" w:hAnsi="Times New Roman" w:cs="Times New Roman"/>
          <w:b/>
        </w:rPr>
      </w:pPr>
      <w:r w:rsidRPr="00E41B80">
        <w:rPr>
          <w:rFonts w:ascii="Times New Roman" w:hAnsi="Times New Roman" w:cs="Times New Roman"/>
          <w:b/>
        </w:rPr>
        <w:t xml:space="preserve">Table </w:t>
      </w:r>
      <w:r w:rsidR="00CE6F3E" w:rsidRPr="00E41B80">
        <w:rPr>
          <w:rFonts w:ascii="Times New Roman" w:hAnsi="Times New Roman" w:cs="Times New Roman"/>
          <w:b/>
        </w:rPr>
        <w:t>2: Collaborative and Multi-Stakeholder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gridCol w:w="2018"/>
        <w:gridCol w:w="1653"/>
        <w:gridCol w:w="2120"/>
        <w:gridCol w:w="1941"/>
      </w:tblGrid>
      <w:tr w:rsidR="00CE6F3E" w:rsidRPr="00E41B80" w14:paraId="5B31FD54" w14:textId="77777777" w:rsidTr="00CE10E5">
        <w:trPr>
          <w:tblHeader/>
          <w:tblCellSpacing w:w="15" w:type="dxa"/>
        </w:trPr>
        <w:tc>
          <w:tcPr>
            <w:tcW w:w="0" w:type="auto"/>
            <w:tcBorders>
              <w:top w:val="single" w:sz="4" w:space="0" w:color="auto"/>
              <w:bottom w:val="single" w:sz="4" w:space="0" w:color="auto"/>
            </w:tcBorders>
            <w:shd w:val="clear" w:color="auto" w:fill="F4B083" w:themeFill="accent2" w:themeFillTint="99"/>
            <w:vAlign w:val="center"/>
            <w:hideMark/>
          </w:tcPr>
          <w:p w14:paraId="502E7D15" w14:textId="77777777" w:rsidR="00CE6F3E" w:rsidRPr="00E41B80" w:rsidRDefault="00CE6F3E" w:rsidP="00067E74">
            <w:pPr>
              <w:rPr>
                <w:rFonts w:ascii="Times New Roman" w:hAnsi="Times New Roman" w:cs="Times New Roman"/>
                <w:b/>
                <w:bCs/>
              </w:rPr>
            </w:pPr>
            <w:r w:rsidRPr="00E41B80">
              <w:rPr>
                <w:rFonts w:ascii="Times New Roman" w:hAnsi="Times New Roman" w:cs="Times New Roman"/>
                <w:b/>
                <w:bCs/>
              </w:rPr>
              <w:t>Author(s)</w:t>
            </w:r>
          </w:p>
        </w:tc>
        <w:tc>
          <w:tcPr>
            <w:tcW w:w="0" w:type="auto"/>
            <w:tcBorders>
              <w:top w:val="single" w:sz="4" w:space="0" w:color="auto"/>
              <w:bottom w:val="single" w:sz="4" w:space="0" w:color="auto"/>
            </w:tcBorders>
            <w:shd w:val="clear" w:color="auto" w:fill="F4B083" w:themeFill="accent2" w:themeFillTint="99"/>
            <w:vAlign w:val="center"/>
            <w:hideMark/>
          </w:tcPr>
          <w:p w14:paraId="22816CAB"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Objectives</w:t>
            </w:r>
          </w:p>
        </w:tc>
        <w:tc>
          <w:tcPr>
            <w:tcW w:w="0" w:type="auto"/>
            <w:tcBorders>
              <w:top w:val="single" w:sz="4" w:space="0" w:color="auto"/>
              <w:bottom w:val="single" w:sz="4" w:space="0" w:color="auto"/>
            </w:tcBorders>
            <w:shd w:val="clear" w:color="auto" w:fill="F4B083" w:themeFill="accent2" w:themeFillTint="99"/>
            <w:vAlign w:val="center"/>
            <w:hideMark/>
          </w:tcPr>
          <w:p w14:paraId="5A328E06"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Methodology</w:t>
            </w:r>
          </w:p>
        </w:tc>
        <w:tc>
          <w:tcPr>
            <w:tcW w:w="0" w:type="auto"/>
            <w:tcBorders>
              <w:top w:val="single" w:sz="4" w:space="0" w:color="auto"/>
              <w:bottom w:val="single" w:sz="4" w:space="0" w:color="auto"/>
            </w:tcBorders>
            <w:shd w:val="clear" w:color="auto" w:fill="F4B083" w:themeFill="accent2" w:themeFillTint="99"/>
            <w:vAlign w:val="center"/>
            <w:hideMark/>
          </w:tcPr>
          <w:p w14:paraId="607F54F8"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Key Findings</w:t>
            </w:r>
          </w:p>
        </w:tc>
        <w:tc>
          <w:tcPr>
            <w:tcW w:w="0" w:type="auto"/>
            <w:tcBorders>
              <w:top w:val="single" w:sz="4" w:space="0" w:color="auto"/>
              <w:bottom w:val="single" w:sz="4" w:space="0" w:color="auto"/>
            </w:tcBorders>
            <w:shd w:val="clear" w:color="auto" w:fill="F4B083" w:themeFill="accent2" w:themeFillTint="99"/>
            <w:vAlign w:val="center"/>
            <w:hideMark/>
          </w:tcPr>
          <w:p w14:paraId="0FEB914D"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Relevance</w:t>
            </w:r>
          </w:p>
        </w:tc>
      </w:tr>
      <w:tr w:rsidR="00CE6F3E" w:rsidRPr="00E41B80" w14:paraId="3FCEFCC5" w14:textId="77777777" w:rsidTr="00F07F9D">
        <w:trPr>
          <w:tblCellSpacing w:w="15" w:type="dxa"/>
        </w:trPr>
        <w:tc>
          <w:tcPr>
            <w:tcW w:w="0" w:type="auto"/>
            <w:tcBorders>
              <w:top w:val="single" w:sz="4" w:space="0" w:color="auto"/>
              <w:bottom w:val="single" w:sz="4" w:space="0" w:color="auto"/>
            </w:tcBorders>
            <w:vAlign w:val="center"/>
            <w:hideMark/>
          </w:tcPr>
          <w:p w14:paraId="27D06EDC" w14:textId="77777777" w:rsidR="00CE6F3E" w:rsidRPr="00E41B80" w:rsidRDefault="00CE6F3E" w:rsidP="00067E74">
            <w:pPr>
              <w:rPr>
                <w:rFonts w:ascii="Times New Roman" w:hAnsi="Times New Roman" w:cs="Times New Roman"/>
              </w:rPr>
            </w:pPr>
            <w:r w:rsidRPr="00E41B80">
              <w:rPr>
                <w:rFonts w:ascii="Times New Roman" w:hAnsi="Times New Roman" w:cs="Times New Roman"/>
              </w:rPr>
              <w:t>Ghana Climate Innovation Centre (2025)</w:t>
            </w:r>
          </w:p>
        </w:tc>
        <w:tc>
          <w:tcPr>
            <w:tcW w:w="0" w:type="auto"/>
            <w:tcBorders>
              <w:top w:val="single" w:sz="4" w:space="0" w:color="auto"/>
              <w:bottom w:val="single" w:sz="4" w:space="0" w:color="auto"/>
            </w:tcBorders>
            <w:vAlign w:val="center"/>
            <w:hideMark/>
          </w:tcPr>
          <w:p w14:paraId="0239C49E"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To assess innovations and policy reforms for waste management in Ghana’s circular economy.</w:t>
            </w:r>
          </w:p>
        </w:tc>
        <w:tc>
          <w:tcPr>
            <w:tcW w:w="0" w:type="auto"/>
            <w:tcBorders>
              <w:top w:val="single" w:sz="4" w:space="0" w:color="auto"/>
              <w:bottom w:val="single" w:sz="4" w:space="0" w:color="auto"/>
            </w:tcBorders>
            <w:vAlign w:val="center"/>
            <w:hideMark/>
          </w:tcPr>
          <w:p w14:paraId="7D389AF1"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Policy paper and applied research.</w:t>
            </w:r>
          </w:p>
        </w:tc>
        <w:tc>
          <w:tcPr>
            <w:tcW w:w="0" w:type="auto"/>
            <w:tcBorders>
              <w:top w:val="single" w:sz="4" w:space="0" w:color="auto"/>
              <w:bottom w:val="single" w:sz="4" w:space="0" w:color="auto"/>
            </w:tcBorders>
            <w:vAlign w:val="center"/>
            <w:hideMark/>
          </w:tcPr>
          <w:p w14:paraId="7F9CFC92"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Identified resource recovery projects requiring technical expertise, innovation, and social acceptance.</w:t>
            </w:r>
          </w:p>
        </w:tc>
        <w:tc>
          <w:tcPr>
            <w:tcW w:w="0" w:type="auto"/>
            <w:tcBorders>
              <w:top w:val="single" w:sz="4" w:space="0" w:color="auto"/>
              <w:bottom w:val="single" w:sz="4" w:space="0" w:color="auto"/>
            </w:tcBorders>
            <w:vAlign w:val="center"/>
            <w:hideMark/>
          </w:tcPr>
          <w:p w14:paraId="449268E5"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Supports collaborative governance by linking innovation and multi-stakeholder engagement.</w:t>
            </w:r>
          </w:p>
        </w:tc>
      </w:tr>
      <w:tr w:rsidR="00CE6F3E" w:rsidRPr="00E41B80" w14:paraId="6EA1D49D" w14:textId="77777777" w:rsidTr="00F07F9D">
        <w:trPr>
          <w:tblCellSpacing w:w="15" w:type="dxa"/>
        </w:trPr>
        <w:tc>
          <w:tcPr>
            <w:tcW w:w="0" w:type="auto"/>
            <w:tcBorders>
              <w:top w:val="single" w:sz="4" w:space="0" w:color="auto"/>
              <w:bottom w:val="single" w:sz="4" w:space="0" w:color="auto"/>
            </w:tcBorders>
            <w:vAlign w:val="center"/>
            <w:hideMark/>
          </w:tcPr>
          <w:p w14:paraId="02C3FAC5" w14:textId="77777777" w:rsidR="00CE6F3E" w:rsidRPr="00E41B80" w:rsidRDefault="00CE6F3E" w:rsidP="00067E74">
            <w:pPr>
              <w:rPr>
                <w:rFonts w:ascii="Times New Roman" w:hAnsi="Times New Roman" w:cs="Times New Roman"/>
              </w:rPr>
            </w:pPr>
            <w:r w:rsidRPr="00E41B80">
              <w:rPr>
                <w:rFonts w:ascii="Times New Roman" w:hAnsi="Times New Roman" w:cs="Times New Roman"/>
              </w:rPr>
              <w:t>International Water Management Institute (IWMI) (2024)</w:t>
            </w:r>
          </w:p>
        </w:tc>
        <w:tc>
          <w:tcPr>
            <w:tcW w:w="0" w:type="auto"/>
            <w:tcBorders>
              <w:top w:val="single" w:sz="4" w:space="0" w:color="auto"/>
              <w:bottom w:val="single" w:sz="4" w:space="0" w:color="auto"/>
            </w:tcBorders>
            <w:vAlign w:val="center"/>
            <w:hideMark/>
          </w:tcPr>
          <w:p w14:paraId="33780BF1"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 xml:space="preserve">To establish a Circular Bio-Economy Innovation Hub for waste </w:t>
            </w:r>
            <w:proofErr w:type="spellStart"/>
            <w:r w:rsidRPr="00E41B80">
              <w:rPr>
                <w:rFonts w:ascii="Times New Roman" w:hAnsi="Times New Roman" w:cs="Times New Roman"/>
              </w:rPr>
              <w:t>valorization</w:t>
            </w:r>
            <w:proofErr w:type="spellEnd"/>
            <w:r w:rsidRPr="00E41B80">
              <w:rPr>
                <w:rFonts w:ascii="Times New Roman" w:hAnsi="Times New Roman" w:cs="Times New Roman"/>
              </w:rPr>
              <w:t xml:space="preserve"> and nutrient recovery.</w:t>
            </w:r>
          </w:p>
        </w:tc>
        <w:tc>
          <w:tcPr>
            <w:tcW w:w="0" w:type="auto"/>
            <w:tcBorders>
              <w:top w:val="single" w:sz="4" w:space="0" w:color="auto"/>
              <w:bottom w:val="single" w:sz="4" w:space="0" w:color="auto"/>
            </w:tcBorders>
            <w:vAlign w:val="center"/>
            <w:hideMark/>
          </w:tcPr>
          <w:p w14:paraId="1F6EF51F"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Institutional initiative/case study.</w:t>
            </w:r>
          </w:p>
        </w:tc>
        <w:tc>
          <w:tcPr>
            <w:tcW w:w="0" w:type="auto"/>
            <w:tcBorders>
              <w:top w:val="single" w:sz="4" w:space="0" w:color="auto"/>
              <w:bottom w:val="single" w:sz="4" w:space="0" w:color="auto"/>
            </w:tcBorders>
            <w:vAlign w:val="center"/>
            <w:hideMark/>
          </w:tcPr>
          <w:p w14:paraId="7EBE6533"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Demonstrated success of co-ownership models involving ministries, research institutions, and businesses.</w:t>
            </w:r>
          </w:p>
        </w:tc>
        <w:tc>
          <w:tcPr>
            <w:tcW w:w="0" w:type="auto"/>
            <w:tcBorders>
              <w:top w:val="single" w:sz="4" w:space="0" w:color="auto"/>
              <w:bottom w:val="single" w:sz="4" w:space="0" w:color="auto"/>
            </w:tcBorders>
            <w:vAlign w:val="center"/>
            <w:hideMark/>
          </w:tcPr>
          <w:p w14:paraId="693D458B"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Illustrates collaborative governance in practice through capacity building.</w:t>
            </w:r>
          </w:p>
        </w:tc>
      </w:tr>
      <w:tr w:rsidR="00CE6F3E" w:rsidRPr="00E41B80" w14:paraId="6D09723F" w14:textId="77777777" w:rsidTr="00F07F9D">
        <w:trPr>
          <w:tblCellSpacing w:w="15" w:type="dxa"/>
        </w:trPr>
        <w:tc>
          <w:tcPr>
            <w:tcW w:w="0" w:type="auto"/>
            <w:tcBorders>
              <w:top w:val="single" w:sz="4" w:space="0" w:color="auto"/>
              <w:bottom w:val="single" w:sz="4" w:space="0" w:color="auto"/>
            </w:tcBorders>
            <w:vAlign w:val="center"/>
            <w:hideMark/>
          </w:tcPr>
          <w:p w14:paraId="5166732F" w14:textId="77777777" w:rsidR="00CE6F3E" w:rsidRPr="00E41B80" w:rsidRDefault="00CE6F3E" w:rsidP="00067E74">
            <w:pPr>
              <w:rPr>
                <w:rFonts w:ascii="Times New Roman" w:hAnsi="Times New Roman" w:cs="Times New Roman"/>
              </w:rPr>
            </w:pPr>
            <w:r w:rsidRPr="00E41B80">
              <w:rPr>
                <w:rFonts w:ascii="Times New Roman" w:hAnsi="Times New Roman" w:cs="Times New Roman"/>
              </w:rPr>
              <w:t>Waste Recovery Platform (2022)</w:t>
            </w:r>
          </w:p>
        </w:tc>
        <w:tc>
          <w:tcPr>
            <w:tcW w:w="0" w:type="auto"/>
            <w:tcBorders>
              <w:top w:val="single" w:sz="4" w:space="0" w:color="auto"/>
              <w:bottom w:val="single" w:sz="4" w:space="0" w:color="auto"/>
            </w:tcBorders>
            <w:vAlign w:val="center"/>
            <w:hideMark/>
          </w:tcPr>
          <w:p w14:paraId="625DBE7E"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To provide an overview of Ghana’s waste recovery platform.</w:t>
            </w:r>
          </w:p>
        </w:tc>
        <w:tc>
          <w:tcPr>
            <w:tcW w:w="0" w:type="auto"/>
            <w:tcBorders>
              <w:top w:val="single" w:sz="4" w:space="0" w:color="auto"/>
              <w:bottom w:val="single" w:sz="4" w:space="0" w:color="auto"/>
            </w:tcBorders>
            <w:vAlign w:val="center"/>
            <w:hideMark/>
          </w:tcPr>
          <w:p w14:paraId="4161E19B"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Platform description and institutional report.</w:t>
            </w:r>
          </w:p>
        </w:tc>
        <w:tc>
          <w:tcPr>
            <w:tcW w:w="0" w:type="auto"/>
            <w:tcBorders>
              <w:top w:val="single" w:sz="4" w:space="0" w:color="auto"/>
              <w:bottom w:val="single" w:sz="4" w:space="0" w:color="auto"/>
            </w:tcBorders>
            <w:vAlign w:val="center"/>
            <w:hideMark/>
          </w:tcPr>
          <w:p w14:paraId="6318DE7C"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Fosters dialogue and business linkages across multiple sectors, supporting small enterprises.</w:t>
            </w:r>
          </w:p>
        </w:tc>
        <w:tc>
          <w:tcPr>
            <w:tcW w:w="0" w:type="auto"/>
            <w:tcBorders>
              <w:top w:val="single" w:sz="4" w:space="0" w:color="auto"/>
              <w:bottom w:val="single" w:sz="4" w:space="0" w:color="auto"/>
            </w:tcBorders>
            <w:vAlign w:val="center"/>
            <w:hideMark/>
          </w:tcPr>
          <w:p w14:paraId="4C1C1975" w14:textId="77777777" w:rsidR="00CE6F3E" w:rsidRPr="00E41B80" w:rsidRDefault="00A14FBA" w:rsidP="00067E74">
            <w:pPr>
              <w:jc w:val="center"/>
              <w:rPr>
                <w:rFonts w:ascii="Times New Roman" w:hAnsi="Times New Roman" w:cs="Times New Roman"/>
              </w:rPr>
            </w:pPr>
            <w:r w:rsidRPr="00E41B80">
              <w:rPr>
                <w:rFonts w:ascii="Times New Roman" w:hAnsi="Times New Roman" w:cs="Times New Roman"/>
              </w:rPr>
              <w:t>A key</w:t>
            </w:r>
            <w:r w:rsidR="00CE6F3E" w:rsidRPr="00E41B80">
              <w:rPr>
                <w:rFonts w:ascii="Times New Roman" w:hAnsi="Times New Roman" w:cs="Times New Roman"/>
              </w:rPr>
              <w:t xml:space="preserve"> example of collaborative and multi-stakeholder governance in Ghana.</w:t>
            </w:r>
          </w:p>
        </w:tc>
      </w:tr>
      <w:tr w:rsidR="00CE6F3E" w:rsidRPr="00E41B80" w14:paraId="7F30B3F1" w14:textId="77777777" w:rsidTr="00F07F9D">
        <w:trPr>
          <w:tblCellSpacing w:w="15" w:type="dxa"/>
        </w:trPr>
        <w:tc>
          <w:tcPr>
            <w:tcW w:w="0" w:type="auto"/>
            <w:tcBorders>
              <w:top w:val="single" w:sz="4" w:space="0" w:color="auto"/>
              <w:bottom w:val="single" w:sz="4" w:space="0" w:color="auto"/>
            </w:tcBorders>
            <w:vAlign w:val="center"/>
            <w:hideMark/>
          </w:tcPr>
          <w:p w14:paraId="1E70C570" w14:textId="77777777" w:rsidR="00CE6F3E" w:rsidRPr="00E41B80" w:rsidRDefault="00CE6F3E" w:rsidP="00067E74">
            <w:pPr>
              <w:rPr>
                <w:rFonts w:ascii="Times New Roman" w:hAnsi="Times New Roman" w:cs="Times New Roman"/>
              </w:rPr>
            </w:pPr>
            <w:r w:rsidRPr="00E41B80">
              <w:rPr>
                <w:rFonts w:ascii="Times New Roman" w:hAnsi="Times New Roman" w:cs="Times New Roman"/>
              </w:rPr>
              <w:t>Wan, C. K. (2025)</w:t>
            </w:r>
          </w:p>
        </w:tc>
        <w:tc>
          <w:tcPr>
            <w:tcW w:w="0" w:type="auto"/>
            <w:tcBorders>
              <w:top w:val="single" w:sz="4" w:space="0" w:color="auto"/>
              <w:bottom w:val="single" w:sz="4" w:space="0" w:color="auto"/>
            </w:tcBorders>
            <w:vAlign w:val="center"/>
            <w:hideMark/>
          </w:tcPr>
          <w:p w14:paraId="6753188D"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To explore collaborative platforms as stakeholder governance models in circular economy ecosystems.</w:t>
            </w:r>
          </w:p>
        </w:tc>
        <w:tc>
          <w:tcPr>
            <w:tcW w:w="0" w:type="auto"/>
            <w:tcBorders>
              <w:top w:val="single" w:sz="4" w:space="0" w:color="auto"/>
              <w:bottom w:val="single" w:sz="4" w:space="0" w:color="auto"/>
            </w:tcBorders>
            <w:vAlign w:val="center"/>
            <w:hideMark/>
          </w:tcPr>
          <w:p w14:paraId="79E1C245"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 xml:space="preserve">Conceptual and case study analysis in </w:t>
            </w:r>
            <w:r w:rsidR="00A14FBA" w:rsidRPr="00E41B80">
              <w:rPr>
                <w:rFonts w:ascii="Times New Roman" w:hAnsi="Times New Roman" w:cs="Times New Roman"/>
              </w:rPr>
              <w:t xml:space="preserve">an </w:t>
            </w:r>
            <w:r w:rsidRPr="00E41B80">
              <w:rPr>
                <w:rFonts w:ascii="Times New Roman" w:hAnsi="Times New Roman" w:cs="Times New Roman"/>
              </w:rPr>
              <w:t>edited book.</w:t>
            </w:r>
          </w:p>
        </w:tc>
        <w:tc>
          <w:tcPr>
            <w:tcW w:w="0" w:type="auto"/>
            <w:tcBorders>
              <w:top w:val="single" w:sz="4" w:space="0" w:color="auto"/>
              <w:bottom w:val="single" w:sz="4" w:space="0" w:color="auto"/>
            </w:tcBorders>
            <w:vAlign w:val="center"/>
            <w:hideMark/>
          </w:tcPr>
          <w:p w14:paraId="64E6C43B"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Finds that stakeholder-inclusive governance enhances knowledge sharing and innovation.</w:t>
            </w:r>
          </w:p>
        </w:tc>
        <w:tc>
          <w:tcPr>
            <w:tcW w:w="0" w:type="auto"/>
            <w:tcBorders>
              <w:top w:val="single" w:sz="4" w:space="0" w:color="auto"/>
              <w:bottom w:val="single" w:sz="4" w:space="0" w:color="auto"/>
            </w:tcBorders>
            <w:vAlign w:val="center"/>
            <w:hideMark/>
          </w:tcPr>
          <w:p w14:paraId="0402EC52"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 xml:space="preserve">Provides </w:t>
            </w:r>
            <w:r w:rsidR="00A14FBA" w:rsidRPr="00E41B80">
              <w:rPr>
                <w:rFonts w:ascii="Times New Roman" w:hAnsi="Times New Roman" w:cs="Times New Roman"/>
              </w:rPr>
              <w:t xml:space="preserve">a </w:t>
            </w:r>
            <w:r w:rsidRPr="00E41B80">
              <w:rPr>
                <w:rFonts w:ascii="Times New Roman" w:hAnsi="Times New Roman" w:cs="Times New Roman"/>
              </w:rPr>
              <w:t>theoretical foundation for collaborative models relevant to Ghana’s context.</w:t>
            </w:r>
          </w:p>
        </w:tc>
      </w:tr>
    </w:tbl>
    <w:p w14:paraId="0A742090" w14:textId="77777777" w:rsidR="00067E74" w:rsidRPr="00E41B80" w:rsidRDefault="00067E74" w:rsidP="00067E74">
      <w:pPr>
        <w:jc w:val="center"/>
        <w:rPr>
          <w:rFonts w:ascii="Times New Roman" w:hAnsi="Times New Roman" w:cs="Times New Roman"/>
        </w:rPr>
      </w:pPr>
      <w:r w:rsidRPr="00E41B80">
        <w:rPr>
          <w:rFonts w:ascii="Times New Roman" w:hAnsi="Times New Roman" w:cs="Times New Roman"/>
        </w:rPr>
        <w:t>Source: Authors’ Construct</w:t>
      </w:r>
    </w:p>
    <w:p w14:paraId="2411D91B" w14:textId="77777777" w:rsidR="00CE6F3E" w:rsidRPr="00E41B80" w:rsidRDefault="00CE6F3E" w:rsidP="00CE6F3E">
      <w:pPr>
        <w:spacing w:before="100" w:beforeAutospacing="1" w:after="100" w:afterAutospacing="1" w:line="240" w:lineRule="auto"/>
        <w:jc w:val="both"/>
        <w:rPr>
          <w:rFonts w:ascii="Times New Roman" w:eastAsia="Times New Roman" w:hAnsi="Times New Roman" w:cs="Times New Roman"/>
          <w:lang w:val="en-US"/>
        </w:rPr>
      </w:pPr>
      <w:r w:rsidRPr="00E41B80">
        <w:rPr>
          <w:rFonts w:ascii="Times New Roman" w:eastAsia="Times New Roman" w:hAnsi="Times New Roman" w:cs="Times New Roman"/>
          <w:lang w:val="en-US"/>
        </w:rPr>
        <w:t>There is strong agreement among scholars and institutions that multi-stakeholder collaboration enhances innovation and knowledge sharing in circular economy governance. Wan (2025) provides a theoretical foundation for collaborative governance, showing that such models promote inclusivity and innovation. This is confirmed by evidence from the Circular Bio-Economy Innovation Hub established by the International Water Management Institute (2024) and the Ghana Waste Recovery Platform (2022). Both initiatives demonstrate how partnerships among ministries, research institutions, businesses, and civil society create capacity for resource recovery and recycling.</w:t>
      </w:r>
      <w:r w:rsidR="00067E74" w:rsidRPr="00E41B80">
        <w:rPr>
          <w:rFonts w:ascii="Times New Roman" w:eastAsia="Times New Roman" w:hAnsi="Times New Roman" w:cs="Times New Roman"/>
          <w:lang w:val="en-US"/>
        </w:rPr>
        <w:t xml:space="preserve"> </w:t>
      </w:r>
      <w:r w:rsidRPr="00E41B80">
        <w:rPr>
          <w:rFonts w:ascii="Times New Roman" w:eastAsia="Times New Roman" w:hAnsi="Times New Roman" w:cs="Times New Roman"/>
          <w:lang w:val="en-US"/>
        </w:rPr>
        <w:t xml:space="preserve">The Ghana Climate Innovation Centre (2025) adds that resource recovery projects in Ghana require not only technical expertise but also community acceptance, reinforcing the case for multi-stakeholder collaboration. However, Wan (2025) also notes that sustaining partnerships is difficult when the interests of diverse actors are not easily aligned. Thus, while collaboration is widely celebrated as necessary for effective governance, its long-term stability is </w:t>
      </w:r>
      <w:r w:rsidRPr="00E41B80">
        <w:rPr>
          <w:rFonts w:ascii="Times New Roman" w:eastAsia="Times New Roman" w:hAnsi="Times New Roman" w:cs="Times New Roman"/>
          <w:lang w:val="en-US"/>
        </w:rPr>
        <w:lastRenderedPageBreak/>
        <w:t xml:space="preserve">questioned. This highlights the </w:t>
      </w:r>
      <w:r w:rsidRPr="00E41B80">
        <w:rPr>
          <w:rFonts w:ascii="Times New Roman" w:eastAsia="Times New Roman" w:hAnsi="Times New Roman" w:cs="Times New Roman"/>
          <w:bCs/>
          <w:lang w:val="en-US"/>
        </w:rPr>
        <w:t>confirmation of collaboration as a strength</w:t>
      </w:r>
      <w:r w:rsidRPr="00E41B80">
        <w:rPr>
          <w:rFonts w:ascii="Times New Roman" w:eastAsia="Times New Roman" w:hAnsi="Times New Roman" w:cs="Times New Roman"/>
          <w:lang w:val="en-US"/>
        </w:rPr>
        <w:t xml:space="preserve"> but also the </w:t>
      </w:r>
      <w:r w:rsidRPr="00E41B80">
        <w:rPr>
          <w:rFonts w:ascii="Times New Roman" w:eastAsia="Times New Roman" w:hAnsi="Times New Roman" w:cs="Times New Roman"/>
          <w:bCs/>
          <w:lang w:val="en-US"/>
        </w:rPr>
        <w:t>challenge of balancing diverse stakeholder priorities</w:t>
      </w:r>
      <w:r w:rsidRPr="00E41B80">
        <w:rPr>
          <w:rFonts w:ascii="Times New Roman" w:eastAsia="Times New Roman" w:hAnsi="Times New Roman" w:cs="Times New Roman"/>
          <w:lang w:val="en-US"/>
        </w:rPr>
        <w:t>.</w:t>
      </w:r>
    </w:p>
    <w:p w14:paraId="5BC29B67" w14:textId="77777777" w:rsidR="00CE6F3E" w:rsidRPr="00E41B80" w:rsidRDefault="00CE6F3E" w:rsidP="00067E74">
      <w:pPr>
        <w:jc w:val="center"/>
        <w:rPr>
          <w:rFonts w:ascii="Times New Roman" w:hAnsi="Times New Roman" w:cs="Times New Roman"/>
          <w:b/>
        </w:rPr>
      </w:pPr>
      <w:r w:rsidRPr="00E41B80">
        <w:rPr>
          <w:rFonts w:ascii="Times New Roman" w:hAnsi="Times New Roman" w:cs="Times New Roman"/>
          <w:b/>
        </w:rPr>
        <w:t>Table 3: Public-Private Partnerships and Hybrid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9"/>
        <w:gridCol w:w="1993"/>
        <w:gridCol w:w="1679"/>
        <w:gridCol w:w="2332"/>
        <w:gridCol w:w="2117"/>
      </w:tblGrid>
      <w:tr w:rsidR="00AC2D0A" w:rsidRPr="00E41B80" w14:paraId="1CEF390E" w14:textId="77777777" w:rsidTr="00CE10E5">
        <w:trPr>
          <w:tblHeader/>
          <w:tblCellSpacing w:w="15" w:type="dxa"/>
        </w:trPr>
        <w:tc>
          <w:tcPr>
            <w:tcW w:w="0" w:type="auto"/>
            <w:tcBorders>
              <w:top w:val="single" w:sz="4" w:space="0" w:color="auto"/>
              <w:bottom w:val="single" w:sz="4" w:space="0" w:color="auto"/>
            </w:tcBorders>
            <w:shd w:val="clear" w:color="auto" w:fill="F4B083" w:themeFill="accent2" w:themeFillTint="99"/>
            <w:vAlign w:val="center"/>
            <w:hideMark/>
          </w:tcPr>
          <w:p w14:paraId="53D099E8" w14:textId="77777777" w:rsidR="00CE6F3E" w:rsidRPr="00E41B80" w:rsidRDefault="00CE6F3E" w:rsidP="00067E74">
            <w:pPr>
              <w:rPr>
                <w:rFonts w:ascii="Times New Roman" w:hAnsi="Times New Roman" w:cs="Times New Roman"/>
                <w:b/>
                <w:bCs/>
              </w:rPr>
            </w:pPr>
            <w:r w:rsidRPr="00E41B80">
              <w:rPr>
                <w:rFonts w:ascii="Times New Roman" w:hAnsi="Times New Roman" w:cs="Times New Roman"/>
                <w:b/>
                <w:bCs/>
              </w:rPr>
              <w:t>Author(s)</w:t>
            </w:r>
          </w:p>
        </w:tc>
        <w:tc>
          <w:tcPr>
            <w:tcW w:w="0" w:type="auto"/>
            <w:tcBorders>
              <w:top w:val="single" w:sz="4" w:space="0" w:color="auto"/>
              <w:bottom w:val="single" w:sz="4" w:space="0" w:color="auto"/>
            </w:tcBorders>
            <w:shd w:val="clear" w:color="auto" w:fill="F4B083" w:themeFill="accent2" w:themeFillTint="99"/>
            <w:vAlign w:val="center"/>
            <w:hideMark/>
          </w:tcPr>
          <w:p w14:paraId="04AD2ACF"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Objectives</w:t>
            </w:r>
          </w:p>
        </w:tc>
        <w:tc>
          <w:tcPr>
            <w:tcW w:w="0" w:type="auto"/>
            <w:tcBorders>
              <w:top w:val="single" w:sz="4" w:space="0" w:color="auto"/>
              <w:bottom w:val="single" w:sz="4" w:space="0" w:color="auto"/>
            </w:tcBorders>
            <w:shd w:val="clear" w:color="auto" w:fill="F4B083" w:themeFill="accent2" w:themeFillTint="99"/>
            <w:vAlign w:val="center"/>
            <w:hideMark/>
          </w:tcPr>
          <w:p w14:paraId="024FEC4B"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Methodology</w:t>
            </w:r>
          </w:p>
        </w:tc>
        <w:tc>
          <w:tcPr>
            <w:tcW w:w="0" w:type="auto"/>
            <w:tcBorders>
              <w:top w:val="single" w:sz="4" w:space="0" w:color="auto"/>
              <w:bottom w:val="single" w:sz="4" w:space="0" w:color="auto"/>
            </w:tcBorders>
            <w:shd w:val="clear" w:color="auto" w:fill="F4B083" w:themeFill="accent2" w:themeFillTint="99"/>
            <w:vAlign w:val="center"/>
            <w:hideMark/>
          </w:tcPr>
          <w:p w14:paraId="4F28A959"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Key Findings</w:t>
            </w:r>
          </w:p>
        </w:tc>
        <w:tc>
          <w:tcPr>
            <w:tcW w:w="0" w:type="auto"/>
            <w:tcBorders>
              <w:top w:val="single" w:sz="4" w:space="0" w:color="auto"/>
              <w:bottom w:val="single" w:sz="4" w:space="0" w:color="auto"/>
            </w:tcBorders>
            <w:shd w:val="clear" w:color="auto" w:fill="F4B083" w:themeFill="accent2" w:themeFillTint="99"/>
            <w:vAlign w:val="center"/>
            <w:hideMark/>
          </w:tcPr>
          <w:p w14:paraId="65F5ACB3"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Relevance</w:t>
            </w:r>
          </w:p>
        </w:tc>
      </w:tr>
      <w:tr w:rsidR="00AC2D0A" w:rsidRPr="00E41B80" w14:paraId="4D3A8770" w14:textId="77777777" w:rsidTr="00AC2D0A">
        <w:trPr>
          <w:tblCellSpacing w:w="15" w:type="dxa"/>
        </w:trPr>
        <w:tc>
          <w:tcPr>
            <w:tcW w:w="0" w:type="auto"/>
            <w:tcBorders>
              <w:top w:val="single" w:sz="4" w:space="0" w:color="auto"/>
              <w:bottom w:val="single" w:sz="4" w:space="0" w:color="auto"/>
            </w:tcBorders>
            <w:vAlign w:val="center"/>
            <w:hideMark/>
          </w:tcPr>
          <w:p w14:paraId="206C8263" w14:textId="77777777" w:rsidR="00CE6F3E" w:rsidRPr="00E41B80" w:rsidRDefault="00CE6F3E" w:rsidP="00067E74">
            <w:pPr>
              <w:rPr>
                <w:rFonts w:ascii="Times New Roman" w:hAnsi="Times New Roman" w:cs="Times New Roman"/>
              </w:rPr>
            </w:pPr>
            <w:proofErr w:type="spellStart"/>
            <w:r w:rsidRPr="00E41B80">
              <w:rPr>
                <w:rFonts w:ascii="Times New Roman" w:hAnsi="Times New Roman" w:cs="Times New Roman"/>
              </w:rPr>
              <w:t>Alidu</w:t>
            </w:r>
            <w:proofErr w:type="spellEnd"/>
            <w:r w:rsidRPr="00E41B80">
              <w:rPr>
                <w:rFonts w:ascii="Times New Roman" w:hAnsi="Times New Roman" w:cs="Times New Roman"/>
              </w:rPr>
              <w:t>, S. (2018)</w:t>
            </w:r>
          </w:p>
        </w:tc>
        <w:tc>
          <w:tcPr>
            <w:tcW w:w="0" w:type="auto"/>
            <w:tcBorders>
              <w:top w:val="single" w:sz="4" w:space="0" w:color="auto"/>
              <w:bottom w:val="single" w:sz="4" w:space="0" w:color="auto"/>
            </w:tcBorders>
            <w:vAlign w:val="center"/>
            <w:hideMark/>
          </w:tcPr>
          <w:p w14:paraId="7DD2E18F"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To examine the efficacy of Public-Private Partnerships (PPPs) in Ghana.</w:t>
            </w:r>
          </w:p>
        </w:tc>
        <w:tc>
          <w:tcPr>
            <w:tcW w:w="0" w:type="auto"/>
            <w:tcBorders>
              <w:top w:val="single" w:sz="4" w:space="0" w:color="auto"/>
              <w:bottom w:val="single" w:sz="4" w:space="0" w:color="auto"/>
            </w:tcBorders>
            <w:vAlign w:val="center"/>
            <w:hideMark/>
          </w:tcPr>
          <w:p w14:paraId="1E2423BC"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Policy and institutional analysis.</w:t>
            </w:r>
          </w:p>
        </w:tc>
        <w:tc>
          <w:tcPr>
            <w:tcW w:w="0" w:type="auto"/>
            <w:tcBorders>
              <w:top w:val="single" w:sz="4" w:space="0" w:color="auto"/>
              <w:bottom w:val="single" w:sz="4" w:space="0" w:color="auto"/>
            </w:tcBorders>
            <w:vAlign w:val="center"/>
            <w:hideMark/>
          </w:tcPr>
          <w:p w14:paraId="6B7BB5A4"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Found that PPPs are often politically driven and may fail to achieve efficiency if not transparently managed.</w:t>
            </w:r>
          </w:p>
        </w:tc>
        <w:tc>
          <w:tcPr>
            <w:tcW w:w="0" w:type="auto"/>
            <w:tcBorders>
              <w:top w:val="single" w:sz="4" w:space="0" w:color="auto"/>
              <w:bottom w:val="single" w:sz="4" w:space="0" w:color="auto"/>
            </w:tcBorders>
            <w:vAlign w:val="center"/>
            <w:hideMark/>
          </w:tcPr>
          <w:p w14:paraId="03F44653"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Provides context for understanding the limitations of PPP governance in circular economy projects.</w:t>
            </w:r>
          </w:p>
        </w:tc>
      </w:tr>
      <w:tr w:rsidR="00AC2D0A" w:rsidRPr="00E41B80" w14:paraId="5E7FDBD5" w14:textId="77777777" w:rsidTr="00AC2D0A">
        <w:trPr>
          <w:tblCellSpacing w:w="15" w:type="dxa"/>
        </w:trPr>
        <w:tc>
          <w:tcPr>
            <w:tcW w:w="0" w:type="auto"/>
            <w:tcBorders>
              <w:top w:val="single" w:sz="4" w:space="0" w:color="auto"/>
              <w:bottom w:val="single" w:sz="4" w:space="0" w:color="auto"/>
            </w:tcBorders>
            <w:vAlign w:val="center"/>
            <w:hideMark/>
          </w:tcPr>
          <w:p w14:paraId="596AB0BF" w14:textId="77777777" w:rsidR="00CE6F3E" w:rsidRPr="00E41B80" w:rsidRDefault="00CE6F3E" w:rsidP="00067E74">
            <w:pPr>
              <w:rPr>
                <w:rFonts w:ascii="Times New Roman" w:hAnsi="Times New Roman" w:cs="Times New Roman"/>
              </w:rPr>
            </w:pPr>
            <w:r w:rsidRPr="00E41B80">
              <w:rPr>
                <w:rFonts w:ascii="Times New Roman" w:hAnsi="Times New Roman" w:cs="Times New Roman"/>
              </w:rPr>
              <w:t>Citi Newsroom (2025)</w:t>
            </w:r>
          </w:p>
        </w:tc>
        <w:tc>
          <w:tcPr>
            <w:tcW w:w="0" w:type="auto"/>
            <w:tcBorders>
              <w:top w:val="single" w:sz="4" w:space="0" w:color="auto"/>
              <w:bottom w:val="single" w:sz="4" w:space="0" w:color="auto"/>
            </w:tcBorders>
            <w:vAlign w:val="center"/>
            <w:hideMark/>
          </w:tcPr>
          <w:p w14:paraId="6D0B8027"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To report on the outcomes of the Go Circular Project in Ghana.</w:t>
            </w:r>
          </w:p>
        </w:tc>
        <w:tc>
          <w:tcPr>
            <w:tcW w:w="0" w:type="auto"/>
            <w:tcBorders>
              <w:top w:val="single" w:sz="4" w:space="0" w:color="auto"/>
              <w:bottom w:val="single" w:sz="4" w:space="0" w:color="auto"/>
            </w:tcBorders>
            <w:vAlign w:val="center"/>
            <w:hideMark/>
          </w:tcPr>
          <w:p w14:paraId="6D40402A"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Development partner project review/report.</w:t>
            </w:r>
          </w:p>
        </w:tc>
        <w:tc>
          <w:tcPr>
            <w:tcW w:w="0" w:type="auto"/>
            <w:tcBorders>
              <w:top w:val="single" w:sz="4" w:space="0" w:color="auto"/>
              <w:bottom w:val="single" w:sz="4" w:space="0" w:color="auto"/>
            </w:tcBorders>
            <w:vAlign w:val="center"/>
            <w:hideMark/>
          </w:tcPr>
          <w:p w14:paraId="54EA8FF4"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Demonstrated how international collaborations foster hybrid governance by bringing together state, private, and civil actors.</w:t>
            </w:r>
          </w:p>
        </w:tc>
        <w:tc>
          <w:tcPr>
            <w:tcW w:w="0" w:type="auto"/>
            <w:tcBorders>
              <w:top w:val="single" w:sz="4" w:space="0" w:color="auto"/>
              <w:bottom w:val="single" w:sz="4" w:space="0" w:color="auto"/>
            </w:tcBorders>
            <w:vAlign w:val="center"/>
            <w:hideMark/>
          </w:tcPr>
          <w:p w14:paraId="45A177DB"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Illustrates the potential of hybrid governance in scaling circular economy practices.</w:t>
            </w:r>
          </w:p>
        </w:tc>
      </w:tr>
      <w:tr w:rsidR="00AC2D0A" w:rsidRPr="00E41B80" w14:paraId="0219522C" w14:textId="77777777" w:rsidTr="00AC2D0A">
        <w:trPr>
          <w:tblCellSpacing w:w="15" w:type="dxa"/>
        </w:trPr>
        <w:tc>
          <w:tcPr>
            <w:tcW w:w="0" w:type="auto"/>
            <w:tcBorders>
              <w:top w:val="single" w:sz="4" w:space="0" w:color="auto"/>
              <w:bottom w:val="single" w:sz="4" w:space="0" w:color="auto"/>
            </w:tcBorders>
            <w:vAlign w:val="center"/>
            <w:hideMark/>
          </w:tcPr>
          <w:p w14:paraId="6A215AF6" w14:textId="77777777" w:rsidR="00CE6F3E" w:rsidRPr="00E41B80" w:rsidRDefault="00AC2D0A" w:rsidP="00067E74">
            <w:pPr>
              <w:rPr>
                <w:rFonts w:ascii="Times New Roman" w:hAnsi="Times New Roman" w:cs="Times New Roman"/>
              </w:rPr>
            </w:pPr>
            <w:r w:rsidRPr="00E41B80">
              <w:rPr>
                <w:rFonts w:ascii="Times New Roman" w:hAnsi="Times New Roman" w:cs="Times New Roman"/>
              </w:rPr>
              <w:t>Gyamfi et al.</w:t>
            </w:r>
            <w:r w:rsidR="00CE6F3E" w:rsidRPr="00E41B80">
              <w:rPr>
                <w:rFonts w:ascii="Times New Roman" w:hAnsi="Times New Roman" w:cs="Times New Roman"/>
              </w:rPr>
              <w:t xml:space="preserve"> (2024)</w:t>
            </w:r>
          </w:p>
        </w:tc>
        <w:tc>
          <w:tcPr>
            <w:tcW w:w="0" w:type="auto"/>
            <w:tcBorders>
              <w:top w:val="single" w:sz="4" w:space="0" w:color="auto"/>
              <w:bottom w:val="single" w:sz="4" w:space="0" w:color="auto"/>
            </w:tcBorders>
            <w:vAlign w:val="center"/>
            <w:hideMark/>
          </w:tcPr>
          <w:p w14:paraId="1CAB6E61"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To assess hybrid waste-to-energy solutions within a circular economy framework in Ghana.</w:t>
            </w:r>
          </w:p>
        </w:tc>
        <w:tc>
          <w:tcPr>
            <w:tcW w:w="0" w:type="auto"/>
            <w:tcBorders>
              <w:top w:val="single" w:sz="4" w:space="0" w:color="auto"/>
              <w:bottom w:val="single" w:sz="4" w:space="0" w:color="auto"/>
            </w:tcBorders>
            <w:vAlign w:val="center"/>
            <w:hideMark/>
          </w:tcPr>
          <w:p w14:paraId="77B63F00"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Case study analysis of Accra waste-to-energy projects.</w:t>
            </w:r>
          </w:p>
        </w:tc>
        <w:tc>
          <w:tcPr>
            <w:tcW w:w="0" w:type="auto"/>
            <w:tcBorders>
              <w:top w:val="single" w:sz="4" w:space="0" w:color="auto"/>
              <w:bottom w:val="single" w:sz="4" w:space="0" w:color="auto"/>
            </w:tcBorders>
            <w:vAlign w:val="center"/>
            <w:hideMark/>
          </w:tcPr>
          <w:p w14:paraId="259BD2F2"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Showed how municipal waste can be converted into compost and energy through hybrid models.</w:t>
            </w:r>
          </w:p>
        </w:tc>
        <w:tc>
          <w:tcPr>
            <w:tcW w:w="0" w:type="auto"/>
            <w:tcBorders>
              <w:top w:val="single" w:sz="4" w:space="0" w:color="auto"/>
              <w:bottom w:val="single" w:sz="4" w:space="0" w:color="auto"/>
            </w:tcBorders>
            <w:vAlign w:val="center"/>
            <w:hideMark/>
          </w:tcPr>
          <w:p w14:paraId="65F84FC6"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Provides empirical evidence for the viability of hybrid PPP projects in Ghana.</w:t>
            </w:r>
          </w:p>
        </w:tc>
      </w:tr>
      <w:tr w:rsidR="00AC2D0A" w:rsidRPr="00E41B80" w14:paraId="49C425F7" w14:textId="77777777" w:rsidTr="00AC2D0A">
        <w:trPr>
          <w:tblCellSpacing w:w="15" w:type="dxa"/>
        </w:trPr>
        <w:tc>
          <w:tcPr>
            <w:tcW w:w="0" w:type="auto"/>
            <w:tcBorders>
              <w:top w:val="single" w:sz="4" w:space="0" w:color="auto"/>
              <w:bottom w:val="single" w:sz="4" w:space="0" w:color="auto"/>
            </w:tcBorders>
            <w:vAlign w:val="center"/>
            <w:hideMark/>
          </w:tcPr>
          <w:p w14:paraId="20722366" w14:textId="77777777" w:rsidR="00CE6F3E" w:rsidRPr="00E41B80" w:rsidRDefault="00CE6F3E" w:rsidP="00067E74">
            <w:pPr>
              <w:rPr>
                <w:rFonts w:ascii="Times New Roman" w:hAnsi="Times New Roman" w:cs="Times New Roman"/>
              </w:rPr>
            </w:pPr>
            <w:proofErr w:type="spellStart"/>
            <w:r w:rsidRPr="00E41B80">
              <w:rPr>
                <w:rFonts w:ascii="Times New Roman" w:hAnsi="Times New Roman" w:cs="Times New Roman"/>
              </w:rPr>
              <w:t>Otoo</w:t>
            </w:r>
            <w:proofErr w:type="spellEnd"/>
            <w:r w:rsidRPr="00E41B80">
              <w:rPr>
                <w:rFonts w:ascii="Times New Roman" w:hAnsi="Times New Roman" w:cs="Times New Roman"/>
              </w:rPr>
              <w:t>, M., &amp; Drechsel, P. (2018)</w:t>
            </w:r>
          </w:p>
        </w:tc>
        <w:tc>
          <w:tcPr>
            <w:tcW w:w="0" w:type="auto"/>
            <w:tcBorders>
              <w:top w:val="single" w:sz="4" w:space="0" w:color="auto"/>
              <w:bottom w:val="single" w:sz="4" w:space="0" w:color="auto"/>
            </w:tcBorders>
            <w:vAlign w:val="center"/>
            <w:hideMark/>
          </w:tcPr>
          <w:p w14:paraId="55C4C97C"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 xml:space="preserve">To </w:t>
            </w:r>
            <w:proofErr w:type="spellStart"/>
            <w:r w:rsidRPr="00E41B80">
              <w:rPr>
                <w:rFonts w:ascii="Times New Roman" w:hAnsi="Times New Roman" w:cs="Times New Roman"/>
              </w:rPr>
              <w:t>analyze</w:t>
            </w:r>
            <w:proofErr w:type="spellEnd"/>
            <w:r w:rsidRPr="00E41B80">
              <w:rPr>
                <w:rFonts w:ascii="Times New Roman" w:hAnsi="Times New Roman" w:cs="Times New Roman"/>
              </w:rPr>
              <w:t xml:space="preserve"> business models for energy, nutrient, and water reuse in low- and middle-income countries.</w:t>
            </w:r>
          </w:p>
        </w:tc>
        <w:tc>
          <w:tcPr>
            <w:tcW w:w="0" w:type="auto"/>
            <w:tcBorders>
              <w:top w:val="single" w:sz="4" w:space="0" w:color="auto"/>
              <w:bottom w:val="single" w:sz="4" w:space="0" w:color="auto"/>
            </w:tcBorders>
            <w:vAlign w:val="center"/>
            <w:hideMark/>
          </w:tcPr>
          <w:p w14:paraId="79728B2F"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Comparative case studies across countries.</w:t>
            </w:r>
          </w:p>
        </w:tc>
        <w:tc>
          <w:tcPr>
            <w:tcW w:w="0" w:type="auto"/>
            <w:tcBorders>
              <w:top w:val="single" w:sz="4" w:space="0" w:color="auto"/>
              <w:bottom w:val="single" w:sz="4" w:space="0" w:color="auto"/>
            </w:tcBorders>
            <w:vAlign w:val="center"/>
            <w:hideMark/>
          </w:tcPr>
          <w:p w14:paraId="3A5294EB"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Demonstrated that PPP and hybrid models mobilize resources effectively but need safeguards to protect public interest.</w:t>
            </w:r>
          </w:p>
        </w:tc>
        <w:tc>
          <w:tcPr>
            <w:tcW w:w="0" w:type="auto"/>
            <w:tcBorders>
              <w:top w:val="single" w:sz="4" w:space="0" w:color="auto"/>
              <w:bottom w:val="single" w:sz="4" w:space="0" w:color="auto"/>
            </w:tcBorders>
            <w:vAlign w:val="center"/>
            <w:hideMark/>
          </w:tcPr>
          <w:p w14:paraId="0D27C52E"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Provides comparative insights that strengthen Ghana’s hybrid circular economy models.</w:t>
            </w:r>
          </w:p>
        </w:tc>
      </w:tr>
    </w:tbl>
    <w:p w14:paraId="04F14DAD" w14:textId="77777777" w:rsidR="00CE6F3E" w:rsidRPr="00E41B80" w:rsidRDefault="00067E74" w:rsidP="00067E74">
      <w:pPr>
        <w:jc w:val="center"/>
        <w:rPr>
          <w:rFonts w:ascii="Times New Roman" w:hAnsi="Times New Roman" w:cs="Times New Roman"/>
        </w:rPr>
      </w:pPr>
      <w:r w:rsidRPr="00E41B80">
        <w:rPr>
          <w:rFonts w:ascii="Times New Roman" w:hAnsi="Times New Roman" w:cs="Times New Roman"/>
        </w:rPr>
        <w:t>Source: Authors’ Construct</w:t>
      </w:r>
    </w:p>
    <w:p w14:paraId="383D8A43" w14:textId="77777777" w:rsidR="00CE6F3E" w:rsidRPr="00E41B80" w:rsidRDefault="00CE6F3E" w:rsidP="00067E74">
      <w:pPr>
        <w:spacing w:before="100" w:beforeAutospacing="1" w:after="100" w:afterAutospacing="1" w:line="240" w:lineRule="auto"/>
        <w:jc w:val="both"/>
        <w:rPr>
          <w:rFonts w:ascii="Times New Roman" w:eastAsia="Times New Roman" w:hAnsi="Times New Roman" w:cs="Times New Roman"/>
          <w:lang w:val="en-US"/>
        </w:rPr>
      </w:pPr>
      <w:r w:rsidRPr="00E41B80">
        <w:rPr>
          <w:rFonts w:ascii="Times New Roman" w:eastAsia="Times New Roman" w:hAnsi="Times New Roman" w:cs="Times New Roman"/>
          <w:lang w:val="en-US"/>
        </w:rPr>
        <w:t>Research consistently shows that Public-Private Partnerships and hybrid governance arrangements mobilize resources and improve efficiency in implementing circ</w:t>
      </w:r>
      <w:r w:rsidR="00067E74" w:rsidRPr="00E41B80">
        <w:rPr>
          <w:rFonts w:ascii="Times New Roman" w:eastAsia="Times New Roman" w:hAnsi="Times New Roman" w:cs="Times New Roman"/>
          <w:lang w:val="en-US"/>
        </w:rPr>
        <w:t>ular economy practices. Gyamfi et al.</w:t>
      </w:r>
      <w:r w:rsidRPr="00E41B80">
        <w:rPr>
          <w:rFonts w:ascii="Times New Roman" w:eastAsia="Times New Roman" w:hAnsi="Times New Roman" w:cs="Times New Roman"/>
          <w:lang w:val="en-US"/>
        </w:rPr>
        <w:t xml:space="preserve"> (2024) provide evidence from waste-to-energy projects in Accra, demonstrating that such partnerships can convert municipal waste into compost and energy. Similarly, the Go Circular Project reported by Citi Newsroom (2025) illustrates how hybrid arrangements that involve state actors, private companies, and civil society contribute to scaling recycling and waste reduction efforts. </w:t>
      </w:r>
      <w:proofErr w:type="spellStart"/>
      <w:r w:rsidRPr="00E41B80">
        <w:rPr>
          <w:rFonts w:ascii="Times New Roman" w:eastAsia="Times New Roman" w:hAnsi="Times New Roman" w:cs="Times New Roman"/>
          <w:lang w:val="en-US"/>
        </w:rPr>
        <w:t>Otoo</w:t>
      </w:r>
      <w:proofErr w:type="spellEnd"/>
      <w:r w:rsidRPr="00E41B80">
        <w:rPr>
          <w:rFonts w:ascii="Times New Roman" w:eastAsia="Times New Roman" w:hAnsi="Times New Roman" w:cs="Times New Roman"/>
          <w:lang w:val="en-US"/>
        </w:rPr>
        <w:t xml:space="preserve"> and </w:t>
      </w:r>
      <w:proofErr w:type="spellStart"/>
      <w:r w:rsidRPr="00E41B80">
        <w:rPr>
          <w:rFonts w:ascii="Times New Roman" w:eastAsia="Times New Roman" w:hAnsi="Times New Roman" w:cs="Times New Roman"/>
          <w:lang w:val="en-US"/>
        </w:rPr>
        <w:t>Drechsel</w:t>
      </w:r>
      <w:proofErr w:type="spellEnd"/>
      <w:r w:rsidRPr="00E41B80">
        <w:rPr>
          <w:rFonts w:ascii="Times New Roman" w:eastAsia="Times New Roman" w:hAnsi="Times New Roman" w:cs="Times New Roman"/>
          <w:lang w:val="en-US"/>
        </w:rPr>
        <w:t xml:space="preserve"> (2018) also confirm through comparative case studies that such models can successfully mobilize investment and innovation in resource recovery.</w:t>
      </w:r>
      <w:r w:rsidR="00AC2D0A" w:rsidRPr="00E41B80">
        <w:rPr>
          <w:rFonts w:ascii="Times New Roman" w:eastAsia="Times New Roman" w:hAnsi="Times New Roman" w:cs="Times New Roman"/>
          <w:lang w:val="en-US"/>
        </w:rPr>
        <w:t xml:space="preserve"> </w:t>
      </w:r>
      <w:r w:rsidRPr="00E41B80">
        <w:rPr>
          <w:rFonts w:ascii="Times New Roman" w:eastAsia="Times New Roman" w:hAnsi="Times New Roman" w:cs="Times New Roman"/>
          <w:lang w:val="en-US"/>
        </w:rPr>
        <w:t xml:space="preserve">Nevertheless, </w:t>
      </w:r>
      <w:proofErr w:type="spellStart"/>
      <w:r w:rsidRPr="00E41B80">
        <w:rPr>
          <w:rFonts w:ascii="Times New Roman" w:eastAsia="Times New Roman" w:hAnsi="Times New Roman" w:cs="Times New Roman"/>
          <w:lang w:val="en-US"/>
        </w:rPr>
        <w:t>Alidu</w:t>
      </w:r>
      <w:proofErr w:type="spellEnd"/>
      <w:r w:rsidRPr="00E41B80">
        <w:rPr>
          <w:rFonts w:ascii="Times New Roman" w:eastAsia="Times New Roman" w:hAnsi="Times New Roman" w:cs="Times New Roman"/>
          <w:lang w:val="en-US"/>
        </w:rPr>
        <w:t xml:space="preserve"> (2018) cautions that Public-Private Partnerships in Ghana often arise from political convenience and may not achieve efficiency if not transparently managed. This presents a contradiction: on the one hand, partnerships are shown to provide practical solutions to waste and resource challenges; on the other, they can be undermined by political influence and profit-oriented motives. The literature</w:t>
      </w:r>
      <w:r w:rsidR="00A14FBA" w:rsidRPr="00E41B80">
        <w:rPr>
          <w:rFonts w:ascii="Times New Roman" w:eastAsia="Times New Roman" w:hAnsi="Times New Roman" w:cs="Times New Roman"/>
          <w:lang w:val="en-US"/>
        </w:rPr>
        <w:t>,</w:t>
      </w:r>
      <w:r w:rsidRPr="00E41B80">
        <w:rPr>
          <w:rFonts w:ascii="Times New Roman" w:eastAsia="Times New Roman" w:hAnsi="Times New Roman" w:cs="Times New Roman"/>
          <w:lang w:val="en-US"/>
        </w:rPr>
        <w:t xml:space="preserve"> therefore</w:t>
      </w:r>
      <w:r w:rsidR="00AC2D0A" w:rsidRPr="00E41B80">
        <w:rPr>
          <w:rFonts w:ascii="Times New Roman" w:eastAsia="Times New Roman" w:hAnsi="Times New Roman" w:cs="Times New Roman"/>
          <w:lang w:val="en-US"/>
        </w:rPr>
        <w:t>,</w:t>
      </w:r>
      <w:r w:rsidRPr="00E41B80">
        <w:rPr>
          <w:rFonts w:ascii="Times New Roman" w:eastAsia="Times New Roman" w:hAnsi="Times New Roman" w:cs="Times New Roman"/>
          <w:lang w:val="en-US"/>
        </w:rPr>
        <w:t xml:space="preserve"> reflects a </w:t>
      </w:r>
      <w:r w:rsidRPr="00E41B80">
        <w:rPr>
          <w:rFonts w:ascii="Times New Roman" w:eastAsia="Times New Roman" w:hAnsi="Times New Roman" w:cs="Times New Roman"/>
          <w:bCs/>
          <w:lang w:val="en-US"/>
        </w:rPr>
        <w:t>balance between optimism about the capacity of hybrid governance models and concern about their risks</w:t>
      </w:r>
      <w:r w:rsidRPr="00E41B80">
        <w:rPr>
          <w:rFonts w:ascii="Times New Roman" w:eastAsia="Times New Roman" w:hAnsi="Times New Roman" w:cs="Times New Roman"/>
          <w:lang w:val="en-US"/>
        </w:rPr>
        <w:t>.</w:t>
      </w:r>
    </w:p>
    <w:p w14:paraId="2BEE10D2" w14:textId="77777777" w:rsidR="00CE6F3E" w:rsidRPr="00E41B80" w:rsidRDefault="00CE6F3E" w:rsidP="00067E74">
      <w:pPr>
        <w:jc w:val="center"/>
        <w:rPr>
          <w:rFonts w:ascii="Times New Roman" w:hAnsi="Times New Roman" w:cs="Times New Roman"/>
          <w:b/>
        </w:rPr>
      </w:pPr>
      <w:r w:rsidRPr="00E41B80">
        <w:rPr>
          <w:rFonts w:ascii="Times New Roman" w:hAnsi="Times New Roman" w:cs="Times New Roman"/>
          <w:b/>
        </w:rPr>
        <w:lastRenderedPageBreak/>
        <w:t>Table 4: Community and Participatory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1918"/>
        <w:gridCol w:w="1666"/>
        <w:gridCol w:w="2327"/>
        <w:gridCol w:w="2108"/>
      </w:tblGrid>
      <w:tr w:rsidR="00AC2D0A" w:rsidRPr="00E41B80" w14:paraId="7E7F98AB" w14:textId="77777777" w:rsidTr="00CE10E5">
        <w:trPr>
          <w:tblHeader/>
          <w:tblCellSpacing w:w="15" w:type="dxa"/>
        </w:trPr>
        <w:tc>
          <w:tcPr>
            <w:tcW w:w="0" w:type="auto"/>
            <w:tcBorders>
              <w:top w:val="single" w:sz="4" w:space="0" w:color="auto"/>
              <w:bottom w:val="single" w:sz="4" w:space="0" w:color="auto"/>
            </w:tcBorders>
            <w:shd w:val="clear" w:color="auto" w:fill="F4B083" w:themeFill="accent2" w:themeFillTint="99"/>
            <w:vAlign w:val="center"/>
            <w:hideMark/>
          </w:tcPr>
          <w:p w14:paraId="67081204" w14:textId="77777777" w:rsidR="00CE6F3E" w:rsidRPr="00E41B80" w:rsidRDefault="00CE6F3E" w:rsidP="00067E74">
            <w:pPr>
              <w:rPr>
                <w:rFonts w:ascii="Times New Roman" w:hAnsi="Times New Roman" w:cs="Times New Roman"/>
                <w:b/>
                <w:bCs/>
              </w:rPr>
            </w:pPr>
            <w:r w:rsidRPr="00E41B80">
              <w:rPr>
                <w:rFonts w:ascii="Times New Roman" w:hAnsi="Times New Roman" w:cs="Times New Roman"/>
                <w:b/>
                <w:bCs/>
              </w:rPr>
              <w:t>Author(s)</w:t>
            </w:r>
          </w:p>
        </w:tc>
        <w:tc>
          <w:tcPr>
            <w:tcW w:w="0" w:type="auto"/>
            <w:tcBorders>
              <w:top w:val="single" w:sz="4" w:space="0" w:color="auto"/>
              <w:bottom w:val="single" w:sz="4" w:space="0" w:color="auto"/>
            </w:tcBorders>
            <w:shd w:val="clear" w:color="auto" w:fill="F4B083" w:themeFill="accent2" w:themeFillTint="99"/>
            <w:vAlign w:val="center"/>
            <w:hideMark/>
          </w:tcPr>
          <w:p w14:paraId="3BA81977"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Objectives</w:t>
            </w:r>
          </w:p>
        </w:tc>
        <w:tc>
          <w:tcPr>
            <w:tcW w:w="0" w:type="auto"/>
            <w:tcBorders>
              <w:top w:val="single" w:sz="4" w:space="0" w:color="auto"/>
              <w:bottom w:val="single" w:sz="4" w:space="0" w:color="auto"/>
            </w:tcBorders>
            <w:shd w:val="clear" w:color="auto" w:fill="F4B083" w:themeFill="accent2" w:themeFillTint="99"/>
            <w:vAlign w:val="center"/>
            <w:hideMark/>
          </w:tcPr>
          <w:p w14:paraId="3AE5C74B"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Methodology</w:t>
            </w:r>
          </w:p>
        </w:tc>
        <w:tc>
          <w:tcPr>
            <w:tcW w:w="0" w:type="auto"/>
            <w:tcBorders>
              <w:top w:val="single" w:sz="4" w:space="0" w:color="auto"/>
              <w:bottom w:val="single" w:sz="4" w:space="0" w:color="auto"/>
            </w:tcBorders>
            <w:shd w:val="clear" w:color="auto" w:fill="F4B083" w:themeFill="accent2" w:themeFillTint="99"/>
            <w:vAlign w:val="center"/>
            <w:hideMark/>
          </w:tcPr>
          <w:p w14:paraId="1C1B52A7"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Key Findings</w:t>
            </w:r>
          </w:p>
        </w:tc>
        <w:tc>
          <w:tcPr>
            <w:tcW w:w="0" w:type="auto"/>
            <w:tcBorders>
              <w:top w:val="single" w:sz="4" w:space="0" w:color="auto"/>
              <w:bottom w:val="single" w:sz="4" w:space="0" w:color="auto"/>
            </w:tcBorders>
            <w:shd w:val="clear" w:color="auto" w:fill="F4B083" w:themeFill="accent2" w:themeFillTint="99"/>
            <w:vAlign w:val="center"/>
            <w:hideMark/>
          </w:tcPr>
          <w:p w14:paraId="5F3E924E" w14:textId="77777777" w:rsidR="00CE6F3E" w:rsidRPr="00E41B80" w:rsidRDefault="00CE6F3E" w:rsidP="00067E74">
            <w:pPr>
              <w:jc w:val="center"/>
              <w:rPr>
                <w:rFonts w:ascii="Times New Roman" w:hAnsi="Times New Roman" w:cs="Times New Roman"/>
                <w:b/>
                <w:bCs/>
              </w:rPr>
            </w:pPr>
            <w:r w:rsidRPr="00E41B80">
              <w:rPr>
                <w:rFonts w:ascii="Times New Roman" w:hAnsi="Times New Roman" w:cs="Times New Roman"/>
                <w:b/>
                <w:bCs/>
              </w:rPr>
              <w:t>Relevance</w:t>
            </w:r>
          </w:p>
        </w:tc>
      </w:tr>
      <w:tr w:rsidR="00AC2D0A" w:rsidRPr="00E41B80" w14:paraId="523EF0B1" w14:textId="77777777" w:rsidTr="00AC2D0A">
        <w:trPr>
          <w:tblCellSpacing w:w="15" w:type="dxa"/>
        </w:trPr>
        <w:tc>
          <w:tcPr>
            <w:tcW w:w="0" w:type="auto"/>
            <w:tcBorders>
              <w:top w:val="single" w:sz="4" w:space="0" w:color="auto"/>
              <w:bottom w:val="single" w:sz="4" w:space="0" w:color="auto"/>
            </w:tcBorders>
            <w:vAlign w:val="center"/>
            <w:hideMark/>
          </w:tcPr>
          <w:p w14:paraId="0010CC44" w14:textId="77777777" w:rsidR="00CE6F3E" w:rsidRPr="00E41B80" w:rsidRDefault="00CE6F3E" w:rsidP="00067E74">
            <w:pPr>
              <w:rPr>
                <w:rFonts w:ascii="Times New Roman" w:hAnsi="Times New Roman" w:cs="Times New Roman"/>
              </w:rPr>
            </w:pPr>
            <w:r w:rsidRPr="00E41B80">
              <w:rPr>
                <w:rFonts w:ascii="Times New Roman" w:hAnsi="Times New Roman" w:cs="Times New Roman"/>
              </w:rPr>
              <w:t>African Circular Business Alliance (2024)</w:t>
            </w:r>
          </w:p>
        </w:tc>
        <w:tc>
          <w:tcPr>
            <w:tcW w:w="0" w:type="auto"/>
            <w:tcBorders>
              <w:top w:val="single" w:sz="4" w:space="0" w:color="auto"/>
              <w:bottom w:val="single" w:sz="4" w:space="0" w:color="auto"/>
            </w:tcBorders>
            <w:vAlign w:val="center"/>
            <w:hideMark/>
          </w:tcPr>
          <w:p w14:paraId="1F78EECC"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 xml:space="preserve">To promote </w:t>
            </w:r>
            <w:r w:rsidR="00A14FBA" w:rsidRPr="00E41B80">
              <w:rPr>
                <w:rFonts w:ascii="Times New Roman" w:hAnsi="Times New Roman" w:cs="Times New Roman"/>
              </w:rPr>
              <w:t xml:space="preserve">the </w:t>
            </w:r>
            <w:r w:rsidRPr="00E41B80">
              <w:rPr>
                <w:rFonts w:ascii="Times New Roman" w:hAnsi="Times New Roman" w:cs="Times New Roman"/>
              </w:rPr>
              <w:t>circular economy and business collaboration across Africa.</w:t>
            </w:r>
          </w:p>
        </w:tc>
        <w:tc>
          <w:tcPr>
            <w:tcW w:w="0" w:type="auto"/>
            <w:tcBorders>
              <w:top w:val="single" w:sz="4" w:space="0" w:color="auto"/>
              <w:bottom w:val="single" w:sz="4" w:space="0" w:color="auto"/>
            </w:tcBorders>
            <w:vAlign w:val="center"/>
            <w:hideMark/>
          </w:tcPr>
          <w:p w14:paraId="7D6DD462"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Institutional initiative and advocacy platform.</w:t>
            </w:r>
          </w:p>
        </w:tc>
        <w:tc>
          <w:tcPr>
            <w:tcW w:w="0" w:type="auto"/>
            <w:tcBorders>
              <w:top w:val="single" w:sz="4" w:space="0" w:color="auto"/>
              <w:bottom w:val="single" w:sz="4" w:space="0" w:color="auto"/>
            </w:tcBorders>
            <w:vAlign w:val="center"/>
            <w:hideMark/>
          </w:tcPr>
          <w:p w14:paraId="7979BDFE"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Shows that participatory governance enhances social acceptance and integrates local knowledge.</w:t>
            </w:r>
          </w:p>
        </w:tc>
        <w:tc>
          <w:tcPr>
            <w:tcW w:w="0" w:type="auto"/>
            <w:tcBorders>
              <w:top w:val="single" w:sz="4" w:space="0" w:color="auto"/>
              <w:bottom w:val="single" w:sz="4" w:space="0" w:color="auto"/>
            </w:tcBorders>
            <w:vAlign w:val="center"/>
            <w:hideMark/>
          </w:tcPr>
          <w:p w14:paraId="4E7AA5FE"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Provides a continental framework that validates Ghana’s participatory approaches.</w:t>
            </w:r>
          </w:p>
        </w:tc>
      </w:tr>
      <w:tr w:rsidR="00AC2D0A" w:rsidRPr="00E41B80" w14:paraId="2F672A90" w14:textId="77777777" w:rsidTr="00AC2D0A">
        <w:trPr>
          <w:tblCellSpacing w:w="15" w:type="dxa"/>
        </w:trPr>
        <w:tc>
          <w:tcPr>
            <w:tcW w:w="0" w:type="auto"/>
            <w:tcBorders>
              <w:top w:val="single" w:sz="4" w:space="0" w:color="auto"/>
              <w:bottom w:val="single" w:sz="4" w:space="0" w:color="auto"/>
            </w:tcBorders>
            <w:vAlign w:val="center"/>
            <w:hideMark/>
          </w:tcPr>
          <w:p w14:paraId="53A493F6" w14:textId="77777777" w:rsidR="00CE6F3E" w:rsidRPr="00E41B80" w:rsidRDefault="00AC2D0A" w:rsidP="00067E74">
            <w:pPr>
              <w:rPr>
                <w:rFonts w:ascii="Times New Roman" w:hAnsi="Times New Roman" w:cs="Times New Roman"/>
              </w:rPr>
            </w:pPr>
            <w:r w:rsidRPr="00E41B80">
              <w:rPr>
                <w:rFonts w:ascii="Times New Roman" w:hAnsi="Times New Roman" w:cs="Times New Roman"/>
              </w:rPr>
              <w:t>Asare et al.</w:t>
            </w:r>
            <w:r w:rsidR="00CE6F3E" w:rsidRPr="00E41B80">
              <w:rPr>
                <w:rFonts w:ascii="Times New Roman" w:hAnsi="Times New Roman" w:cs="Times New Roman"/>
              </w:rPr>
              <w:t xml:space="preserve"> (2024)</w:t>
            </w:r>
          </w:p>
        </w:tc>
        <w:tc>
          <w:tcPr>
            <w:tcW w:w="0" w:type="auto"/>
            <w:tcBorders>
              <w:top w:val="single" w:sz="4" w:space="0" w:color="auto"/>
              <w:bottom w:val="single" w:sz="4" w:space="0" w:color="auto"/>
            </w:tcBorders>
            <w:vAlign w:val="center"/>
            <w:hideMark/>
          </w:tcPr>
          <w:p w14:paraId="6BCD2027"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To examine community engagement in Ghana’s informal waste sector.</w:t>
            </w:r>
          </w:p>
        </w:tc>
        <w:tc>
          <w:tcPr>
            <w:tcW w:w="0" w:type="auto"/>
            <w:tcBorders>
              <w:top w:val="single" w:sz="4" w:space="0" w:color="auto"/>
              <w:bottom w:val="single" w:sz="4" w:space="0" w:color="auto"/>
            </w:tcBorders>
            <w:vAlign w:val="center"/>
            <w:hideMark/>
          </w:tcPr>
          <w:p w14:paraId="37576590"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Case study analysis of informal waste practices.</w:t>
            </w:r>
          </w:p>
        </w:tc>
        <w:tc>
          <w:tcPr>
            <w:tcW w:w="0" w:type="auto"/>
            <w:tcBorders>
              <w:top w:val="single" w:sz="4" w:space="0" w:color="auto"/>
              <w:bottom w:val="single" w:sz="4" w:space="0" w:color="auto"/>
            </w:tcBorders>
            <w:vAlign w:val="center"/>
            <w:hideMark/>
          </w:tcPr>
          <w:p w14:paraId="2EE026A5"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Found that participatory models improve legitimacy and community inclusion in circular economy value chains.</w:t>
            </w:r>
          </w:p>
        </w:tc>
        <w:tc>
          <w:tcPr>
            <w:tcW w:w="0" w:type="auto"/>
            <w:tcBorders>
              <w:top w:val="single" w:sz="4" w:space="0" w:color="auto"/>
              <w:bottom w:val="single" w:sz="4" w:space="0" w:color="auto"/>
            </w:tcBorders>
            <w:vAlign w:val="center"/>
            <w:hideMark/>
          </w:tcPr>
          <w:p w14:paraId="68375FE8"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Demonstrates the role of grassroots actors in Ghana’s circular economy governance.</w:t>
            </w:r>
          </w:p>
        </w:tc>
      </w:tr>
      <w:tr w:rsidR="00AC2D0A" w:rsidRPr="00E41B80" w14:paraId="152007BD" w14:textId="77777777" w:rsidTr="00AC2D0A">
        <w:trPr>
          <w:tblCellSpacing w:w="15" w:type="dxa"/>
        </w:trPr>
        <w:tc>
          <w:tcPr>
            <w:tcW w:w="0" w:type="auto"/>
            <w:tcBorders>
              <w:top w:val="single" w:sz="4" w:space="0" w:color="auto"/>
              <w:bottom w:val="single" w:sz="4" w:space="0" w:color="auto"/>
            </w:tcBorders>
            <w:vAlign w:val="center"/>
            <w:hideMark/>
          </w:tcPr>
          <w:p w14:paraId="23D8A3A4" w14:textId="77777777" w:rsidR="00CE6F3E" w:rsidRPr="00E41B80" w:rsidRDefault="00CE6F3E" w:rsidP="00067E74">
            <w:pPr>
              <w:rPr>
                <w:rFonts w:ascii="Times New Roman" w:hAnsi="Times New Roman" w:cs="Times New Roman"/>
              </w:rPr>
            </w:pPr>
            <w:r w:rsidRPr="00E41B80">
              <w:rPr>
                <w:rFonts w:ascii="Times New Roman" w:hAnsi="Times New Roman" w:cs="Times New Roman"/>
              </w:rPr>
              <w:t>Dar</w:t>
            </w:r>
            <w:r w:rsidR="00AC2D0A" w:rsidRPr="00E41B80">
              <w:rPr>
                <w:rFonts w:ascii="Times New Roman" w:hAnsi="Times New Roman" w:cs="Times New Roman"/>
              </w:rPr>
              <w:t>ko et al.</w:t>
            </w:r>
            <w:r w:rsidRPr="00E41B80">
              <w:rPr>
                <w:rFonts w:ascii="Times New Roman" w:hAnsi="Times New Roman" w:cs="Times New Roman"/>
              </w:rPr>
              <w:t xml:space="preserve"> (2025)</w:t>
            </w:r>
          </w:p>
        </w:tc>
        <w:tc>
          <w:tcPr>
            <w:tcW w:w="0" w:type="auto"/>
            <w:tcBorders>
              <w:top w:val="single" w:sz="4" w:space="0" w:color="auto"/>
              <w:bottom w:val="single" w:sz="4" w:space="0" w:color="auto"/>
            </w:tcBorders>
            <w:vAlign w:val="center"/>
            <w:hideMark/>
          </w:tcPr>
          <w:p w14:paraId="490A8F70"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To assess wastewater quality for irrigation in Ghana’s Central Region.</w:t>
            </w:r>
          </w:p>
        </w:tc>
        <w:tc>
          <w:tcPr>
            <w:tcW w:w="0" w:type="auto"/>
            <w:tcBorders>
              <w:top w:val="single" w:sz="4" w:space="0" w:color="auto"/>
              <w:bottom w:val="single" w:sz="4" w:space="0" w:color="auto"/>
            </w:tcBorders>
            <w:vAlign w:val="center"/>
            <w:hideMark/>
          </w:tcPr>
          <w:p w14:paraId="352D92C1"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Field-based assessment and lab analysis.</w:t>
            </w:r>
          </w:p>
        </w:tc>
        <w:tc>
          <w:tcPr>
            <w:tcW w:w="0" w:type="auto"/>
            <w:tcBorders>
              <w:top w:val="single" w:sz="4" w:space="0" w:color="auto"/>
              <w:bottom w:val="single" w:sz="4" w:space="0" w:color="auto"/>
            </w:tcBorders>
            <w:vAlign w:val="center"/>
            <w:hideMark/>
          </w:tcPr>
          <w:p w14:paraId="3063D280"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Showed that informal wastewater use supports urban agriculture but raises safety concerns.</w:t>
            </w:r>
          </w:p>
        </w:tc>
        <w:tc>
          <w:tcPr>
            <w:tcW w:w="0" w:type="auto"/>
            <w:tcBorders>
              <w:top w:val="single" w:sz="4" w:space="0" w:color="auto"/>
              <w:bottom w:val="single" w:sz="4" w:space="0" w:color="auto"/>
            </w:tcBorders>
            <w:vAlign w:val="center"/>
            <w:hideMark/>
          </w:tcPr>
          <w:p w14:paraId="008F50EB"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Highlights how informal and community practices shape circular resource use.</w:t>
            </w:r>
          </w:p>
        </w:tc>
      </w:tr>
      <w:tr w:rsidR="00AC2D0A" w:rsidRPr="00E41B80" w14:paraId="21E3853B" w14:textId="77777777" w:rsidTr="00AC2D0A">
        <w:trPr>
          <w:tblCellSpacing w:w="15" w:type="dxa"/>
        </w:trPr>
        <w:tc>
          <w:tcPr>
            <w:tcW w:w="0" w:type="auto"/>
            <w:tcBorders>
              <w:top w:val="single" w:sz="4" w:space="0" w:color="auto"/>
              <w:bottom w:val="single" w:sz="4" w:space="0" w:color="auto"/>
            </w:tcBorders>
            <w:vAlign w:val="center"/>
            <w:hideMark/>
          </w:tcPr>
          <w:p w14:paraId="08D59244" w14:textId="77777777" w:rsidR="00CE6F3E" w:rsidRPr="00E41B80" w:rsidRDefault="00CE6F3E" w:rsidP="00067E74">
            <w:pPr>
              <w:rPr>
                <w:rFonts w:ascii="Times New Roman" w:hAnsi="Times New Roman" w:cs="Times New Roman"/>
              </w:rPr>
            </w:pPr>
            <w:r w:rsidRPr="00E41B80">
              <w:rPr>
                <w:rFonts w:ascii="Times New Roman" w:hAnsi="Times New Roman" w:cs="Times New Roman"/>
              </w:rPr>
              <w:t>Owusu, G. (2021)</w:t>
            </w:r>
          </w:p>
        </w:tc>
        <w:tc>
          <w:tcPr>
            <w:tcW w:w="0" w:type="auto"/>
            <w:tcBorders>
              <w:top w:val="single" w:sz="4" w:space="0" w:color="auto"/>
              <w:bottom w:val="single" w:sz="4" w:space="0" w:color="auto"/>
            </w:tcBorders>
            <w:vAlign w:val="center"/>
            <w:hideMark/>
          </w:tcPr>
          <w:p w14:paraId="0458E6F4"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 xml:space="preserve">To </w:t>
            </w:r>
            <w:proofErr w:type="spellStart"/>
            <w:r w:rsidRPr="00E41B80">
              <w:rPr>
                <w:rFonts w:ascii="Times New Roman" w:hAnsi="Times New Roman" w:cs="Times New Roman"/>
              </w:rPr>
              <w:t>analyze</w:t>
            </w:r>
            <w:proofErr w:type="spellEnd"/>
            <w:r w:rsidRPr="00E41B80">
              <w:rPr>
                <w:rFonts w:ascii="Times New Roman" w:hAnsi="Times New Roman" w:cs="Times New Roman"/>
              </w:rPr>
              <w:t xml:space="preserve"> urbanization and sanitation infrastructure challenges in Ghana.</w:t>
            </w:r>
          </w:p>
        </w:tc>
        <w:tc>
          <w:tcPr>
            <w:tcW w:w="0" w:type="auto"/>
            <w:tcBorders>
              <w:top w:val="single" w:sz="4" w:space="0" w:color="auto"/>
              <w:bottom w:val="single" w:sz="4" w:space="0" w:color="auto"/>
            </w:tcBorders>
            <w:vAlign w:val="center"/>
            <w:hideMark/>
          </w:tcPr>
          <w:p w14:paraId="61A0C8DC"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Policy and institutional review.</w:t>
            </w:r>
          </w:p>
        </w:tc>
        <w:tc>
          <w:tcPr>
            <w:tcW w:w="0" w:type="auto"/>
            <w:tcBorders>
              <w:top w:val="single" w:sz="4" w:space="0" w:color="auto"/>
              <w:bottom w:val="single" w:sz="4" w:space="0" w:color="auto"/>
            </w:tcBorders>
            <w:vAlign w:val="center"/>
            <w:hideMark/>
          </w:tcPr>
          <w:p w14:paraId="70469A8A" w14:textId="77777777" w:rsidR="00CE6F3E" w:rsidRPr="00E41B80" w:rsidRDefault="00CE6F3E" w:rsidP="00D2401E">
            <w:pPr>
              <w:jc w:val="center"/>
              <w:rPr>
                <w:rFonts w:ascii="Times New Roman" w:hAnsi="Times New Roman" w:cs="Times New Roman"/>
              </w:rPr>
            </w:pPr>
            <w:r w:rsidRPr="00E41B80">
              <w:rPr>
                <w:rFonts w:ascii="Times New Roman" w:hAnsi="Times New Roman" w:cs="Times New Roman"/>
              </w:rPr>
              <w:t xml:space="preserve">Identified capacity gaps, financing issues, and weak alignment between local practices and national </w:t>
            </w:r>
            <w:r w:rsidR="00D2401E" w:rsidRPr="00E41B80">
              <w:rPr>
                <w:rFonts w:ascii="Times New Roman" w:hAnsi="Times New Roman" w:cs="Times New Roman"/>
              </w:rPr>
              <w:t>regulations</w:t>
            </w:r>
            <w:r w:rsidRPr="00E41B80">
              <w:rPr>
                <w:rFonts w:ascii="Times New Roman" w:hAnsi="Times New Roman" w:cs="Times New Roman"/>
              </w:rPr>
              <w:t>.</w:t>
            </w:r>
          </w:p>
        </w:tc>
        <w:tc>
          <w:tcPr>
            <w:tcW w:w="0" w:type="auto"/>
            <w:tcBorders>
              <w:top w:val="single" w:sz="4" w:space="0" w:color="auto"/>
              <w:bottom w:val="single" w:sz="4" w:space="0" w:color="auto"/>
            </w:tcBorders>
            <w:vAlign w:val="center"/>
            <w:hideMark/>
          </w:tcPr>
          <w:p w14:paraId="5FA396F8"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Explains constraints facing participatory governance when scaling into formal structures.</w:t>
            </w:r>
          </w:p>
        </w:tc>
      </w:tr>
      <w:tr w:rsidR="00AC2D0A" w:rsidRPr="00E41B80" w14:paraId="7158EF61" w14:textId="77777777" w:rsidTr="00AC2D0A">
        <w:trPr>
          <w:tblCellSpacing w:w="15" w:type="dxa"/>
        </w:trPr>
        <w:tc>
          <w:tcPr>
            <w:tcW w:w="0" w:type="auto"/>
            <w:tcBorders>
              <w:top w:val="single" w:sz="4" w:space="0" w:color="auto"/>
              <w:bottom w:val="single" w:sz="4" w:space="0" w:color="auto"/>
            </w:tcBorders>
            <w:vAlign w:val="center"/>
            <w:hideMark/>
          </w:tcPr>
          <w:p w14:paraId="307AF9CF" w14:textId="77777777" w:rsidR="00CE6F3E" w:rsidRPr="00E41B80" w:rsidRDefault="00CE6F3E" w:rsidP="00067E74">
            <w:pPr>
              <w:rPr>
                <w:rFonts w:ascii="Times New Roman" w:hAnsi="Times New Roman" w:cs="Times New Roman"/>
              </w:rPr>
            </w:pPr>
            <w:r w:rsidRPr="00E41B80">
              <w:rPr>
                <w:rFonts w:ascii="Times New Roman" w:hAnsi="Times New Roman" w:cs="Times New Roman"/>
              </w:rPr>
              <w:t>Waste Recovery Platform (2022)</w:t>
            </w:r>
          </w:p>
        </w:tc>
        <w:tc>
          <w:tcPr>
            <w:tcW w:w="0" w:type="auto"/>
            <w:tcBorders>
              <w:top w:val="single" w:sz="4" w:space="0" w:color="auto"/>
              <w:bottom w:val="single" w:sz="4" w:space="0" w:color="auto"/>
            </w:tcBorders>
            <w:vAlign w:val="center"/>
            <w:hideMark/>
          </w:tcPr>
          <w:p w14:paraId="78CE37B6"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To link informal waste pickers with formal recycling enterprises.</w:t>
            </w:r>
          </w:p>
        </w:tc>
        <w:tc>
          <w:tcPr>
            <w:tcW w:w="0" w:type="auto"/>
            <w:tcBorders>
              <w:top w:val="single" w:sz="4" w:space="0" w:color="auto"/>
              <w:bottom w:val="single" w:sz="4" w:space="0" w:color="auto"/>
            </w:tcBorders>
            <w:vAlign w:val="center"/>
            <w:hideMark/>
          </w:tcPr>
          <w:p w14:paraId="1A3C4631"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Institutional initiative and programmatic report.</w:t>
            </w:r>
          </w:p>
        </w:tc>
        <w:tc>
          <w:tcPr>
            <w:tcW w:w="0" w:type="auto"/>
            <w:tcBorders>
              <w:top w:val="single" w:sz="4" w:space="0" w:color="auto"/>
              <w:bottom w:val="single" w:sz="4" w:space="0" w:color="auto"/>
            </w:tcBorders>
            <w:vAlign w:val="center"/>
            <w:hideMark/>
          </w:tcPr>
          <w:p w14:paraId="155D900F"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Enabled communities to benefit economically from waste recovery and recycling.</w:t>
            </w:r>
          </w:p>
        </w:tc>
        <w:tc>
          <w:tcPr>
            <w:tcW w:w="0" w:type="auto"/>
            <w:tcBorders>
              <w:top w:val="single" w:sz="4" w:space="0" w:color="auto"/>
              <w:bottom w:val="single" w:sz="4" w:space="0" w:color="auto"/>
            </w:tcBorders>
            <w:vAlign w:val="center"/>
            <w:hideMark/>
          </w:tcPr>
          <w:p w14:paraId="416C4326" w14:textId="77777777" w:rsidR="00CE6F3E" w:rsidRPr="00E41B80" w:rsidRDefault="00CE6F3E" w:rsidP="00067E74">
            <w:pPr>
              <w:jc w:val="center"/>
              <w:rPr>
                <w:rFonts w:ascii="Times New Roman" w:hAnsi="Times New Roman" w:cs="Times New Roman"/>
              </w:rPr>
            </w:pPr>
            <w:r w:rsidRPr="00E41B80">
              <w:rPr>
                <w:rFonts w:ascii="Times New Roman" w:hAnsi="Times New Roman" w:cs="Times New Roman"/>
              </w:rPr>
              <w:t>A practical example of participatory governance in Ghana’s circular economy.</w:t>
            </w:r>
          </w:p>
        </w:tc>
      </w:tr>
    </w:tbl>
    <w:p w14:paraId="7BE44FA0" w14:textId="77777777" w:rsidR="00067E74" w:rsidRPr="00E41B80" w:rsidRDefault="00067E74" w:rsidP="00CC055C">
      <w:pPr>
        <w:jc w:val="center"/>
        <w:rPr>
          <w:rFonts w:ascii="Times New Roman" w:hAnsi="Times New Roman" w:cs="Times New Roman"/>
        </w:rPr>
      </w:pPr>
      <w:r w:rsidRPr="00E41B80">
        <w:rPr>
          <w:rFonts w:ascii="Times New Roman" w:hAnsi="Times New Roman" w:cs="Times New Roman"/>
        </w:rPr>
        <w:t>Source: Authors’ Construct</w:t>
      </w:r>
    </w:p>
    <w:p w14:paraId="00CFA2D7" w14:textId="77777777" w:rsidR="00CE6F3E" w:rsidRPr="00E41B80" w:rsidRDefault="00CE6F3E" w:rsidP="00067E74">
      <w:pPr>
        <w:spacing w:before="100" w:beforeAutospacing="1" w:after="100" w:afterAutospacing="1" w:line="240" w:lineRule="auto"/>
        <w:jc w:val="both"/>
        <w:rPr>
          <w:rFonts w:ascii="Times New Roman" w:eastAsia="Times New Roman" w:hAnsi="Times New Roman" w:cs="Times New Roman"/>
          <w:lang w:val="en-US"/>
        </w:rPr>
      </w:pPr>
      <w:r w:rsidRPr="00E41B80">
        <w:rPr>
          <w:rFonts w:ascii="Times New Roman" w:eastAsia="Times New Roman" w:hAnsi="Times New Roman" w:cs="Times New Roman"/>
          <w:lang w:val="en-US"/>
        </w:rPr>
        <w:t>The evidence strongly confirms that community-based governance enhances legitimacy, inclusivity, and social acceptance of circular econo</w:t>
      </w:r>
      <w:r w:rsidR="00067E74" w:rsidRPr="00E41B80">
        <w:rPr>
          <w:rFonts w:ascii="Times New Roman" w:eastAsia="Times New Roman" w:hAnsi="Times New Roman" w:cs="Times New Roman"/>
          <w:lang w:val="en-US"/>
        </w:rPr>
        <w:t>my practices. Asare et al.</w:t>
      </w:r>
      <w:r w:rsidRPr="00E41B80">
        <w:rPr>
          <w:rFonts w:ascii="Times New Roman" w:eastAsia="Times New Roman" w:hAnsi="Times New Roman" w:cs="Times New Roman"/>
          <w:lang w:val="en-US"/>
        </w:rPr>
        <w:t xml:space="preserve"> (2024) show that participatory approaches in Ghana’s informal waste sector increase community involvement and strengthen the role of grassroots actors. This aligns with the Ghana Waste Recovery Platform (2022), which connects informal waste pickers to formal recycling enterprises, creating economic benefits for local communities. Similarly, the African Circular Business Alliance (2024) emphasizes that participatory approaches across Africa ensure local knowledge is integrated into circular economy practices.</w:t>
      </w:r>
      <w:r w:rsidR="00067E74" w:rsidRPr="00E41B80">
        <w:rPr>
          <w:rFonts w:ascii="Times New Roman" w:eastAsia="Times New Roman" w:hAnsi="Times New Roman" w:cs="Times New Roman"/>
          <w:lang w:val="en-US"/>
        </w:rPr>
        <w:t xml:space="preserve"> </w:t>
      </w:r>
      <w:r w:rsidR="00AC2D0A" w:rsidRPr="00E41B80">
        <w:rPr>
          <w:rFonts w:ascii="Times New Roman" w:eastAsia="Times New Roman" w:hAnsi="Times New Roman" w:cs="Times New Roman"/>
          <w:lang w:val="en-US"/>
        </w:rPr>
        <w:t xml:space="preserve">At the same time, Darko et al. </w:t>
      </w:r>
      <w:r w:rsidRPr="00E41B80">
        <w:rPr>
          <w:rFonts w:ascii="Times New Roman" w:eastAsia="Times New Roman" w:hAnsi="Times New Roman" w:cs="Times New Roman"/>
          <w:lang w:val="en-US"/>
        </w:rPr>
        <w:t xml:space="preserve">(2025) highlight the risks associated with informal wastewater use in urban agriculture. While such practices sustain livelihoods, they present health and environmental concerns. Owusu (2021) further critiques the limited capacity of participatory approaches to align with national regulatory frameworks, noting financial and technical constraints. These perspectives reveal a </w:t>
      </w:r>
      <w:r w:rsidRPr="00E41B80">
        <w:rPr>
          <w:rFonts w:ascii="Times New Roman" w:eastAsia="Times New Roman" w:hAnsi="Times New Roman" w:cs="Times New Roman"/>
          <w:bCs/>
          <w:lang w:val="en-US"/>
        </w:rPr>
        <w:t>confirmation of the importance of community governance at the local level</w:t>
      </w:r>
      <w:r w:rsidR="00AC2D0A" w:rsidRPr="00E41B80">
        <w:rPr>
          <w:rFonts w:ascii="Times New Roman" w:eastAsia="Times New Roman" w:hAnsi="Times New Roman" w:cs="Times New Roman"/>
          <w:bCs/>
          <w:lang w:val="en-US"/>
        </w:rPr>
        <w:t>,</w:t>
      </w:r>
      <w:r w:rsidRPr="00E41B80">
        <w:rPr>
          <w:rFonts w:ascii="Times New Roman" w:eastAsia="Times New Roman" w:hAnsi="Times New Roman" w:cs="Times New Roman"/>
          <w:lang w:val="en-US"/>
        </w:rPr>
        <w:t xml:space="preserve"> but also a </w:t>
      </w:r>
      <w:r w:rsidRPr="00E41B80">
        <w:rPr>
          <w:rFonts w:ascii="Times New Roman" w:eastAsia="Times New Roman" w:hAnsi="Times New Roman" w:cs="Times New Roman"/>
          <w:bCs/>
          <w:lang w:val="en-US"/>
        </w:rPr>
        <w:t>contradiction when such practices are scaled to align with formal systems</w:t>
      </w:r>
      <w:r w:rsidRPr="00E41B80">
        <w:rPr>
          <w:rFonts w:ascii="Times New Roman" w:eastAsia="Times New Roman" w:hAnsi="Times New Roman" w:cs="Times New Roman"/>
          <w:lang w:val="en-US"/>
        </w:rPr>
        <w:t>.</w:t>
      </w:r>
    </w:p>
    <w:p w14:paraId="38A6D35E" w14:textId="77777777" w:rsidR="00CE6F3E" w:rsidRPr="00E41B80" w:rsidRDefault="00CE6F3E" w:rsidP="00067E74">
      <w:pPr>
        <w:jc w:val="center"/>
        <w:rPr>
          <w:rFonts w:ascii="Times New Roman" w:hAnsi="Times New Roman" w:cs="Times New Roman"/>
          <w:b/>
        </w:rPr>
      </w:pPr>
      <w:r w:rsidRPr="00E41B80">
        <w:rPr>
          <w:rFonts w:ascii="Times New Roman" w:hAnsi="Times New Roman" w:cs="Times New Roman"/>
          <w:b/>
        </w:rPr>
        <w:lastRenderedPageBreak/>
        <w:t>Table 5: Adaptive and Flexible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1"/>
        <w:gridCol w:w="1966"/>
        <w:gridCol w:w="1721"/>
        <w:gridCol w:w="2198"/>
        <w:gridCol w:w="1844"/>
      </w:tblGrid>
      <w:tr w:rsidR="00AC2D0A" w:rsidRPr="00E41B80" w14:paraId="0AB797D3" w14:textId="77777777" w:rsidTr="00CE10E5">
        <w:trPr>
          <w:tblHeader/>
          <w:tblCellSpacing w:w="15" w:type="dxa"/>
        </w:trPr>
        <w:tc>
          <w:tcPr>
            <w:tcW w:w="0" w:type="auto"/>
            <w:tcBorders>
              <w:top w:val="single" w:sz="4" w:space="0" w:color="auto"/>
              <w:bottom w:val="single" w:sz="4" w:space="0" w:color="auto"/>
            </w:tcBorders>
            <w:shd w:val="clear" w:color="auto" w:fill="F4B083" w:themeFill="accent2" w:themeFillTint="99"/>
            <w:vAlign w:val="center"/>
            <w:hideMark/>
          </w:tcPr>
          <w:p w14:paraId="73079F01" w14:textId="77777777" w:rsidR="00CE6F3E" w:rsidRPr="00E41B80" w:rsidRDefault="00CE6F3E" w:rsidP="00CC055C">
            <w:pPr>
              <w:rPr>
                <w:rFonts w:ascii="Times New Roman" w:hAnsi="Times New Roman" w:cs="Times New Roman"/>
                <w:b/>
                <w:bCs/>
              </w:rPr>
            </w:pPr>
            <w:r w:rsidRPr="00E41B80">
              <w:rPr>
                <w:rFonts w:ascii="Times New Roman" w:hAnsi="Times New Roman" w:cs="Times New Roman"/>
                <w:b/>
                <w:bCs/>
              </w:rPr>
              <w:t>Author(s)</w:t>
            </w:r>
          </w:p>
        </w:tc>
        <w:tc>
          <w:tcPr>
            <w:tcW w:w="0" w:type="auto"/>
            <w:tcBorders>
              <w:top w:val="single" w:sz="4" w:space="0" w:color="auto"/>
              <w:bottom w:val="single" w:sz="4" w:space="0" w:color="auto"/>
            </w:tcBorders>
            <w:shd w:val="clear" w:color="auto" w:fill="F4B083" w:themeFill="accent2" w:themeFillTint="99"/>
            <w:vAlign w:val="center"/>
            <w:hideMark/>
          </w:tcPr>
          <w:p w14:paraId="066BD736" w14:textId="77777777" w:rsidR="00CE6F3E" w:rsidRPr="00E41B80" w:rsidRDefault="00CE6F3E" w:rsidP="00CC055C">
            <w:pPr>
              <w:jc w:val="center"/>
              <w:rPr>
                <w:rFonts w:ascii="Times New Roman" w:hAnsi="Times New Roman" w:cs="Times New Roman"/>
                <w:b/>
                <w:bCs/>
              </w:rPr>
            </w:pPr>
            <w:r w:rsidRPr="00E41B80">
              <w:rPr>
                <w:rFonts w:ascii="Times New Roman" w:hAnsi="Times New Roman" w:cs="Times New Roman"/>
                <w:b/>
                <w:bCs/>
              </w:rPr>
              <w:t>Objectives</w:t>
            </w:r>
          </w:p>
        </w:tc>
        <w:tc>
          <w:tcPr>
            <w:tcW w:w="0" w:type="auto"/>
            <w:tcBorders>
              <w:top w:val="single" w:sz="4" w:space="0" w:color="auto"/>
              <w:bottom w:val="single" w:sz="4" w:space="0" w:color="auto"/>
            </w:tcBorders>
            <w:shd w:val="clear" w:color="auto" w:fill="F4B083" w:themeFill="accent2" w:themeFillTint="99"/>
            <w:vAlign w:val="center"/>
            <w:hideMark/>
          </w:tcPr>
          <w:p w14:paraId="722BF12E" w14:textId="77777777" w:rsidR="00CE6F3E" w:rsidRPr="00E41B80" w:rsidRDefault="00CE6F3E" w:rsidP="00CC055C">
            <w:pPr>
              <w:jc w:val="center"/>
              <w:rPr>
                <w:rFonts w:ascii="Times New Roman" w:hAnsi="Times New Roman" w:cs="Times New Roman"/>
                <w:b/>
                <w:bCs/>
              </w:rPr>
            </w:pPr>
            <w:r w:rsidRPr="00E41B80">
              <w:rPr>
                <w:rFonts w:ascii="Times New Roman" w:hAnsi="Times New Roman" w:cs="Times New Roman"/>
                <w:b/>
                <w:bCs/>
              </w:rPr>
              <w:t>Methodology</w:t>
            </w:r>
          </w:p>
        </w:tc>
        <w:tc>
          <w:tcPr>
            <w:tcW w:w="0" w:type="auto"/>
            <w:tcBorders>
              <w:top w:val="single" w:sz="4" w:space="0" w:color="auto"/>
              <w:bottom w:val="single" w:sz="4" w:space="0" w:color="auto"/>
            </w:tcBorders>
            <w:shd w:val="clear" w:color="auto" w:fill="F4B083" w:themeFill="accent2" w:themeFillTint="99"/>
            <w:vAlign w:val="center"/>
            <w:hideMark/>
          </w:tcPr>
          <w:p w14:paraId="1AD06541" w14:textId="77777777" w:rsidR="00CE6F3E" w:rsidRPr="00E41B80" w:rsidRDefault="00CE6F3E" w:rsidP="00CC055C">
            <w:pPr>
              <w:jc w:val="center"/>
              <w:rPr>
                <w:rFonts w:ascii="Times New Roman" w:hAnsi="Times New Roman" w:cs="Times New Roman"/>
                <w:b/>
                <w:bCs/>
              </w:rPr>
            </w:pPr>
            <w:r w:rsidRPr="00E41B80">
              <w:rPr>
                <w:rFonts w:ascii="Times New Roman" w:hAnsi="Times New Roman" w:cs="Times New Roman"/>
                <w:b/>
                <w:bCs/>
              </w:rPr>
              <w:t>Key Findings</w:t>
            </w:r>
          </w:p>
        </w:tc>
        <w:tc>
          <w:tcPr>
            <w:tcW w:w="0" w:type="auto"/>
            <w:tcBorders>
              <w:top w:val="single" w:sz="4" w:space="0" w:color="auto"/>
              <w:bottom w:val="single" w:sz="4" w:space="0" w:color="auto"/>
            </w:tcBorders>
            <w:shd w:val="clear" w:color="auto" w:fill="F4B083" w:themeFill="accent2" w:themeFillTint="99"/>
            <w:vAlign w:val="center"/>
            <w:hideMark/>
          </w:tcPr>
          <w:p w14:paraId="47C925AF" w14:textId="77777777" w:rsidR="00CE6F3E" w:rsidRPr="00E41B80" w:rsidRDefault="00CE6F3E" w:rsidP="00CC055C">
            <w:pPr>
              <w:jc w:val="center"/>
              <w:rPr>
                <w:rFonts w:ascii="Times New Roman" w:hAnsi="Times New Roman" w:cs="Times New Roman"/>
                <w:b/>
                <w:bCs/>
              </w:rPr>
            </w:pPr>
            <w:r w:rsidRPr="00E41B80">
              <w:rPr>
                <w:rFonts w:ascii="Times New Roman" w:hAnsi="Times New Roman" w:cs="Times New Roman"/>
                <w:b/>
                <w:bCs/>
              </w:rPr>
              <w:t>Relevance</w:t>
            </w:r>
          </w:p>
        </w:tc>
      </w:tr>
      <w:tr w:rsidR="00AC2D0A" w:rsidRPr="00E41B80" w14:paraId="1C657E9B" w14:textId="77777777" w:rsidTr="00AC2D0A">
        <w:trPr>
          <w:tblCellSpacing w:w="15" w:type="dxa"/>
        </w:trPr>
        <w:tc>
          <w:tcPr>
            <w:tcW w:w="0" w:type="auto"/>
            <w:tcBorders>
              <w:top w:val="single" w:sz="4" w:space="0" w:color="auto"/>
              <w:bottom w:val="single" w:sz="4" w:space="0" w:color="auto"/>
            </w:tcBorders>
            <w:vAlign w:val="center"/>
            <w:hideMark/>
          </w:tcPr>
          <w:p w14:paraId="404826AF" w14:textId="77777777" w:rsidR="00CE6F3E" w:rsidRPr="00E41B80" w:rsidRDefault="00CE6F3E" w:rsidP="00CC055C">
            <w:pPr>
              <w:rPr>
                <w:rFonts w:ascii="Times New Roman" w:hAnsi="Times New Roman" w:cs="Times New Roman"/>
              </w:rPr>
            </w:pPr>
            <w:r w:rsidRPr="00E41B80">
              <w:rPr>
                <w:rFonts w:ascii="Times New Roman" w:hAnsi="Times New Roman" w:cs="Times New Roman"/>
              </w:rPr>
              <w:t>Frij</w:t>
            </w:r>
            <w:r w:rsidR="00AC2D0A" w:rsidRPr="00E41B80">
              <w:rPr>
                <w:rFonts w:ascii="Times New Roman" w:hAnsi="Times New Roman" w:cs="Times New Roman"/>
              </w:rPr>
              <w:t xml:space="preserve">ns et al. </w:t>
            </w:r>
            <w:r w:rsidRPr="00E41B80">
              <w:rPr>
                <w:rFonts w:ascii="Times New Roman" w:hAnsi="Times New Roman" w:cs="Times New Roman"/>
              </w:rPr>
              <w:t>(2023)</w:t>
            </w:r>
          </w:p>
        </w:tc>
        <w:tc>
          <w:tcPr>
            <w:tcW w:w="0" w:type="auto"/>
            <w:tcBorders>
              <w:top w:val="single" w:sz="4" w:space="0" w:color="auto"/>
              <w:bottom w:val="single" w:sz="4" w:space="0" w:color="auto"/>
            </w:tcBorders>
            <w:vAlign w:val="center"/>
            <w:hideMark/>
          </w:tcPr>
          <w:p w14:paraId="2B00E7C9"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To provide a roadmap for addressing governance and societal challenges in adopting circular water solutions.</w:t>
            </w:r>
          </w:p>
        </w:tc>
        <w:tc>
          <w:tcPr>
            <w:tcW w:w="0" w:type="auto"/>
            <w:tcBorders>
              <w:top w:val="single" w:sz="4" w:space="0" w:color="auto"/>
              <w:bottom w:val="single" w:sz="4" w:space="0" w:color="auto"/>
            </w:tcBorders>
            <w:vAlign w:val="center"/>
            <w:hideMark/>
          </w:tcPr>
          <w:p w14:paraId="5CC8C62F"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Policy roadmap/report under NextGen project.</w:t>
            </w:r>
          </w:p>
        </w:tc>
        <w:tc>
          <w:tcPr>
            <w:tcW w:w="0" w:type="auto"/>
            <w:tcBorders>
              <w:top w:val="single" w:sz="4" w:space="0" w:color="auto"/>
              <w:bottom w:val="single" w:sz="4" w:space="0" w:color="auto"/>
            </w:tcBorders>
            <w:vAlign w:val="center"/>
            <w:hideMark/>
          </w:tcPr>
          <w:p w14:paraId="1D67F3CF"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Demonstrated that adaptive governance supports wider uptake of circular solutions through flexible mechanisms.</w:t>
            </w:r>
          </w:p>
        </w:tc>
        <w:tc>
          <w:tcPr>
            <w:tcW w:w="0" w:type="auto"/>
            <w:tcBorders>
              <w:top w:val="single" w:sz="4" w:space="0" w:color="auto"/>
              <w:bottom w:val="single" w:sz="4" w:space="0" w:color="auto"/>
            </w:tcBorders>
            <w:vAlign w:val="center"/>
            <w:hideMark/>
          </w:tcPr>
          <w:p w14:paraId="380113E8"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Provides practical guidance for integrating adaptive governance in water sector transitions.</w:t>
            </w:r>
          </w:p>
        </w:tc>
      </w:tr>
      <w:tr w:rsidR="00AC2D0A" w:rsidRPr="00E41B80" w14:paraId="7D8C8B3D" w14:textId="77777777" w:rsidTr="00AC2D0A">
        <w:trPr>
          <w:tblCellSpacing w:w="15" w:type="dxa"/>
        </w:trPr>
        <w:tc>
          <w:tcPr>
            <w:tcW w:w="0" w:type="auto"/>
            <w:tcBorders>
              <w:top w:val="single" w:sz="4" w:space="0" w:color="auto"/>
              <w:bottom w:val="single" w:sz="4" w:space="0" w:color="auto"/>
            </w:tcBorders>
            <w:vAlign w:val="center"/>
            <w:hideMark/>
          </w:tcPr>
          <w:p w14:paraId="7CB6B32E" w14:textId="77777777" w:rsidR="00CE6F3E" w:rsidRPr="00E41B80" w:rsidRDefault="00CE6F3E" w:rsidP="00CC055C">
            <w:pPr>
              <w:rPr>
                <w:rFonts w:ascii="Times New Roman" w:hAnsi="Times New Roman" w:cs="Times New Roman"/>
              </w:rPr>
            </w:pPr>
            <w:r w:rsidRPr="00E41B80">
              <w:rPr>
                <w:rFonts w:ascii="Times New Roman" w:hAnsi="Times New Roman" w:cs="Times New Roman"/>
              </w:rPr>
              <w:t>International Water Management Institute (IWMI) (2024)</w:t>
            </w:r>
          </w:p>
        </w:tc>
        <w:tc>
          <w:tcPr>
            <w:tcW w:w="0" w:type="auto"/>
            <w:tcBorders>
              <w:top w:val="single" w:sz="4" w:space="0" w:color="auto"/>
              <w:bottom w:val="single" w:sz="4" w:space="0" w:color="auto"/>
            </w:tcBorders>
            <w:vAlign w:val="center"/>
            <w:hideMark/>
          </w:tcPr>
          <w:p w14:paraId="0804F8BB"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To establish the Circular Bio-Economy Innovation Hub.</w:t>
            </w:r>
          </w:p>
        </w:tc>
        <w:tc>
          <w:tcPr>
            <w:tcW w:w="0" w:type="auto"/>
            <w:tcBorders>
              <w:top w:val="single" w:sz="4" w:space="0" w:color="auto"/>
              <w:bottom w:val="single" w:sz="4" w:space="0" w:color="auto"/>
            </w:tcBorders>
            <w:vAlign w:val="center"/>
            <w:hideMark/>
          </w:tcPr>
          <w:p w14:paraId="41C6CBB7"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Institutional case study/initiative.</w:t>
            </w:r>
          </w:p>
        </w:tc>
        <w:tc>
          <w:tcPr>
            <w:tcW w:w="0" w:type="auto"/>
            <w:tcBorders>
              <w:top w:val="single" w:sz="4" w:space="0" w:color="auto"/>
              <w:bottom w:val="single" w:sz="4" w:space="0" w:color="auto"/>
            </w:tcBorders>
            <w:vAlign w:val="center"/>
            <w:hideMark/>
          </w:tcPr>
          <w:p w14:paraId="028204A6"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Showed how adaptive models evolve by blending state oversight with collaborative and private-sector roles.</w:t>
            </w:r>
          </w:p>
        </w:tc>
        <w:tc>
          <w:tcPr>
            <w:tcW w:w="0" w:type="auto"/>
            <w:tcBorders>
              <w:top w:val="single" w:sz="4" w:space="0" w:color="auto"/>
              <w:bottom w:val="single" w:sz="4" w:space="0" w:color="auto"/>
            </w:tcBorders>
            <w:vAlign w:val="center"/>
            <w:hideMark/>
          </w:tcPr>
          <w:p w14:paraId="50F90DA0"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Illustrates adaptive governance in action within Ghana.</w:t>
            </w:r>
          </w:p>
        </w:tc>
      </w:tr>
      <w:tr w:rsidR="00AC2D0A" w:rsidRPr="00E41B80" w14:paraId="026F23D5" w14:textId="77777777" w:rsidTr="00AC2D0A">
        <w:trPr>
          <w:tblCellSpacing w:w="15" w:type="dxa"/>
        </w:trPr>
        <w:tc>
          <w:tcPr>
            <w:tcW w:w="0" w:type="auto"/>
            <w:tcBorders>
              <w:top w:val="single" w:sz="4" w:space="0" w:color="auto"/>
              <w:bottom w:val="single" w:sz="4" w:space="0" w:color="auto"/>
            </w:tcBorders>
            <w:vAlign w:val="center"/>
            <w:hideMark/>
          </w:tcPr>
          <w:p w14:paraId="13C6AB62" w14:textId="77777777" w:rsidR="00CE6F3E" w:rsidRPr="00E41B80" w:rsidRDefault="00AC2D0A" w:rsidP="00CC055C">
            <w:pPr>
              <w:rPr>
                <w:rFonts w:ascii="Times New Roman" w:hAnsi="Times New Roman" w:cs="Times New Roman"/>
              </w:rPr>
            </w:pPr>
            <w:r w:rsidRPr="00E41B80">
              <w:rPr>
                <w:rFonts w:ascii="Times New Roman" w:hAnsi="Times New Roman" w:cs="Times New Roman"/>
              </w:rPr>
              <w:t>Panda et al.</w:t>
            </w:r>
            <w:r w:rsidR="00CE6F3E" w:rsidRPr="00E41B80">
              <w:rPr>
                <w:rFonts w:ascii="Times New Roman" w:hAnsi="Times New Roman" w:cs="Times New Roman"/>
              </w:rPr>
              <w:t xml:space="preserve"> (2025)</w:t>
            </w:r>
          </w:p>
        </w:tc>
        <w:tc>
          <w:tcPr>
            <w:tcW w:w="0" w:type="auto"/>
            <w:tcBorders>
              <w:top w:val="single" w:sz="4" w:space="0" w:color="auto"/>
              <w:bottom w:val="single" w:sz="4" w:space="0" w:color="auto"/>
            </w:tcBorders>
            <w:vAlign w:val="center"/>
            <w:hideMark/>
          </w:tcPr>
          <w:p w14:paraId="47A98AC5"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 xml:space="preserve">To develop a governance and regulatory framework for </w:t>
            </w:r>
            <w:r w:rsidR="00AC2D0A" w:rsidRPr="00E41B80">
              <w:rPr>
                <w:rFonts w:ascii="Times New Roman" w:hAnsi="Times New Roman" w:cs="Times New Roman"/>
              </w:rPr>
              <w:t xml:space="preserve">the </w:t>
            </w:r>
            <w:r w:rsidRPr="00E41B80">
              <w:rPr>
                <w:rFonts w:ascii="Times New Roman" w:hAnsi="Times New Roman" w:cs="Times New Roman"/>
              </w:rPr>
              <w:t>circular economy.</w:t>
            </w:r>
          </w:p>
        </w:tc>
        <w:tc>
          <w:tcPr>
            <w:tcW w:w="0" w:type="auto"/>
            <w:tcBorders>
              <w:top w:val="single" w:sz="4" w:space="0" w:color="auto"/>
              <w:bottom w:val="single" w:sz="4" w:space="0" w:color="auto"/>
            </w:tcBorders>
            <w:vAlign w:val="center"/>
            <w:hideMark/>
          </w:tcPr>
          <w:p w14:paraId="4E3D7BEF"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Conceptual framework and review.</w:t>
            </w:r>
          </w:p>
        </w:tc>
        <w:tc>
          <w:tcPr>
            <w:tcW w:w="0" w:type="auto"/>
            <w:tcBorders>
              <w:top w:val="single" w:sz="4" w:space="0" w:color="auto"/>
              <w:bottom w:val="single" w:sz="4" w:space="0" w:color="auto"/>
            </w:tcBorders>
            <w:vAlign w:val="center"/>
            <w:hideMark/>
          </w:tcPr>
          <w:p w14:paraId="27C86DE5"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Found that adaptive governance blends regulatory, market, and participatory tools for effectiveness.</w:t>
            </w:r>
          </w:p>
        </w:tc>
        <w:tc>
          <w:tcPr>
            <w:tcW w:w="0" w:type="auto"/>
            <w:tcBorders>
              <w:top w:val="single" w:sz="4" w:space="0" w:color="auto"/>
              <w:bottom w:val="single" w:sz="4" w:space="0" w:color="auto"/>
            </w:tcBorders>
            <w:vAlign w:val="center"/>
            <w:hideMark/>
          </w:tcPr>
          <w:p w14:paraId="4F2CBD83"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Offers theoretical support for adaptive frameworks relevant to Ghana’s context.</w:t>
            </w:r>
          </w:p>
        </w:tc>
      </w:tr>
      <w:tr w:rsidR="00AC2D0A" w:rsidRPr="00E41B80" w14:paraId="674B2400" w14:textId="77777777" w:rsidTr="00AC2D0A">
        <w:trPr>
          <w:tblCellSpacing w:w="15" w:type="dxa"/>
        </w:trPr>
        <w:tc>
          <w:tcPr>
            <w:tcW w:w="0" w:type="auto"/>
            <w:tcBorders>
              <w:top w:val="single" w:sz="4" w:space="0" w:color="auto"/>
              <w:bottom w:val="single" w:sz="4" w:space="0" w:color="auto"/>
            </w:tcBorders>
            <w:vAlign w:val="center"/>
            <w:hideMark/>
          </w:tcPr>
          <w:p w14:paraId="7CBE62AA" w14:textId="77777777" w:rsidR="00CE6F3E" w:rsidRPr="00E41B80" w:rsidRDefault="00CE6F3E" w:rsidP="00CC055C">
            <w:pPr>
              <w:rPr>
                <w:rFonts w:ascii="Times New Roman" w:hAnsi="Times New Roman" w:cs="Times New Roman"/>
              </w:rPr>
            </w:pPr>
            <w:proofErr w:type="spellStart"/>
            <w:r w:rsidRPr="00E41B80">
              <w:rPr>
                <w:rFonts w:ascii="Times New Roman" w:hAnsi="Times New Roman" w:cs="Times New Roman"/>
              </w:rPr>
              <w:t>Rangoni</w:t>
            </w:r>
            <w:proofErr w:type="spellEnd"/>
            <w:r w:rsidRPr="00E41B80">
              <w:rPr>
                <w:rFonts w:ascii="Times New Roman" w:hAnsi="Times New Roman" w:cs="Times New Roman"/>
              </w:rPr>
              <w:t xml:space="preserve"> Gargano</w:t>
            </w:r>
            <w:r w:rsidR="00AC2D0A" w:rsidRPr="00E41B80">
              <w:rPr>
                <w:rFonts w:ascii="Times New Roman" w:hAnsi="Times New Roman" w:cs="Times New Roman"/>
              </w:rPr>
              <w:t xml:space="preserve"> et al. </w:t>
            </w:r>
            <w:r w:rsidRPr="00E41B80">
              <w:rPr>
                <w:rFonts w:ascii="Times New Roman" w:hAnsi="Times New Roman" w:cs="Times New Roman"/>
              </w:rPr>
              <w:t>(2023)</w:t>
            </w:r>
          </w:p>
        </w:tc>
        <w:tc>
          <w:tcPr>
            <w:tcW w:w="0" w:type="auto"/>
            <w:tcBorders>
              <w:top w:val="single" w:sz="4" w:space="0" w:color="auto"/>
              <w:bottom w:val="single" w:sz="4" w:space="0" w:color="auto"/>
            </w:tcBorders>
            <w:vAlign w:val="center"/>
            <w:hideMark/>
          </w:tcPr>
          <w:p w14:paraId="2EDC0E1F"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To propose a governance model for measuring territorial circularity.</w:t>
            </w:r>
          </w:p>
        </w:tc>
        <w:tc>
          <w:tcPr>
            <w:tcW w:w="0" w:type="auto"/>
            <w:tcBorders>
              <w:top w:val="single" w:sz="4" w:space="0" w:color="auto"/>
              <w:bottom w:val="single" w:sz="4" w:space="0" w:color="auto"/>
            </w:tcBorders>
            <w:vAlign w:val="center"/>
            <w:hideMark/>
          </w:tcPr>
          <w:p w14:paraId="4B167721"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Conceptual and analytical model development.</w:t>
            </w:r>
          </w:p>
        </w:tc>
        <w:tc>
          <w:tcPr>
            <w:tcW w:w="0" w:type="auto"/>
            <w:tcBorders>
              <w:top w:val="single" w:sz="4" w:space="0" w:color="auto"/>
              <w:bottom w:val="single" w:sz="4" w:space="0" w:color="auto"/>
            </w:tcBorders>
            <w:vAlign w:val="center"/>
            <w:hideMark/>
          </w:tcPr>
          <w:p w14:paraId="37E50BD9"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Developed the Territory Circularity Index as a flexible governance tool.</w:t>
            </w:r>
          </w:p>
        </w:tc>
        <w:tc>
          <w:tcPr>
            <w:tcW w:w="0" w:type="auto"/>
            <w:tcBorders>
              <w:top w:val="single" w:sz="4" w:space="0" w:color="auto"/>
              <w:bottom w:val="single" w:sz="4" w:space="0" w:color="auto"/>
            </w:tcBorders>
            <w:vAlign w:val="center"/>
            <w:hideMark/>
          </w:tcPr>
          <w:p w14:paraId="69045C05" w14:textId="77777777" w:rsidR="00CE6F3E" w:rsidRPr="00E41B80" w:rsidRDefault="00CE6F3E" w:rsidP="00CC055C">
            <w:pPr>
              <w:jc w:val="center"/>
              <w:rPr>
                <w:rFonts w:ascii="Times New Roman" w:hAnsi="Times New Roman" w:cs="Times New Roman"/>
              </w:rPr>
            </w:pPr>
            <w:r w:rsidRPr="00E41B80">
              <w:rPr>
                <w:rFonts w:ascii="Times New Roman" w:hAnsi="Times New Roman" w:cs="Times New Roman"/>
              </w:rPr>
              <w:t>Provides assessment tools that can support adaptive governance in Ghana.</w:t>
            </w:r>
          </w:p>
        </w:tc>
      </w:tr>
    </w:tbl>
    <w:p w14:paraId="48B0FB53" w14:textId="77777777" w:rsidR="00CE6F3E" w:rsidRPr="00E41B80" w:rsidRDefault="00CC055C" w:rsidP="000E087B">
      <w:pPr>
        <w:jc w:val="center"/>
        <w:rPr>
          <w:rFonts w:ascii="Times New Roman" w:hAnsi="Times New Roman" w:cs="Times New Roman"/>
        </w:rPr>
      </w:pPr>
      <w:r w:rsidRPr="00E41B80">
        <w:rPr>
          <w:rFonts w:ascii="Times New Roman" w:hAnsi="Times New Roman" w:cs="Times New Roman"/>
        </w:rPr>
        <w:t>Source: Authors’ Construct</w:t>
      </w:r>
    </w:p>
    <w:p w14:paraId="48A68B80" w14:textId="77777777" w:rsidR="00CE6F3E" w:rsidRPr="00E41B80" w:rsidRDefault="00CE6F3E" w:rsidP="00CE6F3E">
      <w:pPr>
        <w:spacing w:before="100" w:beforeAutospacing="1" w:after="100" w:afterAutospacing="1" w:line="240" w:lineRule="auto"/>
        <w:jc w:val="both"/>
        <w:rPr>
          <w:rFonts w:ascii="Times New Roman" w:eastAsia="Times New Roman" w:hAnsi="Times New Roman" w:cs="Times New Roman"/>
          <w:lang w:val="en-US"/>
        </w:rPr>
      </w:pPr>
      <w:r w:rsidRPr="00E41B80">
        <w:rPr>
          <w:rFonts w:ascii="Times New Roman" w:eastAsia="Times New Roman" w:hAnsi="Times New Roman" w:cs="Times New Roman"/>
          <w:lang w:val="en-US"/>
        </w:rPr>
        <w:t>The literature confirms that adaptive governance is essential in addressing the complexity of urban resource management, particularly in contexts with limited institutional capac</w:t>
      </w:r>
      <w:r w:rsidR="00F83309" w:rsidRPr="00E41B80">
        <w:rPr>
          <w:rFonts w:ascii="Times New Roman" w:eastAsia="Times New Roman" w:hAnsi="Times New Roman" w:cs="Times New Roman"/>
          <w:lang w:val="en-US"/>
        </w:rPr>
        <w:t>ity. Frijns et al</w:t>
      </w:r>
      <w:r w:rsidRPr="00E41B80">
        <w:rPr>
          <w:rFonts w:ascii="Times New Roman" w:eastAsia="Times New Roman" w:hAnsi="Times New Roman" w:cs="Times New Roman"/>
          <w:lang w:val="en-US"/>
        </w:rPr>
        <w:t xml:space="preserve"> (2023) argue that adaptive governance mechanisms allow governments to respond flexibly to societal and governance challenges, thereby supporting wider adoption of circular water solutions. This perspective is supported by the International Water Management Institute (2024), which demonstrates through the Circular Bio-Economy Innovation Hub that adaptive governance can integrate state oversight with collaborative, community, and private-sector participation. At the</w:t>
      </w:r>
      <w:r w:rsidR="00F83309" w:rsidRPr="00E41B80">
        <w:rPr>
          <w:rFonts w:ascii="Times New Roman" w:eastAsia="Times New Roman" w:hAnsi="Times New Roman" w:cs="Times New Roman"/>
          <w:lang w:val="en-US"/>
        </w:rPr>
        <w:t xml:space="preserve"> conceptual level, Panda et al.</w:t>
      </w:r>
      <w:r w:rsidRPr="00E41B80">
        <w:rPr>
          <w:rFonts w:ascii="Times New Roman" w:eastAsia="Times New Roman" w:hAnsi="Times New Roman" w:cs="Times New Roman"/>
          <w:lang w:val="en-US"/>
        </w:rPr>
        <w:t xml:space="preserve"> (2025) emphasize that adaptive governance requires the integration of regulatory, market-based, and participator</w:t>
      </w:r>
      <w:r w:rsidR="00F83309" w:rsidRPr="00E41B80">
        <w:rPr>
          <w:rFonts w:ascii="Times New Roman" w:eastAsia="Times New Roman" w:hAnsi="Times New Roman" w:cs="Times New Roman"/>
          <w:lang w:val="en-US"/>
        </w:rPr>
        <w:t xml:space="preserve">y instruments. </w:t>
      </w:r>
      <w:proofErr w:type="spellStart"/>
      <w:r w:rsidR="00F83309" w:rsidRPr="00E41B80">
        <w:rPr>
          <w:rFonts w:ascii="Times New Roman" w:eastAsia="Times New Roman" w:hAnsi="Times New Roman" w:cs="Times New Roman"/>
          <w:lang w:val="en-US"/>
        </w:rPr>
        <w:t>Rangoni</w:t>
      </w:r>
      <w:proofErr w:type="spellEnd"/>
      <w:r w:rsidR="00F83309" w:rsidRPr="00E41B80">
        <w:rPr>
          <w:rFonts w:ascii="Times New Roman" w:eastAsia="Times New Roman" w:hAnsi="Times New Roman" w:cs="Times New Roman"/>
          <w:lang w:val="en-US"/>
        </w:rPr>
        <w:t xml:space="preserve"> Gargano et al. </w:t>
      </w:r>
      <w:r w:rsidRPr="00E41B80">
        <w:rPr>
          <w:rFonts w:ascii="Times New Roman" w:eastAsia="Times New Roman" w:hAnsi="Times New Roman" w:cs="Times New Roman"/>
          <w:lang w:val="en-US"/>
        </w:rPr>
        <w:t xml:space="preserve">(2023) complement this argument by proposing the Territory Circularity Index as a flexible governance tool for assessment and monitoring. The two perspectives differ slightly: Panda and colleagues focus on the systemic integration of governance tools, while </w:t>
      </w:r>
      <w:proofErr w:type="spellStart"/>
      <w:r w:rsidRPr="00E41B80">
        <w:rPr>
          <w:rFonts w:ascii="Times New Roman" w:eastAsia="Times New Roman" w:hAnsi="Times New Roman" w:cs="Times New Roman"/>
          <w:lang w:val="en-US"/>
        </w:rPr>
        <w:t>Rangoni</w:t>
      </w:r>
      <w:proofErr w:type="spellEnd"/>
      <w:r w:rsidRPr="00E41B80">
        <w:rPr>
          <w:rFonts w:ascii="Times New Roman" w:eastAsia="Times New Roman" w:hAnsi="Times New Roman" w:cs="Times New Roman"/>
          <w:lang w:val="en-US"/>
        </w:rPr>
        <w:t xml:space="preserve"> </w:t>
      </w:r>
      <w:r w:rsidR="00F83309" w:rsidRPr="00E41B80">
        <w:rPr>
          <w:rFonts w:ascii="Times New Roman" w:eastAsia="Times New Roman" w:hAnsi="Times New Roman" w:cs="Times New Roman"/>
          <w:lang w:val="en-US"/>
        </w:rPr>
        <w:t>et al. (2023)</w:t>
      </w:r>
      <w:r w:rsidRPr="00E41B80">
        <w:rPr>
          <w:rFonts w:ascii="Times New Roman" w:eastAsia="Times New Roman" w:hAnsi="Times New Roman" w:cs="Times New Roman"/>
          <w:lang w:val="en-US"/>
        </w:rPr>
        <w:t xml:space="preserve"> highlight the importance of measurement and evaluation. Together, they confirm that adaptive governance requires both </w:t>
      </w:r>
      <w:r w:rsidRPr="00E41B80">
        <w:rPr>
          <w:rFonts w:ascii="Times New Roman" w:eastAsia="Times New Roman" w:hAnsi="Times New Roman" w:cs="Times New Roman"/>
          <w:bCs/>
          <w:lang w:val="en-US"/>
        </w:rPr>
        <w:t>flexibility in design and continuous monitoring to respond to emerging challenges</w:t>
      </w:r>
      <w:r w:rsidRPr="00E41B80">
        <w:rPr>
          <w:rFonts w:ascii="Times New Roman" w:eastAsia="Times New Roman" w:hAnsi="Times New Roman" w:cs="Times New Roman"/>
          <w:lang w:val="en-US"/>
        </w:rPr>
        <w:t>.</w:t>
      </w:r>
    </w:p>
    <w:p w14:paraId="38427A01" w14:textId="77777777" w:rsidR="00174C84" w:rsidRPr="00E41B80" w:rsidRDefault="00174C84" w:rsidP="00CE6F3E">
      <w:pPr>
        <w:spacing w:before="100" w:beforeAutospacing="1" w:after="100" w:afterAutospacing="1" w:line="240" w:lineRule="auto"/>
        <w:jc w:val="both"/>
        <w:rPr>
          <w:rFonts w:ascii="Times New Roman" w:eastAsia="Times New Roman" w:hAnsi="Times New Roman" w:cs="Times New Roman"/>
          <w:lang w:val="en-US"/>
        </w:rPr>
      </w:pPr>
    </w:p>
    <w:p w14:paraId="694F3D4C" w14:textId="77777777" w:rsidR="00CE6F3E" w:rsidRPr="00E41B80" w:rsidRDefault="00CE6F3E" w:rsidP="000E087B">
      <w:pPr>
        <w:pStyle w:val="ListParagraph"/>
        <w:numPr>
          <w:ilvl w:val="0"/>
          <w:numId w:val="1"/>
        </w:numPr>
        <w:jc w:val="both"/>
        <w:rPr>
          <w:rFonts w:ascii="Times New Roman" w:hAnsi="Times New Roman" w:cs="Times New Roman"/>
          <w:b/>
        </w:rPr>
      </w:pPr>
      <w:r w:rsidRPr="00E41B80">
        <w:rPr>
          <w:rFonts w:ascii="Times New Roman" w:hAnsi="Times New Roman" w:cs="Times New Roman"/>
          <w:b/>
        </w:rPr>
        <w:lastRenderedPageBreak/>
        <w:t>CONCLUSION AND RECOMMENDATIONS</w:t>
      </w:r>
    </w:p>
    <w:p w14:paraId="1FEF6AA6" w14:textId="77777777" w:rsidR="00CE6F3E" w:rsidRPr="00E41B80" w:rsidRDefault="00CE6F3E" w:rsidP="00CE6F3E">
      <w:pPr>
        <w:pStyle w:val="NormalWeb"/>
        <w:jc w:val="both"/>
        <w:rPr>
          <w:sz w:val="22"/>
          <w:szCs w:val="22"/>
        </w:rPr>
      </w:pPr>
      <w:r w:rsidRPr="00E41B80">
        <w:rPr>
          <w:sz w:val="22"/>
          <w:szCs w:val="22"/>
        </w:rPr>
        <w:t>This study has examined the different governance models shaping the implementation of circular economy principles in water and nutrient management in Ghana. The evidence shows that governance remains the central driver of how effectively circular economy strategies are designed, institutionalized, and sustained. Across the models analyzed, it is clear that no single governance approach is sufficient; rather, each offers strengths and weaknesses that together highlight the need for integrated and context-sensitive strategies.</w:t>
      </w:r>
    </w:p>
    <w:p w14:paraId="3EDB1435" w14:textId="77777777" w:rsidR="00CE6F3E" w:rsidRPr="00E41B80" w:rsidRDefault="00CE6F3E" w:rsidP="00CE6F3E">
      <w:pPr>
        <w:pStyle w:val="NormalWeb"/>
        <w:jc w:val="both"/>
        <w:rPr>
          <w:sz w:val="22"/>
          <w:szCs w:val="22"/>
        </w:rPr>
      </w:pPr>
      <w:r w:rsidRPr="00E41B80">
        <w:rPr>
          <w:sz w:val="22"/>
          <w:szCs w:val="22"/>
        </w:rPr>
        <w:t>State-regulated governance has laid the foundation for Ghana’s transition, particularly through instruments such as the National Plastics Management Policy and the Circular Economy Roadmap. However, the effectiveness of these frameworks continues to be undermined by weak enforcement and inadequate financing. It is therefore recommended that the Government of Ghana strengthen enforcement by allocating dedicated financial resources and building monitoring capacity within local government agencies, ensuring that policies move beyond symbolic adoption to actual implementation.</w:t>
      </w:r>
    </w:p>
    <w:p w14:paraId="75A30E0A" w14:textId="77777777" w:rsidR="00CE6F3E" w:rsidRPr="00E41B80" w:rsidRDefault="00CE6F3E" w:rsidP="00CE6F3E">
      <w:pPr>
        <w:pStyle w:val="NormalWeb"/>
        <w:jc w:val="both"/>
        <w:rPr>
          <w:sz w:val="22"/>
          <w:szCs w:val="22"/>
        </w:rPr>
      </w:pPr>
      <w:r w:rsidRPr="00E41B80">
        <w:rPr>
          <w:sz w:val="22"/>
          <w:szCs w:val="22"/>
        </w:rPr>
        <w:t>Collaborative and multi-stakeholder governance models have proven effective in fostering innovation and building capacity, as demonstrated by the Circular Bio-Economy Innovation Hub and the Waste Recovery Platform. Yet, sustaining such partnerships remains a challenge. To address this, stakeholder platforms should institutionalize long-term financing mechanisms, such as waste management levies earmarked to support cross-sectoral initiatives, so that collaboration is not dependent on short-term donor projects.</w:t>
      </w:r>
    </w:p>
    <w:p w14:paraId="0B5E9F34" w14:textId="77777777" w:rsidR="00CE6F3E" w:rsidRPr="00E41B80" w:rsidRDefault="00CE6F3E" w:rsidP="00CE6F3E">
      <w:pPr>
        <w:pStyle w:val="NormalWeb"/>
        <w:jc w:val="both"/>
        <w:rPr>
          <w:sz w:val="22"/>
          <w:szCs w:val="22"/>
        </w:rPr>
      </w:pPr>
      <w:r w:rsidRPr="00E41B80">
        <w:rPr>
          <w:sz w:val="22"/>
          <w:szCs w:val="22"/>
        </w:rPr>
        <w:t>Public-Private Partnerships and hybrid governance arrangements have demonstrated success in mobilizing investment, particularly in waste-to-energy projects in Accra. Nonetheless, the risk of politically driven contracts and profit-oriented motives cannot be overlooked. To safeguard public interests, the Ministry of Environment, Science, Technology</w:t>
      </w:r>
      <w:r w:rsidR="00174C84" w:rsidRPr="00E41B80">
        <w:rPr>
          <w:sz w:val="22"/>
          <w:szCs w:val="22"/>
        </w:rPr>
        <w:t>,</w:t>
      </w:r>
      <w:r w:rsidRPr="00E41B80">
        <w:rPr>
          <w:sz w:val="22"/>
          <w:szCs w:val="22"/>
        </w:rPr>
        <w:t xml:space="preserve"> and Innovation should mandate transparent contracting processes, with clauses that ensure affordability and environmental compliance, while also requiring regular audits of private operators engaged in waste-to-energy and recycling projects.</w:t>
      </w:r>
    </w:p>
    <w:p w14:paraId="480E5440" w14:textId="77777777" w:rsidR="00CE6F3E" w:rsidRPr="00E41B80" w:rsidRDefault="00CE6F3E" w:rsidP="00CE6F3E">
      <w:pPr>
        <w:pStyle w:val="NormalWeb"/>
        <w:jc w:val="both"/>
        <w:rPr>
          <w:sz w:val="22"/>
          <w:szCs w:val="22"/>
        </w:rPr>
      </w:pPr>
      <w:r w:rsidRPr="00E41B80">
        <w:rPr>
          <w:sz w:val="22"/>
          <w:szCs w:val="22"/>
        </w:rPr>
        <w:t>Community and participatory governance approaches remain indispensable, particularly in contexts where informal actors play a dominant role in waste collection and resource recovery. However, safety and integration with national systems present challenges. It is recommended that municipal authorities formally recognize and certify community-based waste and water reuse practices, providing technical training and basic protective equipment for waste pickers and urban farmers, while also integrating them into national reporting and monitoring frameworks. This would improve both the efficiency and safety of grassroots circular economy practices.</w:t>
      </w:r>
    </w:p>
    <w:p w14:paraId="68C2E43A" w14:textId="77777777" w:rsidR="00CE6F3E" w:rsidRPr="00E41B80" w:rsidRDefault="00CE6F3E" w:rsidP="00CE6F3E">
      <w:pPr>
        <w:pStyle w:val="NormalWeb"/>
        <w:jc w:val="both"/>
        <w:rPr>
          <w:sz w:val="22"/>
          <w:szCs w:val="22"/>
        </w:rPr>
      </w:pPr>
      <w:r w:rsidRPr="00E41B80">
        <w:rPr>
          <w:sz w:val="22"/>
          <w:szCs w:val="22"/>
        </w:rPr>
        <w:t>Finally, adaptive and flexible governance has emerged as the most promising model for addressing Ghana’s institutional and infrastructural limitations. Adaptive frameworks allow governance systems to evolve in response to emerging challenges and opportunities. To strengthen this approach, it is recommended that the Ministry of Environment, Science, Technology</w:t>
      </w:r>
      <w:r w:rsidR="00174C84" w:rsidRPr="00E41B80">
        <w:rPr>
          <w:sz w:val="22"/>
          <w:szCs w:val="22"/>
        </w:rPr>
        <w:t>,</w:t>
      </w:r>
      <w:r w:rsidRPr="00E41B80">
        <w:rPr>
          <w:sz w:val="22"/>
          <w:szCs w:val="22"/>
        </w:rPr>
        <w:t xml:space="preserve"> and Innovation integrate adaptive monitoring tools, such as the Territory Circularity Index, into its Circular Economy Roadmap, ensuring that progress is continuously measured and policies are adjusted accordingly.</w:t>
      </w:r>
    </w:p>
    <w:p w14:paraId="17BA8221" w14:textId="77777777" w:rsidR="00F1431C" w:rsidRPr="00E41B80" w:rsidRDefault="00F1431C" w:rsidP="00F1431C">
      <w:pPr>
        <w:spacing w:after="200" w:line="276" w:lineRule="auto"/>
        <w:rPr>
          <w:rFonts w:ascii="Times New Roman" w:eastAsia="Calibri" w:hAnsi="Times New Roman" w:cs="Times New Roman"/>
          <w:b/>
          <w:bCs/>
        </w:rPr>
      </w:pPr>
      <w:r w:rsidRPr="00E41B80">
        <w:rPr>
          <w:rFonts w:ascii="Times New Roman" w:eastAsia="Calibri" w:hAnsi="Times New Roman" w:cs="Times New Roman"/>
          <w:b/>
          <w:bCs/>
        </w:rPr>
        <w:t>Disclaimer (Artificial intelligence)</w:t>
      </w:r>
    </w:p>
    <w:p w14:paraId="691EE588" w14:textId="77777777" w:rsidR="00F1431C" w:rsidRDefault="00F1431C" w:rsidP="00F1431C">
      <w:pPr>
        <w:spacing w:line="240" w:lineRule="auto"/>
        <w:jc w:val="both"/>
        <w:rPr>
          <w:rFonts w:ascii="Times New Roman" w:eastAsia="Calibri" w:hAnsi="Times New Roman" w:cs="Times New Roman"/>
        </w:rPr>
      </w:pPr>
      <w:r w:rsidRPr="00E41B80">
        <w:rPr>
          <w:rFonts w:ascii="Times New Roman" w:eastAsia="Calibri" w:hAnsi="Times New Roman" w:cs="Times New Roman"/>
        </w:rPr>
        <w:t>The author (s) hereby declare that NO generative AI technologies, such as Large Language Models (ChatGPT, COPILOT, etc.) and text-to-image generators, have been used during the writing or editing of this manuscript.</w:t>
      </w:r>
    </w:p>
    <w:p w14:paraId="65B6BA66" w14:textId="77777777" w:rsidR="005B41AC" w:rsidRPr="00E41B80" w:rsidRDefault="005B41AC" w:rsidP="00F1431C">
      <w:pPr>
        <w:spacing w:line="240" w:lineRule="auto"/>
        <w:jc w:val="both"/>
        <w:rPr>
          <w:rFonts w:ascii="Times New Roman" w:eastAsia="Calibri" w:hAnsi="Times New Roman" w:cs="Times New Roman"/>
        </w:rPr>
      </w:pPr>
      <w:bookmarkStart w:id="0" w:name="_GoBack"/>
      <w:bookmarkEnd w:id="0"/>
    </w:p>
    <w:p w14:paraId="61587F6D" w14:textId="77777777" w:rsidR="00733DE6" w:rsidRDefault="00733DE6" w:rsidP="00B90860">
      <w:pPr>
        <w:spacing w:before="100" w:beforeAutospacing="1" w:after="100" w:afterAutospacing="1" w:line="276" w:lineRule="auto"/>
        <w:jc w:val="both"/>
        <w:rPr>
          <w:rFonts w:ascii="Times New Roman" w:eastAsia="Calibri" w:hAnsi="Times New Roman" w:cs="Times New Roman"/>
        </w:rPr>
      </w:pPr>
    </w:p>
    <w:p w14:paraId="1B1D5D74" w14:textId="77777777" w:rsidR="00B90860" w:rsidRPr="00E41B80" w:rsidRDefault="00B90860" w:rsidP="00B90860">
      <w:pPr>
        <w:spacing w:before="100" w:beforeAutospacing="1" w:after="100" w:afterAutospacing="1" w:line="276" w:lineRule="auto"/>
        <w:jc w:val="both"/>
        <w:rPr>
          <w:rFonts w:ascii="Times New Roman" w:hAnsi="Times New Roman" w:cs="Times New Roman"/>
          <w:b/>
        </w:rPr>
      </w:pPr>
      <w:r w:rsidRPr="00E41B80">
        <w:rPr>
          <w:rFonts w:ascii="Times New Roman" w:hAnsi="Times New Roman" w:cs="Times New Roman"/>
          <w:b/>
        </w:rPr>
        <w:t>REFERENCES</w:t>
      </w:r>
    </w:p>
    <w:p w14:paraId="5096F159" w14:textId="77777777" w:rsidR="00D76ED6" w:rsidRPr="00E41B80" w:rsidRDefault="00D76ED6" w:rsidP="00165480">
      <w:pPr>
        <w:pStyle w:val="ListParagraph1"/>
        <w:spacing w:after="891" w:line="240" w:lineRule="auto"/>
        <w:ind w:left="993" w:right="136" w:hanging="993"/>
        <w:jc w:val="both"/>
        <w:rPr>
          <w:sz w:val="22"/>
        </w:rPr>
      </w:pPr>
      <w:proofErr w:type="spellStart"/>
      <w:r w:rsidRPr="00E41B80">
        <w:rPr>
          <w:sz w:val="22"/>
        </w:rPr>
        <w:t>Adubofour</w:t>
      </w:r>
      <w:proofErr w:type="spellEnd"/>
      <w:r w:rsidRPr="00E41B80">
        <w:rPr>
          <w:sz w:val="22"/>
        </w:rPr>
        <w:t xml:space="preserve">, K., Osei, F. B., &amp; Agyemang, E. (2020). Urban water supply and sanitation in Ghana: A review of challenges and prospects. </w:t>
      </w:r>
      <w:r w:rsidRPr="00E41B80">
        <w:rPr>
          <w:rStyle w:val="Emphasis"/>
          <w:sz w:val="22"/>
        </w:rPr>
        <w:t>Journal of Urban Management, 9</w:t>
      </w:r>
      <w:r w:rsidRPr="00E41B80">
        <w:rPr>
          <w:sz w:val="22"/>
        </w:rPr>
        <w:t xml:space="preserve">(2), 123–132. </w:t>
      </w:r>
      <w:hyperlink r:id="rId23" w:history="1">
        <w:r w:rsidRPr="00E41B80">
          <w:rPr>
            <w:rStyle w:val="Hyperlink"/>
            <w:sz w:val="22"/>
          </w:rPr>
          <w:t>https://doi.org/10.1016/j.jum.2020.05.002</w:t>
        </w:r>
      </w:hyperlink>
    </w:p>
    <w:p w14:paraId="49B5C4BD" w14:textId="77777777" w:rsidR="00503E25" w:rsidRPr="00E41B80" w:rsidRDefault="00503E25" w:rsidP="00165480">
      <w:pPr>
        <w:pStyle w:val="ListParagraph1"/>
        <w:spacing w:after="891" w:line="240" w:lineRule="auto"/>
        <w:ind w:left="993" w:right="136" w:hanging="993"/>
        <w:jc w:val="both"/>
        <w:rPr>
          <w:sz w:val="22"/>
        </w:rPr>
      </w:pPr>
      <w:r w:rsidRPr="00E41B80">
        <w:rPr>
          <w:sz w:val="22"/>
        </w:rPr>
        <w:t xml:space="preserve">Africa Circular. (2025). </w:t>
      </w:r>
      <w:r w:rsidRPr="00E41B80">
        <w:rPr>
          <w:rStyle w:val="Emphasis"/>
          <w:sz w:val="22"/>
        </w:rPr>
        <w:t>Circular Economy Action Plan and Roadmap in Ghana</w:t>
      </w:r>
      <w:r w:rsidRPr="00E41B80">
        <w:rPr>
          <w:sz w:val="22"/>
        </w:rPr>
        <w:t xml:space="preserve">. </w:t>
      </w:r>
      <w:hyperlink r:id="rId24" w:history="1">
        <w:r w:rsidRPr="00E41B80">
          <w:rPr>
            <w:rStyle w:val="Hyperlink"/>
            <w:sz w:val="22"/>
          </w:rPr>
          <w:t>https://africacircular.org/circular-economy-action-plan-and-roadmap-in-ghana/</w:t>
        </w:r>
      </w:hyperlink>
    </w:p>
    <w:p w14:paraId="5D496598"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African Circular Business Alliance. (2024). </w:t>
      </w:r>
      <w:r w:rsidRPr="00E41B80">
        <w:rPr>
          <w:rStyle w:val="Emphasis"/>
          <w:sz w:val="22"/>
        </w:rPr>
        <w:t>About us</w:t>
      </w:r>
      <w:r w:rsidRPr="00E41B80">
        <w:rPr>
          <w:sz w:val="22"/>
        </w:rPr>
        <w:t xml:space="preserve">. </w:t>
      </w:r>
      <w:hyperlink r:id="rId25" w:history="1">
        <w:r w:rsidRPr="00E41B80">
          <w:rPr>
            <w:rStyle w:val="Hyperlink"/>
            <w:sz w:val="22"/>
          </w:rPr>
          <w:t>https://acba.africa/about-us/</w:t>
        </w:r>
      </w:hyperlink>
    </w:p>
    <w:p w14:paraId="63CB5760" w14:textId="77777777" w:rsidR="00503E25" w:rsidRPr="00E41B80" w:rsidRDefault="00503E25" w:rsidP="00165480">
      <w:pPr>
        <w:pStyle w:val="ListParagraph1"/>
        <w:spacing w:after="891" w:line="240" w:lineRule="auto"/>
        <w:ind w:left="993" w:right="136" w:hanging="993"/>
        <w:jc w:val="both"/>
        <w:rPr>
          <w:sz w:val="22"/>
        </w:rPr>
      </w:pPr>
      <w:r w:rsidRPr="00E41B80">
        <w:rPr>
          <w:sz w:val="22"/>
        </w:rPr>
        <w:t xml:space="preserve">Agbo, C., Jeffrey, P., &amp; Sule, M. N. (2025). Evaluation of failings in urban water supply and sanitation systems in Sub-Saharan Africa: A systematic review to inform future planning. </w:t>
      </w:r>
      <w:r w:rsidRPr="00E41B80">
        <w:rPr>
          <w:rStyle w:val="Emphasis"/>
          <w:sz w:val="22"/>
        </w:rPr>
        <w:t>Journal of Water, Sanitation and Hygiene for Development, 15</w:t>
      </w:r>
      <w:r w:rsidRPr="00E41B80">
        <w:rPr>
          <w:sz w:val="22"/>
        </w:rPr>
        <w:t xml:space="preserve">(2), 148–165. </w:t>
      </w:r>
      <w:hyperlink r:id="rId26" w:history="1">
        <w:r w:rsidRPr="00E41B80">
          <w:rPr>
            <w:rStyle w:val="Hyperlink"/>
            <w:sz w:val="22"/>
          </w:rPr>
          <w:t>https://doi.org/10.2166/washdev.2025.267</w:t>
        </w:r>
      </w:hyperlink>
    </w:p>
    <w:p w14:paraId="0AE3F1F1"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Agyei, K. D., </w:t>
      </w:r>
      <w:proofErr w:type="spellStart"/>
      <w:r w:rsidRPr="00E41B80">
        <w:rPr>
          <w:sz w:val="22"/>
        </w:rPr>
        <w:t>Manteaw</w:t>
      </w:r>
      <w:proofErr w:type="spellEnd"/>
      <w:r w:rsidRPr="00E41B80">
        <w:rPr>
          <w:sz w:val="22"/>
        </w:rPr>
        <w:t xml:space="preserve">, B. O., Nyamekye, A. B., Enu, K. B., &amp; Yeboah, T. (2023). Pathways towards a circular economy in Ghana: The contribution of waste transfer stations and informal waste collectors. In M. O. </w:t>
      </w:r>
      <w:proofErr w:type="spellStart"/>
      <w:r w:rsidRPr="00E41B80">
        <w:rPr>
          <w:sz w:val="22"/>
        </w:rPr>
        <w:t>Erdiaw-Kwasie</w:t>
      </w:r>
      <w:proofErr w:type="spellEnd"/>
      <w:r w:rsidRPr="00E41B80">
        <w:rPr>
          <w:sz w:val="22"/>
        </w:rPr>
        <w:t xml:space="preserve"> &amp; G. M. M. Alam (Eds.), </w:t>
      </w:r>
      <w:r w:rsidRPr="00E41B80">
        <w:rPr>
          <w:rStyle w:val="Emphasis"/>
          <w:sz w:val="22"/>
        </w:rPr>
        <w:t>Circular Economy Strategies and the UN Sustainable Development Goals</w:t>
      </w:r>
      <w:r w:rsidRPr="00E41B80">
        <w:rPr>
          <w:sz w:val="22"/>
        </w:rPr>
        <w:t xml:space="preserve"> (pp. 345–368). Springer. </w:t>
      </w:r>
      <w:hyperlink r:id="rId27" w:history="1">
        <w:r w:rsidRPr="00E41B80">
          <w:rPr>
            <w:rStyle w:val="Hyperlink"/>
            <w:sz w:val="22"/>
          </w:rPr>
          <w:t>https://doi.org/10.1007/978-981-99-3083-8_18</w:t>
        </w:r>
      </w:hyperlink>
    </w:p>
    <w:p w14:paraId="65C56BE3" w14:textId="77777777" w:rsidR="00D76ED6" w:rsidRPr="00E41B80" w:rsidRDefault="00D76ED6" w:rsidP="00165480">
      <w:pPr>
        <w:pStyle w:val="ListParagraph1"/>
        <w:spacing w:after="891" w:line="240" w:lineRule="auto"/>
        <w:ind w:left="993" w:right="136" w:hanging="993"/>
        <w:jc w:val="both"/>
        <w:rPr>
          <w:sz w:val="22"/>
        </w:rPr>
      </w:pPr>
      <w:proofErr w:type="spellStart"/>
      <w:r w:rsidRPr="00E41B80">
        <w:rPr>
          <w:sz w:val="22"/>
        </w:rPr>
        <w:t>Ahenkan</w:t>
      </w:r>
      <w:proofErr w:type="spellEnd"/>
      <w:r w:rsidRPr="00E41B80">
        <w:rPr>
          <w:sz w:val="22"/>
        </w:rPr>
        <w:t xml:space="preserve">, A., Boon, E., Nordjo, E., &amp; </w:t>
      </w:r>
      <w:proofErr w:type="spellStart"/>
      <w:r w:rsidRPr="00E41B80">
        <w:rPr>
          <w:sz w:val="22"/>
        </w:rPr>
        <w:t>Akalibey</w:t>
      </w:r>
      <w:proofErr w:type="spellEnd"/>
      <w:r w:rsidRPr="00E41B80">
        <w:rPr>
          <w:sz w:val="22"/>
        </w:rPr>
        <w:t xml:space="preserve">, S. (2025). Advancing the transition to circular economy in Ghana: Prospects and challenges. </w:t>
      </w:r>
      <w:r w:rsidRPr="00E41B80">
        <w:rPr>
          <w:rStyle w:val="Emphasis"/>
          <w:sz w:val="22"/>
        </w:rPr>
        <w:t>Environmental Development, 55</w:t>
      </w:r>
      <w:r w:rsidRPr="00E41B80">
        <w:rPr>
          <w:sz w:val="22"/>
        </w:rPr>
        <w:t xml:space="preserve">, 101229. </w:t>
      </w:r>
      <w:hyperlink r:id="rId28" w:history="1">
        <w:r w:rsidRPr="00E41B80">
          <w:rPr>
            <w:rStyle w:val="Hyperlink"/>
            <w:sz w:val="22"/>
          </w:rPr>
          <w:t>https://doi.org/10.1016/j.envdev.2025.101229</w:t>
        </w:r>
      </w:hyperlink>
    </w:p>
    <w:p w14:paraId="61C8CC4A"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Akter, M. M., Hosen, M. A., </w:t>
      </w:r>
      <w:proofErr w:type="spellStart"/>
      <w:r w:rsidRPr="00E41B80">
        <w:rPr>
          <w:sz w:val="22"/>
        </w:rPr>
        <w:t>Gilroyed</w:t>
      </w:r>
      <w:proofErr w:type="spellEnd"/>
      <w:r w:rsidRPr="00E41B80">
        <w:rPr>
          <w:sz w:val="22"/>
        </w:rPr>
        <w:t xml:space="preserve">, B. H., Eti, S. A., Sarker, P., Kabir, M. M., &amp; </w:t>
      </w:r>
      <w:proofErr w:type="spellStart"/>
      <w:r w:rsidRPr="00E41B80">
        <w:rPr>
          <w:sz w:val="22"/>
        </w:rPr>
        <w:t>Mohinuzzaman</w:t>
      </w:r>
      <w:proofErr w:type="spellEnd"/>
      <w:r w:rsidRPr="00E41B80">
        <w:rPr>
          <w:sz w:val="22"/>
        </w:rPr>
        <w:t xml:space="preserve">, M. (2024). Nutrient recovery for fertilizer production and wastewater treatment for a circular economy. </w:t>
      </w:r>
      <w:r w:rsidRPr="00E41B80">
        <w:rPr>
          <w:rStyle w:val="Emphasis"/>
          <w:sz w:val="22"/>
        </w:rPr>
        <w:t>ACS Sustainable Resource Management</w:t>
      </w:r>
      <w:r w:rsidRPr="00E41B80">
        <w:rPr>
          <w:sz w:val="22"/>
        </w:rPr>
        <w:t xml:space="preserve">. </w:t>
      </w:r>
      <w:hyperlink r:id="rId29" w:history="1">
        <w:r w:rsidRPr="00E41B80">
          <w:rPr>
            <w:rStyle w:val="Hyperlink"/>
            <w:sz w:val="22"/>
          </w:rPr>
          <w:t>https://doi.org/10.1021/acssusresmgt.4c00016</w:t>
        </w:r>
      </w:hyperlink>
    </w:p>
    <w:p w14:paraId="6F521124" w14:textId="77777777" w:rsidR="005527C3" w:rsidRPr="00E41B80" w:rsidRDefault="005527C3" w:rsidP="00165480">
      <w:pPr>
        <w:pStyle w:val="ListParagraph1"/>
        <w:spacing w:after="891" w:line="240" w:lineRule="auto"/>
        <w:ind w:left="993" w:right="136" w:hanging="993"/>
        <w:jc w:val="both"/>
        <w:rPr>
          <w:sz w:val="22"/>
        </w:rPr>
      </w:pPr>
      <w:proofErr w:type="spellStart"/>
      <w:r w:rsidRPr="00E41B80">
        <w:rPr>
          <w:sz w:val="22"/>
        </w:rPr>
        <w:t>Alidu</w:t>
      </w:r>
      <w:proofErr w:type="spellEnd"/>
      <w:r w:rsidRPr="00E41B80">
        <w:rPr>
          <w:sz w:val="22"/>
        </w:rPr>
        <w:t xml:space="preserve">, S. (2018). </w:t>
      </w:r>
      <w:r w:rsidRPr="00E41B80">
        <w:rPr>
          <w:rStyle w:val="Emphasis"/>
          <w:sz w:val="22"/>
        </w:rPr>
        <w:t>Public Private Partnerships in Ghana: Interrogating the Efficacy of a Politically Convenient Practice</w:t>
      </w:r>
      <w:r w:rsidRPr="00E41B80">
        <w:rPr>
          <w:sz w:val="22"/>
        </w:rPr>
        <w:t xml:space="preserve">. Friedrich Ebert Stiftung Ghana. </w:t>
      </w:r>
      <w:hyperlink r:id="rId30" w:history="1">
        <w:r w:rsidRPr="00E41B80">
          <w:rPr>
            <w:rStyle w:val="Hyperlink"/>
            <w:sz w:val="22"/>
          </w:rPr>
          <w:t>https://library.fes.de/pdf-files/bueros/ghana/16591.pdf</w:t>
        </w:r>
      </w:hyperlink>
    </w:p>
    <w:p w14:paraId="3A687F40" w14:textId="77777777" w:rsidR="009450C4" w:rsidRPr="00E41B80" w:rsidRDefault="009450C4" w:rsidP="00165480">
      <w:pPr>
        <w:pStyle w:val="ListParagraph1"/>
        <w:spacing w:after="891" w:line="240" w:lineRule="auto"/>
        <w:ind w:left="993" w:right="136" w:hanging="993"/>
        <w:jc w:val="both"/>
        <w:rPr>
          <w:sz w:val="22"/>
        </w:rPr>
      </w:pPr>
      <w:r w:rsidRPr="00E41B80">
        <w:rPr>
          <w:sz w:val="22"/>
        </w:rPr>
        <w:t xml:space="preserve">Asare, D., Abubakari, M., &amp; Mahama, M. (2024). Circular economy and community engagement: Lessons from Ghana’s informal waste sector. </w:t>
      </w:r>
      <w:r w:rsidRPr="00E41B80">
        <w:rPr>
          <w:rStyle w:val="Emphasis"/>
          <w:sz w:val="22"/>
        </w:rPr>
        <w:t>African Journal of Governance and Development, 13</w:t>
      </w:r>
      <w:r w:rsidRPr="00E41B80">
        <w:rPr>
          <w:sz w:val="22"/>
        </w:rPr>
        <w:t xml:space="preserve">(1), 45–62. </w:t>
      </w:r>
      <w:hyperlink r:id="rId31" w:history="1">
        <w:r w:rsidRPr="00E41B80">
          <w:rPr>
            <w:rStyle w:val="Hyperlink"/>
            <w:sz w:val="22"/>
          </w:rPr>
          <w:t>https://ajgd.org/articles/circular-economy-and-community-engagement-ghana</w:t>
        </w:r>
      </w:hyperlink>
    </w:p>
    <w:p w14:paraId="55E686C0"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Bo</w:t>
      </w:r>
      <w:r w:rsidR="0091308F" w:rsidRPr="00E41B80">
        <w:rPr>
          <w:sz w:val="22"/>
        </w:rPr>
        <w:t>adi, K. O., &amp; Kuitunen, M. (2019</w:t>
      </w:r>
      <w:r w:rsidRPr="00E41B80">
        <w:rPr>
          <w:sz w:val="22"/>
        </w:rPr>
        <w:t xml:space="preserve">). Municipal solid waste management in the Accra Metropolitan Area, Ghana. </w:t>
      </w:r>
      <w:r w:rsidRPr="00E41B80">
        <w:rPr>
          <w:rStyle w:val="Emphasis"/>
          <w:sz w:val="22"/>
        </w:rPr>
        <w:t>Environmentalist, 23</w:t>
      </w:r>
      <w:r w:rsidRPr="00E41B80">
        <w:rPr>
          <w:sz w:val="22"/>
        </w:rPr>
        <w:t xml:space="preserve">(3), 211–218. </w:t>
      </w:r>
      <w:hyperlink r:id="rId32" w:history="1">
        <w:r w:rsidRPr="00E41B80">
          <w:rPr>
            <w:rStyle w:val="Hyperlink"/>
            <w:sz w:val="22"/>
          </w:rPr>
          <w:t>https://doi.org/10.1023/B:ENVR.0000017283.09117.20</w:t>
        </w:r>
      </w:hyperlink>
    </w:p>
    <w:p w14:paraId="07CC5F0D"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Chakraborty, A., Maitra, M., Ray Chowdhury, B., &amp; Dutta, C. (2023). Nutrient recovery and utilization from wastewater for soil-less agriculture. In </w:t>
      </w:r>
      <w:r w:rsidRPr="00E41B80">
        <w:rPr>
          <w:rStyle w:val="Emphasis"/>
          <w:sz w:val="22"/>
        </w:rPr>
        <w:t>Biorefinery for Water and Wastewater Treatment</w:t>
      </w:r>
      <w:r w:rsidRPr="00E41B80">
        <w:rPr>
          <w:sz w:val="22"/>
        </w:rPr>
        <w:t xml:space="preserve"> (pp. 137–158). Springer. </w:t>
      </w:r>
      <w:hyperlink r:id="rId33" w:history="1">
        <w:r w:rsidRPr="00E41B80">
          <w:rPr>
            <w:rStyle w:val="Hyperlink"/>
            <w:sz w:val="22"/>
          </w:rPr>
          <w:t>https://doi.org/10.1007/978-3-031-20822-5_7</w:t>
        </w:r>
      </w:hyperlink>
    </w:p>
    <w:p w14:paraId="46672D65" w14:textId="77777777" w:rsidR="00D76ED6" w:rsidRPr="00E41B80" w:rsidRDefault="0091308F" w:rsidP="00165480">
      <w:pPr>
        <w:pStyle w:val="ListParagraph1"/>
        <w:spacing w:after="891" w:line="240" w:lineRule="auto"/>
        <w:ind w:left="993" w:right="136" w:hanging="993"/>
        <w:jc w:val="both"/>
        <w:rPr>
          <w:sz w:val="22"/>
        </w:rPr>
      </w:pPr>
      <w:r w:rsidRPr="00E41B80">
        <w:rPr>
          <w:sz w:val="22"/>
        </w:rPr>
        <w:t>Citi Newsroom. (2025</w:t>
      </w:r>
      <w:r w:rsidR="00D76ED6" w:rsidRPr="00E41B80">
        <w:rPr>
          <w:sz w:val="22"/>
        </w:rPr>
        <w:t xml:space="preserve">). </w:t>
      </w:r>
      <w:r w:rsidR="00D76ED6" w:rsidRPr="00E41B80">
        <w:rPr>
          <w:rStyle w:val="Emphasis"/>
          <w:sz w:val="22"/>
        </w:rPr>
        <w:t xml:space="preserve">Go Circular Project ends with </w:t>
      </w:r>
      <w:r w:rsidR="00D2401E" w:rsidRPr="00E41B80">
        <w:rPr>
          <w:rStyle w:val="Emphasis"/>
          <w:sz w:val="22"/>
        </w:rPr>
        <w:t xml:space="preserve">a </w:t>
      </w:r>
      <w:r w:rsidR="00D76ED6" w:rsidRPr="00E41B80">
        <w:rPr>
          <w:rStyle w:val="Emphasis"/>
          <w:sz w:val="22"/>
        </w:rPr>
        <w:t>call to scale up plastic reduction in Ghana</w:t>
      </w:r>
      <w:r w:rsidR="00D76ED6" w:rsidRPr="00E41B80">
        <w:rPr>
          <w:sz w:val="22"/>
        </w:rPr>
        <w:t xml:space="preserve">. </w:t>
      </w:r>
      <w:hyperlink r:id="rId34" w:history="1">
        <w:r w:rsidR="00D76ED6" w:rsidRPr="00E41B80">
          <w:rPr>
            <w:rStyle w:val="Hyperlink"/>
            <w:sz w:val="22"/>
          </w:rPr>
          <w:t>https://citinewsroom.com/2025/06/go-circular-project-ends-with-call-to-scale-up-plastic-reduction-in-ghana/</w:t>
        </w:r>
      </w:hyperlink>
    </w:p>
    <w:p w14:paraId="7F4553F4" w14:textId="77777777" w:rsidR="00D76ED6" w:rsidRPr="00E41B80" w:rsidRDefault="00D76ED6" w:rsidP="00165480">
      <w:pPr>
        <w:pStyle w:val="ListParagraph1"/>
        <w:spacing w:after="891" w:line="240" w:lineRule="auto"/>
        <w:ind w:left="993" w:right="136" w:hanging="993"/>
        <w:jc w:val="both"/>
        <w:rPr>
          <w:sz w:val="22"/>
        </w:rPr>
      </w:pPr>
      <w:proofErr w:type="spellStart"/>
      <w:r w:rsidRPr="00E41B80">
        <w:rPr>
          <w:sz w:val="22"/>
        </w:rPr>
        <w:t>Crovella</w:t>
      </w:r>
      <w:proofErr w:type="spellEnd"/>
      <w:r w:rsidRPr="00E41B80">
        <w:rPr>
          <w:sz w:val="22"/>
        </w:rPr>
        <w:t xml:space="preserve">, T., Paiano, A., Falciglia, P. P., Lagioia, G., &amp; Ingrao, C. (2024). Wastewater recovery for sustainable agricultural systems in the circular economy: A systematic literature review of Life Cycle Assessments. </w:t>
      </w:r>
      <w:r w:rsidRPr="00E41B80">
        <w:rPr>
          <w:rStyle w:val="Emphasis"/>
          <w:sz w:val="22"/>
        </w:rPr>
        <w:t>Science of the Total Environment, 912</w:t>
      </w:r>
      <w:r w:rsidRPr="00E41B80">
        <w:rPr>
          <w:sz w:val="22"/>
        </w:rPr>
        <w:t xml:space="preserve">, 169310. </w:t>
      </w:r>
      <w:hyperlink r:id="rId35" w:history="1">
        <w:r w:rsidRPr="00E41B80">
          <w:rPr>
            <w:rStyle w:val="Hyperlink"/>
            <w:sz w:val="22"/>
          </w:rPr>
          <w:t>https://doi.org/10.1016/j.scitotenv.2023.169310</w:t>
        </w:r>
      </w:hyperlink>
    </w:p>
    <w:p w14:paraId="21B2B6CC" w14:textId="77777777" w:rsidR="00EC07F1" w:rsidRPr="00E41B80" w:rsidRDefault="00EC07F1" w:rsidP="00EC07F1">
      <w:pPr>
        <w:pStyle w:val="ListParagraph1"/>
        <w:spacing w:after="891" w:line="240" w:lineRule="auto"/>
        <w:ind w:left="993" w:right="136" w:hanging="993"/>
        <w:jc w:val="both"/>
        <w:rPr>
          <w:sz w:val="22"/>
        </w:rPr>
      </w:pPr>
      <w:r w:rsidRPr="00E41B80">
        <w:rPr>
          <w:sz w:val="22"/>
        </w:rPr>
        <w:t xml:space="preserve">Darko, R. O., </w:t>
      </w:r>
      <w:proofErr w:type="spellStart"/>
      <w:r w:rsidRPr="00E41B80">
        <w:rPr>
          <w:sz w:val="22"/>
        </w:rPr>
        <w:t>Nsonowah</w:t>
      </w:r>
      <w:proofErr w:type="spellEnd"/>
      <w:r w:rsidRPr="00E41B80">
        <w:rPr>
          <w:sz w:val="22"/>
        </w:rPr>
        <w:t xml:space="preserve">, P. P., Owusu-Sekyere, J. D., &amp; </w:t>
      </w:r>
      <w:proofErr w:type="spellStart"/>
      <w:r w:rsidRPr="00E41B80">
        <w:rPr>
          <w:sz w:val="22"/>
        </w:rPr>
        <w:t>Nyameche</w:t>
      </w:r>
      <w:proofErr w:type="spellEnd"/>
      <w:r w:rsidRPr="00E41B80">
        <w:rPr>
          <w:sz w:val="22"/>
        </w:rPr>
        <w:t xml:space="preserve">, M. (2025). Assessment of wastewater quality for irrigation use in the Central Region of Ghana. </w:t>
      </w:r>
      <w:r w:rsidRPr="00E41B80">
        <w:rPr>
          <w:rStyle w:val="Emphasis"/>
          <w:sz w:val="22"/>
        </w:rPr>
        <w:t>Discover Environment, 3</w:t>
      </w:r>
      <w:r w:rsidRPr="00E41B80">
        <w:rPr>
          <w:sz w:val="22"/>
        </w:rPr>
        <w:t xml:space="preserve">, Article 146. </w:t>
      </w:r>
      <w:hyperlink r:id="rId36" w:history="1">
        <w:r w:rsidRPr="00E41B80">
          <w:rPr>
            <w:rStyle w:val="Hyperlink"/>
            <w:sz w:val="22"/>
          </w:rPr>
          <w:t>https://doi.org/10.1007/s44274-025-00271-1</w:t>
        </w:r>
      </w:hyperlink>
    </w:p>
    <w:p w14:paraId="601B6D06" w14:textId="77777777" w:rsidR="00D76ED6" w:rsidRPr="00E41B80" w:rsidRDefault="00D76ED6" w:rsidP="00EC07F1">
      <w:pPr>
        <w:pStyle w:val="ListParagraph1"/>
        <w:spacing w:after="891" w:line="240" w:lineRule="auto"/>
        <w:ind w:left="993" w:right="136" w:hanging="993"/>
        <w:jc w:val="both"/>
        <w:rPr>
          <w:sz w:val="22"/>
        </w:rPr>
      </w:pPr>
      <w:r w:rsidRPr="00E41B80">
        <w:rPr>
          <w:sz w:val="22"/>
        </w:rPr>
        <w:lastRenderedPageBreak/>
        <w:t xml:space="preserve">Debrah, J. K., Teye, G. K., &amp; Dinis, M. A. P. (2022). Barriers and challenges to waste management </w:t>
      </w:r>
      <w:r w:rsidR="00A14FBA" w:rsidRPr="00E41B80">
        <w:rPr>
          <w:sz w:val="22"/>
        </w:rPr>
        <w:t xml:space="preserve">are </w:t>
      </w:r>
      <w:r w:rsidRPr="00E41B80">
        <w:rPr>
          <w:sz w:val="22"/>
        </w:rPr>
        <w:t xml:space="preserve">hindering the circular economy in Sub-Saharan Africa. </w:t>
      </w:r>
      <w:r w:rsidRPr="00E41B80">
        <w:rPr>
          <w:rStyle w:val="Emphasis"/>
          <w:sz w:val="22"/>
        </w:rPr>
        <w:t>Urban Science, 6</w:t>
      </w:r>
      <w:r w:rsidRPr="00E41B80">
        <w:rPr>
          <w:sz w:val="22"/>
        </w:rPr>
        <w:t xml:space="preserve">(3), 57. </w:t>
      </w:r>
      <w:hyperlink r:id="rId37" w:history="1">
        <w:r w:rsidRPr="00E41B80">
          <w:rPr>
            <w:rStyle w:val="Hyperlink"/>
            <w:sz w:val="22"/>
          </w:rPr>
          <w:t>https://doi.org/10.3390/urbansci6030057</w:t>
        </w:r>
      </w:hyperlink>
    </w:p>
    <w:p w14:paraId="173272DF" w14:textId="77777777" w:rsidR="00D76ED6" w:rsidRPr="00E41B80" w:rsidRDefault="00D76ED6" w:rsidP="00165480">
      <w:pPr>
        <w:pStyle w:val="ListParagraph1"/>
        <w:spacing w:after="891" w:line="240" w:lineRule="auto"/>
        <w:ind w:left="993" w:right="136" w:hanging="993"/>
        <w:jc w:val="both"/>
        <w:rPr>
          <w:sz w:val="22"/>
        </w:rPr>
      </w:pPr>
      <w:proofErr w:type="spellStart"/>
      <w:r w:rsidRPr="00E41B80">
        <w:rPr>
          <w:sz w:val="22"/>
        </w:rPr>
        <w:t>Farfán</w:t>
      </w:r>
      <w:proofErr w:type="spellEnd"/>
      <w:r w:rsidRPr="00E41B80">
        <w:rPr>
          <w:sz w:val="22"/>
        </w:rPr>
        <w:t xml:space="preserve"> </w:t>
      </w:r>
      <w:proofErr w:type="spellStart"/>
      <w:r w:rsidRPr="00E41B80">
        <w:rPr>
          <w:sz w:val="22"/>
        </w:rPr>
        <w:t>Chilicaus</w:t>
      </w:r>
      <w:proofErr w:type="spellEnd"/>
      <w:r w:rsidRPr="00E41B80">
        <w:rPr>
          <w:sz w:val="22"/>
        </w:rPr>
        <w:t xml:space="preserve">, G. C., Cruz Salinas, L. E., Silva León, P. M., Lizarzaburu Aguinaga, D. A., Vera Zelada, P., Vera Zelada, L. A., </w:t>
      </w:r>
      <w:proofErr w:type="spellStart"/>
      <w:r w:rsidRPr="00E41B80">
        <w:rPr>
          <w:sz w:val="22"/>
        </w:rPr>
        <w:t>Luque</w:t>
      </w:r>
      <w:proofErr w:type="spellEnd"/>
      <w:r w:rsidRPr="00E41B80">
        <w:rPr>
          <w:sz w:val="22"/>
        </w:rPr>
        <w:t xml:space="preserve"> </w:t>
      </w:r>
      <w:proofErr w:type="spellStart"/>
      <w:r w:rsidRPr="00E41B80">
        <w:rPr>
          <w:sz w:val="22"/>
        </w:rPr>
        <w:t>Luque</w:t>
      </w:r>
      <w:proofErr w:type="spellEnd"/>
      <w:r w:rsidRPr="00E41B80">
        <w:rPr>
          <w:sz w:val="22"/>
        </w:rPr>
        <w:t xml:space="preserve">, E. O., Licapa Redolfo, R., </w:t>
      </w:r>
      <w:r w:rsidR="00D2401E" w:rsidRPr="00E41B80">
        <w:rPr>
          <w:sz w:val="22"/>
        </w:rPr>
        <w:t>Y</w:t>
      </w:r>
      <w:r w:rsidRPr="00E41B80">
        <w:rPr>
          <w:sz w:val="22"/>
        </w:rPr>
        <w:t xml:space="preserve"> Ramos Farroñán, E. V. (2025). Circular economy and water sustainability: Systematic review of water management technologies and strategies (2018–2024). </w:t>
      </w:r>
      <w:r w:rsidRPr="00E41B80">
        <w:rPr>
          <w:rStyle w:val="Emphasis"/>
          <w:sz w:val="22"/>
        </w:rPr>
        <w:t>Sustainability, 17</w:t>
      </w:r>
      <w:r w:rsidRPr="00E41B80">
        <w:rPr>
          <w:sz w:val="22"/>
        </w:rPr>
        <w:t xml:space="preserve">(14), 6544. </w:t>
      </w:r>
      <w:hyperlink r:id="rId38" w:history="1">
        <w:r w:rsidRPr="00E41B80">
          <w:rPr>
            <w:rStyle w:val="Hyperlink"/>
            <w:sz w:val="22"/>
          </w:rPr>
          <w:t>https://doi.org/10.3390/su17146544</w:t>
        </w:r>
      </w:hyperlink>
    </w:p>
    <w:p w14:paraId="056D99E0"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Fernandes, E., &amp; Cunha Marques, R. (2023). Review of water reuse from a circular economy perspective. </w:t>
      </w:r>
      <w:r w:rsidRPr="00E41B80">
        <w:rPr>
          <w:rStyle w:val="Emphasis"/>
          <w:sz w:val="22"/>
        </w:rPr>
        <w:t>Water, 15</w:t>
      </w:r>
      <w:r w:rsidRPr="00E41B80">
        <w:rPr>
          <w:sz w:val="22"/>
        </w:rPr>
        <w:t xml:space="preserve">(5), 848. </w:t>
      </w:r>
      <w:hyperlink r:id="rId39" w:history="1">
        <w:r w:rsidRPr="00E41B80">
          <w:rPr>
            <w:rStyle w:val="Hyperlink"/>
            <w:sz w:val="22"/>
          </w:rPr>
          <w:t>https://doi.org/10.3390/w15050848</w:t>
        </w:r>
      </w:hyperlink>
    </w:p>
    <w:p w14:paraId="58B4D714" w14:textId="77777777" w:rsidR="00794AB6" w:rsidRPr="00E41B80" w:rsidRDefault="00794AB6" w:rsidP="00D76ED6">
      <w:pPr>
        <w:pStyle w:val="ListParagraph1"/>
        <w:spacing w:after="891" w:line="240" w:lineRule="auto"/>
        <w:ind w:left="993" w:right="136" w:hanging="993"/>
        <w:jc w:val="both"/>
        <w:rPr>
          <w:sz w:val="22"/>
        </w:rPr>
      </w:pPr>
      <w:proofErr w:type="spellStart"/>
      <w:r w:rsidRPr="00E41B80">
        <w:rPr>
          <w:sz w:val="22"/>
        </w:rPr>
        <w:t>Fiskal</w:t>
      </w:r>
      <w:proofErr w:type="spellEnd"/>
      <w:r w:rsidRPr="00E41B80">
        <w:rPr>
          <w:sz w:val="22"/>
        </w:rPr>
        <w:t xml:space="preserve">, A., Deng, L., Michel, A., </w:t>
      </w:r>
      <w:proofErr w:type="spellStart"/>
      <w:r w:rsidRPr="00E41B80">
        <w:rPr>
          <w:sz w:val="22"/>
        </w:rPr>
        <w:t>Eickenbusch</w:t>
      </w:r>
      <w:proofErr w:type="spellEnd"/>
      <w:r w:rsidRPr="00E41B80">
        <w:rPr>
          <w:sz w:val="22"/>
        </w:rPr>
        <w:t xml:space="preserve">, P., Han, X., </w:t>
      </w:r>
      <w:proofErr w:type="spellStart"/>
      <w:r w:rsidRPr="00E41B80">
        <w:rPr>
          <w:sz w:val="22"/>
        </w:rPr>
        <w:t>Lagostina</w:t>
      </w:r>
      <w:proofErr w:type="spellEnd"/>
      <w:r w:rsidRPr="00E41B80">
        <w:rPr>
          <w:sz w:val="22"/>
        </w:rPr>
        <w:t xml:space="preserve">, L., Zhu, R., Sander, M., Schroth, M. H., Dubois, N., &amp; Lever, M. A. (2019). Effects of eutrophication on sedimentary organic carbon cycling in five temperate lakes. </w:t>
      </w:r>
      <w:proofErr w:type="spellStart"/>
      <w:r w:rsidRPr="00E41B80">
        <w:rPr>
          <w:rStyle w:val="Emphasis"/>
          <w:sz w:val="22"/>
        </w:rPr>
        <w:t>Biogeosciences</w:t>
      </w:r>
      <w:proofErr w:type="spellEnd"/>
      <w:r w:rsidRPr="00E41B80">
        <w:rPr>
          <w:rStyle w:val="Emphasis"/>
          <w:sz w:val="22"/>
        </w:rPr>
        <w:t>, 16</w:t>
      </w:r>
      <w:r w:rsidRPr="00E41B80">
        <w:rPr>
          <w:sz w:val="22"/>
        </w:rPr>
        <w:t xml:space="preserve">(12), 3725–3743. </w:t>
      </w:r>
      <w:hyperlink r:id="rId40" w:history="1">
        <w:r w:rsidRPr="00E41B80">
          <w:rPr>
            <w:rStyle w:val="Hyperlink"/>
            <w:sz w:val="22"/>
          </w:rPr>
          <w:t>https://doi.org/10.5194/bg-16-3725-2019</w:t>
        </w:r>
      </w:hyperlink>
    </w:p>
    <w:p w14:paraId="2CABF6A7" w14:textId="77777777" w:rsidR="00696AC3" w:rsidRPr="00E41B80" w:rsidRDefault="00696AC3" w:rsidP="00D76ED6">
      <w:pPr>
        <w:pStyle w:val="ListParagraph1"/>
        <w:spacing w:after="891" w:line="240" w:lineRule="auto"/>
        <w:ind w:left="993" w:right="136" w:hanging="993"/>
        <w:jc w:val="both"/>
        <w:rPr>
          <w:sz w:val="22"/>
        </w:rPr>
      </w:pPr>
      <w:proofErr w:type="spellStart"/>
      <w:r w:rsidRPr="00E41B80">
        <w:rPr>
          <w:sz w:val="22"/>
        </w:rPr>
        <w:t>Frijns</w:t>
      </w:r>
      <w:proofErr w:type="spellEnd"/>
      <w:r w:rsidRPr="00E41B80">
        <w:rPr>
          <w:sz w:val="22"/>
        </w:rPr>
        <w:t xml:space="preserve">, J., Smith, H., &amp; van Veen, M. (2023). </w:t>
      </w:r>
      <w:r w:rsidRPr="00E41B80">
        <w:rPr>
          <w:rStyle w:val="Emphasis"/>
          <w:sz w:val="22"/>
        </w:rPr>
        <w:t>NextGen Deliverable D4.4: Roadmap to Address Governance and Societal Challenges to Support Wider Uptake of Circular Solutions in the Water Sector</w:t>
      </w:r>
      <w:r w:rsidRPr="00E41B80">
        <w:rPr>
          <w:sz w:val="22"/>
        </w:rPr>
        <w:t xml:space="preserve">. </w:t>
      </w:r>
      <w:hyperlink r:id="rId41" w:history="1">
        <w:r w:rsidRPr="00E41B80">
          <w:rPr>
            <w:rStyle w:val="Hyperlink"/>
            <w:sz w:val="22"/>
          </w:rPr>
          <w:t>https://nextgenwater.eu/wp-content/uploads/2023/04/D4.4-Roadmap-to-support-uptake-of-circular-water-solutions-1.pdf</w:t>
        </w:r>
      </w:hyperlink>
    </w:p>
    <w:p w14:paraId="5C223D15" w14:textId="77777777" w:rsidR="00266168" w:rsidRPr="00E41B80" w:rsidRDefault="00266168" w:rsidP="00D76ED6">
      <w:pPr>
        <w:pStyle w:val="ListParagraph1"/>
        <w:spacing w:after="891" w:line="240" w:lineRule="auto"/>
        <w:ind w:left="993" w:right="136" w:hanging="993"/>
        <w:jc w:val="both"/>
        <w:rPr>
          <w:sz w:val="22"/>
        </w:rPr>
      </w:pPr>
      <w:r w:rsidRPr="00E41B80">
        <w:rPr>
          <w:sz w:val="22"/>
        </w:rPr>
        <w:t xml:space="preserve">Ghana Climate Innovation Centre. (2025). </w:t>
      </w:r>
      <w:r w:rsidRPr="00E41B80">
        <w:rPr>
          <w:rStyle w:val="Emphasis"/>
          <w:sz w:val="22"/>
        </w:rPr>
        <w:t>Transforming Waste Management in Ghana: Innovations, Benefits, and Policy Reforms for a Circular Economy</w:t>
      </w:r>
      <w:r w:rsidRPr="00E41B80">
        <w:rPr>
          <w:sz w:val="22"/>
        </w:rPr>
        <w:t xml:space="preserve">. </w:t>
      </w:r>
      <w:hyperlink r:id="rId42" w:history="1">
        <w:r w:rsidRPr="00E41B80">
          <w:rPr>
            <w:rStyle w:val="Hyperlink"/>
            <w:sz w:val="22"/>
          </w:rPr>
          <w:t>https://ghanacic.ashesi.edu.gh/wp-content/uploads/2025/08/Waste-Management-Policy-Paper.pdf</w:t>
        </w:r>
      </w:hyperlink>
    </w:p>
    <w:p w14:paraId="288E355B" w14:textId="77777777" w:rsidR="00D76ED6" w:rsidRPr="00E41B80" w:rsidRDefault="00D76ED6" w:rsidP="00D76ED6">
      <w:pPr>
        <w:pStyle w:val="ListParagraph1"/>
        <w:spacing w:after="891" w:line="240" w:lineRule="auto"/>
        <w:ind w:left="993" w:right="136" w:hanging="993"/>
        <w:jc w:val="both"/>
        <w:rPr>
          <w:sz w:val="22"/>
        </w:rPr>
      </w:pPr>
      <w:r w:rsidRPr="00E41B80">
        <w:rPr>
          <w:sz w:val="22"/>
        </w:rPr>
        <w:t xml:space="preserve">Ghana Statistical Service. (2021). </w:t>
      </w:r>
      <w:r w:rsidRPr="00E41B80">
        <w:rPr>
          <w:rStyle w:val="Emphasis"/>
          <w:sz w:val="22"/>
        </w:rPr>
        <w:t>2021 Population and Housing Census: General report</w:t>
      </w:r>
      <w:r w:rsidRPr="00E41B80">
        <w:rPr>
          <w:sz w:val="22"/>
        </w:rPr>
        <w:t xml:space="preserve">. </w:t>
      </w:r>
      <w:hyperlink r:id="rId43" w:history="1">
        <w:r w:rsidRPr="00E41B80">
          <w:rPr>
            <w:rStyle w:val="Hyperlink"/>
            <w:sz w:val="22"/>
          </w:rPr>
          <w:t>https://census2021.statsghana.gov.gh/</w:t>
        </w:r>
      </w:hyperlink>
    </w:p>
    <w:p w14:paraId="72A1BF05" w14:textId="77777777" w:rsidR="002C3BBC" w:rsidRPr="00E41B80" w:rsidRDefault="002C3BBC" w:rsidP="00165480">
      <w:pPr>
        <w:pStyle w:val="ListParagraph1"/>
        <w:spacing w:after="891" w:line="240" w:lineRule="auto"/>
        <w:ind w:left="993" w:right="136" w:hanging="993"/>
        <w:jc w:val="both"/>
        <w:rPr>
          <w:sz w:val="22"/>
        </w:rPr>
      </w:pPr>
      <w:r w:rsidRPr="00E41B80">
        <w:rPr>
          <w:sz w:val="22"/>
        </w:rPr>
        <w:t xml:space="preserve">Ghana Water Company Limited (GWCL). (2023). </w:t>
      </w:r>
      <w:r w:rsidRPr="00E41B80">
        <w:rPr>
          <w:rStyle w:val="Emphasis"/>
          <w:sz w:val="22"/>
        </w:rPr>
        <w:t>Annual Performance Report</w:t>
      </w:r>
      <w:r w:rsidRPr="00E41B80">
        <w:rPr>
          <w:sz w:val="22"/>
        </w:rPr>
        <w:t xml:space="preserve">. </w:t>
      </w:r>
      <w:hyperlink r:id="rId44" w:history="1">
        <w:r w:rsidRPr="00E41B80">
          <w:rPr>
            <w:rStyle w:val="Hyperlink"/>
            <w:sz w:val="22"/>
          </w:rPr>
          <w:t>https://www.gwcl.com.gh/reports/annual-performance-2023.pdf</w:t>
        </w:r>
      </w:hyperlink>
    </w:p>
    <w:p w14:paraId="422A1049"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Government of Ghana. (2020). </w:t>
      </w:r>
      <w:r w:rsidRPr="00E41B80">
        <w:rPr>
          <w:rStyle w:val="Emphasis"/>
          <w:sz w:val="22"/>
        </w:rPr>
        <w:t>National Plastics Management Policy</w:t>
      </w:r>
      <w:r w:rsidRPr="00E41B80">
        <w:rPr>
          <w:sz w:val="22"/>
        </w:rPr>
        <w:t xml:space="preserve">. Ministry of Environment, Science, Technology and Innovation (MESTI). </w:t>
      </w:r>
      <w:hyperlink r:id="rId45" w:history="1">
        <w:r w:rsidRPr="00E41B80">
          <w:rPr>
            <w:rStyle w:val="Hyperlink"/>
            <w:sz w:val="22"/>
          </w:rPr>
          <w:t>https://mesti.gov.gh/wp-content/uploads/2021/02/Revised-National-Plastics-Management-Policy_-FINAL.pdf</w:t>
        </w:r>
      </w:hyperlink>
    </w:p>
    <w:p w14:paraId="62BFA8E5"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Gyamfi, G. A., Narra, S., Mohammed, M., </w:t>
      </w:r>
      <w:proofErr w:type="spellStart"/>
      <w:r w:rsidRPr="00E41B80">
        <w:rPr>
          <w:sz w:val="22"/>
        </w:rPr>
        <w:t>Boahemaa</w:t>
      </w:r>
      <w:proofErr w:type="spellEnd"/>
      <w:r w:rsidRPr="00E41B80">
        <w:rPr>
          <w:sz w:val="22"/>
        </w:rPr>
        <w:t xml:space="preserve">, B., </w:t>
      </w:r>
      <w:proofErr w:type="spellStart"/>
      <w:r w:rsidRPr="00E41B80">
        <w:rPr>
          <w:sz w:val="22"/>
        </w:rPr>
        <w:t>Beguedou</w:t>
      </w:r>
      <w:proofErr w:type="spellEnd"/>
      <w:r w:rsidRPr="00E41B80">
        <w:rPr>
          <w:sz w:val="22"/>
        </w:rPr>
        <w:t xml:space="preserve">, E., </w:t>
      </w:r>
      <w:proofErr w:type="spellStart"/>
      <w:r w:rsidRPr="00E41B80">
        <w:rPr>
          <w:sz w:val="22"/>
        </w:rPr>
        <w:t>Kemausuor</w:t>
      </w:r>
      <w:proofErr w:type="spellEnd"/>
      <w:r w:rsidRPr="00E41B80">
        <w:rPr>
          <w:sz w:val="22"/>
        </w:rPr>
        <w:t xml:space="preserve">, F., &amp; Agyenim, F. B. (2024). Hybrid waste-to-energy solutions within a circular economy framework directed towards sustainable urban waste management in Ghana. </w:t>
      </w:r>
      <w:r w:rsidRPr="00E41B80">
        <w:rPr>
          <w:rStyle w:val="Emphasis"/>
          <w:sz w:val="22"/>
        </w:rPr>
        <w:t>Sustainability, 16</w:t>
      </w:r>
      <w:r w:rsidRPr="00E41B80">
        <w:rPr>
          <w:sz w:val="22"/>
        </w:rPr>
        <w:t xml:space="preserve">(12), 4976. </w:t>
      </w:r>
      <w:hyperlink r:id="rId46" w:history="1">
        <w:r w:rsidRPr="00E41B80">
          <w:rPr>
            <w:rStyle w:val="Hyperlink"/>
            <w:sz w:val="22"/>
          </w:rPr>
          <w:t>https://doi.org/10.3390/su16124976</w:t>
        </w:r>
      </w:hyperlink>
    </w:p>
    <w:p w14:paraId="6DBF3401" w14:textId="77777777" w:rsidR="00EC714D" w:rsidRPr="00E41B80" w:rsidRDefault="00EC714D" w:rsidP="00165480">
      <w:pPr>
        <w:pStyle w:val="ListParagraph1"/>
        <w:spacing w:after="891" w:line="240" w:lineRule="auto"/>
        <w:ind w:left="993" w:right="136" w:hanging="993"/>
        <w:jc w:val="both"/>
        <w:rPr>
          <w:sz w:val="22"/>
        </w:rPr>
      </w:pPr>
      <w:r w:rsidRPr="00E41B80">
        <w:rPr>
          <w:sz w:val="22"/>
        </w:rPr>
        <w:t xml:space="preserve">Hamam, M., </w:t>
      </w:r>
      <w:proofErr w:type="spellStart"/>
      <w:r w:rsidRPr="00E41B80">
        <w:rPr>
          <w:sz w:val="22"/>
        </w:rPr>
        <w:t>Pergamo</w:t>
      </w:r>
      <w:proofErr w:type="spellEnd"/>
      <w:r w:rsidRPr="00E41B80">
        <w:rPr>
          <w:sz w:val="22"/>
        </w:rPr>
        <w:t xml:space="preserve">, R., Manganiello, V., &amp; Ferrigno, M. (2024). Agricultural wastewater reuse as a circular economy model: Future scenarios considering Reg. (EU) 2020/741. </w:t>
      </w:r>
      <w:r w:rsidRPr="00E41B80">
        <w:rPr>
          <w:rStyle w:val="Emphasis"/>
          <w:sz w:val="22"/>
        </w:rPr>
        <w:t>Water, 16</w:t>
      </w:r>
      <w:r w:rsidRPr="00E41B80">
        <w:rPr>
          <w:sz w:val="22"/>
        </w:rPr>
        <w:t xml:space="preserve">(24), 3638. </w:t>
      </w:r>
      <w:hyperlink r:id="rId47" w:history="1">
        <w:r w:rsidRPr="00E41B80">
          <w:rPr>
            <w:rStyle w:val="Hyperlink"/>
            <w:sz w:val="22"/>
          </w:rPr>
          <w:t>https://doi.org/10.3390/w16243638</w:t>
        </w:r>
      </w:hyperlink>
    </w:p>
    <w:p w14:paraId="5B3AE9E5"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International Water Management Institute (IWMI). (2024). </w:t>
      </w:r>
      <w:r w:rsidRPr="00E41B80">
        <w:rPr>
          <w:rStyle w:val="Emphasis"/>
          <w:sz w:val="22"/>
        </w:rPr>
        <w:t>Circular Bio-Economy Innovation Hub</w:t>
      </w:r>
      <w:r w:rsidRPr="00E41B80">
        <w:rPr>
          <w:sz w:val="22"/>
        </w:rPr>
        <w:t xml:space="preserve">. </w:t>
      </w:r>
      <w:hyperlink r:id="rId48" w:history="1">
        <w:r w:rsidRPr="00E41B80">
          <w:rPr>
            <w:rStyle w:val="Hyperlink"/>
            <w:sz w:val="22"/>
          </w:rPr>
          <w:t>https://cbeih.iwmi.org/</w:t>
        </w:r>
      </w:hyperlink>
    </w:p>
    <w:p w14:paraId="7E2BE6CE" w14:textId="77777777" w:rsidR="006E4446" w:rsidRPr="00E41B80" w:rsidRDefault="006E4446" w:rsidP="00165480">
      <w:pPr>
        <w:pStyle w:val="ListParagraph1"/>
        <w:spacing w:after="891" w:line="240" w:lineRule="auto"/>
        <w:ind w:left="993" w:right="136" w:hanging="993"/>
        <w:jc w:val="both"/>
        <w:rPr>
          <w:sz w:val="22"/>
        </w:rPr>
      </w:pPr>
      <w:r w:rsidRPr="00E41B80">
        <w:rPr>
          <w:sz w:val="22"/>
        </w:rPr>
        <w:t xml:space="preserve">Jian, F. (2025). The global water crisis: Challenges and solutions for a sustainable future. </w:t>
      </w:r>
      <w:r w:rsidRPr="00E41B80">
        <w:rPr>
          <w:rStyle w:val="Emphasis"/>
          <w:sz w:val="22"/>
        </w:rPr>
        <w:t>Hydrology: Current Research, 16</w:t>
      </w:r>
      <w:r w:rsidRPr="00E41B80">
        <w:rPr>
          <w:sz w:val="22"/>
        </w:rPr>
        <w:t xml:space="preserve">(1). </w:t>
      </w:r>
      <w:hyperlink r:id="rId49" w:history="1">
        <w:r w:rsidRPr="00E41B80">
          <w:rPr>
            <w:rStyle w:val="Hyperlink"/>
            <w:sz w:val="22"/>
          </w:rPr>
          <w:t>https://www.hilarispublisher.com/open-access/the-global-water-crisis-challenges-and-solutions-for-a-sustainable-future.pdf</w:t>
        </w:r>
      </w:hyperlink>
    </w:p>
    <w:p w14:paraId="75426D43" w14:textId="77777777" w:rsidR="00FA2419" w:rsidRPr="00E41B80" w:rsidRDefault="00FA2419" w:rsidP="00165480">
      <w:pPr>
        <w:pStyle w:val="ListParagraph1"/>
        <w:spacing w:after="891" w:line="240" w:lineRule="auto"/>
        <w:ind w:left="993" w:right="136" w:hanging="993"/>
        <w:jc w:val="both"/>
        <w:rPr>
          <w:sz w:val="22"/>
        </w:rPr>
      </w:pPr>
      <w:proofErr w:type="spellStart"/>
      <w:r w:rsidRPr="00E41B80">
        <w:rPr>
          <w:sz w:val="22"/>
        </w:rPr>
        <w:t>Keraita</w:t>
      </w:r>
      <w:proofErr w:type="spellEnd"/>
      <w:r w:rsidRPr="00E41B80">
        <w:rPr>
          <w:sz w:val="22"/>
        </w:rPr>
        <w:t xml:space="preserve">, B., Drechsel, P., &amp; Seidu, R. (2018). </w:t>
      </w:r>
      <w:r w:rsidRPr="00E41B80">
        <w:rPr>
          <w:rStyle w:val="Emphasis"/>
          <w:sz w:val="22"/>
        </w:rPr>
        <w:t>Ghana: Sanitation safety planning and institutional coordination</w:t>
      </w:r>
      <w:r w:rsidRPr="00E41B80">
        <w:rPr>
          <w:sz w:val="22"/>
        </w:rPr>
        <w:t xml:space="preserve">. In P. Drechsel et al. (Eds.), </w:t>
      </w:r>
      <w:r w:rsidRPr="00E41B80">
        <w:rPr>
          <w:rStyle w:val="Emphasis"/>
          <w:sz w:val="22"/>
        </w:rPr>
        <w:t>Safe Use of Wastewater in Agriculture: Good Practice Examples</w:t>
      </w:r>
      <w:r w:rsidRPr="00E41B80">
        <w:rPr>
          <w:sz w:val="22"/>
        </w:rPr>
        <w:t xml:space="preserve"> (pp. 45–58). IWMI. </w:t>
      </w:r>
      <w:hyperlink r:id="rId50" w:history="1">
        <w:r w:rsidRPr="00E41B80">
          <w:rPr>
            <w:rStyle w:val="Hyperlink"/>
            <w:sz w:val="22"/>
          </w:rPr>
          <w:t>https://www.iwmi.cgiar.org/publications/books/safe-use-of-wastewater-in-agriculture/</w:t>
        </w:r>
      </w:hyperlink>
    </w:p>
    <w:p w14:paraId="10668A12" w14:textId="77777777" w:rsidR="00EC07F1" w:rsidRPr="00E41B80" w:rsidRDefault="00EC07F1" w:rsidP="00165480">
      <w:pPr>
        <w:pStyle w:val="ListParagraph1"/>
        <w:spacing w:after="891" w:line="240" w:lineRule="auto"/>
        <w:ind w:left="993" w:right="136" w:hanging="993"/>
        <w:jc w:val="both"/>
        <w:rPr>
          <w:sz w:val="22"/>
        </w:rPr>
      </w:pPr>
      <w:r w:rsidRPr="00E41B80">
        <w:rPr>
          <w:sz w:val="22"/>
        </w:rPr>
        <w:t xml:space="preserve">Kusi-Appiah, M., Murphy, R. J., &amp; Liu, L. (2025). An analysis of municipal solid waste management in Ghana: A scoping review of challenges, opportunities, and technology options. </w:t>
      </w:r>
      <w:r w:rsidRPr="00E41B80">
        <w:rPr>
          <w:rStyle w:val="Emphasis"/>
          <w:sz w:val="22"/>
        </w:rPr>
        <w:t>Sustainability, 17</w:t>
      </w:r>
      <w:r w:rsidRPr="00E41B80">
        <w:rPr>
          <w:sz w:val="22"/>
        </w:rPr>
        <w:t xml:space="preserve">(18), 8266. </w:t>
      </w:r>
      <w:hyperlink r:id="rId51" w:history="1">
        <w:r w:rsidRPr="00E41B80">
          <w:rPr>
            <w:rStyle w:val="Hyperlink"/>
            <w:sz w:val="22"/>
          </w:rPr>
          <w:t>https://doi.org/10.3390/su17188266</w:t>
        </w:r>
      </w:hyperlink>
    </w:p>
    <w:p w14:paraId="48CB8937" w14:textId="77777777" w:rsidR="00EC714D" w:rsidRPr="00E41B80" w:rsidRDefault="00EC714D" w:rsidP="00165480">
      <w:pPr>
        <w:pStyle w:val="ListParagraph1"/>
        <w:spacing w:after="891" w:line="240" w:lineRule="auto"/>
        <w:ind w:left="993" w:right="136" w:hanging="993"/>
        <w:jc w:val="both"/>
        <w:rPr>
          <w:sz w:val="22"/>
        </w:rPr>
      </w:pPr>
      <w:proofErr w:type="spellStart"/>
      <w:r w:rsidRPr="00E41B80">
        <w:rPr>
          <w:sz w:val="22"/>
        </w:rPr>
        <w:t>Lasseur</w:t>
      </w:r>
      <w:proofErr w:type="spellEnd"/>
      <w:r w:rsidRPr="00E41B80">
        <w:rPr>
          <w:sz w:val="22"/>
        </w:rPr>
        <w:t xml:space="preserve">, N. M., Holstead, K., &amp; Huitema, D. (2024). How is the governance of circular economy of water organized? A systematic review of the literature. </w:t>
      </w:r>
      <w:r w:rsidRPr="00E41B80">
        <w:rPr>
          <w:rStyle w:val="Emphasis"/>
          <w:sz w:val="22"/>
        </w:rPr>
        <w:t>Ecology and Society, 30</w:t>
      </w:r>
      <w:r w:rsidRPr="00E41B80">
        <w:rPr>
          <w:sz w:val="22"/>
        </w:rPr>
        <w:t xml:space="preserve">(3), Article 36. </w:t>
      </w:r>
      <w:hyperlink r:id="rId52" w:history="1">
        <w:r w:rsidRPr="00E41B80">
          <w:rPr>
            <w:rStyle w:val="Hyperlink"/>
            <w:sz w:val="22"/>
          </w:rPr>
          <w:t>https://doi.org/10.5751/ES-16390-300336</w:t>
        </w:r>
      </w:hyperlink>
    </w:p>
    <w:p w14:paraId="435BD10E" w14:textId="77777777" w:rsidR="00503E25" w:rsidRPr="00E41B80" w:rsidRDefault="00503E25" w:rsidP="00165480">
      <w:pPr>
        <w:pStyle w:val="ListParagraph1"/>
        <w:spacing w:after="891" w:line="240" w:lineRule="auto"/>
        <w:ind w:left="993" w:right="136" w:hanging="993"/>
        <w:jc w:val="both"/>
        <w:rPr>
          <w:sz w:val="22"/>
        </w:rPr>
      </w:pPr>
      <w:r w:rsidRPr="00E41B80">
        <w:rPr>
          <w:sz w:val="22"/>
        </w:rPr>
        <w:lastRenderedPageBreak/>
        <w:t xml:space="preserve">Lema, M. W. (2025). Wastewater crisis in East African cities: Challenges and emerging opportunities. </w:t>
      </w:r>
      <w:r w:rsidRPr="00E41B80">
        <w:rPr>
          <w:rStyle w:val="Emphasis"/>
          <w:sz w:val="22"/>
        </w:rPr>
        <w:t>Discover Environment, 3</w:t>
      </w:r>
      <w:r w:rsidRPr="00E41B80">
        <w:rPr>
          <w:sz w:val="22"/>
        </w:rPr>
        <w:t xml:space="preserve">, Article 18. </w:t>
      </w:r>
      <w:hyperlink r:id="rId53" w:history="1">
        <w:r w:rsidRPr="00E41B80">
          <w:rPr>
            <w:rStyle w:val="Hyperlink"/>
            <w:sz w:val="22"/>
          </w:rPr>
          <w:t>https://doi.org/10.1007/s44274-025-00206-w</w:t>
        </w:r>
      </w:hyperlink>
    </w:p>
    <w:p w14:paraId="346FEA44"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Macura, B., </w:t>
      </w:r>
      <w:proofErr w:type="spellStart"/>
      <w:r w:rsidRPr="00E41B80">
        <w:rPr>
          <w:sz w:val="22"/>
        </w:rPr>
        <w:t>Metson</w:t>
      </w:r>
      <w:proofErr w:type="spellEnd"/>
      <w:r w:rsidRPr="00E41B80">
        <w:rPr>
          <w:sz w:val="22"/>
        </w:rPr>
        <w:t xml:space="preserve">, G. S., McConville, J. R., &amp; Harder, R. (2024). Recovery of plant nutrients from human excreta and domestic wastewater for reuse in agriculture: A systematic map and evidence platform. </w:t>
      </w:r>
      <w:r w:rsidRPr="00E41B80">
        <w:rPr>
          <w:rStyle w:val="Emphasis"/>
          <w:sz w:val="22"/>
        </w:rPr>
        <w:t>Environmental Evidence, 13</w:t>
      </w:r>
      <w:r w:rsidRPr="00E41B80">
        <w:rPr>
          <w:sz w:val="22"/>
        </w:rPr>
        <w:t xml:space="preserve">, Article 21. </w:t>
      </w:r>
      <w:hyperlink r:id="rId54" w:history="1">
        <w:r w:rsidRPr="00E41B80">
          <w:rPr>
            <w:rStyle w:val="Hyperlink"/>
            <w:sz w:val="22"/>
          </w:rPr>
          <w:t>https://doi.org/10.1186/s13750-024-00342-5</w:t>
        </w:r>
      </w:hyperlink>
    </w:p>
    <w:p w14:paraId="447B06EC"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MESTI. (2023). </w:t>
      </w:r>
      <w:r w:rsidRPr="00E41B80">
        <w:rPr>
          <w:rStyle w:val="Emphasis"/>
          <w:sz w:val="22"/>
        </w:rPr>
        <w:t>Circular Economy Roadmap and Action Plan</w:t>
      </w:r>
      <w:r w:rsidRPr="00E41B80">
        <w:rPr>
          <w:sz w:val="22"/>
        </w:rPr>
        <w:t>. Ministry of Environment, Science, Technology</w:t>
      </w:r>
      <w:r w:rsidR="00D2401E" w:rsidRPr="00E41B80">
        <w:rPr>
          <w:sz w:val="22"/>
        </w:rPr>
        <w:t>,</w:t>
      </w:r>
      <w:r w:rsidRPr="00E41B80">
        <w:rPr>
          <w:sz w:val="22"/>
        </w:rPr>
        <w:t xml:space="preserve"> and Innovation. </w:t>
      </w:r>
      <w:hyperlink r:id="rId55" w:history="1">
        <w:r w:rsidRPr="00E41B80">
          <w:rPr>
            <w:rStyle w:val="Hyperlink"/>
            <w:sz w:val="22"/>
          </w:rPr>
          <w:t>https://thevaultznews.com/2023/03/03/mesti-develops-a-circular-economy-roadmap-and-action-plan-to-foster-strong-alignment-between-academia-and-the-civil-society/</w:t>
        </w:r>
      </w:hyperlink>
    </w:p>
    <w:p w14:paraId="3EC56BDE" w14:textId="77777777" w:rsidR="00503E25" w:rsidRPr="00E41B80" w:rsidRDefault="00503E25" w:rsidP="00165480">
      <w:pPr>
        <w:pStyle w:val="ListParagraph1"/>
        <w:spacing w:after="891" w:line="240" w:lineRule="auto"/>
        <w:ind w:left="993" w:right="136" w:hanging="993"/>
        <w:jc w:val="both"/>
        <w:rPr>
          <w:sz w:val="22"/>
        </w:rPr>
      </w:pPr>
      <w:r w:rsidRPr="00E41B80">
        <w:rPr>
          <w:sz w:val="22"/>
        </w:rPr>
        <w:t xml:space="preserve">Nyika, J., &amp; Dinka, M. O. (2025). Wastewater generation and management patterns in Sub-Saharan Africa. In </w:t>
      </w:r>
      <w:r w:rsidRPr="00E41B80">
        <w:rPr>
          <w:rStyle w:val="Emphasis"/>
          <w:sz w:val="22"/>
        </w:rPr>
        <w:t>The Silent Wastewater Problem in Sub-Saharan Africa</w:t>
      </w:r>
      <w:r w:rsidRPr="00E41B80">
        <w:rPr>
          <w:sz w:val="22"/>
        </w:rPr>
        <w:t xml:space="preserve"> (pp. 27–46). </w:t>
      </w:r>
      <w:proofErr w:type="spellStart"/>
      <w:r w:rsidRPr="00E41B80">
        <w:rPr>
          <w:sz w:val="22"/>
        </w:rPr>
        <w:t>SpringerBriefs</w:t>
      </w:r>
      <w:proofErr w:type="spellEnd"/>
      <w:r w:rsidRPr="00E41B80">
        <w:rPr>
          <w:sz w:val="22"/>
        </w:rPr>
        <w:t xml:space="preserve"> in Water Science and Technology. </w:t>
      </w:r>
      <w:hyperlink r:id="rId56" w:history="1">
        <w:r w:rsidRPr="00E41B80">
          <w:rPr>
            <w:rStyle w:val="Hyperlink"/>
            <w:sz w:val="22"/>
          </w:rPr>
          <w:t>https://doi.org/10.1007/978-3-031-90143-0_2</w:t>
        </w:r>
      </w:hyperlink>
    </w:p>
    <w:p w14:paraId="36C7FF36"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Onu, M. A., </w:t>
      </w:r>
      <w:proofErr w:type="spellStart"/>
      <w:r w:rsidRPr="00E41B80">
        <w:rPr>
          <w:sz w:val="22"/>
        </w:rPr>
        <w:t>Ayeleru</w:t>
      </w:r>
      <w:proofErr w:type="spellEnd"/>
      <w:r w:rsidRPr="00E41B80">
        <w:rPr>
          <w:sz w:val="22"/>
        </w:rPr>
        <w:t xml:space="preserve">, O. O., </w:t>
      </w:r>
      <w:proofErr w:type="spellStart"/>
      <w:r w:rsidRPr="00E41B80">
        <w:rPr>
          <w:sz w:val="22"/>
        </w:rPr>
        <w:t>Oboirien</w:t>
      </w:r>
      <w:proofErr w:type="spellEnd"/>
      <w:r w:rsidRPr="00E41B80">
        <w:rPr>
          <w:sz w:val="22"/>
        </w:rPr>
        <w:t xml:space="preserve">, B., &amp; </w:t>
      </w:r>
      <w:proofErr w:type="spellStart"/>
      <w:r w:rsidRPr="00E41B80">
        <w:rPr>
          <w:sz w:val="22"/>
        </w:rPr>
        <w:t>Olubambi</w:t>
      </w:r>
      <w:proofErr w:type="spellEnd"/>
      <w:r w:rsidRPr="00E41B80">
        <w:rPr>
          <w:sz w:val="22"/>
        </w:rPr>
        <w:t xml:space="preserve">, P. A. (2023). Challenges of wastewater generation and management in Sub-Saharan Africa: A review. </w:t>
      </w:r>
      <w:r w:rsidRPr="00E41B80">
        <w:rPr>
          <w:rStyle w:val="Emphasis"/>
          <w:sz w:val="22"/>
        </w:rPr>
        <w:t>Environmental Challenges, 11</w:t>
      </w:r>
      <w:r w:rsidRPr="00E41B80">
        <w:rPr>
          <w:sz w:val="22"/>
        </w:rPr>
        <w:t xml:space="preserve">, 100686. </w:t>
      </w:r>
      <w:hyperlink r:id="rId57" w:history="1">
        <w:r w:rsidRPr="00E41B80">
          <w:rPr>
            <w:rStyle w:val="Hyperlink"/>
            <w:sz w:val="22"/>
          </w:rPr>
          <w:t>https://doi.org/10.1016/j.envc.2023.100686</w:t>
        </w:r>
      </w:hyperlink>
    </w:p>
    <w:p w14:paraId="3196931C" w14:textId="77777777" w:rsidR="00D76ED6" w:rsidRPr="00E41B80" w:rsidRDefault="00D76ED6" w:rsidP="00165480">
      <w:pPr>
        <w:pStyle w:val="ListParagraph1"/>
        <w:spacing w:after="891" w:line="240" w:lineRule="auto"/>
        <w:ind w:left="993" w:right="136" w:hanging="993"/>
        <w:jc w:val="both"/>
        <w:rPr>
          <w:sz w:val="22"/>
        </w:rPr>
      </w:pPr>
      <w:proofErr w:type="spellStart"/>
      <w:r w:rsidRPr="00E41B80">
        <w:rPr>
          <w:sz w:val="22"/>
        </w:rPr>
        <w:t>Otoo</w:t>
      </w:r>
      <w:proofErr w:type="spellEnd"/>
      <w:r w:rsidRPr="00E41B80">
        <w:rPr>
          <w:sz w:val="22"/>
        </w:rPr>
        <w:t xml:space="preserve">, M., &amp; Drechsel, P. (Eds.). (2018). </w:t>
      </w:r>
      <w:r w:rsidRPr="00E41B80">
        <w:rPr>
          <w:rStyle w:val="Emphasis"/>
          <w:sz w:val="22"/>
        </w:rPr>
        <w:t>Resource recovery from waste: Business models for energy, nutrient and water reuse in low- and middle-income countries</w:t>
      </w:r>
      <w:r w:rsidRPr="00E41B80">
        <w:rPr>
          <w:sz w:val="22"/>
        </w:rPr>
        <w:t xml:space="preserve">. Routledge. </w:t>
      </w:r>
      <w:hyperlink r:id="rId58" w:history="1">
        <w:r w:rsidRPr="00E41B80">
          <w:rPr>
            <w:rStyle w:val="Hyperlink"/>
            <w:sz w:val="22"/>
          </w:rPr>
          <w:t>https://doi.org/10.4324/9781315767134</w:t>
        </w:r>
      </w:hyperlink>
    </w:p>
    <w:p w14:paraId="78966080"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Owusu, G. (2021). Urbanization and sanitation infrastructure in Ghana: Challenges and policy implications. </w:t>
      </w:r>
      <w:r w:rsidRPr="00E41B80">
        <w:rPr>
          <w:rStyle w:val="Emphasis"/>
          <w:sz w:val="22"/>
        </w:rPr>
        <w:t>Journal of Urban Affairs, 43</w:t>
      </w:r>
      <w:r w:rsidRPr="00E41B80">
        <w:rPr>
          <w:sz w:val="22"/>
        </w:rPr>
        <w:t xml:space="preserve">(2), 253–270. </w:t>
      </w:r>
      <w:hyperlink r:id="rId59" w:history="1">
        <w:r w:rsidRPr="00E41B80">
          <w:rPr>
            <w:rStyle w:val="Hyperlink"/>
            <w:sz w:val="22"/>
          </w:rPr>
          <w:t>https://doi.org/10.1080/07352166.2020.1730452</w:t>
        </w:r>
      </w:hyperlink>
    </w:p>
    <w:p w14:paraId="3C010BB5" w14:textId="77777777" w:rsidR="00696AC3" w:rsidRPr="00E41B80" w:rsidRDefault="00696AC3" w:rsidP="00165480">
      <w:pPr>
        <w:pStyle w:val="ListParagraph1"/>
        <w:spacing w:after="891" w:line="240" w:lineRule="auto"/>
        <w:ind w:left="993" w:right="136" w:hanging="993"/>
        <w:jc w:val="both"/>
        <w:rPr>
          <w:sz w:val="22"/>
        </w:rPr>
      </w:pPr>
      <w:r w:rsidRPr="00E41B80">
        <w:rPr>
          <w:sz w:val="22"/>
        </w:rPr>
        <w:t xml:space="preserve">Panda, L. P., Rath, K. C., Rao, N. V. J., </w:t>
      </w:r>
      <w:proofErr w:type="spellStart"/>
      <w:r w:rsidRPr="00E41B80">
        <w:rPr>
          <w:sz w:val="22"/>
        </w:rPr>
        <w:t>Samantra</w:t>
      </w:r>
      <w:proofErr w:type="spellEnd"/>
      <w:r w:rsidRPr="00E41B80">
        <w:rPr>
          <w:sz w:val="22"/>
        </w:rPr>
        <w:t xml:space="preserve">, C., &amp; Muduli, K. (2025). Circular economy governance and regulatory framework. In </w:t>
      </w:r>
      <w:r w:rsidRPr="00E41B80">
        <w:rPr>
          <w:rStyle w:val="Emphasis"/>
          <w:sz w:val="22"/>
        </w:rPr>
        <w:t>Information Systems Engineering and Management</w:t>
      </w:r>
      <w:r w:rsidRPr="00E41B80">
        <w:rPr>
          <w:sz w:val="22"/>
        </w:rPr>
        <w:t xml:space="preserve"> (Vol. 54, pp. 49–73). Springer. </w:t>
      </w:r>
      <w:hyperlink r:id="rId60" w:history="1">
        <w:r w:rsidRPr="00E41B80">
          <w:rPr>
            <w:rStyle w:val="Hyperlink"/>
            <w:sz w:val="22"/>
          </w:rPr>
          <w:t>https://link.springer.com/chapter/10.1007/978-3-031-93654-8_3</w:t>
        </w:r>
      </w:hyperlink>
    </w:p>
    <w:p w14:paraId="0F2AE650" w14:textId="77777777" w:rsidR="00FA2419" w:rsidRPr="00E41B80" w:rsidRDefault="00FA2419" w:rsidP="00165480">
      <w:pPr>
        <w:pStyle w:val="ListParagraph1"/>
        <w:spacing w:after="891" w:line="240" w:lineRule="auto"/>
        <w:ind w:left="993" w:right="136" w:hanging="993"/>
        <w:jc w:val="both"/>
        <w:rPr>
          <w:sz w:val="22"/>
        </w:rPr>
      </w:pPr>
      <w:r w:rsidRPr="00E41B80">
        <w:rPr>
          <w:sz w:val="22"/>
        </w:rPr>
        <w:t xml:space="preserve">Pausta, C. M., Kalbar, P., &amp; Saroj, D. (2024). Life cycle assessment of nutrient recovery from domestic wastewaters for </w:t>
      </w:r>
      <w:r w:rsidR="00D2401E" w:rsidRPr="00E41B80">
        <w:rPr>
          <w:sz w:val="22"/>
        </w:rPr>
        <w:t xml:space="preserve">the </w:t>
      </w:r>
      <w:r w:rsidRPr="00E41B80">
        <w:rPr>
          <w:sz w:val="22"/>
        </w:rPr>
        <w:t xml:space="preserve">sustainability of water resources and environmental benefits. </w:t>
      </w:r>
      <w:r w:rsidRPr="00E41B80">
        <w:rPr>
          <w:rStyle w:val="Emphasis"/>
          <w:sz w:val="22"/>
        </w:rPr>
        <w:t>Research Square</w:t>
      </w:r>
      <w:r w:rsidRPr="00E41B80">
        <w:rPr>
          <w:sz w:val="22"/>
        </w:rPr>
        <w:t xml:space="preserve">. </w:t>
      </w:r>
      <w:hyperlink r:id="rId61" w:history="1">
        <w:r w:rsidRPr="00E41B80">
          <w:rPr>
            <w:rStyle w:val="Hyperlink"/>
            <w:sz w:val="22"/>
          </w:rPr>
          <w:t>https://www.researchsquare.com/article/rs-3494851/v1</w:t>
        </w:r>
      </w:hyperlink>
    </w:p>
    <w:p w14:paraId="7BD25071" w14:textId="77777777" w:rsidR="00D76ED6" w:rsidRPr="00E41B80" w:rsidRDefault="00D76ED6" w:rsidP="00165480">
      <w:pPr>
        <w:pStyle w:val="ListParagraph1"/>
        <w:spacing w:after="891" w:line="240" w:lineRule="auto"/>
        <w:ind w:left="993" w:right="136" w:hanging="993"/>
        <w:jc w:val="both"/>
        <w:rPr>
          <w:sz w:val="22"/>
        </w:rPr>
      </w:pPr>
      <w:proofErr w:type="spellStart"/>
      <w:r w:rsidRPr="00E41B80">
        <w:rPr>
          <w:sz w:val="22"/>
        </w:rPr>
        <w:t>Peydayesh</w:t>
      </w:r>
      <w:proofErr w:type="spellEnd"/>
      <w:r w:rsidRPr="00E41B80">
        <w:rPr>
          <w:sz w:val="22"/>
        </w:rPr>
        <w:t xml:space="preserve">, M., &amp; Mezzenga, R. (2024). The circular economy of water across the six continents. </w:t>
      </w:r>
      <w:r w:rsidRPr="00E41B80">
        <w:rPr>
          <w:rStyle w:val="Emphasis"/>
          <w:sz w:val="22"/>
        </w:rPr>
        <w:t>Chemical Society Reviews, 53</w:t>
      </w:r>
      <w:r w:rsidRPr="00E41B80">
        <w:rPr>
          <w:sz w:val="22"/>
        </w:rPr>
        <w:t xml:space="preserve">(9), 4333–4348. </w:t>
      </w:r>
      <w:hyperlink r:id="rId62" w:history="1">
        <w:r w:rsidRPr="00E41B80">
          <w:rPr>
            <w:rStyle w:val="Hyperlink"/>
            <w:sz w:val="22"/>
          </w:rPr>
          <w:t>https://doi.org/10.1039/D3CS00812F</w:t>
        </w:r>
      </w:hyperlink>
    </w:p>
    <w:p w14:paraId="4E6506E5" w14:textId="77777777" w:rsidR="00D76ED6" w:rsidRPr="00E41B80" w:rsidRDefault="00D76ED6" w:rsidP="00165480">
      <w:pPr>
        <w:pStyle w:val="ListParagraph1"/>
        <w:spacing w:after="891" w:line="240" w:lineRule="auto"/>
        <w:ind w:left="993" w:right="136" w:hanging="993"/>
        <w:jc w:val="both"/>
        <w:rPr>
          <w:sz w:val="22"/>
        </w:rPr>
      </w:pPr>
      <w:proofErr w:type="spellStart"/>
      <w:r w:rsidRPr="00E41B80">
        <w:rPr>
          <w:sz w:val="22"/>
        </w:rPr>
        <w:t>Rangoni</w:t>
      </w:r>
      <w:proofErr w:type="spellEnd"/>
      <w:r w:rsidRPr="00E41B80">
        <w:rPr>
          <w:sz w:val="22"/>
        </w:rPr>
        <w:t xml:space="preserve"> Gargano, E., Cornella, A., &amp; Sacco, P. (2023). Governance model for a territory circularity index. </w:t>
      </w:r>
      <w:r w:rsidRPr="00E41B80">
        <w:rPr>
          <w:rStyle w:val="Emphasis"/>
          <w:sz w:val="22"/>
        </w:rPr>
        <w:t>Sustainability, 15</w:t>
      </w:r>
      <w:r w:rsidRPr="00E41B80">
        <w:rPr>
          <w:sz w:val="22"/>
        </w:rPr>
        <w:t xml:space="preserve">(5), 4069. </w:t>
      </w:r>
      <w:hyperlink r:id="rId63" w:history="1">
        <w:r w:rsidRPr="00E41B80">
          <w:rPr>
            <w:rStyle w:val="Hyperlink"/>
            <w:sz w:val="22"/>
          </w:rPr>
          <w:t>https://doi.org/10.3390/su15054069</w:t>
        </w:r>
      </w:hyperlink>
    </w:p>
    <w:p w14:paraId="14C6652C" w14:textId="77777777" w:rsidR="00F45BAA" w:rsidRPr="00E41B80" w:rsidRDefault="00F45BAA" w:rsidP="00165480">
      <w:pPr>
        <w:pStyle w:val="ListParagraph1"/>
        <w:spacing w:after="891" w:line="240" w:lineRule="auto"/>
        <w:ind w:left="993" w:right="136" w:hanging="993"/>
        <w:jc w:val="both"/>
        <w:rPr>
          <w:sz w:val="22"/>
        </w:rPr>
      </w:pPr>
      <w:r w:rsidRPr="00E41B80">
        <w:rPr>
          <w:sz w:val="22"/>
        </w:rPr>
        <w:t xml:space="preserve">Rebello, T. A., </w:t>
      </w:r>
      <w:proofErr w:type="spellStart"/>
      <w:r w:rsidRPr="00E41B80">
        <w:rPr>
          <w:sz w:val="22"/>
        </w:rPr>
        <w:t>Chhipi</w:t>
      </w:r>
      <w:proofErr w:type="spellEnd"/>
      <w:r w:rsidRPr="00E41B80">
        <w:rPr>
          <w:sz w:val="22"/>
        </w:rPr>
        <w:t xml:space="preserve">-Shrestha, G., Hewage, K., &amp; Sadiq, R. (2024). Sustainability assessment of applying </w:t>
      </w:r>
      <w:r w:rsidR="00D2401E" w:rsidRPr="00E41B80">
        <w:rPr>
          <w:sz w:val="22"/>
        </w:rPr>
        <w:t xml:space="preserve">the </w:t>
      </w:r>
      <w:r w:rsidRPr="00E41B80">
        <w:rPr>
          <w:sz w:val="22"/>
        </w:rPr>
        <w:t xml:space="preserve">circular economy to urban water systems. In </w:t>
      </w:r>
      <w:r w:rsidRPr="00E41B80">
        <w:rPr>
          <w:rStyle w:val="Emphasis"/>
          <w:sz w:val="22"/>
        </w:rPr>
        <w:t>Proceedings of the Canadian Society of Civil Engineering Annual Conference 2022</w:t>
      </w:r>
      <w:r w:rsidRPr="00E41B80">
        <w:rPr>
          <w:sz w:val="22"/>
        </w:rPr>
        <w:t xml:space="preserve"> (pp. 1037–1051). Springer. </w:t>
      </w:r>
      <w:hyperlink r:id="rId64" w:history="1">
        <w:r w:rsidRPr="00E41B80">
          <w:rPr>
            <w:rStyle w:val="Hyperlink"/>
            <w:sz w:val="22"/>
          </w:rPr>
          <w:t>https://link.springer.com/chapter/10.1007/978-3-031-35471-7_72</w:t>
        </w:r>
      </w:hyperlink>
    </w:p>
    <w:p w14:paraId="1A2404A1" w14:textId="77777777" w:rsidR="00D76ED6" w:rsidRPr="00E41B80" w:rsidRDefault="00D76ED6" w:rsidP="00165480">
      <w:pPr>
        <w:pStyle w:val="ListParagraph1"/>
        <w:spacing w:after="891" w:line="240" w:lineRule="auto"/>
        <w:ind w:left="993" w:right="136" w:hanging="993"/>
        <w:jc w:val="both"/>
        <w:rPr>
          <w:sz w:val="22"/>
        </w:rPr>
      </w:pPr>
      <w:r w:rsidRPr="00E41B80">
        <w:rPr>
          <w:sz w:val="22"/>
        </w:rPr>
        <w:t xml:space="preserve">Robles, Á., Aguado, D., Barat, R., </w:t>
      </w:r>
      <w:proofErr w:type="spellStart"/>
      <w:r w:rsidRPr="00E41B80">
        <w:rPr>
          <w:sz w:val="22"/>
        </w:rPr>
        <w:t>Borrás</w:t>
      </w:r>
      <w:proofErr w:type="spellEnd"/>
      <w:r w:rsidRPr="00E41B80">
        <w:rPr>
          <w:sz w:val="22"/>
        </w:rPr>
        <w:t xml:space="preserve">, L., Bouzas, A., Giménez, J. B., Martí, N., Ribes, J., Ruano, M. V., Serralta, J., Ferrer, J., &amp; Seco, A. (2019). New frontiers from removal to recycling of nitrogen and phosphorus from wastewater in the circular economy. </w:t>
      </w:r>
      <w:r w:rsidRPr="00E41B80">
        <w:rPr>
          <w:rStyle w:val="Emphasis"/>
          <w:sz w:val="22"/>
        </w:rPr>
        <w:t>Bioresource Technology, 300</w:t>
      </w:r>
      <w:r w:rsidRPr="00E41B80">
        <w:rPr>
          <w:sz w:val="22"/>
        </w:rPr>
        <w:t xml:space="preserve">, 122673. </w:t>
      </w:r>
      <w:hyperlink r:id="rId65" w:history="1">
        <w:r w:rsidRPr="00E41B80">
          <w:rPr>
            <w:rStyle w:val="Hyperlink"/>
            <w:sz w:val="22"/>
          </w:rPr>
          <w:t>https://doi.org/10.1016/j.biortech.2019.122673</w:t>
        </w:r>
      </w:hyperlink>
    </w:p>
    <w:p w14:paraId="72D25E71" w14:textId="77777777" w:rsidR="00503E25" w:rsidRPr="00E41B80" w:rsidRDefault="00503E25" w:rsidP="00D76ED6">
      <w:pPr>
        <w:pStyle w:val="ListParagraph1"/>
        <w:spacing w:after="891" w:line="240" w:lineRule="auto"/>
        <w:ind w:left="993" w:right="136" w:hanging="993"/>
        <w:jc w:val="both"/>
        <w:rPr>
          <w:sz w:val="22"/>
        </w:rPr>
      </w:pPr>
      <w:r w:rsidRPr="00E41B80">
        <w:rPr>
          <w:sz w:val="22"/>
        </w:rPr>
        <w:t xml:space="preserve">Sesay, R. E. V., &amp; Fang, P. (2025). Circular economy in municipal solid waste management: Innovations and challenges for urban sustainability. </w:t>
      </w:r>
      <w:r w:rsidRPr="00E41B80">
        <w:rPr>
          <w:rStyle w:val="Emphasis"/>
          <w:sz w:val="22"/>
        </w:rPr>
        <w:t>Journal of Environmental Protection, 16</w:t>
      </w:r>
      <w:r w:rsidRPr="00E41B80">
        <w:rPr>
          <w:sz w:val="22"/>
        </w:rPr>
        <w:t xml:space="preserve">(2), 35–65. </w:t>
      </w:r>
      <w:hyperlink r:id="rId66" w:history="1">
        <w:r w:rsidRPr="00E41B80">
          <w:rPr>
            <w:rStyle w:val="Hyperlink"/>
            <w:sz w:val="22"/>
          </w:rPr>
          <w:t>https://doi.org/10.4236/jep.2025.162003</w:t>
        </w:r>
      </w:hyperlink>
    </w:p>
    <w:p w14:paraId="0B7DF99C" w14:textId="77777777" w:rsidR="005527C3" w:rsidRPr="00E41B80" w:rsidRDefault="005527C3" w:rsidP="00EC714D">
      <w:pPr>
        <w:pStyle w:val="ListParagraph1"/>
        <w:spacing w:after="891" w:line="240" w:lineRule="auto"/>
        <w:ind w:left="993" w:right="136" w:hanging="993"/>
        <w:jc w:val="both"/>
        <w:rPr>
          <w:sz w:val="22"/>
        </w:rPr>
      </w:pPr>
      <w:proofErr w:type="spellStart"/>
      <w:r w:rsidRPr="00E41B80">
        <w:rPr>
          <w:sz w:val="22"/>
        </w:rPr>
        <w:t>Tahiru</w:t>
      </w:r>
      <w:proofErr w:type="spellEnd"/>
      <w:r w:rsidRPr="00E41B80">
        <w:rPr>
          <w:sz w:val="22"/>
        </w:rPr>
        <w:t xml:space="preserve">, A.-W., </w:t>
      </w:r>
      <w:proofErr w:type="spellStart"/>
      <w:r w:rsidRPr="00E41B80">
        <w:rPr>
          <w:sz w:val="22"/>
        </w:rPr>
        <w:t>Cobbina</w:t>
      </w:r>
      <w:proofErr w:type="spellEnd"/>
      <w:r w:rsidRPr="00E41B80">
        <w:rPr>
          <w:sz w:val="22"/>
        </w:rPr>
        <w:t xml:space="preserve">, S. J., &amp; Asare, W. (2024). A circular economy approach to addressing waste management challenges in Tamale’s waste management system. </w:t>
      </w:r>
      <w:r w:rsidRPr="00E41B80">
        <w:rPr>
          <w:rStyle w:val="Emphasis"/>
          <w:sz w:val="22"/>
        </w:rPr>
        <w:t>World, 5</w:t>
      </w:r>
      <w:r w:rsidRPr="00E41B80">
        <w:rPr>
          <w:sz w:val="22"/>
        </w:rPr>
        <w:t xml:space="preserve">(3), 659–682. </w:t>
      </w:r>
      <w:hyperlink r:id="rId67" w:history="1">
        <w:r w:rsidRPr="00E41B80">
          <w:rPr>
            <w:rStyle w:val="Hyperlink"/>
            <w:sz w:val="22"/>
          </w:rPr>
          <w:t>https://doi.org/10.3390/world5030034</w:t>
        </w:r>
      </w:hyperlink>
    </w:p>
    <w:p w14:paraId="7ADD8027" w14:textId="77777777" w:rsidR="00311B45" w:rsidRPr="00E41B80" w:rsidRDefault="00311B45" w:rsidP="00EC714D">
      <w:pPr>
        <w:pStyle w:val="ListParagraph1"/>
        <w:spacing w:after="891" w:line="240" w:lineRule="auto"/>
        <w:ind w:left="993" w:right="136" w:hanging="993"/>
        <w:jc w:val="both"/>
        <w:rPr>
          <w:sz w:val="22"/>
        </w:rPr>
      </w:pPr>
      <w:r w:rsidRPr="00E41B80">
        <w:rPr>
          <w:sz w:val="22"/>
        </w:rPr>
        <w:t xml:space="preserve">Tengan, C., &amp; </w:t>
      </w:r>
      <w:proofErr w:type="spellStart"/>
      <w:r w:rsidRPr="00E41B80">
        <w:rPr>
          <w:sz w:val="22"/>
        </w:rPr>
        <w:t>Aigbavboa</w:t>
      </w:r>
      <w:proofErr w:type="spellEnd"/>
      <w:r w:rsidRPr="00E41B80">
        <w:rPr>
          <w:sz w:val="22"/>
        </w:rPr>
        <w:t xml:space="preserve">, C. (2021). </w:t>
      </w:r>
      <w:r w:rsidRPr="00E41B80">
        <w:rPr>
          <w:rStyle w:val="Emphasis"/>
          <w:sz w:val="22"/>
        </w:rPr>
        <w:t>A review of the Ghanaian construction industry and the practice of monitoring and evaluation</w:t>
      </w:r>
      <w:r w:rsidRPr="00E41B80">
        <w:rPr>
          <w:sz w:val="22"/>
        </w:rPr>
        <w:t xml:space="preserve">. In C. </w:t>
      </w:r>
      <w:proofErr w:type="spellStart"/>
      <w:r w:rsidRPr="00E41B80">
        <w:rPr>
          <w:sz w:val="22"/>
        </w:rPr>
        <w:t>Aigbavboa</w:t>
      </w:r>
      <w:proofErr w:type="spellEnd"/>
      <w:r w:rsidRPr="00E41B80">
        <w:rPr>
          <w:sz w:val="22"/>
        </w:rPr>
        <w:t xml:space="preserve">, W. L. Le Roux, &amp; N. Mokhele (Eds.), </w:t>
      </w:r>
      <w:r w:rsidRPr="00E41B80">
        <w:rPr>
          <w:rStyle w:val="Emphasis"/>
          <w:sz w:val="22"/>
        </w:rPr>
        <w:t>Construction Project Monitoring and Evaluation: An Integrated Approach</w:t>
      </w:r>
      <w:r w:rsidRPr="00E41B80">
        <w:rPr>
          <w:sz w:val="22"/>
        </w:rPr>
        <w:t xml:space="preserve"> (pp. 143–160). Springer. </w:t>
      </w:r>
      <w:hyperlink r:id="rId68" w:history="1">
        <w:r w:rsidRPr="00E41B80">
          <w:rPr>
            <w:rStyle w:val="Hyperlink"/>
            <w:sz w:val="22"/>
          </w:rPr>
          <w:t>https://doi.org/10.1007/978-3-030-70213-7_11</w:t>
        </w:r>
      </w:hyperlink>
    </w:p>
    <w:p w14:paraId="1E8A57FF" w14:textId="77777777" w:rsidR="00694562" w:rsidRPr="00E41B80" w:rsidRDefault="00694562" w:rsidP="00EC714D">
      <w:pPr>
        <w:pStyle w:val="ListParagraph1"/>
        <w:spacing w:after="891" w:line="240" w:lineRule="auto"/>
        <w:ind w:left="993" w:right="136" w:hanging="993"/>
        <w:jc w:val="both"/>
        <w:rPr>
          <w:sz w:val="22"/>
        </w:rPr>
      </w:pPr>
      <w:r w:rsidRPr="00E41B80">
        <w:rPr>
          <w:sz w:val="22"/>
        </w:rPr>
        <w:lastRenderedPageBreak/>
        <w:t xml:space="preserve">Tetra Tech &amp; USAID. (2024). </w:t>
      </w:r>
      <w:r w:rsidRPr="00E41B80">
        <w:rPr>
          <w:rStyle w:val="Emphasis"/>
          <w:sz w:val="22"/>
        </w:rPr>
        <w:t>Improving Water Quality Management, Water Equity, and Non-Revenue Water in Ghana – Component 3 Report</w:t>
      </w:r>
      <w:r w:rsidRPr="00E41B80">
        <w:rPr>
          <w:sz w:val="22"/>
        </w:rPr>
        <w:t xml:space="preserve">. </w:t>
      </w:r>
      <w:hyperlink r:id="rId69" w:history="1">
        <w:r w:rsidRPr="00E41B80">
          <w:rPr>
            <w:rStyle w:val="Hyperlink"/>
            <w:sz w:val="22"/>
          </w:rPr>
          <w:t>https://washghana.org/wp-content/uploads/2024/06/ghana_buy-in_component_3_report_non-revenue_water_final_508.pdf</w:t>
        </w:r>
      </w:hyperlink>
    </w:p>
    <w:p w14:paraId="3C5EA6FB" w14:textId="77777777" w:rsidR="005527C3" w:rsidRPr="00E41B80" w:rsidRDefault="005527C3" w:rsidP="00EC714D">
      <w:pPr>
        <w:pStyle w:val="ListParagraph1"/>
        <w:spacing w:after="891" w:line="240" w:lineRule="auto"/>
        <w:ind w:left="993" w:right="136" w:hanging="993"/>
        <w:jc w:val="both"/>
        <w:rPr>
          <w:sz w:val="22"/>
        </w:rPr>
      </w:pPr>
      <w:r w:rsidRPr="00E41B80">
        <w:rPr>
          <w:sz w:val="22"/>
        </w:rPr>
        <w:t xml:space="preserve">United Nations Environment </w:t>
      </w:r>
      <w:proofErr w:type="spellStart"/>
      <w:r w:rsidRPr="00E41B80">
        <w:rPr>
          <w:sz w:val="22"/>
        </w:rPr>
        <w:t>Programme</w:t>
      </w:r>
      <w:proofErr w:type="spellEnd"/>
      <w:r w:rsidRPr="00E41B80">
        <w:rPr>
          <w:sz w:val="22"/>
        </w:rPr>
        <w:t xml:space="preserve"> (UNEP). (2023). </w:t>
      </w:r>
      <w:r w:rsidRPr="00E41B80">
        <w:rPr>
          <w:rStyle w:val="Emphasis"/>
          <w:sz w:val="22"/>
        </w:rPr>
        <w:t>Global Circular Economy Strategy: Governance and Policy Pathways</w:t>
      </w:r>
      <w:r w:rsidRPr="00E41B80">
        <w:rPr>
          <w:sz w:val="22"/>
        </w:rPr>
        <w:t xml:space="preserve">. </w:t>
      </w:r>
      <w:hyperlink r:id="rId70" w:history="1">
        <w:r w:rsidRPr="00E41B80">
          <w:rPr>
            <w:rStyle w:val="Hyperlink"/>
            <w:sz w:val="22"/>
          </w:rPr>
          <w:t>https://www.unep.org/resources/report/global-circular-economy-strategy</w:t>
        </w:r>
      </w:hyperlink>
    </w:p>
    <w:p w14:paraId="1638C0C1" w14:textId="77777777" w:rsidR="005527C3" w:rsidRPr="00E41B80" w:rsidRDefault="005527C3" w:rsidP="00EC714D">
      <w:pPr>
        <w:pStyle w:val="ListParagraph1"/>
        <w:spacing w:after="891" w:line="240" w:lineRule="auto"/>
        <w:ind w:left="993" w:right="136" w:hanging="993"/>
        <w:jc w:val="both"/>
        <w:rPr>
          <w:sz w:val="22"/>
        </w:rPr>
      </w:pPr>
      <w:r w:rsidRPr="00E41B80">
        <w:rPr>
          <w:sz w:val="22"/>
        </w:rPr>
        <w:t xml:space="preserve">Wan, C. K. (2025). Collaborative platforms as stakeholder governance modes in circular economy ecosystems. In R. Zimmermann et al. (Eds.), </w:t>
      </w:r>
      <w:r w:rsidRPr="00E41B80">
        <w:rPr>
          <w:rStyle w:val="Emphasis"/>
          <w:sz w:val="22"/>
        </w:rPr>
        <w:t>Human-</w:t>
      </w:r>
      <w:proofErr w:type="spellStart"/>
      <w:r w:rsidRPr="00E41B80">
        <w:rPr>
          <w:rStyle w:val="Emphasis"/>
          <w:sz w:val="22"/>
        </w:rPr>
        <w:t>Centred</w:t>
      </w:r>
      <w:proofErr w:type="spellEnd"/>
      <w:r w:rsidRPr="00E41B80">
        <w:rPr>
          <w:rStyle w:val="Emphasis"/>
          <w:sz w:val="22"/>
        </w:rPr>
        <w:t xml:space="preserve"> Technology Management for a Sustainable Future</w:t>
      </w:r>
      <w:r w:rsidRPr="00E41B80">
        <w:rPr>
          <w:sz w:val="22"/>
        </w:rPr>
        <w:t xml:space="preserve"> (pp. 47–65). Springer. </w:t>
      </w:r>
      <w:hyperlink r:id="rId71" w:history="1">
        <w:r w:rsidRPr="00E41B80">
          <w:rPr>
            <w:rStyle w:val="Hyperlink"/>
            <w:sz w:val="22"/>
          </w:rPr>
          <w:t>https://doi.org/10.1007/978-3-031-72490-9_5</w:t>
        </w:r>
      </w:hyperlink>
    </w:p>
    <w:p w14:paraId="1A47703A" w14:textId="77777777" w:rsidR="00EC714D" w:rsidRPr="00E41B80" w:rsidRDefault="00D76ED6" w:rsidP="00EC714D">
      <w:pPr>
        <w:pStyle w:val="ListParagraph1"/>
        <w:spacing w:after="891" w:line="240" w:lineRule="auto"/>
        <w:ind w:left="993" w:right="136" w:hanging="993"/>
        <w:jc w:val="both"/>
        <w:rPr>
          <w:sz w:val="22"/>
        </w:rPr>
      </w:pPr>
      <w:r w:rsidRPr="00E41B80">
        <w:rPr>
          <w:sz w:val="22"/>
        </w:rPr>
        <w:t xml:space="preserve">Waste Recovery Platform. (2022). </w:t>
      </w:r>
      <w:r w:rsidRPr="00E41B80">
        <w:rPr>
          <w:rStyle w:val="Emphasis"/>
          <w:sz w:val="22"/>
        </w:rPr>
        <w:t>Ghana Waste Recovery Platform Overview</w:t>
      </w:r>
      <w:r w:rsidRPr="00E41B80">
        <w:rPr>
          <w:sz w:val="22"/>
        </w:rPr>
        <w:t xml:space="preserve">. United Nations Development </w:t>
      </w:r>
      <w:proofErr w:type="spellStart"/>
      <w:r w:rsidRPr="00E41B80">
        <w:rPr>
          <w:sz w:val="22"/>
        </w:rPr>
        <w:t>Programme</w:t>
      </w:r>
      <w:proofErr w:type="spellEnd"/>
      <w:r w:rsidRPr="00E41B80">
        <w:rPr>
          <w:sz w:val="22"/>
        </w:rPr>
        <w:t xml:space="preserve"> (UNDP). </w:t>
      </w:r>
      <w:hyperlink r:id="rId72" w:history="1">
        <w:r w:rsidRPr="00E41B80">
          <w:rPr>
            <w:rStyle w:val="Hyperlink"/>
            <w:sz w:val="22"/>
          </w:rPr>
          <w:t>https://ghanawasteplatform.org</w:t>
        </w:r>
      </w:hyperlink>
    </w:p>
    <w:p w14:paraId="41A918D1" w14:textId="77777777" w:rsidR="00EC714D" w:rsidRPr="00E41B80" w:rsidRDefault="00EC714D" w:rsidP="00EC714D">
      <w:pPr>
        <w:pStyle w:val="ListParagraph1"/>
        <w:spacing w:after="891" w:line="240" w:lineRule="auto"/>
        <w:ind w:left="993" w:right="136" w:hanging="993"/>
        <w:jc w:val="both"/>
        <w:rPr>
          <w:sz w:val="22"/>
        </w:rPr>
      </w:pPr>
      <w:r w:rsidRPr="00E41B80">
        <w:rPr>
          <w:sz w:val="22"/>
        </w:rPr>
        <w:t xml:space="preserve">World Bank. (2024). </w:t>
      </w:r>
      <w:r w:rsidRPr="00E41B80">
        <w:rPr>
          <w:i/>
          <w:iCs/>
          <w:sz w:val="22"/>
        </w:rPr>
        <w:t>Water in Circular Economy and Resilience (WICER) Framework</w:t>
      </w:r>
      <w:r w:rsidRPr="00E41B80">
        <w:rPr>
          <w:sz w:val="22"/>
        </w:rPr>
        <w:t xml:space="preserve">. </w:t>
      </w:r>
      <w:hyperlink r:id="rId73" w:history="1">
        <w:r w:rsidR="008A242B" w:rsidRPr="00E41B80">
          <w:rPr>
            <w:rStyle w:val="Hyperlink"/>
            <w:sz w:val="22"/>
          </w:rPr>
          <w:t>https://thedocs.worldbank.org/en/doc/6843853c1a601b962242c40c9814f236-0320082024/original/Session-1-Overview-of-the-principles-of-circular-economy-and-resilience-in-the-water-sector.pdf</w:t>
        </w:r>
      </w:hyperlink>
    </w:p>
    <w:p w14:paraId="0F29E92A" w14:textId="77777777" w:rsidR="008A242B" w:rsidRPr="00E41B80" w:rsidRDefault="008A242B" w:rsidP="00EC714D">
      <w:pPr>
        <w:pStyle w:val="ListParagraph1"/>
        <w:spacing w:after="891" w:line="240" w:lineRule="auto"/>
        <w:ind w:left="993" w:right="136" w:hanging="993"/>
        <w:jc w:val="both"/>
        <w:rPr>
          <w:sz w:val="22"/>
        </w:rPr>
      </w:pPr>
      <w:r w:rsidRPr="00E41B80">
        <w:rPr>
          <w:sz w:val="22"/>
        </w:rPr>
        <w:t xml:space="preserve">World Bank. (2025). </w:t>
      </w:r>
      <w:r w:rsidRPr="00E41B80">
        <w:rPr>
          <w:rStyle w:val="Emphasis"/>
          <w:sz w:val="22"/>
        </w:rPr>
        <w:t>Ghana Overview</w:t>
      </w:r>
      <w:r w:rsidRPr="00E41B80">
        <w:rPr>
          <w:sz w:val="22"/>
        </w:rPr>
        <w:t>. https://www.worldbank.org/en/country/ghana/overview</w:t>
      </w:r>
    </w:p>
    <w:p w14:paraId="55E29E90" w14:textId="77777777" w:rsidR="00EC714D" w:rsidRPr="00E41B80" w:rsidRDefault="00EC714D" w:rsidP="00D76ED6">
      <w:pPr>
        <w:pStyle w:val="ListParagraph1"/>
        <w:spacing w:after="891" w:line="240" w:lineRule="auto"/>
        <w:ind w:left="993" w:right="136" w:hanging="993"/>
        <w:jc w:val="both"/>
        <w:rPr>
          <w:sz w:val="22"/>
        </w:rPr>
      </w:pPr>
    </w:p>
    <w:p w14:paraId="71E9DDE4" w14:textId="77777777" w:rsidR="00B90860" w:rsidRPr="00E41B80" w:rsidRDefault="00B90860" w:rsidP="00B90860">
      <w:pPr>
        <w:pStyle w:val="NormalWeb"/>
        <w:rPr>
          <w:sz w:val="22"/>
          <w:szCs w:val="22"/>
        </w:rPr>
      </w:pPr>
    </w:p>
    <w:p w14:paraId="33F25D07" w14:textId="77777777" w:rsidR="00B90860" w:rsidRPr="00E41B80" w:rsidRDefault="00B90860" w:rsidP="00B16039">
      <w:pPr>
        <w:spacing w:before="100" w:beforeAutospacing="1" w:after="100" w:afterAutospacing="1" w:line="276" w:lineRule="auto"/>
        <w:jc w:val="both"/>
        <w:rPr>
          <w:rFonts w:ascii="Times New Roman" w:hAnsi="Times New Roman" w:cs="Times New Roman"/>
        </w:rPr>
      </w:pPr>
    </w:p>
    <w:sectPr w:rsidR="00B90860" w:rsidRPr="00E41B80">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70E22" w14:textId="77777777" w:rsidR="005B0CAD" w:rsidRDefault="005B0CAD" w:rsidP="00173800">
      <w:pPr>
        <w:spacing w:after="0" w:line="240" w:lineRule="auto"/>
      </w:pPr>
      <w:r>
        <w:separator/>
      </w:r>
    </w:p>
  </w:endnote>
  <w:endnote w:type="continuationSeparator" w:id="0">
    <w:p w14:paraId="32833AEA" w14:textId="77777777" w:rsidR="005B0CAD" w:rsidRDefault="005B0CAD" w:rsidP="0017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D830" w14:textId="77777777" w:rsidR="00173800" w:rsidRDefault="0017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0BA3" w14:textId="77777777" w:rsidR="00173800" w:rsidRDefault="00173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45D1" w14:textId="77777777" w:rsidR="00173800" w:rsidRDefault="0017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48C12" w14:textId="77777777" w:rsidR="005B0CAD" w:rsidRDefault="005B0CAD" w:rsidP="00173800">
      <w:pPr>
        <w:spacing w:after="0" w:line="240" w:lineRule="auto"/>
      </w:pPr>
      <w:r>
        <w:separator/>
      </w:r>
    </w:p>
  </w:footnote>
  <w:footnote w:type="continuationSeparator" w:id="0">
    <w:p w14:paraId="588F4011" w14:textId="77777777" w:rsidR="005B0CAD" w:rsidRDefault="005B0CAD" w:rsidP="00173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B7B4" w14:textId="6D4A512B" w:rsidR="00173800" w:rsidRDefault="00173800">
    <w:pPr>
      <w:pStyle w:val="Header"/>
    </w:pPr>
    <w:r>
      <w:rPr>
        <w:noProof/>
      </w:rPr>
      <w:pict w14:anchorId="46A2C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2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6E82D" w14:textId="413A8CE8" w:rsidR="00173800" w:rsidRDefault="00173800">
    <w:pPr>
      <w:pStyle w:val="Header"/>
    </w:pPr>
    <w:r>
      <w:rPr>
        <w:noProof/>
      </w:rPr>
      <w:pict w14:anchorId="2B4CE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2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DB58" w14:textId="1983C308" w:rsidR="00173800" w:rsidRDefault="00173800">
    <w:pPr>
      <w:pStyle w:val="Header"/>
    </w:pPr>
    <w:r>
      <w:rPr>
        <w:noProof/>
      </w:rPr>
      <w:pict w14:anchorId="714C5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2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E030D"/>
    <w:multiLevelType w:val="multilevel"/>
    <w:tmpl w:val="32BEFF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D33275"/>
    <w:multiLevelType w:val="multilevel"/>
    <w:tmpl w:val="C3B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B65D3"/>
    <w:multiLevelType w:val="multilevel"/>
    <w:tmpl w:val="5274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D042A"/>
    <w:multiLevelType w:val="multilevel"/>
    <w:tmpl w:val="6CF8006C"/>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8E44C25"/>
    <w:multiLevelType w:val="multilevel"/>
    <w:tmpl w:val="D73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01217"/>
    <w:multiLevelType w:val="multilevel"/>
    <w:tmpl w:val="8468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06C9B"/>
    <w:multiLevelType w:val="multilevel"/>
    <w:tmpl w:val="AE5A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20"/>
    <w:rsid w:val="0001789C"/>
    <w:rsid w:val="00067E74"/>
    <w:rsid w:val="00070C5E"/>
    <w:rsid w:val="000A3A9F"/>
    <w:rsid w:val="000A54E3"/>
    <w:rsid w:val="000E087B"/>
    <w:rsid w:val="001529CB"/>
    <w:rsid w:val="00165480"/>
    <w:rsid w:val="00173800"/>
    <w:rsid w:val="00174C84"/>
    <w:rsid w:val="00194A87"/>
    <w:rsid w:val="001A46CF"/>
    <w:rsid w:val="001C5191"/>
    <w:rsid w:val="00201995"/>
    <w:rsid w:val="0022068E"/>
    <w:rsid w:val="00266168"/>
    <w:rsid w:val="00275F01"/>
    <w:rsid w:val="00286CD0"/>
    <w:rsid w:val="00287D9F"/>
    <w:rsid w:val="00292AED"/>
    <w:rsid w:val="002C3BBC"/>
    <w:rsid w:val="00311B45"/>
    <w:rsid w:val="00362694"/>
    <w:rsid w:val="003661CA"/>
    <w:rsid w:val="0038315D"/>
    <w:rsid w:val="003C0B35"/>
    <w:rsid w:val="004242B6"/>
    <w:rsid w:val="00435B13"/>
    <w:rsid w:val="004629D9"/>
    <w:rsid w:val="004C7FCB"/>
    <w:rsid w:val="00503E25"/>
    <w:rsid w:val="00515846"/>
    <w:rsid w:val="005527C3"/>
    <w:rsid w:val="005B0CAD"/>
    <w:rsid w:val="005B41AC"/>
    <w:rsid w:val="0063578B"/>
    <w:rsid w:val="006375FA"/>
    <w:rsid w:val="00694562"/>
    <w:rsid w:val="00696AC3"/>
    <w:rsid w:val="006E4446"/>
    <w:rsid w:val="006E72E9"/>
    <w:rsid w:val="00714AE7"/>
    <w:rsid w:val="00733DE6"/>
    <w:rsid w:val="00794AB6"/>
    <w:rsid w:val="007C71C8"/>
    <w:rsid w:val="008020B9"/>
    <w:rsid w:val="00832652"/>
    <w:rsid w:val="00847531"/>
    <w:rsid w:val="008A242B"/>
    <w:rsid w:val="008F18E5"/>
    <w:rsid w:val="009016ED"/>
    <w:rsid w:val="00904A80"/>
    <w:rsid w:val="0091308F"/>
    <w:rsid w:val="009450C4"/>
    <w:rsid w:val="00954DD0"/>
    <w:rsid w:val="009919DA"/>
    <w:rsid w:val="009B6AE0"/>
    <w:rsid w:val="009F59BE"/>
    <w:rsid w:val="00A07020"/>
    <w:rsid w:val="00A14FBA"/>
    <w:rsid w:val="00AC2D0A"/>
    <w:rsid w:val="00B04F72"/>
    <w:rsid w:val="00B16039"/>
    <w:rsid w:val="00B76D0E"/>
    <w:rsid w:val="00B90860"/>
    <w:rsid w:val="00C22DD5"/>
    <w:rsid w:val="00C7711B"/>
    <w:rsid w:val="00C966D7"/>
    <w:rsid w:val="00CC055C"/>
    <w:rsid w:val="00CC3E21"/>
    <w:rsid w:val="00CE10E5"/>
    <w:rsid w:val="00CE6F3E"/>
    <w:rsid w:val="00D2401E"/>
    <w:rsid w:val="00D4253A"/>
    <w:rsid w:val="00D567CB"/>
    <w:rsid w:val="00D76ED6"/>
    <w:rsid w:val="00DD75B6"/>
    <w:rsid w:val="00DE38A8"/>
    <w:rsid w:val="00E06CB2"/>
    <w:rsid w:val="00E1671D"/>
    <w:rsid w:val="00E21E96"/>
    <w:rsid w:val="00E40990"/>
    <w:rsid w:val="00E41501"/>
    <w:rsid w:val="00E41B80"/>
    <w:rsid w:val="00EA3EC3"/>
    <w:rsid w:val="00EB3DF9"/>
    <w:rsid w:val="00EC07F1"/>
    <w:rsid w:val="00EC714D"/>
    <w:rsid w:val="00F07F9D"/>
    <w:rsid w:val="00F1431C"/>
    <w:rsid w:val="00F45BAA"/>
    <w:rsid w:val="00F83309"/>
    <w:rsid w:val="00FA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3D0E9A"/>
  <w15:chartTrackingRefBased/>
  <w15:docId w15:val="{B30E5820-2DF1-4628-8826-A0D302AE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9B6A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1C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C22D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1C8"/>
    <w:pPr>
      <w:ind w:left="720"/>
      <w:contextualSpacing/>
    </w:pPr>
  </w:style>
  <w:style w:type="character" w:customStyle="1" w:styleId="Heading3Char">
    <w:name w:val="Heading 3 Char"/>
    <w:basedOn w:val="DefaultParagraphFont"/>
    <w:link w:val="Heading3"/>
    <w:uiPriority w:val="9"/>
    <w:rsid w:val="007C71C8"/>
    <w:rPr>
      <w:rFonts w:ascii="Times New Roman" w:eastAsia="Times New Roman" w:hAnsi="Times New Roman" w:cs="Times New Roman"/>
      <w:b/>
      <w:bCs/>
      <w:sz w:val="27"/>
      <w:szCs w:val="27"/>
    </w:rPr>
  </w:style>
  <w:style w:type="paragraph" w:styleId="NormalWeb">
    <w:name w:val="Normal (Web)"/>
    <w:basedOn w:val="Normal"/>
    <w:uiPriority w:val="99"/>
    <w:unhideWhenUsed/>
    <w:rsid w:val="007C71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C71C8"/>
    <w:rPr>
      <w:b/>
      <w:bCs/>
    </w:rPr>
  </w:style>
  <w:style w:type="character" w:styleId="Emphasis">
    <w:name w:val="Emphasis"/>
    <w:basedOn w:val="DefaultParagraphFont"/>
    <w:uiPriority w:val="20"/>
    <w:qFormat/>
    <w:rsid w:val="007C71C8"/>
    <w:rPr>
      <w:i/>
      <w:iCs/>
    </w:rPr>
  </w:style>
  <w:style w:type="character" w:styleId="Hyperlink">
    <w:name w:val="Hyperlink"/>
    <w:basedOn w:val="DefaultParagraphFont"/>
    <w:uiPriority w:val="99"/>
    <w:unhideWhenUsed/>
    <w:rsid w:val="007C71C8"/>
    <w:rPr>
      <w:color w:val="0000FF"/>
      <w:u w:val="single"/>
    </w:rPr>
  </w:style>
  <w:style w:type="character" w:customStyle="1" w:styleId="Heading4Char">
    <w:name w:val="Heading 4 Char"/>
    <w:basedOn w:val="DefaultParagraphFont"/>
    <w:link w:val="Heading4"/>
    <w:uiPriority w:val="9"/>
    <w:semiHidden/>
    <w:rsid w:val="00C22DD5"/>
    <w:rPr>
      <w:rFonts w:asciiTheme="majorHAnsi" w:eastAsiaTheme="majorEastAsia" w:hAnsiTheme="majorHAnsi" w:cstheme="majorBidi"/>
      <w:i/>
      <w:iCs/>
      <w:color w:val="2E74B5" w:themeColor="accent1" w:themeShade="BF"/>
      <w:lang w:val="en-GB"/>
    </w:rPr>
  </w:style>
  <w:style w:type="paragraph" w:customStyle="1" w:styleId="ListParagraph1">
    <w:name w:val="List Paragraph1"/>
    <w:basedOn w:val="Normal"/>
    <w:uiPriority w:val="34"/>
    <w:qFormat/>
    <w:rsid w:val="00165480"/>
    <w:pPr>
      <w:spacing w:after="234" w:line="264" w:lineRule="auto"/>
      <w:ind w:left="720" w:right="67" w:hanging="10"/>
      <w:contextualSpacing/>
    </w:pPr>
    <w:rPr>
      <w:rFonts w:ascii="Times New Roman" w:eastAsia="Times New Roman" w:hAnsi="Times New Roman" w:cs="Times New Roman"/>
      <w:color w:val="000008"/>
      <w:sz w:val="24"/>
      <w:lang w:val="en-US"/>
      <w14:ligatures w14:val="standardContextual"/>
    </w:rPr>
  </w:style>
  <w:style w:type="character" w:customStyle="1" w:styleId="Heading2Char">
    <w:name w:val="Heading 2 Char"/>
    <w:basedOn w:val="DefaultParagraphFont"/>
    <w:link w:val="Heading2"/>
    <w:uiPriority w:val="9"/>
    <w:semiHidden/>
    <w:rsid w:val="009B6AE0"/>
    <w:rPr>
      <w:rFonts w:asciiTheme="majorHAnsi" w:eastAsiaTheme="majorEastAsia" w:hAnsiTheme="majorHAnsi" w:cstheme="majorBidi"/>
      <w:color w:val="2E74B5" w:themeColor="accent1" w:themeShade="BF"/>
      <w:sz w:val="26"/>
      <w:szCs w:val="26"/>
      <w:lang w:val="en-GB"/>
    </w:rPr>
  </w:style>
  <w:style w:type="character" w:styleId="UnresolvedMention">
    <w:name w:val="Unresolved Mention"/>
    <w:basedOn w:val="DefaultParagraphFont"/>
    <w:uiPriority w:val="99"/>
    <w:semiHidden/>
    <w:unhideWhenUsed/>
    <w:rsid w:val="000A54E3"/>
    <w:rPr>
      <w:color w:val="605E5C"/>
      <w:shd w:val="clear" w:color="auto" w:fill="E1DFDD"/>
    </w:rPr>
  </w:style>
  <w:style w:type="paragraph" w:styleId="Header">
    <w:name w:val="header"/>
    <w:basedOn w:val="Normal"/>
    <w:link w:val="HeaderChar"/>
    <w:uiPriority w:val="99"/>
    <w:unhideWhenUsed/>
    <w:rsid w:val="00173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800"/>
    <w:rPr>
      <w:lang w:val="en-GB"/>
    </w:rPr>
  </w:style>
  <w:style w:type="paragraph" w:styleId="Footer">
    <w:name w:val="footer"/>
    <w:basedOn w:val="Normal"/>
    <w:link w:val="FooterChar"/>
    <w:uiPriority w:val="99"/>
    <w:unhideWhenUsed/>
    <w:rsid w:val="00173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80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4137">
      <w:bodyDiv w:val="1"/>
      <w:marLeft w:val="0"/>
      <w:marRight w:val="0"/>
      <w:marTop w:val="0"/>
      <w:marBottom w:val="0"/>
      <w:divBdr>
        <w:top w:val="none" w:sz="0" w:space="0" w:color="auto"/>
        <w:left w:val="none" w:sz="0" w:space="0" w:color="auto"/>
        <w:bottom w:val="none" w:sz="0" w:space="0" w:color="auto"/>
        <w:right w:val="none" w:sz="0" w:space="0" w:color="auto"/>
      </w:divBdr>
    </w:div>
    <w:div w:id="276372997">
      <w:bodyDiv w:val="1"/>
      <w:marLeft w:val="0"/>
      <w:marRight w:val="0"/>
      <w:marTop w:val="0"/>
      <w:marBottom w:val="0"/>
      <w:divBdr>
        <w:top w:val="none" w:sz="0" w:space="0" w:color="auto"/>
        <w:left w:val="none" w:sz="0" w:space="0" w:color="auto"/>
        <w:bottom w:val="none" w:sz="0" w:space="0" w:color="auto"/>
        <w:right w:val="none" w:sz="0" w:space="0" w:color="auto"/>
      </w:divBdr>
    </w:div>
    <w:div w:id="277030124">
      <w:bodyDiv w:val="1"/>
      <w:marLeft w:val="0"/>
      <w:marRight w:val="0"/>
      <w:marTop w:val="0"/>
      <w:marBottom w:val="0"/>
      <w:divBdr>
        <w:top w:val="none" w:sz="0" w:space="0" w:color="auto"/>
        <w:left w:val="none" w:sz="0" w:space="0" w:color="auto"/>
        <w:bottom w:val="none" w:sz="0" w:space="0" w:color="auto"/>
        <w:right w:val="none" w:sz="0" w:space="0" w:color="auto"/>
      </w:divBdr>
    </w:div>
    <w:div w:id="509568417">
      <w:bodyDiv w:val="1"/>
      <w:marLeft w:val="0"/>
      <w:marRight w:val="0"/>
      <w:marTop w:val="0"/>
      <w:marBottom w:val="0"/>
      <w:divBdr>
        <w:top w:val="none" w:sz="0" w:space="0" w:color="auto"/>
        <w:left w:val="none" w:sz="0" w:space="0" w:color="auto"/>
        <w:bottom w:val="none" w:sz="0" w:space="0" w:color="auto"/>
        <w:right w:val="none" w:sz="0" w:space="0" w:color="auto"/>
      </w:divBdr>
    </w:div>
    <w:div w:id="958141541">
      <w:bodyDiv w:val="1"/>
      <w:marLeft w:val="0"/>
      <w:marRight w:val="0"/>
      <w:marTop w:val="0"/>
      <w:marBottom w:val="0"/>
      <w:divBdr>
        <w:top w:val="none" w:sz="0" w:space="0" w:color="auto"/>
        <w:left w:val="none" w:sz="0" w:space="0" w:color="auto"/>
        <w:bottom w:val="none" w:sz="0" w:space="0" w:color="auto"/>
        <w:right w:val="none" w:sz="0" w:space="0" w:color="auto"/>
      </w:divBdr>
    </w:div>
    <w:div w:id="972104844">
      <w:bodyDiv w:val="1"/>
      <w:marLeft w:val="0"/>
      <w:marRight w:val="0"/>
      <w:marTop w:val="0"/>
      <w:marBottom w:val="0"/>
      <w:divBdr>
        <w:top w:val="none" w:sz="0" w:space="0" w:color="auto"/>
        <w:left w:val="none" w:sz="0" w:space="0" w:color="auto"/>
        <w:bottom w:val="none" w:sz="0" w:space="0" w:color="auto"/>
        <w:right w:val="none" w:sz="0" w:space="0" w:color="auto"/>
      </w:divBdr>
    </w:div>
    <w:div w:id="1136605669">
      <w:bodyDiv w:val="1"/>
      <w:marLeft w:val="0"/>
      <w:marRight w:val="0"/>
      <w:marTop w:val="0"/>
      <w:marBottom w:val="0"/>
      <w:divBdr>
        <w:top w:val="none" w:sz="0" w:space="0" w:color="auto"/>
        <w:left w:val="none" w:sz="0" w:space="0" w:color="auto"/>
        <w:bottom w:val="none" w:sz="0" w:space="0" w:color="auto"/>
        <w:right w:val="none" w:sz="0" w:space="0" w:color="auto"/>
      </w:divBdr>
    </w:div>
    <w:div w:id="1172599554">
      <w:bodyDiv w:val="1"/>
      <w:marLeft w:val="0"/>
      <w:marRight w:val="0"/>
      <w:marTop w:val="0"/>
      <w:marBottom w:val="0"/>
      <w:divBdr>
        <w:top w:val="none" w:sz="0" w:space="0" w:color="auto"/>
        <w:left w:val="none" w:sz="0" w:space="0" w:color="auto"/>
        <w:bottom w:val="none" w:sz="0" w:space="0" w:color="auto"/>
        <w:right w:val="none" w:sz="0" w:space="0" w:color="auto"/>
      </w:divBdr>
    </w:div>
    <w:div w:id="1391466543">
      <w:bodyDiv w:val="1"/>
      <w:marLeft w:val="0"/>
      <w:marRight w:val="0"/>
      <w:marTop w:val="0"/>
      <w:marBottom w:val="0"/>
      <w:divBdr>
        <w:top w:val="none" w:sz="0" w:space="0" w:color="auto"/>
        <w:left w:val="none" w:sz="0" w:space="0" w:color="auto"/>
        <w:bottom w:val="none" w:sz="0" w:space="0" w:color="auto"/>
        <w:right w:val="none" w:sz="0" w:space="0" w:color="auto"/>
      </w:divBdr>
    </w:div>
    <w:div w:id="1470051268">
      <w:bodyDiv w:val="1"/>
      <w:marLeft w:val="0"/>
      <w:marRight w:val="0"/>
      <w:marTop w:val="0"/>
      <w:marBottom w:val="0"/>
      <w:divBdr>
        <w:top w:val="none" w:sz="0" w:space="0" w:color="auto"/>
        <w:left w:val="none" w:sz="0" w:space="0" w:color="auto"/>
        <w:bottom w:val="none" w:sz="0" w:space="0" w:color="auto"/>
        <w:right w:val="none" w:sz="0" w:space="0" w:color="auto"/>
      </w:divBdr>
    </w:div>
    <w:div w:id="1591813534">
      <w:bodyDiv w:val="1"/>
      <w:marLeft w:val="0"/>
      <w:marRight w:val="0"/>
      <w:marTop w:val="0"/>
      <w:marBottom w:val="0"/>
      <w:divBdr>
        <w:top w:val="none" w:sz="0" w:space="0" w:color="auto"/>
        <w:left w:val="none" w:sz="0" w:space="0" w:color="auto"/>
        <w:bottom w:val="none" w:sz="0" w:space="0" w:color="auto"/>
        <w:right w:val="none" w:sz="0" w:space="0" w:color="auto"/>
      </w:divBdr>
    </w:div>
    <w:div w:id="1827357471">
      <w:bodyDiv w:val="1"/>
      <w:marLeft w:val="0"/>
      <w:marRight w:val="0"/>
      <w:marTop w:val="0"/>
      <w:marBottom w:val="0"/>
      <w:divBdr>
        <w:top w:val="none" w:sz="0" w:space="0" w:color="auto"/>
        <w:left w:val="none" w:sz="0" w:space="0" w:color="auto"/>
        <w:bottom w:val="none" w:sz="0" w:space="0" w:color="auto"/>
        <w:right w:val="none" w:sz="0" w:space="0" w:color="auto"/>
      </w:divBdr>
    </w:div>
    <w:div w:id="1877112408">
      <w:bodyDiv w:val="1"/>
      <w:marLeft w:val="0"/>
      <w:marRight w:val="0"/>
      <w:marTop w:val="0"/>
      <w:marBottom w:val="0"/>
      <w:divBdr>
        <w:top w:val="none" w:sz="0" w:space="0" w:color="auto"/>
        <w:left w:val="none" w:sz="0" w:space="0" w:color="auto"/>
        <w:bottom w:val="none" w:sz="0" w:space="0" w:color="auto"/>
        <w:right w:val="none" w:sz="0" w:space="0" w:color="auto"/>
      </w:divBdr>
    </w:div>
    <w:div w:id="20578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66/washdev.2025.267" TargetMode="External"/><Relationship Id="rId21" Type="http://schemas.microsoft.com/office/2007/relationships/diagramDrawing" Target="diagrams/drawing3.xml"/><Relationship Id="rId42" Type="http://schemas.openxmlformats.org/officeDocument/2006/relationships/hyperlink" Target="https://ghanacic.ashesi.edu.gh/wp-content/uploads/2025/08/Waste-Management-Policy-Paper.pdf" TargetMode="External"/><Relationship Id="rId47" Type="http://schemas.openxmlformats.org/officeDocument/2006/relationships/hyperlink" Target="https://doi.org/10.3390/w16243638" TargetMode="External"/><Relationship Id="rId63" Type="http://schemas.openxmlformats.org/officeDocument/2006/relationships/hyperlink" Target="https://doi.org/10.3390/su15054069" TargetMode="External"/><Relationship Id="rId68" Type="http://schemas.openxmlformats.org/officeDocument/2006/relationships/hyperlink" Target="https://doi.org/10.1007/978-3-030-70213-7_11" TargetMode="External"/><Relationship Id="rId16" Type="http://schemas.microsoft.com/office/2007/relationships/diagramDrawing" Target="diagrams/drawing2.xml"/><Relationship Id="rId11" Type="http://schemas.microsoft.com/office/2007/relationships/diagramDrawing" Target="diagrams/drawing1.xml"/><Relationship Id="rId32" Type="http://schemas.openxmlformats.org/officeDocument/2006/relationships/hyperlink" Target="https://doi.org/10.1023/B:ENVR.0000017283.09117.20" TargetMode="External"/><Relationship Id="rId37" Type="http://schemas.openxmlformats.org/officeDocument/2006/relationships/hyperlink" Target="https://doi.org/10.3390/urbansci6030057" TargetMode="External"/><Relationship Id="rId53" Type="http://schemas.openxmlformats.org/officeDocument/2006/relationships/hyperlink" Target="https://doi.org/10.1007/s44274-025-00206-w" TargetMode="External"/><Relationship Id="rId58" Type="http://schemas.openxmlformats.org/officeDocument/2006/relationships/hyperlink" Target="https://doi.org/10.4324/9781315767134"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researchsquare.com/article/rs-3494851/v1" TargetMode="External"/><Relationship Id="rId19" Type="http://schemas.openxmlformats.org/officeDocument/2006/relationships/diagramQuickStyle" Target="diagrams/quickStyle3.xml"/><Relationship Id="rId14" Type="http://schemas.openxmlformats.org/officeDocument/2006/relationships/diagramQuickStyle" Target="diagrams/quickStyle2.xml"/><Relationship Id="rId22" Type="http://schemas.openxmlformats.org/officeDocument/2006/relationships/image" Target="media/image1.png"/><Relationship Id="rId27" Type="http://schemas.openxmlformats.org/officeDocument/2006/relationships/hyperlink" Target="https://doi.org/10.1007/978-981-99-3083-8_18" TargetMode="External"/><Relationship Id="rId30" Type="http://schemas.openxmlformats.org/officeDocument/2006/relationships/hyperlink" Target="https://library.fes.de/pdf-files/bueros/ghana/16591.pdf" TargetMode="External"/><Relationship Id="rId35" Type="http://schemas.openxmlformats.org/officeDocument/2006/relationships/hyperlink" Target="https://doi.org/10.1016/j.scitotenv.2023.169310" TargetMode="External"/><Relationship Id="rId43" Type="http://schemas.openxmlformats.org/officeDocument/2006/relationships/hyperlink" Target="https://census2021.statsghana.gov.gh/" TargetMode="External"/><Relationship Id="rId48" Type="http://schemas.openxmlformats.org/officeDocument/2006/relationships/hyperlink" Target="https://cbeih.iwmi.org/" TargetMode="External"/><Relationship Id="rId56" Type="http://schemas.openxmlformats.org/officeDocument/2006/relationships/hyperlink" Target="https://doi.org/10.1007/978-3-031-90143-0_2" TargetMode="External"/><Relationship Id="rId64" Type="http://schemas.openxmlformats.org/officeDocument/2006/relationships/hyperlink" Target="https://link.springer.com/chapter/10.1007/978-3-031-35471-7_72" TargetMode="External"/><Relationship Id="rId69" Type="http://schemas.openxmlformats.org/officeDocument/2006/relationships/hyperlink" Target="https://washghana.org/wp-content/uploads/2024/06/ghana_buy-in_component_3_report_non-revenue_water_final_508.pdf" TargetMode="External"/><Relationship Id="rId77" Type="http://schemas.openxmlformats.org/officeDocument/2006/relationships/footer" Target="footer2.xml"/><Relationship Id="rId8" Type="http://schemas.openxmlformats.org/officeDocument/2006/relationships/diagramLayout" Target="diagrams/layout1.xml"/><Relationship Id="rId51" Type="http://schemas.openxmlformats.org/officeDocument/2006/relationships/hyperlink" Target="https://doi.org/10.3390/su17188266" TargetMode="External"/><Relationship Id="rId72" Type="http://schemas.openxmlformats.org/officeDocument/2006/relationships/hyperlink" Target="https://ghanawasteplatform.org"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hyperlink" Target="https://acba.africa/about-us/" TargetMode="External"/><Relationship Id="rId33" Type="http://schemas.openxmlformats.org/officeDocument/2006/relationships/hyperlink" Target="https://doi.org/10.1007/978-3-031-20822-5_7" TargetMode="External"/><Relationship Id="rId38" Type="http://schemas.openxmlformats.org/officeDocument/2006/relationships/hyperlink" Target="https://doi.org/10.3390/su17146544" TargetMode="External"/><Relationship Id="rId46" Type="http://schemas.openxmlformats.org/officeDocument/2006/relationships/hyperlink" Target="https://doi.org/10.3390/su16124976" TargetMode="External"/><Relationship Id="rId59" Type="http://schemas.openxmlformats.org/officeDocument/2006/relationships/hyperlink" Target="https://doi.org/10.1080/07352166.2020.1730452" TargetMode="External"/><Relationship Id="rId67" Type="http://schemas.openxmlformats.org/officeDocument/2006/relationships/hyperlink" Target="https://doi.org/10.3390/world5030034" TargetMode="External"/><Relationship Id="rId20" Type="http://schemas.openxmlformats.org/officeDocument/2006/relationships/diagramColors" Target="diagrams/colors3.xml"/><Relationship Id="rId41" Type="http://schemas.openxmlformats.org/officeDocument/2006/relationships/hyperlink" Target="https://nextgenwater.eu/wp-content/uploads/2023/04/D4.4-Roadmap-to-support-uptake-of-circular-water-solutions-1.pdf" TargetMode="External"/><Relationship Id="rId54" Type="http://schemas.openxmlformats.org/officeDocument/2006/relationships/hyperlink" Target="https://doi.org/10.1186/s13750-024-00342-5" TargetMode="External"/><Relationship Id="rId62" Type="http://schemas.openxmlformats.org/officeDocument/2006/relationships/hyperlink" Target="https://doi.org/10.1039/D3CS00812F" TargetMode="External"/><Relationship Id="rId70" Type="http://schemas.openxmlformats.org/officeDocument/2006/relationships/hyperlink" Target="https://www.unep.org/resources/report/global-circular-economy-strategy"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hyperlink" Target="https://doi.org/10.1016/j.jum.2020.05.002" TargetMode="External"/><Relationship Id="rId28" Type="http://schemas.openxmlformats.org/officeDocument/2006/relationships/hyperlink" Target="https://doi.org/10.1016/j.envdev.2025.101229" TargetMode="External"/><Relationship Id="rId36" Type="http://schemas.openxmlformats.org/officeDocument/2006/relationships/hyperlink" Target="https://doi.org/10.1007/s44274-025-00271-1" TargetMode="External"/><Relationship Id="rId49" Type="http://schemas.openxmlformats.org/officeDocument/2006/relationships/hyperlink" Target="https://www.hilarispublisher.com/open-access/the-global-water-crisis-challenges-and-solutions-for-a-sustainable-future.pdf" TargetMode="External"/><Relationship Id="rId57" Type="http://schemas.openxmlformats.org/officeDocument/2006/relationships/hyperlink" Target="https://doi.org/10.1016/j.envc.2023.100686" TargetMode="External"/><Relationship Id="rId10" Type="http://schemas.openxmlformats.org/officeDocument/2006/relationships/diagramColors" Target="diagrams/colors1.xml"/><Relationship Id="rId31" Type="http://schemas.openxmlformats.org/officeDocument/2006/relationships/hyperlink" Target="https://ajgd.org/articles/circular-economy-and-community-engagement-ghana" TargetMode="External"/><Relationship Id="rId44" Type="http://schemas.openxmlformats.org/officeDocument/2006/relationships/hyperlink" Target="https://www.gwcl.com.gh/reports/annual-performance-2023.pdf" TargetMode="External"/><Relationship Id="rId52" Type="http://schemas.openxmlformats.org/officeDocument/2006/relationships/hyperlink" Target="https://doi.org/10.5751/ES-16390-300336" TargetMode="External"/><Relationship Id="rId60" Type="http://schemas.openxmlformats.org/officeDocument/2006/relationships/hyperlink" Target="https://link.springer.com/chapter/10.1007/978-3-031-93654-8_3" TargetMode="External"/><Relationship Id="rId65" Type="http://schemas.openxmlformats.org/officeDocument/2006/relationships/hyperlink" Target="https://doi.org/10.1016/j.biortech.2019.122673" TargetMode="External"/><Relationship Id="rId73" Type="http://schemas.openxmlformats.org/officeDocument/2006/relationships/hyperlink" Target="https://thedocs.worldbank.org/en/doc/6843853c1a601b962242c40c9814f236-0320082024/original/Session-1-Overview-of-the-principles-of-circular-economy-and-resilience-in-the-water-sector.pdf"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hyperlink" Target="https://doi.org/10.3390/w15050848" TargetMode="External"/><Relationship Id="rId34" Type="http://schemas.openxmlformats.org/officeDocument/2006/relationships/hyperlink" Target="https://citinewsroom.com/2025/06/go-circular-project-ends-with-call-to-scale-up-plastic-reduction-in-ghana/" TargetMode="External"/><Relationship Id="rId50" Type="http://schemas.openxmlformats.org/officeDocument/2006/relationships/hyperlink" Target="https://www.iwmi.cgiar.org/publications/books/safe-use-of-wastewater-in-agriculture/" TargetMode="External"/><Relationship Id="rId55" Type="http://schemas.openxmlformats.org/officeDocument/2006/relationships/hyperlink" Target="https://thevaultznews.com/2023/03/03/mesti-develops-a-circular-economy-roadmap-and-action-plan-to-foster-strong-alignment-between-academia-and-the-civil-society/" TargetMode="External"/><Relationship Id="rId76" Type="http://schemas.openxmlformats.org/officeDocument/2006/relationships/footer" Target="footer1.xml"/><Relationship Id="rId7" Type="http://schemas.openxmlformats.org/officeDocument/2006/relationships/diagramData" Target="diagrams/data1.xml"/><Relationship Id="rId71" Type="http://schemas.openxmlformats.org/officeDocument/2006/relationships/hyperlink" Target="https://doi.org/10.1007/978-3-031-72490-9_5" TargetMode="External"/><Relationship Id="rId2" Type="http://schemas.openxmlformats.org/officeDocument/2006/relationships/styles" Target="styles.xml"/><Relationship Id="rId29" Type="http://schemas.openxmlformats.org/officeDocument/2006/relationships/hyperlink" Target="https://doi.org/10.1021/acssusresmgt.4c00016" TargetMode="External"/><Relationship Id="rId24" Type="http://schemas.openxmlformats.org/officeDocument/2006/relationships/hyperlink" Target="https://africacircular.org/circular-economy-action-plan-and-roadmap-in-ghana/" TargetMode="External"/><Relationship Id="rId40" Type="http://schemas.openxmlformats.org/officeDocument/2006/relationships/hyperlink" Target="https://doi.org/10.5194/bg-16-3725-2019" TargetMode="External"/><Relationship Id="rId45" Type="http://schemas.openxmlformats.org/officeDocument/2006/relationships/hyperlink" Target="https://mesti.gov.gh/wp-content/uploads/2021/02/Revised-National-Plastics-Management-Policy_-FINAL.pdf" TargetMode="External"/><Relationship Id="rId66" Type="http://schemas.openxmlformats.org/officeDocument/2006/relationships/hyperlink" Target="https://doi.org/10.4236/jep.2025.162003"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80B05B-60A2-491B-A485-1E5276815F8B}" type="doc">
      <dgm:prSet loTypeId="urn:microsoft.com/office/officeart/2008/layout/VerticalCurvedList" loCatId="list" qsTypeId="urn:microsoft.com/office/officeart/2005/8/quickstyle/simple1" qsCatId="simple" csTypeId="urn:microsoft.com/office/officeart/2005/8/colors/accent0_3" csCatId="mainScheme" phldr="1"/>
      <dgm:spPr/>
      <dgm:t>
        <a:bodyPr/>
        <a:lstStyle/>
        <a:p>
          <a:endParaRPr lang="en-US"/>
        </a:p>
      </dgm:t>
    </dgm:pt>
    <dgm:pt modelId="{CD974DC1-C015-4106-B9F9-791F137DD02B}">
      <dgm:prSet phldrT="[Text]" custT="1"/>
      <dgm:spPr/>
      <dgm:t>
        <a:bodyPr/>
        <a:lstStyle/>
        <a:p>
          <a:r>
            <a:rPr lang="en-GB" sz="1100">
              <a:latin typeface="Times New Roman" panose="02020603050405020304" pitchFamily="18" charset="0"/>
              <a:cs typeface="Times New Roman" panose="02020603050405020304" pitchFamily="18" charset="0"/>
            </a:rPr>
            <a:t>Economic constraints</a:t>
          </a:r>
          <a:endParaRPr lang="en-US" sz="1100">
            <a:latin typeface="Times New Roman" panose="02020603050405020304" pitchFamily="18" charset="0"/>
            <a:cs typeface="Times New Roman" panose="02020603050405020304" pitchFamily="18" charset="0"/>
          </a:endParaRPr>
        </a:p>
      </dgm:t>
    </dgm:pt>
    <dgm:pt modelId="{A8A7A814-F3DF-4773-84FB-1EED6D0060AC}" type="parTrans" cxnId="{76A65658-C4F4-4F56-9577-417CAFDE232C}">
      <dgm:prSet/>
      <dgm:spPr/>
      <dgm:t>
        <a:bodyPr/>
        <a:lstStyle/>
        <a:p>
          <a:endParaRPr lang="en-US" sz="1100">
            <a:latin typeface="Times New Roman" panose="02020603050405020304" pitchFamily="18" charset="0"/>
            <a:cs typeface="Times New Roman" panose="02020603050405020304" pitchFamily="18" charset="0"/>
          </a:endParaRPr>
        </a:p>
      </dgm:t>
    </dgm:pt>
    <dgm:pt modelId="{C8EA2A72-41D9-4964-9B46-236FA3EB63E5}" type="sibTrans" cxnId="{76A65658-C4F4-4F56-9577-417CAFDE232C}">
      <dgm:prSet/>
      <dgm:spPr/>
      <dgm:t>
        <a:bodyPr/>
        <a:lstStyle/>
        <a:p>
          <a:endParaRPr lang="en-US" sz="1100">
            <a:latin typeface="Times New Roman" panose="02020603050405020304" pitchFamily="18" charset="0"/>
            <a:cs typeface="Times New Roman" panose="02020603050405020304" pitchFamily="18" charset="0"/>
          </a:endParaRPr>
        </a:p>
      </dgm:t>
    </dgm:pt>
    <dgm:pt modelId="{C0584755-A7E0-4ED2-A4A9-8C6FCD88D72A}">
      <dgm:prSet phldrT="[Text]" custT="1"/>
      <dgm:spPr/>
      <dgm:t>
        <a:bodyPr/>
        <a:lstStyle/>
        <a:p>
          <a:r>
            <a:rPr lang="en-GB" sz="1100">
              <a:latin typeface="Times New Roman" panose="02020603050405020304" pitchFamily="18" charset="0"/>
              <a:cs typeface="Times New Roman" panose="02020603050405020304" pitchFamily="18" charset="0"/>
            </a:rPr>
            <a:t>Regulatory and policy gaps</a:t>
          </a:r>
          <a:endParaRPr lang="en-US" sz="1100">
            <a:latin typeface="Times New Roman" panose="02020603050405020304" pitchFamily="18" charset="0"/>
            <a:cs typeface="Times New Roman" panose="02020603050405020304" pitchFamily="18" charset="0"/>
          </a:endParaRPr>
        </a:p>
      </dgm:t>
    </dgm:pt>
    <dgm:pt modelId="{B034E934-0961-4687-918D-069A63EB4A66}" type="parTrans" cxnId="{9B24B7FD-8CF1-409D-B0EE-C1B16F52EF8D}">
      <dgm:prSet/>
      <dgm:spPr/>
      <dgm:t>
        <a:bodyPr/>
        <a:lstStyle/>
        <a:p>
          <a:endParaRPr lang="en-US" sz="1100">
            <a:latin typeface="Times New Roman" panose="02020603050405020304" pitchFamily="18" charset="0"/>
            <a:cs typeface="Times New Roman" panose="02020603050405020304" pitchFamily="18" charset="0"/>
          </a:endParaRPr>
        </a:p>
      </dgm:t>
    </dgm:pt>
    <dgm:pt modelId="{BAC6D900-D6E2-45FC-A208-F69CEB14D3C2}" type="sibTrans" cxnId="{9B24B7FD-8CF1-409D-B0EE-C1B16F52EF8D}">
      <dgm:prSet/>
      <dgm:spPr/>
      <dgm:t>
        <a:bodyPr/>
        <a:lstStyle/>
        <a:p>
          <a:endParaRPr lang="en-US" sz="1100">
            <a:latin typeface="Times New Roman" panose="02020603050405020304" pitchFamily="18" charset="0"/>
            <a:cs typeface="Times New Roman" panose="02020603050405020304" pitchFamily="18" charset="0"/>
          </a:endParaRPr>
        </a:p>
      </dgm:t>
    </dgm:pt>
    <dgm:pt modelId="{EAAD40EE-2DC1-4000-9469-6579FB94C714}">
      <dgm:prSet phldrT="[Text]" custT="1"/>
      <dgm:spPr/>
      <dgm:t>
        <a:bodyPr/>
        <a:lstStyle/>
        <a:p>
          <a:r>
            <a:rPr lang="en-GB" sz="1100">
              <a:latin typeface="Times New Roman" panose="02020603050405020304" pitchFamily="18" charset="0"/>
              <a:cs typeface="Times New Roman" panose="02020603050405020304" pitchFamily="18" charset="0"/>
            </a:rPr>
            <a:t>Weak Institutional capacity</a:t>
          </a:r>
          <a:endParaRPr lang="en-US" sz="1100">
            <a:latin typeface="Times New Roman" panose="02020603050405020304" pitchFamily="18" charset="0"/>
            <a:cs typeface="Times New Roman" panose="02020603050405020304" pitchFamily="18" charset="0"/>
          </a:endParaRPr>
        </a:p>
      </dgm:t>
    </dgm:pt>
    <dgm:pt modelId="{5C6B0906-C255-4A14-B5A1-69393449CDBA}" type="parTrans" cxnId="{6ED59694-1852-4746-BDE4-97C3C4A116DE}">
      <dgm:prSet/>
      <dgm:spPr/>
      <dgm:t>
        <a:bodyPr/>
        <a:lstStyle/>
        <a:p>
          <a:endParaRPr lang="en-US" sz="1100">
            <a:latin typeface="Times New Roman" panose="02020603050405020304" pitchFamily="18" charset="0"/>
            <a:cs typeface="Times New Roman" panose="02020603050405020304" pitchFamily="18" charset="0"/>
          </a:endParaRPr>
        </a:p>
      </dgm:t>
    </dgm:pt>
    <dgm:pt modelId="{CD98DE83-CD5A-4A67-BD8C-A6CF5A1ABDF9}" type="sibTrans" cxnId="{6ED59694-1852-4746-BDE4-97C3C4A116DE}">
      <dgm:prSet/>
      <dgm:spPr/>
      <dgm:t>
        <a:bodyPr/>
        <a:lstStyle/>
        <a:p>
          <a:endParaRPr lang="en-US" sz="1100">
            <a:latin typeface="Times New Roman" panose="02020603050405020304" pitchFamily="18" charset="0"/>
            <a:cs typeface="Times New Roman" panose="02020603050405020304" pitchFamily="18" charset="0"/>
          </a:endParaRPr>
        </a:p>
      </dgm:t>
    </dgm:pt>
    <dgm:pt modelId="{173455A2-6943-44E5-8BC9-1B45C9DB7A4F}">
      <dgm:prSet custT="1"/>
      <dgm:spPr/>
      <dgm:t>
        <a:bodyPr/>
        <a:lstStyle/>
        <a:p>
          <a:r>
            <a:rPr lang="en-GB" sz="1100">
              <a:latin typeface="Times New Roman" panose="02020603050405020304" pitchFamily="18" charset="0"/>
              <a:cs typeface="Times New Roman" panose="02020603050405020304" pitchFamily="18" charset="0"/>
            </a:rPr>
            <a:t>Health and safety concerns</a:t>
          </a:r>
          <a:endParaRPr lang="en-US" sz="1100">
            <a:latin typeface="Times New Roman" panose="02020603050405020304" pitchFamily="18" charset="0"/>
            <a:cs typeface="Times New Roman" panose="02020603050405020304" pitchFamily="18" charset="0"/>
          </a:endParaRPr>
        </a:p>
      </dgm:t>
    </dgm:pt>
    <dgm:pt modelId="{E5020F7B-F7C4-4553-8386-6183F0CF9B2D}" type="parTrans" cxnId="{1693A8FC-7A3E-4CE6-9CD5-7306E552C2FC}">
      <dgm:prSet/>
      <dgm:spPr/>
      <dgm:t>
        <a:bodyPr/>
        <a:lstStyle/>
        <a:p>
          <a:endParaRPr lang="en-US" sz="1100">
            <a:latin typeface="Times New Roman" panose="02020603050405020304" pitchFamily="18" charset="0"/>
            <a:cs typeface="Times New Roman" panose="02020603050405020304" pitchFamily="18" charset="0"/>
          </a:endParaRPr>
        </a:p>
      </dgm:t>
    </dgm:pt>
    <dgm:pt modelId="{CE1AD910-3C26-407A-8724-8E69984EAE12}" type="sibTrans" cxnId="{1693A8FC-7A3E-4CE6-9CD5-7306E552C2FC}">
      <dgm:prSet/>
      <dgm:spPr/>
      <dgm:t>
        <a:bodyPr/>
        <a:lstStyle/>
        <a:p>
          <a:endParaRPr lang="en-US" sz="1100">
            <a:latin typeface="Times New Roman" panose="02020603050405020304" pitchFamily="18" charset="0"/>
            <a:cs typeface="Times New Roman" panose="02020603050405020304" pitchFamily="18" charset="0"/>
          </a:endParaRPr>
        </a:p>
      </dgm:t>
    </dgm:pt>
    <dgm:pt modelId="{9F87F092-79AA-41C2-BB0A-F05FD7FC12FC}" type="pres">
      <dgm:prSet presAssocID="{5A80B05B-60A2-491B-A485-1E5276815F8B}" presName="Name0" presStyleCnt="0">
        <dgm:presLayoutVars>
          <dgm:chMax val="7"/>
          <dgm:chPref val="7"/>
          <dgm:dir/>
        </dgm:presLayoutVars>
      </dgm:prSet>
      <dgm:spPr/>
    </dgm:pt>
    <dgm:pt modelId="{3E5BDC29-A241-4CD6-BFDA-1EF0C5F5A176}" type="pres">
      <dgm:prSet presAssocID="{5A80B05B-60A2-491B-A485-1E5276815F8B}" presName="Name1" presStyleCnt="0"/>
      <dgm:spPr/>
    </dgm:pt>
    <dgm:pt modelId="{A4652888-7A76-4706-AA4E-A00B602602FF}" type="pres">
      <dgm:prSet presAssocID="{5A80B05B-60A2-491B-A485-1E5276815F8B}" presName="cycle" presStyleCnt="0"/>
      <dgm:spPr/>
    </dgm:pt>
    <dgm:pt modelId="{3A3D9A95-FF54-402A-B9FE-650043932522}" type="pres">
      <dgm:prSet presAssocID="{5A80B05B-60A2-491B-A485-1E5276815F8B}" presName="srcNode" presStyleLbl="node1" presStyleIdx="0" presStyleCnt="4"/>
      <dgm:spPr/>
    </dgm:pt>
    <dgm:pt modelId="{E244CD31-4181-44F2-A5DE-7D825BA66E3D}" type="pres">
      <dgm:prSet presAssocID="{5A80B05B-60A2-491B-A485-1E5276815F8B}" presName="conn" presStyleLbl="parChTrans1D2" presStyleIdx="0" presStyleCnt="1"/>
      <dgm:spPr/>
    </dgm:pt>
    <dgm:pt modelId="{C508F8E8-F156-4AD3-93C1-89B1565DE3C8}" type="pres">
      <dgm:prSet presAssocID="{5A80B05B-60A2-491B-A485-1E5276815F8B}" presName="extraNode" presStyleLbl="node1" presStyleIdx="0" presStyleCnt="4"/>
      <dgm:spPr/>
    </dgm:pt>
    <dgm:pt modelId="{D7210A20-47AD-4150-A12E-84846618A157}" type="pres">
      <dgm:prSet presAssocID="{5A80B05B-60A2-491B-A485-1E5276815F8B}" presName="dstNode" presStyleLbl="node1" presStyleIdx="0" presStyleCnt="4"/>
      <dgm:spPr/>
    </dgm:pt>
    <dgm:pt modelId="{27DD2E86-F0E4-402D-ACAE-2F012651EAED}" type="pres">
      <dgm:prSet presAssocID="{CD974DC1-C015-4106-B9F9-791F137DD02B}" presName="text_1" presStyleLbl="node1" presStyleIdx="0" presStyleCnt="4">
        <dgm:presLayoutVars>
          <dgm:bulletEnabled val="1"/>
        </dgm:presLayoutVars>
      </dgm:prSet>
      <dgm:spPr/>
    </dgm:pt>
    <dgm:pt modelId="{37B83F39-08B1-4E85-945D-8072F24DB395}" type="pres">
      <dgm:prSet presAssocID="{CD974DC1-C015-4106-B9F9-791F137DD02B}" presName="accent_1" presStyleCnt="0"/>
      <dgm:spPr/>
    </dgm:pt>
    <dgm:pt modelId="{5F35AE26-DA96-446B-B589-594AF8282112}" type="pres">
      <dgm:prSet presAssocID="{CD974DC1-C015-4106-B9F9-791F137DD02B}" presName="accentRepeatNode" presStyleLbl="solidFgAcc1" presStyleIdx="0" presStyleCnt="4"/>
      <dgm:spPr/>
    </dgm:pt>
    <dgm:pt modelId="{D5D6AB6D-D5DE-4162-B925-735B6A989708}" type="pres">
      <dgm:prSet presAssocID="{C0584755-A7E0-4ED2-A4A9-8C6FCD88D72A}" presName="text_2" presStyleLbl="node1" presStyleIdx="1" presStyleCnt="4">
        <dgm:presLayoutVars>
          <dgm:bulletEnabled val="1"/>
        </dgm:presLayoutVars>
      </dgm:prSet>
      <dgm:spPr/>
    </dgm:pt>
    <dgm:pt modelId="{7F42E27C-924D-4F5C-B3EF-74862BC70BAD}" type="pres">
      <dgm:prSet presAssocID="{C0584755-A7E0-4ED2-A4A9-8C6FCD88D72A}" presName="accent_2" presStyleCnt="0"/>
      <dgm:spPr/>
    </dgm:pt>
    <dgm:pt modelId="{C729D5F0-A83E-4E5D-910B-A9C4A4D73AF6}" type="pres">
      <dgm:prSet presAssocID="{C0584755-A7E0-4ED2-A4A9-8C6FCD88D72A}" presName="accentRepeatNode" presStyleLbl="solidFgAcc1" presStyleIdx="1" presStyleCnt="4"/>
      <dgm:spPr/>
    </dgm:pt>
    <dgm:pt modelId="{FE5AD2F3-F616-4BFF-80BE-0F0D13E21A3E}" type="pres">
      <dgm:prSet presAssocID="{EAAD40EE-2DC1-4000-9469-6579FB94C714}" presName="text_3" presStyleLbl="node1" presStyleIdx="2" presStyleCnt="4">
        <dgm:presLayoutVars>
          <dgm:bulletEnabled val="1"/>
        </dgm:presLayoutVars>
      </dgm:prSet>
      <dgm:spPr/>
    </dgm:pt>
    <dgm:pt modelId="{A1BAF72C-6F71-406D-8647-AF1CFCB797A7}" type="pres">
      <dgm:prSet presAssocID="{EAAD40EE-2DC1-4000-9469-6579FB94C714}" presName="accent_3" presStyleCnt="0"/>
      <dgm:spPr/>
    </dgm:pt>
    <dgm:pt modelId="{5A1EEA56-0C93-47EC-9307-A7303EBF5C2E}" type="pres">
      <dgm:prSet presAssocID="{EAAD40EE-2DC1-4000-9469-6579FB94C714}" presName="accentRepeatNode" presStyleLbl="solidFgAcc1" presStyleIdx="2" presStyleCnt="4"/>
      <dgm:spPr/>
    </dgm:pt>
    <dgm:pt modelId="{402D32DB-B73D-40F2-B630-682DD86F0EE7}" type="pres">
      <dgm:prSet presAssocID="{173455A2-6943-44E5-8BC9-1B45C9DB7A4F}" presName="text_4" presStyleLbl="node1" presStyleIdx="3" presStyleCnt="4">
        <dgm:presLayoutVars>
          <dgm:bulletEnabled val="1"/>
        </dgm:presLayoutVars>
      </dgm:prSet>
      <dgm:spPr/>
    </dgm:pt>
    <dgm:pt modelId="{8AE97028-42E6-4792-BF77-230B32FAF3E9}" type="pres">
      <dgm:prSet presAssocID="{173455A2-6943-44E5-8BC9-1B45C9DB7A4F}" presName="accent_4" presStyleCnt="0"/>
      <dgm:spPr/>
    </dgm:pt>
    <dgm:pt modelId="{DF4D79CF-F444-4ED8-818A-8976207C6FA5}" type="pres">
      <dgm:prSet presAssocID="{173455A2-6943-44E5-8BC9-1B45C9DB7A4F}" presName="accentRepeatNode" presStyleLbl="solidFgAcc1" presStyleIdx="3" presStyleCnt="4"/>
      <dgm:spPr/>
    </dgm:pt>
  </dgm:ptLst>
  <dgm:cxnLst>
    <dgm:cxn modelId="{A3A5A123-AD87-492C-8320-A9CD51DFDBB6}" type="presOf" srcId="{173455A2-6943-44E5-8BC9-1B45C9DB7A4F}" destId="{402D32DB-B73D-40F2-B630-682DD86F0EE7}" srcOrd="0" destOrd="0" presId="urn:microsoft.com/office/officeart/2008/layout/VerticalCurvedList"/>
    <dgm:cxn modelId="{57CE1E3C-2D63-40A3-A7F9-D904A84B3939}" type="presOf" srcId="{5A80B05B-60A2-491B-A485-1E5276815F8B}" destId="{9F87F092-79AA-41C2-BB0A-F05FD7FC12FC}" srcOrd="0" destOrd="0" presId="urn:microsoft.com/office/officeart/2008/layout/VerticalCurvedList"/>
    <dgm:cxn modelId="{8CF0E46C-EAA5-4DF9-9FE3-6FC6191D18C9}" type="presOf" srcId="{CD974DC1-C015-4106-B9F9-791F137DD02B}" destId="{27DD2E86-F0E4-402D-ACAE-2F012651EAED}" srcOrd="0" destOrd="0" presId="urn:microsoft.com/office/officeart/2008/layout/VerticalCurvedList"/>
    <dgm:cxn modelId="{76A65658-C4F4-4F56-9577-417CAFDE232C}" srcId="{5A80B05B-60A2-491B-A485-1E5276815F8B}" destId="{CD974DC1-C015-4106-B9F9-791F137DD02B}" srcOrd="0" destOrd="0" parTransId="{A8A7A814-F3DF-4773-84FB-1EED6D0060AC}" sibTransId="{C8EA2A72-41D9-4964-9B46-236FA3EB63E5}"/>
    <dgm:cxn modelId="{6ED59694-1852-4746-BDE4-97C3C4A116DE}" srcId="{5A80B05B-60A2-491B-A485-1E5276815F8B}" destId="{EAAD40EE-2DC1-4000-9469-6579FB94C714}" srcOrd="2" destOrd="0" parTransId="{5C6B0906-C255-4A14-B5A1-69393449CDBA}" sibTransId="{CD98DE83-CD5A-4A67-BD8C-A6CF5A1ABDF9}"/>
    <dgm:cxn modelId="{2DB6FAC7-954D-44C3-BA2B-890045F5D770}" type="presOf" srcId="{EAAD40EE-2DC1-4000-9469-6579FB94C714}" destId="{FE5AD2F3-F616-4BFF-80BE-0F0D13E21A3E}" srcOrd="0" destOrd="0" presId="urn:microsoft.com/office/officeart/2008/layout/VerticalCurvedList"/>
    <dgm:cxn modelId="{264ED3FA-88A7-4705-B615-4536C4DCF4EA}" type="presOf" srcId="{C8EA2A72-41D9-4964-9B46-236FA3EB63E5}" destId="{E244CD31-4181-44F2-A5DE-7D825BA66E3D}" srcOrd="0" destOrd="0" presId="urn:microsoft.com/office/officeart/2008/layout/VerticalCurvedList"/>
    <dgm:cxn modelId="{1693A8FC-7A3E-4CE6-9CD5-7306E552C2FC}" srcId="{5A80B05B-60A2-491B-A485-1E5276815F8B}" destId="{173455A2-6943-44E5-8BC9-1B45C9DB7A4F}" srcOrd="3" destOrd="0" parTransId="{E5020F7B-F7C4-4553-8386-6183F0CF9B2D}" sibTransId="{CE1AD910-3C26-407A-8724-8E69984EAE12}"/>
    <dgm:cxn modelId="{4F4251FD-6041-445F-94AD-02AC34D15384}" type="presOf" srcId="{C0584755-A7E0-4ED2-A4A9-8C6FCD88D72A}" destId="{D5D6AB6D-D5DE-4162-B925-735B6A989708}" srcOrd="0" destOrd="0" presId="urn:microsoft.com/office/officeart/2008/layout/VerticalCurvedList"/>
    <dgm:cxn modelId="{9B24B7FD-8CF1-409D-B0EE-C1B16F52EF8D}" srcId="{5A80B05B-60A2-491B-A485-1E5276815F8B}" destId="{C0584755-A7E0-4ED2-A4A9-8C6FCD88D72A}" srcOrd="1" destOrd="0" parTransId="{B034E934-0961-4687-918D-069A63EB4A66}" sibTransId="{BAC6D900-D6E2-45FC-A208-F69CEB14D3C2}"/>
    <dgm:cxn modelId="{DAFB39A0-4F35-4AAE-9403-9298B74A7B7D}" type="presParOf" srcId="{9F87F092-79AA-41C2-BB0A-F05FD7FC12FC}" destId="{3E5BDC29-A241-4CD6-BFDA-1EF0C5F5A176}" srcOrd="0" destOrd="0" presId="urn:microsoft.com/office/officeart/2008/layout/VerticalCurvedList"/>
    <dgm:cxn modelId="{18183DAB-1892-4A59-AC1B-355763814A33}" type="presParOf" srcId="{3E5BDC29-A241-4CD6-BFDA-1EF0C5F5A176}" destId="{A4652888-7A76-4706-AA4E-A00B602602FF}" srcOrd="0" destOrd="0" presId="urn:microsoft.com/office/officeart/2008/layout/VerticalCurvedList"/>
    <dgm:cxn modelId="{F98A907A-0246-4FBF-A7B5-C2B45EB22311}" type="presParOf" srcId="{A4652888-7A76-4706-AA4E-A00B602602FF}" destId="{3A3D9A95-FF54-402A-B9FE-650043932522}" srcOrd="0" destOrd="0" presId="urn:microsoft.com/office/officeart/2008/layout/VerticalCurvedList"/>
    <dgm:cxn modelId="{816BD9E4-C5C9-4C04-9457-AAFDC909DAFD}" type="presParOf" srcId="{A4652888-7A76-4706-AA4E-A00B602602FF}" destId="{E244CD31-4181-44F2-A5DE-7D825BA66E3D}" srcOrd="1" destOrd="0" presId="urn:microsoft.com/office/officeart/2008/layout/VerticalCurvedList"/>
    <dgm:cxn modelId="{5200F583-4846-49B4-A839-61DAC2320E59}" type="presParOf" srcId="{A4652888-7A76-4706-AA4E-A00B602602FF}" destId="{C508F8E8-F156-4AD3-93C1-89B1565DE3C8}" srcOrd="2" destOrd="0" presId="urn:microsoft.com/office/officeart/2008/layout/VerticalCurvedList"/>
    <dgm:cxn modelId="{5B71007D-382C-4C85-85FB-2FC562465456}" type="presParOf" srcId="{A4652888-7A76-4706-AA4E-A00B602602FF}" destId="{D7210A20-47AD-4150-A12E-84846618A157}" srcOrd="3" destOrd="0" presId="urn:microsoft.com/office/officeart/2008/layout/VerticalCurvedList"/>
    <dgm:cxn modelId="{8159DFC2-EFAC-4889-91C4-DE6A775885B0}" type="presParOf" srcId="{3E5BDC29-A241-4CD6-BFDA-1EF0C5F5A176}" destId="{27DD2E86-F0E4-402D-ACAE-2F012651EAED}" srcOrd="1" destOrd="0" presId="urn:microsoft.com/office/officeart/2008/layout/VerticalCurvedList"/>
    <dgm:cxn modelId="{472F88EC-006D-423E-9D93-8723CBFCD6B5}" type="presParOf" srcId="{3E5BDC29-A241-4CD6-BFDA-1EF0C5F5A176}" destId="{37B83F39-08B1-4E85-945D-8072F24DB395}" srcOrd="2" destOrd="0" presId="urn:microsoft.com/office/officeart/2008/layout/VerticalCurvedList"/>
    <dgm:cxn modelId="{9155F6CB-230D-4B02-AB8F-0763FA75BB5A}" type="presParOf" srcId="{37B83F39-08B1-4E85-945D-8072F24DB395}" destId="{5F35AE26-DA96-446B-B589-594AF8282112}" srcOrd="0" destOrd="0" presId="urn:microsoft.com/office/officeart/2008/layout/VerticalCurvedList"/>
    <dgm:cxn modelId="{536AC479-5C49-4797-88E3-3AEA46EC14AA}" type="presParOf" srcId="{3E5BDC29-A241-4CD6-BFDA-1EF0C5F5A176}" destId="{D5D6AB6D-D5DE-4162-B925-735B6A989708}" srcOrd="3" destOrd="0" presId="urn:microsoft.com/office/officeart/2008/layout/VerticalCurvedList"/>
    <dgm:cxn modelId="{EEA3D9C0-264C-4186-AB98-5E153FAA9994}" type="presParOf" srcId="{3E5BDC29-A241-4CD6-BFDA-1EF0C5F5A176}" destId="{7F42E27C-924D-4F5C-B3EF-74862BC70BAD}" srcOrd="4" destOrd="0" presId="urn:microsoft.com/office/officeart/2008/layout/VerticalCurvedList"/>
    <dgm:cxn modelId="{5BC2D132-1050-4466-94DA-E81607772033}" type="presParOf" srcId="{7F42E27C-924D-4F5C-B3EF-74862BC70BAD}" destId="{C729D5F0-A83E-4E5D-910B-A9C4A4D73AF6}" srcOrd="0" destOrd="0" presId="urn:microsoft.com/office/officeart/2008/layout/VerticalCurvedList"/>
    <dgm:cxn modelId="{433761E0-FA11-42E7-8EC4-919B9F52A0AC}" type="presParOf" srcId="{3E5BDC29-A241-4CD6-BFDA-1EF0C5F5A176}" destId="{FE5AD2F3-F616-4BFF-80BE-0F0D13E21A3E}" srcOrd="5" destOrd="0" presId="urn:microsoft.com/office/officeart/2008/layout/VerticalCurvedList"/>
    <dgm:cxn modelId="{6A31309E-3DE7-4AE4-9CC0-82478D2EFE8A}" type="presParOf" srcId="{3E5BDC29-A241-4CD6-BFDA-1EF0C5F5A176}" destId="{A1BAF72C-6F71-406D-8647-AF1CFCB797A7}" srcOrd="6" destOrd="0" presId="urn:microsoft.com/office/officeart/2008/layout/VerticalCurvedList"/>
    <dgm:cxn modelId="{941C79DB-5C81-4667-824E-5C526E2B2928}" type="presParOf" srcId="{A1BAF72C-6F71-406D-8647-AF1CFCB797A7}" destId="{5A1EEA56-0C93-47EC-9307-A7303EBF5C2E}" srcOrd="0" destOrd="0" presId="urn:microsoft.com/office/officeart/2008/layout/VerticalCurvedList"/>
    <dgm:cxn modelId="{9F68DF9D-FE10-421D-906E-1B4B11325FE4}" type="presParOf" srcId="{3E5BDC29-A241-4CD6-BFDA-1EF0C5F5A176}" destId="{402D32DB-B73D-40F2-B630-682DD86F0EE7}" srcOrd="7" destOrd="0" presId="urn:microsoft.com/office/officeart/2008/layout/VerticalCurvedList"/>
    <dgm:cxn modelId="{E3A7E78E-6ED5-4720-B606-69B4DC9DACBE}" type="presParOf" srcId="{3E5BDC29-A241-4CD6-BFDA-1EF0C5F5A176}" destId="{8AE97028-42E6-4792-BF77-230B32FAF3E9}" srcOrd="8" destOrd="0" presId="urn:microsoft.com/office/officeart/2008/layout/VerticalCurvedList"/>
    <dgm:cxn modelId="{03113906-B2AC-496A-9579-9F1DDB602C65}" type="presParOf" srcId="{8AE97028-42E6-4792-BF77-230B32FAF3E9}" destId="{DF4D79CF-F444-4ED8-818A-8976207C6FA5}" srcOrd="0" destOrd="0" presId="urn:microsoft.com/office/officeart/2008/layout/VerticalCurvedLis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38735B-3944-4734-8789-23D411F80BA5}" type="doc">
      <dgm:prSet loTypeId="urn:microsoft.com/office/officeart/2005/8/layout/radial5" loCatId="cycle" qsTypeId="urn:microsoft.com/office/officeart/2005/8/quickstyle/simple1" qsCatId="simple" csTypeId="urn:microsoft.com/office/officeart/2005/8/colors/colorful1" csCatId="colorful" phldr="1"/>
      <dgm:spPr/>
      <dgm:t>
        <a:bodyPr/>
        <a:lstStyle/>
        <a:p>
          <a:endParaRPr lang="en-US"/>
        </a:p>
      </dgm:t>
    </dgm:pt>
    <dgm:pt modelId="{ACB4191D-67AE-48C9-8CE4-7310954B52E7}">
      <dgm:prSet phldrT="[Text]" custT="1"/>
      <dgm:spPr/>
      <dgm:t>
        <a:bodyPr/>
        <a:lstStyle/>
        <a:p>
          <a:r>
            <a:rPr lang="en-GB" sz="1200" b="0">
              <a:latin typeface="Times New Roman" panose="02020603050405020304" pitchFamily="18" charset="0"/>
              <a:cs typeface="Times New Roman" panose="02020603050405020304" pitchFamily="18" charset="0"/>
            </a:rPr>
            <a:t>Governance Models for Implementing Circular Economy Principles</a:t>
          </a:r>
          <a:endParaRPr lang="en-US" sz="1200" b="0">
            <a:latin typeface="Times New Roman" panose="02020603050405020304" pitchFamily="18" charset="0"/>
            <a:cs typeface="Times New Roman" panose="02020603050405020304" pitchFamily="18" charset="0"/>
          </a:endParaRPr>
        </a:p>
      </dgm:t>
    </dgm:pt>
    <dgm:pt modelId="{A9B09CF0-66D2-446D-A945-40E3D164B13A}" type="parTrans" cxnId="{5402F861-46C4-464D-B6F4-A3727D141CC5}">
      <dgm:prSet/>
      <dgm:spPr/>
      <dgm:t>
        <a:bodyPr/>
        <a:lstStyle/>
        <a:p>
          <a:endParaRPr lang="en-US" sz="1200">
            <a:latin typeface="Times New Roman" panose="02020603050405020304" pitchFamily="18" charset="0"/>
            <a:cs typeface="Times New Roman" panose="02020603050405020304" pitchFamily="18" charset="0"/>
          </a:endParaRPr>
        </a:p>
      </dgm:t>
    </dgm:pt>
    <dgm:pt modelId="{31424DB4-AA4A-4048-9795-AACF1E4DCA5C}" type="sibTrans" cxnId="{5402F861-46C4-464D-B6F4-A3727D141CC5}">
      <dgm:prSet/>
      <dgm:spPr/>
      <dgm:t>
        <a:bodyPr/>
        <a:lstStyle/>
        <a:p>
          <a:endParaRPr lang="en-US" sz="1200">
            <a:latin typeface="Times New Roman" panose="02020603050405020304" pitchFamily="18" charset="0"/>
            <a:cs typeface="Times New Roman" panose="02020603050405020304" pitchFamily="18" charset="0"/>
          </a:endParaRPr>
        </a:p>
      </dgm:t>
    </dgm:pt>
    <dgm:pt modelId="{75F02F3F-A8D1-4F33-80C4-E660E88C0528}">
      <dgm:prSet phldrT="[Text]" custT="1"/>
      <dgm:spPr/>
      <dgm:t>
        <a:bodyPr/>
        <a:lstStyle/>
        <a:p>
          <a:pPr algn="ctr"/>
          <a:r>
            <a:rPr lang="en-GB" sz="1200">
              <a:latin typeface="Times New Roman" panose="02020603050405020304" pitchFamily="18" charset="0"/>
              <a:cs typeface="Times New Roman" panose="02020603050405020304" pitchFamily="18" charset="0"/>
            </a:rPr>
            <a:t>State-Regulated Governance</a:t>
          </a:r>
          <a:endParaRPr lang="en-US" sz="1200">
            <a:latin typeface="Times New Roman" panose="02020603050405020304" pitchFamily="18" charset="0"/>
            <a:cs typeface="Times New Roman" panose="02020603050405020304" pitchFamily="18" charset="0"/>
          </a:endParaRPr>
        </a:p>
      </dgm:t>
    </dgm:pt>
    <dgm:pt modelId="{6FED399C-A8F3-436B-82A8-8D7C4D2741C2}" type="parTrans" cxnId="{2A48C5D2-0DF0-42D0-AD80-8777FCAE6DE9}">
      <dgm:prSet custT="1"/>
      <dgm:spPr/>
      <dgm:t>
        <a:bodyPr/>
        <a:lstStyle/>
        <a:p>
          <a:endParaRPr lang="en-US" sz="1200">
            <a:latin typeface="Times New Roman" panose="02020603050405020304" pitchFamily="18" charset="0"/>
            <a:cs typeface="Times New Roman" panose="02020603050405020304" pitchFamily="18" charset="0"/>
          </a:endParaRPr>
        </a:p>
      </dgm:t>
    </dgm:pt>
    <dgm:pt modelId="{2B5A4B14-37E6-48BA-9F7A-04E3882F4C4E}" type="sibTrans" cxnId="{2A48C5D2-0DF0-42D0-AD80-8777FCAE6DE9}">
      <dgm:prSet/>
      <dgm:spPr/>
      <dgm:t>
        <a:bodyPr/>
        <a:lstStyle/>
        <a:p>
          <a:endParaRPr lang="en-US" sz="1200">
            <a:latin typeface="Times New Roman" panose="02020603050405020304" pitchFamily="18" charset="0"/>
            <a:cs typeface="Times New Roman" panose="02020603050405020304" pitchFamily="18" charset="0"/>
          </a:endParaRPr>
        </a:p>
      </dgm:t>
    </dgm:pt>
    <dgm:pt modelId="{DFB4E8A3-2AB5-4EA7-AD07-D97310EEA22D}">
      <dgm:prSet phldrT="[Text]" custT="1"/>
      <dgm:spPr/>
      <dgm:t>
        <a:bodyPr/>
        <a:lstStyle/>
        <a:p>
          <a:r>
            <a:rPr lang="en-GB" sz="1200">
              <a:latin typeface="Times New Roman" panose="02020603050405020304" pitchFamily="18" charset="0"/>
              <a:cs typeface="Times New Roman" panose="02020603050405020304" pitchFamily="18" charset="0"/>
            </a:rPr>
            <a:t>Public-Private Partnerships and Hybrid Models</a:t>
          </a:r>
          <a:endParaRPr lang="en-US" sz="1200">
            <a:latin typeface="Times New Roman" panose="02020603050405020304" pitchFamily="18" charset="0"/>
            <a:cs typeface="Times New Roman" panose="02020603050405020304" pitchFamily="18" charset="0"/>
          </a:endParaRPr>
        </a:p>
      </dgm:t>
    </dgm:pt>
    <dgm:pt modelId="{EA11892C-49B4-4CFC-A474-6A674143501A}" type="parTrans" cxnId="{B73EDB19-4B1C-4E8B-9EE9-CD5C6BCC74CF}">
      <dgm:prSet custT="1"/>
      <dgm:spPr/>
      <dgm:t>
        <a:bodyPr/>
        <a:lstStyle/>
        <a:p>
          <a:endParaRPr lang="en-US" sz="1200">
            <a:latin typeface="Times New Roman" panose="02020603050405020304" pitchFamily="18" charset="0"/>
            <a:cs typeface="Times New Roman" panose="02020603050405020304" pitchFamily="18" charset="0"/>
          </a:endParaRPr>
        </a:p>
      </dgm:t>
    </dgm:pt>
    <dgm:pt modelId="{995A990F-E963-4E2B-805A-CB8DA9A96B7B}" type="sibTrans" cxnId="{B73EDB19-4B1C-4E8B-9EE9-CD5C6BCC74CF}">
      <dgm:prSet/>
      <dgm:spPr/>
      <dgm:t>
        <a:bodyPr/>
        <a:lstStyle/>
        <a:p>
          <a:endParaRPr lang="en-US" sz="1200">
            <a:latin typeface="Times New Roman" panose="02020603050405020304" pitchFamily="18" charset="0"/>
            <a:cs typeface="Times New Roman" panose="02020603050405020304" pitchFamily="18" charset="0"/>
          </a:endParaRPr>
        </a:p>
      </dgm:t>
    </dgm:pt>
    <dgm:pt modelId="{6507EBD1-A6A3-48FD-B5F2-B41FE692A3C7}">
      <dgm:prSet phldrT="[Text]" custT="1"/>
      <dgm:spPr/>
      <dgm:t>
        <a:bodyPr/>
        <a:lstStyle/>
        <a:p>
          <a:r>
            <a:rPr lang="en-GB" sz="1200">
              <a:latin typeface="Times New Roman" panose="02020603050405020304" pitchFamily="18" charset="0"/>
              <a:cs typeface="Times New Roman" panose="02020603050405020304" pitchFamily="18" charset="0"/>
            </a:rPr>
            <a:t>Community and Participatory Governance</a:t>
          </a:r>
          <a:endParaRPr lang="en-US" sz="1200">
            <a:latin typeface="Times New Roman" panose="02020603050405020304" pitchFamily="18" charset="0"/>
            <a:cs typeface="Times New Roman" panose="02020603050405020304" pitchFamily="18" charset="0"/>
          </a:endParaRPr>
        </a:p>
      </dgm:t>
    </dgm:pt>
    <dgm:pt modelId="{4E57B1A1-FE4E-465D-A7B6-A3E58C41697E}" type="parTrans" cxnId="{F817F388-3AA9-4A1D-BCD7-270C0D98FC83}">
      <dgm:prSet custT="1"/>
      <dgm:spPr/>
      <dgm:t>
        <a:bodyPr/>
        <a:lstStyle/>
        <a:p>
          <a:endParaRPr lang="en-US" sz="1200">
            <a:latin typeface="Times New Roman" panose="02020603050405020304" pitchFamily="18" charset="0"/>
            <a:cs typeface="Times New Roman" panose="02020603050405020304" pitchFamily="18" charset="0"/>
          </a:endParaRPr>
        </a:p>
      </dgm:t>
    </dgm:pt>
    <dgm:pt modelId="{51310704-B00F-4A33-B531-10F19BE03443}" type="sibTrans" cxnId="{F817F388-3AA9-4A1D-BCD7-270C0D98FC83}">
      <dgm:prSet/>
      <dgm:spPr/>
      <dgm:t>
        <a:bodyPr/>
        <a:lstStyle/>
        <a:p>
          <a:endParaRPr lang="en-US" sz="1200">
            <a:latin typeface="Times New Roman" panose="02020603050405020304" pitchFamily="18" charset="0"/>
            <a:cs typeface="Times New Roman" panose="02020603050405020304" pitchFamily="18" charset="0"/>
          </a:endParaRPr>
        </a:p>
      </dgm:t>
    </dgm:pt>
    <dgm:pt modelId="{83D93B42-D5DA-4B18-AFDF-D9155E730824}">
      <dgm:prSet phldrT="[Text]" custT="1"/>
      <dgm:spPr/>
      <dgm:t>
        <a:bodyPr/>
        <a:lstStyle/>
        <a:p>
          <a:r>
            <a:rPr lang="en-GB" sz="1200">
              <a:latin typeface="Times New Roman" panose="02020603050405020304" pitchFamily="18" charset="0"/>
              <a:cs typeface="Times New Roman" panose="02020603050405020304" pitchFamily="18" charset="0"/>
            </a:rPr>
            <a:t>Adaptive and Flexible Governance</a:t>
          </a:r>
          <a:endParaRPr lang="en-US" sz="1200">
            <a:latin typeface="Times New Roman" panose="02020603050405020304" pitchFamily="18" charset="0"/>
            <a:cs typeface="Times New Roman" panose="02020603050405020304" pitchFamily="18" charset="0"/>
          </a:endParaRPr>
        </a:p>
      </dgm:t>
    </dgm:pt>
    <dgm:pt modelId="{325F61A9-CED5-4539-809A-7BBDD564137E}" type="parTrans" cxnId="{F60BAFBD-24D3-4AD0-BF59-077761E4D08C}">
      <dgm:prSet custT="1"/>
      <dgm:spPr/>
      <dgm:t>
        <a:bodyPr/>
        <a:lstStyle/>
        <a:p>
          <a:endParaRPr lang="en-US" sz="1200">
            <a:latin typeface="Times New Roman" panose="02020603050405020304" pitchFamily="18" charset="0"/>
            <a:cs typeface="Times New Roman" panose="02020603050405020304" pitchFamily="18" charset="0"/>
          </a:endParaRPr>
        </a:p>
      </dgm:t>
    </dgm:pt>
    <dgm:pt modelId="{98A3E8EA-4153-43FB-BEAC-23CA70A3EB09}" type="sibTrans" cxnId="{F60BAFBD-24D3-4AD0-BF59-077761E4D08C}">
      <dgm:prSet/>
      <dgm:spPr/>
      <dgm:t>
        <a:bodyPr/>
        <a:lstStyle/>
        <a:p>
          <a:endParaRPr lang="en-US" sz="1200">
            <a:latin typeface="Times New Roman" panose="02020603050405020304" pitchFamily="18" charset="0"/>
            <a:cs typeface="Times New Roman" panose="02020603050405020304" pitchFamily="18" charset="0"/>
          </a:endParaRPr>
        </a:p>
      </dgm:t>
    </dgm:pt>
    <dgm:pt modelId="{7106BE55-23BF-4808-82E2-51EFA957F3C9}">
      <dgm:prSet custT="1"/>
      <dgm:spPr/>
      <dgm:t>
        <a:bodyPr/>
        <a:lstStyle/>
        <a:p>
          <a:pPr algn="l"/>
          <a:endParaRPr lang="en-US" sz="1200">
            <a:latin typeface="Times New Roman" panose="02020603050405020304" pitchFamily="18" charset="0"/>
            <a:cs typeface="Times New Roman" panose="02020603050405020304" pitchFamily="18" charset="0"/>
          </a:endParaRPr>
        </a:p>
      </dgm:t>
    </dgm:pt>
    <dgm:pt modelId="{030F547B-18B9-489D-ABC8-5FFCE4AF6D55}" type="parTrans" cxnId="{913B18F9-BFE6-4BAF-84B6-DF19E83334C0}">
      <dgm:prSet/>
      <dgm:spPr/>
      <dgm:t>
        <a:bodyPr/>
        <a:lstStyle/>
        <a:p>
          <a:endParaRPr lang="en-US" sz="1200">
            <a:latin typeface="Times New Roman" panose="02020603050405020304" pitchFamily="18" charset="0"/>
            <a:cs typeface="Times New Roman" panose="02020603050405020304" pitchFamily="18" charset="0"/>
          </a:endParaRPr>
        </a:p>
      </dgm:t>
    </dgm:pt>
    <dgm:pt modelId="{1523AE3E-2869-4C69-86DE-7EB62025EE61}" type="sibTrans" cxnId="{913B18F9-BFE6-4BAF-84B6-DF19E83334C0}">
      <dgm:prSet/>
      <dgm:spPr/>
      <dgm:t>
        <a:bodyPr/>
        <a:lstStyle/>
        <a:p>
          <a:endParaRPr lang="en-US" sz="1200">
            <a:latin typeface="Times New Roman" panose="02020603050405020304" pitchFamily="18" charset="0"/>
            <a:cs typeface="Times New Roman" panose="02020603050405020304" pitchFamily="18" charset="0"/>
          </a:endParaRPr>
        </a:p>
      </dgm:t>
    </dgm:pt>
    <dgm:pt modelId="{3339D95B-3D9C-40AE-BF9C-095A8319B2D8}">
      <dgm:prSet custT="1"/>
      <dgm:spPr/>
      <dgm:t>
        <a:bodyPr/>
        <a:lstStyle/>
        <a:p>
          <a:r>
            <a:rPr lang="en-GB" sz="1200">
              <a:latin typeface="Times New Roman" panose="02020603050405020304" pitchFamily="18" charset="0"/>
              <a:cs typeface="Times New Roman" panose="02020603050405020304" pitchFamily="18" charset="0"/>
            </a:rPr>
            <a:t>Collaborative and Multi-Stakeholder Governance</a:t>
          </a:r>
          <a:endParaRPr lang="en-US" sz="1200">
            <a:latin typeface="Times New Roman" panose="02020603050405020304" pitchFamily="18" charset="0"/>
            <a:cs typeface="Times New Roman" panose="02020603050405020304" pitchFamily="18" charset="0"/>
          </a:endParaRPr>
        </a:p>
      </dgm:t>
    </dgm:pt>
    <dgm:pt modelId="{0614E427-3252-4F8C-9497-2CBFCC6352EB}" type="parTrans" cxnId="{ABDD13CB-ADD2-4057-AA62-5BF2C45D605A}">
      <dgm:prSet custT="1"/>
      <dgm:spPr/>
      <dgm:t>
        <a:bodyPr/>
        <a:lstStyle/>
        <a:p>
          <a:endParaRPr lang="en-US" sz="1200">
            <a:latin typeface="Times New Roman" panose="02020603050405020304" pitchFamily="18" charset="0"/>
            <a:cs typeface="Times New Roman" panose="02020603050405020304" pitchFamily="18" charset="0"/>
          </a:endParaRPr>
        </a:p>
      </dgm:t>
    </dgm:pt>
    <dgm:pt modelId="{84A21AFC-3340-4323-8785-6B7391C1D5CD}" type="sibTrans" cxnId="{ABDD13CB-ADD2-4057-AA62-5BF2C45D605A}">
      <dgm:prSet/>
      <dgm:spPr/>
      <dgm:t>
        <a:bodyPr/>
        <a:lstStyle/>
        <a:p>
          <a:endParaRPr lang="en-US" sz="1200">
            <a:latin typeface="Times New Roman" panose="02020603050405020304" pitchFamily="18" charset="0"/>
            <a:cs typeface="Times New Roman" panose="02020603050405020304" pitchFamily="18" charset="0"/>
          </a:endParaRPr>
        </a:p>
      </dgm:t>
    </dgm:pt>
    <dgm:pt modelId="{D60A340C-87A1-4A88-8F89-E3A88C241DC5}" type="pres">
      <dgm:prSet presAssocID="{6738735B-3944-4734-8789-23D411F80BA5}" presName="Name0" presStyleCnt="0">
        <dgm:presLayoutVars>
          <dgm:chMax val="1"/>
          <dgm:dir/>
          <dgm:animLvl val="ctr"/>
          <dgm:resizeHandles val="exact"/>
        </dgm:presLayoutVars>
      </dgm:prSet>
      <dgm:spPr/>
    </dgm:pt>
    <dgm:pt modelId="{EA1936FD-CEC0-45CE-AE3B-159F44C8C95F}" type="pres">
      <dgm:prSet presAssocID="{ACB4191D-67AE-48C9-8CE4-7310954B52E7}" presName="centerShape" presStyleLbl="node0" presStyleIdx="0" presStyleCnt="1" custScaleX="124239" custScaleY="100465"/>
      <dgm:spPr/>
    </dgm:pt>
    <dgm:pt modelId="{9032B6D8-7793-463C-93B7-A6DDED12E006}" type="pres">
      <dgm:prSet presAssocID="{6FED399C-A8F3-436B-82A8-8D7C4D2741C2}" presName="parTrans" presStyleLbl="sibTrans2D1" presStyleIdx="0" presStyleCnt="5"/>
      <dgm:spPr/>
    </dgm:pt>
    <dgm:pt modelId="{9B0655F6-FDC5-45B4-AE69-7D7ED62AE09D}" type="pres">
      <dgm:prSet presAssocID="{6FED399C-A8F3-436B-82A8-8D7C4D2741C2}" presName="connectorText" presStyleLbl="sibTrans2D1" presStyleIdx="0" presStyleCnt="5"/>
      <dgm:spPr/>
    </dgm:pt>
    <dgm:pt modelId="{284D46AD-FAC8-4CEC-B738-36FD046FD563}" type="pres">
      <dgm:prSet presAssocID="{75F02F3F-A8D1-4F33-80C4-E660E88C0528}" presName="node" presStyleLbl="node1" presStyleIdx="0" presStyleCnt="5" custScaleX="111006">
        <dgm:presLayoutVars>
          <dgm:bulletEnabled val="1"/>
        </dgm:presLayoutVars>
      </dgm:prSet>
      <dgm:spPr/>
    </dgm:pt>
    <dgm:pt modelId="{EB2DA27C-26E4-46AD-845F-D82E325BE828}" type="pres">
      <dgm:prSet presAssocID="{0614E427-3252-4F8C-9497-2CBFCC6352EB}" presName="parTrans" presStyleLbl="sibTrans2D1" presStyleIdx="1" presStyleCnt="5"/>
      <dgm:spPr/>
    </dgm:pt>
    <dgm:pt modelId="{63DD5C6F-DCB4-46E0-B1D0-933954249C21}" type="pres">
      <dgm:prSet presAssocID="{0614E427-3252-4F8C-9497-2CBFCC6352EB}" presName="connectorText" presStyleLbl="sibTrans2D1" presStyleIdx="1" presStyleCnt="5"/>
      <dgm:spPr/>
    </dgm:pt>
    <dgm:pt modelId="{DFE1A02C-DC92-40B7-981E-8CBBFD1BE67B}" type="pres">
      <dgm:prSet presAssocID="{3339D95B-3D9C-40AE-BF9C-095A8319B2D8}" presName="node" presStyleLbl="node1" presStyleIdx="1" presStyleCnt="5">
        <dgm:presLayoutVars>
          <dgm:bulletEnabled val="1"/>
        </dgm:presLayoutVars>
      </dgm:prSet>
      <dgm:spPr/>
    </dgm:pt>
    <dgm:pt modelId="{012F3076-D470-4A41-AEB1-7C456AB6F0B6}" type="pres">
      <dgm:prSet presAssocID="{EA11892C-49B4-4CFC-A474-6A674143501A}" presName="parTrans" presStyleLbl="sibTrans2D1" presStyleIdx="2" presStyleCnt="5"/>
      <dgm:spPr/>
    </dgm:pt>
    <dgm:pt modelId="{623B6F6A-4623-419D-AA1D-C696349F45AC}" type="pres">
      <dgm:prSet presAssocID="{EA11892C-49B4-4CFC-A474-6A674143501A}" presName="connectorText" presStyleLbl="sibTrans2D1" presStyleIdx="2" presStyleCnt="5"/>
      <dgm:spPr/>
    </dgm:pt>
    <dgm:pt modelId="{B45C7D0F-C6D7-4724-92F8-9D887BCEE880}" type="pres">
      <dgm:prSet presAssocID="{DFB4E8A3-2AB5-4EA7-AD07-D97310EEA22D}" presName="node" presStyleLbl="node1" presStyleIdx="2" presStyleCnt="5">
        <dgm:presLayoutVars>
          <dgm:bulletEnabled val="1"/>
        </dgm:presLayoutVars>
      </dgm:prSet>
      <dgm:spPr/>
    </dgm:pt>
    <dgm:pt modelId="{C776F27E-03C4-4F9A-9DFC-D074D7AB9757}" type="pres">
      <dgm:prSet presAssocID="{4E57B1A1-FE4E-465D-A7B6-A3E58C41697E}" presName="parTrans" presStyleLbl="sibTrans2D1" presStyleIdx="3" presStyleCnt="5"/>
      <dgm:spPr/>
    </dgm:pt>
    <dgm:pt modelId="{8ECDE0BB-F8C3-4A91-8C59-C9E9A515A823}" type="pres">
      <dgm:prSet presAssocID="{4E57B1A1-FE4E-465D-A7B6-A3E58C41697E}" presName="connectorText" presStyleLbl="sibTrans2D1" presStyleIdx="3" presStyleCnt="5"/>
      <dgm:spPr/>
    </dgm:pt>
    <dgm:pt modelId="{E4572AE1-F4D7-4292-B6C0-F872E689B1C9}" type="pres">
      <dgm:prSet presAssocID="{6507EBD1-A6A3-48FD-B5F2-B41FE692A3C7}" presName="node" presStyleLbl="node1" presStyleIdx="3" presStyleCnt="5">
        <dgm:presLayoutVars>
          <dgm:bulletEnabled val="1"/>
        </dgm:presLayoutVars>
      </dgm:prSet>
      <dgm:spPr/>
    </dgm:pt>
    <dgm:pt modelId="{1625FCBF-FA63-4FBA-AF51-0C3185B9B703}" type="pres">
      <dgm:prSet presAssocID="{325F61A9-CED5-4539-809A-7BBDD564137E}" presName="parTrans" presStyleLbl="sibTrans2D1" presStyleIdx="4" presStyleCnt="5"/>
      <dgm:spPr/>
    </dgm:pt>
    <dgm:pt modelId="{9532A150-09F5-4D02-B82E-67A76C3BF0D6}" type="pres">
      <dgm:prSet presAssocID="{325F61A9-CED5-4539-809A-7BBDD564137E}" presName="connectorText" presStyleLbl="sibTrans2D1" presStyleIdx="4" presStyleCnt="5"/>
      <dgm:spPr/>
    </dgm:pt>
    <dgm:pt modelId="{BEC877B2-D120-4BD8-8222-0F01CB10FE49}" type="pres">
      <dgm:prSet presAssocID="{83D93B42-D5DA-4B18-AFDF-D9155E730824}" presName="node" presStyleLbl="node1" presStyleIdx="4" presStyleCnt="5">
        <dgm:presLayoutVars>
          <dgm:bulletEnabled val="1"/>
        </dgm:presLayoutVars>
      </dgm:prSet>
      <dgm:spPr/>
    </dgm:pt>
  </dgm:ptLst>
  <dgm:cxnLst>
    <dgm:cxn modelId="{5EA26B16-2735-429C-987C-9FAE0BCBD648}" type="presOf" srcId="{75F02F3F-A8D1-4F33-80C4-E660E88C0528}" destId="{284D46AD-FAC8-4CEC-B738-36FD046FD563}" srcOrd="0" destOrd="0" presId="urn:microsoft.com/office/officeart/2005/8/layout/radial5"/>
    <dgm:cxn modelId="{B73EDB19-4B1C-4E8B-9EE9-CD5C6BCC74CF}" srcId="{ACB4191D-67AE-48C9-8CE4-7310954B52E7}" destId="{DFB4E8A3-2AB5-4EA7-AD07-D97310EEA22D}" srcOrd="2" destOrd="0" parTransId="{EA11892C-49B4-4CFC-A474-6A674143501A}" sibTransId="{995A990F-E963-4E2B-805A-CB8DA9A96B7B}"/>
    <dgm:cxn modelId="{B511CF1C-1D54-42DB-8EC1-E9990B982A40}" type="presOf" srcId="{325F61A9-CED5-4539-809A-7BBDD564137E}" destId="{1625FCBF-FA63-4FBA-AF51-0C3185B9B703}" srcOrd="0" destOrd="0" presId="urn:microsoft.com/office/officeart/2005/8/layout/radial5"/>
    <dgm:cxn modelId="{3BB8FC1E-9A8A-44FF-8CFE-D17FA0820D12}" type="presOf" srcId="{4E57B1A1-FE4E-465D-A7B6-A3E58C41697E}" destId="{8ECDE0BB-F8C3-4A91-8C59-C9E9A515A823}" srcOrd="1" destOrd="0" presId="urn:microsoft.com/office/officeart/2005/8/layout/radial5"/>
    <dgm:cxn modelId="{4BC49931-F9CA-406C-A921-949B33FE1E32}" type="presOf" srcId="{83D93B42-D5DA-4B18-AFDF-D9155E730824}" destId="{BEC877B2-D120-4BD8-8222-0F01CB10FE49}" srcOrd="0" destOrd="0" presId="urn:microsoft.com/office/officeart/2005/8/layout/radial5"/>
    <dgm:cxn modelId="{5402F861-46C4-464D-B6F4-A3727D141CC5}" srcId="{6738735B-3944-4734-8789-23D411F80BA5}" destId="{ACB4191D-67AE-48C9-8CE4-7310954B52E7}" srcOrd="0" destOrd="0" parTransId="{A9B09CF0-66D2-446D-A945-40E3D164B13A}" sibTransId="{31424DB4-AA4A-4048-9795-AACF1E4DCA5C}"/>
    <dgm:cxn modelId="{3514034A-0797-472C-AA2F-C56AF9B64F5F}" type="presOf" srcId="{ACB4191D-67AE-48C9-8CE4-7310954B52E7}" destId="{EA1936FD-CEC0-45CE-AE3B-159F44C8C95F}" srcOrd="0" destOrd="0" presId="urn:microsoft.com/office/officeart/2005/8/layout/radial5"/>
    <dgm:cxn modelId="{5C8B9050-7A36-4965-BF33-609370F92145}" type="presOf" srcId="{0614E427-3252-4F8C-9497-2CBFCC6352EB}" destId="{EB2DA27C-26E4-46AD-845F-D82E325BE828}" srcOrd="0" destOrd="0" presId="urn:microsoft.com/office/officeart/2005/8/layout/radial5"/>
    <dgm:cxn modelId="{E19FB770-1B62-4B63-A6B4-B7B30FDE31C2}" type="presOf" srcId="{4E57B1A1-FE4E-465D-A7B6-A3E58C41697E}" destId="{C776F27E-03C4-4F9A-9DFC-D074D7AB9757}" srcOrd="0" destOrd="0" presId="urn:microsoft.com/office/officeart/2005/8/layout/radial5"/>
    <dgm:cxn modelId="{1F2C7056-9270-42E9-8824-5760FE58B999}" type="presOf" srcId="{6507EBD1-A6A3-48FD-B5F2-B41FE692A3C7}" destId="{E4572AE1-F4D7-4292-B6C0-F872E689B1C9}" srcOrd="0" destOrd="0" presId="urn:microsoft.com/office/officeart/2005/8/layout/radial5"/>
    <dgm:cxn modelId="{4EF80C7D-68FB-4DD5-A72E-FC014E48EF66}" type="presOf" srcId="{7106BE55-23BF-4808-82E2-51EFA957F3C9}" destId="{284D46AD-FAC8-4CEC-B738-36FD046FD563}" srcOrd="0" destOrd="1" presId="urn:microsoft.com/office/officeart/2005/8/layout/radial5"/>
    <dgm:cxn modelId="{F817F388-3AA9-4A1D-BCD7-270C0D98FC83}" srcId="{ACB4191D-67AE-48C9-8CE4-7310954B52E7}" destId="{6507EBD1-A6A3-48FD-B5F2-B41FE692A3C7}" srcOrd="3" destOrd="0" parTransId="{4E57B1A1-FE4E-465D-A7B6-A3E58C41697E}" sibTransId="{51310704-B00F-4A33-B531-10F19BE03443}"/>
    <dgm:cxn modelId="{0D2D2289-8894-49F5-87DE-2C5707D0B024}" type="presOf" srcId="{EA11892C-49B4-4CFC-A474-6A674143501A}" destId="{623B6F6A-4623-419D-AA1D-C696349F45AC}" srcOrd="1" destOrd="0" presId="urn:microsoft.com/office/officeart/2005/8/layout/radial5"/>
    <dgm:cxn modelId="{5DC34A89-2F22-42FE-8A61-8376AB434E1E}" type="presOf" srcId="{EA11892C-49B4-4CFC-A474-6A674143501A}" destId="{012F3076-D470-4A41-AEB1-7C456AB6F0B6}" srcOrd="0" destOrd="0" presId="urn:microsoft.com/office/officeart/2005/8/layout/radial5"/>
    <dgm:cxn modelId="{57AD798E-52D6-40F7-9212-EA0073D9E66D}" type="presOf" srcId="{6738735B-3944-4734-8789-23D411F80BA5}" destId="{D60A340C-87A1-4A88-8F89-E3A88C241DC5}" srcOrd="0" destOrd="0" presId="urn:microsoft.com/office/officeart/2005/8/layout/radial5"/>
    <dgm:cxn modelId="{17566097-9512-4824-BF6E-A830ABA08131}" type="presOf" srcId="{0614E427-3252-4F8C-9497-2CBFCC6352EB}" destId="{63DD5C6F-DCB4-46E0-B1D0-933954249C21}" srcOrd="1" destOrd="0" presId="urn:microsoft.com/office/officeart/2005/8/layout/radial5"/>
    <dgm:cxn modelId="{F60BAFBD-24D3-4AD0-BF59-077761E4D08C}" srcId="{ACB4191D-67AE-48C9-8CE4-7310954B52E7}" destId="{83D93B42-D5DA-4B18-AFDF-D9155E730824}" srcOrd="4" destOrd="0" parTransId="{325F61A9-CED5-4539-809A-7BBDD564137E}" sibTransId="{98A3E8EA-4153-43FB-BEAC-23CA70A3EB09}"/>
    <dgm:cxn modelId="{5C7967C6-70CE-446A-B30A-5583416F8669}" type="presOf" srcId="{6FED399C-A8F3-436B-82A8-8D7C4D2741C2}" destId="{9B0655F6-FDC5-45B4-AE69-7D7ED62AE09D}" srcOrd="1" destOrd="0" presId="urn:microsoft.com/office/officeart/2005/8/layout/radial5"/>
    <dgm:cxn modelId="{ABDD13CB-ADD2-4057-AA62-5BF2C45D605A}" srcId="{ACB4191D-67AE-48C9-8CE4-7310954B52E7}" destId="{3339D95B-3D9C-40AE-BF9C-095A8319B2D8}" srcOrd="1" destOrd="0" parTransId="{0614E427-3252-4F8C-9497-2CBFCC6352EB}" sibTransId="{84A21AFC-3340-4323-8785-6B7391C1D5CD}"/>
    <dgm:cxn modelId="{2A48C5D2-0DF0-42D0-AD80-8777FCAE6DE9}" srcId="{ACB4191D-67AE-48C9-8CE4-7310954B52E7}" destId="{75F02F3F-A8D1-4F33-80C4-E660E88C0528}" srcOrd="0" destOrd="0" parTransId="{6FED399C-A8F3-436B-82A8-8D7C4D2741C2}" sibTransId="{2B5A4B14-37E6-48BA-9F7A-04E3882F4C4E}"/>
    <dgm:cxn modelId="{ECDFD6DD-7D0B-43C0-9726-C637AE88C9A4}" type="presOf" srcId="{6FED399C-A8F3-436B-82A8-8D7C4D2741C2}" destId="{9032B6D8-7793-463C-93B7-A6DDED12E006}" srcOrd="0" destOrd="0" presId="urn:microsoft.com/office/officeart/2005/8/layout/radial5"/>
    <dgm:cxn modelId="{88B3EEF3-E94B-4A32-A0FD-0EF8D98209DE}" type="presOf" srcId="{3339D95B-3D9C-40AE-BF9C-095A8319B2D8}" destId="{DFE1A02C-DC92-40B7-981E-8CBBFD1BE67B}" srcOrd="0" destOrd="0" presId="urn:microsoft.com/office/officeart/2005/8/layout/radial5"/>
    <dgm:cxn modelId="{C86CC8F7-B9F6-4A07-BEE9-4DA3ACAAB6CB}" type="presOf" srcId="{DFB4E8A3-2AB5-4EA7-AD07-D97310EEA22D}" destId="{B45C7D0F-C6D7-4724-92F8-9D887BCEE880}" srcOrd="0" destOrd="0" presId="urn:microsoft.com/office/officeart/2005/8/layout/radial5"/>
    <dgm:cxn modelId="{8B5352F8-4D65-4DD1-B493-DFD8355DA9DC}" type="presOf" srcId="{325F61A9-CED5-4539-809A-7BBDD564137E}" destId="{9532A150-09F5-4D02-B82E-67A76C3BF0D6}" srcOrd="1" destOrd="0" presId="urn:microsoft.com/office/officeart/2005/8/layout/radial5"/>
    <dgm:cxn modelId="{913B18F9-BFE6-4BAF-84B6-DF19E83334C0}" srcId="{75F02F3F-A8D1-4F33-80C4-E660E88C0528}" destId="{7106BE55-23BF-4808-82E2-51EFA957F3C9}" srcOrd="0" destOrd="0" parTransId="{030F547B-18B9-489D-ABC8-5FFCE4AF6D55}" sibTransId="{1523AE3E-2869-4C69-86DE-7EB62025EE61}"/>
    <dgm:cxn modelId="{6DF2E8FB-1EF1-4141-BD18-CDF3912182C9}" type="presParOf" srcId="{D60A340C-87A1-4A88-8F89-E3A88C241DC5}" destId="{EA1936FD-CEC0-45CE-AE3B-159F44C8C95F}" srcOrd="0" destOrd="0" presId="urn:microsoft.com/office/officeart/2005/8/layout/radial5"/>
    <dgm:cxn modelId="{305AF080-A2F1-4E0E-B183-763885491DCC}" type="presParOf" srcId="{D60A340C-87A1-4A88-8F89-E3A88C241DC5}" destId="{9032B6D8-7793-463C-93B7-A6DDED12E006}" srcOrd="1" destOrd="0" presId="urn:microsoft.com/office/officeart/2005/8/layout/radial5"/>
    <dgm:cxn modelId="{6F5E21D7-536D-403E-AF6F-21595039BDC1}" type="presParOf" srcId="{9032B6D8-7793-463C-93B7-A6DDED12E006}" destId="{9B0655F6-FDC5-45B4-AE69-7D7ED62AE09D}" srcOrd="0" destOrd="0" presId="urn:microsoft.com/office/officeart/2005/8/layout/radial5"/>
    <dgm:cxn modelId="{B84CB4E3-0AAE-4E26-8727-DF4C41882203}" type="presParOf" srcId="{D60A340C-87A1-4A88-8F89-E3A88C241DC5}" destId="{284D46AD-FAC8-4CEC-B738-36FD046FD563}" srcOrd="2" destOrd="0" presId="urn:microsoft.com/office/officeart/2005/8/layout/radial5"/>
    <dgm:cxn modelId="{1E9EA894-0E8F-4D72-A6B5-D3B934F85067}" type="presParOf" srcId="{D60A340C-87A1-4A88-8F89-E3A88C241DC5}" destId="{EB2DA27C-26E4-46AD-845F-D82E325BE828}" srcOrd="3" destOrd="0" presId="urn:microsoft.com/office/officeart/2005/8/layout/radial5"/>
    <dgm:cxn modelId="{450D367A-3B5B-442E-9AAF-0561944542BD}" type="presParOf" srcId="{EB2DA27C-26E4-46AD-845F-D82E325BE828}" destId="{63DD5C6F-DCB4-46E0-B1D0-933954249C21}" srcOrd="0" destOrd="0" presId="urn:microsoft.com/office/officeart/2005/8/layout/radial5"/>
    <dgm:cxn modelId="{5282268C-8730-42FA-8325-64B73E9E7406}" type="presParOf" srcId="{D60A340C-87A1-4A88-8F89-E3A88C241DC5}" destId="{DFE1A02C-DC92-40B7-981E-8CBBFD1BE67B}" srcOrd="4" destOrd="0" presId="urn:microsoft.com/office/officeart/2005/8/layout/radial5"/>
    <dgm:cxn modelId="{5A0D8A1B-70D1-414D-A507-B84CEBFA134D}" type="presParOf" srcId="{D60A340C-87A1-4A88-8F89-E3A88C241DC5}" destId="{012F3076-D470-4A41-AEB1-7C456AB6F0B6}" srcOrd="5" destOrd="0" presId="urn:microsoft.com/office/officeart/2005/8/layout/radial5"/>
    <dgm:cxn modelId="{C303E2CE-186A-46F7-A69C-5AD7F52E32BD}" type="presParOf" srcId="{012F3076-D470-4A41-AEB1-7C456AB6F0B6}" destId="{623B6F6A-4623-419D-AA1D-C696349F45AC}" srcOrd="0" destOrd="0" presId="urn:microsoft.com/office/officeart/2005/8/layout/radial5"/>
    <dgm:cxn modelId="{C7BD51ED-3415-4562-8333-E739BA5B69E9}" type="presParOf" srcId="{D60A340C-87A1-4A88-8F89-E3A88C241DC5}" destId="{B45C7D0F-C6D7-4724-92F8-9D887BCEE880}" srcOrd="6" destOrd="0" presId="urn:microsoft.com/office/officeart/2005/8/layout/radial5"/>
    <dgm:cxn modelId="{9CF293C0-FE05-4228-9ED1-90E50416601D}" type="presParOf" srcId="{D60A340C-87A1-4A88-8F89-E3A88C241DC5}" destId="{C776F27E-03C4-4F9A-9DFC-D074D7AB9757}" srcOrd="7" destOrd="0" presId="urn:microsoft.com/office/officeart/2005/8/layout/radial5"/>
    <dgm:cxn modelId="{BBCFC7EA-6601-42FB-94F7-E3A79BCC5169}" type="presParOf" srcId="{C776F27E-03C4-4F9A-9DFC-D074D7AB9757}" destId="{8ECDE0BB-F8C3-4A91-8C59-C9E9A515A823}" srcOrd="0" destOrd="0" presId="urn:microsoft.com/office/officeart/2005/8/layout/radial5"/>
    <dgm:cxn modelId="{5BA1B465-9C74-4FDB-B558-5F991F02C768}" type="presParOf" srcId="{D60A340C-87A1-4A88-8F89-E3A88C241DC5}" destId="{E4572AE1-F4D7-4292-B6C0-F872E689B1C9}" srcOrd="8" destOrd="0" presId="urn:microsoft.com/office/officeart/2005/8/layout/radial5"/>
    <dgm:cxn modelId="{BA476916-1930-4714-A248-CB0CCBAA1A33}" type="presParOf" srcId="{D60A340C-87A1-4A88-8F89-E3A88C241DC5}" destId="{1625FCBF-FA63-4FBA-AF51-0C3185B9B703}" srcOrd="9" destOrd="0" presId="urn:microsoft.com/office/officeart/2005/8/layout/radial5"/>
    <dgm:cxn modelId="{B1345C61-B2D7-4C7A-A040-30C1A179EFC2}" type="presParOf" srcId="{1625FCBF-FA63-4FBA-AF51-0C3185B9B703}" destId="{9532A150-09F5-4D02-B82E-67A76C3BF0D6}" srcOrd="0" destOrd="0" presId="urn:microsoft.com/office/officeart/2005/8/layout/radial5"/>
    <dgm:cxn modelId="{C2E71B5A-EF4A-44D8-BC38-CC36D9632592}" type="presParOf" srcId="{D60A340C-87A1-4A88-8F89-E3A88C241DC5}" destId="{BEC877B2-D120-4BD8-8222-0F01CB10FE49}" srcOrd="10"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A0AF5F-9180-4843-B6AB-9C03222730CF}" type="doc">
      <dgm:prSet loTypeId="urn:microsoft.com/office/officeart/2005/8/layout/process2" loCatId="process" qsTypeId="urn:microsoft.com/office/officeart/2005/8/quickstyle/simple1" qsCatId="simple" csTypeId="urn:microsoft.com/office/officeart/2005/8/colors/accent2_1" csCatId="accent2" phldr="1"/>
      <dgm:spPr/>
    </dgm:pt>
    <dgm:pt modelId="{5B0BBE28-8C12-4CDC-9543-36FD582EFCC3}">
      <dgm:prSet phldrT="[Text]" custT="1"/>
      <dgm:spPr/>
      <dgm:t>
        <a:bodyPr/>
        <a:lstStyle/>
        <a:p>
          <a:r>
            <a:rPr lang="en-US" sz="1200" b="1" i="0" u="none">
              <a:latin typeface="Times New Roman" panose="02020603050405020304" pitchFamily="18" charset="0"/>
              <a:cs typeface="Times New Roman" panose="02020603050405020304" pitchFamily="18" charset="0"/>
            </a:rPr>
            <a:t>Identification</a:t>
          </a:r>
        </a:p>
        <a:p>
          <a:r>
            <a:rPr lang="en-US" sz="1200">
              <a:latin typeface="Times New Roman" panose="02020603050405020304" pitchFamily="18" charset="0"/>
              <a:cs typeface="Times New Roman" panose="02020603050405020304" pitchFamily="18" charset="0"/>
            </a:rPr>
            <a:t>Records identified from:</a:t>
          </a:r>
        </a:p>
        <a:p>
          <a:r>
            <a:rPr lang="en-US" sz="1200">
              <a:latin typeface="Times New Roman" panose="02020603050405020304" pitchFamily="18" charset="0"/>
              <a:cs typeface="Times New Roman" panose="02020603050405020304" pitchFamily="18" charset="0"/>
            </a:rPr>
            <a:t>Database (n= 380)</a:t>
          </a:r>
        </a:p>
        <a:p>
          <a:r>
            <a:rPr lang="en-US" sz="1200">
              <a:latin typeface="Times New Roman" panose="02020603050405020304" pitchFamily="18" charset="0"/>
              <a:cs typeface="Times New Roman" panose="02020603050405020304" pitchFamily="18" charset="0"/>
            </a:rPr>
            <a:t>Grey Literature (n= 47)</a:t>
          </a:r>
        </a:p>
        <a:p>
          <a:r>
            <a:rPr lang="en-US" sz="1200">
              <a:latin typeface="Times New Roman" panose="02020603050405020304" pitchFamily="18" charset="0"/>
              <a:cs typeface="Times New Roman" panose="02020603050405020304" pitchFamily="18" charset="0"/>
            </a:rPr>
            <a:t>Duplicate records removed (n= 420)</a:t>
          </a:r>
        </a:p>
      </dgm:t>
    </dgm:pt>
    <dgm:pt modelId="{DFC3AF68-BDB1-4F64-941E-56E45576D14F}" type="parTrans" cxnId="{8C2423DF-3F73-442C-A1C9-6F32EEA39656}">
      <dgm:prSet/>
      <dgm:spPr/>
      <dgm:t>
        <a:bodyPr/>
        <a:lstStyle/>
        <a:p>
          <a:endParaRPr lang="en-US" sz="1200">
            <a:latin typeface="Times New Roman" panose="02020603050405020304" pitchFamily="18" charset="0"/>
            <a:cs typeface="Times New Roman" panose="02020603050405020304" pitchFamily="18" charset="0"/>
          </a:endParaRPr>
        </a:p>
      </dgm:t>
    </dgm:pt>
    <dgm:pt modelId="{70470196-49D7-45AF-8D91-6858E92A83D8}" type="sibTrans" cxnId="{8C2423DF-3F73-442C-A1C9-6F32EEA39656}">
      <dgm:prSet custT="1"/>
      <dgm:spPr/>
      <dgm:t>
        <a:bodyPr/>
        <a:lstStyle/>
        <a:p>
          <a:endParaRPr lang="en-US" sz="1200">
            <a:latin typeface="Times New Roman" panose="02020603050405020304" pitchFamily="18" charset="0"/>
            <a:cs typeface="Times New Roman" panose="02020603050405020304" pitchFamily="18" charset="0"/>
          </a:endParaRPr>
        </a:p>
      </dgm:t>
    </dgm:pt>
    <dgm:pt modelId="{84D8D3F5-DBC7-4023-882E-3B21EA74D4FD}">
      <dgm:prSet phldrT="[Text]" custT="1"/>
      <dgm:spPr/>
      <dgm:t>
        <a:bodyPr/>
        <a:lstStyle/>
        <a:p>
          <a:r>
            <a:rPr lang="en-US" sz="1200" b="1" i="0" u="none">
              <a:latin typeface="Times New Roman" panose="02020603050405020304" pitchFamily="18" charset="0"/>
              <a:cs typeface="Times New Roman" panose="02020603050405020304" pitchFamily="18" charset="0"/>
            </a:rPr>
            <a:t>Screening</a:t>
          </a:r>
        </a:p>
        <a:p>
          <a:r>
            <a:rPr lang="en-US" sz="1200">
              <a:latin typeface="Times New Roman" panose="02020603050405020304" pitchFamily="18" charset="0"/>
              <a:cs typeface="Times New Roman" panose="02020603050405020304" pitchFamily="18" charset="0"/>
            </a:rPr>
            <a:t>Record screened (n= 320)</a:t>
          </a:r>
        </a:p>
        <a:p>
          <a:r>
            <a:rPr lang="en-US" sz="1200">
              <a:latin typeface="Times New Roman" panose="02020603050405020304" pitchFamily="18" charset="0"/>
              <a:cs typeface="Times New Roman" panose="02020603050405020304" pitchFamily="18" charset="0"/>
            </a:rPr>
            <a:t>Records excluded (n= 206)</a:t>
          </a:r>
        </a:p>
      </dgm:t>
    </dgm:pt>
    <dgm:pt modelId="{3259B2A7-BA25-478F-9C8B-CCB10D7DD7B8}" type="parTrans" cxnId="{D3381B1C-D074-4AB8-A56A-FCB983A3EEA4}">
      <dgm:prSet/>
      <dgm:spPr/>
      <dgm:t>
        <a:bodyPr/>
        <a:lstStyle/>
        <a:p>
          <a:endParaRPr lang="en-US" sz="1200">
            <a:latin typeface="Times New Roman" panose="02020603050405020304" pitchFamily="18" charset="0"/>
            <a:cs typeface="Times New Roman" panose="02020603050405020304" pitchFamily="18" charset="0"/>
          </a:endParaRPr>
        </a:p>
      </dgm:t>
    </dgm:pt>
    <dgm:pt modelId="{49818A0B-2719-409C-AB6A-407FD18310A5}" type="sibTrans" cxnId="{D3381B1C-D074-4AB8-A56A-FCB983A3EEA4}">
      <dgm:prSet custT="1"/>
      <dgm:spPr/>
      <dgm:t>
        <a:bodyPr/>
        <a:lstStyle/>
        <a:p>
          <a:endParaRPr lang="en-US" sz="1200">
            <a:latin typeface="Times New Roman" panose="02020603050405020304" pitchFamily="18" charset="0"/>
            <a:cs typeface="Times New Roman" panose="02020603050405020304" pitchFamily="18" charset="0"/>
          </a:endParaRPr>
        </a:p>
      </dgm:t>
    </dgm:pt>
    <dgm:pt modelId="{A4FB4D9F-9BB1-4BD6-BB35-3C4565C0FB24}">
      <dgm:prSet phldrT="[Text]" custT="1"/>
      <dgm:spPr/>
      <dgm:t>
        <a:bodyPr/>
        <a:lstStyle/>
        <a:p>
          <a:r>
            <a:rPr lang="en-US" sz="1200" b="1" i="0" u="none">
              <a:latin typeface="Times New Roman" panose="02020603050405020304" pitchFamily="18" charset="0"/>
              <a:cs typeface="Times New Roman" panose="02020603050405020304" pitchFamily="18" charset="0"/>
            </a:rPr>
            <a:t>Eligibility</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Reports assessed for eligibility (n= 120)</a:t>
          </a:r>
        </a:p>
        <a:p>
          <a:r>
            <a:rPr lang="en-US" sz="1200">
              <a:latin typeface="Times New Roman" panose="02020603050405020304" pitchFamily="18" charset="0"/>
              <a:cs typeface="Times New Roman" panose="02020603050405020304" pitchFamily="18" charset="0"/>
            </a:rPr>
            <a:t>Reports excluded: Irrelevant ooutcomes or focus (n= 68)</a:t>
          </a:r>
        </a:p>
      </dgm:t>
    </dgm:pt>
    <dgm:pt modelId="{62A3CC03-D163-4215-942D-491248E07FC4}" type="parTrans" cxnId="{BCF20D84-7412-458F-945E-4895388599BE}">
      <dgm:prSet/>
      <dgm:spPr/>
      <dgm:t>
        <a:bodyPr/>
        <a:lstStyle/>
        <a:p>
          <a:endParaRPr lang="en-US" sz="1200">
            <a:latin typeface="Times New Roman" panose="02020603050405020304" pitchFamily="18" charset="0"/>
            <a:cs typeface="Times New Roman" panose="02020603050405020304" pitchFamily="18" charset="0"/>
          </a:endParaRPr>
        </a:p>
      </dgm:t>
    </dgm:pt>
    <dgm:pt modelId="{75C47C2D-FCBB-4921-AB72-9580A84CC11F}" type="sibTrans" cxnId="{BCF20D84-7412-458F-945E-4895388599BE}">
      <dgm:prSet custT="1"/>
      <dgm:spPr/>
      <dgm:t>
        <a:bodyPr/>
        <a:lstStyle/>
        <a:p>
          <a:endParaRPr lang="en-US" sz="1200">
            <a:latin typeface="Times New Roman" panose="02020603050405020304" pitchFamily="18" charset="0"/>
            <a:cs typeface="Times New Roman" panose="02020603050405020304" pitchFamily="18" charset="0"/>
          </a:endParaRPr>
        </a:p>
      </dgm:t>
    </dgm:pt>
    <dgm:pt modelId="{77EA567D-A7ED-469F-B4CD-6C88583CFD1D}">
      <dgm:prSet custT="1"/>
      <dgm:spPr/>
      <dgm:t>
        <a:bodyPr/>
        <a:lstStyle/>
        <a:p>
          <a:r>
            <a:rPr lang="en-US" sz="1200" b="1" i="0" u="none">
              <a:latin typeface="Times New Roman" panose="02020603050405020304" pitchFamily="18" charset="0"/>
              <a:cs typeface="Times New Roman" panose="02020603050405020304" pitchFamily="18" charset="0"/>
            </a:rPr>
            <a:t>Included</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Stusies included in review (n= 52)</a:t>
          </a:r>
        </a:p>
      </dgm:t>
    </dgm:pt>
    <dgm:pt modelId="{5E7FE7F4-AFDE-4D49-8C62-0461CC44D937}" type="parTrans" cxnId="{0185BFFB-3847-4378-860F-B1D7D83553C5}">
      <dgm:prSet/>
      <dgm:spPr/>
      <dgm:t>
        <a:bodyPr/>
        <a:lstStyle/>
        <a:p>
          <a:endParaRPr lang="en-US" sz="1200">
            <a:latin typeface="Times New Roman" panose="02020603050405020304" pitchFamily="18" charset="0"/>
            <a:cs typeface="Times New Roman" panose="02020603050405020304" pitchFamily="18" charset="0"/>
          </a:endParaRPr>
        </a:p>
      </dgm:t>
    </dgm:pt>
    <dgm:pt modelId="{D389A569-A5E3-4E0C-A105-162406740F5C}" type="sibTrans" cxnId="{0185BFFB-3847-4378-860F-B1D7D83553C5}">
      <dgm:prSet/>
      <dgm:spPr/>
      <dgm:t>
        <a:bodyPr/>
        <a:lstStyle/>
        <a:p>
          <a:endParaRPr lang="en-US" sz="1200">
            <a:latin typeface="Times New Roman" panose="02020603050405020304" pitchFamily="18" charset="0"/>
            <a:cs typeface="Times New Roman" panose="02020603050405020304" pitchFamily="18" charset="0"/>
          </a:endParaRPr>
        </a:p>
      </dgm:t>
    </dgm:pt>
    <dgm:pt modelId="{1134145D-31B4-4B8E-B680-5788F96781A6}" type="pres">
      <dgm:prSet presAssocID="{37A0AF5F-9180-4843-B6AB-9C03222730CF}" presName="linearFlow" presStyleCnt="0">
        <dgm:presLayoutVars>
          <dgm:resizeHandles val="exact"/>
        </dgm:presLayoutVars>
      </dgm:prSet>
      <dgm:spPr/>
    </dgm:pt>
    <dgm:pt modelId="{20F08262-B26B-439C-A8DC-55E2858CB0DE}" type="pres">
      <dgm:prSet presAssocID="{5B0BBE28-8C12-4CDC-9543-36FD582EFCC3}" presName="node" presStyleLbl="node1" presStyleIdx="0" presStyleCnt="4" custScaleX="159406">
        <dgm:presLayoutVars>
          <dgm:bulletEnabled val="1"/>
        </dgm:presLayoutVars>
      </dgm:prSet>
      <dgm:spPr/>
    </dgm:pt>
    <dgm:pt modelId="{F9EC4C54-680E-44D5-94A9-0CB63BA2FBF2}" type="pres">
      <dgm:prSet presAssocID="{70470196-49D7-45AF-8D91-6858E92A83D8}" presName="sibTrans" presStyleLbl="sibTrans2D1" presStyleIdx="0" presStyleCnt="3"/>
      <dgm:spPr/>
    </dgm:pt>
    <dgm:pt modelId="{40B07E9E-4C47-46F4-9AE8-905FB5C07D7D}" type="pres">
      <dgm:prSet presAssocID="{70470196-49D7-45AF-8D91-6858E92A83D8}" presName="connectorText" presStyleLbl="sibTrans2D1" presStyleIdx="0" presStyleCnt="3"/>
      <dgm:spPr/>
    </dgm:pt>
    <dgm:pt modelId="{CD75BA53-DFD4-40E2-9D8F-CD973240446B}" type="pres">
      <dgm:prSet presAssocID="{84D8D3F5-DBC7-4023-882E-3B21EA74D4FD}" presName="node" presStyleLbl="node1" presStyleIdx="1" presStyleCnt="4">
        <dgm:presLayoutVars>
          <dgm:bulletEnabled val="1"/>
        </dgm:presLayoutVars>
      </dgm:prSet>
      <dgm:spPr/>
    </dgm:pt>
    <dgm:pt modelId="{441107CB-8A3D-4320-AFD7-85F9F9A24695}" type="pres">
      <dgm:prSet presAssocID="{49818A0B-2719-409C-AB6A-407FD18310A5}" presName="sibTrans" presStyleLbl="sibTrans2D1" presStyleIdx="1" presStyleCnt="3"/>
      <dgm:spPr/>
    </dgm:pt>
    <dgm:pt modelId="{CA13AE15-B7FF-4058-B874-7C268A7B878B}" type="pres">
      <dgm:prSet presAssocID="{49818A0B-2719-409C-AB6A-407FD18310A5}" presName="connectorText" presStyleLbl="sibTrans2D1" presStyleIdx="1" presStyleCnt="3"/>
      <dgm:spPr/>
    </dgm:pt>
    <dgm:pt modelId="{4531D31B-370B-4E2D-A0AF-8BA78DB39020}" type="pres">
      <dgm:prSet presAssocID="{A4FB4D9F-9BB1-4BD6-BB35-3C4565C0FB24}" presName="node" presStyleLbl="node1" presStyleIdx="2" presStyleCnt="4">
        <dgm:presLayoutVars>
          <dgm:bulletEnabled val="1"/>
        </dgm:presLayoutVars>
      </dgm:prSet>
      <dgm:spPr/>
    </dgm:pt>
    <dgm:pt modelId="{2D74B408-FA38-48BB-AD0B-10D7E1C25E2A}" type="pres">
      <dgm:prSet presAssocID="{75C47C2D-FCBB-4921-AB72-9580A84CC11F}" presName="sibTrans" presStyleLbl="sibTrans2D1" presStyleIdx="2" presStyleCnt="3"/>
      <dgm:spPr/>
    </dgm:pt>
    <dgm:pt modelId="{410C2A08-BE90-4266-9776-0EA3D812286C}" type="pres">
      <dgm:prSet presAssocID="{75C47C2D-FCBB-4921-AB72-9580A84CC11F}" presName="connectorText" presStyleLbl="sibTrans2D1" presStyleIdx="2" presStyleCnt="3"/>
      <dgm:spPr/>
    </dgm:pt>
    <dgm:pt modelId="{D17346EF-1E77-4A20-B45B-D52B981C1632}" type="pres">
      <dgm:prSet presAssocID="{77EA567D-A7ED-469F-B4CD-6C88583CFD1D}" presName="node" presStyleLbl="node1" presStyleIdx="3" presStyleCnt="4">
        <dgm:presLayoutVars>
          <dgm:bulletEnabled val="1"/>
        </dgm:presLayoutVars>
      </dgm:prSet>
      <dgm:spPr/>
    </dgm:pt>
  </dgm:ptLst>
  <dgm:cxnLst>
    <dgm:cxn modelId="{2F4C5508-6503-4E73-BFF1-463DDDC68611}" type="presOf" srcId="{5B0BBE28-8C12-4CDC-9543-36FD582EFCC3}" destId="{20F08262-B26B-439C-A8DC-55E2858CB0DE}" srcOrd="0" destOrd="0" presId="urn:microsoft.com/office/officeart/2005/8/layout/process2"/>
    <dgm:cxn modelId="{16E83713-7809-44DD-AEE5-A223BD057F72}" type="presOf" srcId="{77EA567D-A7ED-469F-B4CD-6C88583CFD1D}" destId="{D17346EF-1E77-4A20-B45B-D52B981C1632}" srcOrd="0" destOrd="0" presId="urn:microsoft.com/office/officeart/2005/8/layout/process2"/>
    <dgm:cxn modelId="{D3381B1C-D074-4AB8-A56A-FCB983A3EEA4}" srcId="{37A0AF5F-9180-4843-B6AB-9C03222730CF}" destId="{84D8D3F5-DBC7-4023-882E-3B21EA74D4FD}" srcOrd="1" destOrd="0" parTransId="{3259B2A7-BA25-478F-9C8B-CCB10D7DD7B8}" sibTransId="{49818A0B-2719-409C-AB6A-407FD18310A5}"/>
    <dgm:cxn modelId="{6B939F39-22AD-4F3C-AE4D-BD705C46C795}" type="presOf" srcId="{49818A0B-2719-409C-AB6A-407FD18310A5}" destId="{CA13AE15-B7FF-4058-B874-7C268A7B878B}" srcOrd="1" destOrd="0" presId="urn:microsoft.com/office/officeart/2005/8/layout/process2"/>
    <dgm:cxn modelId="{CAA33C62-8974-498E-B7E7-21584491BECF}" type="presOf" srcId="{A4FB4D9F-9BB1-4BD6-BB35-3C4565C0FB24}" destId="{4531D31B-370B-4E2D-A0AF-8BA78DB39020}" srcOrd="0" destOrd="0" presId="urn:microsoft.com/office/officeart/2005/8/layout/process2"/>
    <dgm:cxn modelId="{CF9CA57E-B020-4782-B04B-41F0B2C7D1CA}" type="presOf" srcId="{70470196-49D7-45AF-8D91-6858E92A83D8}" destId="{F9EC4C54-680E-44D5-94A9-0CB63BA2FBF2}" srcOrd="0" destOrd="0" presId="urn:microsoft.com/office/officeart/2005/8/layout/process2"/>
    <dgm:cxn modelId="{BCF20D84-7412-458F-945E-4895388599BE}" srcId="{37A0AF5F-9180-4843-B6AB-9C03222730CF}" destId="{A4FB4D9F-9BB1-4BD6-BB35-3C4565C0FB24}" srcOrd="2" destOrd="0" parTransId="{62A3CC03-D163-4215-942D-491248E07FC4}" sibTransId="{75C47C2D-FCBB-4921-AB72-9580A84CC11F}"/>
    <dgm:cxn modelId="{1A8E5E94-6263-48B5-81D0-3C74E333C408}" type="presOf" srcId="{70470196-49D7-45AF-8D91-6858E92A83D8}" destId="{40B07E9E-4C47-46F4-9AE8-905FB5C07D7D}" srcOrd="1" destOrd="0" presId="urn:microsoft.com/office/officeart/2005/8/layout/process2"/>
    <dgm:cxn modelId="{9D50099D-90B1-496D-A53D-71991699277C}" type="presOf" srcId="{75C47C2D-FCBB-4921-AB72-9580A84CC11F}" destId="{410C2A08-BE90-4266-9776-0EA3D812286C}" srcOrd="1" destOrd="0" presId="urn:microsoft.com/office/officeart/2005/8/layout/process2"/>
    <dgm:cxn modelId="{1283FCA2-CC93-4AF9-BFEA-308178474673}" type="presOf" srcId="{84D8D3F5-DBC7-4023-882E-3B21EA74D4FD}" destId="{CD75BA53-DFD4-40E2-9D8F-CD973240446B}" srcOrd="0" destOrd="0" presId="urn:microsoft.com/office/officeart/2005/8/layout/process2"/>
    <dgm:cxn modelId="{371575BB-46FA-4545-8ABF-D691837FD76C}" type="presOf" srcId="{49818A0B-2719-409C-AB6A-407FD18310A5}" destId="{441107CB-8A3D-4320-AFD7-85F9F9A24695}" srcOrd="0" destOrd="0" presId="urn:microsoft.com/office/officeart/2005/8/layout/process2"/>
    <dgm:cxn modelId="{8C2423DF-3F73-442C-A1C9-6F32EEA39656}" srcId="{37A0AF5F-9180-4843-B6AB-9C03222730CF}" destId="{5B0BBE28-8C12-4CDC-9543-36FD582EFCC3}" srcOrd="0" destOrd="0" parTransId="{DFC3AF68-BDB1-4F64-941E-56E45576D14F}" sibTransId="{70470196-49D7-45AF-8D91-6858E92A83D8}"/>
    <dgm:cxn modelId="{4F541CE1-686B-417F-960C-FE2FF0640512}" type="presOf" srcId="{37A0AF5F-9180-4843-B6AB-9C03222730CF}" destId="{1134145D-31B4-4B8E-B680-5788F96781A6}" srcOrd="0" destOrd="0" presId="urn:microsoft.com/office/officeart/2005/8/layout/process2"/>
    <dgm:cxn modelId="{3E6603F5-B999-493A-A31E-109D334B8618}" type="presOf" srcId="{75C47C2D-FCBB-4921-AB72-9580A84CC11F}" destId="{2D74B408-FA38-48BB-AD0B-10D7E1C25E2A}" srcOrd="0" destOrd="0" presId="urn:microsoft.com/office/officeart/2005/8/layout/process2"/>
    <dgm:cxn modelId="{0185BFFB-3847-4378-860F-B1D7D83553C5}" srcId="{37A0AF5F-9180-4843-B6AB-9C03222730CF}" destId="{77EA567D-A7ED-469F-B4CD-6C88583CFD1D}" srcOrd="3" destOrd="0" parTransId="{5E7FE7F4-AFDE-4D49-8C62-0461CC44D937}" sibTransId="{D389A569-A5E3-4E0C-A105-162406740F5C}"/>
    <dgm:cxn modelId="{1F751A24-E887-44D6-A2EB-D6EDD33BE35A}" type="presParOf" srcId="{1134145D-31B4-4B8E-B680-5788F96781A6}" destId="{20F08262-B26B-439C-A8DC-55E2858CB0DE}" srcOrd="0" destOrd="0" presId="urn:microsoft.com/office/officeart/2005/8/layout/process2"/>
    <dgm:cxn modelId="{45A5BDB2-AE22-48EB-8523-C92A1AA3C6F2}" type="presParOf" srcId="{1134145D-31B4-4B8E-B680-5788F96781A6}" destId="{F9EC4C54-680E-44D5-94A9-0CB63BA2FBF2}" srcOrd="1" destOrd="0" presId="urn:microsoft.com/office/officeart/2005/8/layout/process2"/>
    <dgm:cxn modelId="{58E7B104-3499-4A3F-B8BC-40AAF1308E10}" type="presParOf" srcId="{F9EC4C54-680E-44D5-94A9-0CB63BA2FBF2}" destId="{40B07E9E-4C47-46F4-9AE8-905FB5C07D7D}" srcOrd="0" destOrd="0" presId="urn:microsoft.com/office/officeart/2005/8/layout/process2"/>
    <dgm:cxn modelId="{266016D2-55B2-445B-945A-79044E922384}" type="presParOf" srcId="{1134145D-31B4-4B8E-B680-5788F96781A6}" destId="{CD75BA53-DFD4-40E2-9D8F-CD973240446B}" srcOrd="2" destOrd="0" presId="urn:microsoft.com/office/officeart/2005/8/layout/process2"/>
    <dgm:cxn modelId="{C6302E34-A592-4EE6-8868-92B2031E3E43}" type="presParOf" srcId="{1134145D-31B4-4B8E-B680-5788F96781A6}" destId="{441107CB-8A3D-4320-AFD7-85F9F9A24695}" srcOrd="3" destOrd="0" presId="urn:microsoft.com/office/officeart/2005/8/layout/process2"/>
    <dgm:cxn modelId="{626C9146-22BA-447A-A9E9-475FC93B1BAA}" type="presParOf" srcId="{441107CB-8A3D-4320-AFD7-85F9F9A24695}" destId="{CA13AE15-B7FF-4058-B874-7C268A7B878B}" srcOrd="0" destOrd="0" presId="urn:microsoft.com/office/officeart/2005/8/layout/process2"/>
    <dgm:cxn modelId="{E77EF08B-91F3-4DDC-BD45-9B227A644A59}" type="presParOf" srcId="{1134145D-31B4-4B8E-B680-5788F96781A6}" destId="{4531D31B-370B-4E2D-A0AF-8BA78DB39020}" srcOrd="4" destOrd="0" presId="urn:microsoft.com/office/officeart/2005/8/layout/process2"/>
    <dgm:cxn modelId="{698C528F-E62C-4899-B38D-E273D0DF0E7F}" type="presParOf" srcId="{1134145D-31B4-4B8E-B680-5788F96781A6}" destId="{2D74B408-FA38-48BB-AD0B-10D7E1C25E2A}" srcOrd="5" destOrd="0" presId="urn:microsoft.com/office/officeart/2005/8/layout/process2"/>
    <dgm:cxn modelId="{993AE847-5E53-4B25-8541-06AF723C62BA}" type="presParOf" srcId="{2D74B408-FA38-48BB-AD0B-10D7E1C25E2A}" destId="{410C2A08-BE90-4266-9776-0EA3D812286C}" srcOrd="0" destOrd="0" presId="urn:microsoft.com/office/officeart/2005/8/layout/process2"/>
    <dgm:cxn modelId="{641A2D3B-32C1-44E6-A890-C698CE56A429}" type="presParOf" srcId="{1134145D-31B4-4B8E-B680-5788F96781A6}" destId="{D17346EF-1E77-4A20-B45B-D52B981C1632}" srcOrd="6"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4CD31-4181-44F2-A5DE-7D825BA66E3D}">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DD2E86-F0E4-402D-ACAE-2F012651EAED}">
      <dsp:nvSpPr>
        <dsp:cNvPr id="0" name=""/>
        <dsp:cNvSpPr/>
      </dsp:nvSpPr>
      <dsp:spPr>
        <a:xfrm>
          <a:off x="364263" y="246046"/>
          <a:ext cx="5080589" cy="492349"/>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0802" tIns="27940" rIns="27940" bIns="27940"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Economic constraints</a:t>
          </a:r>
          <a:endParaRPr lang="en-US" sz="1100" kern="1200">
            <a:latin typeface="Times New Roman" panose="02020603050405020304" pitchFamily="18" charset="0"/>
            <a:cs typeface="Times New Roman" panose="02020603050405020304" pitchFamily="18" charset="0"/>
          </a:endParaRPr>
        </a:p>
      </dsp:txBody>
      <dsp:txXfrm>
        <a:off x="364263" y="246046"/>
        <a:ext cx="5080589" cy="492349"/>
      </dsp:txXfrm>
    </dsp:sp>
    <dsp:sp modelId="{5F35AE26-DA96-446B-B589-594AF8282112}">
      <dsp:nvSpPr>
        <dsp:cNvPr id="0" name=""/>
        <dsp:cNvSpPr/>
      </dsp:nvSpPr>
      <dsp:spPr>
        <a:xfrm>
          <a:off x="56545" y="184503"/>
          <a:ext cx="615436" cy="615436"/>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5D6AB6D-D5DE-4162-B925-735B6A989708}">
      <dsp:nvSpPr>
        <dsp:cNvPr id="0" name=""/>
        <dsp:cNvSpPr/>
      </dsp:nvSpPr>
      <dsp:spPr>
        <a:xfrm>
          <a:off x="646539" y="984699"/>
          <a:ext cx="4798313" cy="492349"/>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0802" tIns="27940" rIns="27940" bIns="27940"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Regulatory and policy gaps</a:t>
          </a:r>
          <a:endParaRPr lang="en-US" sz="1100" kern="1200">
            <a:latin typeface="Times New Roman" panose="02020603050405020304" pitchFamily="18" charset="0"/>
            <a:cs typeface="Times New Roman" panose="02020603050405020304" pitchFamily="18" charset="0"/>
          </a:endParaRPr>
        </a:p>
      </dsp:txBody>
      <dsp:txXfrm>
        <a:off x="646539" y="984699"/>
        <a:ext cx="4798313" cy="492349"/>
      </dsp:txXfrm>
    </dsp:sp>
    <dsp:sp modelId="{C729D5F0-A83E-4E5D-910B-A9C4A4D73AF6}">
      <dsp:nvSpPr>
        <dsp:cNvPr id="0" name=""/>
        <dsp:cNvSpPr/>
      </dsp:nvSpPr>
      <dsp:spPr>
        <a:xfrm>
          <a:off x="338820" y="923155"/>
          <a:ext cx="615436" cy="615436"/>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E5AD2F3-F616-4BFF-80BE-0F0D13E21A3E}">
      <dsp:nvSpPr>
        <dsp:cNvPr id="0" name=""/>
        <dsp:cNvSpPr/>
      </dsp:nvSpPr>
      <dsp:spPr>
        <a:xfrm>
          <a:off x="646539" y="1723351"/>
          <a:ext cx="4798313" cy="492349"/>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0802" tIns="27940" rIns="27940" bIns="27940"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Weak Institutional capacity</a:t>
          </a:r>
          <a:endParaRPr lang="en-US" sz="1100" kern="1200">
            <a:latin typeface="Times New Roman" panose="02020603050405020304" pitchFamily="18" charset="0"/>
            <a:cs typeface="Times New Roman" panose="02020603050405020304" pitchFamily="18" charset="0"/>
          </a:endParaRPr>
        </a:p>
      </dsp:txBody>
      <dsp:txXfrm>
        <a:off x="646539" y="1723351"/>
        <a:ext cx="4798313" cy="492349"/>
      </dsp:txXfrm>
    </dsp:sp>
    <dsp:sp modelId="{5A1EEA56-0C93-47EC-9307-A7303EBF5C2E}">
      <dsp:nvSpPr>
        <dsp:cNvPr id="0" name=""/>
        <dsp:cNvSpPr/>
      </dsp:nvSpPr>
      <dsp:spPr>
        <a:xfrm>
          <a:off x="338820" y="1661807"/>
          <a:ext cx="615436" cy="615436"/>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2D32DB-B73D-40F2-B630-682DD86F0EE7}">
      <dsp:nvSpPr>
        <dsp:cNvPr id="0" name=""/>
        <dsp:cNvSpPr/>
      </dsp:nvSpPr>
      <dsp:spPr>
        <a:xfrm>
          <a:off x="364263" y="2462003"/>
          <a:ext cx="5080589" cy="492349"/>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0802" tIns="27940" rIns="27940" bIns="27940"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Health and safety concerns</a:t>
          </a:r>
          <a:endParaRPr lang="en-US" sz="1100" kern="1200">
            <a:latin typeface="Times New Roman" panose="02020603050405020304" pitchFamily="18" charset="0"/>
            <a:cs typeface="Times New Roman" panose="02020603050405020304" pitchFamily="18" charset="0"/>
          </a:endParaRPr>
        </a:p>
      </dsp:txBody>
      <dsp:txXfrm>
        <a:off x="364263" y="2462003"/>
        <a:ext cx="5080589" cy="492349"/>
      </dsp:txXfrm>
    </dsp:sp>
    <dsp:sp modelId="{DF4D79CF-F444-4ED8-818A-8976207C6FA5}">
      <dsp:nvSpPr>
        <dsp:cNvPr id="0" name=""/>
        <dsp:cNvSpPr/>
      </dsp:nvSpPr>
      <dsp:spPr>
        <a:xfrm>
          <a:off x="56545" y="2400460"/>
          <a:ext cx="615436" cy="615436"/>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936FD-CEC0-45CE-AE3B-159F44C8C95F}">
      <dsp:nvSpPr>
        <dsp:cNvPr id="0" name=""/>
        <dsp:cNvSpPr/>
      </dsp:nvSpPr>
      <dsp:spPr>
        <a:xfrm>
          <a:off x="2200272" y="1812977"/>
          <a:ext cx="1609730" cy="130169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0" kern="1200">
              <a:latin typeface="Times New Roman" panose="02020603050405020304" pitchFamily="18" charset="0"/>
              <a:cs typeface="Times New Roman" panose="02020603050405020304" pitchFamily="18" charset="0"/>
            </a:rPr>
            <a:t>Governance Models for Implementing Circular Economy Principles</a:t>
          </a:r>
          <a:endParaRPr lang="en-US" sz="1200" b="0" kern="1200">
            <a:latin typeface="Times New Roman" panose="02020603050405020304" pitchFamily="18" charset="0"/>
            <a:cs typeface="Times New Roman" panose="02020603050405020304" pitchFamily="18" charset="0"/>
          </a:endParaRPr>
        </a:p>
      </dsp:txBody>
      <dsp:txXfrm>
        <a:off x="2436012" y="2003606"/>
        <a:ext cx="1138250" cy="920438"/>
      </dsp:txXfrm>
    </dsp:sp>
    <dsp:sp modelId="{9032B6D8-7793-463C-93B7-A6DDED12E006}">
      <dsp:nvSpPr>
        <dsp:cNvPr id="0" name=""/>
        <dsp:cNvSpPr/>
      </dsp:nvSpPr>
      <dsp:spPr>
        <a:xfrm rot="16200000">
          <a:off x="2869016" y="1343586"/>
          <a:ext cx="272242" cy="44052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2909853" y="1472529"/>
        <a:ext cx="190569" cy="264316"/>
      </dsp:txXfrm>
    </dsp:sp>
    <dsp:sp modelId="{284D46AD-FAC8-4CEC-B738-36FD046FD563}">
      <dsp:nvSpPr>
        <dsp:cNvPr id="0" name=""/>
        <dsp:cNvSpPr/>
      </dsp:nvSpPr>
      <dsp:spPr>
        <a:xfrm>
          <a:off x="2286000" y="3641"/>
          <a:ext cx="1438273" cy="129567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State-Regulated Governance</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endParaRPr lang="en-US" sz="1200" kern="1200">
            <a:latin typeface="Times New Roman" panose="02020603050405020304" pitchFamily="18" charset="0"/>
            <a:cs typeface="Times New Roman" panose="02020603050405020304" pitchFamily="18" charset="0"/>
          </a:endParaRPr>
        </a:p>
      </dsp:txBody>
      <dsp:txXfrm>
        <a:off x="2496630" y="193388"/>
        <a:ext cx="1017013" cy="916178"/>
      </dsp:txXfrm>
    </dsp:sp>
    <dsp:sp modelId="{EB2DA27C-26E4-46AD-845F-D82E325BE828}">
      <dsp:nvSpPr>
        <dsp:cNvPr id="0" name=""/>
        <dsp:cNvSpPr/>
      </dsp:nvSpPr>
      <dsp:spPr>
        <a:xfrm rot="20520000">
          <a:off x="3826401" y="1944062"/>
          <a:ext cx="201001" cy="440528"/>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3827877" y="2041485"/>
        <a:ext cx="140701" cy="264316"/>
      </dsp:txXfrm>
    </dsp:sp>
    <dsp:sp modelId="{DFE1A02C-DC92-40B7-981E-8CBBFD1BE67B}">
      <dsp:nvSpPr>
        <dsp:cNvPr id="0" name=""/>
        <dsp:cNvSpPr/>
      </dsp:nvSpPr>
      <dsp:spPr>
        <a:xfrm>
          <a:off x="4080947" y="1255943"/>
          <a:ext cx="1295672" cy="129567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Collaborative and Multi-Stakeholder Governance</a:t>
          </a:r>
          <a:endParaRPr lang="en-US" sz="1200" kern="1200">
            <a:latin typeface="Times New Roman" panose="02020603050405020304" pitchFamily="18" charset="0"/>
            <a:cs typeface="Times New Roman" panose="02020603050405020304" pitchFamily="18" charset="0"/>
          </a:endParaRPr>
        </a:p>
      </dsp:txBody>
      <dsp:txXfrm>
        <a:off x="4270694" y="1445690"/>
        <a:ext cx="916178" cy="916178"/>
      </dsp:txXfrm>
    </dsp:sp>
    <dsp:sp modelId="{012F3076-D470-4A41-AEB1-7C456AB6F0B6}">
      <dsp:nvSpPr>
        <dsp:cNvPr id="0" name=""/>
        <dsp:cNvSpPr/>
      </dsp:nvSpPr>
      <dsp:spPr>
        <a:xfrm rot="3240000">
          <a:off x="3422301" y="2989486"/>
          <a:ext cx="249563" cy="440528"/>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3437732" y="3047307"/>
        <a:ext cx="174694" cy="264316"/>
      </dsp:txXfrm>
    </dsp:sp>
    <dsp:sp modelId="{B45C7D0F-C6D7-4724-92F8-9D887BCEE880}">
      <dsp:nvSpPr>
        <dsp:cNvPr id="0" name=""/>
        <dsp:cNvSpPr/>
      </dsp:nvSpPr>
      <dsp:spPr>
        <a:xfrm>
          <a:off x="3422573" y="3282211"/>
          <a:ext cx="1295672" cy="129567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Public-Private Partnerships and Hybrid Models</a:t>
          </a:r>
          <a:endParaRPr lang="en-US" sz="1200" kern="1200">
            <a:latin typeface="Times New Roman" panose="02020603050405020304" pitchFamily="18" charset="0"/>
            <a:cs typeface="Times New Roman" panose="02020603050405020304" pitchFamily="18" charset="0"/>
          </a:endParaRPr>
        </a:p>
      </dsp:txBody>
      <dsp:txXfrm>
        <a:off x="3612320" y="3471958"/>
        <a:ext cx="916178" cy="916178"/>
      </dsp:txXfrm>
    </dsp:sp>
    <dsp:sp modelId="{C776F27E-03C4-4F9A-9DFC-D074D7AB9757}">
      <dsp:nvSpPr>
        <dsp:cNvPr id="0" name=""/>
        <dsp:cNvSpPr/>
      </dsp:nvSpPr>
      <dsp:spPr>
        <a:xfrm rot="7560000">
          <a:off x="2338410" y="2989486"/>
          <a:ext cx="249563" cy="440528"/>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10800000">
        <a:off x="2397848" y="3047307"/>
        <a:ext cx="174694" cy="264316"/>
      </dsp:txXfrm>
    </dsp:sp>
    <dsp:sp modelId="{E4572AE1-F4D7-4292-B6C0-F872E689B1C9}">
      <dsp:nvSpPr>
        <dsp:cNvPr id="0" name=""/>
        <dsp:cNvSpPr/>
      </dsp:nvSpPr>
      <dsp:spPr>
        <a:xfrm>
          <a:off x="1292029" y="3282211"/>
          <a:ext cx="1295672" cy="129567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Community and Participatory Governance</a:t>
          </a:r>
          <a:endParaRPr lang="en-US" sz="1200" kern="1200">
            <a:latin typeface="Times New Roman" panose="02020603050405020304" pitchFamily="18" charset="0"/>
            <a:cs typeface="Times New Roman" panose="02020603050405020304" pitchFamily="18" charset="0"/>
          </a:endParaRPr>
        </a:p>
      </dsp:txBody>
      <dsp:txXfrm>
        <a:off x="1481776" y="3471958"/>
        <a:ext cx="916178" cy="916178"/>
      </dsp:txXfrm>
    </dsp:sp>
    <dsp:sp modelId="{1625FCBF-FA63-4FBA-AF51-0C3185B9B703}">
      <dsp:nvSpPr>
        <dsp:cNvPr id="0" name=""/>
        <dsp:cNvSpPr/>
      </dsp:nvSpPr>
      <dsp:spPr>
        <a:xfrm rot="11880000">
          <a:off x="1982872" y="1944062"/>
          <a:ext cx="201001" cy="440528"/>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10800000">
        <a:off x="2041696" y="2041485"/>
        <a:ext cx="140701" cy="264316"/>
      </dsp:txXfrm>
    </dsp:sp>
    <dsp:sp modelId="{BEC877B2-D120-4BD8-8222-0F01CB10FE49}">
      <dsp:nvSpPr>
        <dsp:cNvPr id="0" name=""/>
        <dsp:cNvSpPr/>
      </dsp:nvSpPr>
      <dsp:spPr>
        <a:xfrm>
          <a:off x="633654" y="1255943"/>
          <a:ext cx="1295672" cy="129567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Adaptive and Flexible Governance</a:t>
          </a:r>
          <a:endParaRPr lang="en-US" sz="1200" kern="1200">
            <a:latin typeface="Times New Roman" panose="02020603050405020304" pitchFamily="18" charset="0"/>
            <a:cs typeface="Times New Roman" panose="02020603050405020304" pitchFamily="18" charset="0"/>
          </a:endParaRPr>
        </a:p>
      </dsp:txBody>
      <dsp:txXfrm>
        <a:off x="823401" y="1445690"/>
        <a:ext cx="916178" cy="9161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08262-B26B-439C-A8DC-55E2858CB0DE}">
      <dsp:nvSpPr>
        <dsp:cNvPr id="0" name=""/>
        <dsp:cNvSpPr/>
      </dsp:nvSpPr>
      <dsp:spPr>
        <a:xfrm>
          <a:off x="1080015" y="5668"/>
          <a:ext cx="3832206" cy="105383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0" u="none" kern="1200">
              <a:latin typeface="Times New Roman" panose="02020603050405020304" pitchFamily="18" charset="0"/>
              <a:cs typeface="Times New Roman" panose="02020603050405020304" pitchFamily="18" charset="0"/>
            </a:rPr>
            <a:t>Identification</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identified from:</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Database (n= 380)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Grey Literature (n= 47)</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Duplicate records removed (n= 420)</a:t>
          </a:r>
        </a:p>
      </dsp:txBody>
      <dsp:txXfrm>
        <a:off x="1110881" y="36534"/>
        <a:ext cx="3770474" cy="992099"/>
      </dsp:txXfrm>
    </dsp:sp>
    <dsp:sp modelId="{F9EC4C54-680E-44D5-94A9-0CB63BA2FBF2}">
      <dsp:nvSpPr>
        <dsp:cNvPr id="0" name=""/>
        <dsp:cNvSpPr/>
      </dsp:nvSpPr>
      <dsp:spPr>
        <a:xfrm rot="5400000">
          <a:off x="2798525" y="1085846"/>
          <a:ext cx="395186" cy="4742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5400000">
        <a:off x="2853851" y="1125365"/>
        <a:ext cx="284534" cy="276630"/>
      </dsp:txXfrm>
    </dsp:sp>
    <dsp:sp modelId="{CD75BA53-DFD4-40E2-9D8F-CD973240446B}">
      <dsp:nvSpPr>
        <dsp:cNvPr id="0" name=""/>
        <dsp:cNvSpPr/>
      </dsp:nvSpPr>
      <dsp:spPr>
        <a:xfrm>
          <a:off x="1794092" y="1586416"/>
          <a:ext cx="2404053" cy="105383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0" u="none" kern="1200">
              <a:latin typeface="Times New Roman" panose="02020603050405020304" pitchFamily="18" charset="0"/>
              <a:cs typeface="Times New Roman" panose="02020603050405020304" pitchFamily="18" charset="0"/>
            </a:rPr>
            <a:t>Screening</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 screened (n= 320)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excluded (n= 206)</a:t>
          </a:r>
        </a:p>
      </dsp:txBody>
      <dsp:txXfrm>
        <a:off x="1824958" y="1617282"/>
        <a:ext cx="2342321" cy="992099"/>
      </dsp:txXfrm>
    </dsp:sp>
    <dsp:sp modelId="{441107CB-8A3D-4320-AFD7-85F9F9A24695}">
      <dsp:nvSpPr>
        <dsp:cNvPr id="0" name=""/>
        <dsp:cNvSpPr/>
      </dsp:nvSpPr>
      <dsp:spPr>
        <a:xfrm rot="5400000">
          <a:off x="2798525" y="2666593"/>
          <a:ext cx="395186" cy="4742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5400000">
        <a:off x="2853851" y="2706112"/>
        <a:ext cx="284534" cy="276630"/>
      </dsp:txXfrm>
    </dsp:sp>
    <dsp:sp modelId="{4531D31B-370B-4E2D-A0AF-8BA78DB39020}">
      <dsp:nvSpPr>
        <dsp:cNvPr id="0" name=""/>
        <dsp:cNvSpPr/>
      </dsp:nvSpPr>
      <dsp:spPr>
        <a:xfrm>
          <a:off x="1794092" y="3167163"/>
          <a:ext cx="2404053" cy="105383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0" u="none" kern="1200">
              <a:latin typeface="Times New Roman" panose="02020603050405020304" pitchFamily="18" charset="0"/>
              <a:cs typeface="Times New Roman" panose="02020603050405020304" pitchFamily="18" charset="0"/>
            </a:rPr>
            <a:t>Eligibility</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Reports assessed for eligibility (n= 120)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Reports excluded: Irrelevant ooutcomes or focus (n= 68)</a:t>
          </a:r>
        </a:p>
      </dsp:txBody>
      <dsp:txXfrm>
        <a:off x="1824958" y="3198029"/>
        <a:ext cx="2342321" cy="992099"/>
      </dsp:txXfrm>
    </dsp:sp>
    <dsp:sp modelId="{2D74B408-FA38-48BB-AD0B-10D7E1C25E2A}">
      <dsp:nvSpPr>
        <dsp:cNvPr id="0" name=""/>
        <dsp:cNvSpPr/>
      </dsp:nvSpPr>
      <dsp:spPr>
        <a:xfrm rot="5400000">
          <a:off x="2798525" y="4247341"/>
          <a:ext cx="395186" cy="4742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5400000">
        <a:off x="2853851" y="4286860"/>
        <a:ext cx="284534" cy="276630"/>
      </dsp:txXfrm>
    </dsp:sp>
    <dsp:sp modelId="{D17346EF-1E77-4A20-B45B-D52B981C1632}">
      <dsp:nvSpPr>
        <dsp:cNvPr id="0" name=""/>
        <dsp:cNvSpPr/>
      </dsp:nvSpPr>
      <dsp:spPr>
        <a:xfrm>
          <a:off x="1794092" y="4747911"/>
          <a:ext cx="2404053" cy="105383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0" u="none" kern="1200">
              <a:latin typeface="Times New Roman" panose="02020603050405020304" pitchFamily="18" charset="0"/>
              <a:cs typeface="Times New Roman" panose="02020603050405020304" pitchFamily="18" charset="0"/>
            </a:rPr>
            <a:t>Included</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Stusies included in review (n= 52)</a:t>
          </a:r>
        </a:p>
      </dsp:txBody>
      <dsp:txXfrm>
        <a:off x="1824958" y="4778777"/>
        <a:ext cx="2342321" cy="992099"/>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21</Pages>
  <Words>8860</Words>
  <Characters>50502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SDI 1084</cp:lastModifiedBy>
  <cp:revision>70</cp:revision>
  <dcterms:created xsi:type="dcterms:W3CDTF">2025-10-01T19:24:00Z</dcterms:created>
  <dcterms:modified xsi:type="dcterms:W3CDTF">2025-10-07T11:55:00Z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4211876d-7da6-48d5-ab0c-d650b8ae0bec</vt:lpwstr>
  </property>
</Properties>
</file>