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42D71B" w14:textId="7569381C" w:rsidR="00754C9A" w:rsidRPr="00581931" w:rsidRDefault="00581931" w:rsidP="00581931">
      <w:pPr>
        <w:pStyle w:val="Title"/>
        <w:spacing w:after="0"/>
        <w:jc w:val="left"/>
        <w:rPr>
          <w:rFonts w:ascii="Arial" w:hAnsi="Arial" w:cs="Arial"/>
          <w:u w:val="single"/>
        </w:rPr>
      </w:pPr>
      <w:r w:rsidRPr="00581931">
        <w:rPr>
          <w:rFonts w:ascii="Arial" w:hAnsi="Arial" w:cs="Arial"/>
          <w:u w:val="single"/>
        </w:rPr>
        <w:t>Original Research Article</w:t>
      </w:r>
    </w:p>
    <w:p w14:paraId="39BE20F6" w14:textId="66400518" w:rsidR="00A258C3" w:rsidRDefault="000074B7" w:rsidP="000074B7">
      <w:pPr>
        <w:pStyle w:val="Author"/>
        <w:spacing w:line="240" w:lineRule="auto"/>
        <w:rPr>
          <w:rFonts w:ascii="Arial" w:hAnsi="Arial" w:cs="Arial"/>
          <w:bCs/>
          <w:iCs/>
          <w:kern w:val="28"/>
          <w:sz w:val="36"/>
        </w:rPr>
      </w:pPr>
      <w:r w:rsidRPr="000074B7">
        <w:rPr>
          <w:rFonts w:ascii="Arial" w:hAnsi="Arial" w:cs="Arial"/>
          <w:bCs/>
          <w:iCs/>
          <w:kern w:val="28"/>
          <w:sz w:val="36"/>
        </w:rPr>
        <w:t>Profile of patients diagnosed with measles in the state of Pará- Brazil from 2016 to 2021</w:t>
      </w:r>
    </w:p>
    <w:p w14:paraId="0568AEBE" w14:textId="77777777" w:rsidR="00106C0A" w:rsidRDefault="00106C0A" w:rsidP="000074B7">
      <w:pPr>
        <w:pStyle w:val="Author"/>
        <w:spacing w:line="240" w:lineRule="auto"/>
        <w:rPr>
          <w:rFonts w:ascii="Arial" w:hAnsi="Arial" w:cs="Arial"/>
          <w:bCs/>
          <w:iCs/>
          <w:kern w:val="28"/>
          <w:sz w:val="36"/>
        </w:rPr>
      </w:pPr>
    </w:p>
    <w:p w14:paraId="7372A5D2" w14:textId="77777777" w:rsidR="00581931" w:rsidRDefault="00581931" w:rsidP="00C8379B">
      <w:pPr>
        <w:pStyle w:val="Affiliation"/>
        <w:spacing w:after="0" w:line="240" w:lineRule="auto"/>
        <w:rPr>
          <w:rFonts w:ascii="Arial" w:hAnsi="Arial" w:cs="Arial"/>
        </w:rPr>
      </w:pPr>
    </w:p>
    <w:p w14:paraId="5C91129B" w14:textId="77777777" w:rsidR="002C57D2" w:rsidRPr="00FB3A86" w:rsidRDefault="002C57D2" w:rsidP="00441B6F">
      <w:pPr>
        <w:pStyle w:val="Affiliation"/>
        <w:spacing w:after="0" w:line="240" w:lineRule="auto"/>
        <w:jc w:val="both"/>
        <w:rPr>
          <w:rFonts w:ascii="Arial" w:hAnsi="Arial" w:cs="Arial"/>
        </w:rPr>
      </w:pPr>
    </w:p>
    <w:p w14:paraId="1BA20058" w14:textId="77777777" w:rsidR="00B01FCD" w:rsidRPr="00FB3A86" w:rsidRDefault="001205A6" w:rsidP="00441B6F">
      <w:pPr>
        <w:pStyle w:val="Copyright"/>
        <w:spacing w:after="0" w:line="240" w:lineRule="auto"/>
        <w:jc w:val="both"/>
        <w:rPr>
          <w:rFonts w:ascii="Arial" w:hAnsi="Arial" w:cs="Arial"/>
        </w:rPr>
        <w:sectPr w:rsidR="00B01FCD" w:rsidRPr="00FB3A86" w:rsidSect="00540E40">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w14:anchorId="30F3E34C">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14:paraId="1CFF1C6C" w14:textId="593D7675"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01F22E09"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14:paraId="5891FAD0" w14:textId="77777777" w:rsidTr="001E44FE">
        <w:tc>
          <w:tcPr>
            <w:tcW w:w="9576" w:type="dxa"/>
            <w:shd w:val="clear" w:color="auto" w:fill="F2F2F2"/>
          </w:tcPr>
          <w:p w14:paraId="215E46D5" w14:textId="661F4792"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B91EB5" w:rsidRPr="00B91EB5">
              <w:rPr>
                <w:rFonts w:ascii="Arial" w:eastAsia="Calibri" w:hAnsi="Arial" w:cs="Arial"/>
                <w:szCs w:val="22"/>
              </w:rPr>
              <w:t>this study aimed to identify the incidence of measles in children in the state of Pará between 2016 and 2021.</w:t>
            </w:r>
          </w:p>
          <w:p w14:paraId="1D4A534A" w14:textId="77777777" w:rsidR="00D2438C"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D2438C" w:rsidRPr="00D2438C">
              <w:rPr>
                <w:rFonts w:ascii="Arial" w:eastAsia="Calibri" w:hAnsi="Arial" w:cs="Arial"/>
                <w:szCs w:val="22"/>
              </w:rPr>
              <w:t>this is an observational, descriptive, ecological, and temporal</w:t>
            </w:r>
            <w:r w:rsidR="00D2438C">
              <w:rPr>
                <w:rFonts w:ascii="Arial" w:eastAsia="Calibri" w:hAnsi="Arial" w:cs="Arial"/>
                <w:szCs w:val="22"/>
              </w:rPr>
              <w:t>.</w:t>
            </w:r>
          </w:p>
          <w:p w14:paraId="254708A8" w14:textId="4385716B"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4948AE" w:rsidRPr="004948AE">
              <w:rPr>
                <w:rFonts w:ascii="Arial" w:eastAsia="Calibri" w:hAnsi="Arial" w:cs="Arial"/>
                <w:szCs w:val="22"/>
              </w:rPr>
              <w:t xml:space="preserve">The research was based on secondary data extracted from the SINAN and SI-PNI systems, accessed via </w:t>
            </w:r>
            <w:proofErr w:type="spellStart"/>
            <w:r w:rsidR="004948AE" w:rsidRPr="004948AE">
              <w:rPr>
                <w:rFonts w:ascii="Arial" w:eastAsia="Calibri" w:hAnsi="Arial" w:cs="Arial"/>
                <w:szCs w:val="22"/>
              </w:rPr>
              <w:t>DataSUS</w:t>
            </w:r>
            <w:proofErr w:type="spellEnd"/>
            <w:r w:rsidR="004948AE" w:rsidRPr="004948AE">
              <w:rPr>
                <w:rFonts w:ascii="Arial" w:eastAsia="Calibri" w:hAnsi="Arial" w:cs="Arial"/>
                <w:szCs w:val="22"/>
              </w:rPr>
              <w:t>. These platforms are online repositories managed by the Brazilian Ministry of Health and state health departments.</w:t>
            </w:r>
          </w:p>
          <w:p w14:paraId="1392E3B5" w14:textId="20CC5062" w:rsidR="002B0056" w:rsidRDefault="00BA1B01" w:rsidP="002B0056">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4718A3" w:rsidRPr="004718A3">
              <w:rPr>
                <w:rFonts w:ascii="Arial" w:eastAsia="Calibri" w:hAnsi="Arial" w:cs="Arial"/>
                <w:szCs w:val="22"/>
              </w:rPr>
              <w:t xml:space="preserve">The information was obtained through queries to the databases of the Notifiable Diseases Information System (SINAN) and the National Immunization Program Information System (SI-PNI), using the </w:t>
            </w:r>
            <w:proofErr w:type="spellStart"/>
            <w:r w:rsidR="004718A3" w:rsidRPr="004718A3">
              <w:rPr>
                <w:rFonts w:ascii="Arial" w:eastAsia="Calibri" w:hAnsi="Arial" w:cs="Arial"/>
                <w:szCs w:val="22"/>
              </w:rPr>
              <w:t>Tabnet</w:t>
            </w:r>
            <w:proofErr w:type="spellEnd"/>
            <w:r w:rsidR="004718A3" w:rsidRPr="004718A3">
              <w:rPr>
                <w:rFonts w:ascii="Arial" w:eastAsia="Calibri" w:hAnsi="Arial" w:cs="Arial"/>
                <w:szCs w:val="22"/>
              </w:rPr>
              <w:t xml:space="preserve"> application from </w:t>
            </w:r>
            <w:proofErr w:type="spellStart"/>
            <w:r w:rsidR="004718A3" w:rsidRPr="004718A3">
              <w:rPr>
                <w:rFonts w:ascii="Arial" w:eastAsia="Calibri" w:hAnsi="Arial" w:cs="Arial"/>
                <w:szCs w:val="22"/>
              </w:rPr>
              <w:t>DataSUS</w:t>
            </w:r>
            <w:proofErr w:type="spellEnd"/>
            <w:r w:rsidR="004718A3" w:rsidRPr="004718A3">
              <w:rPr>
                <w:rFonts w:ascii="Arial" w:eastAsia="Calibri" w:hAnsi="Arial" w:cs="Arial"/>
                <w:szCs w:val="22"/>
              </w:rPr>
              <w:t>, a public-domain generic tabulator that provides access to SINAN data. These data were collected from notification forms and disease and health condition investigations included in the national list of notifiable diseases, grouped by states and their municipalities.</w:t>
            </w:r>
          </w:p>
          <w:p w14:paraId="5F1503D5" w14:textId="6BF7916D" w:rsidR="00FA4455" w:rsidRDefault="00BA1B01" w:rsidP="002B0056">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FA4455" w:rsidRPr="00FA4455">
              <w:rPr>
                <w:rFonts w:ascii="Arial" w:eastAsia="Calibri" w:hAnsi="Arial" w:cs="Arial"/>
                <w:szCs w:val="22"/>
              </w:rPr>
              <w:t>the findings revealed that the highest incidence occurred in 2020, especially among children under 1 year old, with most cases resulting in full recovery. A progressive increase in incidence among children aged 0 to 14 years was also observed, associated with a decline in vaccination coverage in the state.</w:t>
            </w:r>
          </w:p>
          <w:p w14:paraId="6FD4FA44" w14:textId="2793479C"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CF1214" w:rsidRPr="00CF1214">
              <w:rPr>
                <w:rFonts w:ascii="Arial" w:eastAsia="Calibri" w:hAnsi="Arial" w:cs="Arial"/>
                <w:szCs w:val="22"/>
              </w:rPr>
              <w:t>These findings confirm that measles remains a significant public health challenge in Pará, particularly among vulnerable populations. The study reinforces the need to expand and enhance immunization strategies to reach the minimum 95% coverage required to interrupt the virus transmission chain. Furthermore, it contributes to the Sustainable Development Goals (SDGs), especially SDG 3 (Good Health and Well-being), SDG 10 (Reduced Inequalities), and SDG 4 (Quality Education), by highlighting the importance of educational campaigns, equitable access to vaccination, and integrated public policies that promote childhood health and sustainable development.</w:t>
            </w:r>
          </w:p>
        </w:tc>
      </w:tr>
    </w:tbl>
    <w:p w14:paraId="734FDDFE" w14:textId="77777777" w:rsidR="00636EB2" w:rsidRDefault="00636EB2" w:rsidP="00441B6F">
      <w:pPr>
        <w:pStyle w:val="Body"/>
        <w:spacing w:after="0"/>
        <w:rPr>
          <w:rFonts w:ascii="Arial" w:hAnsi="Arial" w:cs="Arial"/>
          <w:i/>
        </w:rPr>
      </w:pPr>
    </w:p>
    <w:p w14:paraId="5A0450B5" w14:textId="1466A702" w:rsidR="00A24E7E" w:rsidRDefault="00A24E7E" w:rsidP="00441B6F">
      <w:pPr>
        <w:pStyle w:val="Body"/>
        <w:spacing w:after="0"/>
        <w:rPr>
          <w:rFonts w:ascii="Arial" w:hAnsi="Arial" w:cs="Arial"/>
          <w:i/>
        </w:rPr>
      </w:pPr>
      <w:r>
        <w:rPr>
          <w:rFonts w:ascii="Arial" w:hAnsi="Arial" w:cs="Arial"/>
          <w:i/>
        </w:rPr>
        <w:t xml:space="preserve">Keywords: </w:t>
      </w:r>
      <w:r w:rsidR="000569DD" w:rsidRPr="000569DD">
        <w:rPr>
          <w:rFonts w:ascii="Arial" w:hAnsi="Arial" w:cs="Arial"/>
          <w:i/>
        </w:rPr>
        <w:t>Notifiable diseases</w:t>
      </w:r>
      <w:r w:rsidR="000569DD">
        <w:rPr>
          <w:rFonts w:ascii="Arial" w:hAnsi="Arial" w:cs="Arial"/>
          <w:i/>
        </w:rPr>
        <w:t xml:space="preserve">, </w:t>
      </w:r>
      <w:r w:rsidR="0005215D" w:rsidRPr="0005215D">
        <w:rPr>
          <w:rFonts w:ascii="Arial" w:hAnsi="Arial" w:cs="Arial"/>
          <w:i/>
        </w:rPr>
        <w:t>State of Pará</w:t>
      </w:r>
      <w:r w:rsidR="0005215D">
        <w:rPr>
          <w:rFonts w:ascii="Arial" w:hAnsi="Arial" w:cs="Arial"/>
          <w:i/>
        </w:rPr>
        <w:t>,</w:t>
      </w:r>
      <w:r w:rsidR="0005215D" w:rsidRPr="0005215D">
        <w:rPr>
          <w:rFonts w:ascii="Arial" w:hAnsi="Arial" w:cs="Arial"/>
          <w:i/>
        </w:rPr>
        <w:t xml:space="preserve"> Measles</w:t>
      </w:r>
      <w:r w:rsidR="0005215D">
        <w:rPr>
          <w:rFonts w:ascii="Arial" w:hAnsi="Arial" w:cs="Arial"/>
          <w:i/>
        </w:rPr>
        <w:t>,</w:t>
      </w:r>
      <w:r w:rsidR="0005215D" w:rsidRPr="0005215D">
        <w:rPr>
          <w:rFonts w:ascii="Arial" w:hAnsi="Arial" w:cs="Arial"/>
          <w:i/>
        </w:rPr>
        <w:t xml:space="preserve"> Vaccination.</w:t>
      </w:r>
    </w:p>
    <w:p w14:paraId="72991E45" w14:textId="77777777" w:rsidR="00790ADA" w:rsidRDefault="00790ADA" w:rsidP="00441B6F">
      <w:pPr>
        <w:pStyle w:val="Body"/>
        <w:spacing w:after="0"/>
        <w:rPr>
          <w:rFonts w:ascii="Arial" w:hAnsi="Arial" w:cs="Arial"/>
          <w:i/>
        </w:rPr>
      </w:pPr>
    </w:p>
    <w:p w14:paraId="1375A1AA" w14:textId="551E3B34"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2C7C1EA" w14:textId="77777777" w:rsidR="00790ADA" w:rsidRPr="00FB3A86" w:rsidRDefault="00790ADA" w:rsidP="00441B6F">
      <w:pPr>
        <w:pStyle w:val="AbstHead"/>
        <w:spacing w:after="0"/>
        <w:jc w:val="both"/>
        <w:rPr>
          <w:rFonts w:ascii="Arial" w:hAnsi="Arial" w:cs="Arial"/>
        </w:rPr>
      </w:pPr>
    </w:p>
    <w:p w14:paraId="03263E01" w14:textId="77777777" w:rsidR="00D12233" w:rsidRPr="00D12233" w:rsidRDefault="00D12233" w:rsidP="009622DD">
      <w:pPr>
        <w:pStyle w:val="Body"/>
        <w:rPr>
          <w:rFonts w:ascii="Arial" w:hAnsi="Arial" w:cs="Arial"/>
          <w:lang w:val="pt-BR"/>
        </w:rPr>
      </w:pPr>
      <w:r w:rsidRPr="00D12233">
        <w:rPr>
          <w:rFonts w:ascii="Arial" w:hAnsi="Arial" w:cs="Arial"/>
          <w:lang w:val="pt-BR"/>
        </w:rPr>
        <w:t>Measles is a febrile exanthematous disease, highly contagious, acute, and self-limiting. It has a viral etiology and primarily affects children between 6 months and 5 years of age. It is among the leading causes of morbidity and mortality in children under 5 years old and can be prevented through immunization with the MMR (measles, mumps, and rubella) and MMRV (measles, mumps, rubella, and varicella) vaccines (Lima et al., 2020).</w:t>
      </w:r>
    </w:p>
    <w:p w14:paraId="6D2563F5" w14:textId="32DA44DB" w:rsidR="00D12233" w:rsidRPr="00D12233" w:rsidRDefault="00D12233" w:rsidP="009622DD">
      <w:pPr>
        <w:pStyle w:val="Body"/>
        <w:rPr>
          <w:rFonts w:ascii="Arial" w:hAnsi="Arial" w:cs="Arial"/>
          <w:lang w:val="pt-BR"/>
        </w:rPr>
      </w:pPr>
      <w:r w:rsidRPr="00D12233">
        <w:rPr>
          <w:rFonts w:ascii="Arial" w:hAnsi="Arial" w:cs="Arial"/>
          <w:lang w:val="pt-BR"/>
        </w:rPr>
        <w:t>In the global context, according to the World Health Organization (WHO), measles remains a disease that affects several countries, including some in Europe, such as Greece, the United Kingdom, and the Czech Republic. Since 2019, these countries have reported an increased number of measles cases and lost their previously achieved measles elimination status (Bra</w:t>
      </w:r>
      <w:r w:rsidR="000F1B9D">
        <w:rPr>
          <w:rFonts w:ascii="Arial" w:hAnsi="Arial" w:cs="Arial"/>
          <w:lang w:val="pt-BR"/>
        </w:rPr>
        <w:t>s</w:t>
      </w:r>
      <w:r w:rsidRPr="00D12233">
        <w:rPr>
          <w:rFonts w:ascii="Arial" w:hAnsi="Arial" w:cs="Arial"/>
          <w:lang w:val="pt-BR"/>
        </w:rPr>
        <w:t>il 2017, 2018; Masresha et al., 2023).</w:t>
      </w:r>
    </w:p>
    <w:p w14:paraId="4E78A5AB" w14:textId="764DF390" w:rsidR="00D12233" w:rsidRPr="00D12233" w:rsidRDefault="00D12233" w:rsidP="009622DD">
      <w:pPr>
        <w:pStyle w:val="Body"/>
        <w:rPr>
          <w:rFonts w:ascii="Arial" w:hAnsi="Arial" w:cs="Arial"/>
          <w:lang w:val="pt-BR"/>
        </w:rPr>
      </w:pPr>
      <w:r w:rsidRPr="00D12233">
        <w:rPr>
          <w:rFonts w:ascii="Arial" w:hAnsi="Arial" w:cs="Arial"/>
          <w:lang w:val="pt-BR"/>
        </w:rPr>
        <w:lastRenderedPageBreak/>
        <w:t>In Brazil, in 1992, the government set goals to eradicate measles by the year 2000 through the National Measles Elimination Plan. This goal was achieved, and in 2016 the country received the certificate of elimination of measles virus circulation, making Brazil a measles-free country (Bra</w:t>
      </w:r>
      <w:r w:rsidR="000F1B9D">
        <w:rPr>
          <w:rFonts w:ascii="Arial" w:hAnsi="Arial" w:cs="Arial"/>
          <w:lang w:val="pt-BR"/>
        </w:rPr>
        <w:t>s</w:t>
      </w:r>
      <w:r w:rsidRPr="00D12233">
        <w:rPr>
          <w:rFonts w:ascii="Arial" w:hAnsi="Arial" w:cs="Arial"/>
          <w:lang w:val="pt-BR"/>
        </w:rPr>
        <w:t>il, 2018 and 2019; Rodrigues et al., 2020).</w:t>
      </w:r>
    </w:p>
    <w:p w14:paraId="05785EAD" w14:textId="77777777" w:rsidR="00D12233" w:rsidRPr="00D12233" w:rsidRDefault="00D12233" w:rsidP="009622DD">
      <w:pPr>
        <w:pStyle w:val="Body"/>
        <w:rPr>
          <w:rFonts w:ascii="Arial" w:hAnsi="Arial" w:cs="Arial"/>
          <w:lang w:val="pt-BR"/>
        </w:rPr>
      </w:pPr>
      <w:r w:rsidRPr="00D12233">
        <w:rPr>
          <w:rFonts w:ascii="Arial" w:hAnsi="Arial" w:cs="Arial"/>
          <w:lang w:val="pt-BR"/>
        </w:rPr>
        <w:t>However, in 2018, Brazil once again reported new measles cases. Initially, two states in the Northern region (Roraima and Amazonas) identified new infectious cases, which led Brazil to lose the eradication certificate granted by the Pan American Health Organization (PAHO) in 2016, after reporting more than 100,000 new cases (Carvalho et al., 2019; Xavier et al., 2019; Zonin et al., 2021).</w:t>
      </w:r>
    </w:p>
    <w:p w14:paraId="75D4C63F" w14:textId="7A742361" w:rsidR="00D12233" w:rsidRPr="00D12233" w:rsidRDefault="00D12233" w:rsidP="009622DD">
      <w:pPr>
        <w:pStyle w:val="Body"/>
        <w:rPr>
          <w:rFonts w:ascii="Arial" w:hAnsi="Arial" w:cs="Arial"/>
          <w:lang w:val="pt-BR"/>
        </w:rPr>
      </w:pPr>
      <w:r w:rsidRPr="00D12233">
        <w:rPr>
          <w:rFonts w:ascii="Arial" w:hAnsi="Arial" w:cs="Arial"/>
          <w:lang w:val="pt-BR"/>
        </w:rPr>
        <w:t>Vaccination is a key pillar in the fight against and prevention of new measles cases. Thus, in 1992, strategies were implemented through the National Measles Elimination Plan, including ensuring vaccination coverage greater than 95% in children under one year of age. The official immunization schedule consists of the first dose of the MMR vaccine (measles, rubella, and mumps) administered at 12 months of age, followed by a booster with the MMRV vaccine (measles, rubella, mumps, and varicella) at 15 months (Bra</w:t>
      </w:r>
      <w:r w:rsidR="000F1B9D">
        <w:rPr>
          <w:rFonts w:ascii="Arial" w:hAnsi="Arial" w:cs="Arial"/>
          <w:lang w:val="pt-BR"/>
        </w:rPr>
        <w:t>s</w:t>
      </w:r>
      <w:r w:rsidRPr="00D12233">
        <w:rPr>
          <w:rFonts w:ascii="Arial" w:hAnsi="Arial" w:cs="Arial"/>
          <w:lang w:val="pt-BR"/>
        </w:rPr>
        <w:t>il, 2019; Wandeley et al., 2021).</w:t>
      </w:r>
    </w:p>
    <w:p w14:paraId="7EC64FF3" w14:textId="77777777" w:rsidR="00D12233" w:rsidRPr="00D12233" w:rsidRDefault="00D12233" w:rsidP="009622DD">
      <w:pPr>
        <w:pStyle w:val="Body"/>
        <w:rPr>
          <w:rFonts w:ascii="Arial" w:hAnsi="Arial" w:cs="Arial"/>
          <w:lang w:val="pt-BR"/>
        </w:rPr>
      </w:pPr>
      <w:r w:rsidRPr="00D12233">
        <w:rPr>
          <w:rFonts w:ascii="Arial" w:hAnsi="Arial" w:cs="Arial"/>
          <w:lang w:val="pt-BR"/>
        </w:rPr>
        <w:t>Studies indicate that the COVID-19 pandemic intensified inequality in access to healthcare across different Brazilian regions, further reducing access to healthcare centers and consequently lowering vaccination coverage, leaving municipalities and regions even more misaligned with the national panorama (Sato et al., 2023).</w:t>
      </w:r>
    </w:p>
    <w:p w14:paraId="18F6213B" w14:textId="6A6F820E" w:rsidR="00D12233" w:rsidRPr="00D12233" w:rsidRDefault="00D12233" w:rsidP="009622DD">
      <w:pPr>
        <w:pStyle w:val="Body"/>
        <w:rPr>
          <w:rFonts w:ascii="Arial" w:hAnsi="Arial" w:cs="Arial"/>
          <w:lang w:val="pt-BR"/>
        </w:rPr>
      </w:pPr>
      <w:r w:rsidRPr="00D12233">
        <w:rPr>
          <w:rFonts w:ascii="Arial" w:hAnsi="Arial" w:cs="Arial"/>
          <w:lang w:val="pt-BR"/>
        </w:rPr>
        <w:t>Considering that, until 2018, immunoprevention established by the Ministry of Health with MMR and MMRV vaccines at 12 and 15 months, respectively, had enabled Brazil to achieve PAHO certification for the elimination of measles virus circulation, the loss of this certification led to changes in strategy. Thus, in August 2019, the “Zero Dose” of the MMR vaccine was introduced, administered between 6 and 11 months of age, with the aim of increasing early vaccination coverage across different regions and helping reduce measles cases in the country (Bra</w:t>
      </w:r>
      <w:r w:rsidR="000F1B9D">
        <w:rPr>
          <w:rFonts w:ascii="Arial" w:hAnsi="Arial" w:cs="Arial"/>
          <w:lang w:val="pt-BR"/>
        </w:rPr>
        <w:t>s</w:t>
      </w:r>
      <w:r w:rsidRPr="00D12233">
        <w:rPr>
          <w:rFonts w:ascii="Arial" w:hAnsi="Arial" w:cs="Arial"/>
          <w:lang w:val="pt-BR"/>
        </w:rPr>
        <w:t>il, 2022a; Bra</w:t>
      </w:r>
      <w:r w:rsidR="000F1B9D">
        <w:rPr>
          <w:rFonts w:ascii="Arial" w:hAnsi="Arial" w:cs="Arial"/>
          <w:lang w:val="pt-BR"/>
        </w:rPr>
        <w:t>s</w:t>
      </w:r>
      <w:r w:rsidRPr="00D12233">
        <w:rPr>
          <w:rFonts w:ascii="Arial" w:hAnsi="Arial" w:cs="Arial"/>
          <w:lang w:val="pt-BR"/>
        </w:rPr>
        <w:t>il, 2022b).</w:t>
      </w:r>
    </w:p>
    <w:p w14:paraId="356582F7" w14:textId="77777777" w:rsidR="00D12233" w:rsidRPr="00D12233" w:rsidRDefault="00D12233" w:rsidP="009622DD">
      <w:pPr>
        <w:pStyle w:val="Body"/>
        <w:rPr>
          <w:rFonts w:ascii="Arial" w:hAnsi="Arial" w:cs="Arial"/>
          <w:lang w:val="pt-BR"/>
        </w:rPr>
      </w:pPr>
      <w:r w:rsidRPr="00D12233">
        <w:rPr>
          <w:rFonts w:ascii="Arial" w:hAnsi="Arial" w:cs="Arial"/>
          <w:lang w:val="pt-BR"/>
        </w:rPr>
        <w:t>Another existing measure is the administration of immunoglobulins, used when there are contraindications to vaccination in contacts within less than six days. Therefore, this study aimed to analyze the profile of patients diagnosed with measles in the state of Pará, in the age group of 0–14 years, during the period from 2016 to 2021.</w:t>
      </w:r>
    </w:p>
    <w:p w14:paraId="0EDE464A" w14:textId="65AB9955" w:rsidR="00790ADA" w:rsidRDefault="00790ADA" w:rsidP="00B61AEB">
      <w:pPr>
        <w:pStyle w:val="Body"/>
        <w:spacing w:after="0"/>
        <w:rPr>
          <w:rFonts w:ascii="Arial" w:hAnsi="Arial" w:cs="Arial"/>
        </w:rPr>
      </w:pPr>
    </w:p>
    <w:p w14:paraId="003B34FE" w14:textId="46EA7A1B" w:rsidR="007F7B32" w:rsidRDefault="00902823" w:rsidP="00441B6F">
      <w:pPr>
        <w:pStyle w:val="AbstHead"/>
        <w:spacing w:after="0"/>
        <w:jc w:val="both"/>
        <w:rPr>
          <w:rFonts w:ascii="Arial" w:hAnsi="Arial" w:cs="Arial"/>
        </w:rPr>
      </w:pPr>
      <w:r>
        <w:rPr>
          <w:rFonts w:ascii="Arial" w:hAnsi="Arial" w:cs="Arial"/>
        </w:rPr>
        <w:t xml:space="preserve">2. </w:t>
      </w:r>
      <w:r w:rsidR="006B57D0">
        <w:rPr>
          <w:rFonts w:ascii="Arial" w:hAnsi="Arial" w:cs="Arial"/>
        </w:rPr>
        <w:t>methodology</w:t>
      </w:r>
    </w:p>
    <w:p w14:paraId="7A6C98E9" w14:textId="77777777" w:rsidR="00790ADA" w:rsidRPr="00FB3A86" w:rsidRDefault="00790ADA" w:rsidP="009270A8">
      <w:pPr>
        <w:pStyle w:val="AbstHead"/>
        <w:spacing w:after="0"/>
        <w:jc w:val="both"/>
        <w:rPr>
          <w:rFonts w:ascii="Arial" w:hAnsi="Arial" w:cs="Arial"/>
        </w:rPr>
      </w:pPr>
    </w:p>
    <w:p w14:paraId="7D112378" w14:textId="77777777" w:rsidR="009270A8" w:rsidRPr="009270A8" w:rsidRDefault="009270A8" w:rsidP="009270A8">
      <w:pPr>
        <w:pStyle w:val="Body"/>
        <w:rPr>
          <w:rFonts w:ascii="Arial" w:hAnsi="Arial" w:cs="Arial"/>
          <w:lang w:val="pt-BR"/>
        </w:rPr>
      </w:pPr>
      <w:r w:rsidRPr="009270A8">
        <w:rPr>
          <w:rFonts w:ascii="Arial" w:hAnsi="Arial" w:cs="Arial"/>
          <w:lang w:val="pt-BR"/>
        </w:rPr>
        <w:t>The research complied with the ethical principles established by the Brazilian National Health Council and was exempted from review by the Research Ethics Committee of the Centro Universitário do Pará, as it was based on secondary, publicly available, and de-identified data, in accordance with Article 26, items III and V, of Resolution No. 674, dated May 6, 2022.</w:t>
      </w:r>
    </w:p>
    <w:p w14:paraId="158AC023" w14:textId="77777777" w:rsidR="009270A8" w:rsidRPr="009270A8" w:rsidRDefault="009270A8" w:rsidP="009270A8">
      <w:pPr>
        <w:pStyle w:val="Body"/>
        <w:rPr>
          <w:rFonts w:ascii="Arial" w:hAnsi="Arial" w:cs="Arial"/>
          <w:lang w:val="pt-BR"/>
        </w:rPr>
      </w:pPr>
      <w:r w:rsidRPr="009270A8">
        <w:rPr>
          <w:rFonts w:ascii="Arial" w:hAnsi="Arial" w:cs="Arial"/>
          <w:lang w:val="pt-BR"/>
        </w:rPr>
        <w:t>This is an observational, descriptive, ecological, and temporal study, based on data made publicly available by Datasus regarding the 2018 measles epidemic. The study was conducted in the state of Pará, located entirely within the Amazon region (Costa et al., 2011; IBGE, 2014).</w:t>
      </w:r>
    </w:p>
    <w:p w14:paraId="06F9B6D7" w14:textId="77777777" w:rsidR="009270A8" w:rsidRPr="009270A8" w:rsidRDefault="009270A8" w:rsidP="009270A8">
      <w:pPr>
        <w:pStyle w:val="Body"/>
        <w:rPr>
          <w:rFonts w:ascii="Arial" w:hAnsi="Arial" w:cs="Arial"/>
          <w:lang w:val="pt-BR"/>
        </w:rPr>
      </w:pPr>
      <w:r w:rsidRPr="009270A8">
        <w:rPr>
          <w:rFonts w:ascii="Arial" w:hAnsi="Arial" w:cs="Arial"/>
          <w:lang w:val="pt-BR"/>
        </w:rPr>
        <w:t xml:space="preserve">The variables selected for the study were: year of notification (2016–2021), health region of residence (Pará), age group at diagnosis (0–14 years), final classification (measles), disease </w:t>
      </w:r>
      <w:r w:rsidRPr="009270A8">
        <w:rPr>
          <w:rFonts w:ascii="Arial" w:hAnsi="Arial" w:cs="Arial"/>
          <w:lang w:val="pt-BR"/>
        </w:rPr>
        <w:lastRenderedPageBreak/>
        <w:t>outcome, and confirmatory criteria. In addition, vaccination data were analyzed, including MMR (measles, mumps, and rubella), MMR campaign, MMR (SCR), and MMRV vaccines, age group (0–14 years), year (2016–2021), and state of vaccination (PA).</w:t>
      </w:r>
    </w:p>
    <w:p w14:paraId="34E80B75" w14:textId="77777777" w:rsidR="009270A8" w:rsidRPr="009270A8" w:rsidRDefault="009270A8" w:rsidP="009270A8">
      <w:pPr>
        <w:pStyle w:val="Body"/>
        <w:rPr>
          <w:rFonts w:ascii="Arial" w:hAnsi="Arial" w:cs="Arial"/>
          <w:lang w:val="pt-BR"/>
        </w:rPr>
      </w:pPr>
      <w:r w:rsidRPr="009270A8">
        <w:rPr>
          <w:rFonts w:ascii="Arial" w:hAnsi="Arial" w:cs="Arial"/>
          <w:lang w:val="pt-BR"/>
        </w:rPr>
        <w:t>Records of children diagnosed with measles in the state of Pará were included, while records with unknown disease outcomes were excluded.</w:t>
      </w:r>
    </w:p>
    <w:p w14:paraId="450C4791" w14:textId="77777777" w:rsidR="009270A8" w:rsidRPr="009270A8" w:rsidRDefault="009270A8" w:rsidP="009270A8">
      <w:pPr>
        <w:pStyle w:val="Body"/>
        <w:rPr>
          <w:rFonts w:ascii="Arial" w:hAnsi="Arial" w:cs="Arial"/>
          <w:lang w:val="pt-BR"/>
        </w:rPr>
      </w:pPr>
      <w:r w:rsidRPr="009270A8">
        <w:rPr>
          <w:rFonts w:ascii="Arial" w:hAnsi="Arial" w:cs="Arial"/>
          <w:lang w:val="pt-BR"/>
        </w:rPr>
        <w:t>The information was obtained through the Notifiable Diseases Information System (SINAN) and the National Immunization Program Information System (SI-PNI), accessed via the Datasus Tabnet application, a public domain tabulation tool that provides SINAN data.</w:t>
      </w:r>
    </w:p>
    <w:p w14:paraId="03226B22" w14:textId="77777777" w:rsidR="009270A8" w:rsidRPr="009270A8" w:rsidRDefault="009270A8" w:rsidP="009270A8">
      <w:pPr>
        <w:pStyle w:val="Body"/>
        <w:rPr>
          <w:rFonts w:ascii="Arial" w:hAnsi="Arial" w:cs="Arial"/>
          <w:lang w:val="pt-BR"/>
        </w:rPr>
      </w:pPr>
      <w:r w:rsidRPr="009270A8">
        <w:rPr>
          <w:rFonts w:ascii="Arial" w:hAnsi="Arial" w:cs="Arial"/>
          <w:lang w:val="pt-BR"/>
        </w:rPr>
        <w:t>These data were collected from notification forms and disease investigation records included in the national list of notifiable diseases, grouped by states and municipalities. Database queries were conducted from August 6, 2023, to January 9, 2024. After database consultation, the tables were converted into Excel 7.0 format.</w:t>
      </w:r>
    </w:p>
    <w:p w14:paraId="0EB4DEAD" w14:textId="77777777" w:rsidR="00560416" w:rsidRPr="00FB3A86" w:rsidRDefault="00560416" w:rsidP="00560416">
      <w:pPr>
        <w:pStyle w:val="Body"/>
        <w:spacing w:after="0"/>
        <w:rPr>
          <w:rFonts w:ascii="Arial" w:hAnsi="Arial" w:cs="Arial"/>
        </w:rPr>
      </w:pPr>
    </w:p>
    <w:p w14:paraId="1F30D88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2FEF5D87" w14:textId="77777777" w:rsidR="00790ADA" w:rsidRPr="00FB3A86" w:rsidRDefault="00790ADA" w:rsidP="00441B6F">
      <w:pPr>
        <w:pStyle w:val="Head1"/>
        <w:spacing w:after="0"/>
        <w:jc w:val="both"/>
        <w:rPr>
          <w:rFonts w:ascii="Arial" w:hAnsi="Arial" w:cs="Arial"/>
        </w:rPr>
      </w:pPr>
    </w:p>
    <w:p w14:paraId="5B8B2DD1" w14:textId="77777777" w:rsidR="001013A8" w:rsidRDefault="001013A8" w:rsidP="009343CB">
      <w:pPr>
        <w:pStyle w:val="Body"/>
        <w:rPr>
          <w:rFonts w:ascii="Arial" w:hAnsi="Arial" w:cs="Arial"/>
        </w:rPr>
      </w:pPr>
      <w:r w:rsidRPr="001013A8">
        <w:rPr>
          <w:rFonts w:ascii="Arial" w:hAnsi="Arial" w:cs="Arial"/>
        </w:rPr>
        <w:t>Between 2016 and 2021, a total of 1,879 measles cases were confirmed in the state of Pará among individuals aged 0–14 years.</w:t>
      </w:r>
    </w:p>
    <w:p w14:paraId="4ED9639D" w14:textId="1CE36AF6" w:rsidR="009343CB" w:rsidRPr="009343CB" w:rsidRDefault="009343CB" w:rsidP="009343CB">
      <w:pPr>
        <w:pStyle w:val="Body"/>
        <w:rPr>
          <w:rFonts w:ascii="Arial" w:hAnsi="Arial" w:cs="Arial"/>
          <w:b/>
          <w:bCs/>
          <w:lang w:val="pt-BR"/>
        </w:rPr>
      </w:pPr>
      <w:r w:rsidRPr="009343CB">
        <w:rPr>
          <w:rFonts w:ascii="Arial" w:hAnsi="Arial" w:cs="Arial"/>
          <w:b/>
          <w:bCs/>
          <w:lang w:val="pt-BR"/>
        </w:rPr>
        <w:t>Table 1. Confirmed measles cases by year of notification and Health Region of Residence (CIR) in the state of Pará, 2016–2021.</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7"/>
        <w:gridCol w:w="797"/>
        <w:gridCol w:w="797"/>
        <w:gridCol w:w="797"/>
        <w:gridCol w:w="799"/>
        <w:gridCol w:w="797"/>
      </w:tblGrid>
      <w:tr w:rsidR="00C5157A" w:rsidRPr="00EB0790" w14:paraId="77374966" w14:textId="77777777" w:rsidTr="00045A8A">
        <w:trPr>
          <w:trHeight w:val="288"/>
          <w:jc w:val="center"/>
        </w:trPr>
        <w:tc>
          <w:tcPr>
            <w:tcW w:w="4477" w:type="dxa"/>
            <w:tcBorders>
              <w:top w:val="single" w:sz="4" w:space="0" w:color="auto"/>
              <w:bottom w:val="single" w:sz="4" w:space="0" w:color="auto"/>
            </w:tcBorders>
            <w:noWrap/>
            <w:hideMark/>
          </w:tcPr>
          <w:p w14:paraId="4D375B59" w14:textId="6DF38112" w:rsidR="00C5157A" w:rsidRPr="00EB0790" w:rsidRDefault="008B75D1" w:rsidP="00EB0790">
            <w:pPr>
              <w:rPr>
                <w:rFonts w:ascii="Arial" w:hAnsi="Arial" w:cs="Arial"/>
                <w:b/>
                <w:bCs/>
                <w:sz w:val="20"/>
                <w:szCs w:val="20"/>
              </w:rPr>
            </w:pPr>
            <w:r w:rsidRPr="008B75D1">
              <w:rPr>
                <w:rFonts w:ascii="Arial" w:hAnsi="Arial" w:cs="Arial"/>
                <w:b/>
                <w:bCs/>
                <w:sz w:val="20"/>
                <w:szCs w:val="20"/>
              </w:rPr>
              <w:t>Health Region (CIR) of residence</w:t>
            </w:r>
          </w:p>
        </w:tc>
        <w:tc>
          <w:tcPr>
            <w:tcW w:w="803" w:type="dxa"/>
            <w:tcBorders>
              <w:top w:val="single" w:sz="4" w:space="0" w:color="auto"/>
              <w:bottom w:val="single" w:sz="4" w:space="0" w:color="auto"/>
            </w:tcBorders>
            <w:noWrap/>
            <w:hideMark/>
          </w:tcPr>
          <w:p w14:paraId="5FB8410B" w14:textId="77777777" w:rsidR="00C5157A" w:rsidRPr="00EB0790" w:rsidRDefault="00C5157A" w:rsidP="00EB0790">
            <w:pPr>
              <w:rPr>
                <w:rFonts w:ascii="Arial" w:hAnsi="Arial" w:cs="Arial"/>
                <w:b/>
                <w:bCs/>
                <w:sz w:val="20"/>
                <w:szCs w:val="20"/>
              </w:rPr>
            </w:pPr>
            <w:r w:rsidRPr="00EB0790">
              <w:rPr>
                <w:rFonts w:ascii="Arial" w:hAnsi="Arial" w:cs="Arial"/>
                <w:b/>
                <w:bCs/>
                <w:sz w:val="20"/>
                <w:szCs w:val="20"/>
              </w:rPr>
              <w:t>2018</w:t>
            </w:r>
          </w:p>
        </w:tc>
        <w:tc>
          <w:tcPr>
            <w:tcW w:w="803" w:type="dxa"/>
            <w:tcBorders>
              <w:top w:val="single" w:sz="4" w:space="0" w:color="auto"/>
              <w:bottom w:val="single" w:sz="4" w:space="0" w:color="auto"/>
            </w:tcBorders>
            <w:noWrap/>
            <w:hideMark/>
          </w:tcPr>
          <w:p w14:paraId="3AA4296C" w14:textId="77777777" w:rsidR="00C5157A" w:rsidRPr="00EB0790" w:rsidRDefault="00C5157A" w:rsidP="00EB0790">
            <w:pPr>
              <w:rPr>
                <w:rFonts w:ascii="Arial" w:hAnsi="Arial" w:cs="Arial"/>
                <w:b/>
                <w:bCs/>
                <w:sz w:val="20"/>
                <w:szCs w:val="20"/>
              </w:rPr>
            </w:pPr>
            <w:r w:rsidRPr="00EB0790">
              <w:rPr>
                <w:rFonts w:ascii="Arial" w:hAnsi="Arial" w:cs="Arial"/>
                <w:b/>
                <w:bCs/>
                <w:sz w:val="20"/>
                <w:szCs w:val="20"/>
              </w:rPr>
              <w:t>2019</w:t>
            </w:r>
          </w:p>
        </w:tc>
        <w:tc>
          <w:tcPr>
            <w:tcW w:w="803" w:type="dxa"/>
            <w:tcBorders>
              <w:top w:val="single" w:sz="4" w:space="0" w:color="auto"/>
              <w:bottom w:val="single" w:sz="4" w:space="0" w:color="auto"/>
            </w:tcBorders>
            <w:noWrap/>
            <w:hideMark/>
          </w:tcPr>
          <w:p w14:paraId="46D5F9B0" w14:textId="77777777" w:rsidR="00C5157A" w:rsidRPr="00EB0790" w:rsidRDefault="00C5157A" w:rsidP="00EB0790">
            <w:pPr>
              <w:rPr>
                <w:rFonts w:ascii="Arial" w:hAnsi="Arial" w:cs="Arial"/>
                <w:b/>
                <w:bCs/>
                <w:sz w:val="20"/>
                <w:szCs w:val="20"/>
              </w:rPr>
            </w:pPr>
            <w:r w:rsidRPr="00EB0790">
              <w:rPr>
                <w:rFonts w:ascii="Arial" w:hAnsi="Arial" w:cs="Arial"/>
                <w:b/>
                <w:bCs/>
                <w:sz w:val="20"/>
                <w:szCs w:val="20"/>
              </w:rPr>
              <w:t>2020</w:t>
            </w:r>
          </w:p>
        </w:tc>
        <w:tc>
          <w:tcPr>
            <w:tcW w:w="805" w:type="dxa"/>
            <w:tcBorders>
              <w:top w:val="single" w:sz="4" w:space="0" w:color="auto"/>
              <w:bottom w:val="single" w:sz="4" w:space="0" w:color="auto"/>
            </w:tcBorders>
            <w:noWrap/>
            <w:hideMark/>
          </w:tcPr>
          <w:p w14:paraId="19D8AC88" w14:textId="77777777" w:rsidR="00C5157A" w:rsidRPr="00EB0790" w:rsidRDefault="00C5157A" w:rsidP="00EB0790">
            <w:pPr>
              <w:rPr>
                <w:rFonts w:ascii="Arial" w:hAnsi="Arial" w:cs="Arial"/>
                <w:b/>
                <w:bCs/>
                <w:sz w:val="20"/>
                <w:szCs w:val="20"/>
              </w:rPr>
            </w:pPr>
            <w:r w:rsidRPr="00EB0790">
              <w:rPr>
                <w:rFonts w:ascii="Arial" w:hAnsi="Arial" w:cs="Arial"/>
                <w:b/>
                <w:bCs/>
                <w:sz w:val="20"/>
                <w:szCs w:val="20"/>
              </w:rPr>
              <w:t>2021</w:t>
            </w:r>
          </w:p>
        </w:tc>
        <w:tc>
          <w:tcPr>
            <w:tcW w:w="803" w:type="dxa"/>
            <w:tcBorders>
              <w:top w:val="single" w:sz="4" w:space="0" w:color="auto"/>
              <w:bottom w:val="single" w:sz="4" w:space="0" w:color="auto"/>
            </w:tcBorders>
            <w:noWrap/>
            <w:hideMark/>
          </w:tcPr>
          <w:p w14:paraId="285F9DD9" w14:textId="77777777" w:rsidR="00C5157A" w:rsidRPr="00EB0790" w:rsidRDefault="00C5157A" w:rsidP="00EB0790">
            <w:pPr>
              <w:rPr>
                <w:rFonts w:ascii="Arial" w:hAnsi="Arial" w:cs="Arial"/>
                <w:b/>
                <w:bCs/>
                <w:sz w:val="20"/>
                <w:szCs w:val="20"/>
              </w:rPr>
            </w:pPr>
            <w:r w:rsidRPr="00EB0790">
              <w:rPr>
                <w:rFonts w:ascii="Arial" w:hAnsi="Arial" w:cs="Arial"/>
                <w:b/>
                <w:bCs/>
                <w:sz w:val="20"/>
                <w:szCs w:val="20"/>
              </w:rPr>
              <w:t>Total</w:t>
            </w:r>
          </w:p>
        </w:tc>
      </w:tr>
      <w:tr w:rsidR="00C5157A" w:rsidRPr="00EB0790" w14:paraId="38896365" w14:textId="77777777" w:rsidTr="00045A8A">
        <w:trPr>
          <w:trHeight w:val="288"/>
          <w:jc w:val="center"/>
        </w:trPr>
        <w:tc>
          <w:tcPr>
            <w:tcW w:w="4477" w:type="dxa"/>
            <w:tcBorders>
              <w:top w:val="single" w:sz="4" w:space="0" w:color="auto"/>
            </w:tcBorders>
            <w:noWrap/>
            <w:hideMark/>
          </w:tcPr>
          <w:p w14:paraId="1F07B768" w14:textId="77777777" w:rsidR="00C5157A" w:rsidRPr="00EB0790" w:rsidRDefault="00C5157A" w:rsidP="00EB0790">
            <w:pPr>
              <w:rPr>
                <w:rFonts w:ascii="Arial" w:hAnsi="Arial" w:cs="Arial"/>
                <w:b/>
                <w:bCs/>
                <w:sz w:val="20"/>
                <w:szCs w:val="20"/>
              </w:rPr>
            </w:pPr>
            <w:r w:rsidRPr="00EB0790">
              <w:rPr>
                <w:rFonts w:ascii="Arial" w:hAnsi="Arial" w:cs="Arial"/>
                <w:b/>
                <w:bCs/>
                <w:sz w:val="20"/>
                <w:szCs w:val="20"/>
              </w:rPr>
              <w:t>Araguaia</w:t>
            </w:r>
          </w:p>
        </w:tc>
        <w:tc>
          <w:tcPr>
            <w:tcW w:w="803" w:type="dxa"/>
            <w:tcBorders>
              <w:top w:val="single" w:sz="4" w:space="0" w:color="auto"/>
            </w:tcBorders>
            <w:noWrap/>
            <w:hideMark/>
          </w:tcPr>
          <w:p w14:paraId="0613D33F"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3" w:type="dxa"/>
            <w:tcBorders>
              <w:top w:val="single" w:sz="4" w:space="0" w:color="auto"/>
            </w:tcBorders>
            <w:noWrap/>
            <w:hideMark/>
          </w:tcPr>
          <w:p w14:paraId="419BCFC9" w14:textId="77777777" w:rsidR="00C5157A" w:rsidRPr="00EB0790" w:rsidRDefault="00C5157A" w:rsidP="00EB0790">
            <w:pPr>
              <w:rPr>
                <w:rFonts w:ascii="Arial" w:hAnsi="Arial" w:cs="Arial"/>
                <w:sz w:val="20"/>
                <w:szCs w:val="20"/>
              </w:rPr>
            </w:pPr>
            <w:r w:rsidRPr="00EB0790">
              <w:rPr>
                <w:rFonts w:ascii="Arial" w:hAnsi="Arial" w:cs="Arial"/>
                <w:sz w:val="20"/>
                <w:szCs w:val="20"/>
              </w:rPr>
              <w:t>1</w:t>
            </w:r>
          </w:p>
        </w:tc>
        <w:tc>
          <w:tcPr>
            <w:tcW w:w="803" w:type="dxa"/>
            <w:tcBorders>
              <w:top w:val="single" w:sz="4" w:space="0" w:color="auto"/>
            </w:tcBorders>
            <w:noWrap/>
            <w:hideMark/>
          </w:tcPr>
          <w:p w14:paraId="117F18D4" w14:textId="77777777" w:rsidR="00C5157A" w:rsidRPr="00EB0790" w:rsidRDefault="00C5157A" w:rsidP="00EB0790">
            <w:pPr>
              <w:rPr>
                <w:rFonts w:ascii="Arial" w:hAnsi="Arial" w:cs="Arial"/>
                <w:sz w:val="20"/>
                <w:szCs w:val="20"/>
              </w:rPr>
            </w:pPr>
            <w:r w:rsidRPr="00EB0790">
              <w:rPr>
                <w:rFonts w:ascii="Arial" w:hAnsi="Arial" w:cs="Arial"/>
                <w:sz w:val="20"/>
                <w:szCs w:val="20"/>
              </w:rPr>
              <w:t>1</w:t>
            </w:r>
          </w:p>
        </w:tc>
        <w:tc>
          <w:tcPr>
            <w:tcW w:w="805" w:type="dxa"/>
            <w:tcBorders>
              <w:top w:val="single" w:sz="4" w:space="0" w:color="auto"/>
            </w:tcBorders>
            <w:noWrap/>
            <w:hideMark/>
          </w:tcPr>
          <w:p w14:paraId="53E84971"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3" w:type="dxa"/>
            <w:tcBorders>
              <w:top w:val="single" w:sz="4" w:space="0" w:color="auto"/>
            </w:tcBorders>
            <w:noWrap/>
            <w:hideMark/>
          </w:tcPr>
          <w:p w14:paraId="11565862" w14:textId="77777777" w:rsidR="00C5157A" w:rsidRPr="00EB0790" w:rsidRDefault="00C5157A" w:rsidP="00EB0790">
            <w:pPr>
              <w:rPr>
                <w:rFonts w:ascii="Arial" w:hAnsi="Arial" w:cs="Arial"/>
                <w:sz w:val="20"/>
                <w:szCs w:val="20"/>
              </w:rPr>
            </w:pPr>
            <w:r w:rsidRPr="00EB0790">
              <w:rPr>
                <w:rFonts w:ascii="Arial" w:hAnsi="Arial" w:cs="Arial"/>
                <w:sz w:val="20"/>
                <w:szCs w:val="20"/>
              </w:rPr>
              <w:t>2</w:t>
            </w:r>
          </w:p>
        </w:tc>
      </w:tr>
      <w:tr w:rsidR="00C5157A" w:rsidRPr="00EB0790" w14:paraId="2A1BCC83" w14:textId="77777777" w:rsidTr="00045A8A">
        <w:trPr>
          <w:trHeight w:val="288"/>
          <w:jc w:val="center"/>
        </w:trPr>
        <w:tc>
          <w:tcPr>
            <w:tcW w:w="4477" w:type="dxa"/>
            <w:noWrap/>
            <w:hideMark/>
          </w:tcPr>
          <w:p w14:paraId="09B6F196" w14:textId="6297E3B7" w:rsidR="00C5157A" w:rsidRPr="00EB0790" w:rsidRDefault="00D77E8D" w:rsidP="00EB0790">
            <w:pPr>
              <w:rPr>
                <w:rFonts w:ascii="Arial" w:hAnsi="Arial" w:cs="Arial"/>
                <w:b/>
                <w:bCs/>
                <w:sz w:val="20"/>
                <w:szCs w:val="20"/>
              </w:rPr>
            </w:pPr>
            <w:r w:rsidRPr="00D77E8D">
              <w:rPr>
                <w:rFonts w:ascii="Arial" w:hAnsi="Arial" w:cs="Arial"/>
                <w:b/>
                <w:bCs/>
                <w:sz w:val="20"/>
                <w:szCs w:val="20"/>
              </w:rPr>
              <w:t>Lower</w:t>
            </w:r>
            <w:r w:rsidR="00C5157A" w:rsidRPr="00EB0790">
              <w:rPr>
                <w:rFonts w:ascii="Arial" w:hAnsi="Arial" w:cs="Arial"/>
                <w:b/>
                <w:bCs/>
                <w:sz w:val="20"/>
                <w:szCs w:val="20"/>
              </w:rPr>
              <w:t xml:space="preserve"> Amazonas</w:t>
            </w:r>
          </w:p>
        </w:tc>
        <w:tc>
          <w:tcPr>
            <w:tcW w:w="803" w:type="dxa"/>
            <w:noWrap/>
            <w:hideMark/>
          </w:tcPr>
          <w:p w14:paraId="4A5EBD71" w14:textId="77777777" w:rsidR="00C5157A" w:rsidRPr="00EB0790" w:rsidRDefault="00C5157A" w:rsidP="00EB0790">
            <w:pPr>
              <w:rPr>
                <w:rFonts w:ascii="Arial" w:hAnsi="Arial" w:cs="Arial"/>
                <w:sz w:val="20"/>
                <w:szCs w:val="20"/>
              </w:rPr>
            </w:pPr>
            <w:r w:rsidRPr="00EB0790">
              <w:rPr>
                <w:rFonts w:ascii="Arial" w:hAnsi="Arial" w:cs="Arial"/>
                <w:sz w:val="20"/>
                <w:szCs w:val="20"/>
              </w:rPr>
              <w:t>36</w:t>
            </w:r>
          </w:p>
        </w:tc>
        <w:tc>
          <w:tcPr>
            <w:tcW w:w="803" w:type="dxa"/>
            <w:noWrap/>
            <w:hideMark/>
          </w:tcPr>
          <w:p w14:paraId="2F966980" w14:textId="77777777" w:rsidR="00C5157A" w:rsidRPr="00EB0790" w:rsidRDefault="00C5157A" w:rsidP="00EB0790">
            <w:pPr>
              <w:rPr>
                <w:rFonts w:ascii="Arial" w:hAnsi="Arial" w:cs="Arial"/>
                <w:sz w:val="20"/>
                <w:szCs w:val="20"/>
              </w:rPr>
            </w:pPr>
            <w:r w:rsidRPr="00EB0790">
              <w:rPr>
                <w:rFonts w:ascii="Arial" w:hAnsi="Arial" w:cs="Arial"/>
                <w:sz w:val="20"/>
                <w:szCs w:val="20"/>
              </w:rPr>
              <w:t>27</w:t>
            </w:r>
          </w:p>
        </w:tc>
        <w:tc>
          <w:tcPr>
            <w:tcW w:w="803" w:type="dxa"/>
            <w:noWrap/>
            <w:hideMark/>
          </w:tcPr>
          <w:p w14:paraId="385A17FC" w14:textId="77777777" w:rsidR="00C5157A" w:rsidRPr="00EB0790" w:rsidRDefault="00C5157A" w:rsidP="00EB0790">
            <w:pPr>
              <w:rPr>
                <w:rFonts w:ascii="Arial" w:hAnsi="Arial" w:cs="Arial"/>
                <w:sz w:val="20"/>
                <w:szCs w:val="20"/>
              </w:rPr>
            </w:pPr>
            <w:r w:rsidRPr="00EB0790">
              <w:rPr>
                <w:rFonts w:ascii="Arial" w:hAnsi="Arial" w:cs="Arial"/>
                <w:sz w:val="20"/>
                <w:szCs w:val="20"/>
              </w:rPr>
              <w:t>3</w:t>
            </w:r>
          </w:p>
        </w:tc>
        <w:tc>
          <w:tcPr>
            <w:tcW w:w="805" w:type="dxa"/>
            <w:noWrap/>
            <w:hideMark/>
          </w:tcPr>
          <w:p w14:paraId="7356F922" w14:textId="77777777" w:rsidR="00C5157A" w:rsidRPr="00EB0790" w:rsidRDefault="00C5157A" w:rsidP="00EB0790">
            <w:pPr>
              <w:rPr>
                <w:rFonts w:ascii="Arial" w:hAnsi="Arial" w:cs="Arial"/>
                <w:sz w:val="20"/>
                <w:szCs w:val="20"/>
              </w:rPr>
            </w:pPr>
            <w:r w:rsidRPr="00EB0790">
              <w:rPr>
                <w:rFonts w:ascii="Arial" w:hAnsi="Arial" w:cs="Arial"/>
                <w:sz w:val="20"/>
                <w:szCs w:val="20"/>
              </w:rPr>
              <w:t>2</w:t>
            </w:r>
          </w:p>
        </w:tc>
        <w:tc>
          <w:tcPr>
            <w:tcW w:w="803" w:type="dxa"/>
            <w:noWrap/>
            <w:hideMark/>
          </w:tcPr>
          <w:p w14:paraId="6AA07E57" w14:textId="77777777" w:rsidR="00C5157A" w:rsidRPr="00EB0790" w:rsidRDefault="00C5157A" w:rsidP="00EB0790">
            <w:pPr>
              <w:rPr>
                <w:rFonts w:ascii="Arial" w:hAnsi="Arial" w:cs="Arial"/>
                <w:sz w:val="20"/>
                <w:szCs w:val="20"/>
              </w:rPr>
            </w:pPr>
            <w:r w:rsidRPr="00EB0790">
              <w:rPr>
                <w:rFonts w:ascii="Arial" w:hAnsi="Arial" w:cs="Arial"/>
                <w:sz w:val="20"/>
                <w:szCs w:val="20"/>
              </w:rPr>
              <w:t>68</w:t>
            </w:r>
          </w:p>
        </w:tc>
      </w:tr>
      <w:tr w:rsidR="00C5157A" w:rsidRPr="00EB0790" w14:paraId="0B2761C6" w14:textId="77777777" w:rsidTr="00045A8A">
        <w:trPr>
          <w:trHeight w:val="288"/>
          <w:jc w:val="center"/>
        </w:trPr>
        <w:tc>
          <w:tcPr>
            <w:tcW w:w="4477" w:type="dxa"/>
            <w:noWrap/>
            <w:hideMark/>
          </w:tcPr>
          <w:p w14:paraId="07818F91" w14:textId="77777777" w:rsidR="00C5157A" w:rsidRPr="00EB0790" w:rsidRDefault="00C5157A" w:rsidP="00EB0790">
            <w:pPr>
              <w:rPr>
                <w:rFonts w:ascii="Arial" w:hAnsi="Arial" w:cs="Arial"/>
                <w:b/>
                <w:bCs/>
                <w:sz w:val="20"/>
                <w:szCs w:val="20"/>
              </w:rPr>
            </w:pPr>
            <w:proofErr w:type="spellStart"/>
            <w:r w:rsidRPr="00EB0790">
              <w:rPr>
                <w:rFonts w:ascii="Arial" w:hAnsi="Arial" w:cs="Arial"/>
                <w:b/>
                <w:bCs/>
                <w:sz w:val="20"/>
                <w:szCs w:val="20"/>
              </w:rPr>
              <w:t>Carajás</w:t>
            </w:r>
            <w:proofErr w:type="spellEnd"/>
          </w:p>
        </w:tc>
        <w:tc>
          <w:tcPr>
            <w:tcW w:w="803" w:type="dxa"/>
            <w:noWrap/>
            <w:hideMark/>
          </w:tcPr>
          <w:p w14:paraId="106D5637"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3" w:type="dxa"/>
            <w:noWrap/>
            <w:hideMark/>
          </w:tcPr>
          <w:p w14:paraId="4D9139B9" w14:textId="77777777" w:rsidR="00C5157A" w:rsidRPr="00EB0790" w:rsidRDefault="00C5157A" w:rsidP="00EB0790">
            <w:pPr>
              <w:rPr>
                <w:rFonts w:ascii="Arial" w:hAnsi="Arial" w:cs="Arial"/>
                <w:sz w:val="20"/>
                <w:szCs w:val="20"/>
              </w:rPr>
            </w:pPr>
            <w:r w:rsidRPr="00EB0790">
              <w:rPr>
                <w:rFonts w:ascii="Arial" w:hAnsi="Arial" w:cs="Arial"/>
                <w:sz w:val="20"/>
                <w:szCs w:val="20"/>
              </w:rPr>
              <w:t>22</w:t>
            </w:r>
          </w:p>
        </w:tc>
        <w:tc>
          <w:tcPr>
            <w:tcW w:w="803" w:type="dxa"/>
            <w:noWrap/>
            <w:hideMark/>
          </w:tcPr>
          <w:p w14:paraId="57603B75" w14:textId="77777777" w:rsidR="00C5157A" w:rsidRPr="00EB0790" w:rsidRDefault="00C5157A" w:rsidP="00EB0790">
            <w:pPr>
              <w:rPr>
                <w:rFonts w:ascii="Arial" w:hAnsi="Arial" w:cs="Arial"/>
                <w:sz w:val="20"/>
                <w:szCs w:val="20"/>
              </w:rPr>
            </w:pPr>
            <w:r w:rsidRPr="00EB0790">
              <w:rPr>
                <w:rFonts w:ascii="Arial" w:hAnsi="Arial" w:cs="Arial"/>
                <w:sz w:val="20"/>
                <w:szCs w:val="20"/>
              </w:rPr>
              <w:t>94</w:t>
            </w:r>
          </w:p>
        </w:tc>
        <w:tc>
          <w:tcPr>
            <w:tcW w:w="805" w:type="dxa"/>
            <w:noWrap/>
            <w:hideMark/>
          </w:tcPr>
          <w:p w14:paraId="21D5DBC3"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3" w:type="dxa"/>
            <w:noWrap/>
            <w:hideMark/>
          </w:tcPr>
          <w:p w14:paraId="245C7CAB" w14:textId="77777777" w:rsidR="00C5157A" w:rsidRPr="00EB0790" w:rsidRDefault="00C5157A" w:rsidP="00EB0790">
            <w:pPr>
              <w:rPr>
                <w:rFonts w:ascii="Arial" w:hAnsi="Arial" w:cs="Arial"/>
                <w:sz w:val="20"/>
                <w:szCs w:val="20"/>
              </w:rPr>
            </w:pPr>
            <w:r w:rsidRPr="00EB0790">
              <w:rPr>
                <w:rFonts w:ascii="Arial" w:hAnsi="Arial" w:cs="Arial"/>
                <w:sz w:val="20"/>
                <w:szCs w:val="20"/>
              </w:rPr>
              <w:t>116</w:t>
            </w:r>
          </w:p>
        </w:tc>
      </w:tr>
      <w:tr w:rsidR="00C5157A" w:rsidRPr="00EB0790" w14:paraId="382C21E6" w14:textId="77777777" w:rsidTr="00045A8A">
        <w:trPr>
          <w:trHeight w:val="288"/>
          <w:jc w:val="center"/>
        </w:trPr>
        <w:tc>
          <w:tcPr>
            <w:tcW w:w="4477" w:type="dxa"/>
            <w:noWrap/>
            <w:hideMark/>
          </w:tcPr>
          <w:p w14:paraId="00DE9E82" w14:textId="77777777" w:rsidR="00C5157A" w:rsidRPr="00EB0790" w:rsidRDefault="00C5157A" w:rsidP="00EB0790">
            <w:pPr>
              <w:rPr>
                <w:rFonts w:ascii="Arial" w:hAnsi="Arial" w:cs="Arial"/>
                <w:b/>
                <w:bCs/>
                <w:sz w:val="20"/>
                <w:szCs w:val="20"/>
              </w:rPr>
            </w:pPr>
            <w:r w:rsidRPr="00EB0790">
              <w:rPr>
                <w:rFonts w:ascii="Arial" w:hAnsi="Arial" w:cs="Arial"/>
                <w:b/>
                <w:bCs/>
                <w:sz w:val="20"/>
                <w:szCs w:val="20"/>
              </w:rPr>
              <w:t xml:space="preserve">Lago de </w:t>
            </w:r>
            <w:proofErr w:type="spellStart"/>
            <w:r w:rsidRPr="00EB0790">
              <w:rPr>
                <w:rFonts w:ascii="Arial" w:hAnsi="Arial" w:cs="Arial"/>
                <w:b/>
                <w:bCs/>
                <w:sz w:val="20"/>
                <w:szCs w:val="20"/>
              </w:rPr>
              <w:t>Tucuruí</w:t>
            </w:r>
            <w:proofErr w:type="spellEnd"/>
          </w:p>
        </w:tc>
        <w:tc>
          <w:tcPr>
            <w:tcW w:w="803" w:type="dxa"/>
            <w:noWrap/>
            <w:hideMark/>
          </w:tcPr>
          <w:p w14:paraId="77738FD4"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3" w:type="dxa"/>
            <w:noWrap/>
            <w:hideMark/>
          </w:tcPr>
          <w:p w14:paraId="2761B779"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3" w:type="dxa"/>
            <w:noWrap/>
            <w:hideMark/>
          </w:tcPr>
          <w:p w14:paraId="6AC85AEC" w14:textId="77777777" w:rsidR="00C5157A" w:rsidRPr="00EB0790" w:rsidRDefault="00C5157A" w:rsidP="00EB0790">
            <w:pPr>
              <w:rPr>
                <w:rFonts w:ascii="Arial" w:hAnsi="Arial" w:cs="Arial"/>
                <w:sz w:val="20"/>
                <w:szCs w:val="20"/>
              </w:rPr>
            </w:pPr>
            <w:r w:rsidRPr="00EB0790">
              <w:rPr>
                <w:rFonts w:ascii="Arial" w:hAnsi="Arial" w:cs="Arial"/>
                <w:sz w:val="20"/>
                <w:szCs w:val="20"/>
              </w:rPr>
              <w:t>36</w:t>
            </w:r>
          </w:p>
        </w:tc>
        <w:tc>
          <w:tcPr>
            <w:tcW w:w="805" w:type="dxa"/>
            <w:noWrap/>
            <w:hideMark/>
          </w:tcPr>
          <w:p w14:paraId="2354F1E4"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3" w:type="dxa"/>
            <w:noWrap/>
            <w:hideMark/>
          </w:tcPr>
          <w:p w14:paraId="0CD08FDF" w14:textId="77777777" w:rsidR="00C5157A" w:rsidRPr="00EB0790" w:rsidRDefault="00C5157A" w:rsidP="00EB0790">
            <w:pPr>
              <w:rPr>
                <w:rFonts w:ascii="Arial" w:hAnsi="Arial" w:cs="Arial"/>
                <w:sz w:val="20"/>
                <w:szCs w:val="20"/>
              </w:rPr>
            </w:pPr>
            <w:r w:rsidRPr="00EB0790">
              <w:rPr>
                <w:rFonts w:ascii="Arial" w:hAnsi="Arial" w:cs="Arial"/>
                <w:sz w:val="20"/>
                <w:szCs w:val="20"/>
              </w:rPr>
              <w:t>36</w:t>
            </w:r>
          </w:p>
        </w:tc>
      </w:tr>
      <w:tr w:rsidR="00C5157A" w:rsidRPr="00EB0790" w14:paraId="6568F199" w14:textId="77777777" w:rsidTr="00045A8A">
        <w:trPr>
          <w:trHeight w:val="288"/>
          <w:jc w:val="center"/>
        </w:trPr>
        <w:tc>
          <w:tcPr>
            <w:tcW w:w="4477" w:type="dxa"/>
            <w:noWrap/>
            <w:hideMark/>
          </w:tcPr>
          <w:p w14:paraId="101D3DC3" w14:textId="0880E6F3" w:rsidR="00C5157A" w:rsidRPr="00EB0790" w:rsidRDefault="00D77E8D" w:rsidP="00EB0790">
            <w:pPr>
              <w:rPr>
                <w:rFonts w:ascii="Arial" w:hAnsi="Arial" w:cs="Arial"/>
                <w:b/>
                <w:bCs/>
                <w:sz w:val="20"/>
                <w:szCs w:val="20"/>
              </w:rPr>
            </w:pPr>
            <w:r w:rsidRPr="00D77E8D">
              <w:rPr>
                <w:rFonts w:ascii="Arial" w:hAnsi="Arial" w:cs="Arial"/>
                <w:b/>
                <w:bCs/>
                <w:sz w:val="20"/>
                <w:szCs w:val="20"/>
              </w:rPr>
              <w:t>Metropolitan</w:t>
            </w:r>
            <w:r w:rsidR="00C5157A" w:rsidRPr="00EB0790">
              <w:rPr>
                <w:rFonts w:ascii="Arial" w:hAnsi="Arial" w:cs="Arial"/>
                <w:b/>
                <w:bCs/>
                <w:sz w:val="20"/>
                <w:szCs w:val="20"/>
              </w:rPr>
              <w:t xml:space="preserve"> I</w:t>
            </w:r>
          </w:p>
        </w:tc>
        <w:tc>
          <w:tcPr>
            <w:tcW w:w="803" w:type="dxa"/>
            <w:noWrap/>
            <w:hideMark/>
          </w:tcPr>
          <w:p w14:paraId="4CD72713" w14:textId="77777777" w:rsidR="00C5157A" w:rsidRPr="00EB0790" w:rsidRDefault="00C5157A" w:rsidP="00EB0790">
            <w:pPr>
              <w:rPr>
                <w:rFonts w:ascii="Arial" w:hAnsi="Arial" w:cs="Arial"/>
                <w:sz w:val="20"/>
                <w:szCs w:val="20"/>
              </w:rPr>
            </w:pPr>
            <w:r w:rsidRPr="00EB0790">
              <w:rPr>
                <w:rFonts w:ascii="Arial" w:hAnsi="Arial" w:cs="Arial"/>
                <w:sz w:val="20"/>
                <w:szCs w:val="20"/>
              </w:rPr>
              <w:t>9</w:t>
            </w:r>
          </w:p>
        </w:tc>
        <w:tc>
          <w:tcPr>
            <w:tcW w:w="803" w:type="dxa"/>
            <w:noWrap/>
            <w:hideMark/>
          </w:tcPr>
          <w:p w14:paraId="7502D772" w14:textId="77777777" w:rsidR="00C5157A" w:rsidRPr="00EB0790" w:rsidRDefault="00C5157A" w:rsidP="00EB0790">
            <w:pPr>
              <w:rPr>
                <w:rFonts w:ascii="Arial" w:hAnsi="Arial" w:cs="Arial"/>
                <w:sz w:val="20"/>
                <w:szCs w:val="20"/>
              </w:rPr>
            </w:pPr>
            <w:r w:rsidRPr="00EB0790">
              <w:rPr>
                <w:rFonts w:ascii="Arial" w:hAnsi="Arial" w:cs="Arial"/>
                <w:sz w:val="20"/>
                <w:szCs w:val="20"/>
              </w:rPr>
              <w:t>125</w:t>
            </w:r>
          </w:p>
        </w:tc>
        <w:tc>
          <w:tcPr>
            <w:tcW w:w="803" w:type="dxa"/>
            <w:noWrap/>
            <w:hideMark/>
          </w:tcPr>
          <w:p w14:paraId="09101E90" w14:textId="77777777" w:rsidR="00C5157A" w:rsidRPr="00EB0790" w:rsidRDefault="00C5157A" w:rsidP="00EB0790">
            <w:pPr>
              <w:rPr>
                <w:rFonts w:ascii="Arial" w:hAnsi="Arial" w:cs="Arial"/>
                <w:sz w:val="20"/>
                <w:szCs w:val="20"/>
              </w:rPr>
            </w:pPr>
            <w:r w:rsidRPr="00EB0790">
              <w:rPr>
                <w:rFonts w:ascii="Arial" w:hAnsi="Arial" w:cs="Arial"/>
                <w:sz w:val="20"/>
                <w:szCs w:val="20"/>
              </w:rPr>
              <w:t>706</w:t>
            </w:r>
          </w:p>
        </w:tc>
        <w:tc>
          <w:tcPr>
            <w:tcW w:w="805" w:type="dxa"/>
            <w:noWrap/>
            <w:hideMark/>
          </w:tcPr>
          <w:p w14:paraId="4A712E63" w14:textId="77777777" w:rsidR="00C5157A" w:rsidRPr="00EB0790" w:rsidRDefault="00C5157A" w:rsidP="00EB0790">
            <w:pPr>
              <w:rPr>
                <w:rFonts w:ascii="Arial" w:hAnsi="Arial" w:cs="Arial"/>
                <w:sz w:val="20"/>
                <w:szCs w:val="20"/>
              </w:rPr>
            </w:pPr>
            <w:r w:rsidRPr="00EB0790">
              <w:rPr>
                <w:rFonts w:ascii="Arial" w:hAnsi="Arial" w:cs="Arial"/>
                <w:sz w:val="20"/>
                <w:szCs w:val="20"/>
              </w:rPr>
              <w:t>4</w:t>
            </w:r>
          </w:p>
        </w:tc>
        <w:tc>
          <w:tcPr>
            <w:tcW w:w="803" w:type="dxa"/>
            <w:noWrap/>
            <w:hideMark/>
          </w:tcPr>
          <w:p w14:paraId="730D6F04" w14:textId="77777777" w:rsidR="00C5157A" w:rsidRPr="00EB0790" w:rsidRDefault="00C5157A" w:rsidP="00EB0790">
            <w:pPr>
              <w:rPr>
                <w:rFonts w:ascii="Arial" w:hAnsi="Arial" w:cs="Arial"/>
                <w:sz w:val="20"/>
                <w:szCs w:val="20"/>
              </w:rPr>
            </w:pPr>
            <w:r w:rsidRPr="00EB0790">
              <w:rPr>
                <w:rFonts w:ascii="Arial" w:hAnsi="Arial" w:cs="Arial"/>
                <w:sz w:val="20"/>
                <w:szCs w:val="20"/>
              </w:rPr>
              <w:t>844</w:t>
            </w:r>
          </w:p>
        </w:tc>
      </w:tr>
      <w:tr w:rsidR="00C5157A" w:rsidRPr="00EB0790" w14:paraId="1F6BD26D" w14:textId="77777777" w:rsidTr="00045A8A">
        <w:trPr>
          <w:trHeight w:val="288"/>
          <w:jc w:val="center"/>
        </w:trPr>
        <w:tc>
          <w:tcPr>
            <w:tcW w:w="4477" w:type="dxa"/>
            <w:noWrap/>
            <w:hideMark/>
          </w:tcPr>
          <w:p w14:paraId="0609723F" w14:textId="5AC30A7B" w:rsidR="00C5157A" w:rsidRPr="00EB0790" w:rsidRDefault="00D77E8D" w:rsidP="00EB0790">
            <w:pPr>
              <w:rPr>
                <w:rFonts w:ascii="Arial" w:hAnsi="Arial" w:cs="Arial"/>
                <w:b/>
                <w:bCs/>
                <w:sz w:val="20"/>
                <w:szCs w:val="20"/>
              </w:rPr>
            </w:pPr>
            <w:r w:rsidRPr="00D77E8D">
              <w:rPr>
                <w:rFonts w:ascii="Arial" w:hAnsi="Arial" w:cs="Arial"/>
                <w:b/>
                <w:bCs/>
                <w:sz w:val="20"/>
                <w:szCs w:val="20"/>
              </w:rPr>
              <w:t>Metropolitan</w:t>
            </w:r>
            <w:r w:rsidR="00C5157A" w:rsidRPr="00EB0790">
              <w:rPr>
                <w:rFonts w:ascii="Arial" w:hAnsi="Arial" w:cs="Arial"/>
                <w:b/>
                <w:bCs/>
                <w:sz w:val="20"/>
                <w:szCs w:val="20"/>
              </w:rPr>
              <w:t xml:space="preserve"> II</w:t>
            </w:r>
          </w:p>
        </w:tc>
        <w:tc>
          <w:tcPr>
            <w:tcW w:w="803" w:type="dxa"/>
            <w:noWrap/>
            <w:hideMark/>
          </w:tcPr>
          <w:p w14:paraId="33709170"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3" w:type="dxa"/>
            <w:noWrap/>
            <w:hideMark/>
          </w:tcPr>
          <w:p w14:paraId="00883229" w14:textId="77777777" w:rsidR="00C5157A" w:rsidRPr="00EB0790" w:rsidRDefault="00C5157A" w:rsidP="00EB0790">
            <w:pPr>
              <w:rPr>
                <w:rFonts w:ascii="Arial" w:hAnsi="Arial" w:cs="Arial"/>
                <w:sz w:val="20"/>
                <w:szCs w:val="20"/>
              </w:rPr>
            </w:pPr>
            <w:r w:rsidRPr="00EB0790">
              <w:rPr>
                <w:rFonts w:ascii="Arial" w:hAnsi="Arial" w:cs="Arial"/>
                <w:sz w:val="20"/>
                <w:szCs w:val="20"/>
              </w:rPr>
              <w:t>5</w:t>
            </w:r>
          </w:p>
        </w:tc>
        <w:tc>
          <w:tcPr>
            <w:tcW w:w="803" w:type="dxa"/>
            <w:noWrap/>
            <w:hideMark/>
          </w:tcPr>
          <w:p w14:paraId="03F8F26A" w14:textId="77777777" w:rsidR="00C5157A" w:rsidRPr="00EB0790" w:rsidRDefault="00C5157A" w:rsidP="00EB0790">
            <w:pPr>
              <w:rPr>
                <w:rFonts w:ascii="Arial" w:hAnsi="Arial" w:cs="Arial"/>
                <w:sz w:val="20"/>
                <w:szCs w:val="20"/>
              </w:rPr>
            </w:pPr>
            <w:r w:rsidRPr="00EB0790">
              <w:rPr>
                <w:rFonts w:ascii="Arial" w:hAnsi="Arial" w:cs="Arial"/>
                <w:sz w:val="20"/>
                <w:szCs w:val="20"/>
              </w:rPr>
              <w:t>17</w:t>
            </w:r>
          </w:p>
        </w:tc>
        <w:tc>
          <w:tcPr>
            <w:tcW w:w="805" w:type="dxa"/>
            <w:noWrap/>
            <w:hideMark/>
          </w:tcPr>
          <w:p w14:paraId="007883BC" w14:textId="77777777" w:rsidR="00C5157A" w:rsidRPr="00EB0790" w:rsidRDefault="00C5157A" w:rsidP="00EB0790">
            <w:pPr>
              <w:rPr>
                <w:rFonts w:ascii="Arial" w:hAnsi="Arial" w:cs="Arial"/>
                <w:sz w:val="20"/>
                <w:szCs w:val="20"/>
              </w:rPr>
            </w:pPr>
            <w:r w:rsidRPr="00EB0790">
              <w:rPr>
                <w:rFonts w:ascii="Arial" w:hAnsi="Arial" w:cs="Arial"/>
                <w:sz w:val="20"/>
                <w:szCs w:val="20"/>
              </w:rPr>
              <w:t>2</w:t>
            </w:r>
          </w:p>
        </w:tc>
        <w:tc>
          <w:tcPr>
            <w:tcW w:w="803" w:type="dxa"/>
            <w:noWrap/>
            <w:hideMark/>
          </w:tcPr>
          <w:p w14:paraId="2A627D40" w14:textId="77777777" w:rsidR="00C5157A" w:rsidRPr="00EB0790" w:rsidRDefault="00C5157A" w:rsidP="00EB0790">
            <w:pPr>
              <w:rPr>
                <w:rFonts w:ascii="Arial" w:hAnsi="Arial" w:cs="Arial"/>
                <w:sz w:val="20"/>
                <w:szCs w:val="20"/>
              </w:rPr>
            </w:pPr>
            <w:r w:rsidRPr="00EB0790">
              <w:rPr>
                <w:rFonts w:ascii="Arial" w:hAnsi="Arial" w:cs="Arial"/>
                <w:sz w:val="20"/>
                <w:szCs w:val="20"/>
              </w:rPr>
              <w:t>24</w:t>
            </w:r>
          </w:p>
        </w:tc>
      </w:tr>
      <w:tr w:rsidR="00C5157A" w:rsidRPr="00EB0790" w14:paraId="0F2B09EC" w14:textId="77777777" w:rsidTr="00045A8A">
        <w:trPr>
          <w:trHeight w:val="288"/>
          <w:jc w:val="center"/>
        </w:trPr>
        <w:tc>
          <w:tcPr>
            <w:tcW w:w="4477" w:type="dxa"/>
            <w:noWrap/>
            <w:hideMark/>
          </w:tcPr>
          <w:p w14:paraId="067468C5" w14:textId="6D6DBDB6" w:rsidR="00C5157A" w:rsidRPr="00EB0790" w:rsidRDefault="00D77E8D" w:rsidP="00EB0790">
            <w:pPr>
              <w:rPr>
                <w:rFonts w:ascii="Arial" w:hAnsi="Arial" w:cs="Arial"/>
                <w:b/>
                <w:bCs/>
                <w:sz w:val="20"/>
                <w:szCs w:val="20"/>
              </w:rPr>
            </w:pPr>
            <w:r w:rsidRPr="00D77E8D">
              <w:rPr>
                <w:rFonts w:ascii="Arial" w:hAnsi="Arial" w:cs="Arial"/>
                <w:b/>
                <w:bCs/>
                <w:sz w:val="20"/>
                <w:szCs w:val="20"/>
              </w:rPr>
              <w:t>Metropolitan</w:t>
            </w:r>
            <w:r w:rsidR="00C5157A" w:rsidRPr="00EB0790">
              <w:rPr>
                <w:rFonts w:ascii="Arial" w:hAnsi="Arial" w:cs="Arial"/>
                <w:b/>
                <w:bCs/>
                <w:sz w:val="20"/>
                <w:szCs w:val="20"/>
              </w:rPr>
              <w:t xml:space="preserve"> III</w:t>
            </w:r>
          </w:p>
        </w:tc>
        <w:tc>
          <w:tcPr>
            <w:tcW w:w="803" w:type="dxa"/>
            <w:noWrap/>
            <w:hideMark/>
          </w:tcPr>
          <w:p w14:paraId="3AE3FC23"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3" w:type="dxa"/>
            <w:noWrap/>
            <w:hideMark/>
          </w:tcPr>
          <w:p w14:paraId="574C8D23" w14:textId="77777777" w:rsidR="00C5157A" w:rsidRPr="00EB0790" w:rsidRDefault="00C5157A" w:rsidP="00EB0790">
            <w:pPr>
              <w:rPr>
                <w:rFonts w:ascii="Arial" w:hAnsi="Arial" w:cs="Arial"/>
                <w:sz w:val="20"/>
                <w:szCs w:val="20"/>
              </w:rPr>
            </w:pPr>
            <w:r w:rsidRPr="00EB0790">
              <w:rPr>
                <w:rFonts w:ascii="Arial" w:hAnsi="Arial" w:cs="Arial"/>
                <w:sz w:val="20"/>
                <w:szCs w:val="20"/>
              </w:rPr>
              <w:t>8</w:t>
            </w:r>
          </w:p>
        </w:tc>
        <w:tc>
          <w:tcPr>
            <w:tcW w:w="803" w:type="dxa"/>
            <w:noWrap/>
            <w:hideMark/>
          </w:tcPr>
          <w:p w14:paraId="2ECF65B6" w14:textId="77777777" w:rsidR="00C5157A" w:rsidRPr="00EB0790" w:rsidRDefault="00C5157A" w:rsidP="00EB0790">
            <w:pPr>
              <w:rPr>
                <w:rFonts w:ascii="Arial" w:hAnsi="Arial" w:cs="Arial"/>
                <w:sz w:val="20"/>
                <w:szCs w:val="20"/>
              </w:rPr>
            </w:pPr>
            <w:r w:rsidRPr="00EB0790">
              <w:rPr>
                <w:rFonts w:ascii="Arial" w:hAnsi="Arial" w:cs="Arial"/>
                <w:sz w:val="20"/>
                <w:szCs w:val="20"/>
              </w:rPr>
              <w:t>104</w:t>
            </w:r>
          </w:p>
        </w:tc>
        <w:tc>
          <w:tcPr>
            <w:tcW w:w="805" w:type="dxa"/>
            <w:noWrap/>
            <w:hideMark/>
          </w:tcPr>
          <w:p w14:paraId="657DC378" w14:textId="77777777" w:rsidR="00C5157A" w:rsidRPr="00EB0790" w:rsidRDefault="00C5157A" w:rsidP="00EB0790">
            <w:pPr>
              <w:rPr>
                <w:rFonts w:ascii="Arial" w:hAnsi="Arial" w:cs="Arial"/>
                <w:sz w:val="20"/>
                <w:szCs w:val="20"/>
              </w:rPr>
            </w:pPr>
            <w:r w:rsidRPr="00EB0790">
              <w:rPr>
                <w:rFonts w:ascii="Arial" w:hAnsi="Arial" w:cs="Arial"/>
                <w:sz w:val="20"/>
                <w:szCs w:val="20"/>
              </w:rPr>
              <w:t>4</w:t>
            </w:r>
          </w:p>
        </w:tc>
        <w:tc>
          <w:tcPr>
            <w:tcW w:w="803" w:type="dxa"/>
            <w:noWrap/>
            <w:hideMark/>
          </w:tcPr>
          <w:p w14:paraId="24C0AFF5" w14:textId="77777777" w:rsidR="00C5157A" w:rsidRPr="00EB0790" w:rsidRDefault="00C5157A" w:rsidP="00EB0790">
            <w:pPr>
              <w:rPr>
                <w:rFonts w:ascii="Arial" w:hAnsi="Arial" w:cs="Arial"/>
                <w:sz w:val="20"/>
                <w:szCs w:val="20"/>
              </w:rPr>
            </w:pPr>
            <w:r w:rsidRPr="00EB0790">
              <w:rPr>
                <w:rFonts w:ascii="Arial" w:hAnsi="Arial" w:cs="Arial"/>
                <w:sz w:val="20"/>
                <w:szCs w:val="20"/>
              </w:rPr>
              <w:t>116</w:t>
            </w:r>
          </w:p>
        </w:tc>
      </w:tr>
      <w:tr w:rsidR="00C5157A" w:rsidRPr="00EB0790" w14:paraId="02F39AC1" w14:textId="77777777" w:rsidTr="00045A8A">
        <w:trPr>
          <w:trHeight w:val="288"/>
          <w:jc w:val="center"/>
        </w:trPr>
        <w:tc>
          <w:tcPr>
            <w:tcW w:w="4477" w:type="dxa"/>
            <w:noWrap/>
            <w:hideMark/>
          </w:tcPr>
          <w:p w14:paraId="012853E4" w14:textId="414A6B73" w:rsidR="00C5157A" w:rsidRPr="00EB0790" w:rsidRDefault="00AB10FF" w:rsidP="00EB0790">
            <w:pPr>
              <w:rPr>
                <w:rFonts w:ascii="Arial" w:hAnsi="Arial" w:cs="Arial"/>
                <w:b/>
                <w:bCs/>
                <w:sz w:val="20"/>
                <w:szCs w:val="20"/>
              </w:rPr>
            </w:pPr>
            <w:r w:rsidRPr="00AB10FF">
              <w:rPr>
                <w:rFonts w:ascii="Arial" w:hAnsi="Arial" w:cs="Arial"/>
                <w:b/>
                <w:bCs/>
                <w:sz w:val="20"/>
                <w:szCs w:val="20"/>
              </w:rPr>
              <w:t>River</w:t>
            </w:r>
            <w:r w:rsidR="00C5157A" w:rsidRPr="00EB0790">
              <w:rPr>
                <w:rFonts w:ascii="Arial" w:hAnsi="Arial" w:cs="Arial"/>
                <w:b/>
                <w:bCs/>
                <w:sz w:val="20"/>
                <w:szCs w:val="20"/>
              </w:rPr>
              <w:t xml:space="preserve"> </w:t>
            </w:r>
            <w:proofErr w:type="spellStart"/>
            <w:r w:rsidR="00C5157A" w:rsidRPr="00EB0790">
              <w:rPr>
                <w:rFonts w:ascii="Arial" w:hAnsi="Arial" w:cs="Arial"/>
                <w:b/>
                <w:bCs/>
                <w:sz w:val="20"/>
                <w:szCs w:val="20"/>
              </w:rPr>
              <w:t>Caetés</w:t>
            </w:r>
            <w:proofErr w:type="spellEnd"/>
          </w:p>
        </w:tc>
        <w:tc>
          <w:tcPr>
            <w:tcW w:w="803" w:type="dxa"/>
            <w:noWrap/>
            <w:hideMark/>
          </w:tcPr>
          <w:p w14:paraId="03270B4D"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3" w:type="dxa"/>
            <w:noWrap/>
            <w:hideMark/>
          </w:tcPr>
          <w:p w14:paraId="0BE948AB"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3" w:type="dxa"/>
            <w:noWrap/>
            <w:hideMark/>
          </w:tcPr>
          <w:p w14:paraId="0F956FDF" w14:textId="77777777" w:rsidR="00C5157A" w:rsidRPr="00EB0790" w:rsidRDefault="00C5157A" w:rsidP="00EB0790">
            <w:pPr>
              <w:rPr>
                <w:rFonts w:ascii="Arial" w:hAnsi="Arial" w:cs="Arial"/>
                <w:sz w:val="20"/>
                <w:szCs w:val="20"/>
              </w:rPr>
            </w:pPr>
            <w:r w:rsidRPr="00EB0790">
              <w:rPr>
                <w:rFonts w:ascii="Arial" w:hAnsi="Arial" w:cs="Arial"/>
                <w:sz w:val="20"/>
                <w:szCs w:val="20"/>
              </w:rPr>
              <w:t>89</w:t>
            </w:r>
          </w:p>
        </w:tc>
        <w:tc>
          <w:tcPr>
            <w:tcW w:w="805" w:type="dxa"/>
            <w:noWrap/>
            <w:hideMark/>
          </w:tcPr>
          <w:p w14:paraId="72F17B7F" w14:textId="77777777" w:rsidR="00C5157A" w:rsidRPr="00EB0790" w:rsidRDefault="00C5157A" w:rsidP="00EB0790">
            <w:pPr>
              <w:rPr>
                <w:rFonts w:ascii="Arial" w:hAnsi="Arial" w:cs="Arial"/>
                <w:sz w:val="20"/>
                <w:szCs w:val="20"/>
              </w:rPr>
            </w:pPr>
            <w:r w:rsidRPr="00EB0790">
              <w:rPr>
                <w:rFonts w:ascii="Arial" w:hAnsi="Arial" w:cs="Arial"/>
                <w:sz w:val="20"/>
                <w:szCs w:val="20"/>
              </w:rPr>
              <w:t>1</w:t>
            </w:r>
          </w:p>
        </w:tc>
        <w:tc>
          <w:tcPr>
            <w:tcW w:w="803" w:type="dxa"/>
            <w:noWrap/>
            <w:hideMark/>
          </w:tcPr>
          <w:p w14:paraId="351BB4CB" w14:textId="77777777" w:rsidR="00C5157A" w:rsidRPr="00EB0790" w:rsidRDefault="00C5157A" w:rsidP="00EB0790">
            <w:pPr>
              <w:rPr>
                <w:rFonts w:ascii="Arial" w:hAnsi="Arial" w:cs="Arial"/>
                <w:sz w:val="20"/>
                <w:szCs w:val="20"/>
              </w:rPr>
            </w:pPr>
            <w:r w:rsidRPr="00EB0790">
              <w:rPr>
                <w:rFonts w:ascii="Arial" w:hAnsi="Arial" w:cs="Arial"/>
                <w:sz w:val="20"/>
                <w:szCs w:val="20"/>
              </w:rPr>
              <w:t>90</w:t>
            </w:r>
          </w:p>
        </w:tc>
      </w:tr>
      <w:tr w:rsidR="00C5157A" w:rsidRPr="00EB0790" w14:paraId="02773283" w14:textId="77777777" w:rsidTr="00045A8A">
        <w:trPr>
          <w:trHeight w:val="288"/>
          <w:jc w:val="center"/>
        </w:trPr>
        <w:tc>
          <w:tcPr>
            <w:tcW w:w="4477" w:type="dxa"/>
            <w:noWrap/>
            <w:hideMark/>
          </w:tcPr>
          <w:p w14:paraId="56848AC5" w14:textId="77777777" w:rsidR="00C5157A" w:rsidRPr="00EB0790" w:rsidRDefault="00C5157A" w:rsidP="00EB0790">
            <w:pPr>
              <w:rPr>
                <w:rFonts w:ascii="Arial" w:hAnsi="Arial" w:cs="Arial"/>
                <w:b/>
                <w:bCs/>
                <w:sz w:val="20"/>
                <w:szCs w:val="20"/>
              </w:rPr>
            </w:pPr>
            <w:proofErr w:type="spellStart"/>
            <w:r w:rsidRPr="00EB0790">
              <w:rPr>
                <w:rFonts w:ascii="Arial" w:hAnsi="Arial" w:cs="Arial"/>
                <w:b/>
                <w:bCs/>
                <w:sz w:val="20"/>
                <w:szCs w:val="20"/>
              </w:rPr>
              <w:t>Tapajós</w:t>
            </w:r>
            <w:proofErr w:type="spellEnd"/>
          </w:p>
        </w:tc>
        <w:tc>
          <w:tcPr>
            <w:tcW w:w="803" w:type="dxa"/>
            <w:noWrap/>
            <w:hideMark/>
          </w:tcPr>
          <w:p w14:paraId="35CC8B4D" w14:textId="77777777" w:rsidR="00C5157A" w:rsidRPr="00EB0790" w:rsidRDefault="00C5157A" w:rsidP="00EB0790">
            <w:pPr>
              <w:rPr>
                <w:rFonts w:ascii="Arial" w:hAnsi="Arial" w:cs="Arial"/>
                <w:sz w:val="20"/>
                <w:szCs w:val="20"/>
              </w:rPr>
            </w:pPr>
            <w:r w:rsidRPr="00EB0790">
              <w:rPr>
                <w:rFonts w:ascii="Arial" w:hAnsi="Arial" w:cs="Arial"/>
                <w:sz w:val="20"/>
                <w:szCs w:val="20"/>
              </w:rPr>
              <w:t>3</w:t>
            </w:r>
          </w:p>
        </w:tc>
        <w:tc>
          <w:tcPr>
            <w:tcW w:w="803" w:type="dxa"/>
            <w:noWrap/>
            <w:hideMark/>
          </w:tcPr>
          <w:p w14:paraId="0308CA64"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3" w:type="dxa"/>
            <w:noWrap/>
            <w:hideMark/>
          </w:tcPr>
          <w:p w14:paraId="03490166"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5" w:type="dxa"/>
            <w:noWrap/>
            <w:hideMark/>
          </w:tcPr>
          <w:p w14:paraId="22C759D6"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3" w:type="dxa"/>
            <w:noWrap/>
            <w:hideMark/>
          </w:tcPr>
          <w:p w14:paraId="54CE1E8F" w14:textId="77777777" w:rsidR="00C5157A" w:rsidRPr="00EB0790" w:rsidRDefault="00C5157A" w:rsidP="00EB0790">
            <w:pPr>
              <w:rPr>
                <w:rFonts w:ascii="Arial" w:hAnsi="Arial" w:cs="Arial"/>
                <w:sz w:val="20"/>
                <w:szCs w:val="20"/>
              </w:rPr>
            </w:pPr>
            <w:r w:rsidRPr="00EB0790">
              <w:rPr>
                <w:rFonts w:ascii="Arial" w:hAnsi="Arial" w:cs="Arial"/>
                <w:sz w:val="20"/>
                <w:szCs w:val="20"/>
              </w:rPr>
              <w:t>3</w:t>
            </w:r>
          </w:p>
        </w:tc>
      </w:tr>
      <w:tr w:rsidR="00C5157A" w:rsidRPr="00EB0790" w14:paraId="17EB16F9" w14:textId="77777777" w:rsidTr="00045A8A">
        <w:trPr>
          <w:trHeight w:val="288"/>
          <w:jc w:val="center"/>
        </w:trPr>
        <w:tc>
          <w:tcPr>
            <w:tcW w:w="4477" w:type="dxa"/>
            <w:tcBorders>
              <w:bottom w:val="single" w:sz="4" w:space="0" w:color="auto"/>
            </w:tcBorders>
            <w:noWrap/>
            <w:hideMark/>
          </w:tcPr>
          <w:p w14:paraId="31D987E9" w14:textId="77777777" w:rsidR="00C5157A" w:rsidRPr="00EB0790" w:rsidRDefault="00C5157A" w:rsidP="00EB0790">
            <w:pPr>
              <w:rPr>
                <w:rFonts w:ascii="Arial" w:hAnsi="Arial" w:cs="Arial"/>
                <w:b/>
                <w:bCs/>
                <w:sz w:val="20"/>
                <w:szCs w:val="20"/>
              </w:rPr>
            </w:pPr>
            <w:r w:rsidRPr="00EB0790">
              <w:rPr>
                <w:rFonts w:ascii="Arial" w:hAnsi="Arial" w:cs="Arial"/>
                <w:b/>
                <w:bCs/>
                <w:sz w:val="20"/>
                <w:szCs w:val="20"/>
              </w:rPr>
              <w:t>Tocantins</w:t>
            </w:r>
          </w:p>
        </w:tc>
        <w:tc>
          <w:tcPr>
            <w:tcW w:w="803" w:type="dxa"/>
            <w:tcBorders>
              <w:bottom w:val="single" w:sz="4" w:space="0" w:color="auto"/>
            </w:tcBorders>
            <w:noWrap/>
            <w:hideMark/>
          </w:tcPr>
          <w:p w14:paraId="013FB198"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3" w:type="dxa"/>
            <w:tcBorders>
              <w:bottom w:val="single" w:sz="4" w:space="0" w:color="auto"/>
            </w:tcBorders>
            <w:noWrap/>
            <w:hideMark/>
          </w:tcPr>
          <w:p w14:paraId="038CC454" w14:textId="77777777" w:rsidR="00C5157A" w:rsidRPr="00EB0790" w:rsidRDefault="00C5157A" w:rsidP="00EB0790">
            <w:pPr>
              <w:rPr>
                <w:rFonts w:ascii="Arial" w:hAnsi="Arial" w:cs="Arial"/>
                <w:sz w:val="20"/>
                <w:szCs w:val="20"/>
              </w:rPr>
            </w:pPr>
            <w:r w:rsidRPr="00EB0790">
              <w:rPr>
                <w:rFonts w:ascii="Arial" w:hAnsi="Arial" w:cs="Arial"/>
                <w:sz w:val="20"/>
                <w:szCs w:val="20"/>
              </w:rPr>
              <w:t>5</w:t>
            </w:r>
          </w:p>
        </w:tc>
        <w:tc>
          <w:tcPr>
            <w:tcW w:w="803" w:type="dxa"/>
            <w:tcBorders>
              <w:bottom w:val="single" w:sz="4" w:space="0" w:color="auto"/>
            </w:tcBorders>
            <w:noWrap/>
            <w:hideMark/>
          </w:tcPr>
          <w:p w14:paraId="4A546F28" w14:textId="77777777" w:rsidR="00C5157A" w:rsidRPr="00EB0790" w:rsidRDefault="00C5157A" w:rsidP="00EB0790">
            <w:pPr>
              <w:rPr>
                <w:rFonts w:ascii="Arial" w:hAnsi="Arial" w:cs="Arial"/>
                <w:sz w:val="20"/>
                <w:szCs w:val="20"/>
              </w:rPr>
            </w:pPr>
            <w:r w:rsidRPr="00EB0790">
              <w:rPr>
                <w:rFonts w:ascii="Arial" w:hAnsi="Arial" w:cs="Arial"/>
                <w:sz w:val="20"/>
                <w:szCs w:val="20"/>
              </w:rPr>
              <w:t>222</w:t>
            </w:r>
          </w:p>
        </w:tc>
        <w:tc>
          <w:tcPr>
            <w:tcW w:w="805" w:type="dxa"/>
            <w:tcBorders>
              <w:bottom w:val="single" w:sz="4" w:space="0" w:color="auto"/>
            </w:tcBorders>
            <w:noWrap/>
            <w:hideMark/>
          </w:tcPr>
          <w:p w14:paraId="2439300D" w14:textId="77777777" w:rsidR="00C5157A" w:rsidRPr="00EB0790" w:rsidRDefault="00C5157A" w:rsidP="00EB0790">
            <w:pPr>
              <w:rPr>
                <w:rFonts w:ascii="Arial" w:hAnsi="Arial" w:cs="Arial"/>
                <w:sz w:val="20"/>
                <w:szCs w:val="20"/>
              </w:rPr>
            </w:pPr>
            <w:r w:rsidRPr="00EB0790">
              <w:rPr>
                <w:rFonts w:ascii="Arial" w:hAnsi="Arial" w:cs="Arial"/>
                <w:sz w:val="20"/>
                <w:szCs w:val="20"/>
              </w:rPr>
              <w:t>2</w:t>
            </w:r>
          </w:p>
        </w:tc>
        <w:tc>
          <w:tcPr>
            <w:tcW w:w="803" w:type="dxa"/>
            <w:tcBorders>
              <w:bottom w:val="single" w:sz="4" w:space="0" w:color="auto"/>
            </w:tcBorders>
            <w:noWrap/>
            <w:hideMark/>
          </w:tcPr>
          <w:p w14:paraId="40F52722" w14:textId="77777777" w:rsidR="00C5157A" w:rsidRPr="00EB0790" w:rsidRDefault="00C5157A" w:rsidP="00EB0790">
            <w:pPr>
              <w:rPr>
                <w:rFonts w:ascii="Arial" w:hAnsi="Arial" w:cs="Arial"/>
                <w:sz w:val="20"/>
                <w:szCs w:val="20"/>
              </w:rPr>
            </w:pPr>
            <w:r w:rsidRPr="00EB0790">
              <w:rPr>
                <w:rFonts w:ascii="Arial" w:hAnsi="Arial" w:cs="Arial"/>
                <w:sz w:val="20"/>
                <w:szCs w:val="20"/>
              </w:rPr>
              <w:t>229</w:t>
            </w:r>
          </w:p>
        </w:tc>
      </w:tr>
      <w:tr w:rsidR="00C5157A" w:rsidRPr="00EB0790" w14:paraId="79A980C0" w14:textId="77777777" w:rsidTr="00045A8A">
        <w:trPr>
          <w:trHeight w:val="288"/>
          <w:jc w:val="center"/>
        </w:trPr>
        <w:tc>
          <w:tcPr>
            <w:tcW w:w="4477" w:type="dxa"/>
            <w:tcBorders>
              <w:top w:val="single" w:sz="4" w:space="0" w:color="auto"/>
              <w:bottom w:val="single" w:sz="4" w:space="0" w:color="auto"/>
            </w:tcBorders>
            <w:noWrap/>
          </w:tcPr>
          <w:p w14:paraId="30DD1D35" w14:textId="069B38CD" w:rsidR="00C5157A" w:rsidRPr="00EB0790" w:rsidRDefault="00AB10FF" w:rsidP="00EB0790">
            <w:pPr>
              <w:rPr>
                <w:rFonts w:ascii="Arial" w:hAnsi="Arial" w:cs="Arial"/>
                <w:b/>
                <w:bCs/>
                <w:sz w:val="20"/>
                <w:szCs w:val="20"/>
              </w:rPr>
            </w:pPr>
            <w:r w:rsidRPr="008B75D1">
              <w:rPr>
                <w:rFonts w:ascii="Arial" w:hAnsi="Arial" w:cs="Arial"/>
                <w:b/>
                <w:bCs/>
                <w:sz w:val="20"/>
                <w:szCs w:val="20"/>
              </w:rPr>
              <w:t>Health Region (CIR) of residence</w:t>
            </w:r>
          </w:p>
        </w:tc>
        <w:tc>
          <w:tcPr>
            <w:tcW w:w="803" w:type="dxa"/>
            <w:tcBorders>
              <w:top w:val="single" w:sz="4" w:space="0" w:color="auto"/>
              <w:bottom w:val="single" w:sz="4" w:space="0" w:color="auto"/>
            </w:tcBorders>
            <w:noWrap/>
          </w:tcPr>
          <w:p w14:paraId="2DB6506C" w14:textId="77777777" w:rsidR="00C5157A" w:rsidRPr="00EB0790" w:rsidRDefault="00C5157A" w:rsidP="00EB0790">
            <w:pPr>
              <w:rPr>
                <w:rFonts w:ascii="Arial" w:hAnsi="Arial" w:cs="Arial"/>
                <w:sz w:val="20"/>
                <w:szCs w:val="20"/>
              </w:rPr>
            </w:pPr>
            <w:r w:rsidRPr="00EB0790">
              <w:rPr>
                <w:rFonts w:ascii="Arial" w:hAnsi="Arial" w:cs="Arial"/>
                <w:b/>
                <w:bCs/>
                <w:sz w:val="20"/>
                <w:szCs w:val="20"/>
              </w:rPr>
              <w:t>2018</w:t>
            </w:r>
          </w:p>
        </w:tc>
        <w:tc>
          <w:tcPr>
            <w:tcW w:w="803" w:type="dxa"/>
            <w:tcBorders>
              <w:top w:val="single" w:sz="4" w:space="0" w:color="auto"/>
              <w:bottom w:val="single" w:sz="4" w:space="0" w:color="auto"/>
            </w:tcBorders>
            <w:noWrap/>
          </w:tcPr>
          <w:p w14:paraId="463814BA" w14:textId="77777777" w:rsidR="00C5157A" w:rsidRPr="00EB0790" w:rsidRDefault="00C5157A" w:rsidP="00EB0790">
            <w:pPr>
              <w:rPr>
                <w:rFonts w:ascii="Arial" w:hAnsi="Arial" w:cs="Arial"/>
                <w:sz w:val="20"/>
                <w:szCs w:val="20"/>
              </w:rPr>
            </w:pPr>
            <w:r w:rsidRPr="00EB0790">
              <w:rPr>
                <w:rFonts w:ascii="Arial" w:hAnsi="Arial" w:cs="Arial"/>
                <w:b/>
                <w:bCs/>
                <w:sz w:val="20"/>
                <w:szCs w:val="20"/>
              </w:rPr>
              <w:t>2019</w:t>
            </w:r>
          </w:p>
        </w:tc>
        <w:tc>
          <w:tcPr>
            <w:tcW w:w="803" w:type="dxa"/>
            <w:tcBorders>
              <w:top w:val="single" w:sz="4" w:space="0" w:color="auto"/>
              <w:bottom w:val="single" w:sz="4" w:space="0" w:color="auto"/>
            </w:tcBorders>
            <w:noWrap/>
          </w:tcPr>
          <w:p w14:paraId="70800713" w14:textId="77777777" w:rsidR="00C5157A" w:rsidRPr="00EB0790" w:rsidRDefault="00C5157A" w:rsidP="00EB0790">
            <w:pPr>
              <w:rPr>
                <w:rFonts w:ascii="Arial" w:hAnsi="Arial" w:cs="Arial"/>
                <w:sz w:val="20"/>
                <w:szCs w:val="20"/>
              </w:rPr>
            </w:pPr>
            <w:r w:rsidRPr="00EB0790">
              <w:rPr>
                <w:rFonts w:ascii="Arial" w:hAnsi="Arial" w:cs="Arial"/>
                <w:b/>
                <w:bCs/>
                <w:sz w:val="20"/>
                <w:szCs w:val="20"/>
              </w:rPr>
              <w:t>2020</w:t>
            </w:r>
          </w:p>
        </w:tc>
        <w:tc>
          <w:tcPr>
            <w:tcW w:w="805" w:type="dxa"/>
            <w:tcBorders>
              <w:top w:val="single" w:sz="4" w:space="0" w:color="auto"/>
              <w:bottom w:val="single" w:sz="4" w:space="0" w:color="auto"/>
            </w:tcBorders>
            <w:noWrap/>
          </w:tcPr>
          <w:p w14:paraId="7A9C4621" w14:textId="77777777" w:rsidR="00C5157A" w:rsidRPr="00EB0790" w:rsidRDefault="00C5157A" w:rsidP="00EB0790">
            <w:pPr>
              <w:rPr>
                <w:rFonts w:ascii="Arial" w:hAnsi="Arial" w:cs="Arial"/>
                <w:sz w:val="20"/>
                <w:szCs w:val="20"/>
              </w:rPr>
            </w:pPr>
            <w:r w:rsidRPr="00EB0790">
              <w:rPr>
                <w:rFonts w:ascii="Arial" w:hAnsi="Arial" w:cs="Arial"/>
                <w:b/>
                <w:bCs/>
                <w:sz w:val="20"/>
                <w:szCs w:val="20"/>
              </w:rPr>
              <w:t>2021</w:t>
            </w:r>
          </w:p>
        </w:tc>
        <w:tc>
          <w:tcPr>
            <w:tcW w:w="803" w:type="dxa"/>
            <w:tcBorders>
              <w:top w:val="single" w:sz="4" w:space="0" w:color="auto"/>
              <w:bottom w:val="single" w:sz="4" w:space="0" w:color="auto"/>
            </w:tcBorders>
            <w:noWrap/>
          </w:tcPr>
          <w:p w14:paraId="583B6549" w14:textId="77777777" w:rsidR="00C5157A" w:rsidRPr="00EB0790" w:rsidRDefault="00C5157A" w:rsidP="00EB0790">
            <w:pPr>
              <w:rPr>
                <w:rFonts w:ascii="Arial" w:hAnsi="Arial" w:cs="Arial"/>
                <w:sz w:val="20"/>
                <w:szCs w:val="20"/>
              </w:rPr>
            </w:pPr>
            <w:r w:rsidRPr="00EB0790">
              <w:rPr>
                <w:rFonts w:ascii="Arial" w:hAnsi="Arial" w:cs="Arial"/>
                <w:b/>
                <w:bCs/>
                <w:sz w:val="20"/>
                <w:szCs w:val="20"/>
              </w:rPr>
              <w:t>Total</w:t>
            </w:r>
          </w:p>
        </w:tc>
      </w:tr>
      <w:tr w:rsidR="00C5157A" w:rsidRPr="00EB0790" w14:paraId="3FBEAF99" w14:textId="77777777" w:rsidTr="00045A8A">
        <w:trPr>
          <w:trHeight w:val="288"/>
          <w:jc w:val="center"/>
        </w:trPr>
        <w:tc>
          <w:tcPr>
            <w:tcW w:w="4477" w:type="dxa"/>
            <w:tcBorders>
              <w:top w:val="single" w:sz="4" w:space="0" w:color="auto"/>
            </w:tcBorders>
            <w:noWrap/>
          </w:tcPr>
          <w:p w14:paraId="76BD40C7" w14:textId="77777777" w:rsidR="00C5157A" w:rsidRPr="00EB0790" w:rsidRDefault="00C5157A" w:rsidP="00EB0790">
            <w:pPr>
              <w:rPr>
                <w:rFonts w:ascii="Arial" w:hAnsi="Arial" w:cs="Arial"/>
                <w:b/>
                <w:bCs/>
                <w:sz w:val="20"/>
                <w:szCs w:val="20"/>
              </w:rPr>
            </w:pPr>
            <w:r w:rsidRPr="00EB0790">
              <w:rPr>
                <w:rFonts w:ascii="Arial" w:hAnsi="Arial" w:cs="Arial"/>
                <w:b/>
                <w:bCs/>
                <w:sz w:val="20"/>
                <w:szCs w:val="20"/>
              </w:rPr>
              <w:t>Xingu</w:t>
            </w:r>
          </w:p>
        </w:tc>
        <w:tc>
          <w:tcPr>
            <w:tcW w:w="803" w:type="dxa"/>
            <w:tcBorders>
              <w:top w:val="single" w:sz="4" w:space="0" w:color="auto"/>
            </w:tcBorders>
            <w:noWrap/>
          </w:tcPr>
          <w:p w14:paraId="556B1C63"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3" w:type="dxa"/>
            <w:tcBorders>
              <w:top w:val="single" w:sz="4" w:space="0" w:color="auto"/>
            </w:tcBorders>
            <w:noWrap/>
          </w:tcPr>
          <w:p w14:paraId="092CD2D1" w14:textId="77777777" w:rsidR="00C5157A" w:rsidRPr="00EB0790" w:rsidRDefault="00C5157A" w:rsidP="00EB0790">
            <w:pPr>
              <w:rPr>
                <w:rFonts w:ascii="Arial" w:hAnsi="Arial" w:cs="Arial"/>
                <w:sz w:val="20"/>
                <w:szCs w:val="20"/>
              </w:rPr>
            </w:pPr>
            <w:r w:rsidRPr="00EB0790">
              <w:rPr>
                <w:rFonts w:ascii="Arial" w:hAnsi="Arial" w:cs="Arial"/>
                <w:sz w:val="20"/>
                <w:szCs w:val="20"/>
              </w:rPr>
              <w:t>1</w:t>
            </w:r>
          </w:p>
        </w:tc>
        <w:tc>
          <w:tcPr>
            <w:tcW w:w="803" w:type="dxa"/>
            <w:tcBorders>
              <w:top w:val="single" w:sz="4" w:space="0" w:color="auto"/>
            </w:tcBorders>
            <w:noWrap/>
          </w:tcPr>
          <w:p w14:paraId="17A04F08" w14:textId="77777777" w:rsidR="00C5157A" w:rsidRPr="00EB0790" w:rsidRDefault="00C5157A" w:rsidP="00EB0790">
            <w:pPr>
              <w:rPr>
                <w:rFonts w:ascii="Arial" w:hAnsi="Arial" w:cs="Arial"/>
                <w:sz w:val="20"/>
                <w:szCs w:val="20"/>
              </w:rPr>
            </w:pPr>
            <w:r w:rsidRPr="00EB0790">
              <w:rPr>
                <w:rFonts w:ascii="Arial" w:hAnsi="Arial" w:cs="Arial"/>
                <w:sz w:val="20"/>
                <w:szCs w:val="20"/>
              </w:rPr>
              <w:t>11</w:t>
            </w:r>
          </w:p>
        </w:tc>
        <w:tc>
          <w:tcPr>
            <w:tcW w:w="805" w:type="dxa"/>
            <w:tcBorders>
              <w:top w:val="single" w:sz="4" w:space="0" w:color="auto"/>
            </w:tcBorders>
            <w:noWrap/>
          </w:tcPr>
          <w:p w14:paraId="7C0494BC" w14:textId="77777777" w:rsidR="00C5157A" w:rsidRPr="00EB0790" w:rsidRDefault="00C5157A" w:rsidP="00EB0790">
            <w:pPr>
              <w:rPr>
                <w:rFonts w:ascii="Arial" w:hAnsi="Arial" w:cs="Arial"/>
                <w:sz w:val="20"/>
                <w:szCs w:val="20"/>
              </w:rPr>
            </w:pPr>
            <w:r w:rsidRPr="00EB0790">
              <w:rPr>
                <w:rFonts w:ascii="Arial" w:hAnsi="Arial" w:cs="Arial"/>
                <w:sz w:val="20"/>
                <w:szCs w:val="20"/>
              </w:rPr>
              <w:t>1</w:t>
            </w:r>
          </w:p>
        </w:tc>
        <w:tc>
          <w:tcPr>
            <w:tcW w:w="803" w:type="dxa"/>
            <w:tcBorders>
              <w:top w:val="single" w:sz="4" w:space="0" w:color="auto"/>
            </w:tcBorders>
            <w:noWrap/>
          </w:tcPr>
          <w:p w14:paraId="56CADE4A" w14:textId="77777777" w:rsidR="00C5157A" w:rsidRPr="00EB0790" w:rsidRDefault="00C5157A" w:rsidP="00EB0790">
            <w:pPr>
              <w:rPr>
                <w:rFonts w:ascii="Arial" w:hAnsi="Arial" w:cs="Arial"/>
                <w:sz w:val="20"/>
                <w:szCs w:val="20"/>
              </w:rPr>
            </w:pPr>
            <w:r w:rsidRPr="00EB0790">
              <w:rPr>
                <w:rFonts w:ascii="Arial" w:hAnsi="Arial" w:cs="Arial"/>
                <w:sz w:val="20"/>
                <w:szCs w:val="20"/>
              </w:rPr>
              <w:t>13</w:t>
            </w:r>
          </w:p>
        </w:tc>
      </w:tr>
      <w:tr w:rsidR="00C5157A" w:rsidRPr="00EB0790" w14:paraId="3AEFA3CB" w14:textId="77777777" w:rsidTr="00045A8A">
        <w:trPr>
          <w:trHeight w:val="288"/>
          <w:jc w:val="center"/>
        </w:trPr>
        <w:tc>
          <w:tcPr>
            <w:tcW w:w="4477" w:type="dxa"/>
            <w:noWrap/>
          </w:tcPr>
          <w:p w14:paraId="11635DF2" w14:textId="77777777" w:rsidR="00C5157A" w:rsidRPr="00EB0790" w:rsidRDefault="00C5157A" w:rsidP="00EB0790">
            <w:pPr>
              <w:rPr>
                <w:rFonts w:ascii="Arial" w:hAnsi="Arial" w:cs="Arial"/>
                <w:b/>
                <w:bCs/>
                <w:sz w:val="20"/>
                <w:szCs w:val="20"/>
              </w:rPr>
            </w:pPr>
            <w:proofErr w:type="spellStart"/>
            <w:r w:rsidRPr="00EB0790">
              <w:rPr>
                <w:rFonts w:ascii="Arial" w:hAnsi="Arial" w:cs="Arial"/>
                <w:b/>
                <w:bCs/>
                <w:sz w:val="20"/>
                <w:szCs w:val="20"/>
              </w:rPr>
              <w:t>Marajó</w:t>
            </w:r>
            <w:proofErr w:type="spellEnd"/>
            <w:r w:rsidRPr="00EB0790">
              <w:rPr>
                <w:rFonts w:ascii="Arial" w:hAnsi="Arial" w:cs="Arial"/>
                <w:b/>
                <w:bCs/>
                <w:sz w:val="20"/>
                <w:szCs w:val="20"/>
              </w:rPr>
              <w:t xml:space="preserve"> I</w:t>
            </w:r>
          </w:p>
        </w:tc>
        <w:tc>
          <w:tcPr>
            <w:tcW w:w="803" w:type="dxa"/>
            <w:noWrap/>
          </w:tcPr>
          <w:p w14:paraId="2C17CCD4"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3" w:type="dxa"/>
            <w:noWrap/>
          </w:tcPr>
          <w:p w14:paraId="2819B889" w14:textId="77777777" w:rsidR="00C5157A" w:rsidRPr="00EB0790" w:rsidRDefault="00C5157A" w:rsidP="00EB0790">
            <w:pPr>
              <w:rPr>
                <w:rFonts w:ascii="Arial" w:hAnsi="Arial" w:cs="Arial"/>
                <w:sz w:val="20"/>
                <w:szCs w:val="20"/>
              </w:rPr>
            </w:pPr>
            <w:r w:rsidRPr="00EB0790">
              <w:rPr>
                <w:rFonts w:ascii="Arial" w:hAnsi="Arial" w:cs="Arial"/>
                <w:sz w:val="20"/>
                <w:szCs w:val="20"/>
              </w:rPr>
              <w:t>1</w:t>
            </w:r>
          </w:p>
        </w:tc>
        <w:tc>
          <w:tcPr>
            <w:tcW w:w="803" w:type="dxa"/>
            <w:noWrap/>
          </w:tcPr>
          <w:p w14:paraId="7DC9193C" w14:textId="77777777" w:rsidR="00C5157A" w:rsidRPr="00EB0790" w:rsidRDefault="00C5157A" w:rsidP="00EB0790">
            <w:pPr>
              <w:rPr>
                <w:rFonts w:ascii="Arial" w:hAnsi="Arial" w:cs="Arial"/>
                <w:sz w:val="20"/>
                <w:szCs w:val="20"/>
              </w:rPr>
            </w:pPr>
            <w:r w:rsidRPr="00EB0790">
              <w:rPr>
                <w:rFonts w:ascii="Arial" w:hAnsi="Arial" w:cs="Arial"/>
                <w:sz w:val="20"/>
                <w:szCs w:val="20"/>
              </w:rPr>
              <w:t>46</w:t>
            </w:r>
          </w:p>
        </w:tc>
        <w:tc>
          <w:tcPr>
            <w:tcW w:w="805" w:type="dxa"/>
            <w:noWrap/>
          </w:tcPr>
          <w:p w14:paraId="26DA1F37" w14:textId="77777777" w:rsidR="00C5157A" w:rsidRPr="00EB0790" w:rsidRDefault="00C5157A" w:rsidP="00EB0790">
            <w:pPr>
              <w:rPr>
                <w:rFonts w:ascii="Arial" w:hAnsi="Arial" w:cs="Arial"/>
                <w:sz w:val="20"/>
                <w:szCs w:val="20"/>
              </w:rPr>
            </w:pPr>
            <w:r w:rsidRPr="00EB0790">
              <w:rPr>
                <w:rFonts w:ascii="Arial" w:hAnsi="Arial" w:cs="Arial"/>
                <w:sz w:val="20"/>
                <w:szCs w:val="20"/>
              </w:rPr>
              <w:t>3</w:t>
            </w:r>
          </w:p>
        </w:tc>
        <w:tc>
          <w:tcPr>
            <w:tcW w:w="803" w:type="dxa"/>
            <w:noWrap/>
          </w:tcPr>
          <w:p w14:paraId="18EC43BF" w14:textId="77777777" w:rsidR="00C5157A" w:rsidRPr="00EB0790" w:rsidRDefault="00C5157A" w:rsidP="00EB0790">
            <w:pPr>
              <w:rPr>
                <w:rFonts w:ascii="Arial" w:hAnsi="Arial" w:cs="Arial"/>
                <w:sz w:val="20"/>
                <w:szCs w:val="20"/>
              </w:rPr>
            </w:pPr>
            <w:r w:rsidRPr="00EB0790">
              <w:rPr>
                <w:rFonts w:ascii="Arial" w:hAnsi="Arial" w:cs="Arial"/>
                <w:sz w:val="20"/>
                <w:szCs w:val="20"/>
              </w:rPr>
              <w:t>86</w:t>
            </w:r>
          </w:p>
        </w:tc>
      </w:tr>
      <w:tr w:rsidR="00C5157A" w:rsidRPr="00EB0790" w14:paraId="389178A3" w14:textId="77777777" w:rsidTr="00045A8A">
        <w:trPr>
          <w:trHeight w:val="288"/>
          <w:jc w:val="center"/>
        </w:trPr>
        <w:tc>
          <w:tcPr>
            <w:tcW w:w="4477" w:type="dxa"/>
            <w:noWrap/>
          </w:tcPr>
          <w:p w14:paraId="166B7F6F" w14:textId="77777777" w:rsidR="00C5157A" w:rsidRPr="00EB0790" w:rsidRDefault="00C5157A" w:rsidP="00EB0790">
            <w:pPr>
              <w:rPr>
                <w:rFonts w:ascii="Arial" w:hAnsi="Arial" w:cs="Arial"/>
                <w:b/>
                <w:bCs/>
                <w:sz w:val="20"/>
                <w:szCs w:val="20"/>
              </w:rPr>
            </w:pPr>
            <w:proofErr w:type="spellStart"/>
            <w:r w:rsidRPr="00EB0790">
              <w:rPr>
                <w:rFonts w:ascii="Arial" w:hAnsi="Arial" w:cs="Arial"/>
                <w:b/>
                <w:bCs/>
                <w:sz w:val="20"/>
                <w:szCs w:val="20"/>
              </w:rPr>
              <w:t>Marajó</w:t>
            </w:r>
            <w:proofErr w:type="spellEnd"/>
            <w:r w:rsidRPr="00EB0790">
              <w:rPr>
                <w:rFonts w:ascii="Arial" w:hAnsi="Arial" w:cs="Arial"/>
                <w:b/>
                <w:bCs/>
                <w:sz w:val="20"/>
                <w:szCs w:val="20"/>
              </w:rPr>
              <w:t xml:space="preserve"> II</w:t>
            </w:r>
          </w:p>
        </w:tc>
        <w:tc>
          <w:tcPr>
            <w:tcW w:w="803" w:type="dxa"/>
            <w:noWrap/>
          </w:tcPr>
          <w:p w14:paraId="35049340"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3" w:type="dxa"/>
            <w:noWrap/>
          </w:tcPr>
          <w:p w14:paraId="0B91D47F" w14:textId="77777777" w:rsidR="00C5157A" w:rsidRPr="00EB0790" w:rsidRDefault="00C5157A" w:rsidP="00EB0790">
            <w:pPr>
              <w:rPr>
                <w:rFonts w:ascii="Arial" w:hAnsi="Arial" w:cs="Arial"/>
                <w:sz w:val="20"/>
                <w:szCs w:val="20"/>
              </w:rPr>
            </w:pPr>
            <w:r w:rsidRPr="00EB0790">
              <w:rPr>
                <w:rFonts w:ascii="Arial" w:hAnsi="Arial" w:cs="Arial"/>
                <w:sz w:val="20"/>
                <w:szCs w:val="20"/>
              </w:rPr>
              <w:t>-</w:t>
            </w:r>
          </w:p>
        </w:tc>
        <w:tc>
          <w:tcPr>
            <w:tcW w:w="803" w:type="dxa"/>
            <w:noWrap/>
          </w:tcPr>
          <w:p w14:paraId="7491C23B" w14:textId="77777777" w:rsidR="00C5157A" w:rsidRPr="00EB0790" w:rsidRDefault="00C5157A" w:rsidP="00EB0790">
            <w:pPr>
              <w:rPr>
                <w:rFonts w:ascii="Arial" w:hAnsi="Arial" w:cs="Arial"/>
                <w:sz w:val="20"/>
                <w:szCs w:val="20"/>
              </w:rPr>
            </w:pPr>
            <w:r w:rsidRPr="00EB0790">
              <w:rPr>
                <w:rFonts w:ascii="Arial" w:hAnsi="Arial" w:cs="Arial"/>
                <w:sz w:val="20"/>
                <w:szCs w:val="20"/>
              </w:rPr>
              <w:t>243</w:t>
            </w:r>
          </w:p>
        </w:tc>
        <w:tc>
          <w:tcPr>
            <w:tcW w:w="805" w:type="dxa"/>
            <w:noWrap/>
          </w:tcPr>
          <w:p w14:paraId="16D5572F" w14:textId="77777777" w:rsidR="00C5157A" w:rsidRPr="00EB0790" w:rsidRDefault="00C5157A" w:rsidP="00EB0790">
            <w:pPr>
              <w:rPr>
                <w:rFonts w:ascii="Arial" w:hAnsi="Arial" w:cs="Arial"/>
                <w:sz w:val="20"/>
                <w:szCs w:val="20"/>
              </w:rPr>
            </w:pPr>
            <w:r w:rsidRPr="00EB0790">
              <w:rPr>
                <w:rFonts w:ascii="Arial" w:hAnsi="Arial" w:cs="Arial"/>
                <w:sz w:val="20"/>
                <w:szCs w:val="20"/>
              </w:rPr>
              <w:t>9</w:t>
            </w:r>
          </w:p>
        </w:tc>
        <w:tc>
          <w:tcPr>
            <w:tcW w:w="803" w:type="dxa"/>
            <w:noWrap/>
          </w:tcPr>
          <w:p w14:paraId="117E6265" w14:textId="77777777" w:rsidR="00C5157A" w:rsidRPr="00EB0790" w:rsidRDefault="00C5157A" w:rsidP="00EB0790">
            <w:pPr>
              <w:rPr>
                <w:rFonts w:ascii="Arial" w:hAnsi="Arial" w:cs="Arial"/>
                <w:sz w:val="20"/>
                <w:szCs w:val="20"/>
              </w:rPr>
            </w:pPr>
            <w:r w:rsidRPr="00EB0790">
              <w:rPr>
                <w:rFonts w:ascii="Arial" w:hAnsi="Arial" w:cs="Arial"/>
                <w:sz w:val="20"/>
                <w:szCs w:val="20"/>
              </w:rPr>
              <w:t>252</w:t>
            </w:r>
          </w:p>
        </w:tc>
      </w:tr>
      <w:tr w:rsidR="00C5157A" w:rsidRPr="00EB0790" w14:paraId="79E6FA3E" w14:textId="77777777" w:rsidTr="00045A8A">
        <w:trPr>
          <w:trHeight w:val="288"/>
          <w:jc w:val="center"/>
        </w:trPr>
        <w:tc>
          <w:tcPr>
            <w:tcW w:w="4477" w:type="dxa"/>
            <w:tcBorders>
              <w:bottom w:val="single" w:sz="4" w:space="0" w:color="auto"/>
            </w:tcBorders>
            <w:noWrap/>
          </w:tcPr>
          <w:p w14:paraId="3FCDC4AE" w14:textId="77777777" w:rsidR="00C5157A" w:rsidRPr="00EB0790" w:rsidRDefault="00C5157A" w:rsidP="00EB0790">
            <w:pPr>
              <w:rPr>
                <w:rFonts w:ascii="Arial" w:hAnsi="Arial" w:cs="Arial"/>
                <w:b/>
                <w:bCs/>
                <w:sz w:val="20"/>
                <w:szCs w:val="20"/>
              </w:rPr>
            </w:pPr>
            <w:r w:rsidRPr="00EB0790">
              <w:rPr>
                <w:rFonts w:ascii="Arial" w:hAnsi="Arial" w:cs="Arial"/>
                <w:b/>
                <w:bCs/>
                <w:sz w:val="20"/>
                <w:szCs w:val="20"/>
              </w:rPr>
              <w:t>Total</w:t>
            </w:r>
          </w:p>
        </w:tc>
        <w:tc>
          <w:tcPr>
            <w:tcW w:w="803" w:type="dxa"/>
            <w:tcBorders>
              <w:bottom w:val="single" w:sz="4" w:space="0" w:color="auto"/>
            </w:tcBorders>
            <w:noWrap/>
          </w:tcPr>
          <w:p w14:paraId="53FF1B48" w14:textId="77777777" w:rsidR="00C5157A" w:rsidRPr="00EB0790" w:rsidRDefault="00C5157A" w:rsidP="00EB0790">
            <w:pPr>
              <w:rPr>
                <w:rFonts w:ascii="Arial" w:hAnsi="Arial" w:cs="Arial"/>
                <w:sz w:val="20"/>
                <w:szCs w:val="20"/>
              </w:rPr>
            </w:pPr>
            <w:r w:rsidRPr="00EB0790">
              <w:rPr>
                <w:rFonts w:ascii="Arial" w:hAnsi="Arial" w:cs="Arial"/>
                <w:sz w:val="20"/>
                <w:szCs w:val="20"/>
              </w:rPr>
              <w:t>48</w:t>
            </w:r>
          </w:p>
        </w:tc>
        <w:tc>
          <w:tcPr>
            <w:tcW w:w="803" w:type="dxa"/>
            <w:tcBorders>
              <w:bottom w:val="single" w:sz="4" w:space="0" w:color="auto"/>
            </w:tcBorders>
            <w:noWrap/>
          </w:tcPr>
          <w:p w14:paraId="7CC66B59" w14:textId="77777777" w:rsidR="00C5157A" w:rsidRPr="00EB0790" w:rsidRDefault="00C5157A" w:rsidP="00EB0790">
            <w:pPr>
              <w:rPr>
                <w:rFonts w:ascii="Arial" w:hAnsi="Arial" w:cs="Arial"/>
                <w:sz w:val="20"/>
                <w:szCs w:val="20"/>
              </w:rPr>
            </w:pPr>
            <w:r w:rsidRPr="00EB0790">
              <w:rPr>
                <w:rFonts w:ascii="Arial" w:hAnsi="Arial" w:cs="Arial"/>
                <w:sz w:val="20"/>
                <w:szCs w:val="20"/>
              </w:rPr>
              <w:t>195</w:t>
            </w:r>
          </w:p>
        </w:tc>
        <w:tc>
          <w:tcPr>
            <w:tcW w:w="803" w:type="dxa"/>
            <w:tcBorders>
              <w:bottom w:val="single" w:sz="4" w:space="0" w:color="auto"/>
            </w:tcBorders>
            <w:noWrap/>
          </w:tcPr>
          <w:p w14:paraId="63113F7F" w14:textId="77777777" w:rsidR="00C5157A" w:rsidRPr="00EB0790" w:rsidRDefault="00C5157A" w:rsidP="00EB0790">
            <w:pPr>
              <w:rPr>
                <w:rFonts w:ascii="Arial" w:hAnsi="Arial" w:cs="Arial"/>
                <w:sz w:val="20"/>
                <w:szCs w:val="20"/>
              </w:rPr>
            </w:pPr>
            <w:r w:rsidRPr="00EB0790">
              <w:rPr>
                <w:rFonts w:ascii="Arial" w:hAnsi="Arial" w:cs="Arial"/>
                <w:sz w:val="20"/>
                <w:szCs w:val="20"/>
              </w:rPr>
              <w:t>1572</w:t>
            </w:r>
          </w:p>
        </w:tc>
        <w:tc>
          <w:tcPr>
            <w:tcW w:w="805" w:type="dxa"/>
            <w:tcBorders>
              <w:bottom w:val="single" w:sz="4" w:space="0" w:color="auto"/>
            </w:tcBorders>
            <w:noWrap/>
          </w:tcPr>
          <w:p w14:paraId="27BDE93E" w14:textId="77777777" w:rsidR="00C5157A" w:rsidRPr="00EB0790" w:rsidRDefault="00C5157A" w:rsidP="00EB0790">
            <w:pPr>
              <w:rPr>
                <w:rFonts w:ascii="Arial" w:hAnsi="Arial" w:cs="Arial"/>
                <w:sz w:val="20"/>
                <w:szCs w:val="20"/>
              </w:rPr>
            </w:pPr>
            <w:r w:rsidRPr="00EB0790">
              <w:rPr>
                <w:rFonts w:ascii="Arial" w:hAnsi="Arial" w:cs="Arial"/>
                <w:sz w:val="20"/>
                <w:szCs w:val="20"/>
              </w:rPr>
              <w:t>64</w:t>
            </w:r>
          </w:p>
        </w:tc>
        <w:tc>
          <w:tcPr>
            <w:tcW w:w="803" w:type="dxa"/>
            <w:tcBorders>
              <w:bottom w:val="single" w:sz="4" w:space="0" w:color="auto"/>
            </w:tcBorders>
            <w:noWrap/>
          </w:tcPr>
          <w:p w14:paraId="3BA9BDE6" w14:textId="77777777" w:rsidR="00C5157A" w:rsidRPr="00EB0790" w:rsidRDefault="00C5157A" w:rsidP="00EB0790">
            <w:pPr>
              <w:rPr>
                <w:rFonts w:ascii="Arial" w:hAnsi="Arial" w:cs="Arial"/>
                <w:sz w:val="20"/>
                <w:szCs w:val="20"/>
              </w:rPr>
            </w:pPr>
            <w:r w:rsidRPr="00EB0790">
              <w:rPr>
                <w:rFonts w:ascii="Arial" w:hAnsi="Arial" w:cs="Arial"/>
                <w:sz w:val="20"/>
                <w:szCs w:val="20"/>
              </w:rPr>
              <w:t>1879</w:t>
            </w:r>
          </w:p>
        </w:tc>
      </w:tr>
    </w:tbl>
    <w:p w14:paraId="3F326ED2" w14:textId="77777777" w:rsidR="00A13164" w:rsidRDefault="00A13164" w:rsidP="00B85200">
      <w:pPr>
        <w:pStyle w:val="Body"/>
        <w:rPr>
          <w:rFonts w:ascii="Arial" w:hAnsi="Arial" w:cs="Arial"/>
        </w:rPr>
      </w:pPr>
    </w:p>
    <w:p w14:paraId="071FAE73" w14:textId="77777777" w:rsidR="00081CB8" w:rsidRPr="00081CB8" w:rsidRDefault="00081CB8" w:rsidP="00081CB8">
      <w:pPr>
        <w:pStyle w:val="Body"/>
        <w:rPr>
          <w:rFonts w:ascii="Arial" w:hAnsi="Arial" w:cs="Arial"/>
          <w:lang w:val="pt-BR"/>
        </w:rPr>
      </w:pPr>
      <w:r w:rsidRPr="00081CB8">
        <w:rPr>
          <w:rFonts w:ascii="Arial" w:hAnsi="Arial" w:cs="Arial"/>
          <w:lang w:val="pt-BR"/>
        </w:rPr>
        <w:t>Regarding the data presented in Table 1, it can be observed that the highest number of confirmed measles cases in the state of Pará during the analyzed period occurred in the Metropolitan I region (844), followed by the Marajó II (252) and Tocantins (229) regions. Conversely, the lowest number of confirmed cases was recorded in the Araguaia (2), Tapajós (3), and Xingu (13) regions.</w:t>
      </w:r>
    </w:p>
    <w:p w14:paraId="65741A3D" w14:textId="77777777" w:rsidR="00081CB8" w:rsidRPr="00081CB8" w:rsidRDefault="00081CB8" w:rsidP="00081CB8">
      <w:pPr>
        <w:pStyle w:val="Body"/>
        <w:rPr>
          <w:rFonts w:ascii="Arial" w:hAnsi="Arial" w:cs="Arial"/>
          <w:lang w:val="pt-BR"/>
        </w:rPr>
      </w:pPr>
      <w:r w:rsidRPr="00081CB8">
        <w:rPr>
          <w:rFonts w:ascii="Arial" w:hAnsi="Arial" w:cs="Arial"/>
          <w:lang w:val="pt-BR"/>
        </w:rPr>
        <w:lastRenderedPageBreak/>
        <w:t>With respect to the analyzed years, it is evident that 2020 registered a considerable increase in the total number of reported cases (1,572), whereas 2018 was the year with the fewest reported measles cases (48).</w:t>
      </w:r>
    </w:p>
    <w:p w14:paraId="321F734C" w14:textId="77777777" w:rsidR="00081CB8" w:rsidRPr="00081CB8" w:rsidRDefault="00081CB8" w:rsidP="00081CB8">
      <w:pPr>
        <w:pStyle w:val="Body"/>
        <w:rPr>
          <w:rFonts w:ascii="Arial" w:hAnsi="Arial" w:cs="Arial"/>
          <w:b/>
          <w:bCs/>
          <w:lang w:val="pt-BR"/>
        </w:rPr>
      </w:pPr>
      <w:r w:rsidRPr="00081CB8">
        <w:rPr>
          <w:rFonts w:ascii="Arial" w:hAnsi="Arial" w:cs="Arial"/>
          <w:b/>
          <w:bCs/>
          <w:lang w:val="pt-BR"/>
        </w:rPr>
        <w:t>Table 2. Distribution of measles cases by age group in the state of Pará, 2016–2021.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73"/>
        <w:gridCol w:w="1579"/>
        <w:gridCol w:w="929"/>
        <w:gridCol w:w="2102"/>
        <w:gridCol w:w="1451"/>
        <w:gridCol w:w="790"/>
      </w:tblGrid>
      <w:tr w:rsidR="00EB0790" w:rsidRPr="009C689C" w14:paraId="14C27C9A" w14:textId="77777777" w:rsidTr="00045A8A">
        <w:trPr>
          <w:trHeight w:val="300"/>
        </w:trPr>
        <w:tc>
          <w:tcPr>
            <w:tcW w:w="1696" w:type="dxa"/>
            <w:tcBorders>
              <w:top w:val="single" w:sz="4" w:space="0" w:color="auto"/>
              <w:bottom w:val="single" w:sz="4" w:space="0" w:color="auto"/>
            </w:tcBorders>
            <w:noWrap/>
            <w:vAlign w:val="center"/>
            <w:hideMark/>
          </w:tcPr>
          <w:p w14:paraId="215234B3" w14:textId="667F091A" w:rsidR="00EB0790" w:rsidRPr="009C689C" w:rsidRDefault="00594BA8" w:rsidP="00045A8A">
            <w:pPr>
              <w:spacing w:line="276" w:lineRule="auto"/>
              <w:rPr>
                <w:rFonts w:ascii="Arial" w:hAnsi="Arial" w:cs="Arial"/>
                <w:b/>
                <w:bCs/>
                <w:sz w:val="20"/>
                <w:szCs w:val="20"/>
              </w:rPr>
            </w:pPr>
            <w:r w:rsidRPr="00594BA8">
              <w:rPr>
                <w:rFonts w:ascii="Arial" w:hAnsi="Arial" w:cs="Arial"/>
                <w:b/>
                <w:bCs/>
                <w:sz w:val="20"/>
                <w:szCs w:val="20"/>
              </w:rPr>
              <w:t>Age Group</w:t>
            </w:r>
          </w:p>
        </w:tc>
        <w:tc>
          <w:tcPr>
            <w:tcW w:w="1701" w:type="dxa"/>
            <w:tcBorders>
              <w:top w:val="single" w:sz="4" w:space="0" w:color="auto"/>
              <w:bottom w:val="single" w:sz="4" w:space="0" w:color="auto"/>
            </w:tcBorders>
            <w:noWrap/>
            <w:vAlign w:val="center"/>
            <w:hideMark/>
          </w:tcPr>
          <w:p w14:paraId="69BC8CE5" w14:textId="44488AE4" w:rsidR="00EB0790" w:rsidRPr="009C689C" w:rsidRDefault="006D0580" w:rsidP="00045A8A">
            <w:pPr>
              <w:spacing w:line="276" w:lineRule="auto"/>
              <w:rPr>
                <w:rFonts w:ascii="Arial" w:hAnsi="Arial" w:cs="Arial"/>
                <w:b/>
                <w:bCs/>
                <w:sz w:val="20"/>
                <w:szCs w:val="20"/>
              </w:rPr>
            </w:pPr>
            <w:r w:rsidRPr="006D0580">
              <w:rPr>
                <w:rFonts w:ascii="Arial" w:hAnsi="Arial" w:cs="Arial"/>
                <w:b/>
                <w:bCs/>
                <w:sz w:val="20"/>
                <w:szCs w:val="20"/>
              </w:rPr>
              <w:t>Ignored/Blank</w:t>
            </w:r>
          </w:p>
        </w:tc>
        <w:tc>
          <w:tcPr>
            <w:tcW w:w="993" w:type="dxa"/>
            <w:tcBorders>
              <w:top w:val="single" w:sz="4" w:space="0" w:color="auto"/>
              <w:bottom w:val="single" w:sz="4" w:space="0" w:color="auto"/>
            </w:tcBorders>
            <w:noWrap/>
            <w:vAlign w:val="center"/>
            <w:hideMark/>
          </w:tcPr>
          <w:p w14:paraId="01760D2E" w14:textId="674825BB" w:rsidR="00EB0790" w:rsidRPr="009C689C" w:rsidRDefault="00EB0790" w:rsidP="00045A8A">
            <w:pPr>
              <w:spacing w:line="276" w:lineRule="auto"/>
              <w:rPr>
                <w:rFonts w:ascii="Arial" w:hAnsi="Arial" w:cs="Arial"/>
                <w:b/>
                <w:bCs/>
                <w:sz w:val="20"/>
                <w:szCs w:val="20"/>
              </w:rPr>
            </w:pPr>
            <w:r w:rsidRPr="009C689C">
              <w:rPr>
                <w:rFonts w:ascii="Arial" w:hAnsi="Arial" w:cs="Arial"/>
                <w:b/>
                <w:bCs/>
                <w:sz w:val="20"/>
                <w:szCs w:val="20"/>
              </w:rPr>
              <w:t>Cur</w:t>
            </w:r>
            <w:r w:rsidR="00642FD7">
              <w:rPr>
                <w:rFonts w:ascii="Arial" w:hAnsi="Arial" w:cs="Arial"/>
                <w:b/>
                <w:bCs/>
                <w:sz w:val="20"/>
                <w:szCs w:val="20"/>
              </w:rPr>
              <w:t>e</w:t>
            </w:r>
          </w:p>
        </w:tc>
        <w:tc>
          <w:tcPr>
            <w:tcW w:w="2271" w:type="dxa"/>
            <w:tcBorders>
              <w:top w:val="single" w:sz="4" w:space="0" w:color="auto"/>
              <w:bottom w:val="single" w:sz="4" w:space="0" w:color="auto"/>
            </w:tcBorders>
            <w:noWrap/>
            <w:vAlign w:val="center"/>
            <w:hideMark/>
          </w:tcPr>
          <w:p w14:paraId="28E444FA" w14:textId="1CE34E99" w:rsidR="00EB0790" w:rsidRPr="009C689C" w:rsidRDefault="00642FD7" w:rsidP="00045A8A">
            <w:pPr>
              <w:spacing w:line="276" w:lineRule="auto"/>
              <w:rPr>
                <w:rFonts w:ascii="Arial" w:hAnsi="Arial" w:cs="Arial"/>
                <w:b/>
                <w:bCs/>
                <w:sz w:val="20"/>
                <w:szCs w:val="20"/>
              </w:rPr>
            </w:pPr>
            <w:r w:rsidRPr="00642FD7">
              <w:rPr>
                <w:rFonts w:ascii="Arial" w:hAnsi="Arial" w:cs="Arial"/>
                <w:b/>
                <w:bCs/>
                <w:sz w:val="20"/>
                <w:szCs w:val="20"/>
              </w:rPr>
              <w:t>Death due to the reported condition</w:t>
            </w:r>
          </w:p>
        </w:tc>
        <w:tc>
          <w:tcPr>
            <w:tcW w:w="1562" w:type="dxa"/>
            <w:tcBorders>
              <w:top w:val="single" w:sz="4" w:space="0" w:color="auto"/>
              <w:bottom w:val="single" w:sz="4" w:space="0" w:color="auto"/>
            </w:tcBorders>
            <w:noWrap/>
            <w:vAlign w:val="center"/>
            <w:hideMark/>
          </w:tcPr>
          <w:p w14:paraId="5836E531" w14:textId="24686706" w:rsidR="00EB0790" w:rsidRPr="009C689C" w:rsidRDefault="00642FD7" w:rsidP="00045A8A">
            <w:pPr>
              <w:spacing w:line="276" w:lineRule="auto"/>
              <w:rPr>
                <w:rFonts w:ascii="Arial" w:hAnsi="Arial" w:cs="Arial"/>
                <w:b/>
                <w:bCs/>
                <w:sz w:val="20"/>
                <w:szCs w:val="20"/>
              </w:rPr>
            </w:pPr>
            <w:r w:rsidRPr="00642FD7">
              <w:rPr>
                <w:rFonts w:ascii="Arial" w:hAnsi="Arial" w:cs="Arial"/>
                <w:b/>
                <w:bCs/>
                <w:sz w:val="20"/>
                <w:szCs w:val="20"/>
              </w:rPr>
              <w:t>Death due to another cause</w:t>
            </w:r>
          </w:p>
        </w:tc>
        <w:tc>
          <w:tcPr>
            <w:tcW w:w="841" w:type="dxa"/>
            <w:tcBorders>
              <w:top w:val="single" w:sz="4" w:space="0" w:color="auto"/>
              <w:bottom w:val="single" w:sz="4" w:space="0" w:color="auto"/>
            </w:tcBorders>
            <w:noWrap/>
            <w:vAlign w:val="center"/>
            <w:hideMark/>
          </w:tcPr>
          <w:p w14:paraId="4D035AE2" w14:textId="77777777" w:rsidR="00EB0790" w:rsidRPr="009C689C" w:rsidRDefault="00EB0790" w:rsidP="00045A8A">
            <w:pPr>
              <w:spacing w:line="276" w:lineRule="auto"/>
              <w:rPr>
                <w:rFonts w:ascii="Arial" w:hAnsi="Arial" w:cs="Arial"/>
                <w:b/>
                <w:bCs/>
                <w:sz w:val="20"/>
                <w:szCs w:val="20"/>
              </w:rPr>
            </w:pPr>
            <w:r w:rsidRPr="009C689C">
              <w:rPr>
                <w:rFonts w:ascii="Arial" w:hAnsi="Arial" w:cs="Arial"/>
                <w:b/>
                <w:bCs/>
                <w:sz w:val="20"/>
                <w:szCs w:val="20"/>
              </w:rPr>
              <w:t>Total</w:t>
            </w:r>
          </w:p>
        </w:tc>
      </w:tr>
      <w:tr w:rsidR="00EB0790" w:rsidRPr="009C689C" w14:paraId="20536F2E" w14:textId="77777777" w:rsidTr="00045A8A">
        <w:trPr>
          <w:trHeight w:val="300"/>
        </w:trPr>
        <w:tc>
          <w:tcPr>
            <w:tcW w:w="1696" w:type="dxa"/>
            <w:tcBorders>
              <w:top w:val="single" w:sz="4" w:space="0" w:color="auto"/>
            </w:tcBorders>
            <w:noWrap/>
            <w:hideMark/>
          </w:tcPr>
          <w:p w14:paraId="0432D406" w14:textId="03C28D0A" w:rsidR="00EB0790" w:rsidRPr="009C689C" w:rsidRDefault="00D24C7F" w:rsidP="00045A8A">
            <w:pPr>
              <w:spacing w:line="276" w:lineRule="auto"/>
              <w:rPr>
                <w:rFonts w:ascii="Arial" w:hAnsi="Arial" w:cs="Arial"/>
                <w:b/>
                <w:bCs/>
                <w:sz w:val="20"/>
                <w:szCs w:val="20"/>
              </w:rPr>
            </w:pPr>
            <w:r w:rsidRPr="00D24C7F">
              <w:rPr>
                <w:rFonts w:ascii="Arial" w:hAnsi="Arial" w:cs="Arial"/>
                <w:b/>
                <w:bCs/>
                <w:sz w:val="20"/>
                <w:szCs w:val="20"/>
              </w:rPr>
              <w:t>&lt;1 Again</w:t>
            </w:r>
          </w:p>
        </w:tc>
        <w:tc>
          <w:tcPr>
            <w:tcW w:w="1701" w:type="dxa"/>
            <w:tcBorders>
              <w:top w:val="single" w:sz="4" w:space="0" w:color="auto"/>
            </w:tcBorders>
            <w:noWrap/>
            <w:hideMark/>
          </w:tcPr>
          <w:p w14:paraId="2CFCA6E0"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44</w:t>
            </w:r>
          </w:p>
        </w:tc>
        <w:tc>
          <w:tcPr>
            <w:tcW w:w="993" w:type="dxa"/>
            <w:tcBorders>
              <w:top w:val="single" w:sz="4" w:space="0" w:color="auto"/>
            </w:tcBorders>
            <w:noWrap/>
            <w:hideMark/>
          </w:tcPr>
          <w:p w14:paraId="739A97CB"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762</w:t>
            </w:r>
          </w:p>
        </w:tc>
        <w:tc>
          <w:tcPr>
            <w:tcW w:w="2271" w:type="dxa"/>
            <w:tcBorders>
              <w:top w:val="single" w:sz="4" w:space="0" w:color="auto"/>
            </w:tcBorders>
            <w:noWrap/>
            <w:hideMark/>
          </w:tcPr>
          <w:p w14:paraId="0CBE3E56"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5</w:t>
            </w:r>
          </w:p>
        </w:tc>
        <w:tc>
          <w:tcPr>
            <w:tcW w:w="1562" w:type="dxa"/>
            <w:tcBorders>
              <w:top w:val="single" w:sz="4" w:space="0" w:color="auto"/>
            </w:tcBorders>
            <w:noWrap/>
            <w:hideMark/>
          </w:tcPr>
          <w:p w14:paraId="796A18D2"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1</w:t>
            </w:r>
          </w:p>
        </w:tc>
        <w:tc>
          <w:tcPr>
            <w:tcW w:w="841" w:type="dxa"/>
            <w:tcBorders>
              <w:top w:val="single" w:sz="4" w:space="0" w:color="auto"/>
            </w:tcBorders>
            <w:noWrap/>
            <w:hideMark/>
          </w:tcPr>
          <w:p w14:paraId="7647173D"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812</w:t>
            </w:r>
          </w:p>
        </w:tc>
      </w:tr>
      <w:tr w:rsidR="00EB0790" w:rsidRPr="009C689C" w14:paraId="7E722BCC" w14:textId="77777777" w:rsidTr="00045A8A">
        <w:trPr>
          <w:trHeight w:val="300"/>
        </w:trPr>
        <w:tc>
          <w:tcPr>
            <w:tcW w:w="1696" w:type="dxa"/>
            <w:noWrap/>
            <w:hideMark/>
          </w:tcPr>
          <w:p w14:paraId="3BDD0078" w14:textId="7A41ED00" w:rsidR="00EB0790" w:rsidRPr="009C689C" w:rsidRDefault="00D24C7F" w:rsidP="00045A8A">
            <w:pPr>
              <w:spacing w:line="276" w:lineRule="auto"/>
              <w:rPr>
                <w:rFonts w:ascii="Arial" w:hAnsi="Arial" w:cs="Arial"/>
                <w:b/>
                <w:bCs/>
                <w:sz w:val="20"/>
                <w:szCs w:val="20"/>
              </w:rPr>
            </w:pPr>
            <w:r w:rsidRPr="00D24C7F">
              <w:rPr>
                <w:rFonts w:ascii="Arial" w:hAnsi="Arial" w:cs="Arial"/>
                <w:b/>
                <w:bCs/>
                <w:sz w:val="20"/>
                <w:szCs w:val="20"/>
              </w:rPr>
              <w:t>1-4 years</w:t>
            </w:r>
          </w:p>
        </w:tc>
        <w:tc>
          <w:tcPr>
            <w:tcW w:w="1701" w:type="dxa"/>
            <w:noWrap/>
            <w:hideMark/>
          </w:tcPr>
          <w:p w14:paraId="2867BD62"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33</w:t>
            </w:r>
          </w:p>
        </w:tc>
        <w:tc>
          <w:tcPr>
            <w:tcW w:w="993" w:type="dxa"/>
            <w:noWrap/>
            <w:hideMark/>
          </w:tcPr>
          <w:p w14:paraId="2ED91E83"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460</w:t>
            </w:r>
          </w:p>
        </w:tc>
        <w:tc>
          <w:tcPr>
            <w:tcW w:w="2271" w:type="dxa"/>
            <w:noWrap/>
            <w:hideMark/>
          </w:tcPr>
          <w:p w14:paraId="5A744D1F"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3</w:t>
            </w:r>
          </w:p>
        </w:tc>
        <w:tc>
          <w:tcPr>
            <w:tcW w:w="1562" w:type="dxa"/>
            <w:noWrap/>
            <w:hideMark/>
          </w:tcPr>
          <w:p w14:paraId="3ABF8DAE"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w:t>
            </w:r>
          </w:p>
        </w:tc>
        <w:tc>
          <w:tcPr>
            <w:tcW w:w="841" w:type="dxa"/>
            <w:noWrap/>
            <w:hideMark/>
          </w:tcPr>
          <w:p w14:paraId="61AB29DF"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496</w:t>
            </w:r>
          </w:p>
        </w:tc>
      </w:tr>
      <w:tr w:rsidR="00EB0790" w:rsidRPr="009C689C" w14:paraId="717049A8" w14:textId="77777777" w:rsidTr="00045A8A">
        <w:trPr>
          <w:trHeight w:val="300"/>
        </w:trPr>
        <w:tc>
          <w:tcPr>
            <w:tcW w:w="1696" w:type="dxa"/>
            <w:noWrap/>
            <w:hideMark/>
          </w:tcPr>
          <w:p w14:paraId="7D071E80" w14:textId="29A0E5E2" w:rsidR="00EB0790" w:rsidRPr="009C689C" w:rsidRDefault="00D24C7F" w:rsidP="00045A8A">
            <w:pPr>
              <w:spacing w:line="276" w:lineRule="auto"/>
              <w:rPr>
                <w:rFonts w:ascii="Arial" w:hAnsi="Arial" w:cs="Arial"/>
                <w:b/>
                <w:bCs/>
                <w:sz w:val="20"/>
                <w:szCs w:val="20"/>
              </w:rPr>
            </w:pPr>
            <w:r w:rsidRPr="00D24C7F">
              <w:rPr>
                <w:rFonts w:ascii="Arial" w:hAnsi="Arial" w:cs="Arial"/>
                <w:b/>
                <w:bCs/>
                <w:sz w:val="20"/>
                <w:szCs w:val="20"/>
              </w:rPr>
              <w:t>5-9 years</w:t>
            </w:r>
          </w:p>
        </w:tc>
        <w:tc>
          <w:tcPr>
            <w:tcW w:w="1701" w:type="dxa"/>
            <w:noWrap/>
            <w:hideMark/>
          </w:tcPr>
          <w:p w14:paraId="152A1C33"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15</w:t>
            </w:r>
          </w:p>
        </w:tc>
        <w:tc>
          <w:tcPr>
            <w:tcW w:w="993" w:type="dxa"/>
            <w:noWrap/>
            <w:hideMark/>
          </w:tcPr>
          <w:p w14:paraId="0B888235"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256</w:t>
            </w:r>
          </w:p>
        </w:tc>
        <w:tc>
          <w:tcPr>
            <w:tcW w:w="2271" w:type="dxa"/>
            <w:noWrap/>
            <w:hideMark/>
          </w:tcPr>
          <w:p w14:paraId="0EF7EF24"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w:t>
            </w:r>
          </w:p>
        </w:tc>
        <w:tc>
          <w:tcPr>
            <w:tcW w:w="1562" w:type="dxa"/>
            <w:noWrap/>
            <w:hideMark/>
          </w:tcPr>
          <w:p w14:paraId="589E0148"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w:t>
            </w:r>
          </w:p>
        </w:tc>
        <w:tc>
          <w:tcPr>
            <w:tcW w:w="841" w:type="dxa"/>
            <w:noWrap/>
            <w:hideMark/>
          </w:tcPr>
          <w:p w14:paraId="40A412C1"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271</w:t>
            </w:r>
          </w:p>
        </w:tc>
      </w:tr>
      <w:tr w:rsidR="00EB0790" w:rsidRPr="009C689C" w14:paraId="551E87EF" w14:textId="77777777" w:rsidTr="00045A8A">
        <w:trPr>
          <w:trHeight w:val="300"/>
        </w:trPr>
        <w:tc>
          <w:tcPr>
            <w:tcW w:w="1696" w:type="dxa"/>
            <w:noWrap/>
            <w:hideMark/>
          </w:tcPr>
          <w:p w14:paraId="7BC6A02C" w14:textId="47D762C5" w:rsidR="00EB0790" w:rsidRPr="009C689C" w:rsidRDefault="00D24C7F" w:rsidP="00045A8A">
            <w:pPr>
              <w:spacing w:line="276" w:lineRule="auto"/>
              <w:rPr>
                <w:rFonts w:ascii="Arial" w:hAnsi="Arial" w:cs="Arial"/>
                <w:b/>
                <w:bCs/>
                <w:sz w:val="20"/>
                <w:szCs w:val="20"/>
              </w:rPr>
            </w:pPr>
            <w:r w:rsidRPr="00D24C7F">
              <w:rPr>
                <w:rFonts w:ascii="Arial" w:hAnsi="Arial" w:cs="Arial"/>
                <w:b/>
                <w:bCs/>
                <w:sz w:val="20"/>
                <w:szCs w:val="20"/>
              </w:rPr>
              <w:t>10-14 years old</w:t>
            </w:r>
          </w:p>
        </w:tc>
        <w:tc>
          <w:tcPr>
            <w:tcW w:w="1701" w:type="dxa"/>
            <w:noWrap/>
            <w:hideMark/>
          </w:tcPr>
          <w:p w14:paraId="0DFBB8CA"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23</w:t>
            </w:r>
          </w:p>
        </w:tc>
        <w:tc>
          <w:tcPr>
            <w:tcW w:w="993" w:type="dxa"/>
            <w:noWrap/>
            <w:hideMark/>
          </w:tcPr>
          <w:p w14:paraId="0CECDA27"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276</w:t>
            </w:r>
          </w:p>
        </w:tc>
        <w:tc>
          <w:tcPr>
            <w:tcW w:w="2271" w:type="dxa"/>
            <w:noWrap/>
            <w:hideMark/>
          </w:tcPr>
          <w:p w14:paraId="7579C98E"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1</w:t>
            </w:r>
          </w:p>
        </w:tc>
        <w:tc>
          <w:tcPr>
            <w:tcW w:w="1562" w:type="dxa"/>
            <w:noWrap/>
            <w:hideMark/>
          </w:tcPr>
          <w:p w14:paraId="5C36400D"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w:t>
            </w:r>
          </w:p>
        </w:tc>
        <w:tc>
          <w:tcPr>
            <w:tcW w:w="841" w:type="dxa"/>
            <w:noWrap/>
            <w:hideMark/>
          </w:tcPr>
          <w:p w14:paraId="2844091E"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300</w:t>
            </w:r>
          </w:p>
        </w:tc>
      </w:tr>
      <w:tr w:rsidR="00EB0790" w:rsidRPr="009C689C" w14:paraId="18CEE04A" w14:textId="77777777" w:rsidTr="00045A8A">
        <w:trPr>
          <w:trHeight w:val="300"/>
        </w:trPr>
        <w:tc>
          <w:tcPr>
            <w:tcW w:w="1696" w:type="dxa"/>
            <w:tcBorders>
              <w:bottom w:val="single" w:sz="4" w:space="0" w:color="auto"/>
            </w:tcBorders>
            <w:noWrap/>
            <w:hideMark/>
          </w:tcPr>
          <w:p w14:paraId="0F51B2F8" w14:textId="77777777" w:rsidR="00EB0790" w:rsidRPr="009C689C" w:rsidRDefault="00EB0790" w:rsidP="00045A8A">
            <w:pPr>
              <w:spacing w:line="276" w:lineRule="auto"/>
              <w:rPr>
                <w:rFonts w:ascii="Arial" w:hAnsi="Arial" w:cs="Arial"/>
                <w:b/>
                <w:bCs/>
                <w:sz w:val="20"/>
                <w:szCs w:val="20"/>
              </w:rPr>
            </w:pPr>
            <w:r w:rsidRPr="009C689C">
              <w:rPr>
                <w:rFonts w:ascii="Arial" w:hAnsi="Arial" w:cs="Arial"/>
                <w:b/>
                <w:bCs/>
                <w:sz w:val="20"/>
                <w:szCs w:val="20"/>
              </w:rPr>
              <w:t>Total</w:t>
            </w:r>
          </w:p>
        </w:tc>
        <w:tc>
          <w:tcPr>
            <w:tcW w:w="1701" w:type="dxa"/>
            <w:tcBorders>
              <w:bottom w:val="single" w:sz="4" w:space="0" w:color="auto"/>
            </w:tcBorders>
            <w:noWrap/>
            <w:hideMark/>
          </w:tcPr>
          <w:p w14:paraId="4C4B9116"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115</w:t>
            </w:r>
          </w:p>
        </w:tc>
        <w:tc>
          <w:tcPr>
            <w:tcW w:w="993" w:type="dxa"/>
            <w:tcBorders>
              <w:bottom w:val="single" w:sz="4" w:space="0" w:color="auto"/>
            </w:tcBorders>
            <w:noWrap/>
            <w:hideMark/>
          </w:tcPr>
          <w:p w14:paraId="0A09CD4A"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1754</w:t>
            </w:r>
          </w:p>
        </w:tc>
        <w:tc>
          <w:tcPr>
            <w:tcW w:w="2271" w:type="dxa"/>
            <w:tcBorders>
              <w:bottom w:val="single" w:sz="4" w:space="0" w:color="auto"/>
            </w:tcBorders>
            <w:noWrap/>
            <w:hideMark/>
          </w:tcPr>
          <w:p w14:paraId="3515509F"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9</w:t>
            </w:r>
          </w:p>
        </w:tc>
        <w:tc>
          <w:tcPr>
            <w:tcW w:w="1562" w:type="dxa"/>
            <w:tcBorders>
              <w:bottom w:val="single" w:sz="4" w:space="0" w:color="auto"/>
            </w:tcBorders>
            <w:noWrap/>
            <w:hideMark/>
          </w:tcPr>
          <w:p w14:paraId="0DC2BB35"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1</w:t>
            </w:r>
          </w:p>
        </w:tc>
        <w:tc>
          <w:tcPr>
            <w:tcW w:w="841" w:type="dxa"/>
            <w:tcBorders>
              <w:bottom w:val="single" w:sz="4" w:space="0" w:color="auto"/>
            </w:tcBorders>
            <w:noWrap/>
            <w:hideMark/>
          </w:tcPr>
          <w:p w14:paraId="029492C2" w14:textId="77777777" w:rsidR="00EB0790" w:rsidRPr="009C689C" w:rsidRDefault="00EB0790" w:rsidP="00045A8A">
            <w:pPr>
              <w:spacing w:line="276" w:lineRule="auto"/>
              <w:rPr>
                <w:rFonts w:ascii="Arial" w:hAnsi="Arial" w:cs="Arial"/>
                <w:sz w:val="20"/>
                <w:szCs w:val="20"/>
              </w:rPr>
            </w:pPr>
            <w:r w:rsidRPr="009C689C">
              <w:rPr>
                <w:rFonts w:ascii="Arial" w:hAnsi="Arial" w:cs="Arial"/>
                <w:sz w:val="20"/>
                <w:szCs w:val="20"/>
              </w:rPr>
              <w:t>1879</w:t>
            </w:r>
          </w:p>
        </w:tc>
      </w:tr>
    </w:tbl>
    <w:p w14:paraId="088A9F12" w14:textId="77777777" w:rsidR="00B85200" w:rsidRPr="00B85200" w:rsidRDefault="00B85200" w:rsidP="00B85200">
      <w:pPr>
        <w:pStyle w:val="Body"/>
        <w:rPr>
          <w:rFonts w:ascii="Arial" w:hAnsi="Arial" w:cs="Arial"/>
        </w:rPr>
      </w:pPr>
    </w:p>
    <w:p w14:paraId="6D68A37F" w14:textId="77777777" w:rsidR="00D8540C" w:rsidRPr="00D8540C" w:rsidRDefault="00D8540C" w:rsidP="00D8540C">
      <w:pPr>
        <w:pStyle w:val="Body"/>
        <w:rPr>
          <w:rFonts w:ascii="Arial" w:hAnsi="Arial" w:cs="Arial"/>
          <w:lang w:val="pt-BR"/>
        </w:rPr>
      </w:pPr>
      <w:r w:rsidRPr="00D8540C">
        <w:rPr>
          <w:rFonts w:ascii="Arial" w:hAnsi="Arial" w:cs="Arial"/>
          <w:lang w:val="pt-BR"/>
        </w:rPr>
        <w:t>In all analyzed age groups (Table 2), the predominant outcome of the observed cases was recovery (1,754), followed by death due to the reported condition (9) and, lastly, death due to another cause (1), excluding the ignored cases (115). In other words, 93.3% of the total cases evolved to recovery. Therefore, death due to the reported condition accounted for less than 1% of cases (0.47%).</w:t>
      </w:r>
    </w:p>
    <w:p w14:paraId="6255440F" w14:textId="1E3A4FFD" w:rsidR="00D8540C" w:rsidRPr="00D8540C" w:rsidRDefault="00D8540C" w:rsidP="00D8540C">
      <w:pPr>
        <w:pStyle w:val="Body"/>
        <w:rPr>
          <w:rFonts w:ascii="Arial" w:hAnsi="Arial" w:cs="Arial"/>
          <w:b/>
          <w:bCs/>
          <w:lang w:val="pt-BR"/>
        </w:rPr>
      </w:pPr>
      <w:r w:rsidRPr="00D8540C">
        <w:rPr>
          <w:rFonts w:ascii="Arial" w:hAnsi="Arial" w:cs="Arial"/>
          <w:b/>
          <w:bCs/>
          <w:lang w:val="pt-BR"/>
        </w:rPr>
        <w:t>Table 3. Total doses of MMR and MMRV vaccines administered between 2016 and 2021 in the state of Pará compared with the number of reported cases.</w:t>
      </w:r>
    </w:p>
    <w:tbl>
      <w:tblPr>
        <w:tblStyle w:val="TableGrid"/>
        <w:tblW w:w="896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44"/>
        <w:gridCol w:w="1985"/>
        <w:gridCol w:w="2693"/>
        <w:gridCol w:w="1701"/>
        <w:gridCol w:w="1639"/>
      </w:tblGrid>
      <w:tr w:rsidR="009C689C" w:rsidRPr="009C689C" w14:paraId="06E4B743" w14:textId="77777777" w:rsidTr="00101AA7">
        <w:trPr>
          <w:trHeight w:val="300"/>
          <w:jc w:val="center"/>
        </w:trPr>
        <w:tc>
          <w:tcPr>
            <w:tcW w:w="944" w:type="dxa"/>
            <w:tcBorders>
              <w:top w:val="single" w:sz="4" w:space="0" w:color="auto"/>
              <w:bottom w:val="single" w:sz="4" w:space="0" w:color="auto"/>
            </w:tcBorders>
            <w:noWrap/>
            <w:vAlign w:val="center"/>
            <w:hideMark/>
          </w:tcPr>
          <w:p w14:paraId="77527D70" w14:textId="07A6EA94" w:rsidR="009C689C" w:rsidRPr="009C689C" w:rsidRDefault="007B1D23" w:rsidP="00045A8A">
            <w:pPr>
              <w:spacing w:line="276" w:lineRule="auto"/>
              <w:rPr>
                <w:rFonts w:ascii="Arial" w:hAnsi="Arial" w:cs="Arial"/>
                <w:b/>
                <w:bCs/>
                <w:sz w:val="20"/>
                <w:szCs w:val="20"/>
              </w:rPr>
            </w:pPr>
            <w:r w:rsidRPr="007B1D23">
              <w:rPr>
                <w:rFonts w:ascii="Arial" w:hAnsi="Arial" w:cs="Arial"/>
                <w:b/>
                <w:bCs/>
                <w:sz w:val="20"/>
                <w:szCs w:val="20"/>
              </w:rPr>
              <w:t>Year</w:t>
            </w:r>
          </w:p>
        </w:tc>
        <w:tc>
          <w:tcPr>
            <w:tcW w:w="1985" w:type="dxa"/>
            <w:tcBorders>
              <w:top w:val="single" w:sz="4" w:space="0" w:color="auto"/>
              <w:bottom w:val="single" w:sz="4" w:space="0" w:color="auto"/>
            </w:tcBorders>
            <w:noWrap/>
            <w:vAlign w:val="center"/>
            <w:hideMark/>
          </w:tcPr>
          <w:p w14:paraId="32A32D05" w14:textId="0EE3AD98" w:rsidR="009C689C" w:rsidRPr="009C689C" w:rsidRDefault="006D7F7E" w:rsidP="00045A8A">
            <w:pPr>
              <w:spacing w:line="276" w:lineRule="auto"/>
              <w:rPr>
                <w:rFonts w:ascii="Arial" w:hAnsi="Arial" w:cs="Arial"/>
                <w:b/>
                <w:bCs/>
                <w:sz w:val="20"/>
                <w:szCs w:val="20"/>
              </w:rPr>
            </w:pPr>
            <w:r w:rsidRPr="006D7F7E">
              <w:rPr>
                <w:rFonts w:ascii="Arial" w:hAnsi="Arial" w:cs="Arial"/>
                <w:b/>
                <w:bCs/>
                <w:sz w:val="20"/>
                <w:szCs w:val="20"/>
              </w:rPr>
              <w:t>MMR (Measles, Mumps, Rubella)</w:t>
            </w:r>
          </w:p>
        </w:tc>
        <w:tc>
          <w:tcPr>
            <w:tcW w:w="2693" w:type="dxa"/>
            <w:tcBorders>
              <w:top w:val="single" w:sz="4" w:space="0" w:color="auto"/>
              <w:bottom w:val="single" w:sz="4" w:space="0" w:color="auto"/>
            </w:tcBorders>
            <w:noWrap/>
            <w:vAlign w:val="center"/>
            <w:hideMark/>
          </w:tcPr>
          <w:p w14:paraId="3902F20F" w14:textId="1A4E37B0" w:rsidR="009C689C" w:rsidRPr="009C689C" w:rsidRDefault="006D7F7E" w:rsidP="00045A8A">
            <w:pPr>
              <w:spacing w:line="276" w:lineRule="auto"/>
              <w:rPr>
                <w:rFonts w:ascii="Arial" w:hAnsi="Arial" w:cs="Arial"/>
                <w:b/>
                <w:bCs/>
                <w:sz w:val="20"/>
                <w:szCs w:val="20"/>
              </w:rPr>
            </w:pPr>
            <w:r w:rsidRPr="006D7F7E">
              <w:rPr>
                <w:rFonts w:ascii="Arial" w:hAnsi="Arial" w:cs="Arial"/>
                <w:b/>
                <w:bCs/>
                <w:sz w:val="20"/>
                <w:szCs w:val="20"/>
              </w:rPr>
              <w:t>MMRV (Measles, Mumps, Rubella, Varicella)</w:t>
            </w:r>
          </w:p>
        </w:tc>
        <w:tc>
          <w:tcPr>
            <w:tcW w:w="1701" w:type="dxa"/>
            <w:tcBorders>
              <w:top w:val="single" w:sz="4" w:space="0" w:color="auto"/>
              <w:bottom w:val="single" w:sz="4" w:space="0" w:color="auto"/>
            </w:tcBorders>
            <w:noWrap/>
            <w:vAlign w:val="center"/>
            <w:hideMark/>
          </w:tcPr>
          <w:p w14:paraId="410CE9BD" w14:textId="50BA7EFC" w:rsidR="009C689C" w:rsidRPr="009C689C" w:rsidRDefault="006B01F7" w:rsidP="00045A8A">
            <w:pPr>
              <w:spacing w:line="276" w:lineRule="auto"/>
              <w:rPr>
                <w:rFonts w:ascii="Arial" w:hAnsi="Arial" w:cs="Arial"/>
                <w:b/>
                <w:bCs/>
                <w:sz w:val="20"/>
                <w:szCs w:val="20"/>
              </w:rPr>
            </w:pPr>
            <w:r w:rsidRPr="006B01F7">
              <w:rPr>
                <w:rFonts w:ascii="Arial" w:hAnsi="Arial" w:cs="Arial"/>
                <w:b/>
                <w:bCs/>
                <w:sz w:val="20"/>
                <w:szCs w:val="20"/>
              </w:rPr>
              <w:t>Total (Doses Administered)</w:t>
            </w:r>
          </w:p>
        </w:tc>
        <w:tc>
          <w:tcPr>
            <w:tcW w:w="1639" w:type="dxa"/>
            <w:tcBorders>
              <w:top w:val="single" w:sz="4" w:space="0" w:color="auto"/>
              <w:bottom w:val="single" w:sz="4" w:space="0" w:color="auto"/>
            </w:tcBorders>
          </w:tcPr>
          <w:p w14:paraId="276FCBA8" w14:textId="61A98C82" w:rsidR="009C689C" w:rsidRPr="009C689C" w:rsidRDefault="006B01F7" w:rsidP="00045A8A">
            <w:pPr>
              <w:rPr>
                <w:rFonts w:ascii="Arial" w:hAnsi="Arial" w:cs="Arial"/>
                <w:b/>
                <w:bCs/>
                <w:sz w:val="20"/>
                <w:szCs w:val="20"/>
              </w:rPr>
            </w:pPr>
            <w:r w:rsidRPr="006B01F7">
              <w:rPr>
                <w:rFonts w:ascii="Arial" w:hAnsi="Arial" w:cs="Arial"/>
                <w:b/>
                <w:bCs/>
                <w:sz w:val="20"/>
                <w:szCs w:val="20"/>
              </w:rPr>
              <w:t>Total Number of Cases</w:t>
            </w:r>
          </w:p>
        </w:tc>
      </w:tr>
      <w:tr w:rsidR="009C689C" w:rsidRPr="009C689C" w14:paraId="78FC2CE7" w14:textId="77777777" w:rsidTr="00101AA7">
        <w:trPr>
          <w:trHeight w:val="300"/>
          <w:jc w:val="center"/>
        </w:trPr>
        <w:tc>
          <w:tcPr>
            <w:tcW w:w="944" w:type="dxa"/>
            <w:tcBorders>
              <w:top w:val="single" w:sz="4" w:space="0" w:color="auto"/>
            </w:tcBorders>
            <w:noWrap/>
          </w:tcPr>
          <w:p w14:paraId="0F5746E8" w14:textId="77777777" w:rsidR="009C689C" w:rsidRPr="009C689C" w:rsidRDefault="009C689C" w:rsidP="00045A8A">
            <w:pPr>
              <w:spacing w:line="276" w:lineRule="auto"/>
              <w:rPr>
                <w:rFonts w:ascii="Arial" w:hAnsi="Arial" w:cs="Arial"/>
                <w:b/>
                <w:bCs/>
                <w:sz w:val="20"/>
                <w:szCs w:val="20"/>
              </w:rPr>
            </w:pPr>
            <w:r w:rsidRPr="009C689C">
              <w:rPr>
                <w:rFonts w:ascii="Arial" w:hAnsi="Arial" w:cs="Arial"/>
                <w:b/>
                <w:bCs/>
                <w:sz w:val="20"/>
                <w:szCs w:val="20"/>
              </w:rPr>
              <w:t>2016</w:t>
            </w:r>
          </w:p>
        </w:tc>
        <w:tc>
          <w:tcPr>
            <w:tcW w:w="1985" w:type="dxa"/>
            <w:tcBorders>
              <w:top w:val="single" w:sz="4" w:space="0" w:color="auto"/>
            </w:tcBorders>
            <w:noWrap/>
          </w:tcPr>
          <w:p w14:paraId="2247E349"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132188</w:t>
            </w:r>
          </w:p>
        </w:tc>
        <w:tc>
          <w:tcPr>
            <w:tcW w:w="2693" w:type="dxa"/>
            <w:tcBorders>
              <w:top w:val="single" w:sz="4" w:space="0" w:color="auto"/>
            </w:tcBorders>
            <w:noWrap/>
          </w:tcPr>
          <w:p w14:paraId="3AE7396B"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84062</w:t>
            </w:r>
          </w:p>
        </w:tc>
        <w:tc>
          <w:tcPr>
            <w:tcW w:w="1701" w:type="dxa"/>
            <w:tcBorders>
              <w:top w:val="single" w:sz="4" w:space="0" w:color="auto"/>
            </w:tcBorders>
            <w:noWrap/>
          </w:tcPr>
          <w:p w14:paraId="539285CD"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216250</w:t>
            </w:r>
          </w:p>
        </w:tc>
        <w:tc>
          <w:tcPr>
            <w:tcW w:w="1639" w:type="dxa"/>
            <w:tcBorders>
              <w:top w:val="single" w:sz="4" w:space="0" w:color="auto"/>
            </w:tcBorders>
          </w:tcPr>
          <w:p w14:paraId="3723F1B3" w14:textId="77777777" w:rsidR="009C689C" w:rsidRPr="009C689C" w:rsidRDefault="009C689C" w:rsidP="00045A8A">
            <w:pPr>
              <w:rPr>
                <w:rFonts w:ascii="Arial" w:hAnsi="Arial" w:cs="Arial"/>
                <w:sz w:val="20"/>
                <w:szCs w:val="20"/>
              </w:rPr>
            </w:pPr>
            <w:r w:rsidRPr="009C689C">
              <w:rPr>
                <w:rFonts w:ascii="Arial" w:hAnsi="Arial" w:cs="Arial"/>
                <w:sz w:val="20"/>
                <w:szCs w:val="20"/>
              </w:rPr>
              <w:t>0</w:t>
            </w:r>
          </w:p>
        </w:tc>
      </w:tr>
      <w:tr w:rsidR="009C689C" w:rsidRPr="009C689C" w14:paraId="40B65BC7" w14:textId="77777777" w:rsidTr="00101AA7">
        <w:trPr>
          <w:trHeight w:val="300"/>
          <w:jc w:val="center"/>
        </w:trPr>
        <w:tc>
          <w:tcPr>
            <w:tcW w:w="944" w:type="dxa"/>
            <w:noWrap/>
          </w:tcPr>
          <w:p w14:paraId="7D5381B1" w14:textId="77777777" w:rsidR="009C689C" w:rsidRPr="009C689C" w:rsidRDefault="009C689C" w:rsidP="00045A8A">
            <w:pPr>
              <w:spacing w:line="276" w:lineRule="auto"/>
              <w:rPr>
                <w:rFonts w:ascii="Arial" w:hAnsi="Arial" w:cs="Arial"/>
                <w:b/>
                <w:bCs/>
                <w:sz w:val="20"/>
                <w:szCs w:val="20"/>
              </w:rPr>
            </w:pPr>
            <w:r w:rsidRPr="009C689C">
              <w:rPr>
                <w:rFonts w:ascii="Arial" w:hAnsi="Arial" w:cs="Arial"/>
                <w:b/>
                <w:bCs/>
                <w:sz w:val="20"/>
                <w:szCs w:val="20"/>
              </w:rPr>
              <w:t>2017</w:t>
            </w:r>
          </w:p>
        </w:tc>
        <w:tc>
          <w:tcPr>
            <w:tcW w:w="1985" w:type="dxa"/>
            <w:noWrap/>
          </w:tcPr>
          <w:p w14:paraId="07A3532C"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131891</w:t>
            </w:r>
          </w:p>
        </w:tc>
        <w:tc>
          <w:tcPr>
            <w:tcW w:w="2693" w:type="dxa"/>
            <w:noWrap/>
          </w:tcPr>
          <w:p w14:paraId="1FBA79CE"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87402</w:t>
            </w:r>
          </w:p>
        </w:tc>
        <w:tc>
          <w:tcPr>
            <w:tcW w:w="1701" w:type="dxa"/>
            <w:noWrap/>
          </w:tcPr>
          <w:p w14:paraId="4FDF9DDD"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219293</w:t>
            </w:r>
          </w:p>
        </w:tc>
        <w:tc>
          <w:tcPr>
            <w:tcW w:w="1639" w:type="dxa"/>
          </w:tcPr>
          <w:p w14:paraId="50B812CE" w14:textId="77777777" w:rsidR="009C689C" w:rsidRPr="009C689C" w:rsidRDefault="009C689C" w:rsidP="00045A8A">
            <w:pPr>
              <w:rPr>
                <w:rFonts w:ascii="Arial" w:hAnsi="Arial" w:cs="Arial"/>
                <w:sz w:val="20"/>
                <w:szCs w:val="20"/>
              </w:rPr>
            </w:pPr>
            <w:r w:rsidRPr="009C689C">
              <w:rPr>
                <w:rFonts w:ascii="Arial" w:hAnsi="Arial" w:cs="Arial"/>
                <w:sz w:val="20"/>
                <w:szCs w:val="20"/>
              </w:rPr>
              <w:t>0</w:t>
            </w:r>
          </w:p>
        </w:tc>
      </w:tr>
      <w:tr w:rsidR="009C689C" w:rsidRPr="009C689C" w14:paraId="23D48EE3" w14:textId="77777777" w:rsidTr="00101AA7">
        <w:trPr>
          <w:trHeight w:val="300"/>
          <w:jc w:val="center"/>
        </w:trPr>
        <w:tc>
          <w:tcPr>
            <w:tcW w:w="944" w:type="dxa"/>
            <w:noWrap/>
            <w:hideMark/>
          </w:tcPr>
          <w:p w14:paraId="2EEBAD32" w14:textId="77777777" w:rsidR="009C689C" w:rsidRPr="009C689C" w:rsidRDefault="009C689C" w:rsidP="00045A8A">
            <w:pPr>
              <w:spacing w:line="276" w:lineRule="auto"/>
              <w:rPr>
                <w:rFonts w:ascii="Arial" w:hAnsi="Arial" w:cs="Arial"/>
                <w:b/>
                <w:bCs/>
                <w:sz w:val="20"/>
                <w:szCs w:val="20"/>
              </w:rPr>
            </w:pPr>
            <w:r w:rsidRPr="009C689C">
              <w:rPr>
                <w:rFonts w:ascii="Arial" w:hAnsi="Arial" w:cs="Arial"/>
                <w:b/>
                <w:bCs/>
                <w:sz w:val="20"/>
                <w:szCs w:val="20"/>
              </w:rPr>
              <w:t>2018</w:t>
            </w:r>
          </w:p>
        </w:tc>
        <w:tc>
          <w:tcPr>
            <w:tcW w:w="1985" w:type="dxa"/>
            <w:noWrap/>
            <w:hideMark/>
          </w:tcPr>
          <w:p w14:paraId="22603115"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241345</w:t>
            </w:r>
          </w:p>
        </w:tc>
        <w:tc>
          <w:tcPr>
            <w:tcW w:w="2693" w:type="dxa"/>
            <w:noWrap/>
            <w:hideMark/>
          </w:tcPr>
          <w:p w14:paraId="5F47A4E7"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81808</w:t>
            </w:r>
          </w:p>
        </w:tc>
        <w:tc>
          <w:tcPr>
            <w:tcW w:w="1701" w:type="dxa"/>
            <w:noWrap/>
            <w:hideMark/>
          </w:tcPr>
          <w:p w14:paraId="5A8E2D8C" w14:textId="77777777" w:rsidR="009C689C" w:rsidRPr="009C689C" w:rsidRDefault="009C689C" w:rsidP="00045A8A">
            <w:pPr>
              <w:spacing w:line="276" w:lineRule="auto"/>
              <w:rPr>
                <w:rFonts w:ascii="Arial" w:hAnsi="Arial" w:cs="Arial"/>
                <w:sz w:val="20"/>
                <w:szCs w:val="20"/>
              </w:rPr>
            </w:pPr>
            <w:bookmarkStart w:id="0" w:name="_Hlk161905797"/>
            <w:r w:rsidRPr="009C689C">
              <w:rPr>
                <w:rFonts w:ascii="Arial" w:hAnsi="Arial" w:cs="Arial"/>
                <w:sz w:val="20"/>
                <w:szCs w:val="20"/>
              </w:rPr>
              <w:t>323153</w:t>
            </w:r>
            <w:bookmarkEnd w:id="0"/>
          </w:p>
        </w:tc>
        <w:tc>
          <w:tcPr>
            <w:tcW w:w="1639" w:type="dxa"/>
          </w:tcPr>
          <w:p w14:paraId="1B7648D3" w14:textId="77777777" w:rsidR="009C689C" w:rsidRPr="009C689C" w:rsidRDefault="009C689C" w:rsidP="00045A8A">
            <w:pPr>
              <w:rPr>
                <w:rFonts w:ascii="Arial" w:hAnsi="Arial" w:cs="Arial"/>
                <w:sz w:val="20"/>
                <w:szCs w:val="20"/>
              </w:rPr>
            </w:pPr>
            <w:r w:rsidRPr="009C689C">
              <w:rPr>
                <w:rFonts w:ascii="Arial" w:hAnsi="Arial" w:cs="Arial"/>
                <w:sz w:val="20"/>
                <w:szCs w:val="20"/>
              </w:rPr>
              <w:t>48</w:t>
            </w:r>
          </w:p>
        </w:tc>
      </w:tr>
      <w:tr w:rsidR="009C689C" w:rsidRPr="009C689C" w14:paraId="29AD1A25" w14:textId="77777777" w:rsidTr="00101AA7">
        <w:trPr>
          <w:trHeight w:val="300"/>
          <w:jc w:val="center"/>
        </w:trPr>
        <w:tc>
          <w:tcPr>
            <w:tcW w:w="944" w:type="dxa"/>
            <w:noWrap/>
            <w:hideMark/>
          </w:tcPr>
          <w:p w14:paraId="2C7A51D7" w14:textId="77777777" w:rsidR="009C689C" w:rsidRPr="009C689C" w:rsidRDefault="009C689C" w:rsidP="00045A8A">
            <w:pPr>
              <w:spacing w:line="276" w:lineRule="auto"/>
              <w:rPr>
                <w:rFonts w:ascii="Arial" w:hAnsi="Arial" w:cs="Arial"/>
                <w:b/>
                <w:bCs/>
                <w:sz w:val="20"/>
                <w:szCs w:val="20"/>
              </w:rPr>
            </w:pPr>
            <w:r w:rsidRPr="009C689C">
              <w:rPr>
                <w:rFonts w:ascii="Arial" w:hAnsi="Arial" w:cs="Arial"/>
                <w:b/>
                <w:bCs/>
                <w:sz w:val="20"/>
                <w:szCs w:val="20"/>
              </w:rPr>
              <w:t>2019</w:t>
            </w:r>
          </w:p>
        </w:tc>
        <w:tc>
          <w:tcPr>
            <w:tcW w:w="1985" w:type="dxa"/>
            <w:noWrap/>
            <w:hideMark/>
          </w:tcPr>
          <w:p w14:paraId="6BA2617F"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217541</w:t>
            </w:r>
          </w:p>
        </w:tc>
        <w:tc>
          <w:tcPr>
            <w:tcW w:w="2693" w:type="dxa"/>
            <w:noWrap/>
            <w:hideMark/>
          </w:tcPr>
          <w:p w14:paraId="4F832E69"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102820</w:t>
            </w:r>
          </w:p>
        </w:tc>
        <w:tc>
          <w:tcPr>
            <w:tcW w:w="1701" w:type="dxa"/>
            <w:noWrap/>
            <w:hideMark/>
          </w:tcPr>
          <w:p w14:paraId="769853EC"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320361</w:t>
            </w:r>
          </w:p>
        </w:tc>
        <w:tc>
          <w:tcPr>
            <w:tcW w:w="1639" w:type="dxa"/>
          </w:tcPr>
          <w:p w14:paraId="4CD88682" w14:textId="77777777" w:rsidR="009C689C" w:rsidRPr="009C689C" w:rsidRDefault="009C689C" w:rsidP="00045A8A">
            <w:pPr>
              <w:rPr>
                <w:rFonts w:ascii="Arial" w:hAnsi="Arial" w:cs="Arial"/>
                <w:sz w:val="20"/>
                <w:szCs w:val="20"/>
              </w:rPr>
            </w:pPr>
            <w:r w:rsidRPr="009C689C">
              <w:rPr>
                <w:rFonts w:ascii="Arial" w:hAnsi="Arial" w:cs="Arial"/>
                <w:sz w:val="20"/>
                <w:szCs w:val="20"/>
              </w:rPr>
              <w:t>195</w:t>
            </w:r>
          </w:p>
        </w:tc>
      </w:tr>
      <w:tr w:rsidR="009C689C" w:rsidRPr="009C689C" w14:paraId="0C4EA4AF" w14:textId="77777777" w:rsidTr="00101AA7">
        <w:trPr>
          <w:trHeight w:val="300"/>
          <w:jc w:val="center"/>
        </w:trPr>
        <w:tc>
          <w:tcPr>
            <w:tcW w:w="944" w:type="dxa"/>
            <w:noWrap/>
            <w:hideMark/>
          </w:tcPr>
          <w:p w14:paraId="70D0CD03" w14:textId="77777777" w:rsidR="009C689C" w:rsidRPr="009C689C" w:rsidRDefault="009C689C" w:rsidP="00045A8A">
            <w:pPr>
              <w:spacing w:line="276" w:lineRule="auto"/>
              <w:rPr>
                <w:rFonts w:ascii="Arial" w:hAnsi="Arial" w:cs="Arial"/>
                <w:b/>
                <w:bCs/>
                <w:sz w:val="20"/>
                <w:szCs w:val="20"/>
              </w:rPr>
            </w:pPr>
            <w:r w:rsidRPr="009C689C">
              <w:rPr>
                <w:rFonts w:ascii="Arial" w:hAnsi="Arial" w:cs="Arial"/>
                <w:b/>
                <w:bCs/>
                <w:sz w:val="20"/>
                <w:szCs w:val="20"/>
              </w:rPr>
              <w:t>2020</w:t>
            </w:r>
          </w:p>
        </w:tc>
        <w:tc>
          <w:tcPr>
            <w:tcW w:w="1985" w:type="dxa"/>
            <w:noWrap/>
            <w:hideMark/>
          </w:tcPr>
          <w:p w14:paraId="1555E88C"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171129</w:t>
            </w:r>
          </w:p>
        </w:tc>
        <w:tc>
          <w:tcPr>
            <w:tcW w:w="2693" w:type="dxa"/>
            <w:noWrap/>
            <w:hideMark/>
          </w:tcPr>
          <w:p w14:paraId="1BC71176"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75006</w:t>
            </w:r>
          </w:p>
        </w:tc>
        <w:tc>
          <w:tcPr>
            <w:tcW w:w="1701" w:type="dxa"/>
            <w:noWrap/>
            <w:hideMark/>
          </w:tcPr>
          <w:p w14:paraId="3EF5A419" w14:textId="77777777" w:rsidR="009C689C" w:rsidRPr="009C689C" w:rsidRDefault="009C689C" w:rsidP="00045A8A">
            <w:pPr>
              <w:spacing w:line="276" w:lineRule="auto"/>
              <w:rPr>
                <w:rFonts w:ascii="Arial" w:hAnsi="Arial" w:cs="Arial"/>
                <w:sz w:val="20"/>
                <w:szCs w:val="20"/>
              </w:rPr>
            </w:pPr>
            <w:bookmarkStart w:id="1" w:name="_Hlk161905934"/>
            <w:r w:rsidRPr="009C689C">
              <w:rPr>
                <w:rFonts w:ascii="Arial" w:hAnsi="Arial" w:cs="Arial"/>
                <w:sz w:val="20"/>
                <w:szCs w:val="20"/>
              </w:rPr>
              <w:t>246135</w:t>
            </w:r>
            <w:bookmarkEnd w:id="1"/>
          </w:p>
        </w:tc>
        <w:tc>
          <w:tcPr>
            <w:tcW w:w="1639" w:type="dxa"/>
          </w:tcPr>
          <w:p w14:paraId="70A530D1" w14:textId="77777777" w:rsidR="009C689C" w:rsidRPr="009C689C" w:rsidRDefault="009C689C" w:rsidP="00045A8A">
            <w:pPr>
              <w:rPr>
                <w:rFonts w:ascii="Arial" w:hAnsi="Arial" w:cs="Arial"/>
                <w:sz w:val="20"/>
                <w:szCs w:val="20"/>
              </w:rPr>
            </w:pPr>
            <w:r w:rsidRPr="009C689C">
              <w:rPr>
                <w:rFonts w:ascii="Arial" w:hAnsi="Arial" w:cs="Arial"/>
                <w:sz w:val="20"/>
                <w:szCs w:val="20"/>
              </w:rPr>
              <w:t>1572</w:t>
            </w:r>
          </w:p>
        </w:tc>
      </w:tr>
      <w:tr w:rsidR="009C689C" w:rsidRPr="009C689C" w14:paraId="22555695" w14:textId="77777777" w:rsidTr="00101AA7">
        <w:trPr>
          <w:trHeight w:val="300"/>
          <w:jc w:val="center"/>
        </w:trPr>
        <w:tc>
          <w:tcPr>
            <w:tcW w:w="944" w:type="dxa"/>
            <w:noWrap/>
            <w:hideMark/>
          </w:tcPr>
          <w:p w14:paraId="401090A3" w14:textId="77777777" w:rsidR="009C689C" w:rsidRPr="009C689C" w:rsidRDefault="009C689C" w:rsidP="00045A8A">
            <w:pPr>
              <w:spacing w:line="276" w:lineRule="auto"/>
              <w:rPr>
                <w:rFonts w:ascii="Arial" w:hAnsi="Arial" w:cs="Arial"/>
                <w:b/>
                <w:bCs/>
                <w:sz w:val="20"/>
                <w:szCs w:val="20"/>
              </w:rPr>
            </w:pPr>
            <w:r w:rsidRPr="009C689C">
              <w:rPr>
                <w:rFonts w:ascii="Arial" w:hAnsi="Arial" w:cs="Arial"/>
                <w:b/>
                <w:bCs/>
                <w:sz w:val="20"/>
                <w:szCs w:val="20"/>
              </w:rPr>
              <w:t>2021</w:t>
            </w:r>
          </w:p>
        </w:tc>
        <w:tc>
          <w:tcPr>
            <w:tcW w:w="1985" w:type="dxa"/>
            <w:noWrap/>
            <w:hideMark/>
          </w:tcPr>
          <w:p w14:paraId="5689867E"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174648</w:t>
            </w:r>
          </w:p>
        </w:tc>
        <w:tc>
          <w:tcPr>
            <w:tcW w:w="2693" w:type="dxa"/>
            <w:noWrap/>
            <w:hideMark/>
          </w:tcPr>
          <w:p w14:paraId="74F98256"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3864</w:t>
            </w:r>
          </w:p>
        </w:tc>
        <w:tc>
          <w:tcPr>
            <w:tcW w:w="1701" w:type="dxa"/>
            <w:noWrap/>
            <w:hideMark/>
          </w:tcPr>
          <w:p w14:paraId="230A1308"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178512</w:t>
            </w:r>
          </w:p>
        </w:tc>
        <w:tc>
          <w:tcPr>
            <w:tcW w:w="1639" w:type="dxa"/>
          </w:tcPr>
          <w:p w14:paraId="5488E210" w14:textId="77777777" w:rsidR="009C689C" w:rsidRPr="009C689C" w:rsidRDefault="009C689C" w:rsidP="00045A8A">
            <w:pPr>
              <w:rPr>
                <w:rFonts w:ascii="Arial" w:hAnsi="Arial" w:cs="Arial"/>
                <w:sz w:val="20"/>
                <w:szCs w:val="20"/>
              </w:rPr>
            </w:pPr>
            <w:r w:rsidRPr="009C689C">
              <w:rPr>
                <w:rFonts w:ascii="Arial" w:hAnsi="Arial" w:cs="Arial"/>
                <w:sz w:val="20"/>
                <w:szCs w:val="20"/>
              </w:rPr>
              <w:t>64</w:t>
            </w:r>
          </w:p>
        </w:tc>
      </w:tr>
      <w:tr w:rsidR="009C689C" w:rsidRPr="009C689C" w14:paraId="5070B339" w14:textId="77777777" w:rsidTr="00101AA7">
        <w:trPr>
          <w:trHeight w:val="300"/>
          <w:jc w:val="center"/>
        </w:trPr>
        <w:tc>
          <w:tcPr>
            <w:tcW w:w="944" w:type="dxa"/>
            <w:tcBorders>
              <w:bottom w:val="single" w:sz="4" w:space="0" w:color="auto"/>
            </w:tcBorders>
            <w:noWrap/>
            <w:hideMark/>
          </w:tcPr>
          <w:p w14:paraId="3EE752A4" w14:textId="77777777" w:rsidR="009C689C" w:rsidRPr="009C689C" w:rsidRDefault="009C689C" w:rsidP="00045A8A">
            <w:pPr>
              <w:spacing w:line="276" w:lineRule="auto"/>
              <w:rPr>
                <w:rFonts w:ascii="Arial" w:hAnsi="Arial" w:cs="Arial"/>
                <w:b/>
                <w:bCs/>
                <w:sz w:val="20"/>
                <w:szCs w:val="20"/>
              </w:rPr>
            </w:pPr>
            <w:r w:rsidRPr="009C689C">
              <w:rPr>
                <w:rFonts w:ascii="Arial" w:hAnsi="Arial" w:cs="Arial"/>
                <w:b/>
                <w:bCs/>
                <w:sz w:val="20"/>
                <w:szCs w:val="20"/>
              </w:rPr>
              <w:t>Total</w:t>
            </w:r>
          </w:p>
        </w:tc>
        <w:tc>
          <w:tcPr>
            <w:tcW w:w="1985" w:type="dxa"/>
            <w:tcBorders>
              <w:bottom w:val="single" w:sz="4" w:space="0" w:color="auto"/>
            </w:tcBorders>
            <w:noWrap/>
            <w:hideMark/>
          </w:tcPr>
          <w:p w14:paraId="4B5A467A"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1068742</w:t>
            </w:r>
          </w:p>
        </w:tc>
        <w:tc>
          <w:tcPr>
            <w:tcW w:w="2693" w:type="dxa"/>
            <w:tcBorders>
              <w:bottom w:val="single" w:sz="4" w:space="0" w:color="auto"/>
            </w:tcBorders>
            <w:noWrap/>
            <w:hideMark/>
          </w:tcPr>
          <w:p w14:paraId="614E9B8C"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434962</w:t>
            </w:r>
          </w:p>
        </w:tc>
        <w:tc>
          <w:tcPr>
            <w:tcW w:w="1701" w:type="dxa"/>
            <w:tcBorders>
              <w:bottom w:val="single" w:sz="4" w:space="0" w:color="auto"/>
            </w:tcBorders>
            <w:noWrap/>
            <w:hideMark/>
          </w:tcPr>
          <w:p w14:paraId="1FB232E9" w14:textId="77777777" w:rsidR="009C689C" w:rsidRPr="009C689C" w:rsidRDefault="009C689C" w:rsidP="00045A8A">
            <w:pPr>
              <w:spacing w:line="276" w:lineRule="auto"/>
              <w:rPr>
                <w:rFonts w:ascii="Arial" w:hAnsi="Arial" w:cs="Arial"/>
                <w:sz w:val="20"/>
                <w:szCs w:val="20"/>
              </w:rPr>
            </w:pPr>
            <w:r w:rsidRPr="009C689C">
              <w:rPr>
                <w:rFonts w:ascii="Arial" w:hAnsi="Arial" w:cs="Arial"/>
                <w:sz w:val="20"/>
                <w:szCs w:val="20"/>
              </w:rPr>
              <w:t>1503704</w:t>
            </w:r>
          </w:p>
        </w:tc>
        <w:tc>
          <w:tcPr>
            <w:tcW w:w="1639" w:type="dxa"/>
            <w:tcBorders>
              <w:bottom w:val="single" w:sz="4" w:space="0" w:color="auto"/>
            </w:tcBorders>
          </w:tcPr>
          <w:p w14:paraId="1257E173" w14:textId="77777777" w:rsidR="009C689C" w:rsidRPr="009C689C" w:rsidRDefault="009C689C" w:rsidP="00045A8A">
            <w:pPr>
              <w:rPr>
                <w:rFonts w:ascii="Arial" w:hAnsi="Arial" w:cs="Arial"/>
                <w:sz w:val="20"/>
                <w:szCs w:val="20"/>
              </w:rPr>
            </w:pPr>
            <w:r w:rsidRPr="009C689C">
              <w:rPr>
                <w:rFonts w:ascii="Arial" w:hAnsi="Arial" w:cs="Arial"/>
                <w:sz w:val="20"/>
                <w:szCs w:val="20"/>
              </w:rPr>
              <w:t>1879</w:t>
            </w:r>
          </w:p>
        </w:tc>
      </w:tr>
    </w:tbl>
    <w:p w14:paraId="6749142B" w14:textId="77777777" w:rsidR="00B85200" w:rsidRPr="00B85200" w:rsidRDefault="00B85200" w:rsidP="00B85200">
      <w:pPr>
        <w:pStyle w:val="Body"/>
        <w:rPr>
          <w:rFonts w:ascii="Arial" w:hAnsi="Arial" w:cs="Arial"/>
        </w:rPr>
      </w:pPr>
    </w:p>
    <w:p w14:paraId="7E32DB67" w14:textId="77777777" w:rsidR="003B1BF6" w:rsidRPr="003B1BF6" w:rsidRDefault="003B1BF6" w:rsidP="003B1BF6">
      <w:pPr>
        <w:pStyle w:val="Body"/>
        <w:rPr>
          <w:rFonts w:ascii="Arial" w:hAnsi="Arial" w:cs="Arial"/>
          <w:lang w:val="pt-BR"/>
        </w:rPr>
      </w:pPr>
      <w:r w:rsidRPr="003B1BF6">
        <w:rPr>
          <w:rFonts w:ascii="Arial" w:hAnsi="Arial" w:cs="Arial"/>
          <w:lang w:val="pt-BR"/>
        </w:rPr>
        <w:t>With regard to the number of doses administered of the MMR and MMRV vaccines during the period from 2016 to 2021 (Table 3), it was observed that in the state of Pará immunization with the MMR vaccine predominated in all years analyzed (1,068,742) when compared with MMRV immunization (434,962). Furthermore, the highest number of isolated doses of MMR was administered in 2018 (241,345). In the same year, the highest total number of doses administered in Pará was also recorded (323,153).</w:t>
      </w:r>
    </w:p>
    <w:p w14:paraId="0017F27C" w14:textId="77777777" w:rsidR="003B1BF6" w:rsidRPr="003B1BF6" w:rsidRDefault="003B1BF6" w:rsidP="003B1BF6">
      <w:pPr>
        <w:pStyle w:val="Body"/>
        <w:rPr>
          <w:rFonts w:ascii="Arial" w:hAnsi="Arial" w:cs="Arial"/>
          <w:lang w:val="pt-BR"/>
        </w:rPr>
      </w:pPr>
      <w:r w:rsidRPr="003B1BF6">
        <w:rPr>
          <w:rFonts w:ascii="Arial" w:hAnsi="Arial" w:cs="Arial"/>
          <w:lang w:val="pt-BR"/>
        </w:rPr>
        <w:t>On the other hand, the highest rate of isolated administration of the MMRV vaccine occurred in 2019 (102,820) compared with the other years of vaccination.</w:t>
      </w:r>
    </w:p>
    <w:p w14:paraId="31BE4076" w14:textId="77777777" w:rsidR="003B1BF6" w:rsidRPr="003B1BF6" w:rsidRDefault="003B1BF6" w:rsidP="003B1BF6">
      <w:pPr>
        <w:pStyle w:val="Body"/>
        <w:rPr>
          <w:rFonts w:ascii="Arial" w:hAnsi="Arial" w:cs="Arial"/>
          <w:lang w:val="pt-BR"/>
        </w:rPr>
      </w:pPr>
      <w:r w:rsidRPr="003B1BF6">
        <w:rPr>
          <w:rFonts w:ascii="Arial" w:hAnsi="Arial" w:cs="Arial"/>
          <w:lang w:val="pt-BR"/>
        </w:rPr>
        <w:lastRenderedPageBreak/>
        <w:t>Subsequently, the years with the lowest numbers of total doses administered were 2021, with 178,512 doses, followed by 2016 (216,250) and 2017 (219,293).</w:t>
      </w:r>
    </w:p>
    <w:p w14:paraId="6ABBB84C" w14:textId="77777777" w:rsidR="003B1BF6" w:rsidRPr="003B1BF6" w:rsidRDefault="003B1BF6" w:rsidP="003B1BF6">
      <w:pPr>
        <w:pStyle w:val="Body"/>
        <w:rPr>
          <w:rFonts w:ascii="Arial" w:hAnsi="Arial" w:cs="Arial"/>
          <w:lang w:val="pt-BR"/>
        </w:rPr>
      </w:pPr>
      <w:r w:rsidRPr="003B1BF6">
        <w:rPr>
          <w:rFonts w:ascii="Arial" w:hAnsi="Arial" w:cs="Arial"/>
          <w:lang w:val="pt-BR"/>
        </w:rPr>
        <w:t>In addition, comparatively, in 2018 new measles cases were reported in the state of Pará (48), marking the reappearance of the disease in the region. Nevertheless, in that same year, the highest number of MMR and MMRV doses was administered (323,153). Conversely, in 2020 the highest number of cases (1,572) was observed, together with one of the lowest numbers of vaccine doses (246,135), when compared with 2018 and 2019.</w:t>
      </w:r>
    </w:p>
    <w:p w14:paraId="3E9A2363" w14:textId="77777777" w:rsidR="003B1BF6" w:rsidRPr="003B1BF6" w:rsidRDefault="003B1BF6" w:rsidP="003B1BF6">
      <w:pPr>
        <w:pStyle w:val="Body"/>
        <w:rPr>
          <w:rFonts w:ascii="Arial" w:hAnsi="Arial" w:cs="Arial"/>
          <w:b/>
          <w:bCs/>
          <w:lang w:val="pt-BR"/>
        </w:rPr>
      </w:pPr>
      <w:r w:rsidRPr="003B1BF6">
        <w:rPr>
          <w:rFonts w:ascii="Arial" w:hAnsi="Arial" w:cs="Arial"/>
          <w:b/>
          <w:bCs/>
          <w:lang w:val="pt-BR"/>
        </w:rPr>
        <w:t>Table 4. MMR vaccine doses administered to age groups between 0 and 14 years, from 2016 to 2021, in the state of Pará.</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9"/>
        <w:gridCol w:w="955"/>
        <w:gridCol w:w="816"/>
        <w:gridCol w:w="946"/>
        <w:gridCol w:w="946"/>
        <w:gridCol w:w="947"/>
        <w:gridCol w:w="919"/>
        <w:gridCol w:w="1086"/>
      </w:tblGrid>
      <w:tr w:rsidR="00E727B8" w:rsidRPr="00800300" w14:paraId="12D7B3BF" w14:textId="77777777" w:rsidTr="00DA42E5">
        <w:trPr>
          <w:trHeight w:val="288"/>
          <w:jc w:val="center"/>
        </w:trPr>
        <w:tc>
          <w:tcPr>
            <w:tcW w:w="1809" w:type="dxa"/>
            <w:tcBorders>
              <w:top w:val="single" w:sz="4" w:space="0" w:color="auto"/>
              <w:bottom w:val="single" w:sz="4" w:space="0" w:color="auto"/>
            </w:tcBorders>
            <w:noWrap/>
            <w:hideMark/>
          </w:tcPr>
          <w:p w14:paraId="3100F578" w14:textId="47DB07A5" w:rsidR="00E727B8" w:rsidRPr="00800300" w:rsidRDefault="00E418F2" w:rsidP="00045A8A">
            <w:pPr>
              <w:spacing w:line="276" w:lineRule="auto"/>
              <w:rPr>
                <w:rFonts w:ascii="Times New Roman" w:hAnsi="Times New Roman"/>
                <w:b/>
                <w:bCs/>
                <w:sz w:val="20"/>
                <w:szCs w:val="20"/>
              </w:rPr>
            </w:pPr>
            <w:r w:rsidRPr="00E418F2">
              <w:rPr>
                <w:rFonts w:ascii="Times New Roman" w:hAnsi="Times New Roman"/>
                <w:b/>
                <w:bCs/>
                <w:sz w:val="20"/>
                <w:szCs w:val="20"/>
              </w:rPr>
              <w:t>Age Group</w:t>
            </w:r>
          </w:p>
        </w:tc>
        <w:tc>
          <w:tcPr>
            <w:tcW w:w="988" w:type="dxa"/>
            <w:tcBorders>
              <w:top w:val="single" w:sz="4" w:space="0" w:color="auto"/>
              <w:bottom w:val="single" w:sz="4" w:space="0" w:color="auto"/>
            </w:tcBorders>
          </w:tcPr>
          <w:p w14:paraId="0CD5BBB0" w14:textId="77777777"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2016</w:t>
            </w:r>
          </w:p>
        </w:tc>
        <w:tc>
          <w:tcPr>
            <w:tcW w:w="783" w:type="dxa"/>
            <w:tcBorders>
              <w:top w:val="single" w:sz="4" w:space="0" w:color="auto"/>
              <w:bottom w:val="single" w:sz="4" w:space="0" w:color="auto"/>
            </w:tcBorders>
          </w:tcPr>
          <w:p w14:paraId="7E8E0029" w14:textId="77777777"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2017</w:t>
            </w:r>
          </w:p>
        </w:tc>
        <w:tc>
          <w:tcPr>
            <w:tcW w:w="946" w:type="dxa"/>
            <w:tcBorders>
              <w:top w:val="single" w:sz="4" w:space="0" w:color="auto"/>
              <w:bottom w:val="single" w:sz="4" w:space="0" w:color="auto"/>
            </w:tcBorders>
            <w:noWrap/>
            <w:hideMark/>
          </w:tcPr>
          <w:p w14:paraId="28A93210" w14:textId="77777777"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2018</w:t>
            </w:r>
          </w:p>
        </w:tc>
        <w:tc>
          <w:tcPr>
            <w:tcW w:w="946" w:type="dxa"/>
            <w:tcBorders>
              <w:top w:val="single" w:sz="4" w:space="0" w:color="auto"/>
              <w:bottom w:val="single" w:sz="4" w:space="0" w:color="auto"/>
            </w:tcBorders>
            <w:noWrap/>
            <w:hideMark/>
          </w:tcPr>
          <w:p w14:paraId="7DF24B61" w14:textId="77777777"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2019</w:t>
            </w:r>
          </w:p>
        </w:tc>
        <w:tc>
          <w:tcPr>
            <w:tcW w:w="947" w:type="dxa"/>
            <w:tcBorders>
              <w:top w:val="single" w:sz="4" w:space="0" w:color="auto"/>
              <w:bottom w:val="single" w:sz="4" w:space="0" w:color="auto"/>
            </w:tcBorders>
            <w:noWrap/>
            <w:hideMark/>
          </w:tcPr>
          <w:p w14:paraId="5342B196" w14:textId="77777777"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2020</w:t>
            </w:r>
          </w:p>
        </w:tc>
        <w:tc>
          <w:tcPr>
            <w:tcW w:w="919" w:type="dxa"/>
            <w:tcBorders>
              <w:top w:val="single" w:sz="4" w:space="0" w:color="auto"/>
              <w:bottom w:val="single" w:sz="4" w:space="0" w:color="auto"/>
            </w:tcBorders>
            <w:noWrap/>
            <w:hideMark/>
          </w:tcPr>
          <w:p w14:paraId="40A3B051" w14:textId="77777777"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2021</w:t>
            </w:r>
          </w:p>
        </w:tc>
        <w:tc>
          <w:tcPr>
            <w:tcW w:w="1086" w:type="dxa"/>
            <w:tcBorders>
              <w:top w:val="single" w:sz="4" w:space="0" w:color="auto"/>
              <w:bottom w:val="single" w:sz="4" w:space="0" w:color="auto"/>
            </w:tcBorders>
            <w:noWrap/>
            <w:hideMark/>
          </w:tcPr>
          <w:p w14:paraId="62AFF1AF" w14:textId="77777777"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Total</w:t>
            </w:r>
          </w:p>
        </w:tc>
      </w:tr>
      <w:tr w:rsidR="00E727B8" w:rsidRPr="00800300" w14:paraId="57749A77" w14:textId="77777777" w:rsidTr="00DA42E5">
        <w:trPr>
          <w:trHeight w:val="288"/>
          <w:jc w:val="center"/>
        </w:trPr>
        <w:tc>
          <w:tcPr>
            <w:tcW w:w="1809" w:type="dxa"/>
            <w:tcBorders>
              <w:top w:val="single" w:sz="4" w:space="0" w:color="auto"/>
            </w:tcBorders>
            <w:noWrap/>
            <w:hideMark/>
          </w:tcPr>
          <w:p w14:paraId="781772CF" w14:textId="67A46A5C"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 xml:space="preserve">&lt; 1 </w:t>
            </w:r>
            <w:r w:rsidR="005D073F" w:rsidRPr="005D073F">
              <w:rPr>
                <w:rFonts w:ascii="Times New Roman" w:hAnsi="Times New Roman"/>
                <w:b/>
                <w:bCs/>
                <w:sz w:val="20"/>
                <w:szCs w:val="20"/>
              </w:rPr>
              <w:t>years</w:t>
            </w:r>
          </w:p>
        </w:tc>
        <w:tc>
          <w:tcPr>
            <w:tcW w:w="988" w:type="dxa"/>
            <w:tcBorders>
              <w:top w:val="single" w:sz="4" w:space="0" w:color="auto"/>
            </w:tcBorders>
          </w:tcPr>
          <w:p w14:paraId="369C79E4"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896</w:t>
            </w:r>
          </w:p>
        </w:tc>
        <w:tc>
          <w:tcPr>
            <w:tcW w:w="783" w:type="dxa"/>
            <w:tcBorders>
              <w:top w:val="single" w:sz="4" w:space="0" w:color="auto"/>
            </w:tcBorders>
          </w:tcPr>
          <w:p w14:paraId="2BFD0210"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1091</w:t>
            </w:r>
          </w:p>
        </w:tc>
        <w:tc>
          <w:tcPr>
            <w:tcW w:w="946" w:type="dxa"/>
            <w:tcBorders>
              <w:top w:val="single" w:sz="4" w:space="0" w:color="auto"/>
            </w:tcBorders>
            <w:noWrap/>
            <w:hideMark/>
          </w:tcPr>
          <w:p w14:paraId="2444D84F"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1443</w:t>
            </w:r>
          </w:p>
        </w:tc>
        <w:tc>
          <w:tcPr>
            <w:tcW w:w="946" w:type="dxa"/>
            <w:tcBorders>
              <w:top w:val="single" w:sz="4" w:space="0" w:color="auto"/>
            </w:tcBorders>
            <w:noWrap/>
            <w:hideMark/>
          </w:tcPr>
          <w:p w14:paraId="002B26E5"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55842</w:t>
            </w:r>
          </w:p>
        </w:tc>
        <w:tc>
          <w:tcPr>
            <w:tcW w:w="947" w:type="dxa"/>
            <w:tcBorders>
              <w:top w:val="single" w:sz="4" w:space="0" w:color="auto"/>
            </w:tcBorders>
            <w:noWrap/>
            <w:hideMark/>
          </w:tcPr>
          <w:p w14:paraId="127FCAA7"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44142</w:t>
            </w:r>
          </w:p>
        </w:tc>
        <w:tc>
          <w:tcPr>
            <w:tcW w:w="919" w:type="dxa"/>
            <w:tcBorders>
              <w:top w:val="single" w:sz="4" w:space="0" w:color="auto"/>
            </w:tcBorders>
            <w:noWrap/>
            <w:hideMark/>
          </w:tcPr>
          <w:p w14:paraId="4B8E29A2"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27445</w:t>
            </w:r>
          </w:p>
        </w:tc>
        <w:tc>
          <w:tcPr>
            <w:tcW w:w="1086" w:type="dxa"/>
            <w:tcBorders>
              <w:top w:val="single" w:sz="4" w:space="0" w:color="auto"/>
            </w:tcBorders>
            <w:noWrap/>
            <w:hideMark/>
          </w:tcPr>
          <w:p w14:paraId="27E00034"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130859</w:t>
            </w:r>
          </w:p>
        </w:tc>
      </w:tr>
      <w:tr w:rsidR="00E727B8" w:rsidRPr="00800300" w14:paraId="43CC0D97" w14:textId="77777777" w:rsidTr="00DA42E5">
        <w:trPr>
          <w:trHeight w:val="288"/>
          <w:jc w:val="center"/>
        </w:trPr>
        <w:tc>
          <w:tcPr>
            <w:tcW w:w="1809" w:type="dxa"/>
            <w:noWrap/>
            <w:hideMark/>
          </w:tcPr>
          <w:p w14:paraId="2F569D53" w14:textId="5E5B8220"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 xml:space="preserve">1 </w:t>
            </w:r>
            <w:r w:rsidR="005D073F" w:rsidRPr="005D073F">
              <w:rPr>
                <w:rFonts w:ascii="Times New Roman" w:hAnsi="Times New Roman"/>
                <w:b/>
                <w:bCs/>
                <w:sz w:val="20"/>
                <w:szCs w:val="20"/>
              </w:rPr>
              <w:t>years</w:t>
            </w:r>
          </w:p>
        </w:tc>
        <w:tc>
          <w:tcPr>
            <w:tcW w:w="988" w:type="dxa"/>
          </w:tcPr>
          <w:p w14:paraId="28DE47AE"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105432</w:t>
            </w:r>
          </w:p>
        </w:tc>
        <w:tc>
          <w:tcPr>
            <w:tcW w:w="783" w:type="dxa"/>
          </w:tcPr>
          <w:p w14:paraId="72709F79"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106747</w:t>
            </w:r>
          </w:p>
        </w:tc>
        <w:tc>
          <w:tcPr>
            <w:tcW w:w="946" w:type="dxa"/>
            <w:noWrap/>
            <w:hideMark/>
          </w:tcPr>
          <w:p w14:paraId="65A2C6D0"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139778</w:t>
            </w:r>
          </w:p>
        </w:tc>
        <w:tc>
          <w:tcPr>
            <w:tcW w:w="946" w:type="dxa"/>
            <w:noWrap/>
            <w:hideMark/>
          </w:tcPr>
          <w:p w14:paraId="30B1FC18"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131280</w:t>
            </w:r>
          </w:p>
        </w:tc>
        <w:tc>
          <w:tcPr>
            <w:tcW w:w="947" w:type="dxa"/>
            <w:noWrap/>
            <w:hideMark/>
          </w:tcPr>
          <w:p w14:paraId="3720F917"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99967</w:t>
            </w:r>
          </w:p>
        </w:tc>
        <w:tc>
          <w:tcPr>
            <w:tcW w:w="919" w:type="dxa"/>
            <w:noWrap/>
            <w:hideMark/>
          </w:tcPr>
          <w:p w14:paraId="0700AF11"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126316</w:t>
            </w:r>
          </w:p>
        </w:tc>
        <w:tc>
          <w:tcPr>
            <w:tcW w:w="1086" w:type="dxa"/>
            <w:noWrap/>
            <w:hideMark/>
          </w:tcPr>
          <w:p w14:paraId="4048CC22"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709520</w:t>
            </w:r>
          </w:p>
        </w:tc>
      </w:tr>
      <w:tr w:rsidR="00E727B8" w:rsidRPr="00800300" w14:paraId="02CBCE2C" w14:textId="77777777" w:rsidTr="00DA42E5">
        <w:trPr>
          <w:trHeight w:val="288"/>
          <w:jc w:val="center"/>
        </w:trPr>
        <w:tc>
          <w:tcPr>
            <w:tcW w:w="1809" w:type="dxa"/>
            <w:noWrap/>
            <w:hideMark/>
          </w:tcPr>
          <w:p w14:paraId="06324083" w14:textId="6996C841"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 xml:space="preserve">2 </w:t>
            </w:r>
            <w:r w:rsidR="005D073F" w:rsidRPr="005D073F">
              <w:rPr>
                <w:rFonts w:ascii="Times New Roman" w:hAnsi="Times New Roman"/>
                <w:b/>
                <w:bCs/>
                <w:sz w:val="20"/>
                <w:szCs w:val="20"/>
              </w:rPr>
              <w:t>years</w:t>
            </w:r>
          </w:p>
        </w:tc>
        <w:tc>
          <w:tcPr>
            <w:tcW w:w="988" w:type="dxa"/>
          </w:tcPr>
          <w:p w14:paraId="50E18F38"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7159</w:t>
            </w:r>
          </w:p>
        </w:tc>
        <w:tc>
          <w:tcPr>
            <w:tcW w:w="783" w:type="dxa"/>
          </w:tcPr>
          <w:p w14:paraId="784048EF"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7438</w:t>
            </w:r>
          </w:p>
        </w:tc>
        <w:tc>
          <w:tcPr>
            <w:tcW w:w="946" w:type="dxa"/>
            <w:noWrap/>
            <w:hideMark/>
          </w:tcPr>
          <w:p w14:paraId="553AE0C0"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36174</w:t>
            </w:r>
          </w:p>
        </w:tc>
        <w:tc>
          <w:tcPr>
            <w:tcW w:w="946" w:type="dxa"/>
            <w:noWrap/>
            <w:hideMark/>
          </w:tcPr>
          <w:p w14:paraId="4ECCFD31"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10695</w:t>
            </w:r>
          </w:p>
        </w:tc>
        <w:tc>
          <w:tcPr>
            <w:tcW w:w="947" w:type="dxa"/>
            <w:noWrap/>
            <w:hideMark/>
          </w:tcPr>
          <w:p w14:paraId="291A19AB"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7163</w:t>
            </w:r>
          </w:p>
        </w:tc>
        <w:tc>
          <w:tcPr>
            <w:tcW w:w="919" w:type="dxa"/>
            <w:noWrap/>
            <w:hideMark/>
          </w:tcPr>
          <w:p w14:paraId="695778EE"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13036</w:t>
            </w:r>
          </w:p>
        </w:tc>
        <w:tc>
          <w:tcPr>
            <w:tcW w:w="1086" w:type="dxa"/>
            <w:noWrap/>
            <w:hideMark/>
          </w:tcPr>
          <w:p w14:paraId="5BC72B0F"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81665</w:t>
            </w:r>
          </w:p>
        </w:tc>
      </w:tr>
      <w:tr w:rsidR="00E727B8" w:rsidRPr="00800300" w14:paraId="1E48EB0D" w14:textId="77777777" w:rsidTr="00DA42E5">
        <w:trPr>
          <w:trHeight w:val="288"/>
          <w:jc w:val="center"/>
        </w:trPr>
        <w:tc>
          <w:tcPr>
            <w:tcW w:w="1809" w:type="dxa"/>
            <w:noWrap/>
          </w:tcPr>
          <w:p w14:paraId="5FB11ACA" w14:textId="5B4C517D"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 xml:space="preserve">3 </w:t>
            </w:r>
            <w:r w:rsidR="005D073F" w:rsidRPr="005D073F">
              <w:rPr>
                <w:rFonts w:ascii="Times New Roman" w:hAnsi="Times New Roman"/>
                <w:b/>
                <w:bCs/>
                <w:sz w:val="20"/>
                <w:szCs w:val="20"/>
              </w:rPr>
              <w:t>years</w:t>
            </w:r>
          </w:p>
        </w:tc>
        <w:tc>
          <w:tcPr>
            <w:tcW w:w="988" w:type="dxa"/>
          </w:tcPr>
          <w:p w14:paraId="285DA90E"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3109</w:t>
            </w:r>
          </w:p>
        </w:tc>
        <w:tc>
          <w:tcPr>
            <w:tcW w:w="783" w:type="dxa"/>
          </w:tcPr>
          <w:p w14:paraId="2C2B3742"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2938</w:t>
            </w:r>
          </w:p>
        </w:tc>
        <w:tc>
          <w:tcPr>
            <w:tcW w:w="946" w:type="dxa"/>
            <w:noWrap/>
          </w:tcPr>
          <w:p w14:paraId="10F3A929"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30969</w:t>
            </w:r>
          </w:p>
        </w:tc>
        <w:tc>
          <w:tcPr>
            <w:tcW w:w="946" w:type="dxa"/>
            <w:noWrap/>
          </w:tcPr>
          <w:p w14:paraId="6EAD36A0"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6337</w:t>
            </w:r>
          </w:p>
        </w:tc>
        <w:tc>
          <w:tcPr>
            <w:tcW w:w="947" w:type="dxa"/>
            <w:noWrap/>
          </w:tcPr>
          <w:p w14:paraId="061582D4"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3789</w:t>
            </w:r>
          </w:p>
        </w:tc>
        <w:tc>
          <w:tcPr>
            <w:tcW w:w="919" w:type="dxa"/>
            <w:noWrap/>
          </w:tcPr>
          <w:p w14:paraId="0248A54F"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2987</w:t>
            </w:r>
          </w:p>
        </w:tc>
        <w:tc>
          <w:tcPr>
            <w:tcW w:w="1086" w:type="dxa"/>
            <w:noWrap/>
          </w:tcPr>
          <w:p w14:paraId="37FA7435"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50129</w:t>
            </w:r>
          </w:p>
        </w:tc>
      </w:tr>
      <w:tr w:rsidR="00E727B8" w:rsidRPr="00800300" w14:paraId="5639962B" w14:textId="77777777" w:rsidTr="00DA42E5">
        <w:trPr>
          <w:trHeight w:val="288"/>
          <w:jc w:val="center"/>
        </w:trPr>
        <w:tc>
          <w:tcPr>
            <w:tcW w:w="1809" w:type="dxa"/>
            <w:noWrap/>
          </w:tcPr>
          <w:p w14:paraId="6E6E1B60" w14:textId="22B487C4"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 xml:space="preserve">4 </w:t>
            </w:r>
            <w:r w:rsidR="005D073F" w:rsidRPr="005D073F">
              <w:rPr>
                <w:rFonts w:ascii="Times New Roman" w:hAnsi="Times New Roman"/>
                <w:b/>
                <w:bCs/>
                <w:sz w:val="20"/>
                <w:szCs w:val="20"/>
              </w:rPr>
              <w:t>years</w:t>
            </w:r>
          </w:p>
        </w:tc>
        <w:tc>
          <w:tcPr>
            <w:tcW w:w="988" w:type="dxa"/>
          </w:tcPr>
          <w:p w14:paraId="111D20EC"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10528</w:t>
            </w:r>
          </w:p>
        </w:tc>
        <w:tc>
          <w:tcPr>
            <w:tcW w:w="783" w:type="dxa"/>
          </w:tcPr>
          <w:p w14:paraId="2584B8B4"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5132</w:t>
            </w:r>
          </w:p>
        </w:tc>
        <w:tc>
          <w:tcPr>
            <w:tcW w:w="946" w:type="dxa"/>
            <w:noWrap/>
          </w:tcPr>
          <w:p w14:paraId="6FAEA95B"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30082</w:t>
            </w:r>
          </w:p>
        </w:tc>
        <w:tc>
          <w:tcPr>
            <w:tcW w:w="946" w:type="dxa"/>
            <w:noWrap/>
          </w:tcPr>
          <w:p w14:paraId="1AA3EB57"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7450</w:t>
            </w:r>
          </w:p>
        </w:tc>
        <w:tc>
          <w:tcPr>
            <w:tcW w:w="947" w:type="dxa"/>
            <w:noWrap/>
          </w:tcPr>
          <w:p w14:paraId="1D883602"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4964</w:t>
            </w:r>
          </w:p>
        </w:tc>
        <w:tc>
          <w:tcPr>
            <w:tcW w:w="919" w:type="dxa"/>
            <w:noWrap/>
          </w:tcPr>
          <w:p w14:paraId="0D8CB68F"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2709</w:t>
            </w:r>
          </w:p>
        </w:tc>
        <w:tc>
          <w:tcPr>
            <w:tcW w:w="1086" w:type="dxa"/>
            <w:noWrap/>
          </w:tcPr>
          <w:p w14:paraId="6A443888"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60865</w:t>
            </w:r>
          </w:p>
        </w:tc>
      </w:tr>
      <w:tr w:rsidR="00E727B8" w:rsidRPr="00800300" w14:paraId="00800BE4" w14:textId="77777777" w:rsidTr="00DA42E5">
        <w:trPr>
          <w:trHeight w:val="288"/>
          <w:jc w:val="center"/>
        </w:trPr>
        <w:tc>
          <w:tcPr>
            <w:tcW w:w="1809" w:type="dxa"/>
            <w:noWrap/>
          </w:tcPr>
          <w:p w14:paraId="7A42C483" w14:textId="586507FF"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 xml:space="preserve">5 </w:t>
            </w:r>
            <w:r w:rsidR="005D073F" w:rsidRPr="005D073F">
              <w:rPr>
                <w:rFonts w:ascii="Times New Roman" w:hAnsi="Times New Roman"/>
                <w:b/>
                <w:bCs/>
                <w:sz w:val="20"/>
                <w:szCs w:val="20"/>
              </w:rPr>
              <w:t>years</w:t>
            </w:r>
          </w:p>
        </w:tc>
        <w:tc>
          <w:tcPr>
            <w:tcW w:w="988" w:type="dxa"/>
          </w:tcPr>
          <w:p w14:paraId="6E79CE12"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783" w:type="dxa"/>
          </w:tcPr>
          <w:p w14:paraId="51E38BBD"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474</w:t>
            </w:r>
          </w:p>
        </w:tc>
        <w:tc>
          <w:tcPr>
            <w:tcW w:w="946" w:type="dxa"/>
            <w:noWrap/>
          </w:tcPr>
          <w:p w14:paraId="2174AD99"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46" w:type="dxa"/>
            <w:noWrap/>
          </w:tcPr>
          <w:p w14:paraId="14349B8E"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47" w:type="dxa"/>
            <w:noWrap/>
          </w:tcPr>
          <w:p w14:paraId="41404950"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19" w:type="dxa"/>
            <w:noWrap/>
          </w:tcPr>
          <w:p w14:paraId="5A495AC7"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1086" w:type="dxa"/>
            <w:noWrap/>
          </w:tcPr>
          <w:p w14:paraId="4B2C6088"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474</w:t>
            </w:r>
          </w:p>
        </w:tc>
      </w:tr>
      <w:tr w:rsidR="00E727B8" w:rsidRPr="00800300" w14:paraId="773224AF" w14:textId="77777777" w:rsidTr="00DA42E5">
        <w:trPr>
          <w:trHeight w:val="288"/>
          <w:jc w:val="center"/>
        </w:trPr>
        <w:tc>
          <w:tcPr>
            <w:tcW w:w="1809" w:type="dxa"/>
            <w:noWrap/>
          </w:tcPr>
          <w:p w14:paraId="4B54CC12" w14:textId="545E0FB6"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 xml:space="preserve">6 </w:t>
            </w:r>
            <w:r w:rsidR="005D073F" w:rsidRPr="005D073F">
              <w:rPr>
                <w:rFonts w:ascii="Times New Roman" w:hAnsi="Times New Roman"/>
                <w:b/>
                <w:bCs/>
                <w:sz w:val="20"/>
                <w:szCs w:val="20"/>
              </w:rPr>
              <w:t>years</w:t>
            </w:r>
          </w:p>
        </w:tc>
        <w:tc>
          <w:tcPr>
            <w:tcW w:w="988" w:type="dxa"/>
          </w:tcPr>
          <w:p w14:paraId="0F25A8C2"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783" w:type="dxa"/>
          </w:tcPr>
          <w:p w14:paraId="32C7CDBB"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467</w:t>
            </w:r>
          </w:p>
        </w:tc>
        <w:tc>
          <w:tcPr>
            <w:tcW w:w="946" w:type="dxa"/>
            <w:noWrap/>
          </w:tcPr>
          <w:p w14:paraId="362C3BB4"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46" w:type="dxa"/>
            <w:noWrap/>
          </w:tcPr>
          <w:p w14:paraId="59FB27C7"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47" w:type="dxa"/>
            <w:noWrap/>
          </w:tcPr>
          <w:p w14:paraId="1331F0C3"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19" w:type="dxa"/>
            <w:noWrap/>
          </w:tcPr>
          <w:p w14:paraId="7DEE18CA"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1086" w:type="dxa"/>
            <w:noWrap/>
          </w:tcPr>
          <w:p w14:paraId="323A072D"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467</w:t>
            </w:r>
          </w:p>
        </w:tc>
      </w:tr>
      <w:tr w:rsidR="00E727B8" w:rsidRPr="00800300" w14:paraId="20D95678" w14:textId="77777777" w:rsidTr="00DA42E5">
        <w:trPr>
          <w:trHeight w:val="288"/>
          <w:jc w:val="center"/>
        </w:trPr>
        <w:tc>
          <w:tcPr>
            <w:tcW w:w="1809" w:type="dxa"/>
            <w:noWrap/>
          </w:tcPr>
          <w:p w14:paraId="59B63786" w14:textId="14E8640F"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 xml:space="preserve">7 </w:t>
            </w:r>
            <w:r w:rsidR="005D073F" w:rsidRPr="005D073F">
              <w:rPr>
                <w:rFonts w:ascii="Times New Roman" w:hAnsi="Times New Roman"/>
                <w:b/>
                <w:bCs/>
                <w:sz w:val="20"/>
                <w:szCs w:val="20"/>
              </w:rPr>
              <w:t>years</w:t>
            </w:r>
          </w:p>
        </w:tc>
        <w:tc>
          <w:tcPr>
            <w:tcW w:w="988" w:type="dxa"/>
          </w:tcPr>
          <w:p w14:paraId="3E7CE386"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783" w:type="dxa"/>
          </w:tcPr>
          <w:p w14:paraId="58316F55"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363</w:t>
            </w:r>
          </w:p>
        </w:tc>
        <w:tc>
          <w:tcPr>
            <w:tcW w:w="946" w:type="dxa"/>
            <w:noWrap/>
          </w:tcPr>
          <w:p w14:paraId="7B89000B"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46" w:type="dxa"/>
            <w:noWrap/>
          </w:tcPr>
          <w:p w14:paraId="51D3A2FA"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47" w:type="dxa"/>
            <w:noWrap/>
          </w:tcPr>
          <w:p w14:paraId="3F2029C3"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19" w:type="dxa"/>
            <w:noWrap/>
          </w:tcPr>
          <w:p w14:paraId="4FEEE89E"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1086" w:type="dxa"/>
            <w:noWrap/>
          </w:tcPr>
          <w:p w14:paraId="1B5ED9E1"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363</w:t>
            </w:r>
          </w:p>
        </w:tc>
      </w:tr>
      <w:tr w:rsidR="00E727B8" w:rsidRPr="00800300" w14:paraId="319D3D87" w14:textId="77777777" w:rsidTr="00DA42E5">
        <w:trPr>
          <w:trHeight w:val="288"/>
          <w:jc w:val="center"/>
        </w:trPr>
        <w:tc>
          <w:tcPr>
            <w:tcW w:w="1809" w:type="dxa"/>
            <w:noWrap/>
          </w:tcPr>
          <w:p w14:paraId="4CD7093E" w14:textId="37E35B0B"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 xml:space="preserve">8 </w:t>
            </w:r>
            <w:r w:rsidR="005D073F" w:rsidRPr="005D073F">
              <w:rPr>
                <w:rFonts w:ascii="Times New Roman" w:hAnsi="Times New Roman"/>
                <w:b/>
                <w:bCs/>
                <w:sz w:val="20"/>
                <w:szCs w:val="20"/>
              </w:rPr>
              <w:t>years</w:t>
            </w:r>
          </w:p>
        </w:tc>
        <w:tc>
          <w:tcPr>
            <w:tcW w:w="988" w:type="dxa"/>
          </w:tcPr>
          <w:p w14:paraId="708A6C95"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783" w:type="dxa"/>
          </w:tcPr>
          <w:p w14:paraId="097480E6"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352</w:t>
            </w:r>
          </w:p>
        </w:tc>
        <w:tc>
          <w:tcPr>
            <w:tcW w:w="946" w:type="dxa"/>
            <w:noWrap/>
          </w:tcPr>
          <w:p w14:paraId="5581B944"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46" w:type="dxa"/>
            <w:noWrap/>
          </w:tcPr>
          <w:p w14:paraId="6CAD4B01"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47" w:type="dxa"/>
            <w:noWrap/>
          </w:tcPr>
          <w:p w14:paraId="4F235561"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19" w:type="dxa"/>
            <w:noWrap/>
          </w:tcPr>
          <w:p w14:paraId="198F595C"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1086" w:type="dxa"/>
            <w:noWrap/>
          </w:tcPr>
          <w:p w14:paraId="2B63E036"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352</w:t>
            </w:r>
          </w:p>
        </w:tc>
      </w:tr>
      <w:tr w:rsidR="00E727B8" w:rsidRPr="00800300" w14:paraId="31122CC7" w14:textId="77777777" w:rsidTr="00DA42E5">
        <w:trPr>
          <w:trHeight w:val="288"/>
          <w:jc w:val="center"/>
        </w:trPr>
        <w:tc>
          <w:tcPr>
            <w:tcW w:w="1809" w:type="dxa"/>
            <w:noWrap/>
          </w:tcPr>
          <w:p w14:paraId="784E2993" w14:textId="44554037"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 xml:space="preserve">9 </w:t>
            </w:r>
            <w:r w:rsidR="005D073F" w:rsidRPr="005D073F">
              <w:rPr>
                <w:rFonts w:ascii="Times New Roman" w:hAnsi="Times New Roman"/>
                <w:b/>
                <w:bCs/>
                <w:sz w:val="20"/>
                <w:szCs w:val="20"/>
              </w:rPr>
              <w:t>years</w:t>
            </w:r>
          </w:p>
        </w:tc>
        <w:tc>
          <w:tcPr>
            <w:tcW w:w="988" w:type="dxa"/>
          </w:tcPr>
          <w:p w14:paraId="699DDBD2"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783" w:type="dxa"/>
          </w:tcPr>
          <w:p w14:paraId="6806E506"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409</w:t>
            </w:r>
          </w:p>
        </w:tc>
        <w:tc>
          <w:tcPr>
            <w:tcW w:w="946" w:type="dxa"/>
            <w:noWrap/>
          </w:tcPr>
          <w:p w14:paraId="6B8CF9EF"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46" w:type="dxa"/>
            <w:noWrap/>
          </w:tcPr>
          <w:p w14:paraId="1A5D2F1A"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47" w:type="dxa"/>
            <w:noWrap/>
          </w:tcPr>
          <w:p w14:paraId="03E4B3DE"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19" w:type="dxa"/>
            <w:noWrap/>
          </w:tcPr>
          <w:p w14:paraId="77D500B2"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1086" w:type="dxa"/>
            <w:noWrap/>
          </w:tcPr>
          <w:p w14:paraId="41889D95"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409</w:t>
            </w:r>
          </w:p>
        </w:tc>
      </w:tr>
      <w:tr w:rsidR="00E727B8" w:rsidRPr="00800300" w14:paraId="3689CB1D" w14:textId="77777777" w:rsidTr="00DA42E5">
        <w:trPr>
          <w:trHeight w:val="288"/>
          <w:jc w:val="center"/>
        </w:trPr>
        <w:tc>
          <w:tcPr>
            <w:tcW w:w="1809" w:type="dxa"/>
            <w:noWrap/>
          </w:tcPr>
          <w:p w14:paraId="214CAB5B" w14:textId="4D99C892"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 xml:space="preserve">10 </w:t>
            </w:r>
            <w:r w:rsidR="005D073F" w:rsidRPr="005D073F">
              <w:rPr>
                <w:rFonts w:ascii="Times New Roman" w:hAnsi="Times New Roman"/>
                <w:b/>
                <w:bCs/>
                <w:sz w:val="20"/>
                <w:szCs w:val="20"/>
              </w:rPr>
              <w:t>years</w:t>
            </w:r>
          </w:p>
        </w:tc>
        <w:tc>
          <w:tcPr>
            <w:tcW w:w="988" w:type="dxa"/>
          </w:tcPr>
          <w:p w14:paraId="15568C77"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783" w:type="dxa"/>
          </w:tcPr>
          <w:p w14:paraId="345772DE"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662</w:t>
            </w:r>
          </w:p>
        </w:tc>
        <w:tc>
          <w:tcPr>
            <w:tcW w:w="946" w:type="dxa"/>
            <w:noWrap/>
          </w:tcPr>
          <w:p w14:paraId="19DE8CFC"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46" w:type="dxa"/>
            <w:noWrap/>
          </w:tcPr>
          <w:p w14:paraId="09D36D53"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47" w:type="dxa"/>
            <w:noWrap/>
          </w:tcPr>
          <w:p w14:paraId="0F15D176"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19" w:type="dxa"/>
            <w:noWrap/>
          </w:tcPr>
          <w:p w14:paraId="53115A35"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1086" w:type="dxa"/>
            <w:noWrap/>
          </w:tcPr>
          <w:p w14:paraId="5BBE81E3"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662</w:t>
            </w:r>
          </w:p>
        </w:tc>
      </w:tr>
      <w:tr w:rsidR="00E727B8" w:rsidRPr="00800300" w14:paraId="7FB95987" w14:textId="77777777" w:rsidTr="00DA42E5">
        <w:trPr>
          <w:trHeight w:val="288"/>
          <w:jc w:val="center"/>
        </w:trPr>
        <w:tc>
          <w:tcPr>
            <w:tcW w:w="1809" w:type="dxa"/>
            <w:noWrap/>
          </w:tcPr>
          <w:p w14:paraId="5F41F5B8" w14:textId="77777777"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 xml:space="preserve">11 </w:t>
            </w:r>
            <w:proofErr w:type="spellStart"/>
            <w:r w:rsidRPr="00800300">
              <w:rPr>
                <w:rFonts w:ascii="Times New Roman" w:hAnsi="Times New Roman"/>
                <w:b/>
                <w:bCs/>
                <w:sz w:val="20"/>
                <w:szCs w:val="20"/>
              </w:rPr>
              <w:t>anos</w:t>
            </w:r>
            <w:proofErr w:type="spellEnd"/>
          </w:p>
        </w:tc>
        <w:tc>
          <w:tcPr>
            <w:tcW w:w="988" w:type="dxa"/>
          </w:tcPr>
          <w:p w14:paraId="007C7A0D"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783" w:type="dxa"/>
          </w:tcPr>
          <w:p w14:paraId="4262EEE8"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651</w:t>
            </w:r>
          </w:p>
        </w:tc>
        <w:tc>
          <w:tcPr>
            <w:tcW w:w="946" w:type="dxa"/>
            <w:noWrap/>
          </w:tcPr>
          <w:p w14:paraId="68741E3C"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46" w:type="dxa"/>
            <w:noWrap/>
          </w:tcPr>
          <w:p w14:paraId="49B8D4F0"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47" w:type="dxa"/>
            <w:noWrap/>
          </w:tcPr>
          <w:p w14:paraId="52CDDFAA"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19" w:type="dxa"/>
            <w:noWrap/>
          </w:tcPr>
          <w:p w14:paraId="3F0A6CDA"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1086" w:type="dxa"/>
            <w:noWrap/>
          </w:tcPr>
          <w:p w14:paraId="0DFEB6D9"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651</w:t>
            </w:r>
          </w:p>
        </w:tc>
      </w:tr>
      <w:tr w:rsidR="00E727B8" w:rsidRPr="00800300" w14:paraId="6F7C669D" w14:textId="77777777" w:rsidTr="00DA42E5">
        <w:trPr>
          <w:trHeight w:val="288"/>
          <w:jc w:val="center"/>
        </w:trPr>
        <w:tc>
          <w:tcPr>
            <w:tcW w:w="1809" w:type="dxa"/>
            <w:noWrap/>
          </w:tcPr>
          <w:p w14:paraId="04AC80D0" w14:textId="1187A34B"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 xml:space="preserve">12 </w:t>
            </w:r>
            <w:r w:rsidR="005D073F" w:rsidRPr="005D073F">
              <w:rPr>
                <w:rFonts w:ascii="Times New Roman" w:hAnsi="Times New Roman"/>
                <w:b/>
                <w:bCs/>
                <w:sz w:val="20"/>
                <w:szCs w:val="20"/>
              </w:rPr>
              <w:t>years</w:t>
            </w:r>
          </w:p>
        </w:tc>
        <w:tc>
          <w:tcPr>
            <w:tcW w:w="988" w:type="dxa"/>
          </w:tcPr>
          <w:p w14:paraId="68D66D46"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5064</w:t>
            </w:r>
          </w:p>
        </w:tc>
        <w:tc>
          <w:tcPr>
            <w:tcW w:w="783" w:type="dxa"/>
          </w:tcPr>
          <w:p w14:paraId="052AFBBD"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3766</w:t>
            </w:r>
          </w:p>
        </w:tc>
        <w:tc>
          <w:tcPr>
            <w:tcW w:w="946" w:type="dxa"/>
            <w:noWrap/>
          </w:tcPr>
          <w:p w14:paraId="5D0824F3"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2899</w:t>
            </w:r>
          </w:p>
        </w:tc>
        <w:tc>
          <w:tcPr>
            <w:tcW w:w="946" w:type="dxa"/>
            <w:noWrap/>
          </w:tcPr>
          <w:p w14:paraId="1C7E6D53"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5937</w:t>
            </w:r>
          </w:p>
        </w:tc>
        <w:tc>
          <w:tcPr>
            <w:tcW w:w="947" w:type="dxa"/>
            <w:noWrap/>
          </w:tcPr>
          <w:p w14:paraId="3934C3F9"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11104</w:t>
            </w:r>
          </w:p>
        </w:tc>
        <w:tc>
          <w:tcPr>
            <w:tcW w:w="919" w:type="dxa"/>
            <w:noWrap/>
          </w:tcPr>
          <w:p w14:paraId="384EF17D"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2155</w:t>
            </w:r>
          </w:p>
        </w:tc>
        <w:tc>
          <w:tcPr>
            <w:tcW w:w="1086" w:type="dxa"/>
            <w:noWrap/>
          </w:tcPr>
          <w:p w14:paraId="47930D92"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30925</w:t>
            </w:r>
          </w:p>
        </w:tc>
      </w:tr>
      <w:tr w:rsidR="00E727B8" w:rsidRPr="00800300" w14:paraId="7F32CE50" w14:textId="77777777" w:rsidTr="00DA42E5">
        <w:trPr>
          <w:trHeight w:val="288"/>
          <w:jc w:val="center"/>
        </w:trPr>
        <w:tc>
          <w:tcPr>
            <w:tcW w:w="1809" w:type="dxa"/>
            <w:noWrap/>
          </w:tcPr>
          <w:p w14:paraId="1279874E" w14:textId="6A9EF498"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 xml:space="preserve">13 </w:t>
            </w:r>
            <w:r w:rsidR="005D073F" w:rsidRPr="005D073F">
              <w:rPr>
                <w:rFonts w:ascii="Times New Roman" w:hAnsi="Times New Roman"/>
                <w:b/>
                <w:bCs/>
                <w:sz w:val="20"/>
                <w:szCs w:val="20"/>
              </w:rPr>
              <w:t>years</w:t>
            </w:r>
          </w:p>
        </w:tc>
        <w:tc>
          <w:tcPr>
            <w:tcW w:w="988" w:type="dxa"/>
          </w:tcPr>
          <w:p w14:paraId="5B486EF6"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783" w:type="dxa"/>
          </w:tcPr>
          <w:p w14:paraId="04D5B2FB"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605</w:t>
            </w:r>
          </w:p>
        </w:tc>
        <w:tc>
          <w:tcPr>
            <w:tcW w:w="946" w:type="dxa"/>
            <w:noWrap/>
          </w:tcPr>
          <w:p w14:paraId="153FF1F8"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46" w:type="dxa"/>
            <w:noWrap/>
          </w:tcPr>
          <w:p w14:paraId="51328611"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47" w:type="dxa"/>
            <w:noWrap/>
          </w:tcPr>
          <w:p w14:paraId="1A4E2540"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19" w:type="dxa"/>
            <w:noWrap/>
          </w:tcPr>
          <w:p w14:paraId="42F7D161"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1086" w:type="dxa"/>
            <w:noWrap/>
          </w:tcPr>
          <w:p w14:paraId="38285ADE"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605</w:t>
            </w:r>
          </w:p>
        </w:tc>
      </w:tr>
      <w:tr w:rsidR="00E727B8" w:rsidRPr="00800300" w14:paraId="5900DCD9" w14:textId="77777777" w:rsidTr="00DA42E5">
        <w:trPr>
          <w:trHeight w:val="288"/>
          <w:jc w:val="center"/>
        </w:trPr>
        <w:tc>
          <w:tcPr>
            <w:tcW w:w="1809" w:type="dxa"/>
            <w:noWrap/>
          </w:tcPr>
          <w:p w14:paraId="5B21C0D5" w14:textId="55157A35"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 xml:space="preserve">14 </w:t>
            </w:r>
            <w:r w:rsidR="005D073F" w:rsidRPr="005D073F">
              <w:rPr>
                <w:rFonts w:ascii="Times New Roman" w:hAnsi="Times New Roman"/>
                <w:b/>
                <w:bCs/>
                <w:sz w:val="20"/>
                <w:szCs w:val="20"/>
              </w:rPr>
              <w:t>years</w:t>
            </w:r>
          </w:p>
        </w:tc>
        <w:tc>
          <w:tcPr>
            <w:tcW w:w="988" w:type="dxa"/>
          </w:tcPr>
          <w:p w14:paraId="38EF8944"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783" w:type="dxa"/>
          </w:tcPr>
          <w:p w14:paraId="5871C008"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796</w:t>
            </w:r>
          </w:p>
        </w:tc>
        <w:tc>
          <w:tcPr>
            <w:tcW w:w="946" w:type="dxa"/>
            <w:noWrap/>
          </w:tcPr>
          <w:p w14:paraId="1EE0D3F1"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46" w:type="dxa"/>
            <w:noWrap/>
          </w:tcPr>
          <w:p w14:paraId="322F80A5"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47" w:type="dxa"/>
            <w:noWrap/>
          </w:tcPr>
          <w:p w14:paraId="63670757"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919" w:type="dxa"/>
            <w:noWrap/>
          </w:tcPr>
          <w:p w14:paraId="029186CD"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w:t>
            </w:r>
          </w:p>
        </w:tc>
        <w:tc>
          <w:tcPr>
            <w:tcW w:w="1086" w:type="dxa"/>
            <w:noWrap/>
          </w:tcPr>
          <w:p w14:paraId="23ED130F"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796</w:t>
            </w:r>
          </w:p>
        </w:tc>
      </w:tr>
      <w:tr w:rsidR="00E727B8" w:rsidRPr="00800300" w14:paraId="66C02FDF" w14:textId="77777777" w:rsidTr="00DA42E5">
        <w:trPr>
          <w:trHeight w:val="288"/>
          <w:jc w:val="center"/>
        </w:trPr>
        <w:tc>
          <w:tcPr>
            <w:tcW w:w="1809" w:type="dxa"/>
            <w:tcBorders>
              <w:bottom w:val="single" w:sz="4" w:space="0" w:color="auto"/>
            </w:tcBorders>
            <w:noWrap/>
            <w:hideMark/>
          </w:tcPr>
          <w:p w14:paraId="11255CBB" w14:textId="77777777" w:rsidR="00E727B8" w:rsidRPr="00800300" w:rsidRDefault="00E727B8" w:rsidP="00045A8A">
            <w:pPr>
              <w:spacing w:line="276" w:lineRule="auto"/>
              <w:rPr>
                <w:rFonts w:ascii="Times New Roman" w:hAnsi="Times New Roman"/>
                <w:b/>
                <w:bCs/>
                <w:sz w:val="20"/>
                <w:szCs w:val="20"/>
              </w:rPr>
            </w:pPr>
            <w:r w:rsidRPr="00800300">
              <w:rPr>
                <w:rFonts w:ascii="Times New Roman" w:hAnsi="Times New Roman"/>
                <w:b/>
                <w:bCs/>
                <w:sz w:val="20"/>
                <w:szCs w:val="20"/>
              </w:rPr>
              <w:t>Total</w:t>
            </w:r>
          </w:p>
        </w:tc>
        <w:tc>
          <w:tcPr>
            <w:tcW w:w="988" w:type="dxa"/>
            <w:tcBorders>
              <w:bottom w:val="single" w:sz="4" w:space="0" w:color="auto"/>
            </w:tcBorders>
          </w:tcPr>
          <w:p w14:paraId="61633AFD"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132188</w:t>
            </w:r>
          </w:p>
        </w:tc>
        <w:tc>
          <w:tcPr>
            <w:tcW w:w="783" w:type="dxa"/>
            <w:tcBorders>
              <w:bottom w:val="single" w:sz="4" w:space="0" w:color="auto"/>
            </w:tcBorders>
          </w:tcPr>
          <w:p w14:paraId="36DAD992"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131891</w:t>
            </w:r>
          </w:p>
        </w:tc>
        <w:tc>
          <w:tcPr>
            <w:tcW w:w="946" w:type="dxa"/>
            <w:tcBorders>
              <w:bottom w:val="single" w:sz="4" w:space="0" w:color="auto"/>
            </w:tcBorders>
            <w:noWrap/>
            <w:hideMark/>
          </w:tcPr>
          <w:p w14:paraId="04D991D5"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241345</w:t>
            </w:r>
          </w:p>
        </w:tc>
        <w:tc>
          <w:tcPr>
            <w:tcW w:w="946" w:type="dxa"/>
            <w:tcBorders>
              <w:bottom w:val="single" w:sz="4" w:space="0" w:color="auto"/>
            </w:tcBorders>
            <w:noWrap/>
            <w:hideMark/>
          </w:tcPr>
          <w:p w14:paraId="29BC390D"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217541</w:t>
            </w:r>
          </w:p>
        </w:tc>
        <w:tc>
          <w:tcPr>
            <w:tcW w:w="947" w:type="dxa"/>
            <w:tcBorders>
              <w:bottom w:val="single" w:sz="4" w:space="0" w:color="auto"/>
            </w:tcBorders>
            <w:noWrap/>
            <w:hideMark/>
          </w:tcPr>
          <w:p w14:paraId="34E562B1"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171129</w:t>
            </w:r>
          </w:p>
        </w:tc>
        <w:tc>
          <w:tcPr>
            <w:tcW w:w="919" w:type="dxa"/>
            <w:tcBorders>
              <w:bottom w:val="single" w:sz="4" w:space="0" w:color="auto"/>
            </w:tcBorders>
            <w:noWrap/>
            <w:hideMark/>
          </w:tcPr>
          <w:p w14:paraId="5F07F844"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174648</w:t>
            </w:r>
          </w:p>
        </w:tc>
        <w:tc>
          <w:tcPr>
            <w:tcW w:w="1086" w:type="dxa"/>
            <w:tcBorders>
              <w:bottom w:val="single" w:sz="4" w:space="0" w:color="auto"/>
            </w:tcBorders>
            <w:noWrap/>
            <w:hideMark/>
          </w:tcPr>
          <w:p w14:paraId="4FCC2BFC" w14:textId="77777777" w:rsidR="00E727B8" w:rsidRPr="00800300" w:rsidRDefault="00E727B8" w:rsidP="00045A8A">
            <w:pPr>
              <w:spacing w:line="276" w:lineRule="auto"/>
              <w:rPr>
                <w:rFonts w:ascii="Times New Roman" w:hAnsi="Times New Roman"/>
                <w:sz w:val="20"/>
                <w:szCs w:val="20"/>
              </w:rPr>
            </w:pPr>
            <w:r w:rsidRPr="00800300">
              <w:rPr>
                <w:rFonts w:ascii="Times New Roman" w:hAnsi="Times New Roman"/>
                <w:sz w:val="20"/>
                <w:szCs w:val="20"/>
              </w:rPr>
              <w:t>1068742</w:t>
            </w:r>
          </w:p>
        </w:tc>
      </w:tr>
    </w:tbl>
    <w:p w14:paraId="5018B1FD" w14:textId="77777777" w:rsidR="00B85200" w:rsidRPr="00B85200" w:rsidRDefault="00B85200" w:rsidP="00B85200">
      <w:pPr>
        <w:pStyle w:val="Body"/>
        <w:rPr>
          <w:rFonts w:ascii="Arial" w:hAnsi="Arial" w:cs="Arial"/>
        </w:rPr>
      </w:pPr>
    </w:p>
    <w:p w14:paraId="56189B69" w14:textId="6253200C" w:rsidR="001171FA" w:rsidRPr="001171FA" w:rsidRDefault="001171FA" w:rsidP="001171FA">
      <w:pPr>
        <w:pStyle w:val="Body"/>
        <w:rPr>
          <w:rFonts w:ascii="Arial" w:hAnsi="Arial" w:cs="Arial"/>
          <w:lang w:val="pt-BR"/>
        </w:rPr>
      </w:pPr>
      <w:r w:rsidRPr="001171FA">
        <w:rPr>
          <w:rFonts w:ascii="Arial" w:hAnsi="Arial" w:cs="Arial"/>
          <w:lang w:val="pt-BR"/>
        </w:rPr>
        <w:t>Regarding the administration of MMR vaccine doses (Table 5), the age group with the highest number of doses administered was 1 year old (709,520), while the lowest was at 8 years old (352).</w:t>
      </w:r>
    </w:p>
    <w:p w14:paraId="34F80C44" w14:textId="67ECF72A" w:rsidR="00B85200" w:rsidRPr="00297643" w:rsidRDefault="001171FA" w:rsidP="00B85200">
      <w:pPr>
        <w:pStyle w:val="Body"/>
        <w:rPr>
          <w:rFonts w:ascii="Arial" w:hAnsi="Arial" w:cs="Arial"/>
          <w:lang w:val="pt-BR"/>
        </w:rPr>
      </w:pPr>
      <w:r w:rsidRPr="001171FA">
        <w:rPr>
          <w:rFonts w:ascii="Arial" w:hAnsi="Arial" w:cs="Arial"/>
          <w:lang w:val="pt-BR"/>
        </w:rPr>
        <w:t xml:space="preserve">In addition, a significant increase in the number of vaccine doses administered to children under 1 year of age was observed after 2018, which recorded 1,443 doses, reaching the highest value in 2019 (55,842). This trend continued in the following years, with </w:t>
      </w:r>
      <w:r w:rsidR="00DC5DB7">
        <w:rPr>
          <w:rFonts w:ascii="Arial" w:hAnsi="Arial" w:cs="Arial"/>
          <w:lang w:val="pt-BR"/>
        </w:rPr>
        <w:t>(</w:t>
      </w:r>
      <w:r w:rsidRPr="001171FA">
        <w:rPr>
          <w:rFonts w:ascii="Arial" w:hAnsi="Arial" w:cs="Arial"/>
          <w:lang w:val="pt-BR"/>
        </w:rPr>
        <w:t>44,142</w:t>
      </w:r>
      <w:r w:rsidR="00DC5DB7">
        <w:rPr>
          <w:rFonts w:ascii="Arial" w:hAnsi="Arial" w:cs="Arial"/>
          <w:lang w:val="pt-BR"/>
        </w:rPr>
        <w:t>)</w:t>
      </w:r>
      <w:r w:rsidRPr="001171FA">
        <w:rPr>
          <w:rFonts w:ascii="Arial" w:hAnsi="Arial" w:cs="Arial"/>
          <w:lang w:val="pt-BR"/>
        </w:rPr>
        <w:t xml:space="preserve"> doses administered in 2020 and</w:t>
      </w:r>
      <w:r w:rsidR="00C07375">
        <w:rPr>
          <w:rFonts w:ascii="Arial" w:hAnsi="Arial" w:cs="Arial"/>
          <w:lang w:val="pt-BR"/>
        </w:rPr>
        <w:t xml:space="preserve"> </w:t>
      </w:r>
      <w:r w:rsidRPr="001171FA">
        <w:rPr>
          <w:rFonts w:ascii="Arial" w:hAnsi="Arial" w:cs="Arial"/>
          <w:lang w:val="pt-BR"/>
        </w:rPr>
        <w:t>in 2021</w:t>
      </w:r>
      <w:r w:rsidR="00297643">
        <w:rPr>
          <w:rFonts w:ascii="Arial" w:hAnsi="Arial" w:cs="Arial"/>
          <w:lang w:val="pt-BR"/>
        </w:rPr>
        <w:t xml:space="preserve"> </w:t>
      </w:r>
      <w:r w:rsidR="00B85200" w:rsidRPr="00B85200">
        <w:rPr>
          <w:rFonts w:ascii="Arial" w:hAnsi="Arial" w:cs="Arial"/>
        </w:rPr>
        <w:t>(27.445).</w:t>
      </w:r>
    </w:p>
    <w:p w14:paraId="64C16E2B" w14:textId="77777777" w:rsidR="00706116" w:rsidRPr="00706116" w:rsidRDefault="00706116" w:rsidP="00721C46">
      <w:pPr>
        <w:pStyle w:val="Body"/>
        <w:rPr>
          <w:rFonts w:ascii="Arial" w:hAnsi="Arial" w:cs="Arial"/>
          <w:lang w:val="pt-BR"/>
        </w:rPr>
      </w:pPr>
      <w:r w:rsidRPr="00706116">
        <w:rPr>
          <w:rFonts w:ascii="Arial" w:hAnsi="Arial" w:cs="Arial"/>
          <w:lang w:val="pt-BR"/>
        </w:rPr>
        <w:t>In light of the above, the measles panorama in the state of Pará underwent changes from 2016 and 2017 until 2021, which is directly related to the state’s vaccination coverage.</w:t>
      </w:r>
    </w:p>
    <w:p w14:paraId="6BAC5431" w14:textId="77777777" w:rsidR="00706116" w:rsidRPr="00706116" w:rsidRDefault="00706116" w:rsidP="00721C46">
      <w:pPr>
        <w:pStyle w:val="Body"/>
        <w:rPr>
          <w:rFonts w:ascii="Arial" w:hAnsi="Arial" w:cs="Arial"/>
          <w:lang w:val="pt-BR"/>
        </w:rPr>
      </w:pPr>
      <w:r w:rsidRPr="00706116">
        <w:rPr>
          <w:rFonts w:ascii="Arial" w:hAnsi="Arial" w:cs="Arial"/>
          <w:lang w:val="pt-BR"/>
        </w:rPr>
        <w:t xml:space="preserve">During the study period, no measles cases were reported in 2016 and 2017. However, from 2018 onwards, cases of the disease were again recorded, with 2020 being the year with the highest number of reported measles cases in Pará. One study indicates that these findings align with several contributing factors, such as the population’s false perception that vaccination is no longer necessary due to the disappearance of the disease, reflecting a </w:t>
      </w:r>
      <w:r w:rsidRPr="00706116">
        <w:rPr>
          <w:rFonts w:ascii="Arial" w:hAnsi="Arial" w:cs="Arial"/>
          <w:lang w:val="pt-BR"/>
        </w:rPr>
        <w:lastRenderedPageBreak/>
        <w:t>considerable lack of awareness regarding the importance of vaccination and its mechanisms of action (Zorzetto, 2018; Costa et al., 2018).</w:t>
      </w:r>
    </w:p>
    <w:p w14:paraId="4D26BD35" w14:textId="5B3950A4" w:rsidR="00706116" w:rsidRPr="00706116" w:rsidRDefault="00706116" w:rsidP="00721C46">
      <w:pPr>
        <w:pStyle w:val="Body"/>
        <w:rPr>
          <w:rFonts w:ascii="Arial" w:hAnsi="Arial" w:cs="Arial"/>
          <w:lang w:val="pt-BR"/>
        </w:rPr>
      </w:pPr>
      <w:r w:rsidRPr="00706116">
        <w:rPr>
          <w:rFonts w:ascii="Arial" w:hAnsi="Arial" w:cs="Arial"/>
          <w:lang w:val="pt-BR"/>
        </w:rPr>
        <w:t>Additionally, in 2018, the arrival of Venezuelan immigrants, particularly in the Northern Region, impacted the health scenario, both in terms of public health system overload and the emergence of new measles cases after its prior eradication. Furthermore, a relationship was observed between vaccination coverage and the SARS-CoV-2 pandemic period, with a significant 20% reduction in childhood vaccination during social isolation, although the decline had already been noticeable before the COVID-19 pandemic (Ferraciolli, Magalhães, and Fernandes, 2020; Bra</w:t>
      </w:r>
      <w:r w:rsidR="000F1B9D">
        <w:rPr>
          <w:rFonts w:ascii="Arial" w:hAnsi="Arial" w:cs="Arial"/>
          <w:lang w:val="pt-BR"/>
        </w:rPr>
        <w:t>s</w:t>
      </w:r>
      <w:r w:rsidRPr="00706116">
        <w:rPr>
          <w:rFonts w:ascii="Arial" w:hAnsi="Arial" w:cs="Arial"/>
          <w:lang w:val="pt-BR"/>
        </w:rPr>
        <w:t>il, 2020; Silveira et al., 2021).</w:t>
      </w:r>
    </w:p>
    <w:p w14:paraId="62357930" w14:textId="2A15E610" w:rsidR="00706116" w:rsidRPr="00706116" w:rsidRDefault="00706116" w:rsidP="00721C46">
      <w:pPr>
        <w:pStyle w:val="Body"/>
        <w:rPr>
          <w:rFonts w:ascii="Arial" w:hAnsi="Arial" w:cs="Arial"/>
          <w:lang w:val="pt-BR"/>
        </w:rPr>
      </w:pPr>
      <w:r w:rsidRPr="00706116">
        <w:rPr>
          <w:rFonts w:ascii="Arial" w:hAnsi="Arial" w:cs="Arial"/>
          <w:lang w:val="pt-BR"/>
        </w:rPr>
        <w:t>This study corroborates the finding that the proportion of deaths due to comorbidity was 0.47%, a small number, among measles cases by age group in Pará from 2016 to 2021 (Bra</w:t>
      </w:r>
      <w:r w:rsidR="000F1B9D">
        <w:rPr>
          <w:rFonts w:ascii="Arial" w:hAnsi="Arial" w:cs="Arial"/>
          <w:lang w:val="pt-BR"/>
        </w:rPr>
        <w:t>s</w:t>
      </w:r>
      <w:r w:rsidRPr="00706116">
        <w:rPr>
          <w:rFonts w:ascii="Arial" w:hAnsi="Arial" w:cs="Arial"/>
          <w:lang w:val="pt-BR"/>
        </w:rPr>
        <w:t>il, 2022; Loureiro et al., 2023).</w:t>
      </w:r>
    </w:p>
    <w:p w14:paraId="38770599" w14:textId="77777777" w:rsidR="00706116" w:rsidRPr="00706116" w:rsidRDefault="00706116" w:rsidP="00721C46">
      <w:pPr>
        <w:pStyle w:val="Body"/>
        <w:rPr>
          <w:rFonts w:ascii="Arial" w:hAnsi="Arial" w:cs="Arial"/>
          <w:lang w:val="pt-BR"/>
        </w:rPr>
      </w:pPr>
      <w:r w:rsidRPr="00706116">
        <w:rPr>
          <w:rFonts w:ascii="Arial" w:hAnsi="Arial" w:cs="Arial"/>
          <w:lang w:val="pt-BR"/>
        </w:rPr>
        <w:t>The “Zero Dose” strategy, implemented in 2019 by the Ministry of Health, involves vaccinating children aged 6 to 11 months with a single MMR dose, without replacing the first dose (D1) recommended by the vaccination schedule at 12 months, with the aim of reducing the occurrence of severe cases and measles-related deaths (Garcia et al., 2020; Parra et al., 2022).</w:t>
      </w:r>
    </w:p>
    <w:p w14:paraId="491E8C48" w14:textId="77777777" w:rsidR="00706116" w:rsidRPr="00706116" w:rsidRDefault="00706116" w:rsidP="00721C46">
      <w:pPr>
        <w:pStyle w:val="Body"/>
        <w:rPr>
          <w:rFonts w:ascii="Arial" w:hAnsi="Arial" w:cs="Arial"/>
          <w:lang w:val="pt-BR"/>
        </w:rPr>
      </w:pPr>
      <w:r w:rsidRPr="00706116">
        <w:rPr>
          <w:rFonts w:ascii="Arial" w:hAnsi="Arial" w:cs="Arial"/>
          <w:lang w:val="pt-BR"/>
        </w:rPr>
        <w:t>The findings of the present study are consistent with these data, given that the number of MMR doses administered to children under 1 year in Pará in 2019 corresponded to 42.67% (55,842/130,859) of the total MMR doses administered during the entire period analyzed (2016–2021) for this age group, marking 2019 as the year with the highest number of MMR immunizations in children under 1 year (Souza and Júnior, 2020; Gasperini et al., 2022).</w:t>
      </w:r>
    </w:p>
    <w:p w14:paraId="33F88DDC" w14:textId="77777777" w:rsidR="00706116" w:rsidRPr="00706116" w:rsidRDefault="00706116" w:rsidP="00721C46">
      <w:pPr>
        <w:pStyle w:val="Body"/>
        <w:rPr>
          <w:rFonts w:ascii="Arial" w:hAnsi="Arial" w:cs="Arial"/>
          <w:lang w:val="pt-BR"/>
        </w:rPr>
      </w:pPr>
      <w:r w:rsidRPr="00706116">
        <w:rPr>
          <w:rFonts w:ascii="Arial" w:hAnsi="Arial" w:cs="Arial"/>
          <w:lang w:val="pt-BR"/>
        </w:rPr>
        <w:t>Public awareness and the strengthening of immunization strategies are fundamental to preventing the resurgence of previously controlled diseases.</w:t>
      </w:r>
    </w:p>
    <w:p w14:paraId="6166F362" w14:textId="77777777" w:rsidR="00706116" w:rsidRPr="00706116" w:rsidRDefault="00706116" w:rsidP="00721C46">
      <w:pPr>
        <w:pStyle w:val="Body"/>
        <w:rPr>
          <w:rFonts w:ascii="Arial" w:hAnsi="Arial" w:cs="Arial"/>
          <w:lang w:val="pt-BR"/>
        </w:rPr>
      </w:pPr>
      <w:r w:rsidRPr="00706116">
        <w:rPr>
          <w:rFonts w:ascii="Arial" w:hAnsi="Arial" w:cs="Arial"/>
          <w:lang w:val="pt-BR"/>
        </w:rPr>
        <w:t>The results presented demonstrate strong alignment with national and international scientific literature discussing contemporary challenges related to declining vaccination coverage and the reemergence of vaccine-preventable diseases. The resurgence of measles cases in Pará is consistent with studies highlighting vaccine hesitancy, public misinformation, and structural inequalities as critical factors compromising the effectiveness of immunization policies.</w:t>
      </w:r>
    </w:p>
    <w:p w14:paraId="4593D4DD" w14:textId="77777777" w:rsidR="00706116" w:rsidRPr="00706116" w:rsidRDefault="00706116" w:rsidP="00721C46">
      <w:pPr>
        <w:pStyle w:val="Body"/>
        <w:rPr>
          <w:rFonts w:ascii="Arial" w:hAnsi="Arial" w:cs="Arial"/>
          <w:lang w:val="pt-BR"/>
        </w:rPr>
      </w:pPr>
      <w:r w:rsidRPr="00706116">
        <w:rPr>
          <w:rFonts w:ascii="Arial" w:hAnsi="Arial" w:cs="Arial"/>
          <w:lang w:val="pt-BR"/>
        </w:rPr>
        <w:t>Moreover, the data reinforce the relevance of strategies such as the “Zero Dose,” whose positive impacts have also been documented in international studies. This research contributes original knowledge by quantifying and contextualizing the incidence of measles in the pediatric population of Pará during a critical period, revealing specific gaps in vaccination coverage and proposing concrete paths for intervention.</w:t>
      </w:r>
    </w:p>
    <w:p w14:paraId="5359E917" w14:textId="77777777" w:rsidR="00706116" w:rsidRPr="00706116" w:rsidRDefault="00706116" w:rsidP="00721C46">
      <w:pPr>
        <w:pStyle w:val="Body"/>
        <w:rPr>
          <w:rFonts w:ascii="Arial" w:hAnsi="Arial" w:cs="Arial"/>
          <w:lang w:val="pt-BR"/>
        </w:rPr>
      </w:pPr>
      <w:r w:rsidRPr="00706116">
        <w:rPr>
          <w:rFonts w:ascii="Arial" w:hAnsi="Arial" w:cs="Arial"/>
          <w:lang w:val="pt-BR"/>
        </w:rPr>
        <w:t>By engaging with updated and relevant references, the study expands the understanding of the epidemiological dynamics of measles and reaffirms its alignment with the Sustainable Development Goals (SDGs), particularly SDG 3 (Good Health and Well-Being), SDG 4 (Quality Education) by highlighting the importance of educational campaigns and awareness strategies, and SDG 10 (Reduced Inequalities), contributing to a global debate on health equity, epidemiological surveillance, and the promotion of evidence-based practices.</w:t>
      </w:r>
    </w:p>
    <w:p w14:paraId="46E0AC0C" w14:textId="77777777" w:rsidR="00790ADA" w:rsidRPr="00FB3A86" w:rsidRDefault="00790ADA" w:rsidP="00441B6F">
      <w:pPr>
        <w:pStyle w:val="Body"/>
        <w:spacing w:after="0"/>
        <w:rPr>
          <w:rFonts w:ascii="Arial" w:hAnsi="Arial" w:cs="Arial"/>
        </w:rPr>
      </w:pPr>
    </w:p>
    <w:p w14:paraId="343517EF" w14:textId="77777777" w:rsidR="00B01FCD" w:rsidRDefault="00000F8F" w:rsidP="00441B6F">
      <w:pPr>
        <w:pStyle w:val="ConcHead"/>
        <w:spacing w:after="0"/>
        <w:jc w:val="both"/>
        <w:rPr>
          <w:rFonts w:ascii="Arial" w:hAnsi="Arial" w:cs="Arial"/>
        </w:rPr>
      </w:pPr>
      <w:r>
        <w:rPr>
          <w:rFonts w:ascii="Arial" w:hAnsi="Arial" w:cs="Arial"/>
        </w:rPr>
        <w:lastRenderedPageBreak/>
        <w:t xml:space="preserve">4. </w:t>
      </w:r>
      <w:r w:rsidR="00B01FCD" w:rsidRPr="00FB3A86">
        <w:rPr>
          <w:rFonts w:ascii="Arial" w:hAnsi="Arial" w:cs="Arial"/>
        </w:rPr>
        <w:t>Conclusion</w:t>
      </w:r>
    </w:p>
    <w:p w14:paraId="73E401EA" w14:textId="77777777" w:rsidR="00790ADA" w:rsidRPr="00FB3A86" w:rsidRDefault="00790ADA" w:rsidP="00441B6F">
      <w:pPr>
        <w:pStyle w:val="ConcHead"/>
        <w:spacing w:after="0"/>
        <w:jc w:val="both"/>
        <w:rPr>
          <w:rFonts w:ascii="Arial" w:hAnsi="Arial" w:cs="Arial"/>
        </w:rPr>
      </w:pPr>
    </w:p>
    <w:p w14:paraId="4C5AE4CF" w14:textId="77777777" w:rsidR="00721C46" w:rsidRPr="00721C46" w:rsidRDefault="00721C46" w:rsidP="00721C46">
      <w:pPr>
        <w:spacing w:after="240"/>
        <w:jc w:val="both"/>
        <w:rPr>
          <w:rFonts w:ascii="Arial" w:hAnsi="Arial" w:cs="Arial"/>
          <w:lang w:val="pt-BR"/>
        </w:rPr>
      </w:pPr>
      <w:r w:rsidRPr="00721C46">
        <w:rPr>
          <w:rFonts w:ascii="Arial" w:hAnsi="Arial" w:cs="Arial"/>
          <w:lang w:val="pt-BR"/>
        </w:rPr>
        <w:t>The findings of this study highlight the vulnerability of the pediatric population to the reemergence of measles in the state of Pará, associated with low vaccination coverage and weaknesses in prevention strategies. Temporal analysis revealed the influence of structural, social, and behavioral factors on the epidemiological dynamics of the disease, emphasizing the importance of continuous and coordinated immunization actions.</w:t>
      </w:r>
    </w:p>
    <w:p w14:paraId="5608B04D" w14:textId="77777777" w:rsidR="00721C46" w:rsidRPr="00721C46" w:rsidRDefault="00721C46" w:rsidP="00721C46">
      <w:pPr>
        <w:spacing w:after="240"/>
        <w:jc w:val="both"/>
        <w:rPr>
          <w:rFonts w:ascii="Arial" w:hAnsi="Arial" w:cs="Arial"/>
          <w:lang w:val="pt-BR"/>
        </w:rPr>
      </w:pPr>
      <w:r w:rsidRPr="00721C46">
        <w:rPr>
          <w:rFonts w:ascii="Arial" w:hAnsi="Arial" w:cs="Arial"/>
          <w:lang w:val="pt-BR"/>
        </w:rPr>
        <w:t>This study generated relevant knowledge by pointing out the need to strengthen health education practices, expand access to vaccines, and improve public policies aimed at combating vaccine-preventable diseases. In practical terms, the results reinforce the importance of integrating educational, healthcare, and management actions to increase vaccine adherence and reduce regional inequalities. In the field of nursing and public health, the strategic role of professionals in promoting health education, providing qualified listening, and monitoring vaccination coverage is particularly noteworthy.</w:t>
      </w:r>
    </w:p>
    <w:p w14:paraId="26606D10" w14:textId="77777777" w:rsidR="00721C46" w:rsidRPr="00721C46" w:rsidRDefault="00721C46" w:rsidP="00721C46">
      <w:pPr>
        <w:spacing w:after="240"/>
        <w:jc w:val="both"/>
        <w:rPr>
          <w:rFonts w:ascii="Arial" w:hAnsi="Arial" w:cs="Arial"/>
          <w:lang w:val="pt-BR"/>
        </w:rPr>
      </w:pPr>
      <w:r w:rsidRPr="00721C46">
        <w:rPr>
          <w:rFonts w:ascii="Arial" w:hAnsi="Arial" w:cs="Arial"/>
          <w:lang w:val="pt-BR"/>
        </w:rPr>
        <w:t>Among the limitations of the study is the use of secondary data, which are subject to underreporting and delays in registration. Therefore, it is recommended that further research be conducted using complementary methodologies and more specific population subgroups, in order to deepen understanding of the determinants of low vaccine adherence and their consequences for public health.</w:t>
      </w:r>
    </w:p>
    <w:p w14:paraId="20F62E20" w14:textId="77777777" w:rsidR="00315186" w:rsidRPr="00315186" w:rsidRDefault="00315186" w:rsidP="00441B6F"/>
    <w:p w14:paraId="6CF882CD" w14:textId="77777777" w:rsidR="00315186" w:rsidRPr="00315186" w:rsidRDefault="00315186" w:rsidP="00441B6F"/>
    <w:p w14:paraId="75EA8D83" w14:textId="77777777" w:rsidR="001D7638" w:rsidRPr="001D7638" w:rsidRDefault="001D7638" w:rsidP="001D7638">
      <w:pPr>
        <w:pStyle w:val="ReferHead"/>
        <w:spacing w:after="0"/>
        <w:jc w:val="both"/>
        <w:rPr>
          <w:rFonts w:ascii="Arial" w:hAnsi="Arial" w:cs="Arial"/>
          <w:b w:val="0"/>
          <w:caps w:val="0"/>
          <w:sz w:val="20"/>
          <w:u w:val="single"/>
        </w:rPr>
      </w:pPr>
      <w:bookmarkStart w:id="2" w:name="_GoBack"/>
      <w:bookmarkEnd w:id="2"/>
    </w:p>
    <w:p w14:paraId="10E789B1" w14:textId="49EC5B37"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434E428A" w14:textId="77777777" w:rsidR="002D58EE" w:rsidRPr="002B685A" w:rsidRDefault="002D58EE" w:rsidP="00441B6F">
      <w:pPr>
        <w:pStyle w:val="ReferHead"/>
        <w:spacing w:after="0"/>
        <w:jc w:val="both"/>
        <w:rPr>
          <w:rFonts w:ascii="Arial" w:hAnsi="Arial" w:cs="Arial"/>
          <w:bCs/>
        </w:rPr>
      </w:pPr>
    </w:p>
    <w:p w14:paraId="22FE2252" w14:textId="137654FE" w:rsidR="005C784C" w:rsidRPr="007503F1" w:rsidRDefault="00486346" w:rsidP="00441B6F">
      <w:pPr>
        <w:pStyle w:val="ReferHead"/>
        <w:spacing w:after="0"/>
        <w:jc w:val="both"/>
        <w:rPr>
          <w:rFonts w:ascii="Arial" w:hAnsi="Arial" w:cs="Arial"/>
          <w:b w:val="0"/>
          <w:caps w:val="0"/>
          <w:sz w:val="20"/>
          <w:u w:val="single"/>
        </w:rPr>
      </w:pPr>
      <w:r w:rsidRPr="007503F1">
        <w:rPr>
          <w:rFonts w:ascii="Arial" w:hAnsi="Arial" w:cs="Arial"/>
          <w:b w:val="0"/>
          <w:caps w:val="0"/>
          <w:sz w:val="20"/>
          <w:u w:val="single"/>
        </w:rPr>
        <w:t>The authors declare that this research did not require the use of questionnaires or patient consent, since the data were obtained from Ministry of Health databases, that is, publicly available data. Therefore, no direct or indirect contact with individuals was necessary, as the information provided consists only of quantitative and epidemiological percentages, with no personal data that could lead to identification.</w:t>
      </w:r>
    </w:p>
    <w:p w14:paraId="4B382859" w14:textId="77777777" w:rsidR="00486346" w:rsidRDefault="00486346" w:rsidP="00441B6F">
      <w:pPr>
        <w:pStyle w:val="ReferHead"/>
        <w:spacing w:after="0"/>
        <w:jc w:val="both"/>
        <w:rPr>
          <w:rFonts w:ascii="Arial" w:hAnsi="Arial" w:cs="Arial"/>
          <w:b w:val="0"/>
          <w:caps w:val="0"/>
          <w:sz w:val="20"/>
        </w:rPr>
      </w:pPr>
    </w:p>
    <w:p w14:paraId="0A777337" w14:textId="62B24709" w:rsidR="005C784C" w:rsidRDefault="005C784C" w:rsidP="00441B6F">
      <w:pPr>
        <w:pStyle w:val="ReferHead"/>
        <w:spacing w:after="0"/>
        <w:jc w:val="both"/>
        <w:rPr>
          <w:rFonts w:ascii="Arial" w:hAnsi="Arial" w:cs="Arial"/>
          <w:bCs/>
        </w:rPr>
      </w:pPr>
      <w:r>
        <w:rPr>
          <w:rFonts w:ascii="Arial" w:hAnsi="Arial" w:cs="Arial"/>
          <w:bCs/>
        </w:rPr>
        <w:t>Ethical approval</w:t>
      </w:r>
    </w:p>
    <w:p w14:paraId="238BCD23" w14:textId="77777777" w:rsidR="005C784C" w:rsidRPr="007503F1" w:rsidRDefault="005C784C" w:rsidP="00441B6F">
      <w:pPr>
        <w:pStyle w:val="ReferHead"/>
        <w:spacing w:after="0"/>
        <w:jc w:val="both"/>
        <w:rPr>
          <w:rFonts w:ascii="Arial" w:hAnsi="Arial" w:cs="Arial"/>
          <w:bCs/>
          <w:u w:val="single"/>
        </w:rPr>
      </w:pPr>
    </w:p>
    <w:p w14:paraId="0068D836" w14:textId="0AFC55D6" w:rsidR="000872AF" w:rsidRDefault="00CB61E5" w:rsidP="00441B6F">
      <w:pPr>
        <w:pStyle w:val="ReferHead"/>
        <w:spacing w:after="0"/>
        <w:jc w:val="both"/>
        <w:rPr>
          <w:rFonts w:ascii="Arial" w:hAnsi="Arial" w:cs="Arial"/>
          <w:b w:val="0"/>
          <w:caps w:val="0"/>
          <w:sz w:val="20"/>
          <w:u w:val="single"/>
        </w:rPr>
      </w:pPr>
      <w:r w:rsidRPr="00CB61E5">
        <w:rPr>
          <w:rFonts w:ascii="Arial" w:hAnsi="Arial" w:cs="Arial"/>
          <w:b w:val="0"/>
          <w:caps w:val="0"/>
          <w:sz w:val="20"/>
          <w:u w:val="single"/>
        </w:rPr>
        <w:t>The authors declare that this research was exempt from ethics committee review, as it involved the use of aggregated data from databases without the possibility of individual identification. Such exemption generally applies to studies that do not present direct or indirect risks to human subjects or that use publicly accessible data, as is the case in this work, in accordance with the regulations of the Brazilian National Health Council (CNS), specifically Resolution No. 510/2016, Article 26, items III and V, of Resolution No. 674, dated May 6, 2022.</w:t>
      </w:r>
    </w:p>
    <w:p w14:paraId="78126775" w14:textId="77777777" w:rsidR="0058383A" w:rsidRDefault="0058383A" w:rsidP="00441B6F">
      <w:pPr>
        <w:pStyle w:val="ReferHead"/>
        <w:spacing w:after="0"/>
        <w:jc w:val="both"/>
        <w:rPr>
          <w:rFonts w:ascii="Arial" w:hAnsi="Arial" w:cs="Arial"/>
          <w:b w:val="0"/>
          <w:caps w:val="0"/>
          <w:sz w:val="20"/>
          <w:u w:val="single"/>
        </w:rPr>
      </w:pPr>
    </w:p>
    <w:p w14:paraId="6BA01836" w14:textId="77777777" w:rsidR="0058383A" w:rsidRPr="0058383A" w:rsidRDefault="0058383A" w:rsidP="0058383A">
      <w:pPr>
        <w:spacing w:after="200" w:line="276" w:lineRule="auto"/>
        <w:jc w:val="both"/>
        <w:outlineLvl w:val="0"/>
        <w:rPr>
          <w:rFonts w:ascii="Arial" w:eastAsiaTheme="minorEastAsia" w:hAnsi="Arial" w:cs="Arial"/>
          <w:sz w:val="22"/>
          <w:szCs w:val="22"/>
          <w:lang w:val="en-GB" w:eastAsia="en-GB"/>
        </w:rPr>
      </w:pPr>
      <w:r w:rsidRPr="0058383A">
        <w:rPr>
          <w:rFonts w:ascii="Arial" w:eastAsiaTheme="minorEastAsia" w:hAnsi="Arial" w:cs="Arial"/>
          <w:b/>
          <w:bCs/>
          <w:sz w:val="22"/>
          <w:szCs w:val="22"/>
          <w:lang w:val="en-GB" w:eastAsia="en-GB"/>
        </w:rPr>
        <w:t>COMPETING INTERESTS DISCLAIMER:</w:t>
      </w:r>
    </w:p>
    <w:p w14:paraId="77CDD357" w14:textId="77777777" w:rsidR="0058383A" w:rsidRPr="0058383A" w:rsidRDefault="0058383A" w:rsidP="0058383A">
      <w:pPr>
        <w:spacing w:after="200" w:line="276" w:lineRule="auto"/>
        <w:rPr>
          <w:rFonts w:asciiTheme="minorHAnsi" w:eastAsiaTheme="minorEastAsia" w:hAnsiTheme="minorHAnsi" w:cstheme="minorBidi"/>
          <w:sz w:val="22"/>
          <w:szCs w:val="22"/>
          <w:lang w:val="en-GB" w:eastAsia="en-GB"/>
        </w:rPr>
      </w:pPr>
      <w:r w:rsidRPr="0058383A">
        <w:rPr>
          <w:rFonts w:asciiTheme="minorHAnsi" w:eastAsiaTheme="minorEastAsia" w:hAnsiTheme="minorHAnsi" w:cstheme="minorBidi"/>
          <w:sz w:val="22"/>
          <w:szCs w:val="22"/>
          <w:lang w:val="en-GB" w:eastAsia="en-GB"/>
        </w:rPr>
        <w:t>Authors have declared that they have no known competing financial interests OR non-financial interests OR personal relationships that could have appeared to influence the work reported in this paper.</w:t>
      </w:r>
    </w:p>
    <w:p w14:paraId="2E319709" w14:textId="77777777" w:rsidR="0058383A" w:rsidRPr="0058383A" w:rsidRDefault="0058383A" w:rsidP="0058383A">
      <w:pPr>
        <w:spacing w:after="200" w:line="276" w:lineRule="auto"/>
        <w:rPr>
          <w:rFonts w:asciiTheme="minorHAnsi" w:eastAsiaTheme="minorEastAsia" w:hAnsiTheme="minorHAnsi" w:cstheme="minorBidi"/>
          <w:sz w:val="22"/>
          <w:szCs w:val="22"/>
          <w:lang w:val="en-GB" w:eastAsia="en-GB"/>
        </w:rPr>
      </w:pPr>
    </w:p>
    <w:p w14:paraId="2D021195" w14:textId="77777777" w:rsidR="0058383A" w:rsidRDefault="0058383A" w:rsidP="00441B6F">
      <w:pPr>
        <w:pStyle w:val="ReferHead"/>
        <w:spacing w:after="0"/>
        <w:jc w:val="both"/>
        <w:rPr>
          <w:rFonts w:ascii="Arial" w:hAnsi="Arial" w:cs="Arial"/>
          <w:b w:val="0"/>
          <w:caps w:val="0"/>
          <w:sz w:val="20"/>
          <w:u w:val="single"/>
        </w:rPr>
      </w:pPr>
    </w:p>
    <w:p w14:paraId="0DF11F6F" w14:textId="77777777" w:rsidR="0058383A" w:rsidRDefault="0058383A" w:rsidP="00441B6F">
      <w:pPr>
        <w:pStyle w:val="ReferHead"/>
        <w:spacing w:after="0"/>
        <w:jc w:val="both"/>
        <w:rPr>
          <w:rFonts w:ascii="Arial" w:hAnsi="Arial" w:cs="Arial"/>
          <w:b w:val="0"/>
          <w:caps w:val="0"/>
          <w:sz w:val="20"/>
          <w:u w:val="single"/>
        </w:rPr>
      </w:pPr>
    </w:p>
    <w:p w14:paraId="5DF7C89C" w14:textId="77777777" w:rsidR="0058383A" w:rsidRDefault="0058383A" w:rsidP="00441B6F">
      <w:pPr>
        <w:pStyle w:val="ReferHead"/>
        <w:spacing w:after="0"/>
        <w:jc w:val="both"/>
        <w:rPr>
          <w:rFonts w:ascii="Arial" w:hAnsi="Arial" w:cs="Arial"/>
          <w:b w:val="0"/>
          <w:caps w:val="0"/>
          <w:sz w:val="20"/>
          <w:u w:val="single"/>
        </w:rPr>
      </w:pPr>
    </w:p>
    <w:p w14:paraId="61B192F3" w14:textId="77777777" w:rsidR="0058383A" w:rsidRDefault="0058383A" w:rsidP="00441B6F">
      <w:pPr>
        <w:pStyle w:val="ReferHead"/>
        <w:spacing w:after="0"/>
        <w:jc w:val="both"/>
        <w:rPr>
          <w:rFonts w:ascii="Arial" w:hAnsi="Arial" w:cs="Arial"/>
          <w:b w:val="0"/>
          <w:caps w:val="0"/>
          <w:sz w:val="20"/>
          <w:u w:val="single"/>
        </w:rPr>
      </w:pPr>
    </w:p>
    <w:p w14:paraId="4712869A" w14:textId="77777777" w:rsidR="0058383A" w:rsidRDefault="0058383A" w:rsidP="00441B6F">
      <w:pPr>
        <w:pStyle w:val="ReferHead"/>
        <w:spacing w:after="0"/>
        <w:jc w:val="both"/>
        <w:rPr>
          <w:rFonts w:ascii="Arial" w:hAnsi="Arial" w:cs="Arial"/>
          <w:b w:val="0"/>
          <w:caps w:val="0"/>
          <w:sz w:val="20"/>
          <w:u w:val="single"/>
        </w:rPr>
      </w:pPr>
    </w:p>
    <w:p w14:paraId="1FB3251E" w14:textId="77777777" w:rsidR="00CB61E5" w:rsidRDefault="00CB61E5" w:rsidP="00441B6F">
      <w:pPr>
        <w:pStyle w:val="ReferHead"/>
        <w:spacing w:after="0"/>
        <w:jc w:val="both"/>
        <w:rPr>
          <w:rFonts w:ascii="Arial" w:hAnsi="Arial" w:cs="Arial"/>
        </w:rPr>
      </w:pPr>
    </w:p>
    <w:p w14:paraId="441086E7"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8AF3963" w14:textId="77777777" w:rsidR="000F1B9D" w:rsidRDefault="000F1B9D" w:rsidP="00441B6F">
      <w:pPr>
        <w:pStyle w:val="ReferHead"/>
        <w:spacing w:after="0"/>
        <w:jc w:val="both"/>
        <w:rPr>
          <w:rFonts w:ascii="Arial" w:hAnsi="Arial" w:cs="Arial"/>
        </w:rPr>
      </w:pPr>
    </w:p>
    <w:p w14:paraId="70618E66"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Lima, G.T., Brito, A.G., Vargas, G.L.M., Ferreira, J.D., Silva, P.I.O., Segundo, J.T.M. et al. (2020). The impacts of changing the epidemiological profile of measles in Brazil. Brazilian Journal of Health Review. 3(3): 5973–81.</w:t>
      </w:r>
    </w:p>
    <w:p w14:paraId="69A0D690" w14:textId="77777777" w:rsidR="002C19AD" w:rsidRPr="002C19AD" w:rsidRDefault="002C19AD" w:rsidP="002C19AD">
      <w:pPr>
        <w:jc w:val="both"/>
        <w:rPr>
          <w:rFonts w:ascii="Arial" w:eastAsia="Arial" w:hAnsi="Arial" w:cs="Arial"/>
          <w:lang w:eastAsia="pt-BR"/>
        </w:rPr>
      </w:pPr>
    </w:p>
    <w:p w14:paraId="5A5447B9"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Brazil. (2017). Ministry of Health. Health Surveillance Secretariat. Department of Epidemiological Surveillance. General Coordination for the Development of Epidemiology in Services. Epidemiological Surveillance Guide. 2nd ed. Brasília: Ministry of Health; 2017. p. 113–128.</w:t>
      </w:r>
    </w:p>
    <w:p w14:paraId="6E50763F" w14:textId="77777777" w:rsidR="002C19AD" w:rsidRPr="002C19AD" w:rsidRDefault="002C19AD" w:rsidP="002C19AD">
      <w:pPr>
        <w:jc w:val="both"/>
        <w:rPr>
          <w:rFonts w:ascii="Arial" w:eastAsia="Arial" w:hAnsi="Arial" w:cs="Arial"/>
          <w:lang w:eastAsia="pt-BR"/>
        </w:rPr>
      </w:pPr>
    </w:p>
    <w:p w14:paraId="1FD53A43"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Brazil. (2018). Ministry of Health. Health Surveillance Secretariat. General Coordination for Communicable Diseases. Measles Case Status in the States of Roraima and Amazonas – 2018. Report No. 11. Brasília: Ministry of Health; 2018.</w:t>
      </w:r>
    </w:p>
    <w:p w14:paraId="5228DB0E" w14:textId="77777777" w:rsidR="002C19AD" w:rsidRPr="002C19AD" w:rsidRDefault="002C19AD" w:rsidP="002C19AD">
      <w:pPr>
        <w:jc w:val="both"/>
        <w:rPr>
          <w:rFonts w:ascii="Arial" w:eastAsia="Arial" w:hAnsi="Arial" w:cs="Arial"/>
          <w:lang w:eastAsia="pt-BR"/>
        </w:rPr>
      </w:pPr>
    </w:p>
    <w:p w14:paraId="04688334" w14:textId="77777777" w:rsidR="002C19AD" w:rsidRPr="002C19AD" w:rsidRDefault="002C19AD" w:rsidP="002C19AD">
      <w:pPr>
        <w:jc w:val="both"/>
        <w:rPr>
          <w:rFonts w:ascii="Arial" w:eastAsia="Arial" w:hAnsi="Arial" w:cs="Arial"/>
          <w:lang w:eastAsia="pt-BR"/>
        </w:rPr>
      </w:pPr>
      <w:proofErr w:type="spellStart"/>
      <w:r w:rsidRPr="002C19AD">
        <w:rPr>
          <w:rFonts w:ascii="Arial" w:eastAsia="Arial" w:hAnsi="Arial" w:cs="Arial"/>
          <w:lang w:eastAsia="pt-BR"/>
        </w:rPr>
        <w:t>Masresha</w:t>
      </w:r>
      <w:proofErr w:type="spellEnd"/>
      <w:r w:rsidRPr="002C19AD">
        <w:rPr>
          <w:rFonts w:ascii="Arial" w:eastAsia="Arial" w:hAnsi="Arial" w:cs="Arial"/>
          <w:lang w:eastAsia="pt-BR"/>
        </w:rPr>
        <w:t xml:space="preserve">, B.G., Hatcher, C., </w:t>
      </w:r>
      <w:proofErr w:type="spellStart"/>
      <w:r w:rsidRPr="002C19AD">
        <w:rPr>
          <w:rFonts w:ascii="Arial" w:eastAsia="Arial" w:hAnsi="Arial" w:cs="Arial"/>
          <w:lang w:eastAsia="pt-BR"/>
        </w:rPr>
        <w:t>Lebo</w:t>
      </w:r>
      <w:proofErr w:type="spellEnd"/>
      <w:r w:rsidRPr="002C19AD">
        <w:rPr>
          <w:rFonts w:ascii="Arial" w:eastAsia="Arial" w:hAnsi="Arial" w:cs="Arial"/>
          <w:lang w:eastAsia="pt-BR"/>
        </w:rPr>
        <w:t xml:space="preserve">, E., </w:t>
      </w:r>
      <w:proofErr w:type="spellStart"/>
      <w:r w:rsidRPr="002C19AD">
        <w:rPr>
          <w:rFonts w:ascii="Arial" w:eastAsia="Arial" w:hAnsi="Arial" w:cs="Arial"/>
          <w:lang w:eastAsia="pt-BR"/>
        </w:rPr>
        <w:t>Tanifum</w:t>
      </w:r>
      <w:proofErr w:type="spellEnd"/>
      <w:r w:rsidRPr="002C19AD">
        <w:rPr>
          <w:rFonts w:ascii="Arial" w:eastAsia="Arial" w:hAnsi="Arial" w:cs="Arial"/>
          <w:lang w:eastAsia="pt-BR"/>
        </w:rPr>
        <w:t xml:space="preserve">, P., </w:t>
      </w:r>
      <w:proofErr w:type="spellStart"/>
      <w:r w:rsidRPr="002C19AD">
        <w:rPr>
          <w:rFonts w:ascii="Arial" w:eastAsia="Arial" w:hAnsi="Arial" w:cs="Arial"/>
          <w:lang w:eastAsia="pt-BR"/>
        </w:rPr>
        <w:t>Bwaka</w:t>
      </w:r>
      <w:proofErr w:type="spellEnd"/>
      <w:r w:rsidRPr="002C19AD">
        <w:rPr>
          <w:rFonts w:ascii="Arial" w:eastAsia="Arial" w:hAnsi="Arial" w:cs="Arial"/>
          <w:lang w:eastAsia="pt-BR"/>
        </w:rPr>
        <w:t xml:space="preserve">, A.M., Minta, A.A., et al. (2023). Progress Toward Measles Elimination - African Region, 2017-2021. MMWR </w:t>
      </w:r>
      <w:proofErr w:type="spellStart"/>
      <w:r w:rsidRPr="002C19AD">
        <w:rPr>
          <w:rFonts w:ascii="Arial" w:eastAsia="Arial" w:hAnsi="Arial" w:cs="Arial"/>
          <w:lang w:eastAsia="pt-BR"/>
        </w:rPr>
        <w:t>Morb</w:t>
      </w:r>
      <w:proofErr w:type="spellEnd"/>
      <w:r w:rsidRPr="002C19AD">
        <w:rPr>
          <w:rFonts w:ascii="Arial" w:eastAsia="Arial" w:hAnsi="Arial" w:cs="Arial"/>
          <w:lang w:eastAsia="pt-BR"/>
        </w:rPr>
        <w:t xml:space="preserve"> Mortal </w:t>
      </w:r>
      <w:proofErr w:type="spellStart"/>
      <w:r w:rsidRPr="002C19AD">
        <w:rPr>
          <w:rFonts w:ascii="Arial" w:eastAsia="Arial" w:hAnsi="Arial" w:cs="Arial"/>
          <w:lang w:eastAsia="pt-BR"/>
        </w:rPr>
        <w:t>Wkly</w:t>
      </w:r>
      <w:proofErr w:type="spellEnd"/>
      <w:r w:rsidRPr="002C19AD">
        <w:rPr>
          <w:rFonts w:ascii="Arial" w:eastAsia="Arial" w:hAnsi="Arial" w:cs="Arial"/>
          <w:lang w:eastAsia="pt-BR"/>
        </w:rPr>
        <w:t xml:space="preserve"> Rep. 72(36):985-991.</w:t>
      </w:r>
    </w:p>
    <w:p w14:paraId="387E1092" w14:textId="77777777" w:rsidR="002C19AD" w:rsidRPr="002C19AD" w:rsidRDefault="002C19AD" w:rsidP="002C19AD">
      <w:pPr>
        <w:jc w:val="both"/>
        <w:rPr>
          <w:rFonts w:ascii="Arial" w:eastAsia="Arial" w:hAnsi="Arial" w:cs="Arial"/>
          <w:lang w:eastAsia="pt-BR"/>
        </w:rPr>
      </w:pPr>
    </w:p>
    <w:p w14:paraId="574E9119"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Brazil. (2019). Ministry of Health. Health Surveillance Secretariat. General Coordination for the Development of Epidemiology in Services. Health Surveillance Guide: Single Volume [electronic resource]. 3rd ed. Brasília: Ministry of Health.</w:t>
      </w:r>
    </w:p>
    <w:p w14:paraId="7C2140AC" w14:textId="77777777" w:rsidR="002C19AD" w:rsidRPr="002C19AD" w:rsidRDefault="002C19AD" w:rsidP="002C19AD">
      <w:pPr>
        <w:jc w:val="both"/>
        <w:rPr>
          <w:rFonts w:ascii="Arial" w:eastAsia="Arial" w:hAnsi="Arial" w:cs="Arial"/>
          <w:lang w:eastAsia="pt-BR"/>
        </w:rPr>
      </w:pPr>
    </w:p>
    <w:p w14:paraId="22BB0976"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 xml:space="preserve">Rodrigues, B.L.P., de Souza, L.R., Soares, N.M. dos S., da Silva, K. de N.S., Celestino Júnior, A.F. (2020). Updates on measles immunization in Brazil: a systematic review. </w:t>
      </w:r>
      <w:proofErr w:type="spellStart"/>
      <w:r w:rsidRPr="002C19AD">
        <w:rPr>
          <w:rFonts w:ascii="Arial" w:eastAsia="Arial" w:hAnsi="Arial" w:cs="Arial"/>
          <w:lang w:eastAsia="pt-BR"/>
        </w:rPr>
        <w:t>Acervo</w:t>
      </w:r>
      <w:proofErr w:type="spellEnd"/>
      <w:r w:rsidRPr="002C19AD">
        <w:rPr>
          <w:rFonts w:ascii="Arial" w:eastAsia="Arial" w:hAnsi="Arial" w:cs="Arial"/>
          <w:lang w:eastAsia="pt-BR"/>
        </w:rPr>
        <w:t xml:space="preserve"> </w:t>
      </w:r>
      <w:proofErr w:type="spellStart"/>
      <w:r w:rsidRPr="002C19AD">
        <w:rPr>
          <w:rFonts w:ascii="Arial" w:eastAsia="Arial" w:hAnsi="Arial" w:cs="Arial"/>
          <w:lang w:eastAsia="pt-BR"/>
        </w:rPr>
        <w:t>Saúde</w:t>
      </w:r>
      <w:proofErr w:type="spellEnd"/>
      <w:r w:rsidRPr="002C19AD">
        <w:rPr>
          <w:rFonts w:ascii="Arial" w:eastAsia="Arial" w:hAnsi="Arial" w:cs="Arial"/>
          <w:lang w:eastAsia="pt-BR"/>
        </w:rPr>
        <w:t xml:space="preserve"> Electronic Journal [Internet]. 55: e3919.</w:t>
      </w:r>
    </w:p>
    <w:p w14:paraId="7C66BAD2" w14:textId="77777777" w:rsidR="002C19AD" w:rsidRPr="002C19AD" w:rsidRDefault="002C19AD" w:rsidP="002C19AD">
      <w:pPr>
        <w:jc w:val="both"/>
        <w:rPr>
          <w:rFonts w:ascii="Arial" w:eastAsia="Arial" w:hAnsi="Arial" w:cs="Arial"/>
          <w:lang w:eastAsia="pt-BR"/>
        </w:rPr>
      </w:pPr>
    </w:p>
    <w:p w14:paraId="0C1A0B05"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 xml:space="preserve">Carvalho, A.L. de., </w:t>
      </w:r>
      <w:proofErr w:type="spellStart"/>
      <w:r w:rsidRPr="002C19AD">
        <w:rPr>
          <w:rFonts w:ascii="Arial" w:eastAsia="Arial" w:hAnsi="Arial" w:cs="Arial"/>
          <w:lang w:eastAsia="pt-BR"/>
        </w:rPr>
        <w:t>Dorabela</w:t>
      </w:r>
      <w:proofErr w:type="spellEnd"/>
      <w:r w:rsidRPr="002C19AD">
        <w:rPr>
          <w:rFonts w:ascii="Arial" w:eastAsia="Arial" w:hAnsi="Arial" w:cs="Arial"/>
          <w:lang w:eastAsia="pt-BR"/>
        </w:rPr>
        <w:t xml:space="preserve">, A., Andrade, J.G., </w:t>
      </w:r>
      <w:proofErr w:type="spellStart"/>
      <w:r w:rsidRPr="002C19AD">
        <w:rPr>
          <w:rFonts w:ascii="Arial" w:eastAsia="Arial" w:hAnsi="Arial" w:cs="Arial"/>
          <w:lang w:eastAsia="pt-BR"/>
        </w:rPr>
        <w:t>Diniz</w:t>
      </w:r>
      <w:proofErr w:type="spellEnd"/>
      <w:r w:rsidRPr="002C19AD">
        <w:rPr>
          <w:rFonts w:ascii="Arial" w:eastAsia="Arial" w:hAnsi="Arial" w:cs="Arial"/>
          <w:lang w:eastAsia="pt-BR"/>
        </w:rPr>
        <w:t>, L.M.O., Romanelli, R.M. de C. (2019). Measles: updates and reemergence. Minas Gerais Medical Journal. 29(13): S80–5.</w:t>
      </w:r>
    </w:p>
    <w:p w14:paraId="5E2574B0" w14:textId="77777777" w:rsidR="002C19AD" w:rsidRPr="002C19AD" w:rsidRDefault="002C19AD" w:rsidP="002C19AD">
      <w:pPr>
        <w:jc w:val="both"/>
        <w:rPr>
          <w:rFonts w:ascii="Arial" w:eastAsia="Arial" w:hAnsi="Arial" w:cs="Arial"/>
          <w:lang w:eastAsia="pt-BR"/>
        </w:rPr>
      </w:pPr>
    </w:p>
    <w:p w14:paraId="5DFA74C7"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 xml:space="preserve">Xavier, A.R., Rodrigues, T.S., Santos, L.S., </w:t>
      </w:r>
      <w:proofErr w:type="spellStart"/>
      <w:r w:rsidRPr="002C19AD">
        <w:rPr>
          <w:rFonts w:ascii="Arial" w:eastAsia="Arial" w:hAnsi="Arial" w:cs="Arial"/>
          <w:lang w:eastAsia="pt-BR"/>
        </w:rPr>
        <w:t>Lacerda</w:t>
      </w:r>
      <w:proofErr w:type="spellEnd"/>
      <w:r w:rsidRPr="002C19AD">
        <w:rPr>
          <w:rFonts w:ascii="Arial" w:eastAsia="Arial" w:hAnsi="Arial" w:cs="Arial"/>
          <w:lang w:eastAsia="pt-BR"/>
        </w:rPr>
        <w:t xml:space="preserve">, G.S., Kanaan, S. (2019). Clinical, laboratory, and prophylactic diagnosis of measles in Brazil. J Bras </w:t>
      </w:r>
      <w:proofErr w:type="spellStart"/>
      <w:r w:rsidRPr="002C19AD">
        <w:rPr>
          <w:rFonts w:ascii="Arial" w:eastAsia="Arial" w:hAnsi="Arial" w:cs="Arial"/>
          <w:lang w:eastAsia="pt-BR"/>
        </w:rPr>
        <w:t>Patol</w:t>
      </w:r>
      <w:proofErr w:type="spellEnd"/>
      <w:r w:rsidRPr="002C19AD">
        <w:rPr>
          <w:rFonts w:ascii="Arial" w:eastAsia="Arial" w:hAnsi="Arial" w:cs="Arial"/>
          <w:lang w:eastAsia="pt-BR"/>
        </w:rPr>
        <w:t xml:space="preserve"> Med Lab. 55: 390–401.</w:t>
      </w:r>
    </w:p>
    <w:p w14:paraId="6C5EE542" w14:textId="77777777" w:rsidR="002C19AD" w:rsidRPr="002C19AD" w:rsidRDefault="002C19AD" w:rsidP="002C19AD">
      <w:pPr>
        <w:jc w:val="both"/>
        <w:rPr>
          <w:rFonts w:ascii="Arial" w:eastAsia="Arial" w:hAnsi="Arial" w:cs="Arial"/>
          <w:lang w:eastAsia="pt-BR"/>
        </w:rPr>
      </w:pPr>
    </w:p>
    <w:p w14:paraId="0F8E158F" w14:textId="77777777" w:rsidR="002C19AD" w:rsidRPr="002C19AD" w:rsidRDefault="002C19AD" w:rsidP="002C19AD">
      <w:pPr>
        <w:jc w:val="both"/>
        <w:rPr>
          <w:rFonts w:ascii="Arial" w:eastAsia="Arial" w:hAnsi="Arial" w:cs="Arial"/>
          <w:lang w:eastAsia="pt-BR"/>
        </w:rPr>
      </w:pPr>
      <w:proofErr w:type="spellStart"/>
      <w:r w:rsidRPr="002C19AD">
        <w:rPr>
          <w:rFonts w:ascii="Arial" w:eastAsia="Arial" w:hAnsi="Arial" w:cs="Arial"/>
          <w:lang w:eastAsia="pt-BR"/>
        </w:rPr>
        <w:t>Zonin</w:t>
      </w:r>
      <w:proofErr w:type="spellEnd"/>
      <w:r w:rsidRPr="002C19AD">
        <w:rPr>
          <w:rFonts w:ascii="Arial" w:eastAsia="Arial" w:hAnsi="Arial" w:cs="Arial"/>
          <w:lang w:eastAsia="pt-BR"/>
        </w:rPr>
        <w:t xml:space="preserve">, J.M., </w:t>
      </w:r>
      <w:proofErr w:type="spellStart"/>
      <w:r w:rsidRPr="002C19AD">
        <w:rPr>
          <w:rFonts w:ascii="Arial" w:eastAsia="Arial" w:hAnsi="Arial" w:cs="Arial"/>
          <w:lang w:eastAsia="pt-BR"/>
        </w:rPr>
        <w:t>Bortoli</w:t>
      </w:r>
      <w:proofErr w:type="spellEnd"/>
      <w:r w:rsidRPr="002C19AD">
        <w:rPr>
          <w:rFonts w:ascii="Arial" w:eastAsia="Arial" w:hAnsi="Arial" w:cs="Arial"/>
          <w:lang w:eastAsia="pt-BR"/>
        </w:rPr>
        <w:t>, V.F., Oliveira, G.A. de., et al. (2021). Measles - A literature review. Brazilian Journal of Health Review. 4(4): 16467–16475.</w:t>
      </w:r>
    </w:p>
    <w:p w14:paraId="58DDB6BC" w14:textId="77777777" w:rsidR="002C19AD" w:rsidRPr="002C19AD" w:rsidRDefault="002C19AD" w:rsidP="002C19AD">
      <w:pPr>
        <w:jc w:val="both"/>
        <w:rPr>
          <w:rFonts w:ascii="Arial" w:eastAsia="Arial" w:hAnsi="Arial" w:cs="Arial"/>
          <w:lang w:eastAsia="pt-BR"/>
        </w:rPr>
      </w:pPr>
    </w:p>
    <w:p w14:paraId="4CB83572"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Brazil. Ministry of Health. (2019). Health surveillance guide: single volume. 3rd ed. Brasília: Ministry of Health.</w:t>
      </w:r>
    </w:p>
    <w:p w14:paraId="51E72683" w14:textId="77777777" w:rsidR="002C19AD" w:rsidRPr="002C19AD" w:rsidRDefault="002C19AD" w:rsidP="002C19AD">
      <w:pPr>
        <w:jc w:val="both"/>
        <w:rPr>
          <w:rFonts w:ascii="Arial" w:eastAsia="Arial" w:hAnsi="Arial" w:cs="Arial"/>
          <w:lang w:eastAsia="pt-BR"/>
        </w:rPr>
      </w:pPr>
    </w:p>
    <w:p w14:paraId="2BBD5019" w14:textId="77777777" w:rsidR="002C19AD" w:rsidRPr="002C19AD" w:rsidRDefault="002C19AD" w:rsidP="002C19AD">
      <w:pPr>
        <w:jc w:val="both"/>
        <w:rPr>
          <w:rFonts w:ascii="Arial" w:eastAsia="Arial" w:hAnsi="Arial" w:cs="Arial"/>
          <w:lang w:eastAsia="pt-BR"/>
        </w:rPr>
      </w:pPr>
      <w:proofErr w:type="spellStart"/>
      <w:r w:rsidRPr="002C19AD">
        <w:rPr>
          <w:rFonts w:ascii="Arial" w:eastAsia="Arial" w:hAnsi="Arial" w:cs="Arial"/>
          <w:lang w:eastAsia="pt-BR"/>
        </w:rPr>
        <w:t>Wanderley</w:t>
      </w:r>
      <w:proofErr w:type="spellEnd"/>
      <w:r w:rsidRPr="002C19AD">
        <w:rPr>
          <w:rFonts w:ascii="Arial" w:eastAsia="Arial" w:hAnsi="Arial" w:cs="Arial"/>
          <w:lang w:eastAsia="pt-BR"/>
        </w:rPr>
        <w:t>, R.L., Duarte, A.C. da S.F., Souza, A.A., Oliveira, J.J.F.C., Silva, G.J.T., Oliveira, Z.C., et al. (2021). Epidemiological profile of measles occurrences in Brazil over the last 5 years. Brazilian Journal of Development. 7(1): 3784-3794.</w:t>
      </w:r>
    </w:p>
    <w:p w14:paraId="18B6A720" w14:textId="77777777" w:rsidR="002C19AD" w:rsidRPr="002C19AD" w:rsidRDefault="002C19AD" w:rsidP="002C19AD">
      <w:pPr>
        <w:jc w:val="both"/>
        <w:rPr>
          <w:rFonts w:ascii="Arial" w:eastAsia="Arial" w:hAnsi="Arial" w:cs="Arial"/>
          <w:lang w:eastAsia="pt-BR"/>
        </w:rPr>
      </w:pPr>
    </w:p>
    <w:p w14:paraId="32363A83"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Sato, A.P.S., Boing, A.C., Almeida, R.L.F. de., Xavier, M.O., Moreira, R. da S., Martinez, E.Z., et al. (2023). Measles vaccination in Brazil: where have we been and where are we going? Science &amp; Public Health. 2023; 28: 351–62.</w:t>
      </w:r>
    </w:p>
    <w:p w14:paraId="656F7CCB" w14:textId="77777777" w:rsidR="002C19AD" w:rsidRPr="002C19AD" w:rsidRDefault="002C19AD" w:rsidP="002C19AD">
      <w:pPr>
        <w:jc w:val="both"/>
        <w:rPr>
          <w:rFonts w:ascii="Arial" w:eastAsia="Arial" w:hAnsi="Arial" w:cs="Arial"/>
          <w:lang w:eastAsia="pt-BR"/>
        </w:rPr>
      </w:pPr>
    </w:p>
    <w:p w14:paraId="2753FFFA" w14:textId="01136359" w:rsidR="00D806EB" w:rsidRDefault="002C19AD" w:rsidP="002C19AD">
      <w:pPr>
        <w:jc w:val="both"/>
        <w:rPr>
          <w:rFonts w:ascii="Arial" w:eastAsia="Arial" w:hAnsi="Arial" w:cs="Arial"/>
          <w:lang w:eastAsia="pt-BR"/>
        </w:rPr>
      </w:pPr>
      <w:r w:rsidRPr="002C19AD">
        <w:rPr>
          <w:rFonts w:ascii="Arial" w:eastAsia="Arial" w:hAnsi="Arial" w:cs="Arial"/>
          <w:lang w:eastAsia="pt-BR"/>
        </w:rPr>
        <w:t>Brazil. Ministry of Health. (2022). General Coordination of the National Immunization Program of the Department of Immunization and Communicable Diseases of the Health Surveillance Secretariat. Epidemiological Bulletin: Measles epidemiological surveillance in Brazil – epidemiological weeks 1 to 51 of 2021. Volume 53. Brasília: Ministry of Health.</w:t>
      </w:r>
    </w:p>
    <w:p w14:paraId="62B90EA8" w14:textId="77777777" w:rsidR="002C19AD" w:rsidRPr="00BC6B61" w:rsidRDefault="002C19AD" w:rsidP="002C19AD">
      <w:pPr>
        <w:jc w:val="both"/>
        <w:rPr>
          <w:rFonts w:ascii="Arial" w:eastAsia="Arial" w:hAnsi="Arial" w:cs="Arial"/>
          <w:lang w:eastAsia="pt-BR"/>
        </w:rPr>
      </w:pPr>
    </w:p>
    <w:p w14:paraId="686B3557"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Brazil, São Paulo State Department of Health. (2022). Technical Team of the Division of Respiratory Transmitted Diseases CVE/CCD/SES-SP. Immunization Division CVE/CCD/SES-SP. MEASLES/RUBELLA &amp; CONGENITAL RUBELLA SYNDROME: Prevention and Control Measures – UPDATE – 2022. São Paulo: São Paulo State Department of Health.</w:t>
      </w:r>
    </w:p>
    <w:p w14:paraId="73EA3EBE" w14:textId="77777777" w:rsidR="002C19AD" w:rsidRPr="002C19AD" w:rsidRDefault="002C19AD" w:rsidP="002C19AD">
      <w:pPr>
        <w:jc w:val="both"/>
        <w:rPr>
          <w:rFonts w:ascii="Arial" w:eastAsia="Arial" w:hAnsi="Arial" w:cs="Arial"/>
          <w:lang w:eastAsia="pt-BR"/>
        </w:rPr>
      </w:pPr>
    </w:p>
    <w:p w14:paraId="7C75EDB0"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Costa, E.J.M. da. (2011). Territorial planning, public policy management, and regional decentralization: the experience of the state of Pará. Regional Development in Debate. 1(1): 122-150.</w:t>
      </w:r>
    </w:p>
    <w:p w14:paraId="532C8414" w14:textId="77777777" w:rsidR="002C19AD" w:rsidRPr="002C19AD" w:rsidRDefault="002C19AD" w:rsidP="002C19AD">
      <w:pPr>
        <w:jc w:val="both"/>
        <w:rPr>
          <w:rFonts w:ascii="Arial" w:eastAsia="Arial" w:hAnsi="Arial" w:cs="Arial"/>
          <w:lang w:eastAsia="pt-BR"/>
        </w:rPr>
      </w:pPr>
    </w:p>
    <w:p w14:paraId="6DD3D8F1"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IBGE - Brazilian Institute of Geography and Statistics. (2014). Cities and States.</w:t>
      </w:r>
    </w:p>
    <w:p w14:paraId="7336820B" w14:textId="77777777" w:rsidR="002C19AD" w:rsidRPr="002C19AD" w:rsidRDefault="002C19AD" w:rsidP="002C19AD">
      <w:pPr>
        <w:jc w:val="both"/>
        <w:rPr>
          <w:rFonts w:ascii="Arial" w:eastAsia="Arial" w:hAnsi="Arial" w:cs="Arial"/>
          <w:lang w:eastAsia="pt-BR"/>
        </w:rPr>
      </w:pPr>
    </w:p>
    <w:p w14:paraId="0D27E0CD" w14:textId="77777777" w:rsidR="002C19AD" w:rsidRPr="002C19AD" w:rsidRDefault="002C19AD" w:rsidP="002C19AD">
      <w:pPr>
        <w:jc w:val="both"/>
        <w:rPr>
          <w:rFonts w:ascii="Arial" w:eastAsia="Arial" w:hAnsi="Arial" w:cs="Arial"/>
          <w:lang w:eastAsia="pt-BR"/>
        </w:rPr>
      </w:pPr>
      <w:proofErr w:type="spellStart"/>
      <w:r w:rsidRPr="002C19AD">
        <w:rPr>
          <w:rFonts w:ascii="Arial" w:eastAsia="Arial" w:hAnsi="Arial" w:cs="Arial"/>
          <w:lang w:eastAsia="pt-BR"/>
        </w:rPr>
        <w:t>Zorzetto</w:t>
      </w:r>
      <w:proofErr w:type="spellEnd"/>
      <w:r w:rsidRPr="002C19AD">
        <w:rPr>
          <w:rFonts w:ascii="Arial" w:eastAsia="Arial" w:hAnsi="Arial" w:cs="Arial"/>
          <w:lang w:eastAsia="pt-BR"/>
        </w:rPr>
        <w:t xml:space="preserve">, R. (2018). The reasons for the decline in vaccination. </w:t>
      </w:r>
      <w:proofErr w:type="spellStart"/>
      <w:r w:rsidRPr="002C19AD">
        <w:rPr>
          <w:rFonts w:ascii="Arial" w:eastAsia="Arial" w:hAnsi="Arial" w:cs="Arial"/>
          <w:lang w:eastAsia="pt-BR"/>
        </w:rPr>
        <w:t>Revista</w:t>
      </w:r>
      <w:proofErr w:type="spellEnd"/>
      <w:r w:rsidRPr="002C19AD">
        <w:rPr>
          <w:rFonts w:ascii="Arial" w:eastAsia="Arial" w:hAnsi="Arial" w:cs="Arial"/>
          <w:lang w:eastAsia="pt-BR"/>
        </w:rPr>
        <w:t xml:space="preserve"> </w:t>
      </w:r>
      <w:proofErr w:type="spellStart"/>
      <w:r w:rsidRPr="002C19AD">
        <w:rPr>
          <w:rFonts w:ascii="Arial" w:eastAsia="Arial" w:hAnsi="Arial" w:cs="Arial"/>
          <w:lang w:eastAsia="pt-BR"/>
        </w:rPr>
        <w:t>Pesquisa</w:t>
      </w:r>
      <w:proofErr w:type="spellEnd"/>
      <w:r w:rsidRPr="002C19AD">
        <w:rPr>
          <w:rFonts w:ascii="Arial" w:eastAsia="Arial" w:hAnsi="Arial" w:cs="Arial"/>
          <w:lang w:eastAsia="pt-BR"/>
        </w:rPr>
        <w:t xml:space="preserve"> </w:t>
      </w:r>
      <w:proofErr w:type="spellStart"/>
      <w:r w:rsidRPr="002C19AD">
        <w:rPr>
          <w:rFonts w:ascii="Arial" w:eastAsia="Arial" w:hAnsi="Arial" w:cs="Arial"/>
          <w:lang w:eastAsia="pt-BR"/>
        </w:rPr>
        <w:t>Fapesp</w:t>
      </w:r>
      <w:proofErr w:type="spellEnd"/>
      <w:r w:rsidRPr="002C19AD">
        <w:rPr>
          <w:rFonts w:ascii="Arial" w:eastAsia="Arial" w:hAnsi="Arial" w:cs="Arial"/>
          <w:lang w:eastAsia="pt-BR"/>
        </w:rPr>
        <w:t xml:space="preserve"> [Internet]. 270: 19-24.</w:t>
      </w:r>
    </w:p>
    <w:p w14:paraId="4DE7D53D" w14:textId="77777777" w:rsidR="002C19AD" w:rsidRPr="002C19AD" w:rsidRDefault="002C19AD" w:rsidP="002C19AD">
      <w:pPr>
        <w:jc w:val="both"/>
        <w:rPr>
          <w:rFonts w:ascii="Arial" w:eastAsia="Arial" w:hAnsi="Arial" w:cs="Arial"/>
          <w:lang w:eastAsia="pt-BR"/>
        </w:rPr>
      </w:pPr>
    </w:p>
    <w:p w14:paraId="51EC6AE9"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 xml:space="preserve">Costa, E., </w:t>
      </w:r>
      <w:proofErr w:type="spellStart"/>
      <w:r w:rsidRPr="002C19AD">
        <w:rPr>
          <w:rFonts w:ascii="Arial" w:eastAsia="Arial" w:hAnsi="Arial" w:cs="Arial"/>
          <w:lang w:eastAsia="pt-BR"/>
        </w:rPr>
        <w:t>Brandão</w:t>
      </w:r>
      <w:proofErr w:type="spellEnd"/>
      <w:r w:rsidRPr="002C19AD">
        <w:rPr>
          <w:rFonts w:ascii="Arial" w:eastAsia="Arial" w:hAnsi="Arial" w:cs="Arial"/>
          <w:lang w:eastAsia="pt-BR"/>
        </w:rPr>
        <w:t>, I., Oliveira, V. (2018) Escaping Hunger: How the Arrival of 40,000 Venezuelans Transformed Boa Vista. G1 Roraima [Internet]. G1 RR: approximately 30 screens. Available at:</w:t>
      </w:r>
    </w:p>
    <w:p w14:paraId="75CE601B" w14:textId="77777777" w:rsidR="002C19AD" w:rsidRPr="002C19AD" w:rsidRDefault="002C19AD" w:rsidP="002C19AD">
      <w:pPr>
        <w:jc w:val="both"/>
        <w:rPr>
          <w:rFonts w:ascii="Arial" w:eastAsia="Arial" w:hAnsi="Arial" w:cs="Arial"/>
          <w:lang w:eastAsia="pt-BR"/>
        </w:rPr>
      </w:pPr>
    </w:p>
    <w:p w14:paraId="0949E87E" w14:textId="77777777" w:rsidR="002C19AD" w:rsidRPr="002C19AD" w:rsidRDefault="002C19AD" w:rsidP="002C19AD">
      <w:pPr>
        <w:jc w:val="both"/>
        <w:rPr>
          <w:rFonts w:ascii="Arial" w:eastAsia="Arial" w:hAnsi="Arial" w:cs="Arial"/>
          <w:lang w:eastAsia="pt-BR"/>
        </w:rPr>
      </w:pPr>
      <w:proofErr w:type="spellStart"/>
      <w:r w:rsidRPr="002C19AD">
        <w:rPr>
          <w:rFonts w:ascii="Arial" w:eastAsia="Arial" w:hAnsi="Arial" w:cs="Arial"/>
          <w:lang w:eastAsia="pt-BR"/>
        </w:rPr>
        <w:t>Ferraciolli</w:t>
      </w:r>
      <w:proofErr w:type="spellEnd"/>
      <w:r w:rsidRPr="002C19AD">
        <w:rPr>
          <w:rFonts w:ascii="Arial" w:eastAsia="Arial" w:hAnsi="Arial" w:cs="Arial"/>
          <w:lang w:eastAsia="pt-BR"/>
        </w:rPr>
        <w:t xml:space="preserve">, B.G., </w:t>
      </w:r>
      <w:proofErr w:type="spellStart"/>
      <w:r w:rsidRPr="002C19AD">
        <w:rPr>
          <w:rFonts w:ascii="Arial" w:eastAsia="Arial" w:hAnsi="Arial" w:cs="Arial"/>
          <w:lang w:eastAsia="pt-BR"/>
        </w:rPr>
        <w:t>Magalhães</w:t>
      </w:r>
      <w:proofErr w:type="spellEnd"/>
      <w:r w:rsidRPr="002C19AD">
        <w:rPr>
          <w:rFonts w:ascii="Arial" w:eastAsia="Arial" w:hAnsi="Arial" w:cs="Arial"/>
          <w:lang w:eastAsia="pt-BR"/>
        </w:rPr>
        <w:t xml:space="preserve">, B.S., Fernandes, W.L. (2020). Measles Susceptibility in the Northern Region of Brazil, 2014-2018. </w:t>
      </w:r>
      <w:proofErr w:type="spellStart"/>
      <w:r w:rsidRPr="002C19AD">
        <w:rPr>
          <w:rFonts w:ascii="Arial" w:eastAsia="Arial" w:hAnsi="Arial" w:cs="Arial"/>
          <w:lang w:eastAsia="pt-BR"/>
        </w:rPr>
        <w:t>Revista</w:t>
      </w:r>
      <w:proofErr w:type="spellEnd"/>
      <w:r w:rsidRPr="002C19AD">
        <w:rPr>
          <w:rFonts w:ascii="Arial" w:eastAsia="Arial" w:hAnsi="Arial" w:cs="Arial"/>
          <w:lang w:eastAsia="pt-BR"/>
        </w:rPr>
        <w:t xml:space="preserve"> </w:t>
      </w:r>
      <w:proofErr w:type="spellStart"/>
      <w:r w:rsidRPr="002C19AD">
        <w:rPr>
          <w:rFonts w:ascii="Arial" w:eastAsia="Arial" w:hAnsi="Arial" w:cs="Arial"/>
          <w:lang w:eastAsia="pt-BR"/>
        </w:rPr>
        <w:t>Extensão</w:t>
      </w:r>
      <w:proofErr w:type="spellEnd"/>
      <w:r w:rsidRPr="002C19AD">
        <w:rPr>
          <w:rFonts w:ascii="Arial" w:eastAsia="Arial" w:hAnsi="Arial" w:cs="Arial"/>
          <w:lang w:eastAsia="pt-BR"/>
        </w:rPr>
        <w:t>. 4(1): 64-74.</w:t>
      </w:r>
    </w:p>
    <w:p w14:paraId="7368E6D6" w14:textId="77777777" w:rsidR="002C19AD" w:rsidRPr="002C19AD" w:rsidRDefault="002C19AD" w:rsidP="002C19AD">
      <w:pPr>
        <w:jc w:val="both"/>
        <w:rPr>
          <w:rFonts w:ascii="Arial" w:eastAsia="Arial" w:hAnsi="Arial" w:cs="Arial"/>
          <w:lang w:eastAsia="pt-BR"/>
        </w:rPr>
      </w:pPr>
    </w:p>
    <w:p w14:paraId="1A6CA15F"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Brazil. Ministry of Health. (2020). General Coordination of the National Immunization Program of the Department of Immunization and Communicable Diseases of the Health Surveillance Secretariat. Epidemiological Bulletin: Measles Epidemiological Surveillance in Brazil 2019: January to December. Volume 51. Brasília: Ministry of Health.</w:t>
      </w:r>
    </w:p>
    <w:p w14:paraId="54777647" w14:textId="77777777" w:rsidR="002C19AD" w:rsidRPr="002C19AD" w:rsidRDefault="002C19AD" w:rsidP="002C19AD">
      <w:pPr>
        <w:jc w:val="both"/>
        <w:rPr>
          <w:rFonts w:ascii="Arial" w:eastAsia="Arial" w:hAnsi="Arial" w:cs="Arial"/>
          <w:lang w:eastAsia="pt-BR"/>
        </w:rPr>
      </w:pPr>
    </w:p>
    <w:p w14:paraId="0601678D"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 xml:space="preserve">Silveira, M.F., </w:t>
      </w:r>
      <w:proofErr w:type="spellStart"/>
      <w:r w:rsidRPr="002C19AD">
        <w:rPr>
          <w:rFonts w:ascii="Arial" w:eastAsia="Arial" w:hAnsi="Arial" w:cs="Arial"/>
          <w:lang w:eastAsia="pt-BR"/>
        </w:rPr>
        <w:t>Tonial</w:t>
      </w:r>
      <w:proofErr w:type="spellEnd"/>
      <w:r w:rsidRPr="002C19AD">
        <w:rPr>
          <w:rFonts w:ascii="Arial" w:eastAsia="Arial" w:hAnsi="Arial" w:cs="Arial"/>
          <w:lang w:eastAsia="pt-BR"/>
        </w:rPr>
        <w:t xml:space="preserve">, C.T., </w:t>
      </w:r>
      <w:proofErr w:type="spellStart"/>
      <w:r w:rsidRPr="002C19AD">
        <w:rPr>
          <w:rFonts w:ascii="Arial" w:eastAsia="Arial" w:hAnsi="Arial" w:cs="Arial"/>
          <w:lang w:eastAsia="pt-BR"/>
        </w:rPr>
        <w:t>Maranhão</w:t>
      </w:r>
      <w:proofErr w:type="spellEnd"/>
      <w:r w:rsidRPr="002C19AD">
        <w:rPr>
          <w:rFonts w:ascii="Arial" w:eastAsia="Arial" w:hAnsi="Arial" w:cs="Arial"/>
          <w:lang w:eastAsia="pt-BR"/>
        </w:rPr>
        <w:t xml:space="preserve">, A.G.K., Teixeira, A.M.S., </w:t>
      </w:r>
      <w:proofErr w:type="spellStart"/>
      <w:r w:rsidRPr="002C19AD">
        <w:rPr>
          <w:rFonts w:ascii="Arial" w:eastAsia="Arial" w:hAnsi="Arial" w:cs="Arial"/>
          <w:lang w:eastAsia="pt-BR"/>
        </w:rPr>
        <w:t>Hallal</w:t>
      </w:r>
      <w:proofErr w:type="spellEnd"/>
      <w:r w:rsidRPr="002C19AD">
        <w:rPr>
          <w:rFonts w:ascii="Arial" w:eastAsia="Arial" w:hAnsi="Arial" w:cs="Arial"/>
          <w:lang w:eastAsia="pt-BR"/>
        </w:rPr>
        <w:t>, P.C., Menezes, A.M.B., et al. (2021) Missed childhood immunizations during the COVID-19 pandemic in Brazil: Analyses of routine statistics and of a national household survey. Vaccine. 39 (25): 3404–3409.</w:t>
      </w:r>
    </w:p>
    <w:p w14:paraId="7EEE32F5" w14:textId="77777777" w:rsidR="002C19AD" w:rsidRPr="002C19AD" w:rsidRDefault="002C19AD" w:rsidP="002C19AD">
      <w:pPr>
        <w:jc w:val="both"/>
        <w:rPr>
          <w:rFonts w:ascii="Arial" w:eastAsia="Arial" w:hAnsi="Arial" w:cs="Arial"/>
          <w:lang w:eastAsia="pt-BR"/>
        </w:rPr>
      </w:pPr>
    </w:p>
    <w:p w14:paraId="1325DDB0"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Brazil. Ministry of Health. (2022). Action plan to interrupt measles virus circulation: monitoring and re-verification of its elimination in Brazil, 2022 [electronic resource]. Brasília: Ministry of Health, 69 p.</w:t>
      </w:r>
    </w:p>
    <w:p w14:paraId="2EB66601" w14:textId="77777777" w:rsidR="002C19AD" w:rsidRPr="002C19AD" w:rsidRDefault="002C19AD" w:rsidP="002C19AD">
      <w:pPr>
        <w:jc w:val="both"/>
        <w:rPr>
          <w:rFonts w:ascii="Arial" w:eastAsia="Arial" w:hAnsi="Arial" w:cs="Arial"/>
          <w:lang w:eastAsia="pt-BR"/>
        </w:rPr>
      </w:pPr>
    </w:p>
    <w:p w14:paraId="26740FA1"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 xml:space="preserve">Loureiro, A.A.R., Dutra, H.F., Gonçalves, E.B.D., Pereira, F.O.S., </w:t>
      </w:r>
      <w:proofErr w:type="spellStart"/>
      <w:r w:rsidRPr="002C19AD">
        <w:rPr>
          <w:rFonts w:ascii="Arial" w:eastAsia="Arial" w:hAnsi="Arial" w:cs="Arial"/>
          <w:lang w:eastAsia="pt-BR"/>
        </w:rPr>
        <w:t>Argolo</w:t>
      </w:r>
      <w:proofErr w:type="spellEnd"/>
      <w:r w:rsidRPr="002C19AD">
        <w:rPr>
          <w:rFonts w:ascii="Arial" w:eastAsia="Arial" w:hAnsi="Arial" w:cs="Arial"/>
          <w:lang w:eastAsia="pt-BR"/>
        </w:rPr>
        <w:t xml:space="preserve">, B.M., Fonseca, R.M., </w:t>
      </w:r>
      <w:proofErr w:type="spellStart"/>
      <w:r w:rsidRPr="002C19AD">
        <w:rPr>
          <w:rFonts w:ascii="Arial" w:eastAsia="Arial" w:hAnsi="Arial" w:cs="Arial"/>
          <w:lang w:eastAsia="pt-BR"/>
        </w:rPr>
        <w:t>Fófano</w:t>
      </w:r>
      <w:proofErr w:type="spellEnd"/>
      <w:r w:rsidRPr="002C19AD">
        <w:rPr>
          <w:rFonts w:ascii="Arial" w:eastAsia="Arial" w:hAnsi="Arial" w:cs="Arial"/>
          <w:lang w:eastAsia="pt-BR"/>
        </w:rPr>
        <w:t xml:space="preserve">, G.A. (2023). Effects of the vaccination campaign on measles-related hospitalizations and mortality in Brazil in the last decade. </w:t>
      </w:r>
      <w:proofErr w:type="spellStart"/>
      <w:r w:rsidRPr="002C19AD">
        <w:rPr>
          <w:rFonts w:ascii="Arial" w:eastAsia="Arial" w:hAnsi="Arial" w:cs="Arial"/>
          <w:lang w:eastAsia="pt-BR"/>
        </w:rPr>
        <w:t>Cien</w:t>
      </w:r>
      <w:proofErr w:type="spellEnd"/>
      <w:r w:rsidRPr="002C19AD">
        <w:rPr>
          <w:rFonts w:ascii="Arial" w:eastAsia="Arial" w:hAnsi="Arial" w:cs="Arial"/>
          <w:lang w:eastAsia="pt-BR"/>
        </w:rPr>
        <w:t xml:space="preserve"> </w:t>
      </w:r>
      <w:proofErr w:type="spellStart"/>
      <w:r w:rsidRPr="002C19AD">
        <w:rPr>
          <w:rFonts w:ascii="Arial" w:eastAsia="Arial" w:hAnsi="Arial" w:cs="Arial"/>
          <w:lang w:eastAsia="pt-BR"/>
        </w:rPr>
        <w:t>Saude</w:t>
      </w:r>
      <w:proofErr w:type="spellEnd"/>
      <w:r w:rsidRPr="002C19AD">
        <w:rPr>
          <w:rFonts w:ascii="Arial" w:eastAsia="Arial" w:hAnsi="Arial" w:cs="Arial"/>
          <w:lang w:eastAsia="pt-BR"/>
        </w:rPr>
        <w:t xml:space="preserve"> Colet.</w:t>
      </w:r>
    </w:p>
    <w:p w14:paraId="4D88501B" w14:textId="77777777" w:rsidR="002C19AD" w:rsidRPr="002C19AD" w:rsidRDefault="002C19AD" w:rsidP="002C19AD">
      <w:pPr>
        <w:jc w:val="both"/>
        <w:rPr>
          <w:rFonts w:ascii="Arial" w:eastAsia="Arial" w:hAnsi="Arial" w:cs="Arial"/>
          <w:lang w:eastAsia="pt-BR"/>
        </w:rPr>
      </w:pPr>
    </w:p>
    <w:p w14:paraId="0175F3A1"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Garcia, L.R., Menezes, L.M.S., Jesus, A.B., Souza, I.M., Correa, K.L.D., Marques, L.R., et al. (2020). The importance of vaccination in combating measles. Brazilian Journal of Health Review. 3 (6): 16849-16857.</w:t>
      </w:r>
    </w:p>
    <w:p w14:paraId="25101678" w14:textId="77777777" w:rsidR="002C19AD" w:rsidRPr="002C19AD" w:rsidRDefault="002C19AD" w:rsidP="002C19AD">
      <w:pPr>
        <w:jc w:val="both"/>
        <w:rPr>
          <w:rFonts w:ascii="Arial" w:eastAsia="Arial" w:hAnsi="Arial" w:cs="Arial"/>
          <w:lang w:eastAsia="pt-BR"/>
        </w:rPr>
      </w:pPr>
    </w:p>
    <w:p w14:paraId="753ACF29" w14:textId="77777777" w:rsidR="002C19AD" w:rsidRPr="002C19AD" w:rsidRDefault="002C19AD" w:rsidP="002C19AD">
      <w:pPr>
        <w:jc w:val="both"/>
        <w:rPr>
          <w:rFonts w:ascii="Arial" w:eastAsia="Arial" w:hAnsi="Arial" w:cs="Arial"/>
          <w:lang w:eastAsia="pt-BR"/>
        </w:rPr>
      </w:pPr>
      <w:r w:rsidRPr="002C19AD">
        <w:rPr>
          <w:rFonts w:ascii="Arial" w:eastAsia="Arial" w:hAnsi="Arial" w:cs="Arial"/>
          <w:lang w:eastAsia="pt-BR"/>
        </w:rPr>
        <w:t xml:space="preserve">Parra, C.M., Ribeiro, M.A.L., </w:t>
      </w:r>
      <w:proofErr w:type="spellStart"/>
      <w:r w:rsidRPr="002C19AD">
        <w:rPr>
          <w:rFonts w:ascii="Arial" w:eastAsia="Arial" w:hAnsi="Arial" w:cs="Arial"/>
          <w:lang w:eastAsia="pt-BR"/>
        </w:rPr>
        <w:t>Bezerra</w:t>
      </w:r>
      <w:proofErr w:type="spellEnd"/>
      <w:r w:rsidRPr="002C19AD">
        <w:rPr>
          <w:rFonts w:ascii="Arial" w:eastAsia="Arial" w:hAnsi="Arial" w:cs="Arial"/>
          <w:lang w:eastAsia="pt-BR"/>
        </w:rPr>
        <w:t>, I.M.P., Ribeiro, M.R., Abreu, L.C. (2022). Vaccination coverage and incidence of measles in the Northern Region of Brazil. J. Hum. Growth Dev. 32 (1): 21-29.</w:t>
      </w:r>
    </w:p>
    <w:p w14:paraId="6C2A4DDE" w14:textId="77777777" w:rsidR="002C19AD" w:rsidRPr="002C19AD" w:rsidRDefault="002C19AD" w:rsidP="002C19AD">
      <w:pPr>
        <w:jc w:val="both"/>
        <w:rPr>
          <w:rFonts w:ascii="Arial" w:eastAsia="Arial" w:hAnsi="Arial" w:cs="Arial"/>
          <w:lang w:eastAsia="pt-BR"/>
        </w:rPr>
      </w:pPr>
    </w:p>
    <w:p w14:paraId="2DFA2A85" w14:textId="77777777" w:rsidR="002C19AD" w:rsidRPr="002C19AD" w:rsidRDefault="002C19AD" w:rsidP="002C19AD">
      <w:pPr>
        <w:jc w:val="both"/>
        <w:rPr>
          <w:rFonts w:ascii="Arial" w:eastAsia="Arial" w:hAnsi="Arial" w:cs="Arial"/>
          <w:lang w:eastAsia="pt-BR"/>
        </w:rPr>
      </w:pPr>
      <w:proofErr w:type="spellStart"/>
      <w:r w:rsidRPr="002C19AD">
        <w:rPr>
          <w:rFonts w:ascii="Arial" w:eastAsia="Arial" w:hAnsi="Arial" w:cs="Arial"/>
          <w:lang w:eastAsia="pt-BR"/>
        </w:rPr>
        <w:t>Gasperini</w:t>
      </w:r>
      <w:proofErr w:type="spellEnd"/>
      <w:r w:rsidRPr="002C19AD">
        <w:rPr>
          <w:rFonts w:ascii="Arial" w:eastAsia="Arial" w:hAnsi="Arial" w:cs="Arial"/>
          <w:lang w:eastAsia="pt-BR"/>
        </w:rPr>
        <w:t xml:space="preserve">, G.F., Bergamo, M.F.P., Costa, S.F., </w:t>
      </w:r>
      <w:proofErr w:type="spellStart"/>
      <w:r w:rsidRPr="002C19AD">
        <w:rPr>
          <w:rFonts w:ascii="Arial" w:eastAsia="Arial" w:hAnsi="Arial" w:cs="Arial"/>
          <w:lang w:eastAsia="pt-BR"/>
        </w:rPr>
        <w:t>Colhado</w:t>
      </w:r>
      <w:proofErr w:type="spellEnd"/>
      <w:r w:rsidRPr="002C19AD">
        <w:rPr>
          <w:rFonts w:ascii="Arial" w:eastAsia="Arial" w:hAnsi="Arial" w:cs="Arial"/>
          <w:lang w:eastAsia="pt-BR"/>
        </w:rPr>
        <w:t xml:space="preserve">, O.C.G. (2022). Prevalence of hospitalizations due to measles in different age groups and regions of Brazil from 2016 to 2021. Proceedings of the II Congress of </w:t>
      </w:r>
      <w:proofErr w:type="spellStart"/>
      <w:r w:rsidRPr="002C19AD">
        <w:rPr>
          <w:rFonts w:ascii="Arial" w:eastAsia="Arial" w:hAnsi="Arial" w:cs="Arial"/>
          <w:lang w:eastAsia="pt-BR"/>
        </w:rPr>
        <w:t>Interleagues</w:t>
      </w:r>
      <w:proofErr w:type="spellEnd"/>
      <w:r w:rsidRPr="002C19AD">
        <w:rPr>
          <w:rFonts w:ascii="Arial" w:eastAsia="Arial" w:hAnsi="Arial" w:cs="Arial"/>
          <w:lang w:eastAsia="pt-BR"/>
        </w:rPr>
        <w:t xml:space="preserve"> of Medicine of </w:t>
      </w:r>
      <w:proofErr w:type="spellStart"/>
      <w:r w:rsidRPr="002C19AD">
        <w:rPr>
          <w:rFonts w:ascii="Arial" w:eastAsia="Arial" w:hAnsi="Arial" w:cs="Arial"/>
          <w:lang w:eastAsia="pt-BR"/>
        </w:rPr>
        <w:t>Uningá</w:t>
      </w:r>
      <w:proofErr w:type="spellEnd"/>
      <w:r w:rsidRPr="002C19AD">
        <w:rPr>
          <w:rFonts w:ascii="Arial" w:eastAsia="Arial" w:hAnsi="Arial" w:cs="Arial"/>
          <w:lang w:eastAsia="pt-BR"/>
        </w:rPr>
        <w:t>. 1: 31-33.</w:t>
      </w:r>
    </w:p>
    <w:p w14:paraId="713E074E" w14:textId="77777777" w:rsidR="002C19AD" w:rsidRPr="002C19AD" w:rsidRDefault="002C19AD" w:rsidP="002C19AD">
      <w:pPr>
        <w:jc w:val="both"/>
        <w:rPr>
          <w:rFonts w:ascii="Arial" w:eastAsia="Arial" w:hAnsi="Arial" w:cs="Arial"/>
          <w:lang w:eastAsia="pt-BR"/>
        </w:rPr>
      </w:pPr>
    </w:p>
    <w:p w14:paraId="5072BEA2" w14:textId="73AB371D" w:rsidR="00B01FCD" w:rsidRDefault="002C19AD" w:rsidP="002C19AD">
      <w:pPr>
        <w:jc w:val="both"/>
        <w:rPr>
          <w:rFonts w:ascii="Arial" w:eastAsia="Arial" w:hAnsi="Arial" w:cs="Arial"/>
          <w:lang w:eastAsia="pt-BR"/>
        </w:rPr>
      </w:pPr>
      <w:r w:rsidRPr="002C19AD">
        <w:rPr>
          <w:rFonts w:ascii="Arial" w:eastAsia="Arial" w:hAnsi="Arial" w:cs="Arial"/>
          <w:lang w:eastAsia="pt-BR"/>
        </w:rPr>
        <w:t>Souza, M.V.M. de, Júnior, D.B.F. (2020). Urban network, spatial interactions, and the geography of health: analysis of the trajectory of Covid-19 in the state of Pará. Brazilian Journal of Economic Geography: Space and Economy [Internet]. ed18.</w:t>
      </w:r>
    </w:p>
    <w:p w14:paraId="020CB7F4" w14:textId="77777777" w:rsidR="002C19AD" w:rsidRPr="00FB3A86" w:rsidRDefault="002C19AD" w:rsidP="002C19AD">
      <w:pPr>
        <w:jc w:val="both"/>
        <w:rPr>
          <w:rFonts w:ascii="Arial" w:hAnsi="Arial" w:cs="Arial"/>
          <w:b/>
        </w:rPr>
      </w:pPr>
    </w:p>
    <w:sectPr w:rsidR="002C19AD" w:rsidRPr="00FB3A86" w:rsidSect="00540E40">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997E98" w14:textId="77777777" w:rsidR="001205A6" w:rsidRDefault="001205A6" w:rsidP="00C37E61">
      <w:r>
        <w:separator/>
      </w:r>
    </w:p>
  </w:endnote>
  <w:endnote w:type="continuationSeparator" w:id="0">
    <w:p w14:paraId="2C629F4D" w14:textId="77777777" w:rsidR="001205A6" w:rsidRDefault="001205A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F1D2AB" w14:textId="77777777" w:rsidR="00540E40" w:rsidRDefault="00540E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2F9266" w14:textId="77777777" w:rsidR="00540E40" w:rsidRDefault="00540E4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479B71" w14:textId="77777777" w:rsidR="009E048A" w:rsidRDefault="009E048A">
    <w:pPr>
      <w:pStyle w:val="Footer"/>
      <w:rPr>
        <w:rFonts w:ascii="Arial" w:hAnsi="Arial" w:cs="Arial"/>
        <w:sz w:val="16"/>
      </w:rPr>
    </w:pPr>
  </w:p>
  <w:p w14:paraId="642323D7"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3322D2E9" w14:textId="77777777" w:rsidR="009E048A" w:rsidRDefault="009E048A">
    <w:pPr>
      <w:pStyle w:val="Footer"/>
      <w:rPr>
        <w:rFonts w:ascii="Arial" w:hAnsi="Arial" w:cs="Arial"/>
        <w:sz w:val="16"/>
      </w:rPr>
    </w:pPr>
  </w:p>
  <w:p w14:paraId="5A020C62"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73B6A9"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688F89" w14:textId="77777777" w:rsidR="001205A6" w:rsidRDefault="001205A6" w:rsidP="00C37E61">
      <w:r>
        <w:separator/>
      </w:r>
    </w:p>
  </w:footnote>
  <w:footnote w:type="continuationSeparator" w:id="0">
    <w:p w14:paraId="371C38EE" w14:textId="77777777" w:rsidR="001205A6" w:rsidRDefault="001205A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2BD28B" w14:textId="0D3F2D1D" w:rsidR="00540E40" w:rsidRDefault="00540E40">
    <w:pPr>
      <w:pStyle w:val="Header"/>
    </w:pPr>
    <w:r>
      <w:rPr>
        <w:noProof/>
      </w:rPr>
      <w:pict w14:anchorId="75E5D5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65228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AF3E1F" w14:textId="2100475B" w:rsidR="00540E40" w:rsidRDefault="00540E40">
    <w:pPr>
      <w:pStyle w:val="Header"/>
    </w:pPr>
    <w:r>
      <w:rPr>
        <w:noProof/>
      </w:rPr>
      <w:pict w14:anchorId="4E6202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65228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81C46" w14:textId="11F6F083" w:rsidR="00296529" w:rsidRPr="00296529" w:rsidRDefault="00540E40" w:rsidP="00296529">
    <w:pPr>
      <w:ind w:left="2160"/>
      <w:jc w:val="center"/>
      <w:rPr>
        <w:rFonts w:ascii="Times New Roman" w:eastAsia="Calibri" w:hAnsi="Times New Roman"/>
        <w:i/>
        <w:sz w:val="18"/>
        <w:szCs w:val="22"/>
      </w:rPr>
    </w:pPr>
    <w:r>
      <w:rPr>
        <w:noProof/>
      </w:rPr>
      <w:pict w14:anchorId="7FFC6D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65228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6619A3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965582A"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FF42197"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03B99200"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0122AC1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2A30E0F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DFD834" w14:textId="0E01CE3F" w:rsidR="00540E40" w:rsidRDefault="00540E40">
    <w:pPr>
      <w:pStyle w:val="Header"/>
    </w:pPr>
    <w:r>
      <w:rPr>
        <w:noProof/>
      </w:rPr>
      <w:pict w14:anchorId="61A83B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65228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EDAB41" w14:textId="13BF768F" w:rsidR="00540E40" w:rsidRDefault="00540E40">
    <w:pPr>
      <w:pStyle w:val="Header"/>
    </w:pPr>
    <w:r>
      <w:rPr>
        <w:noProof/>
      </w:rPr>
      <w:pict w14:anchorId="459C2E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65228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21102" w14:textId="7EA558D7" w:rsidR="00540E40" w:rsidRDefault="00540E40">
    <w:pPr>
      <w:pStyle w:val="Header"/>
    </w:pPr>
    <w:r>
      <w:rPr>
        <w:noProof/>
      </w:rPr>
      <w:pict w14:anchorId="3B2E6A0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665228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74B7"/>
    <w:rsid w:val="00020C7E"/>
    <w:rsid w:val="00030174"/>
    <w:rsid w:val="0004579C"/>
    <w:rsid w:val="0005205B"/>
    <w:rsid w:val="0005215D"/>
    <w:rsid w:val="000569DD"/>
    <w:rsid w:val="00081CB8"/>
    <w:rsid w:val="000872AF"/>
    <w:rsid w:val="00097141"/>
    <w:rsid w:val="000A47FA"/>
    <w:rsid w:val="000A65D3"/>
    <w:rsid w:val="000A673E"/>
    <w:rsid w:val="000B1E33"/>
    <w:rsid w:val="000B2495"/>
    <w:rsid w:val="000C1147"/>
    <w:rsid w:val="000D689F"/>
    <w:rsid w:val="000E3749"/>
    <w:rsid w:val="000E77DD"/>
    <w:rsid w:val="000E7B7B"/>
    <w:rsid w:val="000E7D62"/>
    <w:rsid w:val="000F1B9D"/>
    <w:rsid w:val="001013A8"/>
    <w:rsid w:val="00101AA7"/>
    <w:rsid w:val="00103357"/>
    <w:rsid w:val="00106C0A"/>
    <w:rsid w:val="001171FA"/>
    <w:rsid w:val="001205A6"/>
    <w:rsid w:val="00123C9F"/>
    <w:rsid w:val="00126190"/>
    <w:rsid w:val="00130F17"/>
    <w:rsid w:val="001320BF"/>
    <w:rsid w:val="00137FC4"/>
    <w:rsid w:val="00163BC4"/>
    <w:rsid w:val="00191062"/>
    <w:rsid w:val="00192B72"/>
    <w:rsid w:val="001A29D8"/>
    <w:rsid w:val="001A5CAA"/>
    <w:rsid w:val="001B0427"/>
    <w:rsid w:val="001B2B59"/>
    <w:rsid w:val="001D3A51"/>
    <w:rsid w:val="001D7638"/>
    <w:rsid w:val="001E10D2"/>
    <w:rsid w:val="001E25B4"/>
    <w:rsid w:val="001E44FE"/>
    <w:rsid w:val="00200595"/>
    <w:rsid w:val="00204835"/>
    <w:rsid w:val="0020680B"/>
    <w:rsid w:val="00231920"/>
    <w:rsid w:val="0023195C"/>
    <w:rsid w:val="00236FCB"/>
    <w:rsid w:val="0024282C"/>
    <w:rsid w:val="002460DC"/>
    <w:rsid w:val="00250985"/>
    <w:rsid w:val="002509C4"/>
    <w:rsid w:val="002556F6"/>
    <w:rsid w:val="00283105"/>
    <w:rsid w:val="00284C4C"/>
    <w:rsid w:val="00285C58"/>
    <w:rsid w:val="00287E68"/>
    <w:rsid w:val="00296529"/>
    <w:rsid w:val="00297643"/>
    <w:rsid w:val="002A0445"/>
    <w:rsid w:val="002B0056"/>
    <w:rsid w:val="002B27FB"/>
    <w:rsid w:val="002B685A"/>
    <w:rsid w:val="002C19AD"/>
    <w:rsid w:val="002C57D2"/>
    <w:rsid w:val="002D58EE"/>
    <w:rsid w:val="002E0D56"/>
    <w:rsid w:val="003052D7"/>
    <w:rsid w:val="00311052"/>
    <w:rsid w:val="00315186"/>
    <w:rsid w:val="003207B2"/>
    <w:rsid w:val="00321648"/>
    <w:rsid w:val="00322EDB"/>
    <w:rsid w:val="0033188C"/>
    <w:rsid w:val="0033343E"/>
    <w:rsid w:val="00337401"/>
    <w:rsid w:val="003512C2"/>
    <w:rsid w:val="00363F8B"/>
    <w:rsid w:val="00371FB6"/>
    <w:rsid w:val="003763C1"/>
    <w:rsid w:val="00376BBE"/>
    <w:rsid w:val="00377D15"/>
    <w:rsid w:val="00391073"/>
    <w:rsid w:val="0039224F"/>
    <w:rsid w:val="00392AAB"/>
    <w:rsid w:val="003A368B"/>
    <w:rsid w:val="003A43A4"/>
    <w:rsid w:val="003A7E18"/>
    <w:rsid w:val="003B11CB"/>
    <w:rsid w:val="003B1BF6"/>
    <w:rsid w:val="003C4C86"/>
    <w:rsid w:val="003C6258"/>
    <w:rsid w:val="003E2904"/>
    <w:rsid w:val="003F2D67"/>
    <w:rsid w:val="00401927"/>
    <w:rsid w:val="00404A70"/>
    <w:rsid w:val="00405CE8"/>
    <w:rsid w:val="0041027F"/>
    <w:rsid w:val="00412475"/>
    <w:rsid w:val="00423789"/>
    <w:rsid w:val="00440F43"/>
    <w:rsid w:val="00441B6F"/>
    <w:rsid w:val="00446221"/>
    <w:rsid w:val="00450E62"/>
    <w:rsid w:val="004539DB"/>
    <w:rsid w:val="0046370A"/>
    <w:rsid w:val="004718A3"/>
    <w:rsid w:val="00471A80"/>
    <w:rsid w:val="00486346"/>
    <w:rsid w:val="00494418"/>
    <w:rsid w:val="00494783"/>
    <w:rsid w:val="004948AE"/>
    <w:rsid w:val="004B708C"/>
    <w:rsid w:val="004C7869"/>
    <w:rsid w:val="004D305E"/>
    <w:rsid w:val="004D4277"/>
    <w:rsid w:val="00502516"/>
    <w:rsid w:val="00503AB1"/>
    <w:rsid w:val="00505F06"/>
    <w:rsid w:val="00506828"/>
    <w:rsid w:val="0053056E"/>
    <w:rsid w:val="00540E40"/>
    <w:rsid w:val="00554FDA"/>
    <w:rsid w:val="00560416"/>
    <w:rsid w:val="00581931"/>
    <w:rsid w:val="0058383A"/>
    <w:rsid w:val="00594BA8"/>
    <w:rsid w:val="005A64C3"/>
    <w:rsid w:val="005A7AE6"/>
    <w:rsid w:val="005B4EDF"/>
    <w:rsid w:val="005B7327"/>
    <w:rsid w:val="005B7E4E"/>
    <w:rsid w:val="005C784C"/>
    <w:rsid w:val="005D073F"/>
    <w:rsid w:val="005D17F6"/>
    <w:rsid w:val="005E0652"/>
    <w:rsid w:val="005E5539"/>
    <w:rsid w:val="00602BF5"/>
    <w:rsid w:val="00617FDD"/>
    <w:rsid w:val="00633614"/>
    <w:rsid w:val="00633F68"/>
    <w:rsid w:val="00636EB2"/>
    <w:rsid w:val="006375B8"/>
    <w:rsid w:val="00642FD7"/>
    <w:rsid w:val="006576B9"/>
    <w:rsid w:val="0066152B"/>
    <w:rsid w:val="0066510A"/>
    <w:rsid w:val="00673F9F"/>
    <w:rsid w:val="00686953"/>
    <w:rsid w:val="00687DEA"/>
    <w:rsid w:val="00687E67"/>
    <w:rsid w:val="00692080"/>
    <w:rsid w:val="006967F7"/>
    <w:rsid w:val="006A250C"/>
    <w:rsid w:val="006B01F7"/>
    <w:rsid w:val="006B21D3"/>
    <w:rsid w:val="006B4B4A"/>
    <w:rsid w:val="006B57D0"/>
    <w:rsid w:val="006D0580"/>
    <w:rsid w:val="006D30FF"/>
    <w:rsid w:val="006D648F"/>
    <w:rsid w:val="006D6940"/>
    <w:rsid w:val="006D7F7E"/>
    <w:rsid w:val="006E45C9"/>
    <w:rsid w:val="006F04E4"/>
    <w:rsid w:val="006F11EC"/>
    <w:rsid w:val="0070082C"/>
    <w:rsid w:val="0070532B"/>
    <w:rsid w:val="00706116"/>
    <w:rsid w:val="00711B80"/>
    <w:rsid w:val="00720004"/>
    <w:rsid w:val="00721C46"/>
    <w:rsid w:val="007369E6"/>
    <w:rsid w:val="00742C0B"/>
    <w:rsid w:val="00746E59"/>
    <w:rsid w:val="007503F1"/>
    <w:rsid w:val="0075416D"/>
    <w:rsid w:val="00754C9A"/>
    <w:rsid w:val="0075599A"/>
    <w:rsid w:val="00761D52"/>
    <w:rsid w:val="0077749E"/>
    <w:rsid w:val="007812B6"/>
    <w:rsid w:val="00781B25"/>
    <w:rsid w:val="00790ADA"/>
    <w:rsid w:val="007B1D23"/>
    <w:rsid w:val="007D2288"/>
    <w:rsid w:val="007E088F"/>
    <w:rsid w:val="007E4803"/>
    <w:rsid w:val="007F7B32"/>
    <w:rsid w:val="00804BC2"/>
    <w:rsid w:val="0081431A"/>
    <w:rsid w:val="00824DD6"/>
    <w:rsid w:val="0083216F"/>
    <w:rsid w:val="00841809"/>
    <w:rsid w:val="00860000"/>
    <w:rsid w:val="00863BD3"/>
    <w:rsid w:val="008641ED"/>
    <w:rsid w:val="00866D66"/>
    <w:rsid w:val="008671C6"/>
    <w:rsid w:val="00875803"/>
    <w:rsid w:val="008B459E"/>
    <w:rsid w:val="008B75D1"/>
    <w:rsid w:val="008E08B4"/>
    <w:rsid w:val="008E13AE"/>
    <w:rsid w:val="008E1506"/>
    <w:rsid w:val="008E710C"/>
    <w:rsid w:val="008F44CA"/>
    <w:rsid w:val="008F69D6"/>
    <w:rsid w:val="00902823"/>
    <w:rsid w:val="00915CA6"/>
    <w:rsid w:val="009270A8"/>
    <w:rsid w:val="00927834"/>
    <w:rsid w:val="009343CB"/>
    <w:rsid w:val="009500A6"/>
    <w:rsid w:val="00957C18"/>
    <w:rsid w:val="009622DD"/>
    <w:rsid w:val="00964CC8"/>
    <w:rsid w:val="009659BA"/>
    <w:rsid w:val="00983040"/>
    <w:rsid w:val="009A1D0A"/>
    <w:rsid w:val="009B3FB9"/>
    <w:rsid w:val="009C2465"/>
    <w:rsid w:val="009C689C"/>
    <w:rsid w:val="009D35A0"/>
    <w:rsid w:val="009D7EB7"/>
    <w:rsid w:val="009E048A"/>
    <w:rsid w:val="009E08E9"/>
    <w:rsid w:val="009E3DB9"/>
    <w:rsid w:val="009E6E35"/>
    <w:rsid w:val="009F0EDA"/>
    <w:rsid w:val="009F11C4"/>
    <w:rsid w:val="00A03B96"/>
    <w:rsid w:val="00A049BC"/>
    <w:rsid w:val="00A05B19"/>
    <w:rsid w:val="00A1134E"/>
    <w:rsid w:val="00A13164"/>
    <w:rsid w:val="00A24E7E"/>
    <w:rsid w:val="00A258C3"/>
    <w:rsid w:val="00A347C0"/>
    <w:rsid w:val="00A35296"/>
    <w:rsid w:val="00A51431"/>
    <w:rsid w:val="00A539AD"/>
    <w:rsid w:val="00A908CA"/>
    <w:rsid w:val="00A924B7"/>
    <w:rsid w:val="00A94063"/>
    <w:rsid w:val="00AA6219"/>
    <w:rsid w:val="00AA718F"/>
    <w:rsid w:val="00AA74E0"/>
    <w:rsid w:val="00AB10FF"/>
    <w:rsid w:val="00AB703F"/>
    <w:rsid w:val="00AC28CC"/>
    <w:rsid w:val="00AC6BB8"/>
    <w:rsid w:val="00AE008F"/>
    <w:rsid w:val="00B01FCD"/>
    <w:rsid w:val="00B11D8B"/>
    <w:rsid w:val="00B121F0"/>
    <w:rsid w:val="00B13B41"/>
    <w:rsid w:val="00B16967"/>
    <w:rsid w:val="00B1776C"/>
    <w:rsid w:val="00B22B5A"/>
    <w:rsid w:val="00B353A5"/>
    <w:rsid w:val="00B52583"/>
    <w:rsid w:val="00B52896"/>
    <w:rsid w:val="00B61AEB"/>
    <w:rsid w:val="00B76D45"/>
    <w:rsid w:val="00B85200"/>
    <w:rsid w:val="00B91055"/>
    <w:rsid w:val="00B91EB5"/>
    <w:rsid w:val="00B9343F"/>
    <w:rsid w:val="00B95236"/>
    <w:rsid w:val="00B96BD9"/>
    <w:rsid w:val="00BA1B01"/>
    <w:rsid w:val="00BA2641"/>
    <w:rsid w:val="00BB1254"/>
    <w:rsid w:val="00BB2C98"/>
    <w:rsid w:val="00BB37AA"/>
    <w:rsid w:val="00BC53A0"/>
    <w:rsid w:val="00BE62AD"/>
    <w:rsid w:val="00BF121F"/>
    <w:rsid w:val="00BF1F80"/>
    <w:rsid w:val="00BF3A4E"/>
    <w:rsid w:val="00BF59A7"/>
    <w:rsid w:val="00C07375"/>
    <w:rsid w:val="00C166EF"/>
    <w:rsid w:val="00C17EB0"/>
    <w:rsid w:val="00C21837"/>
    <w:rsid w:val="00C27F5F"/>
    <w:rsid w:val="00C30A0F"/>
    <w:rsid w:val="00C324C5"/>
    <w:rsid w:val="00C33955"/>
    <w:rsid w:val="00C343E6"/>
    <w:rsid w:val="00C37E61"/>
    <w:rsid w:val="00C5157A"/>
    <w:rsid w:val="00C70F1B"/>
    <w:rsid w:val="00C71A47"/>
    <w:rsid w:val="00C7464C"/>
    <w:rsid w:val="00C81B6A"/>
    <w:rsid w:val="00C83308"/>
    <w:rsid w:val="00C8379B"/>
    <w:rsid w:val="00C85588"/>
    <w:rsid w:val="00CB61E5"/>
    <w:rsid w:val="00CD6755"/>
    <w:rsid w:val="00CD6856"/>
    <w:rsid w:val="00CE0089"/>
    <w:rsid w:val="00CE793C"/>
    <w:rsid w:val="00CF1037"/>
    <w:rsid w:val="00CF1214"/>
    <w:rsid w:val="00CF193C"/>
    <w:rsid w:val="00D12233"/>
    <w:rsid w:val="00D173F1"/>
    <w:rsid w:val="00D2438C"/>
    <w:rsid w:val="00D24C7F"/>
    <w:rsid w:val="00D27204"/>
    <w:rsid w:val="00D74CB0"/>
    <w:rsid w:val="00D77E8D"/>
    <w:rsid w:val="00D806EB"/>
    <w:rsid w:val="00D8295D"/>
    <w:rsid w:val="00D85212"/>
    <w:rsid w:val="00D8540C"/>
    <w:rsid w:val="00DA42E5"/>
    <w:rsid w:val="00DC1251"/>
    <w:rsid w:val="00DC2A65"/>
    <w:rsid w:val="00DC5DB7"/>
    <w:rsid w:val="00DE15F0"/>
    <w:rsid w:val="00DE5663"/>
    <w:rsid w:val="00DE78AA"/>
    <w:rsid w:val="00E053D0"/>
    <w:rsid w:val="00E05959"/>
    <w:rsid w:val="00E15994"/>
    <w:rsid w:val="00E3114E"/>
    <w:rsid w:val="00E31A70"/>
    <w:rsid w:val="00E35B02"/>
    <w:rsid w:val="00E418F2"/>
    <w:rsid w:val="00E5220B"/>
    <w:rsid w:val="00E603D9"/>
    <w:rsid w:val="00E6065F"/>
    <w:rsid w:val="00E66496"/>
    <w:rsid w:val="00E66B35"/>
    <w:rsid w:val="00E66E10"/>
    <w:rsid w:val="00E727B8"/>
    <w:rsid w:val="00E769F6"/>
    <w:rsid w:val="00E8407C"/>
    <w:rsid w:val="00E84F3C"/>
    <w:rsid w:val="00EA012C"/>
    <w:rsid w:val="00EB0790"/>
    <w:rsid w:val="00EB1DFF"/>
    <w:rsid w:val="00EB5EFC"/>
    <w:rsid w:val="00EB7CCF"/>
    <w:rsid w:val="00EC6A55"/>
    <w:rsid w:val="00ED0288"/>
    <w:rsid w:val="00EE52CB"/>
    <w:rsid w:val="00EF581D"/>
    <w:rsid w:val="00EF6C9C"/>
    <w:rsid w:val="00EF7FD8"/>
    <w:rsid w:val="00F0314D"/>
    <w:rsid w:val="00F06F59"/>
    <w:rsid w:val="00F17988"/>
    <w:rsid w:val="00F20836"/>
    <w:rsid w:val="00F20A7C"/>
    <w:rsid w:val="00F412F2"/>
    <w:rsid w:val="00F46214"/>
    <w:rsid w:val="00F469F0"/>
    <w:rsid w:val="00F53273"/>
    <w:rsid w:val="00F644B2"/>
    <w:rsid w:val="00F755E4"/>
    <w:rsid w:val="00F77D02"/>
    <w:rsid w:val="00FA4455"/>
    <w:rsid w:val="00FB3A86"/>
    <w:rsid w:val="00FB768B"/>
    <w:rsid w:val="00FC68FF"/>
    <w:rsid w:val="00FD36C8"/>
    <w:rsid w:val="00FD64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3EB8910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9343CB"/>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59B86C-D4CE-4A01-99D1-4E6C5281E4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132</TotalTime>
  <Pages>10</Pages>
  <Words>3724</Words>
  <Characters>21231</Characters>
  <Application>Microsoft Office Word</Application>
  <DocSecurity>0</DocSecurity>
  <Lines>176</Lines>
  <Paragraphs>49</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24906</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181</cp:revision>
  <cp:lastPrinted>1999-07-06T11:00:00Z</cp:lastPrinted>
  <dcterms:created xsi:type="dcterms:W3CDTF">2014-10-25T14:34:00Z</dcterms:created>
  <dcterms:modified xsi:type="dcterms:W3CDTF">2025-10-06T09:08:00Z</dcterms:modified>
</cp:coreProperties>
</file>