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C215A" w14:textId="77777777" w:rsidR="00685FCA" w:rsidRDefault="00685FCA" w:rsidP="004C760D">
      <w:pPr>
        <w:pStyle w:val="Author"/>
        <w:spacing w:line="240" w:lineRule="auto"/>
        <w:rPr>
          <w:rFonts w:ascii="Arial" w:hAnsi="Arial" w:cs="Arial"/>
          <w:bCs/>
          <w:iCs/>
          <w:kern w:val="28"/>
          <w:sz w:val="36"/>
        </w:rPr>
      </w:pPr>
      <w:r w:rsidRPr="00685FCA">
        <w:rPr>
          <w:rFonts w:ascii="Arial" w:hAnsi="Arial" w:cs="Arial"/>
          <w:bCs/>
          <w:iCs/>
          <w:kern w:val="28"/>
          <w:sz w:val="36"/>
        </w:rPr>
        <w:t xml:space="preserve">Original Research Article </w:t>
      </w:r>
    </w:p>
    <w:p w14:paraId="6802358C" w14:textId="77777777" w:rsidR="00685FCA" w:rsidRDefault="00685FCA" w:rsidP="004C760D">
      <w:pPr>
        <w:pStyle w:val="Author"/>
        <w:spacing w:line="240" w:lineRule="auto"/>
        <w:rPr>
          <w:rFonts w:ascii="Arial" w:hAnsi="Arial" w:cs="Arial"/>
          <w:bCs/>
          <w:iCs/>
          <w:kern w:val="28"/>
          <w:sz w:val="36"/>
        </w:rPr>
      </w:pPr>
    </w:p>
    <w:p w14:paraId="14B7131A" w14:textId="2C2D7C31" w:rsidR="00163BC4" w:rsidRPr="00163BC4" w:rsidRDefault="003C736D" w:rsidP="004C760D">
      <w:pPr>
        <w:pStyle w:val="Author"/>
        <w:spacing w:line="240" w:lineRule="auto"/>
        <w:rPr>
          <w:rFonts w:ascii="Arial" w:hAnsi="Arial" w:cs="Arial"/>
          <w:bCs/>
          <w:iCs/>
          <w:kern w:val="28"/>
          <w:sz w:val="36"/>
        </w:rPr>
      </w:pPr>
      <w:r w:rsidRPr="003C736D">
        <w:rPr>
          <w:rFonts w:ascii="Arial" w:hAnsi="Arial" w:cs="Arial"/>
          <w:bCs/>
          <w:iCs/>
          <w:kern w:val="28"/>
          <w:sz w:val="36"/>
        </w:rPr>
        <w:t>Physical properties of expired composite resins after photoactivation and air fryer thermal treatment</w:t>
      </w:r>
    </w:p>
    <w:p w14:paraId="4E647D39" w14:textId="77777777" w:rsidR="00A258C3" w:rsidRPr="00790ADA" w:rsidRDefault="00A258C3" w:rsidP="004C760D">
      <w:pPr>
        <w:pStyle w:val="Author"/>
        <w:spacing w:line="240" w:lineRule="auto"/>
        <w:rPr>
          <w:rFonts w:ascii="Arial" w:hAnsi="Arial" w:cs="Arial"/>
          <w:sz w:val="36"/>
        </w:rPr>
      </w:pPr>
    </w:p>
    <w:p w14:paraId="66F6BF5A" w14:textId="08C2F488" w:rsidR="002C57D2" w:rsidRPr="00F768FE" w:rsidRDefault="00F768FE" w:rsidP="00F768FE">
      <w:r>
        <w:rPr>
          <w:rFonts w:ascii="Arial" w:hAnsi="Arial" w:cs="Arial"/>
          <w:sz w:val="25"/>
          <w:szCs w:val="25"/>
        </w:rPr>
        <w:t>.</w:t>
      </w:r>
    </w:p>
    <w:p w14:paraId="2317DE2D" w14:textId="77777777" w:rsidR="00B01FCD" w:rsidRPr="00FB3A86" w:rsidRDefault="003C736D" w:rsidP="00441B6F">
      <w:pPr>
        <w:pStyle w:val="Copyright"/>
        <w:spacing w:after="0" w:line="240" w:lineRule="auto"/>
        <w:jc w:val="both"/>
        <w:rPr>
          <w:rFonts w:ascii="Arial" w:hAnsi="Arial" w:cs="Arial"/>
        </w:rPr>
        <w:sectPr w:rsidR="00B01FCD" w:rsidRPr="00FB3A86" w:rsidSect="005017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7155B71" wp14:editId="1961D7E4">
                <wp:extent cx="5303520" cy="635"/>
                <wp:effectExtent l="0" t="12700" r="5080" b="12065"/>
                <wp:docPr id="10409268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0D48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5B32F33" w14:textId="23850F17" w:rsidR="00B01FCD" w:rsidRDefault="00B01FCD" w:rsidP="000C4B1F">
      <w:pPr>
        <w:pStyle w:val="AbstHead"/>
        <w:spacing w:after="0"/>
        <w:ind w:left="1134" w:right="27"/>
        <w:jc w:val="both"/>
        <w:rPr>
          <w:rFonts w:ascii="Arial" w:hAnsi="Arial" w:cs="Arial"/>
        </w:rPr>
      </w:pPr>
      <w:r w:rsidRPr="00FB3A86">
        <w:rPr>
          <w:rFonts w:ascii="Arial" w:hAnsi="Arial" w:cs="Arial"/>
        </w:rPr>
        <w:t>ABSTRACT</w:t>
      </w:r>
      <w:r w:rsidR="0066510A">
        <w:rPr>
          <w:rFonts w:ascii="Arial" w:hAnsi="Arial" w:cs="Arial"/>
        </w:rPr>
        <w:t xml:space="preserve"> </w:t>
      </w:r>
    </w:p>
    <w:p w14:paraId="2626A2FA" w14:textId="77777777" w:rsidR="00790ADA" w:rsidRPr="00FB3A86" w:rsidRDefault="00790ADA" w:rsidP="000C4B1F">
      <w:pPr>
        <w:pStyle w:val="AbstHead"/>
        <w:spacing w:after="0"/>
        <w:ind w:left="1134" w:right="27"/>
        <w:jc w:val="both"/>
        <w:rPr>
          <w:rFonts w:ascii="Arial" w:hAnsi="Arial" w:cs="Arial"/>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3"/>
      </w:tblGrid>
      <w:tr w:rsidR="00296529" w:rsidRPr="001E44FE" w14:paraId="1E2EFA6B" w14:textId="77777777" w:rsidTr="000C4B1F">
        <w:tc>
          <w:tcPr>
            <w:tcW w:w="8783" w:type="dxa"/>
            <w:shd w:val="clear" w:color="auto" w:fill="F2F2F2"/>
          </w:tcPr>
          <w:p w14:paraId="2595FEB9" w14:textId="5C9E9B32" w:rsidR="00BA1B01" w:rsidRPr="00F768FE" w:rsidRDefault="00BA1B01" w:rsidP="000C4B1F">
            <w:pPr>
              <w:pStyle w:val="Body"/>
              <w:spacing w:after="0"/>
              <w:ind w:right="27"/>
              <w:rPr>
                <w:rFonts w:ascii="Arial" w:eastAsia="Calibri" w:hAnsi="Arial" w:cs="Arial"/>
                <w:sz w:val="20"/>
                <w:szCs w:val="20"/>
              </w:rPr>
            </w:pPr>
            <w:r w:rsidRPr="00F768FE">
              <w:rPr>
                <w:rFonts w:ascii="Arial" w:eastAsia="Calibri" w:hAnsi="Arial" w:cs="Arial"/>
                <w:b/>
                <w:sz w:val="20"/>
                <w:szCs w:val="20"/>
              </w:rPr>
              <w:t xml:space="preserve">Aims: </w:t>
            </w:r>
            <w:r w:rsidR="00F768FE" w:rsidRPr="00F768FE">
              <w:rPr>
                <w:rFonts w:ascii="Arial" w:eastAsia="Calibri" w:hAnsi="Arial" w:cs="Arial"/>
                <w:bCs/>
                <w:sz w:val="20"/>
                <w:szCs w:val="20"/>
              </w:rPr>
              <w:t>T</w:t>
            </w:r>
            <w:r w:rsidR="00F768FE" w:rsidRPr="00F768FE">
              <w:rPr>
                <w:rFonts w:ascii="Arial" w:hAnsi="Arial" w:cs="Arial"/>
                <w:bCs/>
                <w:sz w:val="20"/>
                <w:szCs w:val="20"/>
              </w:rPr>
              <w:t>his study</w:t>
            </w:r>
            <w:r w:rsidR="00F768FE" w:rsidRPr="00F768FE">
              <w:rPr>
                <w:rFonts w:ascii="Arial" w:hAnsi="Arial" w:cs="Arial"/>
                <w:sz w:val="20"/>
                <w:szCs w:val="20"/>
              </w:rPr>
              <w:t xml:space="preserve"> aimed to investigate the </w:t>
            </w:r>
            <w:r w:rsidR="00F768FE" w:rsidRPr="00F768FE">
              <w:rPr>
                <w:rFonts w:ascii="Arial" w:hAnsi="Arial" w:cs="Arial"/>
                <w:color w:val="111111"/>
                <w:sz w:val="20"/>
                <w:szCs w:val="20"/>
              </w:rPr>
              <w:t>Physical</w:t>
            </w:r>
            <w:r w:rsidR="00F768FE" w:rsidRPr="00F768FE">
              <w:rPr>
                <w:rFonts w:ascii="Arial" w:hAnsi="Arial" w:cs="Arial"/>
                <w:sz w:val="20"/>
                <w:szCs w:val="20"/>
              </w:rPr>
              <w:t xml:space="preserve"> properties of two expired composite resins after an experimental air fryer thermal treatment.</w:t>
            </w:r>
          </w:p>
          <w:p w14:paraId="15630924" w14:textId="77777777" w:rsidR="00F768FE" w:rsidRPr="00F768FE" w:rsidRDefault="00F768FE" w:rsidP="000C4B1F">
            <w:pPr>
              <w:pStyle w:val="Body"/>
              <w:spacing w:after="0"/>
              <w:ind w:right="27"/>
              <w:rPr>
                <w:rFonts w:ascii="Arial" w:hAnsi="Arial" w:cs="Arial"/>
                <w:sz w:val="20"/>
                <w:szCs w:val="20"/>
              </w:rPr>
            </w:pPr>
            <w:r w:rsidRPr="00F768FE">
              <w:rPr>
                <w:rFonts w:ascii="Arial" w:hAnsi="Arial" w:cs="Arial"/>
                <w:b/>
                <w:sz w:val="20"/>
                <w:szCs w:val="20"/>
              </w:rPr>
              <w:t xml:space="preserve">Material and Methods: </w:t>
            </w:r>
            <w:r w:rsidRPr="00F768FE">
              <w:rPr>
                <w:rFonts w:ascii="Arial" w:hAnsi="Arial" w:cs="Arial"/>
                <w:sz w:val="20"/>
                <w:szCs w:val="20"/>
              </w:rPr>
              <w:t>Three factors were assessed at two levels each: composite resin (Filtek Z350 XT, 3M ESPE, or Opallis, FGM), polymerization protocol (light only or light + heat), and expiration date (expired or non-expired). Resin bars (n = 6) measuring 2 × 2 × 12 mm were fabricated for three-point micro-flexural testing, and cylindrical specimens (n = 4) measuring 2 mm × 5 mm were prepared for Knoop microhardness testing. Additionally, cylindrical specimens (n = 4) measuring 1 mm × 15 mm were used for water sorption and solubility tests. Data were analyzed by three-way ANOVA and Tukey post-hoc test.</w:t>
            </w:r>
          </w:p>
          <w:p w14:paraId="3C520936" w14:textId="77777777" w:rsidR="00F768FE" w:rsidRDefault="00BA1B01" w:rsidP="000C4B1F">
            <w:pPr>
              <w:ind w:right="27"/>
              <w:jc w:val="both"/>
              <w:rPr>
                <w:rFonts w:ascii="Arial" w:hAnsi="Arial" w:cs="Arial"/>
                <w:sz w:val="20"/>
                <w:szCs w:val="20"/>
              </w:rPr>
            </w:pPr>
            <w:r w:rsidRPr="00F768FE">
              <w:rPr>
                <w:rFonts w:ascii="Arial" w:eastAsia="Calibri" w:hAnsi="Arial" w:cs="Arial"/>
                <w:b/>
                <w:bCs/>
                <w:sz w:val="20"/>
                <w:szCs w:val="20"/>
              </w:rPr>
              <w:t>Results:</w:t>
            </w:r>
            <w:r w:rsidRPr="00F768FE">
              <w:rPr>
                <w:rFonts w:ascii="Arial" w:eastAsia="Calibri" w:hAnsi="Arial" w:cs="Arial"/>
                <w:sz w:val="20"/>
                <w:szCs w:val="20"/>
              </w:rPr>
              <w:t xml:space="preserve"> </w:t>
            </w:r>
            <w:r w:rsidR="00F768FE" w:rsidRPr="00F768FE">
              <w:rPr>
                <w:rFonts w:ascii="Arial" w:hAnsi="Arial" w:cs="Arial"/>
                <w:sz w:val="20"/>
                <w:szCs w:val="20"/>
              </w:rPr>
              <w:t xml:space="preserve">Knoop microhardness differed significantly among groups (p = 0.024), with highest values for non-expired Z350 XT activated by light, expired Z350 XT activated by light + heat, and non-expired Opallis activated by light. No significant differences were found for flexural strength (p = 0.423), elastic modulus (p = 0.365), or water sorption and solubility (p = 0.893 and p = 0.193, respectively). </w:t>
            </w:r>
          </w:p>
          <w:p w14:paraId="4C16B51D" w14:textId="46EE3AC9" w:rsidR="00505F06" w:rsidRPr="00F768FE" w:rsidRDefault="00F768FE" w:rsidP="000C4B1F">
            <w:pPr>
              <w:spacing w:after="240"/>
              <w:ind w:right="27"/>
              <w:jc w:val="both"/>
              <w:rPr>
                <w:rFonts w:ascii="Arial" w:hAnsi="Arial" w:cs="Arial"/>
                <w:sz w:val="20"/>
                <w:szCs w:val="20"/>
              </w:rPr>
            </w:pPr>
            <w:r w:rsidRPr="00F768FE">
              <w:rPr>
                <w:rFonts w:ascii="Arial" w:hAnsi="Arial" w:cs="Arial"/>
                <w:b/>
                <w:sz w:val="20"/>
                <w:szCs w:val="20"/>
              </w:rPr>
              <w:t>Conclusion:</w:t>
            </w:r>
            <w:r w:rsidRPr="00F768FE">
              <w:rPr>
                <w:rFonts w:ascii="Arial" w:hAnsi="Arial" w:cs="Arial"/>
                <w:sz w:val="20"/>
                <w:szCs w:val="20"/>
              </w:rPr>
              <w:t xml:space="preserve"> Except for microhardness, the </w:t>
            </w:r>
            <w:r w:rsidRPr="00F768FE">
              <w:rPr>
                <w:rFonts w:ascii="Arial" w:hAnsi="Arial" w:cs="Arial"/>
                <w:color w:val="111111"/>
                <w:sz w:val="20"/>
                <w:szCs w:val="20"/>
              </w:rPr>
              <w:t>physical</w:t>
            </w:r>
            <w:r w:rsidRPr="00F768FE">
              <w:rPr>
                <w:rFonts w:ascii="Arial" w:hAnsi="Arial" w:cs="Arial"/>
                <w:sz w:val="20"/>
                <w:szCs w:val="20"/>
              </w:rPr>
              <w:t xml:space="preserve"> properties analyzed of the expired composite resins were not affected by expiration date, polymerization protocol, or resin type.</w:t>
            </w:r>
          </w:p>
        </w:tc>
      </w:tr>
    </w:tbl>
    <w:p w14:paraId="0B49AF65" w14:textId="77777777" w:rsidR="00636EB2" w:rsidRDefault="00636EB2" w:rsidP="000C4B1F">
      <w:pPr>
        <w:pStyle w:val="Body"/>
        <w:spacing w:after="0"/>
        <w:ind w:left="1134" w:right="27"/>
        <w:rPr>
          <w:rFonts w:ascii="Arial" w:hAnsi="Arial" w:cs="Arial"/>
          <w:i/>
        </w:rPr>
      </w:pPr>
    </w:p>
    <w:p w14:paraId="24DA64F9" w14:textId="50C2C022" w:rsidR="00A24E7E" w:rsidRDefault="00A24E7E" w:rsidP="000C4B1F">
      <w:pPr>
        <w:pStyle w:val="Body"/>
        <w:spacing w:after="0"/>
        <w:ind w:left="142" w:right="27"/>
        <w:rPr>
          <w:rFonts w:ascii="Arial" w:hAnsi="Arial" w:cs="Arial"/>
          <w:i/>
        </w:rPr>
      </w:pPr>
      <w:r>
        <w:rPr>
          <w:rFonts w:ascii="Arial" w:hAnsi="Arial" w:cs="Arial"/>
          <w:i/>
        </w:rPr>
        <w:t xml:space="preserve">Keywords: </w:t>
      </w:r>
      <w:r w:rsidR="00F768FE" w:rsidRPr="00F768FE">
        <w:rPr>
          <w:rFonts w:ascii="Arial" w:hAnsi="Arial" w:cs="Arial"/>
          <w:i/>
        </w:rPr>
        <w:t>Composite Resins; Flexural Strength; Hardness Tests; Heat Treatment; Solubility.</w:t>
      </w:r>
    </w:p>
    <w:p w14:paraId="69606F88" w14:textId="77777777" w:rsidR="00790ADA" w:rsidRDefault="00790ADA" w:rsidP="000C4B1F">
      <w:pPr>
        <w:pStyle w:val="Body"/>
        <w:spacing w:after="0"/>
        <w:ind w:left="1134" w:right="27"/>
        <w:rPr>
          <w:rFonts w:ascii="Arial" w:hAnsi="Arial" w:cs="Arial"/>
          <w:i/>
        </w:rPr>
      </w:pPr>
    </w:p>
    <w:p w14:paraId="70A6430D" w14:textId="77777777" w:rsidR="0024282C" w:rsidRDefault="0024282C" w:rsidP="000C4B1F">
      <w:pPr>
        <w:pStyle w:val="Body"/>
        <w:spacing w:after="0"/>
        <w:ind w:left="1134" w:right="27"/>
        <w:rPr>
          <w:rFonts w:ascii="Arial" w:hAnsi="Arial" w:cs="Arial"/>
          <w:i/>
          <w:sz w:val="18"/>
        </w:rPr>
      </w:pPr>
    </w:p>
    <w:p w14:paraId="356734CC" w14:textId="77777777" w:rsidR="00505F06" w:rsidRPr="00A24E7E" w:rsidRDefault="00505F06" w:rsidP="00441B6F">
      <w:pPr>
        <w:pStyle w:val="Body"/>
        <w:spacing w:after="0"/>
        <w:rPr>
          <w:rFonts w:ascii="Arial" w:hAnsi="Arial" w:cs="Arial"/>
          <w:i/>
        </w:rPr>
      </w:pPr>
    </w:p>
    <w:p w14:paraId="53613F50" w14:textId="064917B1" w:rsidR="007F7B32" w:rsidRDefault="00902823" w:rsidP="000C4B1F">
      <w:pPr>
        <w:pStyle w:val="AbstHead"/>
        <w:spacing w:after="0"/>
        <w:ind w:left="426"/>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C6CBA9" w14:textId="77777777" w:rsidR="00790ADA" w:rsidRPr="00FB3A86" w:rsidRDefault="00790ADA" w:rsidP="000C4B1F">
      <w:pPr>
        <w:pStyle w:val="AbstHead"/>
        <w:spacing w:after="0"/>
        <w:ind w:left="426"/>
        <w:jc w:val="both"/>
        <w:rPr>
          <w:rFonts w:ascii="Arial" w:hAnsi="Arial" w:cs="Arial"/>
        </w:rPr>
      </w:pPr>
    </w:p>
    <w:p w14:paraId="48F4EE32" w14:textId="3E1B0838"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Composite resin is one of the most widely used materials for direct restorations in operative dentistry. Its popularity has increased due to advances in physical, mechanical and esthetic properties, as well as to the development of adhesive systems [1–3].</w:t>
      </w:r>
    </w:p>
    <w:p w14:paraId="7762DFB8"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In esthetic restorations, clinicians often select composites of multiple shades and saturation levels. Consequently, a broad palette of resin shades is purchased, even when only small volumes of certain shades are dispensed, which often leads to material expiration before complete consumption [4,5]. A similar scenario is observed in dental schools, where large material purchases aimed at cost reduction frequently result in unused, expired resin batches [1,2].</w:t>
      </w:r>
    </w:p>
    <w:p w14:paraId="272D9F7D"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 xml:space="preserve">The expiration date of a dental material is the interval during which the manufacturer guarantees optimal performance and assures its safety and non-toxicity. Although expired composite resins are not recommended for permanent restorations, they may be used for indirect </w:t>
      </w:r>
      <w:r w:rsidRPr="000C4B1F">
        <w:rPr>
          <w:rFonts w:ascii="Arial" w:hAnsi="Arial" w:cs="Arial"/>
          <w:sz w:val="20"/>
          <w:szCs w:val="20"/>
        </w:rPr>
        <w:lastRenderedPageBreak/>
        <w:t>provisional restorations [2]. Previous investigations assessing microhardness, water sorption and shear strength of expired composites found no statistically significant differences [1,7].</w:t>
      </w:r>
    </w:p>
    <w:p w14:paraId="1C4C4BD0"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Although composite resins for indirect applications are commercially available, they share essentially the same chemical composition as direct composites. Their primary distinction is the monomer conversion stage, which occurs under controlled laboratory conditions [8–10].</w:t>
      </w:r>
    </w:p>
    <w:p w14:paraId="36053664"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These conditions include increased irradiance during photoactivation and the application of heat for predetermined periods (post-cure heat treatment) [11–16]. Heat application enhances the mechanical properties of cured composites by increasing monomer conversion and decreasing residual unreacted monomers [9,14,17].</w:t>
      </w:r>
    </w:p>
    <w:p w14:paraId="01046D47"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Manufacturers have also developed specialized ovens for thermal polymerization, but these devices are costly [8,14,18,19]. Other technologies commonly available in dental offices, such as autoclaves and microwaves, can likewise raise the temperature of photoactivated direct composites, thereby increasing monomer to polymer conversion [8,10,14,15,18,19].</w:t>
      </w:r>
    </w:p>
    <w:p w14:paraId="21E0F331"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An alternative device for this procedure is the air fryer, which offers precise temperature and time control at lower cost and with high portability. To date, no studies have evaluated its application in composite post-cure treatment. According to the manufacturer’s manual, the air fryer uses an integrated turbine and resistive heating element system to circulate hot air within the chamber, rapidly cooking and baking foods. This air circulation technology ensures uniform heating from all sides.</w:t>
      </w:r>
    </w:p>
    <w:p w14:paraId="4DDE73B2" w14:textId="77777777"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Therefore, it is proposed that employing direct composite resins beyond their expiration date through a direct–indirect restoration technique that combines photoactivation with controlled thermal treatment in an air fryer may offer a novel approach for clinical restorative practice while contributing to the reduction of material waste.</w:t>
      </w:r>
    </w:p>
    <w:p w14:paraId="4FCFB81F" w14:textId="6A095149" w:rsidR="00D835EA" w:rsidRPr="000C4B1F" w:rsidRDefault="00D835EA" w:rsidP="000C4B1F">
      <w:pPr>
        <w:pStyle w:val="Body"/>
        <w:spacing w:after="0"/>
        <w:ind w:left="426" w:firstLine="720"/>
        <w:rPr>
          <w:rFonts w:ascii="Arial" w:hAnsi="Arial" w:cs="Arial"/>
          <w:sz w:val="20"/>
          <w:szCs w:val="20"/>
        </w:rPr>
      </w:pPr>
      <w:r w:rsidRPr="000C4B1F">
        <w:rPr>
          <w:rFonts w:ascii="Arial" w:hAnsi="Arial" w:cs="Arial"/>
          <w:sz w:val="20"/>
          <w:szCs w:val="20"/>
        </w:rPr>
        <w:t>The present study evaluated the physical properties (mini flexural strength, elastic modulus, Knoop microhardness, water sorption and solubility) of two expired composite resins after experimental thermal treatment in an air fryer. The null hypothesis was that air fryer thermal treatment following photoactivation would not significantly affect the physical properties of the expired composite resins.</w:t>
      </w:r>
    </w:p>
    <w:p w14:paraId="45F4FA90" w14:textId="77777777" w:rsidR="00D835EA" w:rsidRDefault="00D835EA" w:rsidP="000C4B1F">
      <w:pPr>
        <w:pStyle w:val="Body"/>
        <w:spacing w:after="0"/>
        <w:ind w:left="426"/>
        <w:rPr>
          <w:rFonts w:ascii="Arial" w:hAnsi="Arial" w:cs="Arial"/>
        </w:rPr>
      </w:pPr>
    </w:p>
    <w:p w14:paraId="46A567BD" w14:textId="77777777" w:rsidR="00790ADA" w:rsidRPr="00FB3A86" w:rsidRDefault="00790ADA" w:rsidP="000C4B1F">
      <w:pPr>
        <w:pStyle w:val="Body"/>
        <w:spacing w:after="0"/>
        <w:ind w:left="426"/>
        <w:rPr>
          <w:rFonts w:ascii="Arial" w:hAnsi="Arial" w:cs="Arial"/>
        </w:rPr>
      </w:pPr>
    </w:p>
    <w:p w14:paraId="057FC46A" w14:textId="3B4EE9EC" w:rsidR="00790ADA" w:rsidRPr="00FB3A86" w:rsidRDefault="00902823" w:rsidP="000C4B1F">
      <w:pPr>
        <w:pStyle w:val="AbstHead"/>
        <w:spacing w:after="0"/>
        <w:ind w:left="426"/>
        <w:jc w:val="both"/>
        <w:rPr>
          <w:rFonts w:ascii="Arial" w:hAnsi="Arial" w:cs="Arial"/>
        </w:rPr>
      </w:pPr>
      <w:r>
        <w:rPr>
          <w:rFonts w:ascii="Arial" w:hAnsi="Arial" w:cs="Arial"/>
        </w:rPr>
        <w:t>2. material and method</w:t>
      </w:r>
      <w:r w:rsidR="00000F8F">
        <w:rPr>
          <w:rFonts w:ascii="Arial" w:hAnsi="Arial" w:cs="Arial"/>
        </w:rPr>
        <w:t xml:space="preserve">s </w:t>
      </w:r>
    </w:p>
    <w:p w14:paraId="44142423" w14:textId="77777777" w:rsidR="00105EC1" w:rsidRDefault="00105EC1" w:rsidP="000C4B1F">
      <w:pPr>
        <w:pStyle w:val="Body"/>
        <w:spacing w:after="0"/>
        <w:ind w:left="426"/>
        <w:rPr>
          <w:rFonts w:ascii="Arial" w:hAnsi="Arial" w:cs="Arial"/>
        </w:rPr>
      </w:pPr>
    </w:p>
    <w:p w14:paraId="17BD2AD1" w14:textId="34519806" w:rsidR="00105EC1" w:rsidRPr="000C4B1F" w:rsidRDefault="00105EC1" w:rsidP="000C4B1F">
      <w:pPr>
        <w:pStyle w:val="Body"/>
        <w:ind w:left="426" w:firstLine="720"/>
        <w:rPr>
          <w:rFonts w:ascii="Arial" w:hAnsi="Arial" w:cs="Arial"/>
          <w:sz w:val="20"/>
          <w:szCs w:val="20"/>
        </w:rPr>
      </w:pPr>
      <w:r w:rsidRPr="000C4B1F">
        <w:rPr>
          <w:rFonts w:ascii="Arial" w:hAnsi="Arial" w:cs="Arial"/>
          <w:sz w:val="20"/>
          <w:szCs w:val="20"/>
        </w:rPr>
        <w:t>This study employed a factorial design with three factors assessed at two levels each: resin type (Filtek Z350 XT or Opallis); polymerization protocol (light only or light + heat); and expiration status (expired or non-expired). All expired resins were used within 12 months after their expiration date. The experimental design and material composition are detailed in Table 1</w:t>
      </w:r>
    </w:p>
    <w:p w14:paraId="143054CA" w14:textId="4F2049CC" w:rsidR="00790ADA" w:rsidRPr="000C4B1F" w:rsidRDefault="00105EC1" w:rsidP="000C4B1F">
      <w:pPr>
        <w:pStyle w:val="Body"/>
        <w:spacing w:after="0"/>
        <w:ind w:left="426"/>
        <w:rPr>
          <w:rFonts w:ascii="Arial" w:hAnsi="Arial" w:cs="Arial"/>
          <w:sz w:val="20"/>
          <w:szCs w:val="20"/>
        </w:rPr>
      </w:pPr>
      <w:r w:rsidRPr="004C760D">
        <w:rPr>
          <w:rFonts w:ascii="Arial" w:hAnsi="Arial" w:cs="Arial"/>
          <w:b/>
          <w:bCs/>
          <w:sz w:val="20"/>
          <w:szCs w:val="20"/>
        </w:rPr>
        <w:t>Table I</w:t>
      </w:r>
      <w:r w:rsidRPr="000C4B1F">
        <w:rPr>
          <w:rFonts w:ascii="Arial" w:hAnsi="Arial" w:cs="Arial"/>
          <w:sz w:val="20"/>
          <w:szCs w:val="20"/>
        </w:rPr>
        <w:t xml:space="preserve"> - Material formulation and experimental group design used in this study.</w:t>
      </w:r>
    </w:p>
    <w:tbl>
      <w:tblPr>
        <w:tblW w:w="837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19"/>
        <w:gridCol w:w="1815"/>
        <w:gridCol w:w="1335"/>
      </w:tblGrid>
      <w:tr w:rsidR="00211DB2" w:rsidRPr="00211DB2" w14:paraId="2BF493C8" w14:textId="77777777" w:rsidTr="000C4B1F">
        <w:trPr>
          <w:trHeight w:val="435"/>
        </w:trPr>
        <w:tc>
          <w:tcPr>
            <w:tcW w:w="1701" w:type="dxa"/>
            <w:tcBorders>
              <w:left w:val="nil"/>
            </w:tcBorders>
          </w:tcPr>
          <w:p w14:paraId="3E8CC64A" w14:textId="77777777" w:rsidR="00211DB2" w:rsidRPr="00211DB2" w:rsidRDefault="00211DB2" w:rsidP="00B92F7E">
            <w:pPr>
              <w:widowControl w:val="0"/>
              <w:spacing w:line="360" w:lineRule="auto"/>
              <w:rPr>
                <w:rFonts w:ascii="Arial" w:hAnsi="Arial" w:cs="Arial"/>
                <w:b/>
                <w:sz w:val="20"/>
                <w:szCs w:val="20"/>
              </w:rPr>
            </w:pPr>
            <w:r w:rsidRPr="00211DB2">
              <w:rPr>
                <w:rFonts w:ascii="Arial" w:hAnsi="Arial" w:cs="Arial"/>
                <w:b/>
                <w:sz w:val="20"/>
                <w:szCs w:val="20"/>
              </w:rPr>
              <w:t>Material</w:t>
            </w:r>
          </w:p>
        </w:tc>
        <w:tc>
          <w:tcPr>
            <w:tcW w:w="3519" w:type="dxa"/>
          </w:tcPr>
          <w:p w14:paraId="399FD4AF" w14:textId="77777777" w:rsidR="00211DB2" w:rsidRPr="00211DB2" w:rsidRDefault="00211DB2" w:rsidP="00B92F7E">
            <w:pPr>
              <w:widowControl w:val="0"/>
              <w:spacing w:line="360" w:lineRule="auto"/>
              <w:rPr>
                <w:rFonts w:ascii="Arial" w:hAnsi="Arial" w:cs="Arial"/>
                <w:b/>
                <w:sz w:val="20"/>
                <w:szCs w:val="20"/>
              </w:rPr>
            </w:pPr>
            <w:r w:rsidRPr="00211DB2">
              <w:rPr>
                <w:rFonts w:ascii="Arial" w:hAnsi="Arial" w:cs="Arial"/>
                <w:b/>
                <w:sz w:val="20"/>
                <w:szCs w:val="20"/>
              </w:rPr>
              <w:t>Composition</w:t>
            </w:r>
          </w:p>
        </w:tc>
        <w:tc>
          <w:tcPr>
            <w:tcW w:w="3150" w:type="dxa"/>
            <w:gridSpan w:val="2"/>
          </w:tcPr>
          <w:p w14:paraId="43AF0235" w14:textId="77777777" w:rsidR="00211DB2" w:rsidRPr="00211DB2" w:rsidRDefault="00211DB2" w:rsidP="00B92F7E">
            <w:pPr>
              <w:widowControl w:val="0"/>
              <w:spacing w:line="360" w:lineRule="auto"/>
              <w:rPr>
                <w:rFonts w:ascii="Arial" w:hAnsi="Arial" w:cs="Arial"/>
                <w:b/>
                <w:sz w:val="20"/>
                <w:szCs w:val="20"/>
              </w:rPr>
            </w:pPr>
            <w:r w:rsidRPr="00211DB2">
              <w:rPr>
                <w:rFonts w:ascii="Arial" w:hAnsi="Arial" w:cs="Arial"/>
                <w:b/>
                <w:sz w:val="20"/>
                <w:szCs w:val="20"/>
              </w:rPr>
              <w:t>Groups</w:t>
            </w:r>
          </w:p>
        </w:tc>
      </w:tr>
      <w:tr w:rsidR="00211DB2" w:rsidRPr="00211DB2" w14:paraId="6BB49A00" w14:textId="77777777" w:rsidTr="000C4B1F">
        <w:trPr>
          <w:trHeight w:val="645"/>
        </w:trPr>
        <w:tc>
          <w:tcPr>
            <w:tcW w:w="1701" w:type="dxa"/>
            <w:vMerge w:val="restart"/>
            <w:tcBorders>
              <w:left w:val="nil"/>
            </w:tcBorders>
          </w:tcPr>
          <w:p w14:paraId="60D6220B"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b/>
                <w:sz w:val="20"/>
                <w:szCs w:val="20"/>
              </w:rPr>
              <w:t>Filtek Z350 XT</w:t>
            </w:r>
            <w:r w:rsidRPr="00211DB2">
              <w:rPr>
                <w:rFonts w:ascii="Arial" w:hAnsi="Arial" w:cs="Arial"/>
                <w:sz w:val="20"/>
                <w:szCs w:val="20"/>
              </w:rPr>
              <w:t xml:space="preserve"> 3M ESPE, Sumaré, Brasil</w:t>
            </w:r>
          </w:p>
        </w:tc>
        <w:tc>
          <w:tcPr>
            <w:tcW w:w="3519" w:type="dxa"/>
            <w:vMerge w:val="restart"/>
          </w:tcPr>
          <w:p w14:paraId="11E4D74A"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 xml:space="preserve">TEGDMA, Bis-EMA, UDMA, PEGDMA. </w:t>
            </w:r>
          </w:p>
          <w:p w14:paraId="1323FCD0"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Unagglomerated silica and zirconia particles (20 nm and 4 – 11 nm, respectively)</w:t>
            </w:r>
          </w:p>
          <w:p w14:paraId="66A6839D"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 xml:space="preserve">Aggregated silica/zirconia (0.6 – 10 μm). </w:t>
            </w:r>
          </w:p>
          <w:p w14:paraId="1D1405E3"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 xml:space="preserve">72.5% by weight and 55.5% by volume. </w:t>
            </w:r>
          </w:p>
          <w:p w14:paraId="2432A5DD"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 xml:space="preserve">Camphorquinone. </w:t>
            </w:r>
          </w:p>
          <w:p w14:paraId="4611E54E"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b/>
                <w:sz w:val="20"/>
                <w:szCs w:val="20"/>
              </w:rPr>
              <w:t xml:space="preserve">Shade: </w:t>
            </w:r>
            <w:r w:rsidRPr="00211DB2">
              <w:rPr>
                <w:rFonts w:ascii="Arial" w:hAnsi="Arial" w:cs="Arial"/>
                <w:sz w:val="20"/>
                <w:szCs w:val="20"/>
              </w:rPr>
              <w:t>A1B</w:t>
            </w:r>
          </w:p>
        </w:tc>
        <w:tc>
          <w:tcPr>
            <w:tcW w:w="1815" w:type="dxa"/>
          </w:tcPr>
          <w:p w14:paraId="3796A8E5" w14:textId="77777777" w:rsidR="00211DB2" w:rsidRPr="00211DB2" w:rsidRDefault="00211DB2" w:rsidP="00B92F7E">
            <w:pPr>
              <w:widowControl w:val="0"/>
              <w:spacing w:line="360" w:lineRule="auto"/>
              <w:rPr>
                <w:rFonts w:ascii="Arial" w:hAnsi="Arial" w:cs="Arial"/>
                <w:b/>
                <w:sz w:val="20"/>
                <w:szCs w:val="20"/>
              </w:rPr>
            </w:pPr>
            <w:r w:rsidRPr="00211DB2">
              <w:rPr>
                <w:rFonts w:ascii="Arial" w:hAnsi="Arial" w:cs="Arial"/>
                <w:b/>
                <w:sz w:val="20"/>
                <w:szCs w:val="20"/>
              </w:rPr>
              <w:t>Polymerization</w:t>
            </w:r>
          </w:p>
          <w:p w14:paraId="29DA1E94" w14:textId="77777777" w:rsidR="00211DB2" w:rsidRPr="00211DB2" w:rsidRDefault="00211DB2" w:rsidP="00B92F7E">
            <w:pPr>
              <w:widowControl w:val="0"/>
              <w:spacing w:line="360" w:lineRule="auto"/>
              <w:rPr>
                <w:rFonts w:ascii="Arial" w:hAnsi="Arial" w:cs="Arial"/>
                <w:b/>
                <w:sz w:val="20"/>
                <w:szCs w:val="20"/>
              </w:rPr>
            </w:pPr>
            <w:r w:rsidRPr="00211DB2">
              <w:rPr>
                <w:rFonts w:ascii="Arial" w:hAnsi="Arial" w:cs="Arial"/>
                <w:b/>
                <w:sz w:val="20"/>
                <w:szCs w:val="20"/>
              </w:rPr>
              <w:t>protocol</w:t>
            </w:r>
          </w:p>
        </w:tc>
        <w:tc>
          <w:tcPr>
            <w:tcW w:w="1335" w:type="dxa"/>
            <w:tcBorders>
              <w:right w:val="nil"/>
            </w:tcBorders>
          </w:tcPr>
          <w:p w14:paraId="2FD3CEE3" w14:textId="77777777" w:rsidR="00211DB2" w:rsidRPr="00211DB2" w:rsidRDefault="00211DB2" w:rsidP="00B92F7E">
            <w:pPr>
              <w:widowControl w:val="0"/>
              <w:spacing w:line="360" w:lineRule="auto"/>
              <w:ind w:right="34"/>
              <w:rPr>
                <w:rFonts w:ascii="Arial" w:hAnsi="Arial" w:cs="Arial"/>
                <w:b/>
                <w:sz w:val="20"/>
                <w:szCs w:val="20"/>
              </w:rPr>
            </w:pPr>
            <w:r w:rsidRPr="00211DB2">
              <w:rPr>
                <w:rFonts w:ascii="Arial" w:hAnsi="Arial" w:cs="Arial"/>
                <w:b/>
                <w:sz w:val="20"/>
                <w:szCs w:val="20"/>
              </w:rPr>
              <w:t>Condition</w:t>
            </w:r>
          </w:p>
        </w:tc>
      </w:tr>
      <w:tr w:rsidR="00211DB2" w:rsidRPr="00211DB2" w14:paraId="622ABD42" w14:textId="77777777" w:rsidTr="000C4B1F">
        <w:trPr>
          <w:trHeight w:val="1206"/>
        </w:trPr>
        <w:tc>
          <w:tcPr>
            <w:tcW w:w="1701" w:type="dxa"/>
            <w:vMerge/>
            <w:tcBorders>
              <w:left w:val="nil"/>
            </w:tcBorders>
          </w:tcPr>
          <w:p w14:paraId="0A84F368" w14:textId="77777777" w:rsidR="00211DB2" w:rsidRPr="00211DB2" w:rsidRDefault="00211DB2" w:rsidP="00B92F7E">
            <w:pPr>
              <w:widowControl w:val="0"/>
              <w:spacing w:line="360" w:lineRule="auto"/>
              <w:rPr>
                <w:rFonts w:ascii="Arial" w:hAnsi="Arial" w:cs="Arial"/>
                <w:sz w:val="20"/>
                <w:szCs w:val="20"/>
              </w:rPr>
            </w:pPr>
          </w:p>
        </w:tc>
        <w:tc>
          <w:tcPr>
            <w:tcW w:w="3519" w:type="dxa"/>
            <w:vMerge/>
          </w:tcPr>
          <w:p w14:paraId="297A8492" w14:textId="77777777" w:rsidR="00211DB2" w:rsidRPr="00211DB2" w:rsidRDefault="00211DB2" w:rsidP="00B92F7E">
            <w:pPr>
              <w:widowControl w:val="0"/>
              <w:spacing w:line="360" w:lineRule="auto"/>
              <w:rPr>
                <w:rFonts w:ascii="Arial" w:hAnsi="Arial" w:cs="Arial"/>
                <w:sz w:val="20"/>
                <w:szCs w:val="20"/>
              </w:rPr>
            </w:pPr>
          </w:p>
        </w:tc>
        <w:tc>
          <w:tcPr>
            <w:tcW w:w="1815" w:type="dxa"/>
            <w:vMerge w:val="restart"/>
          </w:tcPr>
          <w:p w14:paraId="5C3C99D2"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Light only</w:t>
            </w:r>
          </w:p>
        </w:tc>
        <w:tc>
          <w:tcPr>
            <w:tcW w:w="1335" w:type="dxa"/>
            <w:tcBorders>
              <w:right w:val="nil"/>
            </w:tcBorders>
          </w:tcPr>
          <w:p w14:paraId="1BE603C1" w14:textId="77777777" w:rsidR="00211DB2" w:rsidRPr="00211DB2" w:rsidRDefault="00211DB2" w:rsidP="00B92F7E">
            <w:pPr>
              <w:widowControl w:val="0"/>
              <w:spacing w:line="360" w:lineRule="auto"/>
              <w:ind w:right="34"/>
              <w:rPr>
                <w:rFonts w:ascii="Arial" w:hAnsi="Arial" w:cs="Arial"/>
                <w:sz w:val="20"/>
                <w:szCs w:val="20"/>
              </w:rPr>
            </w:pPr>
            <w:r w:rsidRPr="00211DB2">
              <w:rPr>
                <w:rFonts w:ascii="Arial" w:hAnsi="Arial" w:cs="Arial"/>
                <w:sz w:val="20"/>
                <w:szCs w:val="20"/>
              </w:rPr>
              <w:t>Expired</w:t>
            </w:r>
          </w:p>
        </w:tc>
      </w:tr>
      <w:tr w:rsidR="00211DB2" w:rsidRPr="00211DB2" w14:paraId="3A300558" w14:textId="77777777" w:rsidTr="000C4B1F">
        <w:trPr>
          <w:trHeight w:val="984"/>
        </w:trPr>
        <w:tc>
          <w:tcPr>
            <w:tcW w:w="1701" w:type="dxa"/>
            <w:vMerge/>
            <w:tcBorders>
              <w:left w:val="nil"/>
            </w:tcBorders>
          </w:tcPr>
          <w:p w14:paraId="1CAB6505"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764F34B3"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tcPr>
          <w:p w14:paraId="57A5A698" w14:textId="77777777" w:rsidR="00211DB2" w:rsidRPr="00211DB2" w:rsidRDefault="00211DB2" w:rsidP="00B92F7E">
            <w:pPr>
              <w:widowControl w:val="0"/>
              <w:spacing w:line="360" w:lineRule="auto"/>
              <w:jc w:val="both"/>
              <w:rPr>
                <w:rFonts w:ascii="Arial" w:hAnsi="Arial" w:cs="Arial"/>
                <w:sz w:val="20"/>
                <w:szCs w:val="20"/>
              </w:rPr>
            </w:pPr>
          </w:p>
        </w:tc>
        <w:tc>
          <w:tcPr>
            <w:tcW w:w="1335" w:type="dxa"/>
            <w:tcBorders>
              <w:right w:val="nil"/>
            </w:tcBorders>
          </w:tcPr>
          <w:p w14:paraId="08F500E5" w14:textId="77777777" w:rsidR="00211DB2" w:rsidRPr="00211DB2" w:rsidRDefault="00211DB2" w:rsidP="00B92F7E">
            <w:pPr>
              <w:widowControl w:val="0"/>
              <w:spacing w:line="360" w:lineRule="auto"/>
              <w:ind w:right="1"/>
              <w:rPr>
                <w:rFonts w:ascii="Arial" w:hAnsi="Arial" w:cs="Arial"/>
                <w:sz w:val="20"/>
                <w:szCs w:val="20"/>
              </w:rPr>
            </w:pPr>
            <w:r w:rsidRPr="00211DB2">
              <w:rPr>
                <w:rFonts w:ascii="Arial" w:hAnsi="Arial" w:cs="Arial"/>
                <w:sz w:val="20"/>
                <w:szCs w:val="20"/>
              </w:rPr>
              <w:t>Unexpired</w:t>
            </w:r>
          </w:p>
        </w:tc>
      </w:tr>
      <w:tr w:rsidR="00211DB2" w:rsidRPr="00211DB2" w14:paraId="22103579" w14:textId="77777777" w:rsidTr="000C4B1F">
        <w:trPr>
          <w:trHeight w:val="907"/>
        </w:trPr>
        <w:tc>
          <w:tcPr>
            <w:tcW w:w="1701" w:type="dxa"/>
            <w:vMerge/>
            <w:tcBorders>
              <w:left w:val="nil"/>
            </w:tcBorders>
          </w:tcPr>
          <w:p w14:paraId="5F49C4A1"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2C092F27"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val="restart"/>
          </w:tcPr>
          <w:p w14:paraId="7762BCC3"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Light + Heat</w:t>
            </w:r>
          </w:p>
        </w:tc>
        <w:tc>
          <w:tcPr>
            <w:tcW w:w="1335" w:type="dxa"/>
            <w:tcBorders>
              <w:right w:val="nil"/>
            </w:tcBorders>
          </w:tcPr>
          <w:p w14:paraId="21F07DA0" w14:textId="77777777" w:rsidR="00211DB2" w:rsidRPr="00211DB2" w:rsidRDefault="00211DB2" w:rsidP="00B92F7E">
            <w:pPr>
              <w:widowControl w:val="0"/>
              <w:spacing w:line="360" w:lineRule="auto"/>
              <w:ind w:right="34"/>
              <w:rPr>
                <w:rFonts w:ascii="Arial" w:hAnsi="Arial" w:cs="Arial"/>
                <w:sz w:val="20"/>
                <w:szCs w:val="20"/>
              </w:rPr>
            </w:pPr>
            <w:r w:rsidRPr="00211DB2">
              <w:rPr>
                <w:rFonts w:ascii="Arial" w:hAnsi="Arial" w:cs="Arial"/>
                <w:sz w:val="20"/>
                <w:szCs w:val="20"/>
              </w:rPr>
              <w:t>Expired</w:t>
            </w:r>
          </w:p>
        </w:tc>
      </w:tr>
      <w:tr w:rsidR="00211DB2" w:rsidRPr="00211DB2" w14:paraId="3219A708" w14:textId="77777777" w:rsidTr="000C4B1F">
        <w:trPr>
          <w:trHeight w:val="889"/>
        </w:trPr>
        <w:tc>
          <w:tcPr>
            <w:tcW w:w="1701" w:type="dxa"/>
            <w:vMerge/>
            <w:tcBorders>
              <w:left w:val="nil"/>
            </w:tcBorders>
          </w:tcPr>
          <w:p w14:paraId="62E02E55"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4D5E68BE"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tcPr>
          <w:p w14:paraId="39E51026" w14:textId="77777777" w:rsidR="00211DB2" w:rsidRPr="00211DB2" w:rsidRDefault="00211DB2" w:rsidP="00B92F7E">
            <w:pPr>
              <w:widowControl w:val="0"/>
              <w:spacing w:line="360" w:lineRule="auto"/>
              <w:jc w:val="both"/>
              <w:rPr>
                <w:rFonts w:ascii="Arial" w:hAnsi="Arial" w:cs="Arial"/>
                <w:sz w:val="20"/>
                <w:szCs w:val="20"/>
              </w:rPr>
            </w:pPr>
          </w:p>
        </w:tc>
        <w:tc>
          <w:tcPr>
            <w:tcW w:w="1335" w:type="dxa"/>
            <w:tcBorders>
              <w:right w:val="nil"/>
            </w:tcBorders>
          </w:tcPr>
          <w:p w14:paraId="23A95474" w14:textId="77777777" w:rsidR="00211DB2" w:rsidRPr="00211DB2" w:rsidRDefault="00211DB2" w:rsidP="00B92F7E">
            <w:pPr>
              <w:widowControl w:val="0"/>
              <w:spacing w:line="360" w:lineRule="auto"/>
              <w:ind w:right="1"/>
              <w:rPr>
                <w:rFonts w:ascii="Arial" w:hAnsi="Arial" w:cs="Arial"/>
                <w:sz w:val="20"/>
                <w:szCs w:val="20"/>
              </w:rPr>
            </w:pPr>
            <w:r w:rsidRPr="00211DB2">
              <w:rPr>
                <w:rFonts w:ascii="Arial" w:hAnsi="Arial" w:cs="Arial"/>
                <w:sz w:val="20"/>
                <w:szCs w:val="20"/>
              </w:rPr>
              <w:t>Unexpired</w:t>
            </w:r>
          </w:p>
        </w:tc>
      </w:tr>
      <w:tr w:rsidR="00211DB2" w:rsidRPr="00211DB2" w14:paraId="1CA45E9B" w14:textId="77777777" w:rsidTr="000C4B1F">
        <w:trPr>
          <w:trHeight w:val="1168"/>
        </w:trPr>
        <w:tc>
          <w:tcPr>
            <w:tcW w:w="1701" w:type="dxa"/>
            <w:vMerge w:val="restart"/>
            <w:tcBorders>
              <w:left w:val="nil"/>
            </w:tcBorders>
          </w:tcPr>
          <w:p w14:paraId="1D299CEC" w14:textId="77777777" w:rsidR="00211DB2" w:rsidRPr="00211DB2" w:rsidRDefault="00211DB2" w:rsidP="00B92F7E">
            <w:pPr>
              <w:widowControl w:val="0"/>
              <w:spacing w:line="360" w:lineRule="auto"/>
              <w:ind w:right="109"/>
              <w:rPr>
                <w:rFonts w:ascii="Arial" w:hAnsi="Arial" w:cs="Arial"/>
                <w:sz w:val="20"/>
                <w:szCs w:val="20"/>
              </w:rPr>
            </w:pPr>
            <w:r w:rsidRPr="00211DB2">
              <w:rPr>
                <w:rFonts w:ascii="Arial" w:hAnsi="Arial" w:cs="Arial"/>
                <w:b/>
                <w:sz w:val="20"/>
                <w:szCs w:val="20"/>
              </w:rPr>
              <w:t>Opallis</w:t>
            </w:r>
          </w:p>
          <w:p w14:paraId="6075DA5B" w14:textId="77777777" w:rsidR="00211DB2" w:rsidRPr="00211DB2" w:rsidRDefault="00211DB2" w:rsidP="00B92F7E">
            <w:pPr>
              <w:widowControl w:val="0"/>
              <w:spacing w:line="360" w:lineRule="auto"/>
              <w:ind w:right="109"/>
              <w:rPr>
                <w:rFonts w:ascii="Arial" w:hAnsi="Arial" w:cs="Arial"/>
                <w:sz w:val="20"/>
                <w:szCs w:val="20"/>
              </w:rPr>
            </w:pPr>
            <w:r w:rsidRPr="00211DB2">
              <w:rPr>
                <w:rFonts w:ascii="Arial" w:hAnsi="Arial" w:cs="Arial"/>
                <w:sz w:val="20"/>
                <w:szCs w:val="20"/>
              </w:rPr>
              <w:t>FGM Produtos Odontológicos, Joinville, Brasil</w:t>
            </w:r>
          </w:p>
        </w:tc>
        <w:tc>
          <w:tcPr>
            <w:tcW w:w="3519" w:type="dxa"/>
            <w:vMerge w:val="restart"/>
          </w:tcPr>
          <w:p w14:paraId="2446BFFC"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Bis-GMA, Bis-EMA, TEGDMA, UDMA, co-initiator, silane. Silanized barium-aluminum-silicate glass filler (0.5 μm).</w:t>
            </w:r>
          </w:p>
          <w:p w14:paraId="493FE1BD"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 xml:space="preserve">78.5 – 79.8% by weight and 57.0 – 58.0% by volume. </w:t>
            </w:r>
          </w:p>
          <w:p w14:paraId="32C3FC88"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b/>
                <w:sz w:val="20"/>
                <w:szCs w:val="20"/>
              </w:rPr>
              <w:t>Shade:</w:t>
            </w:r>
            <w:r w:rsidRPr="00211DB2">
              <w:rPr>
                <w:rFonts w:ascii="Arial" w:hAnsi="Arial" w:cs="Arial"/>
                <w:sz w:val="20"/>
                <w:szCs w:val="20"/>
              </w:rPr>
              <w:t xml:space="preserve"> DA1</w:t>
            </w:r>
          </w:p>
        </w:tc>
        <w:tc>
          <w:tcPr>
            <w:tcW w:w="1815" w:type="dxa"/>
            <w:vMerge w:val="restart"/>
          </w:tcPr>
          <w:p w14:paraId="23BBC453"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Light only</w:t>
            </w:r>
          </w:p>
        </w:tc>
        <w:tc>
          <w:tcPr>
            <w:tcW w:w="1335" w:type="dxa"/>
            <w:tcBorders>
              <w:right w:val="nil"/>
            </w:tcBorders>
          </w:tcPr>
          <w:p w14:paraId="75677299" w14:textId="77777777" w:rsidR="00211DB2" w:rsidRPr="00211DB2" w:rsidRDefault="00211DB2" w:rsidP="00B92F7E">
            <w:pPr>
              <w:widowControl w:val="0"/>
              <w:spacing w:line="360" w:lineRule="auto"/>
              <w:ind w:right="34"/>
              <w:rPr>
                <w:rFonts w:ascii="Arial" w:hAnsi="Arial" w:cs="Arial"/>
                <w:sz w:val="20"/>
                <w:szCs w:val="20"/>
              </w:rPr>
            </w:pPr>
            <w:r w:rsidRPr="00211DB2">
              <w:rPr>
                <w:rFonts w:ascii="Arial" w:hAnsi="Arial" w:cs="Arial"/>
                <w:sz w:val="20"/>
                <w:szCs w:val="20"/>
              </w:rPr>
              <w:t>Expired</w:t>
            </w:r>
          </w:p>
        </w:tc>
      </w:tr>
      <w:tr w:rsidR="00211DB2" w:rsidRPr="00211DB2" w14:paraId="01F09E94" w14:textId="77777777" w:rsidTr="000C4B1F">
        <w:trPr>
          <w:trHeight w:val="988"/>
        </w:trPr>
        <w:tc>
          <w:tcPr>
            <w:tcW w:w="1701" w:type="dxa"/>
            <w:vMerge/>
            <w:tcBorders>
              <w:left w:val="nil"/>
            </w:tcBorders>
          </w:tcPr>
          <w:p w14:paraId="68CE1FEC"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46AB82BE"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tcPr>
          <w:p w14:paraId="3CC37CFA" w14:textId="77777777" w:rsidR="00211DB2" w:rsidRPr="00211DB2" w:rsidRDefault="00211DB2" w:rsidP="00B92F7E">
            <w:pPr>
              <w:widowControl w:val="0"/>
              <w:spacing w:line="360" w:lineRule="auto"/>
              <w:jc w:val="both"/>
              <w:rPr>
                <w:rFonts w:ascii="Arial" w:hAnsi="Arial" w:cs="Arial"/>
                <w:sz w:val="20"/>
                <w:szCs w:val="20"/>
              </w:rPr>
            </w:pPr>
          </w:p>
        </w:tc>
        <w:tc>
          <w:tcPr>
            <w:tcW w:w="1335" w:type="dxa"/>
            <w:tcBorders>
              <w:right w:val="nil"/>
            </w:tcBorders>
          </w:tcPr>
          <w:p w14:paraId="329E6760" w14:textId="77777777" w:rsidR="00211DB2" w:rsidRPr="00211DB2" w:rsidRDefault="00211DB2" w:rsidP="00B92F7E">
            <w:pPr>
              <w:widowControl w:val="0"/>
              <w:spacing w:line="360" w:lineRule="auto"/>
              <w:ind w:right="1"/>
              <w:rPr>
                <w:rFonts w:ascii="Arial" w:hAnsi="Arial" w:cs="Arial"/>
                <w:sz w:val="20"/>
                <w:szCs w:val="20"/>
              </w:rPr>
            </w:pPr>
            <w:r w:rsidRPr="00211DB2">
              <w:rPr>
                <w:rFonts w:ascii="Arial" w:hAnsi="Arial" w:cs="Arial"/>
                <w:sz w:val="20"/>
                <w:szCs w:val="20"/>
              </w:rPr>
              <w:t>Unexpired</w:t>
            </w:r>
          </w:p>
        </w:tc>
      </w:tr>
      <w:tr w:rsidR="00211DB2" w:rsidRPr="00211DB2" w14:paraId="09A04606" w14:textId="77777777" w:rsidTr="000C4B1F">
        <w:trPr>
          <w:trHeight w:val="1128"/>
        </w:trPr>
        <w:tc>
          <w:tcPr>
            <w:tcW w:w="1701" w:type="dxa"/>
            <w:vMerge/>
            <w:tcBorders>
              <w:left w:val="nil"/>
            </w:tcBorders>
          </w:tcPr>
          <w:p w14:paraId="070038EF"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2E94DFE6"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val="restart"/>
          </w:tcPr>
          <w:p w14:paraId="205E586F" w14:textId="77777777" w:rsidR="00211DB2" w:rsidRPr="00211DB2" w:rsidRDefault="00211DB2" w:rsidP="00B92F7E">
            <w:pPr>
              <w:widowControl w:val="0"/>
              <w:spacing w:line="360" w:lineRule="auto"/>
              <w:rPr>
                <w:rFonts w:ascii="Arial" w:hAnsi="Arial" w:cs="Arial"/>
                <w:sz w:val="20"/>
                <w:szCs w:val="20"/>
              </w:rPr>
            </w:pPr>
            <w:r w:rsidRPr="00211DB2">
              <w:rPr>
                <w:rFonts w:ascii="Arial" w:hAnsi="Arial" w:cs="Arial"/>
                <w:sz w:val="20"/>
                <w:szCs w:val="20"/>
              </w:rPr>
              <w:t>Light + Heat</w:t>
            </w:r>
          </w:p>
        </w:tc>
        <w:tc>
          <w:tcPr>
            <w:tcW w:w="1335" w:type="dxa"/>
            <w:tcBorders>
              <w:right w:val="nil"/>
            </w:tcBorders>
          </w:tcPr>
          <w:p w14:paraId="5E735567" w14:textId="77777777" w:rsidR="00211DB2" w:rsidRPr="00211DB2" w:rsidRDefault="00211DB2" w:rsidP="00B92F7E">
            <w:pPr>
              <w:widowControl w:val="0"/>
              <w:spacing w:line="360" w:lineRule="auto"/>
              <w:ind w:right="34"/>
              <w:rPr>
                <w:rFonts w:ascii="Arial" w:hAnsi="Arial" w:cs="Arial"/>
                <w:sz w:val="20"/>
                <w:szCs w:val="20"/>
              </w:rPr>
            </w:pPr>
            <w:r w:rsidRPr="00211DB2">
              <w:rPr>
                <w:rFonts w:ascii="Arial" w:hAnsi="Arial" w:cs="Arial"/>
                <w:sz w:val="20"/>
                <w:szCs w:val="20"/>
              </w:rPr>
              <w:t>Expired</w:t>
            </w:r>
          </w:p>
        </w:tc>
      </w:tr>
      <w:tr w:rsidR="00211DB2" w:rsidRPr="00211DB2" w14:paraId="2BD7CCA1" w14:textId="77777777" w:rsidTr="000C4B1F">
        <w:trPr>
          <w:trHeight w:val="480"/>
        </w:trPr>
        <w:tc>
          <w:tcPr>
            <w:tcW w:w="1701" w:type="dxa"/>
            <w:vMerge/>
            <w:tcBorders>
              <w:left w:val="nil"/>
            </w:tcBorders>
          </w:tcPr>
          <w:p w14:paraId="64AAF7C5" w14:textId="77777777" w:rsidR="00211DB2" w:rsidRPr="00211DB2" w:rsidRDefault="00211DB2" w:rsidP="00B92F7E">
            <w:pPr>
              <w:widowControl w:val="0"/>
              <w:spacing w:line="360" w:lineRule="auto"/>
              <w:jc w:val="both"/>
              <w:rPr>
                <w:rFonts w:ascii="Arial" w:hAnsi="Arial" w:cs="Arial"/>
                <w:sz w:val="20"/>
                <w:szCs w:val="20"/>
              </w:rPr>
            </w:pPr>
          </w:p>
        </w:tc>
        <w:tc>
          <w:tcPr>
            <w:tcW w:w="3519" w:type="dxa"/>
            <w:vMerge/>
          </w:tcPr>
          <w:p w14:paraId="0DF02520" w14:textId="77777777" w:rsidR="00211DB2" w:rsidRPr="00211DB2" w:rsidRDefault="00211DB2" w:rsidP="00B92F7E">
            <w:pPr>
              <w:widowControl w:val="0"/>
              <w:spacing w:line="360" w:lineRule="auto"/>
              <w:jc w:val="both"/>
              <w:rPr>
                <w:rFonts w:ascii="Arial" w:hAnsi="Arial" w:cs="Arial"/>
                <w:sz w:val="20"/>
                <w:szCs w:val="20"/>
              </w:rPr>
            </w:pPr>
          </w:p>
        </w:tc>
        <w:tc>
          <w:tcPr>
            <w:tcW w:w="1815" w:type="dxa"/>
            <w:vMerge/>
          </w:tcPr>
          <w:p w14:paraId="50CCE6F5" w14:textId="77777777" w:rsidR="00211DB2" w:rsidRPr="00211DB2" w:rsidRDefault="00211DB2" w:rsidP="00B92F7E">
            <w:pPr>
              <w:widowControl w:val="0"/>
              <w:spacing w:line="360" w:lineRule="auto"/>
              <w:jc w:val="both"/>
              <w:rPr>
                <w:rFonts w:ascii="Arial" w:hAnsi="Arial" w:cs="Arial"/>
                <w:sz w:val="20"/>
                <w:szCs w:val="20"/>
              </w:rPr>
            </w:pPr>
          </w:p>
        </w:tc>
        <w:tc>
          <w:tcPr>
            <w:tcW w:w="1335" w:type="dxa"/>
            <w:tcBorders>
              <w:right w:val="nil"/>
            </w:tcBorders>
          </w:tcPr>
          <w:p w14:paraId="5FC536E5" w14:textId="77777777" w:rsidR="00211DB2" w:rsidRPr="00211DB2" w:rsidRDefault="00211DB2" w:rsidP="00B92F7E">
            <w:pPr>
              <w:widowControl w:val="0"/>
              <w:spacing w:line="360" w:lineRule="auto"/>
              <w:ind w:right="1"/>
              <w:rPr>
                <w:rFonts w:ascii="Arial" w:hAnsi="Arial" w:cs="Arial"/>
                <w:sz w:val="20"/>
                <w:szCs w:val="20"/>
              </w:rPr>
            </w:pPr>
            <w:r w:rsidRPr="00211DB2">
              <w:rPr>
                <w:rFonts w:ascii="Arial" w:hAnsi="Arial" w:cs="Arial"/>
                <w:sz w:val="20"/>
                <w:szCs w:val="20"/>
              </w:rPr>
              <w:t>Unexpired</w:t>
            </w:r>
          </w:p>
        </w:tc>
      </w:tr>
    </w:tbl>
    <w:p w14:paraId="3A599921" w14:textId="77777777" w:rsidR="00211DB2" w:rsidRDefault="00211DB2" w:rsidP="00105EC1">
      <w:pPr>
        <w:pStyle w:val="Body"/>
        <w:spacing w:after="0"/>
        <w:rPr>
          <w:rFonts w:ascii="Arial" w:hAnsi="Arial" w:cs="Arial"/>
        </w:rPr>
      </w:pPr>
    </w:p>
    <w:p w14:paraId="0D102182" w14:textId="77777777" w:rsidR="00790ADA" w:rsidRPr="00211DB2" w:rsidRDefault="00790ADA" w:rsidP="00441B6F">
      <w:pPr>
        <w:pStyle w:val="Body"/>
        <w:spacing w:after="0"/>
        <w:rPr>
          <w:rFonts w:ascii="Arial" w:hAnsi="Arial" w:cs="Arial"/>
        </w:rPr>
      </w:pPr>
    </w:p>
    <w:p w14:paraId="081AE673"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For light curing, a Valo corded LED curing unit (1000 mW/mm²; Ultradent Products Inc., Salt Lake City, UT, USA) was used. Thermal treatment was performed with an air fryer (Mondial AF-03®, Bahia, Brazil). Specimens cured with light only were polymerized according to each manufacturer’s instructions: Opallis, 40 s; Filtek Z350 XT, 20 s.</w:t>
      </w:r>
    </w:p>
    <w:p w14:paraId="0B079130"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Specimens designated for thermal treatment were first photoactivated and, after a 10 min interval, placed in an air fryer preheated to 170 °C for 5 min and subsequently treated at the same temperature for 10 min, following Santana et al. [18].</w:t>
      </w:r>
    </w:p>
    <w:p w14:paraId="3C5995E3"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When more than one composite-resin increment was required during specimen fabrication, each subsequent photoactivation was performed with the light-curing unit’s tip supported on the specimen holder. For the final layer, the resin was covered with a polyester strip and glass slide, then cured with the light tip resting directly on the assembly.</w:t>
      </w:r>
    </w:p>
    <w:p w14:paraId="53D7E8D3" w14:textId="77777777" w:rsidR="00211DB2" w:rsidRPr="00211DB2" w:rsidRDefault="00211DB2" w:rsidP="00211DB2">
      <w:pPr>
        <w:ind w:firstLine="720"/>
        <w:jc w:val="both"/>
        <w:rPr>
          <w:rFonts w:ascii="Arial" w:hAnsi="Arial" w:cs="Arial"/>
          <w:sz w:val="20"/>
          <w:szCs w:val="20"/>
        </w:rPr>
      </w:pPr>
    </w:p>
    <w:p w14:paraId="1D0BCBCF" w14:textId="77777777" w:rsidR="00211DB2" w:rsidRPr="00211DB2" w:rsidRDefault="00211DB2" w:rsidP="00211DB2">
      <w:pPr>
        <w:jc w:val="both"/>
        <w:rPr>
          <w:rFonts w:ascii="Arial" w:hAnsi="Arial" w:cs="Arial"/>
          <w:b/>
          <w:sz w:val="20"/>
          <w:szCs w:val="20"/>
        </w:rPr>
      </w:pPr>
      <w:r w:rsidRPr="00211DB2">
        <w:rPr>
          <w:rFonts w:ascii="Arial" w:hAnsi="Arial" w:cs="Arial"/>
          <w:b/>
          <w:sz w:val="20"/>
          <w:szCs w:val="20"/>
        </w:rPr>
        <w:t xml:space="preserve">2.1 - Flexural strength and elastic modulus </w:t>
      </w:r>
    </w:p>
    <w:p w14:paraId="68967FEA"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Forty-eight composite resin bars were fabricated using an addition-silicone mold (Scan Putty; Yller, Pelotas, Brazil) placed inside a polyvinyl-chloride (PVC) cylinder (5 mm diameter × 4 mm height). The bars measured 2.0 mm (±0.1 mm) wide, 2.0 mm (±0.1 mm) thick, and 12.0 mm (±0.1 mm) long [14,15].</w:t>
      </w:r>
    </w:p>
    <w:p w14:paraId="70B62B4A" w14:textId="77777777" w:rsidR="00211DB2" w:rsidRDefault="00211DB2" w:rsidP="00211DB2">
      <w:pPr>
        <w:ind w:firstLine="720"/>
        <w:jc w:val="both"/>
        <w:rPr>
          <w:rFonts w:ascii="Arial" w:hAnsi="Arial" w:cs="Arial"/>
          <w:sz w:val="20"/>
          <w:szCs w:val="20"/>
        </w:rPr>
      </w:pPr>
      <w:r w:rsidRPr="00211DB2">
        <w:rPr>
          <w:rFonts w:ascii="Arial" w:hAnsi="Arial" w:cs="Arial"/>
          <w:sz w:val="20"/>
          <w:szCs w:val="20"/>
        </w:rPr>
        <w:t>After 24 h of storage in distilled water at 37 °C in an incubator, elastic modulus and flexural strength were determined by a three point micro</w:t>
      </w:r>
      <w:r w:rsidRPr="00211DB2">
        <w:rPr>
          <w:rFonts w:ascii="Cambria Math" w:hAnsi="Cambria Math" w:cs="Cambria Math"/>
          <w:sz w:val="20"/>
          <w:szCs w:val="20"/>
        </w:rPr>
        <w:t>‐</w:t>
      </w:r>
      <w:r w:rsidRPr="00211DB2">
        <w:rPr>
          <w:rFonts w:ascii="Arial" w:hAnsi="Arial" w:cs="Arial"/>
          <w:sz w:val="20"/>
          <w:szCs w:val="20"/>
        </w:rPr>
        <w:t>flexural test on a universal testing machine (Instron 3345; Instron Inc., Canton, MA, USA) equipped with a 500 N load cell. Tests were performed at a crosshead speed of 0.5 mm/min and a support span of 10 mm.</w:t>
      </w:r>
    </w:p>
    <w:p w14:paraId="62F49F6D" w14:textId="77777777" w:rsidR="00211DB2" w:rsidRPr="00211DB2" w:rsidRDefault="00211DB2" w:rsidP="00211DB2">
      <w:pPr>
        <w:ind w:firstLine="720"/>
        <w:jc w:val="both"/>
        <w:rPr>
          <w:rFonts w:ascii="Arial" w:hAnsi="Arial" w:cs="Arial"/>
          <w:sz w:val="20"/>
          <w:szCs w:val="20"/>
        </w:rPr>
      </w:pPr>
    </w:p>
    <w:p w14:paraId="17A7BCAE" w14:textId="77777777" w:rsidR="00211DB2" w:rsidRPr="00211DB2" w:rsidRDefault="00211DB2" w:rsidP="00211DB2">
      <w:pPr>
        <w:jc w:val="both"/>
        <w:rPr>
          <w:rFonts w:ascii="Arial" w:hAnsi="Arial" w:cs="Arial"/>
          <w:b/>
          <w:sz w:val="20"/>
          <w:szCs w:val="20"/>
        </w:rPr>
      </w:pPr>
      <w:r w:rsidRPr="00211DB2">
        <w:rPr>
          <w:rFonts w:ascii="Arial" w:hAnsi="Arial" w:cs="Arial"/>
          <w:b/>
          <w:sz w:val="20"/>
          <w:szCs w:val="20"/>
        </w:rPr>
        <w:t>2.2 - Knoop microhardness (KHN)</w:t>
      </w:r>
    </w:p>
    <w:p w14:paraId="18FE305C"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Cylindrical specimens were fabricated in a metal mold, resulting in specimens 5.0 mm (±0.1 mm) in diameter and 2.0 mm (±0.1 mm) thick. Each specimen’s base was marked.</w:t>
      </w:r>
    </w:p>
    <w:p w14:paraId="6A920865"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After 24 h of storage in distilled water at 37 °C, the specimens were mounted on acrylic plates with their tops facing upward. All specimens were polished in an automatic polishing machine (Buehler®, Lake Bluff, IL, USA) at 180 rpm clockwise under running water, using 400 grit wet silicon carbide paper (3M, St. Paul, MN, USA) for 20 s, followed by 1200-grit wet silicon carbide paper (Worker, São Paulo, Brazil) for 30 s.</w:t>
      </w:r>
    </w:p>
    <w:p w14:paraId="7F58F5C3" w14:textId="77777777" w:rsidR="00211DB2" w:rsidRDefault="00211DB2" w:rsidP="00211DB2">
      <w:pPr>
        <w:ind w:firstLine="720"/>
        <w:jc w:val="both"/>
        <w:rPr>
          <w:rFonts w:ascii="Arial" w:hAnsi="Arial" w:cs="Arial"/>
          <w:sz w:val="20"/>
          <w:szCs w:val="20"/>
        </w:rPr>
      </w:pPr>
      <w:r w:rsidRPr="00211DB2">
        <w:rPr>
          <w:rFonts w:ascii="Arial" w:hAnsi="Arial" w:cs="Arial"/>
          <w:sz w:val="20"/>
          <w:szCs w:val="20"/>
        </w:rPr>
        <w:t>The tops of the specimens were subjected to the Knoop microhardness test using a microhardness tester (HMV-2; Shimadzu, Tokyo, Japan). Five indentations were made under a 50 gf load for 15 s on each specimen.</w:t>
      </w:r>
    </w:p>
    <w:p w14:paraId="00A93352" w14:textId="77777777" w:rsidR="00211DB2" w:rsidRPr="00211DB2" w:rsidRDefault="00211DB2" w:rsidP="00211DB2">
      <w:pPr>
        <w:ind w:firstLine="720"/>
        <w:jc w:val="both"/>
        <w:rPr>
          <w:rFonts w:ascii="Arial" w:hAnsi="Arial" w:cs="Arial"/>
          <w:sz w:val="20"/>
          <w:szCs w:val="20"/>
        </w:rPr>
      </w:pPr>
    </w:p>
    <w:p w14:paraId="12D92956" w14:textId="77777777" w:rsidR="00211DB2" w:rsidRPr="00211DB2" w:rsidRDefault="00211DB2" w:rsidP="00211DB2">
      <w:pPr>
        <w:jc w:val="both"/>
        <w:rPr>
          <w:rFonts w:ascii="Arial" w:hAnsi="Arial" w:cs="Arial"/>
          <w:b/>
          <w:sz w:val="20"/>
          <w:szCs w:val="20"/>
        </w:rPr>
      </w:pPr>
      <w:r w:rsidRPr="00211DB2">
        <w:rPr>
          <w:rFonts w:ascii="Arial" w:hAnsi="Arial" w:cs="Arial"/>
          <w:b/>
          <w:sz w:val="20"/>
          <w:szCs w:val="20"/>
        </w:rPr>
        <w:t>2.3 - Water sorption and solubility</w:t>
      </w:r>
    </w:p>
    <w:p w14:paraId="30138682"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 xml:space="preserve">Thirty-two cylindrical specimens were fabricated in a metal mold, yielding specimens 15.0 mm (±0.1 mm) in diameter and 1.0 mm (±0.1 mm) thick. Because the specimen diameter exceeded the </w:t>
      </w:r>
      <w:r w:rsidRPr="00211DB2">
        <w:rPr>
          <w:rFonts w:ascii="Arial" w:hAnsi="Arial" w:cs="Arial"/>
          <w:sz w:val="20"/>
          <w:szCs w:val="20"/>
        </w:rPr>
        <w:lastRenderedPageBreak/>
        <w:t>curing</w:t>
      </w:r>
      <w:r w:rsidRPr="00211DB2">
        <w:rPr>
          <w:rFonts w:ascii="Cambria Math" w:hAnsi="Cambria Math" w:cs="Cambria Math"/>
          <w:sz w:val="20"/>
          <w:szCs w:val="20"/>
        </w:rPr>
        <w:t>‐</w:t>
      </w:r>
      <w:r w:rsidRPr="00211DB2">
        <w:rPr>
          <w:rFonts w:ascii="Arial" w:hAnsi="Arial" w:cs="Arial"/>
          <w:sz w:val="20"/>
          <w:szCs w:val="20"/>
        </w:rPr>
        <w:t>tip diameter (10 mm), light was applied centrally, followed by four additional peripheral exposures, as specified in ISO 4049:2019 [20].</w:t>
      </w:r>
    </w:p>
    <w:p w14:paraId="781C00E4"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After 24 h of storage in distilled water at 37 °C, all specimens were measured and weighed. A single diameter and thickness measurement were recorded for each specimen using a digital caliper (Stainless Hardened; China) and a precision balance (Shimadzu; Tokyo, Japan). Specimens were then placed in a glass desiccator and oven-dried at 37 °C for 24 h. They were weighed again, and this cycle was repeated until a constant mass (m</w:t>
      </w:r>
      <w:r w:rsidRPr="00211DB2">
        <w:rPr>
          <w:rFonts w:ascii="Cambria Math" w:hAnsi="Cambria Math" w:cs="Cambria Math"/>
          <w:sz w:val="20"/>
          <w:szCs w:val="20"/>
        </w:rPr>
        <w:t>₁</w:t>
      </w:r>
      <w:r w:rsidRPr="00211DB2">
        <w:rPr>
          <w:rFonts w:ascii="Arial" w:hAnsi="Arial" w:cs="Arial"/>
          <w:sz w:val="20"/>
          <w:szCs w:val="20"/>
        </w:rPr>
        <w:t>) was obtained.</w:t>
      </w:r>
    </w:p>
    <w:p w14:paraId="655B1899" w14:textId="77777777" w:rsidR="00211DB2" w:rsidRDefault="00211DB2" w:rsidP="00211DB2">
      <w:pPr>
        <w:ind w:firstLine="720"/>
        <w:jc w:val="both"/>
        <w:rPr>
          <w:rFonts w:ascii="Arial" w:hAnsi="Arial" w:cs="Arial"/>
          <w:sz w:val="20"/>
          <w:szCs w:val="20"/>
        </w:rPr>
      </w:pPr>
      <w:r w:rsidRPr="00211DB2">
        <w:rPr>
          <w:rFonts w:ascii="Arial" w:hAnsi="Arial" w:cs="Arial"/>
          <w:sz w:val="20"/>
          <w:szCs w:val="20"/>
        </w:rPr>
        <w:t>After this step, specimens were immersed in distilled water and stored at 37 °C in an incubator for 7 days. At the end of the storage period, specimens were removed from the water, blotted with paper towels for 1 min, then placed on fresh paper towels for further drying, and weighed to record m</w:t>
      </w:r>
      <w:r w:rsidRPr="00211DB2">
        <w:rPr>
          <w:rFonts w:ascii="Cambria Math" w:hAnsi="Cambria Math" w:cs="Cambria Math"/>
          <w:sz w:val="20"/>
          <w:szCs w:val="20"/>
        </w:rPr>
        <w:t>₂</w:t>
      </w:r>
      <w:r w:rsidRPr="00211DB2">
        <w:rPr>
          <w:rFonts w:ascii="Arial" w:hAnsi="Arial" w:cs="Arial"/>
          <w:sz w:val="20"/>
          <w:szCs w:val="20"/>
        </w:rPr>
        <w:t xml:space="preserve"> (water saturated mass). Thereafter, specimens were returned to the desiccator and the drying cycle was repeated until a constant final dry mass (m</w:t>
      </w:r>
      <w:r w:rsidRPr="00211DB2">
        <w:rPr>
          <w:rFonts w:ascii="Cambria Math" w:hAnsi="Cambria Math" w:cs="Cambria Math"/>
          <w:sz w:val="20"/>
          <w:szCs w:val="20"/>
        </w:rPr>
        <w:t>₃</w:t>
      </w:r>
      <w:r w:rsidRPr="00211DB2">
        <w:rPr>
          <w:rFonts w:ascii="Arial" w:hAnsi="Arial" w:cs="Arial"/>
          <w:sz w:val="20"/>
          <w:szCs w:val="20"/>
        </w:rPr>
        <w:t>) was obtained.</w:t>
      </w:r>
    </w:p>
    <w:p w14:paraId="413886C7" w14:textId="77777777" w:rsidR="00211DB2" w:rsidRPr="00211DB2" w:rsidRDefault="00211DB2" w:rsidP="00211DB2">
      <w:pPr>
        <w:ind w:firstLine="720"/>
        <w:jc w:val="both"/>
        <w:rPr>
          <w:rFonts w:ascii="Arial" w:hAnsi="Arial" w:cs="Arial"/>
          <w:sz w:val="20"/>
          <w:szCs w:val="20"/>
        </w:rPr>
      </w:pPr>
    </w:p>
    <w:p w14:paraId="72CB8377" w14:textId="36B7EA80" w:rsidR="00211DB2" w:rsidRPr="004C760D" w:rsidRDefault="00211DB2" w:rsidP="00211DB2">
      <w:pPr>
        <w:jc w:val="both"/>
        <w:rPr>
          <w:rFonts w:ascii="Arial" w:hAnsi="Arial" w:cs="Arial"/>
          <w:i/>
          <w:iCs/>
          <w:sz w:val="20"/>
          <w:szCs w:val="20"/>
        </w:rPr>
      </w:pPr>
      <w:r w:rsidRPr="004C760D">
        <w:rPr>
          <w:rFonts w:ascii="Arial" w:hAnsi="Arial" w:cs="Arial"/>
          <w:b/>
          <w:i/>
          <w:iCs/>
          <w:sz w:val="20"/>
          <w:szCs w:val="20"/>
        </w:rPr>
        <w:t>Water sorption values (Wsp)</w:t>
      </w:r>
      <w:r w:rsidRPr="004C760D">
        <w:rPr>
          <w:rFonts w:ascii="Arial" w:hAnsi="Arial" w:cs="Arial"/>
          <w:i/>
          <w:iCs/>
          <w:sz w:val="20"/>
          <w:szCs w:val="20"/>
        </w:rPr>
        <w:t xml:space="preserve"> were calculated using the formula [20]:</w:t>
      </w:r>
    </w:p>
    <w:p w14:paraId="047F5CED" w14:textId="77777777" w:rsidR="00211DB2" w:rsidRPr="004C760D" w:rsidRDefault="00211DB2" w:rsidP="00211DB2">
      <w:pPr>
        <w:widowControl w:val="0"/>
        <w:ind w:left="2158"/>
        <w:jc w:val="both"/>
        <w:rPr>
          <w:rFonts w:ascii="Arial" w:hAnsi="Arial" w:cs="Arial"/>
          <w:i/>
          <w:iCs/>
          <w:sz w:val="20"/>
          <w:szCs w:val="20"/>
        </w:rPr>
      </w:pPr>
      <w:r w:rsidRPr="004C760D">
        <w:rPr>
          <w:rFonts w:ascii="Arial" w:hAnsi="Arial" w:cs="Arial"/>
          <w:i/>
          <w:iCs/>
          <w:sz w:val="20"/>
          <w:szCs w:val="20"/>
        </w:rPr>
        <w:t xml:space="preserve"> </w:t>
      </w:r>
      <w:r w:rsidRPr="004C760D">
        <w:rPr>
          <w:rFonts w:ascii="Arial" w:hAnsi="Arial" w:cs="Arial"/>
          <w:b/>
          <w:i/>
          <w:iCs/>
          <w:sz w:val="20"/>
          <w:szCs w:val="20"/>
        </w:rPr>
        <w:t xml:space="preserve"> Wsp</w:t>
      </w:r>
      <w:r w:rsidRPr="004C760D">
        <w:rPr>
          <w:rFonts w:ascii="Arial" w:hAnsi="Arial" w:cs="Arial"/>
          <w:i/>
          <w:iCs/>
          <w:sz w:val="20"/>
          <w:szCs w:val="20"/>
        </w:rPr>
        <w:t xml:space="preserve"> = (m</w:t>
      </w:r>
      <w:r w:rsidRPr="004C760D">
        <w:rPr>
          <w:rFonts w:ascii="Arial" w:hAnsi="Arial" w:cs="Arial"/>
          <w:i/>
          <w:iCs/>
          <w:sz w:val="20"/>
          <w:szCs w:val="20"/>
          <w:vertAlign w:val="subscript"/>
        </w:rPr>
        <w:t>2</w:t>
      </w:r>
      <w:r w:rsidRPr="004C760D">
        <w:rPr>
          <w:rFonts w:ascii="Arial" w:hAnsi="Arial" w:cs="Arial"/>
          <w:i/>
          <w:iCs/>
          <w:sz w:val="20"/>
          <w:szCs w:val="20"/>
        </w:rPr>
        <w:t xml:space="preserve"> – m</w:t>
      </w:r>
      <w:r w:rsidRPr="004C760D">
        <w:rPr>
          <w:rFonts w:ascii="Arial" w:hAnsi="Arial" w:cs="Arial"/>
          <w:i/>
          <w:iCs/>
          <w:sz w:val="20"/>
          <w:szCs w:val="20"/>
          <w:vertAlign w:val="subscript"/>
        </w:rPr>
        <w:t>3</w:t>
      </w:r>
      <w:r w:rsidRPr="004C760D">
        <w:rPr>
          <w:rFonts w:ascii="Arial" w:hAnsi="Arial" w:cs="Arial"/>
          <w:i/>
          <w:iCs/>
          <w:sz w:val="20"/>
          <w:szCs w:val="20"/>
        </w:rPr>
        <w:t xml:space="preserve">) / V </w:t>
      </w:r>
    </w:p>
    <w:p w14:paraId="251CAAC5" w14:textId="77777777" w:rsidR="00211DB2" w:rsidRPr="004C760D" w:rsidRDefault="00211DB2" w:rsidP="00211DB2">
      <w:pPr>
        <w:jc w:val="both"/>
        <w:rPr>
          <w:rFonts w:ascii="Arial" w:hAnsi="Arial" w:cs="Arial"/>
          <w:i/>
          <w:iCs/>
          <w:sz w:val="20"/>
          <w:szCs w:val="20"/>
        </w:rPr>
      </w:pPr>
      <w:r w:rsidRPr="004C760D">
        <w:rPr>
          <w:rFonts w:ascii="Arial" w:hAnsi="Arial" w:cs="Arial"/>
          <w:b/>
          <w:i/>
          <w:iCs/>
          <w:sz w:val="20"/>
          <w:szCs w:val="20"/>
        </w:rPr>
        <w:t>Water solubility values (Wsl)</w:t>
      </w:r>
      <w:r w:rsidRPr="004C760D">
        <w:rPr>
          <w:rFonts w:ascii="Arial" w:hAnsi="Arial" w:cs="Arial"/>
          <w:i/>
          <w:iCs/>
          <w:sz w:val="20"/>
          <w:szCs w:val="20"/>
        </w:rPr>
        <w:t xml:space="preserve"> were calculated using the formula [20]:</w:t>
      </w:r>
    </w:p>
    <w:p w14:paraId="57D003A8" w14:textId="77777777" w:rsidR="00211DB2" w:rsidRPr="004C760D" w:rsidRDefault="00211DB2" w:rsidP="00211DB2">
      <w:pPr>
        <w:widowControl w:val="0"/>
        <w:ind w:left="2291"/>
        <w:jc w:val="both"/>
        <w:rPr>
          <w:rFonts w:ascii="Arial" w:hAnsi="Arial" w:cs="Arial"/>
          <w:i/>
          <w:iCs/>
          <w:sz w:val="20"/>
          <w:szCs w:val="20"/>
        </w:rPr>
      </w:pPr>
      <w:r w:rsidRPr="004C760D">
        <w:rPr>
          <w:rFonts w:ascii="Arial" w:hAnsi="Arial" w:cs="Arial"/>
          <w:b/>
          <w:i/>
          <w:iCs/>
          <w:sz w:val="20"/>
          <w:szCs w:val="20"/>
        </w:rPr>
        <w:t>Wsl</w:t>
      </w:r>
      <w:r w:rsidRPr="004C760D">
        <w:rPr>
          <w:rFonts w:ascii="Arial" w:hAnsi="Arial" w:cs="Arial"/>
          <w:i/>
          <w:iCs/>
          <w:sz w:val="20"/>
          <w:szCs w:val="20"/>
        </w:rPr>
        <w:t xml:space="preserve"> = (m</w:t>
      </w:r>
      <w:r w:rsidRPr="004C760D">
        <w:rPr>
          <w:rFonts w:ascii="Arial" w:hAnsi="Arial" w:cs="Arial"/>
          <w:i/>
          <w:iCs/>
          <w:sz w:val="20"/>
          <w:szCs w:val="20"/>
          <w:vertAlign w:val="subscript"/>
        </w:rPr>
        <w:t>1</w:t>
      </w:r>
      <w:r w:rsidRPr="004C760D">
        <w:rPr>
          <w:rFonts w:ascii="Arial" w:hAnsi="Arial" w:cs="Arial"/>
          <w:i/>
          <w:iCs/>
          <w:sz w:val="20"/>
          <w:szCs w:val="20"/>
        </w:rPr>
        <w:t xml:space="preserve"> – m</w:t>
      </w:r>
      <w:r w:rsidRPr="004C760D">
        <w:rPr>
          <w:rFonts w:ascii="Arial" w:hAnsi="Arial" w:cs="Arial"/>
          <w:i/>
          <w:iCs/>
          <w:sz w:val="20"/>
          <w:szCs w:val="20"/>
          <w:vertAlign w:val="subscript"/>
        </w:rPr>
        <w:t>3</w:t>
      </w:r>
      <w:r w:rsidRPr="004C760D">
        <w:rPr>
          <w:rFonts w:ascii="Arial" w:hAnsi="Arial" w:cs="Arial"/>
          <w:i/>
          <w:iCs/>
          <w:sz w:val="20"/>
          <w:szCs w:val="20"/>
        </w:rPr>
        <w:t>) / V</w:t>
      </w:r>
    </w:p>
    <w:p w14:paraId="622937CB" w14:textId="77777777" w:rsidR="00211DB2" w:rsidRPr="004C760D" w:rsidRDefault="00211DB2" w:rsidP="00211DB2">
      <w:pPr>
        <w:jc w:val="both"/>
        <w:rPr>
          <w:rFonts w:ascii="Arial" w:hAnsi="Arial" w:cs="Arial"/>
          <w:i/>
          <w:iCs/>
          <w:sz w:val="20"/>
          <w:szCs w:val="20"/>
        </w:rPr>
      </w:pPr>
      <w:r w:rsidRPr="004C760D">
        <w:rPr>
          <w:rFonts w:ascii="Arial" w:hAnsi="Arial" w:cs="Arial"/>
          <w:i/>
          <w:iCs/>
          <w:sz w:val="20"/>
          <w:szCs w:val="20"/>
        </w:rPr>
        <w:t>where:</w:t>
      </w:r>
    </w:p>
    <w:p w14:paraId="624E58EF" w14:textId="77777777" w:rsidR="00211DB2" w:rsidRPr="004C760D" w:rsidRDefault="00211DB2" w:rsidP="00211DB2">
      <w:pPr>
        <w:numPr>
          <w:ilvl w:val="0"/>
          <w:numId w:val="31"/>
        </w:numPr>
        <w:ind w:right="600"/>
        <w:rPr>
          <w:rFonts w:ascii="Arial" w:hAnsi="Arial" w:cs="Arial"/>
          <w:i/>
          <w:iCs/>
          <w:sz w:val="20"/>
          <w:szCs w:val="20"/>
        </w:rPr>
      </w:pPr>
      <w:r w:rsidRPr="004C760D">
        <w:rPr>
          <w:rFonts w:ascii="Arial" w:hAnsi="Arial" w:cs="Arial"/>
          <w:b/>
          <w:i/>
          <w:iCs/>
          <w:sz w:val="20"/>
          <w:szCs w:val="20"/>
        </w:rPr>
        <w:t>Wsl</w:t>
      </w:r>
      <w:r w:rsidRPr="004C760D">
        <w:rPr>
          <w:rFonts w:ascii="Arial" w:hAnsi="Arial" w:cs="Arial"/>
          <w:i/>
          <w:iCs/>
          <w:sz w:val="20"/>
          <w:szCs w:val="20"/>
        </w:rPr>
        <w:t xml:space="preserve"> represents water sorption</w:t>
      </w:r>
    </w:p>
    <w:p w14:paraId="72B6C221" w14:textId="77777777" w:rsidR="00211DB2" w:rsidRPr="004C760D" w:rsidRDefault="00211DB2" w:rsidP="00211DB2">
      <w:pPr>
        <w:numPr>
          <w:ilvl w:val="0"/>
          <w:numId w:val="31"/>
        </w:numPr>
        <w:ind w:right="600"/>
        <w:rPr>
          <w:rFonts w:ascii="Arial" w:hAnsi="Arial" w:cs="Arial"/>
          <w:i/>
          <w:iCs/>
          <w:sz w:val="20"/>
          <w:szCs w:val="20"/>
        </w:rPr>
      </w:pPr>
      <w:r w:rsidRPr="004C760D">
        <w:rPr>
          <w:rFonts w:ascii="Arial" w:hAnsi="Arial" w:cs="Arial"/>
          <w:b/>
          <w:i/>
          <w:iCs/>
          <w:sz w:val="20"/>
          <w:szCs w:val="20"/>
        </w:rPr>
        <w:t>Ws</w:t>
      </w:r>
      <w:r w:rsidRPr="004C760D">
        <w:rPr>
          <w:rFonts w:ascii="Arial" w:hAnsi="Arial" w:cs="Arial"/>
          <w:i/>
          <w:iCs/>
          <w:sz w:val="20"/>
          <w:szCs w:val="20"/>
        </w:rPr>
        <w:t xml:space="preserve"> represents water solubility</w:t>
      </w:r>
    </w:p>
    <w:p w14:paraId="68426F1C" w14:textId="77777777" w:rsidR="00211DB2" w:rsidRPr="004C760D" w:rsidRDefault="00211DB2" w:rsidP="00211DB2">
      <w:pPr>
        <w:numPr>
          <w:ilvl w:val="0"/>
          <w:numId w:val="31"/>
        </w:numPr>
        <w:ind w:right="600"/>
        <w:rPr>
          <w:rFonts w:ascii="Arial" w:hAnsi="Arial" w:cs="Arial"/>
          <w:i/>
          <w:iCs/>
          <w:sz w:val="20"/>
          <w:szCs w:val="20"/>
        </w:rPr>
      </w:pPr>
      <w:r w:rsidRPr="004C760D">
        <w:rPr>
          <w:rFonts w:ascii="Arial" w:hAnsi="Arial" w:cs="Arial"/>
          <w:b/>
          <w:i/>
          <w:iCs/>
          <w:sz w:val="20"/>
          <w:szCs w:val="20"/>
        </w:rPr>
        <w:t>m</w:t>
      </w:r>
      <w:r w:rsidRPr="004C760D">
        <w:rPr>
          <w:rFonts w:ascii="Cambria Math" w:hAnsi="Cambria Math" w:cs="Cambria Math"/>
          <w:b/>
          <w:i/>
          <w:iCs/>
          <w:sz w:val="20"/>
          <w:szCs w:val="20"/>
        </w:rPr>
        <w:t>₁</w:t>
      </w:r>
      <w:r w:rsidRPr="004C760D">
        <w:rPr>
          <w:rFonts w:ascii="Arial" w:hAnsi="Arial" w:cs="Arial"/>
          <w:i/>
          <w:iCs/>
          <w:sz w:val="20"/>
          <w:szCs w:val="20"/>
        </w:rPr>
        <w:t xml:space="preserve">, </w:t>
      </w:r>
      <w:r w:rsidRPr="004C760D">
        <w:rPr>
          <w:rFonts w:ascii="Arial" w:hAnsi="Arial" w:cs="Arial"/>
          <w:b/>
          <w:i/>
          <w:iCs/>
          <w:sz w:val="20"/>
          <w:szCs w:val="20"/>
        </w:rPr>
        <w:t>m</w:t>
      </w:r>
      <w:r w:rsidRPr="004C760D">
        <w:rPr>
          <w:rFonts w:ascii="Cambria Math" w:hAnsi="Cambria Math" w:cs="Cambria Math"/>
          <w:b/>
          <w:i/>
          <w:iCs/>
          <w:sz w:val="20"/>
          <w:szCs w:val="20"/>
        </w:rPr>
        <w:t>₂</w:t>
      </w:r>
      <w:r w:rsidRPr="004C760D">
        <w:rPr>
          <w:rFonts w:ascii="Arial" w:hAnsi="Arial" w:cs="Arial"/>
          <w:i/>
          <w:iCs/>
          <w:sz w:val="20"/>
          <w:szCs w:val="20"/>
        </w:rPr>
        <w:t xml:space="preserve">, and </w:t>
      </w:r>
      <w:r w:rsidRPr="004C760D">
        <w:rPr>
          <w:rFonts w:ascii="Arial" w:hAnsi="Arial" w:cs="Arial"/>
          <w:b/>
          <w:i/>
          <w:iCs/>
          <w:sz w:val="20"/>
          <w:szCs w:val="20"/>
        </w:rPr>
        <w:t>m</w:t>
      </w:r>
      <w:r w:rsidRPr="004C760D">
        <w:rPr>
          <w:rFonts w:ascii="Cambria Math" w:hAnsi="Cambria Math" w:cs="Cambria Math"/>
          <w:b/>
          <w:i/>
          <w:iCs/>
          <w:sz w:val="20"/>
          <w:szCs w:val="20"/>
        </w:rPr>
        <w:t>₃</w:t>
      </w:r>
      <w:r w:rsidRPr="004C760D">
        <w:rPr>
          <w:rFonts w:ascii="Arial" w:hAnsi="Arial" w:cs="Arial"/>
          <w:i/>
          <w:iCs/>
          <w:sz w:val="20"/>
          <w:szCs w:val="20"/>
        </w:rPr>
        <w:t xml:space="preserve"> are the constant masses obtained during the experiment</w:t>
      </w:r>
    </w:p>
    <w:p w14:paraId="57AD806E" w14:textId="77777777" w:rsidR="00211DB2" w:rsidRPr="004C760D" w:rsidRDefault="00211DB2" w:rsidP="00211DB2">
      <w:pPr>
        <w:numPr>
          <w:ilvl w:val="0"/>
          <w:numId w:val="31"/>
        </w:numPr>
        <w:ind w:right="600"/>
        <w:rPr>
          <w:rFonts w:ascii="Arial" w:hAnsi="Arial" w:cs="Arial"/>
          <w:i/>
          <w:iCs/>
          <w:sz w:val="20"/>
          <w:szCs w:val="20"/>
        </w:rPr>
      </w:pPr>
      <w:r w:rsidRPr="004C760D">
        <w:rPr>
          <w:rFonts w:ascii="Arial" w:hAnsi="Arial" w:cs="Arial"/>
          <w:b/>
          <w:i/>
          <w:iCs/>
          <w:sz w:val="20"/>
          <w:szCs w:val="20"/>
        </w:rPr>
        <w:t>V</w:t>
      </w:r>
      <w:r w:rsidRPr="004C760D">
        <w:rPr>
          <w:rFonts w:ascii="Arial" w:hAnsi="Arial" w:cs="Arial"/>
          <w:i/>
          <w:iCs/>
          <w:sz w:val="20"/>
          <w:szCs w:val="20"/>
        </w:rPr>
        <w:t xml:space="preserve"> represents specimen volume (mm³).</w:t>
      </w:r>
    </w:p>
    <w:p w14:paraId="2BA222AF" w14:textId="77777777" w:rsidR="00211DB2" w:rsidRPr="00211DB2" w:rsidRDefault="00211DB2" w:rsidP="00211DB2">
      <w:pPr>
        <w:ind w:left="720" w:right="600"/>
        <w:rPr>
          <w:rFonts w:ascii="Arial" w:hAnsi="Arial" w:cs="Arial"/>
          <w:sz w:val="20"/>
          <w:szCs w:val="20"/>
        </w:rPr>
      </w:pPr>
    </w:p>
    <w:p w14:paraId="3624CE15" w14:textId="5E61D966" w:rsidR="00211DB2" w:rsidRPr="00211DB2" w:rsidRDefault="00211DB2" w:rsidP="00211DB2">
      <w:pPr>
        <w:jc w:val="both"/>
        <w:rPr>
          <w:rFonts w:ascii="Arial" w:hAnsi="Arial" w:cs="Arial"/>
          <w:b/>
          <w:sz w:val="20"/>
          <w:szCs w:val="20"/>
        </w:rPr>
      </w:pPr>
      <w:r w:rsidRPr="00211DB2">
        <w:rPr>
          <w:rFonts w:ascii="Arial" w:hAnsi="Arial" w:cs="Arial"/>
          <w:b/>
          <w:sz w:val="20"/>
          <w:szCs w:val="20"/>
        </w:rPr>
        <w:t>2.</w:t>
      </w:r>
      <w:r w:rsidR="004C760D">
        <w:rPr>
          <w:rFonts w:ascii="Arial" w:hAnsi="Arial" w:cs="Arial"/>
          <w:b/>
          <w:sz w:val="20"/>
          <w:szCs w:val="20"/>
        </w:rPr>
        <w:t>4</w:t>
      </w:r>
      <w:r w:rsidRPr="00211DB2">
        <w:rPr>
          <w:rFonts w:ascii="Arial" w:hAnsi="Arial" w:cs="Arial"/>
          <w:b/>
          <w:sz w:val="20"/>
          <w:szCs w:val="20"/>
        </w:rPr>
        <w:t xml:space="preserve"> - Statistical Analysis</w:t>
      </w:r>
    </w:p>
    <w:p w14:paraId="3D02D877" w14:textId="77777777" w:rsidR="00211DB2" w:rsidRPr="00211DB2" w:rsidRDefault="00211DB2" w:rsidP="00211DB2">
      <w:pPr>
        <w:ind w:firstLine="720"/>
        <w:jc w:val="both"/>
        <w:rPr>
          <w:rFonts w:ascii="Arial" w:hAnsi="Arial" w:cs="Arial"/>
          <w:sz w:val="20"/>
          <w:szCs w:val="20"/>
        </w:rPr>
      </w:pPr>
      <w:r w:rsidRPr="00211DB2">
        <w:rPr>
          <w:rFonts w:ascii="Arial" w:hAnsi="Arial" w:cs="Arial"/>
          <w:sz w:val="20"/>
          <w:szCs w:val="20"/>
        </w:rPr>
        <w:t>Statistical analyses were performed using Jamovi software (Jamovi Project; Sydney, Australia). Data normality was assessed by the Shapiro–Wilk test and variance homogeneity by Levene’s test, with parametric assumptions considered met when p &gt; 0.05. A three-way analysis of variance (ANOVA) was conducted to evaluate the effects of resin type, polymerization protocol, and expiration status, followed by Tukey’s post-hoc test for pairwise comparisons. Statistical significance was set at p &lt; 0.05.</w:t>
      </w:r>
    </w:p>
    <w:p w14:paraId="4DDE3243" w14:textId="77777777" w:rsidR="00105EC1" w:rsidRPr="00FB3A86" w:rsidRDefault="00105EC1" w:rsidP="00441B6F">
      <w:pPr>
        <w:pStyle w:val="Body"/>
        <w:spacing w:after="0"/>
        <w:rPr>
          <w:rFonts w:ascii="Arial" w:hAnsi="Arial" w:cs="Arial"/>
        </w:rPr>
      </w:pPr>
    </w:p>
    <w:p w14:paraId="01E90710" w14:textId="77777777" w:rsidR="000C4B1F" w:rsidRPr="000C4B1F" w:rsidRDefault="000C4B1F" w:rsidP="000C4B1F">
      <w:pPr>
        <w:pStyle w:val="Body"/>
        <w:rPr>
          <w:rFonts w:ascii="Arial" w:hAnsi="Arial" w:cs="Arial"/>
          <w:b/>
          <w:bCs/>
        </w:rPr>
      </w:pPr>
      <w:r w:rsidRPr="000C4B1F">
        <w:rPr>
          <w:rFonts w:ascii="Arial" w:hAnsi="Arial" w:cs="Arial"/>
          <w:b/>
          <w:bCs/>
        </w:rPr>
        <w:t>3 - RESULTS</w:t>
      </w:r>
    </w:p>
    <w:p w14:paraId="63C0935A" w14:textId="31A59160" w:rsidR="000C4B1F" w:rsidRPr="000C4B1F" w:rsidRDefault="000C4B1F" w:rsidP="000C4B1F">
      <w:pPr>
        <w:pStyle w:val="Body"/>
        <w:rPr>
          <w:rFonts w:ascii="Arial" w:hAnsi="Arial" w:cs="Arial"/>
          <w:b/>
          <w:bCs/>
          <w:sz w:val="20"/>
          <w:szCs w:val="20"/>
        </w:rPr>
      </w:pPr>
      <w:r w:rsidRPr="000C4B1F">
        <w:rPr>
          <w:rFonts w:ascii="Arial" w:hAnsi="Arial" w:cs="Arial"/>
          <w:b/>
          <w:bCs/>
          <w:sz w:val="20"/>
          <w:szCs w:val="20"/>
        </w:rPr>
        <w:t>3.1 - Flexural Strength and Elastic Modulus</w:t>
      </w:r>
    </w:p>
    <w:p w14:paraId="6DE1D9C8" w14:textId="77777777" w:rsidR="000C4B1F" w:rsidRPr="000C4B1F" w:rsidRDefault="000C4B1F" w:rsidP="000C4B1F">
      <w:pPr>
        <w:pStyle w:val="Body"/>
        <w:ind w:firstLine="720"/>
        <w:rPr>
          <w:rFonts w:ascii="Arial" w:hAnsi="Arial" w:cs="Arial"/>
          <w:sz w:val="20"/>
          <w:szCs w:val="20"/>
        </w:rPr>
      </w:pPr>
      <w:r w:rsidRPr="000C4B1F">
        <w:rPr>
          <w:rFonts w:ascii="Arial" w:hAnsi="Arial" w:cs="Arial"/>
          <w:sz w:val="20"/>
          <w:szCs w:val="20"/>
        </w:rPr>
        <w:t>No significant differences were observed among the groups for flexural strength (p = 0.423) or elastic modulus (p = 0.365) when three-way ANOVA evaluated all interactions (Table II).</w:t>
      </w:r>
    </w:p>
    <w:p w14:paraId="0A3192F1" w14:textId="0C6CC8B1" w:rsidR="00790ADA" w:rsidRDefault="000C4B1F" w:rsidP="000C4B1F">
      <w:pPr>
        <w:pStyle w:val="Body"/>
        <w:spacing w:after="0"/>
        <w:rPr>
          <w:rFonts w:ascii="Arial" w:hAnsi="Arial" w:cs="Arial"/>
          <w:sz w:val="20"/>
          <w:szCs w:val="20"/>
        </w:rPr>
      </w:pPr>
      <w:r w:rsidRPr="004C760D">
        <w:rPr>
          <w:rFonts w:ascii="Arial" w:hAnsi="Arial" w:cs="Arial"/>
          <w:b/>
          <w:bCs/>
          <w:sz w:val="20"/>
          <w:szCs w:val="20"/>
        </w:rPr>
        <w:t>Table II</w:t>
      </w:r>
      <w:r w:rsidRPr="000C4B1F">
        <w:rPr>
          <w:rFonts w:ascii="Arial" w:hAnsi="Arial" w:cs="Arial"/>
          <w:sz w:val="20"/>
          <w:szCs w:val="20"/>
        </w:rPr>
        <w:t xml:space="preserve"> - Mean (± standard deviation) values for flexural strength and elastic modulus according to experimental groups (MPa).</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
        <w:gridCol w:w="1320"/>
        <w:gridCol w:w="1875"/>
        <w:gridCol w:w="1320"/>
        <w:gridCol w:w="2070"/>
        <w:gridCol w:w="2045"/>
      </w:tblGrid>
      <w:tr w:rsidR="000C4B1F" w:rsidRPr="00351B73" w14:paraId="4D120C47" w14:textId="77777777" w:rsidTr="000C4B1F">
        <w:trPr>
          <w:trHeight w:val="472"/>
        </w:trPr>
        <w:tc>
          <w:tcPr>
            <w:tcW w:w="1621" w:type="dxa"/>
            <w:gridSpan w:val="2"/>
            <w:tcBorders>
              <w:left w:val="nil"/>
            </w:tcBorders>
          </w:tcPr>
          <w:p w14:paraId="42AB71BA"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Composite Resin</w:t>
            </w:r>
          </w:p>
        </w:tc>
        <w:tc>
          <w:tcPr>
            <w:tcW w:w="1875" w:type="dxa"/>
          </w:tcPr>
          <w:p w14:paraId="4636D638"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Polymerization</w:t>
            </w:r>
          </w:p>
        </w:tc>
        <w:tc>
          <w:tcPr>
            <w:tcW w:w="1320" w:type="dxa"/>
          </w:tcPr>
          <w:p w14:paraId="40C50087" w14:textId="77777777" w:rsidR="000C4B1F" w:rsidRPr="00351B73" w:rsidRDefault="000C4B1F" w:rsidP="00B92F7E">
            <w:pPr>
              <w:widowControl w:val="0"/>
              <w:ind w:left="2"/>
              <w:rPr>
                <w:rFonts w:ascii="Arial" w:hAnsi="Arial" w:cs="Arial"/>
                <w:b/>
                <w:sz w:val="20"/>
                <w:szCs w:val="20"/>
              </w:rPr>
            </w:pPr>
            <w:r w:rsidRPr="00351B73">
              <w:rPr>
                <w:rFonts w:ascii="Arial" w:hAnsi="Arial" w:cs="Arial"/>
                <w:b/>
                <w:sz w:val="20"/>
                <w:szCs w:val="20"/>
              </w:rPr>
              <w:t>Condition</w:t>
            </w:r>
          </w:p>
        </w:tc>
        <w:tc>
          <w:tcPr>
            <w:tcW w:w="2070" w:type="dxa"/>
          </w:tcPr>
          <w:p w14:paraId="60B2213E" w14:textId="77777777" w:rsidR="000C4B1F" w:rsidRPr="00351B73" w:rsidRDefault="000C4B1F" w:rsidP="00B92F7E">
            <w:pPr>
              <w:widowControl w:val="0"/>
              <w:ind w:left="2" w:right="2"/>
              <w:rPr>
                <w:rFonts w:ascii="Arial" w:hAnsi="Arial" w:cs="Arial"/>
                <w:b/>
                <w:sz w:val="20"/>
                <w:szCs w:val="20"/>
              </w:rPr>
            </w:pPr>
            <w:r w:rsidRPr="00351B73">
              <w:rPr>
                <w:rFonts w:ascii="Arial" w:hAnsi="Arial" w:cs="Arial"/>
                <w:b/>
                <w:sz w:val="20"/>
                <w:szCs w:val="20"/>
              </w:rPr>
              <w:t>Flexural Strength (Mpa)</w:t>
            </w:r>
          </w:p>
        </w:tc>
        <w:tc>
          <w:tcPr>
            <w:tcW w:w="2045" w:type="dxa"/>
            <w:tcBorders>
              <w:right w:val="nil"/>
            </w:tcBorders>
          </w:tcPr>
          <w:p w14:paraId="2CB23E70" w14:textId="77777777" w:rsidR="000C4B1F" w:rsidRPr="00351B73" w:rsidRDefault="000C4B1F" w:rsidP="00B92F7E">
            <w:pPr>
              <w:widowControl w:val="0"/>
              <w:ind w:right="1"/>
              <w:rPr>
                <w:rFonts w:ascii="Arial" w:hAnsi="Arial" w:cs="Arial"/>
                <w:b/>
                <w:sz w:val="20"/>
                <w:szCs w:val="20"/>
              </w:rPr>
            </w:pPr>
            <w:r w:rsidRPr="00351B73">
              <w:rPr>
                <w:rFonts w:ascii="Arial" w:hAnsi="Arial" w:cs="Arial"/>
                <w:b/>
                <w:sz w:val="20"/>
                <w:szCs w:val="20"/>
              </w:rPr>
              <w:t>Elastic Modulus (Mpa)</w:t>
            </w:r>
          </w:p>
        </w:tc>
      </w:tr>
      <w:tr w:rsidR="000C4B1F" w:rsidRPr="00351B73" w14:paraId="0C17FBE5" w14:textId="77777777" w:rsidTr="000C4B1F">
        <w:trPr>
          <w:gridBefore w:val="1"/>
          <w:wBefore w:w="301" w:type="dxa"/>
          <w:trHeight w:val="472"/>
        </w:trPr>
        <w:tc>
          <w:tcPr>
            <w:tcW w:w="1320" w:type="dxa"/>
            <w:vMerge w:val="restart"/>
            <w:tcBorders>
              <w:left w:val="nil"/>
            </w:tcBorders>
          </w:tcPr>
          <w:p w14:paraId="486DE578" w14:textId="77777777" w:rsidR="000C4B1F" w:rsidRPr="00351B73" w:rsidRDefault="000C4B1F" w:rsidP="00B92F7E">
            <w:pPr>
              <w:widowControl w:val="0"/>
              <w:rPr>
                <w:rFonts w:ascii="Arial" w:hAnsi="Arial" w:cs="Arial"/>
                <w:sz w:val="20"/>
                <w:szCs w:val="20"/>
              </w:rPr>
            </w:pPr>
          </w:p>
          <w:p w14:paraId="3B091917" w14:textId="77777777" w:rsidR="000C4B1F" w:rsidRPr="00351B73" w:rsidRDefault="000C4B1F" w:rsidP="00B92F7E">
            <w:pPr>
              <w:widowControl w:val="0"/>
              <w:rPr>
                <w:rFonts w:ascii="Arial" w:hAnsi="Arial" w:cs="Arial"/>
                <w:sz w:val="20"/>
                <w:szCs w:val="20"/>
              </w:rPr>
            </w:pPr>
          </w:p>
          <w:p w14:paraId="671461CB"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Filtek</w:t>
            </w:r>
          </w:p>
          <w:p w14:paraId="13F88BCE"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Z350xt</w:t>
            </w:r>
          </w:p>
        </w:tc>
        <w:tc>
          <w:tcPr>
            <w:tcW w:w="1875" w:type="dxa"/>
            <w:vMerge w:val="restart"/>
          </w:tcPr>
          <w:p w14:paraId="41181642" w14:textId="77777777" w:rsidR="000C4B1F" w:rsidRPr="00351B73" w:rsidRDefault="000C4B1F" w:rsidP="00B92F7E">
            <w:pPr>
              <w:widowControl w:val="0"/>
              <w:rPr>
                <w:rFonts w:ascii="Arial" w:hAnsi="Arial" w:cs="Arial"/>
                <w:sz w:val="20"/>
                <w:szCs w:val="20"/>
              </w:rPr>
            </w:pPr>
          </w:p>
          <w:p w14:paraId="541AB333"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only</w:t>
            </w:r>
          </w:p>
        </w:tc>
        <w:tc>
          <w:tcPr>
            <w:tcW w:w="1320" w:type="dxa"/>
          </w:tcPr>
          <w:p w14:paraId="1F598179" w14:textId="77777777" w:rsidR="000C4B1F" w:rsidRPr="00351B73" w:rsidRDefault="000C4B1F" w:rsidP="00B92F7E">
            <w:pPr>
              <w:widowControl w:val="0"/>
              <w:ind w:left="2"/>
              <w:rPr>
                <w:rFonts w:ascii="Arial" w:hAnsi="Arial" w:cs="Arial"/>
                <w:sz w:val="20"/>
                <w:szCs w:val="20"/>
              </w:rPr>
            </w:pPr>
            <w:r w:rsidRPr="00351B73">
              <w:rPr>
                <w:rFonts w:ascii="Arial" w:hAnsi="Arial" w:cs="Arial"/>
                <w:sz w:val="20"/>
                <w:szCs w:val="20"/>
              </w:rPr>
              <w:t>Expired</w:t>
            </w:r>
          </w:p>
        </w:tc>
        <w:tc>
          <w:tcPr>
            <w:tcW w:w="2070" w:type="dxa"/>
          </w:tcPr>
          <w:p w14:paraId="47C8BF8C"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233 (±50.1)</w:t>
            </w:r>
          </w:p>
        </w:tc>
        <w:tc>
          <w:tcPr>
            <w:tcW w:w="2045" w:type="dxa"/>
            <w:tcBorders>
              <w:right w:val="nil"/>
            </w:tcBorders>
          </w:tcPr>
          <w:p w14:paraId="7B69275C"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11798 (±1013)</w:t>
            </w:r>
          </w:p>
        </w:tc>
      </w:tr>
      <w:tr w:rsidR="000C4B1F" w:rsidRPr="00351B73" w14:paraId="792F24BE" w14:textId="77777777" w:rsidTr="000C4B1F">
        <w:trPr>
          <w:gridBefore w:val="1"/>
          <w:wBefore w:w="301" w:type="dxa"/>
          <w:trHeight w:val="551"/>
        </w:trPr>
        <w:tc>
          <w:tcPr>
            <w:tcW w:w="1320" w:type="dxa"/>
            <w:vMerge/>
            <w:tcBorders>
              <w:left w:val="nil"/>
            </w:tcBorders>
          </w:tcPr>
          <w:p w14:paraId="0F274341" w14:textId="77777777" w:rsidR="000C4B1F" w:rsidRPr="00351B73" w:rsidRDefault="000C4B1F" w:rsidP="00B92F7E">
            <w:pPr>
              <w:widowControl w:val="0"/>
              <w:jc w:val="both"/>
              <w:rPr>
                <w:rFonts w:ascii="Arial" w:hAnsi="Arial" w:cs="Arial"/>
                <w:sz w:val="20"/>
                <w:szCs w:val="20"/>
              </w:rPr>
            </w:pPr>
          </w:p>
        </w:tc>
        <w:tc>
          <w:tcPr>
            <w:tcW w:w="1875" w:type="dxa"/>
            <w:vMerge/>
          </w:tcPr>
          <w:p w14:paraId="704BDDE4" w14:textId="77777777" w:rsidR="000C4B1F" w:rsidRPr="00351B73" w:rsidRDefault="000C4B1F" w:rsidP="00B92F7E">
            <w:pPr>
              <w:widowControl w:val="0"/>
              <w:jc w:val="both"/>
              <w:rPr>
                <w:rFonts w:ascii="Arial" w:hAnsi="Arial" w:cs="Arial"/>
                <w:sz w:val="20"/>
                <w:szCs w:val="20"/>
              </w:rPr>
            </w:pPr>
          </w:p>
        </w:tc>
        <w:tc>
          <w:tcPr>
            <w:tcW w:w="1320" w:type="dxa"/>
          </w:tcPr>
          <w:p w14:paraId="298C6665" w14:textId="77777777" w:rsidR="000C4B1F" w:rsidRPr="00351B73" w:rsidRDefault="000C4B1F" w:rsidP="00B92F7E">
            <w:pPr>
              <w:widowControl w:val="0"/>
              <w:ind w:right="124"/>
              <w:rPr>
                <w:rFonts w:ascii="Arial" w:hAnsi="Arial" w:cs="Arial"/>
                <w:sz w:val="20"/>
                <w:szCs w:val="20"/>
              </w:rPr>
            </w:pPr>
            <w:r w:rsidRPr="00351B73">
              <w:rPr>
                <w:rFonts w:ascii="Arial" w:hAnsi="Arial" w:cs="Arial"/>
                <w:sz w:val="20"/>
                <w:szCs w:val="20"/>
              </w:rPr>
              <w:t>Unexpired</w:t>
            </w:r>
          </w:p>
        </w:tc>
        <w:tc>
          <w:tcPr>
            <w:tcW w:w="2070" w:type="dxa"/>
          </w:tcPr>
          <w:p w14:paraId="0A410032"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260 (±40.2)</w:t>
            </w:r>
          </w:p>
        </w:tc>
        <w:tc>
          <w:tcPr>
            <w:tcW w:w="2045" w:type="dxa"/>
            <w:tcBorders>
              <w:right w:val="nil"/>
            </w:tcBorders>
          </w:tcPr>
          <w:p w14:paraId="7AB126EC"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11337 (±1187)</w:t>
            </w:r>
          </w:p>
        </w:tc>
      </w:tr>
      <w:tr w:rsidR="000C4B1F" w:rsidRPr="00351B73" w14:paraId="10105E22" w14:textId="77777777" w:rsidTr="000C4B1F">
        <w:trPr>
          <w:gridBefore w:val="1"/>
          <w:wBefore w:w="301" w:type="dxa"/>
          <w:trHeight w:val="486"/>
        </w:trPr>
        <w:tc>
          <w:tcPr>
            <w:tcW w:w="1320" w:type="dxa"/>
            <w:vMerge/>
            <w:tcBorders>
              <w:left w:val="nil"/>
            </w:tcBorders>
          </w:tcPr>
          <w:p w14:paraId="20A1745A" w14:textId="77777777" w:rsidR="000C4B1F" w:rsidRPr="00351B73" w:rsidRDefault="000C4B1F" w:rsidP="00B92F7E">
            <w:pPr>
              <w:widowControl w:val="0"/>
              <w:jc w:val="both"/>
              <w:rPr>
                <w:rFonts w:ascii="Arial" w:hAnsi="Arial" w:cs="Arial"/>
                <w:sz w:val="20"/>
                <w:szCs w:val="20"/>
              </w:rPr>
            </w:pPr>
          </w:p>
        </w:tc>
        <w:tc>
          <w:tcPr>
            <w:tcW w:w="1875" w:type="dxa"/>
            <w:vMerge w:val="restart"/>
          </w:tcPr>
          <w:p w14:paraId="6CF966C0"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1320" w:type="dxa"/>
          </w:tcPr>
          <w:p w14:paraId="36E7CD96" w14:textId="77777777" w:rsidR="000C4B1F" w:rsidRPr="00351B73" w:rsidRDefault="000C4B1F" w:rsidP="00B92F7E">
            <w:pPr>
              <w:widowControl w:val="0"/>
              <w:ind w:left="2"/>
              <w:rPr>
                <w:rFonts w:ascii="Arial" w:hAnsi="Arial" w:cs="Arial"/>
                <w:sz w:val="20"/>
                <w:szCs w:val="20"/>
              </w:rPr>
            </w:pPr>
            <w:r w:rsidRPr="00351B73">
              <w:rPr>
                <w:rFonts w:ascii="Arial" w:hAnsi="Arial" w:cs="Arial"/>
                <w:sz w:val="20"/>
                <w:szCs w:val="20"/>
              </w:rPr>
              <w:t>Expired</w:t>
            </w:r>
          </w:p>
        </w:tc>
        <w:tc>
          <w:tcPr>
            <w:tcW w:w="2070" w:type="dxa"/>
          </w:tcPr>
          <w:p w14:paraId="75C6B44D" w14:textId="77777777" w:rsidR="000C4B1F" w:rsidRPr="00351B73" w:rsidRDefault="000C4B1F" w:rsidP="00B92F7E">
            <w:pPr>
              <w:widowControl w:val="0"/>
              <w:ind w:left="2" w:right="1"/>
              <w:rPr>
                <w:rFonts w:ascii="Arial" w:hAnsi="Arial" w:cs="Arial"/>
                <w:sz w:val="20"/>
                <w:szCs w:val="20"/>
              </w:rPr>
            </w:pPr>
            <w:r w:rsidRPr="00351B73">
              <w:rPr>
                <w:rFonts w:ascii="Arial" w:hAnsi="Arial" w:cs="Arial"/>
                <w:sz w:val="20"/>
                <w:szCs w:val="20"/>
              </w:rPr>
              <w:t>240 (±57)</w:t>
            </w:r>
          </w:p>
        </w:tc>
        <w:tc>
          <w:tcPr>
            <w:tcW w:w="2045" w:type="dxa"/>
            <w:tcBorders>
              <w:right w:val="nil"/>
            </w:tcBorders>
          </w:tcPr>
          <w:p w14:paraId="62FFF2BE"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10181 (±1670)</w:t>
            </w:r>
          </w:p>
        </w:tc>
      </w:tr>
      <w:tr w:rsidR="000C4B1F" w:rsidRPr="00351B73" w14:paraId="21AACE69" w14:textId="77777777" w:rsidTr="000C4B1F">
        <w:trPr>
          <w:gridBefore w:val="1"/>
          <w:wBefore w:w="301" w:type="dxa"/>
          <w:trHeight w:val="552"/>
        </w:trPr>
        <w:tc>
          <w:tcPr>
            <w:tcW w:w="1320" w:type="dxa"/>
            <w:vMerge/>
            <w:tcBorders>
              <w:left w:val="nil"/>
            </w:tcBorders>
          </w:tcPr>
          <w:p w14:paraId="5EF80289" w14:textId="77777777" w:rsidR="000C4B1F" w:rsidRPr="00351B73" w:rsidRDefault="000C4B1F" w:rsidP="00B92F7E">
            <w:pPr>
              <w:widowControl w:val="0"/>
              <w:jc w:val="both"/>
              <w:rPr>
                <w:rFonts w:ascii="Arial" w:hAnsi="Arial" w:cs="Arial"/>
                <w:sz w:val="20"/>
                <w:szCs w:val="20"/>
              </w:rPr>
            </w:pPr>
          </w:p>
        </w:tc>
        <w:tc>
          <w:tcPr>
            <w:tcW w:w="1875" w:type="dxa"/>
            <w:vMerge/>
          </w:tcPr>
          <w:p w14:paraId="6B8626D8" w14:textId="77777777" w:rsidR="000C4B1F" w:rsidRPr="00351B73" w:rsidRDefault="000C4B1F" w:rsidP="00B92F7E">
            <w:pPr>
              <w:widowControl w:val="0"/>
              <w:jc w:val="both"/>
              <w:rPr>
                <w:rFonts w:ascii="Arial" w:hAnsi="Arial" w:cs="Arial"/>
                <w:sz w:val="20"/>
                <w:szCs w:val="20"/>
              </w:rPr>
            </w:pPr>
          </w:p>
        </w:tc>
        <w:tc>
          <w:tcPr>
            <w:tcW w:w="1320" w:type="dxa"/>
          </w:tcPr>
          <w:p w14:paraId="148D2DF3" w14:textId="77777777" w:rsidR="000C4B1F" w:rsidRPr="00351B73" w:rsidRDefault="000C4B1F" w:rsidP="00B92F7E">
            <w:pPr>
              <w:widowControl w:val="0"/>
              <w:ind w:right="124"/>
              <w:rPr>
                <w:rFonts w:ascii="Arial" w:hAnsi="Arial" w:cs="Arial"/>
                <w:sz w:val="20"/>
                <w:szCs w:val="20"/>
              </w:rPr>
            </w:pPr>
            <w:r w:rsidRPr="00351B73">
              <w:rPr>
                <w:rFonts w:ascii="Arial" w:hAnsi="Arial" w:cs="Arial"/>
                <w:sz w:val="20"/>
                <w:szCs w:val="20"/>
              </w:rPr>
              <w:t>Unexpired</w:t>
            </w:r>
          </w:p>
        </w:tc>
        <w:tc>
          <w:tcPr>
            <w:tcW w:w="2070" w:type="dxa"/>
          </w:tcPr>
          <w:p w14:paraId="072871F6"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291 (±50.1)</w:t>
            </w:r>
          </w:p>
        </w:tc>
        <w:tc>
          <w:tcPr>
            <w:tcW w:w="2045" w:type="dxa"/>
            <w:tcBorders>
              <w:right w:val="nil"/>
            </w:tcBorders>
          </w:tcPr>
          <w:p w14:paraId="35A8A410"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11746 (±1673)</w:t>
            </w:r>
          </w:p>
        </w:tc>
      </w:tr>
      <w:tr w:rsidR="000C4B1F" w:rsidRPr="00351B73" w14:paraId="30CC55D5" w14:textId="77777777" w:rsidTr="000C4B1F">
        <w:trPr>
          <w:gridBefore w:val="1"/>
          <w:wBefore w:w="301" w:type="dxa"/>
          <w:trHeight w:val="472"/>
        </w:trPr>
        <w:tc>
          <w:tcPr>
            <w:tcW w:w="1320" w:type="dxa"/>
            <w:vMerge w:val="restart"/>
            <w:tcBorders>
              <w:left w:val="nil"/>
            </w:tcBorders>
          </w:tcPr>
          <w:p w14:paraId="30BD4865" w14:textId="77777777" w:rsidR="000C4B1F" w:rsidRPr="00351B73" w:rsidRDefault="000C4B1F" w:rsidP="00B92F7E">
            <w:pPr>
              <w:widowControl w:val="0"/>
              <w:rPr>
                <w:rFonts w:ascii="Arial" w:hAnsi="Arial" w:cs="Arial"/>
                <w:sz w:val="20"/>
                <w:szCs w:val="20"/>
              </w:rPr>
            </w:pPr>
          </w:p>
          <w:p w14:paraId="688F11A5" w14:textId="77777777" w:rsidR="000C4B1F" w:rsidRPr="00351B73" w:rsidRDefault="000C4B1F" w:rsidP="00B92F7E">
            <w:pPr>
              <w:widowControl w:val="0"/>
              <w:rPr>
                <w:rFonts w:ascii="Arial" w:hAnsi="Arial" w:cs="Arial"/>
                <w:sz w:val="20"/>
                <w:szCs w:val="20"/>
              </w:rPr>
            </w:pPr>
          </w:p>
          <w:p w14:paraId="53A4E7AB"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Opallis</w:t>
            </w:r>
          </w:p>
        </w:tc>
        <w:tc>
          <w:tcPr>
            <w:tcW w:w="1875" w:type="dxa"/>
            <w:vMerge w:val="restart"/>
          </w:tcPr>
          <w:p w14:paraId="78586734" w14:textId="77777777" w:rsidR="000C4B1F" w:rsidRPr="00351B73" w:rsidRDefault="000C4B1F" w:rsidP="00B92F7E">
            <w:pPr>
              <w:widowControl w:val="0"/>
              <w:rPr>
                <w:rFonts w:ascii="Arial" w:hAnsi="Arial" w:cs="Arial"/>
                <w:sz w:val="20"/>
                <w:szCs w:val="20"/>
              </w:rPr>
            </w:pPr>
          </w:p>
          <w:p w14:paraId="727C3F28"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only</w:t>
            </w:r>
          </w:p>
        </w:tc>
        <w:tc>
          <w:tcPr>
            <w:tcW w:w="1320" w:type="dxa"/>
          </w:tcPr>
          <w:p w14:paraId="238FD8BF" w14:textId="77777777" w:rsidR="000C4B1F" w:rsidRPr="00351B73" w:rsidRDefault="000C4B1F" w:rsidP="00B92F7E">
            <w:pPr>
              <w:widowControl w:val="0"/>
              <w:ind w:left="2"/>
              <w:rPr>
                <w:rFonts w:ascii="Arial" w:hAnsi="Arial" w:cs="Arial"/>
                <w:sz w:val="20"/>
                <w:szCs w:val="20"/>
              </w:rPr>
            </w:pPr>
            <w:r w:rsidRPr="00351B73">
              <w:rPr>
                <w:rFonts w:ascii="Arial" w:hAnsi="Arial" w:cs="Arial"/>
                <w:sz w:val="20"/>
                <w:szCs w:val="20"/>
              </w:rPr>
              <w:t>Expired</w:t>
            </w:r>
          </w:p>
        </w:tc>
        <w:tc>
          <w:tcPr>
            <w:tcW w:w="2070" w:type="dxa"/>
          </w:tcPr>
          <w:p w14:paraId="607ACA90" w14:textId="77777777" w:rsidR="000C4B1F" w:rsidRPr="00351B73" w:rsidRDefault="000C4B1F" w:rsidP="00B92F7E">
            <w:pPr>
              <w:widowControl w:val="0"/>
              <w:ind w:left="2" w:right="1"/>
              <w:rPr>
                <w:rFonts w:ascii="Arial" w:hAnsi="Arial" w:cs="Arial"/>
                <w:sz w:val="20"/>
                <w:szCs w:val="20"/>
              </w:rPr>
            </w:pPr>
            <w:r w:rsidRPr="00351B73">
              <w:rPr>
                <w:rFonts w:ascii="Arial" w:hAnsi="Arial" w:cs="Arial"/>
                <w:sz w:val="20"/>
                <w:szCs w:val="20"/>
              </w:rPr>
              <w:t>255 (±26)</w:t>
            </w:r>
          </w:p>
        </w:tc>
        <w:tc>
          <w:tcPr>
            <w:tcW w:w="2045" w:type="dxa"/>
            <w:tcBorders>
              <w:right w:val="nil"/>
            </w:tcBorders>
          </w:tcPr>
          <w:p w14:paraId="61B9D279"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10274 (±1070)</w:t>
            </w:r>
          </w:p>
        </w:tc>
      </w:tr>
      <w:tr w:rsidR="000C4B1F" w:rsidRPr="00351B73" w14:paraId="1ED03A39" w14:textId="77777777" w:rsidTr="000C4B1F">
        <w:trPr>
          <w:gridBefore w:val="1"/>
          <w:wBefore w:w="301" w:type="dxa"/>
          <w:trHeight w:val="551"/>
        </w:trPr>
        <w:tc>
          <w:tcPr>
            <w:tcW w:w="1320" w:type="dxa"/>
            <w:vMerge/>
            <w:tcBorders>
              <w:left w:val="nil"/>
            </w:tcBorders>
          </w:tcPr>
          <w:p w14:paraId="2A05991B" w14:textId="77777777" w:rsidR="000C4B1F" w:rsidRPr="00351B73" w:rsidRDefault="000C4B1F" w:rsidP="00B92F7E">
            <w:pPr>
              <w:widowControl w:val="0"/>
              <w:jc w:val="both"/>
              <w:rPr>
                <w:rFonts w:ascii="Arial" w:hAnsi="Arial" w:cs="Arial"/>
                <w:sz w:val="20"/>
                <w:szCs w:val="20"/>
              </w:rPr>
            </w:pPr>
          </w:p>
        </w:tc>
        <w:tc>
          <w:tcPr>
            <w:tcW w:w="1875" w:type="dxa"/>
            <w:vMerge/>
          </w:tcPr>
          <w:p w14:paraId="33CF7AA6" w14:textId="77777777" w:rsidR="000C4B1F" w:rsidRPr="00351B73" w:rsidRDefault="000C4B1F" w:rsidP="00B92F7E">
            <w:pPr>
              <w:widowControl w:val="0"/>
              <w:jc w:val="both"/>
              <w:rPr>
                <w:rFonts w:ascii="Arial" w:hAnsi="Arial" w:cs="Arial"/>
                <w:sz w:val="20"/>
                <w:szCs w:val="20"/>
              </w:rPr>
            </w:pPr>
          </w:p>
        </w:tc>
        <w:tc>
          <w:tcPr>
            <w:tcW w:w="1320" w:type="dxa"/>
          </w:tcPr>
          <w:p w14:paraId="39A103FA" w14:textId="77777777" w:rsidR="000C4B1F" w:rsidRPr="00351B73" w:rsidRDefault="000C4B1F" w:rsidP="00B92F7E">
            <w:pPr>
              <w:widowControl w:val="0"/>
              <w:ind w:right="124"/>
              <w:rPr>
                <w:rFonts w:ascii="Arial" w:hAnsi="Arial" w:cs="Arial"/>
                <w:sz w:val="20"/>
                <w:szCs w:val="20"/>
              </w:rPr>
            </w:pPr>
            <w:r w:rsidRPr="00351B73">
              <w:rPr>
                <w:rFonts w:ascii="Arial" w:hAnsi="Arial" w:cs="Arial"/>
                <w:sz w:val="20"/>
                <w:szCs w:val="20"/>
              </w:rPr>
              <w:t>Unexpired</w:t>
            </w:r>
          </w:p>
        </w:tc>
        <w:tc>
          <w:tcPr>
            <w:tcW w:w="2070" w:type="dxa"/>
          </w:tcPr>
          <w:p w14:paraId="71226735"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273 (±55.9)</w:t>
            </w:r>
          </w:p>
        </w:tc>
        <w:tc>
          <w:tcPr>
            <w:tcW w:w="2045" w:type="dxa"/>
            <w:tcBorders>
              <w:right w:val="nil"/>
            </w:tcBorders>
          </w:tcPr>
          <w:p w14:paraId="4FDE50D7"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10899 (±600)</w:t>
            </w:r>
          </w:p>
        </w:tc>
      </w:tr>
      <w:tr w:rsidR="000C4B1F" w:rsidRPr="00351B73" w14:paraId="0AB82AED" w14:textId="77777777" w:rsidTr="000C4B1F">
        <w:trPr>
          <w:gridBefore w:val="1"/>
          <w:wBefore w:w="301" w:type="dxa"/>
          <w:trHeight w:val="486"/>
        </w:trPr>
        <w:tc>
          <w:tcPr>
            <w:tcW w:w="1320" w:type="dxa"/>
            <w:vMerge/>
            <w:tcBorders>
              <w:left w:val="nil"/>
            </w:tcBorders>
          </w:tcPr>
          <w:p w14:paraId="355668AF" w14:textId="77777777" w:rsidR="000C4B1F" w:rsidRPr="00351B73" w:rsidRDefault="000C4B1F" w:rsidP="00B92F7E">
            <w:pPr>
              <w:widowControl w:val="0"/>
              <w:jc w:val="both"/>
              <w:rPr>
                <w:rFonts w:ascii="Arial" w:hAnsi="Arial" w:cs="Arial"/>
                <w:sz w:val="20"/>
                <w:szCs w:val="20"/>
              </w:rPr>
            </w:pPr>
          </w:p>
        </w:tc>
        <w:tc>
          <w:tcPr>
            <w:tcW w:w="1875" w:type="dxa"/>
            <w:vMerge w:val="restart"/>
          </w:tcPr>
          <w:p w14:paraId="4EFAE275"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1320" w:type="dxa"/>
          </w:tcPr>
          <w:p w14:paraId="09CE7707" w14:textId="77777777" w:rsidR="000C4B1F" w:rsidRPr="00351B73" w:rsidRDefault="000C4B1F" w:rsidP="00B92F7E">
            <w:pPr>
              <w:widowControl w:val="0"/>
              <w:ind w:left="2"/>
              <w:rPr>
                <w:rFonts w:ascii="Arial" w:hAnsi="Arial" w:cs="Arial"/>
                <w:sz w:val="20"/>
                <w:szCs w:val="20"/>
              </w:rPr>
            </w:pPr>
            <w:r w:rsidRPr="00351B73">
              <w:rPr>
                <w:rFonts w:ascii="Arial" w:hAnsi="Arial" w:cs="Arial"/>
                <w:sz w:val="20"/>
                <w:szCs w:val="20"/>
              </w:rPr>
              <w:t>Expired</w:t>
            </w:r>
          </w:p>
        </w:tc>
        <w:tc>
          <w:tcPr>
            <w:tcW w:w="2070" w:type="dxa"/>
          </w:tcPr>
          <w:p w14:paraId="50B8F6D2"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270 (±64.3)</w:t>
            </w:r>
          </w:p>
        </w:tc>
        <w:tc>
          <w:tcPr>
            <w:tcW w:w="2045" w:type="dxa"/>
            <w:tcBorders>
              <w:right w:val="nil"/>
            </w:tcBorders>
          </w:tcPr>
          <w:p w14:paraId="62E1C7BB"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8959 (±1611)</w:t>
            </w:r>
          </w:p>
        </w:tc>
      </w:tr>
      <w:tr w:rsidR="000C4B1F" w:rsidRPr="00351B73" w14:paraId="519A75C3" w14:textId="77777777" w:rsidTr="000C4B1F">
        <w:trPr>
          <w:gridBefore w:val="1"/>
          <w:wBefore w:w="301" w:type="dxa"/>
          <w:trHeight w:val="551"/>
        </w:trPr>
        <w:tc>
          <w:tcPr>
            <w:tcW w:w="1320" w:type="dxa"/>
            <w:vMerge/>
            <w:tcBorders>
              <w:left w:val="nil"/>
            </w:tcBorders>
          </w:tcPr>
          <w:p w14:paraId="56537F58" w14:textId="77777777" w:rsidR="000C4B1F" w:rsidRPr="00351B73" w:rsidRDefault="000C4B1F" w:rsidP="00B92F7E">
            <w:pPr>
              <w:widowControl w:val="0"/>
              <w:jc w:val="both"/>
              <w:rPr>
                <w:rFonts w:ascii="Arial" w:hAnsi="Arial" w:cs="Arial"/>
                <w:sz w:val="20"/>
                <w:szCs w:val="20"/>
              </w:rPr>
            </w:pPr>
          </w:p>
        </w:tc>
        <w:tc>
          <w:tcPr>
            <w:tcW w:w="1875" w:type="dxa"/>
            <w:vMerge/>
          </w:tcPr>
          <w:p w14:paraId="5C49241D" w14:textId="77777777" w:rsidR="000C4B1F" w:rsidRPr="00351B73" w:rsidRDefault="000C4B1F" w:rsidP="00B92F7E">
            <w:pPr>
              <w:widowControl w:val="0"/>
              <w:jc w:val="both"/>
              <w:rPr>
                <w:rFonts w:ascii="Arial" w:hAnsi="Arial" w:cs="Arial"/>
                <w:sz w:val="20"/>
                <w:szCs w:val="20"/>
              </w:rPr>
            </w:pPr>
          </w:p>
        </w:tc>
        <w:tc>
          <w:tcPr>
            <w:tcW w:w="1320" w:type="dxa"/>
          </w:tcPr>
          <w:p w14:paraId="7CFB61DF" w14:textId="77777777" w:rsidR="000C4B1F" w:rsidRPr="00351B73" w:rsidRDefault="000C4B1F" w:rsidP="00B92F7E">
            <w:pPr>
              <w:widowControl w:val="0"/>
              <w:ind w:right="124"/>
              <w:rPr>
                <w:rFonts w:ascii="Arial" w:hAnsi="Arial" w:cs="Arial"/>
                <w:sz w:val="20"/>
                <w:szCs w:val="20"/>
              </w:rPr>
            </w:pPr>
            <w:r w:rsidRPr="00351B73">
              <w:rPr>
                <w:rFonts w:ascii="Arial" w:hAnsi="Arial" w:cs="Arial"/>
                <w:sz w:val="20"/>
                <w:szCs w:val="20"/>
              </w:rPr>
              <w:t>Unexpired</w:t>
            </w:r>
          </w:p>
        </w:tc>
        <w:tc>
          <w:tcPr>
            <w:tcW w:w="2070" w:type="dxa"/>
          </w:tcPr>
          <w:p w14:paraId="52E69315" w14:textId="77777777" w:rsidR="000C4B1F" w:rsidRPr="00351B73" w:rsidRDefault="000C4B1F" w:rsidP="00B92F7E">
            <w:pPr>
              <w:widowControl w:val="0"/>
              <w:ind w:left="2" w:right="2"/>
              <w:rPr>
                <w:rFonts w:ascii="Arial" w:hAnsi="Arial" w:cs="Arial"/>
                <w:sz w:val="20"/>
                <w:szCs w:val="20"/>
              </w:rPr>
            </w:pPr>
            <w:r w:rsidRPr="00351B73">
              <w:rPr>
                <w:rFonts w:ascii="Arial" w:hAnsi="Arial" w:cs="Arial"/>
                <w:sz w:val="20"/>
                <w:szCs w:val="20"/>
              </w:rPr>
              <w:t>264 (±51.4)</w:t>
            </w:r>
          </w:p>
        </w:tc>
        <w:tc>
          <w:tcPr>
            <w:tcW w:w="2045" w:type="dxa"/>
            <w:tcBorders>
              <w:right w:val="nil"/>
            </w:tcBorders>
          </w:tcPr>
          <w:p w14:paraId="72A57C32"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10232 (±1193)</w:t>
            </w:r>
          </w:p>
        </w:tc>
      </w:tr>
    </w:tbl>
    <w:p w14:paraId="1AFF0F1A" w14:textId="77777777" w:rsidR="000C4B1F" w:rsidRDefault="000C4B1F" w:rsidP="000C4B1F">
      <w:pPr>
        <w:pStyle w:val="Body"/>
        <w:spacing w:after="0"/>
        <w:rPr>
          <w:rFonts w:ascii="Arial" w:hAnsi="Arial" w:cs="Arial"/>
          <w:sz w:val="20"/>
          <w:szCs w:val="20"/>
        </w:rPr>
      </w:pPr>
    </w:p>
    <w:p w14:paraId="7093771C" w14:textId="77777777" w:rsidR="000C4B1F" w:rsidRPr="000C4B1F" w:rsidRDefault="000C4B1F" w:rsidP="000C4B1F">
      <w:pPr>
        <w:pStyle w:val="Body"/>
        <w:ind w:firstLine="720"/>
        <w:rPr>
          <w:rFonts w:ascii="Arial" w:hAnsi="Arial" w:cs="Arial"/>
          <w:sz w:val="20"/>
          <w:szCs w:val="20"/>
        </w:rPr>
      </w:pPr>
      <w:r w:rsidRPr="000C4B1F">
        <w:rPr>
          <w:rFonts w:ascii="Arial" w:hAnsi="Arial" w:cs="Arial"/>
          <w:sz w:val="20"/>
          <w:szCs w:val="20"/>
        </w:rPr>
        <w:t>However, three-way ANOVA revealed statistically significant main effects of resin type and polymerization protocol on elastic modulus. Specifically, Z350 XT exhibited a higher elastic modulus than Opallis (p=0.003), and specimens polymerized with light only exhibited a higher elastic modulus than those polymerized with combined light and heat (p=0.04).</w:t>
      </w:r>
    </w:p>
    <w:p w14:paraId="644D577E" w14:textId="0FD20146" w:rsidR="000C4B1F" w:rsidRPr="000C4B1F" w:rsidRDefault="000C4B1F" w:rsidP="000C4B1F">
      <w:pPr>
        <w:pStyle w:val="Body"/>
        <w:rPr>
          <w:rFonts w:ascii="Arial" w:hAnsi="Arial" w:cs="Arial"/>
          <w:b/>
          <w:bCs/>
          <w:sz w:val="20"/>
          <w:szCs w:val="20"/>
        </w:rPr>
      </w:pPr>
      <w:r w:rsidRPr="000C4B1F">
        <w:rPr>
          <w:rFonts w:ascii="Arial" w:hAnsi="Arial" w:cs="Arial"/>
          <w:b/>
          <w:bCs/>
          <w:sz w:val="20"/>
          <w:szCs w:val="20"/>
        </w:rPr>
        <w:t>3.2 - Knoop microhardness</w:t>
      </w:r>
    </w:p>
    <w:p w14:paraId="06227364" w14:textId="77777777" w:rsidR="000C4B1F" w:rsidRPr="000C4B1F" w:rsidRDefault="000C4B1F" w:rsidP="000C4B1F">
      <w:pPr>
        <w:pStyle w:val="Body"/>
        <w:ind w:firstLine="720"/>
        <w:rPr>
          <w:rFonts w:ascii="Arial" w:hAnsi="Arial" w:cs="Arial"/>
          <w:sz w:val="20"/>
          <w:szCs w:val="20"/>
        </w:rPr>
      </w:pPr>
      <w:r w:rsidRPr="000C4B1F">
        <w:rPr>
          <w:rFonts w:ascii="Arial" w:hAnsi="Arial" w:cs="Arial"/>
          <w:sz w:val="20"/>
          <w:szCs w:val="20"/>
        </w:rPr>
        <w:t>Regarding microhardness test results, a statistically significant three-way interaction among the factors was detected (p=0.024) (Table III). The non-expired Z350 XT resin activated by light exhibited significantly higher Knoop microhardness values than all other groups, except for the expired Z350 XT resin polymerized with light + heat (p=0.79) and the non-expired Opallis resin polymerized with light (p=0.88). Within the Opallis resin groups, a significant difference was observed only between non-expired and expired specimens when polymerized with light only (p=0.001).</w:t>
      </w:r>
    </w:p>
    <w:p w14:paraId="3031F064" w14:textId="72B1650B" w:rsidR="000C4B1F" w:rsidRDefault="000C4B1F" w:rsidP="000C4B1F">
      <w:pPr>
        <w:pStyle w:val="Body"/>
        <w:spacing w:after="0"/>
        <w:rPr>
          <w:rFonts w:ascii="Arial" w:hAnsi="Arial" w:cs="Arial"/>
          <w:sz w:val="20"/>
          <w:szCs w:val="20"/>
        </w:rPr>
      </w:pPr>
      <w:r w:rsidRPr="004C760D">
        <w:rPr>
          <w:rFonts w:ascii="Arial" w:hAnsi="Arial" w:cs="Arial"/>
          <w:b/>
          <w:bCs/>
          <w:sz w:val="20"/>
          <w:szCs w:val="20"/>
        </w:rPr>
        <w:t>Table III</w:t>
      </w:r>
      <w:r w:rsidRPr="000C4B1F">
        <w:rPr>
          <w:rFonts w:ascii="Arial" w:hAnsi="Arial" w:cs="Arial"/>
          <w:sz w:val="20"/>
          <w:szCs w:val="20"/>
        </w:rPr>
        <w:t xml:space="preserve"> - Mean Knoop microhardness values (± SD) according to experimental groups (gf).</w:t>
      </w:r>
    </w:p>
    <w:tbl>
      <w:tblPr>
        <w:tblW w:w="8655"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070"/>
        <w:gridCol w:w="2055"/>
        <w:gridCol w:w="2760"/>
      </w:tblGrid>
      <w:tr w:rsidR="000C4B1F" w:rsidRPr="00351B73" w14:paraId="2F6D1D65" w14:textId="77777777" w:rsidTr="00B92F7E">
        <w:trPr>
          <w:trHeight w:val="663"/>
        </w:trPr>
        <w:tc>
          <w:tcPr>
            <w:tcW w:w="1770" w:type="dxa"/>
            <w:tcBorders>
              <w:left w:val="nil"/>
            </w:tcBorders>
          </w:tcPr>
          <w:p w14:paraId="77B97D65" w14:textId="77777777" w:rsidR="000C4B1F" w:rsidRPr="00351B73" w:rsidRDefault="000C4B1F" w:rsidP="00B92F7E">
            <w:pPr>
              <w:widowControl w:val="0"/>
              <w:rPr>
                <w:rFonts w:ascii="Arial" w:hAnsi="Arial" w:cs="Arial"/>
                <w:sz w:val="20"/>
                <w:szCs w:val="20"/>
              </w:rPr>
            </w:pPr>
            <w:r w:rsidRPr="00351B73">
              <w:rPr>
                <w:rFonts w:ascii="Arial" w:hAnsi="Arial" w:cs="Arial"/>
                <w:b/>
                <w:sz w:val="20"/>
                <w:szCs w:val="20"/>
              </w:rPr>
              <w:t>Composite Resin</w:t>
            </w:r>
          </w:p>
        </w:tc>
        <w:tc>
          <w:tcPr>
            <w:tcW w:w="2070" w:type="dxa"/>
          </w:tcPr>
          <w:p w14:paraId="220C798A" w14:textId="77777777" w:rsidR="000C4B1F" w:rsidRPr="00351B73" w:rsidRDefault="000C4B1F" w:rsidP="00B92F7E">
            <w:pPr>
              <w:widowControl w:val="0"/>
              <w:rPr>
                <w:rFonts w:ascii="Arial" w:hAnsi="Arial" w:cs="Arial"/>
                <w:sz w:val="20"/>
                <w:szCs w:val="20"/>
              </w:rPr>
            </w:pPr>
            <w:r w:rsidRPr="00351B73">
              <w:rPr>
                <w:rFonts w:ascii="Arial" w:hAnsi="Arial" w:cs="Arial"/>
                <w:b/>
                <w:sz w:val="20"/>
                <w:szCs w:val="20"/>
              </w:rPr>
              <w:t>Polymerization</w:t>
            </w:r>
          </w:p>
        </w:tc>
        <w:tc>
          <w:tcPr>
            <w:tcW w:w="2055" w:type="dxa"/>
          </w:tcPr>
          <w:p w14:paraId="539F618C" w14:textId="77777777" w:rsidR="000C4B1F" w:rsidRPr="00351B73" w:rsidRDefault="000C4B1F" w:rsidP="00B92F7E">
            <w:pPr>
              <w:widowControl w:val="0"/>
              <w:rPr>
                <w:rFonts w:ascii="Arial" w:hAnsi="Arial" w:cs="Arial"/>
                <w:sz w:val="20"/>
                <w:szCs w:val="20"/>
              </w:rPr>
            </w:pPr>
            <w:r w:rsidRPr="00351B73">
              <w:rPr>
                <w:rFonts w:ascii="Arial" w:hAnsi="Arial" w:cs="Arial"/>
                <w:b/>
                <w:sz w:val="20"/>
                <w:szCs w:val="20"/>
              </w:rPr>
              <w:t>Condition</w:t>
            </w:r>
          </w:p>
        </w:tc>
        <w:tc>
          <w:tcPr>
            <w:tcW w:w="2760" w:type="dxa"/>
            <w:tcBorders>
              <w:right w:val="nil"/>
            </w:tcBorders>
          </w:tcPr>
          <w:p w14:paraId="246E1D77" w14:textId="77777777" w:rsidR="000C4B1F" w:rsidRPr="00351B73" w:rsidRDefault="000C4B1F" w:rsidP="00B92F7E">
            <w:pPr>
              <w:widowControl w:val="0"/>
              <w:rPr>
                <w:rFonts w:ascii="Arial" w:hAnsi="Arial" w:cs="Arial"/>
                <w:sz w:val="20"/>
                <w:szCs w:val="20"/>
              </w:rPr>
            </w:pPr>
            <w:r w:rsidRPr="00351B73">
              <w:rPr>
                <w:rFonts w:ascii="Arial" w:hAnsi="Arial" w:cs="Arial"/>
                <w:b/>
                <w:sz w:val="20"/>
                <w:szCs w:val="20"/>
              </w:rPr>
              <w:t>KHN (gf)</w:t>
            </w:r>
          </w:p>
        </w:tc>
      </w:tr>
      <w:tr w:rsidR="000C4B1F" w:rsidRPr="00351B73" w14:paraId="341F8797" w14:textId="77777777" w:rsidTr="00B92F7E">
        <w:trPr>
          <w:trHeight w:val="663"/>
        </w:trPr>
        <w:tc>
          <w:tcPr>
            <w:tcW w:w="1770" w:type="dxa"/>
            <w:vMerge w:val="restart"/>
            <w:tcBorders>
              <w:left w:val="nil"/>
            </w:tcBorders>
          </w:tcPr>
          <w:p w14:paraId="080D8A41" w14:textId="77777777" w:rsidR="000C4B1F" w:rsidRPr="00351B73" w:rsidRDefault="000C4B1F" w:rsidP="00B92F7E">
            <w:pPr>
              <w:widowControl w:val="0"/>
              <w:rPr>
                <w:rFonts w:ascii="Arial" w:hAnsi="Arial" w:cs="Arial"/>
                <w:sz w:val="20"/>
                <w:szCs w:val="20"/>
              </w:rPr>
            </w:pPr>
          </w:p>
          <w:p w14:paraId="0A7D9BEF"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Filtek</w:t>
            </w:r>
          </w:p>
          <w:p w14:paraId="0FD3DBC5"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Z350xt</w:t>
            </w:r>
          </w:p>
        </w:tc>
        <w:tc>
          <w:tcPr>
            <w:tcW w:w="2070" w:type="dxa"/>
            <w:vMerge w:val="restart"/>
          </w:tcPr>
          <w:p w14:paraId="4DA2D408" w14:textId="77777777" w:rsidR="000C4B1F" w:rsidRPr="00351B73" w:rsidRDefault="000C4B1F" w:rsidP="00B92F7E">
            <w:pPr>
              <w:widowControl w:val="0"/>
              <w:rPr>
                <w:rFonts w:ascii="Arial" w:hAnsi="Arial" w:cs="Arial"/>
                <w:sz w:val="20"/>
                <w:szCs w:val="20"/>
              </w:rPr>
            </w:pPr>
          </w:p>
          <w:p w14:paraId="7AAD0AF9"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only</w:t>
            </w:r>
          </w:p>
        </w:tc>
        <w:tc>
          <w:tcPr>
            <w:tcW w:w="2055" w:type="dxa"/>
          </w:tcPr>
          <w:p w14:paraId="5B8AEB04"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Expired</w:t>
            </w:r>
          </w:p>
        </w:tc>
        <w:tc>
          <w:tcPr>
            <w:tcW w:w="2760" w:type="dxa"/>
            <w:tcBorders>
              <w:right w:val="nil"/>
            </w:tcBorders>
          </w:tcPr>
          <w:p w14:paraId="7B66DC54"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62.8 ± (7.51) </w:t>
            </w:r>
            <w:r w:rsidRPr="00351B73">
              <w:rPr>
                <w:rFonts w:ascii="Arial" w:hAnsi="Arial" w:cs="Arial"/>
                <w:b/>
                <w:sz w:val="20"/>
                <w:szCs w:val="20"/>
              </w:rPr>
              <w:t>B</w:t>
            </w:r>
          </w:p>
        </w:tc>
      </w:tr>
      <w:tr w:rsidR="000C4B1F" w:rsidRPr="00351B73" w14:paraId="358E1645" w14:textId="77777777" w:rsidTr="00B92F7E">
        <w:trPr>
          <w:trHeight w:val="481"/>
        </w:trPr>
        <w:tc>
          <w:tcPr>
            <w:tcW w:w="1770" w:type="dxa"/>
            <w:vMerge/>
            <w:tcBorders>
              <w:left w:val="nil"/>
            </w:tcBorders>
          </w:tcPr>
          <w:p w14:paraId="38A1761C" w14:textId="77777777" w:rsidR="000C4B1F" w:rsidRPr="00351B73" w:rsidRDefault="000C4B1F" w:rsidP="00B92F7E">
            <w:pPr>
              <w:widowControl w:val="0"/>
              <w:jc w:val="both"/>
              <w:rPr>
                <w:rFonts w:ascii="Arial" w:hAnsi="Arial" w:cs="Arial"/>
                <w:sz w:val="20"/>
                <w:szCs w:val="20"/>
              </w:rPr>
            </w:pPr>
          </w:p>
        </w:tc>
        <w:tc>
          <w:tcPr>
            <w:tcW w:w="2070" w:type="dxa"/>
            <w:vMerge/>
          </w:tcPr>
          <w:p w14:paraId="253CEA3D" w14:textId="77777777" w:rsidR="000C4B1F" w:rsidRPr="00351B73" w:rsidRDefault="000C4B1F" w:rsidP="00B92F7E">
            <w:pPr>
              <w:widowControl w:val="0"/>
              <w:jc w:val="both"/>
              <w:rPr>
                <w:rFonts w:ascii="Arial" w:hAnsi="Arial" w:cs="Arial"/>
                <w:sz w:val="20"/>
                <w:szCs w:val="20"/>
              </w:rPr>
            </w:pPr>
          </w:p>
        </w:tc>
        <w:tc>
          <w:tcPr>
            <w:tcW w:w="2055" w:type="dxa"/>
          </w:tcPr>
          <w:p w14:paraId="2CF2E660"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760" w:type="dxa"/>
            <w:tcBorders>
              <w:right w:val="nil"/>
            </w:tcBorders>
          </w:tcPr>
          <w:p w14:paraId="7D7CBDE6"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76.5 ± (3.75) </w:t>
            </w:r>
            <w:r w:rsidRPr="00351B73">
              <w:rPr>
                <w:rFonts w:ascii="Arial" w:hAnsi="Arial" w:cs="Arial"/>
                <w:b/>
                <w:sz w:val="20"/>
                <w:szCs w:val="20"/>
              </w:rPr>
              <w:t>A</w:t>
            </w:r>
          </w:p>
        </w:tc>
      </w:tr>
      <w:tr w:rsidR="000C4B1F" w:rsidRPr="00351B73" w14:paraId="77290878" w14:textId="77777777" w:rsidTr="00B92F7E">
        <w:trPr>
          <w:trHeight w:val="468"/>
        </w:trPr>
        <w:tc>
          <w:tcPr>
            <w:tcW w:w="1770" w:type="dxa"/>
            <w:vMerge/>
            <w:tcBorders>
              <w:left w:val="nil"/>
            </w:tcBorders>
          </w:tcPr>
          <w:p w14:paraId="26F91655" w14:textId="77777777" w:rsidR="000C4B1F" w:rsidRPr="00351B73" w:rsidRDefault="000C4B1F" w:rsidP="00B92F7E">
            <w:pPr>
              <w:widowControl w:val="0"/>
              <w:jc w:val="both"/>
              <w:rPr>
                <w:rFonts w:ascii="Arial" w:hAnsi="Arial" w:cs="Arial"/>
                <w:sz w:val="20"/>
                <w:szCs w:val="20"/>
              </w:rPr>
            </w:pPr>
          </w:p>
        </w:tc>
        <w:tc>
          <w:tcPr>
            <w:tcW w:w="2070" w:type="dxa"/>
            <w:vMerge w:val="restart"/>
          </w:tcPr>
          <w:p w14:paraId="3CDA765F" w14:textId="77777777" w:rsidR="000C4B1F" w:rsidRPr="00351B73" w:rsidRDefault="000C4B1F" w:rsidP="00B92F7E">
            <w:pPr>
              <w:widowControl w:val="0"/>
              <w:rPr>
                <w:rFonts w:ascii="Arial" w:hAnsi="Arial" w:cs="Arial"/>
                <w:sz w:val="20"/>
                <w:szCs w:val="20"/>
              </w:rPr>
            </w:pPr>
          </w:p>
          <w:p w14:paraId="23FBFCE5"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2055" w:type="dxa"/>
          </w:tcPr>
          <w:p w14:paraId="1521A3A0"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Expired</w:t>
            </w:r>
          </w:p>
        </w:tc>
        <w:tc>
          <w:tcPr>
            <w:tcW w:w="2760" w:type="dxa"/>
            <w:tcBorders>
              <w:right w:val="nil"/>
            </w:tcBorders>
          </w:tcPr>
          <w:p w14:paraId="468F0113" w14:textId="77777777" w:rsidR="000C4B1F" w:rsidRPr="00351B73" w:rsidRDefault="000C4B1F" w:rsidP="00B92F7E">
            <w:pPr>
              <w:widowControl w:val="0"/>
              <w:ind w:left="1" w:right="4"/>
              <w:rPr>
                <w:rFonts w:ascii="Arial" w:hAnsi="Arial" w:cs="Arial"/>
                <w:b/>
                <w:sz w:val="20"/>
                <w:szCs w:val="20"/>
              </w:rPr>
            </w:pPr>
            <w:r w:rsidRPr="00351B73">
              <w:rPr>
                <w:rFonts w:ascii="Arial" w:hAnsi="Arial" w:cs="Arial"/>
                <w:sz w:val="20"/>
                <w:szCs w:val="20"/>
              </w:rPr>
              <w:t xml:space="preserve">71.7 ± (6.16) </w:t>
            </w:r>
            <w:r w:rsidRPr="00351B73">
              <w:rPr>
                <w:rFonts w:ascii="Arial" w:hAnsi="Arial" w:cs="Arial"/>
                <w:b/>
                <w:sz w:val="20"/>
                <w:szCs w:val="20"/>
              </w:rPr>
              <w:t>AC</w:t>
            </w:r>
          </w:p>
        </w:tc>
      </w:tr>
      <w:tr w:rsidR="000C4B1F" w:rsidRPr="00351B73" w14:paraId="49E67012" w14:textId="77777777" w:rsidTr="00B92F7E">
        <w:trPr>
          <w:trHeight w:val="482"/>
        </w:trPr>
        <w:tc>
          <w:tcPr>
            <w:tcW w:w="1770" w:type="dxa"/>
            <w:vMerge/>
            <w:tcBorders>
              <w:left w:val="nil"/>
            </w:tcBorders>
          </w:tcPr>
          <w:p w14:paraId="7C36EA3D" w14:textId="77777777" w:rsidR="000C4B1F" w:rsidRPr="00351B73" w:rsidRDefault="000C4B1F" w:rsidP="00B92F7E">
            <w:pPr>
              <w:widowControl w:val="0"/>
              <w:jc w:val="both"/>
              <w:rPr>
                <w:rFonts w:ascii="Arial" w:hAnsi="Arial" w:cs="Arial"/>
                <w:sz w:val="20"/>
                <w:szCs w:val="20"/>
              </w:rPr>
            </w:pPr>
          </w:p>
        </w:tc>
        <w:tc>
          <w:tcPr>
            <w:tcW w:w="2070" w:type="dxa"/>
            <w:vMerge/>
          </w:tcPr>
          <w:p w14:paraId="61C50FBB" w14:textId="77777777" w:rsidR="000C4B1F" w:rsidRPr="00351B73" w:rsidRDefault="000C4B1F" w:rsidP="00B92F7E">
            <w:pPr>
              <w:widowControl w:val="0"/>
              <w:jc w:val="both"/>
              <w:rPr>
                <w:rFonts w:ascii="Arial" w:hAnsi="Arial" w:cs="Arial"/>
                <w:sz w:val="20"/>
                <w:szCs w:val="20"/>
              </w:rPr>
            </w:pPr>
          </w:p>
        </w:tc>
        <w:tc>
          <w:tcPr>
            <w:tcW w:w="2055" w:type="dxa"/>
          </w:tcPr>
          <w:p w14:paraId="5FF97696"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760" w:type="dxa"/>
            <w:tcBorders>
              <w:right w:val="nil"/>
            </w:tcBorders>
          </w:tcPr>
          <w:p w14:paraId="004749CA"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54.2 ± (2.64) </w:t>
            </w:r>
            <w:r w:rsidRPr="00351B73">
              <w:rPr>
                <w:rFonts w:ascii="Arial" w:hAnsi="Arial" w:cs="Arial"/>
                <w:b/>
                <w:sz w:val="20"/>
                <w:szCs w:val="20"/>
              </w:rPr>
              <w:t>B</w:t>
            </w:r>
          </w:p>
        </w:tc>
      </w:tr>
      <w:tr w:rsidR="000C4B1F" w:rsidRPr="00351B73" w14:paraId="14787EA4" w14:textId="77777777" w:rsidTr="00B92F7E">
        <w:trPr>
          <w:trHeight w:val="455"/>
        </w:trPr>
        <w:tc>
          <w:tcPr>
            <w:tcW w:w="1770" w:type="dxa"/>
            <w:vMerge w:val="restart"/>
            <w:tcBorders>
              <w:left w:val="nil"/>
            </w:tcBorders>
          </w:tcPr>
          <w:p w14:paraId="28664A65" w14:textId="77777777" w:rsidR="000C4B1F" w:rsidRPr="00351B73" w:rsidRDefault="000C4B1F" w:rsidP="00B92F7E">
            <w:pPr>
              <w:widowControl w:val="0"/>
              <w:rPr>
                <w:rFonts w:ascii="Arial" w:hAnsi="Arial" w:cs="Arial"/>
                <w:sz w:val="20"/>
                <w:szCs w:val="20"/>
              </w:rPr>
            </w:pPr>
          </w:p>
          <w:p w14:paraId="7740BD1C" w14:textId="77777777" w:rsidR="000C4B1F" w:rsidRPr="00351B73" w:rsidRDefault="000C4B1F" w:rsidP="00B92F7E">
            <w:pPr>
              <w:widowControl w:val="0"/>
              <w:rPr>
                <w:rFonts w:ascii="Arial" w:hAnsi="Arial" w:cs="Arial"/>
                <w:sz w:val="20"/>
                <w:szCs w:val="20"/>
              </w:rPr>
            </w:pPr>
          </w:p>
          <w:p w14:paraId="09A3D2C3" w14:textId="77777777" w:rsidR="000C4B1F" w:rsidRPr="00351B73" w:rsidRDefault="000C4B1F" w:rsidP="00B92F7E">
            <w:pPr>
              <w:widowControl w:val="0"/>
              <w:ind w:left="107"/>
              <w:rPr>
                <w:rFonts w:ascii="Arial" w:hAnsi="Arial" w:cs="Arial"/>
                <w:b/>
                <w:sz w:val="20"/>
                <w:szCs w:val="20"/>
              </w:rPr>
            </w:pPr>
            <w:r w:rsidRPr="00351B73">
              <w:rPr>
                <w:rFonts w:ascii="Arial" w:hAnsi="Arial" w:cs="Arial"/>
                <w:b/>
                <w:sz w:val="20"/>
                <w:szCs w:val="20"/>
              </w:rPr>
              <w:t>Opallis</w:t>
            </w:r>
          </w:p>
        </w:tc>
        <w:tc>
          <w:tcPr>
            <w:tcW w:w="2070" w:type="dxa"/>
            <w:vMerge w:val="restart"/>
          </w:tcPr>
          <w:p w14:paraId="6CD9326B" w14:textId="77777777" w:rsidR="000C4B1F" w:rsidRPr="00351B73" w:rsidRDefault="000C4B1F" w:rsidP="00B92F7E">
            <w:pPr>
              <w:widowControl w:val="0"/>
              <w:rPr>
                <w:rFonts w:ascii="Arial" w:hAnsi="Arial" w:cs="Arial"/>
                <w:sz w:val="20"/>
                <w:szCs w:val="20"/>
              </w:rPr>
            </w:pPr>
          </w:p>
          <w:p w14:paraId="637019D2"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only</w:t>
            </w:r>
          </w:p>
        </w:tc>
        <w:tc>
          <w:tcPr>
            <w:tcW w:w="2055" w:type="dxa"/>
          </w:tcPr>
          <w:p w14:paraId="5E9B7D28"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Expired</w:t>
            </w:r>
          </w:p>
        </w:tc>
        <w:tc>
          <w:tcPr>
            <w:tcW w:w="2760" w:type="dxa"/>
            <w:tcBorders>
              <w:right w:val="nil"/>
            </w:tcBorders>
          </w:tcPr>
          <w:p w14:paraId="0E1D48A4"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57.2 ± (2.88) </w:t>
            </w:r>
            <w:r w:rsidRPr="00351B73">
              <w:rPr>
                <w:rFonts w:ascii="Arial" w:hAnsi="Arial" w:cs="Arial"/>
                <w:b/>
                <w:sz w:val="20"/>
                <w:szCs w:val="20"/>
              </w:rPr>
              <w:t>B</w:t>
            </w:r>
          </w:p>
        </w:tc>
      </w:tr>
      <w:tr w:rsidR="000C4B1F" w:rsidRPr="00351B73" w14:paraId="0D49D366" w14:textId="77777777" w:rsidTr="00B92F7E">
        <w:trPr>
          <w:trHeight w:val="479"/>
        </w:trPr>
        <w:tc>
          <w:tcPr>
            <w:tcW w:w="1770" w:type="dxa"/>
            <w:vMerge/>
            <w:tcBorders>
              <w:left w:val="nil"/>
            </w:tcBorders>
          </w:tcPr>
          <w:p w14:paraId="6D9F22DB" w14:textId="77777777" w:rsidR="000C4B1F" w:rsidRPr="00351B73" w:rsidRDefault="000C4B1F" w:rsidP="00B92F7E">
            <w:pPr>
              <w:widowControl w:val="0"/>
              <w:jc w:val="both"/>
              <w:rPr>
                <w:rFonts w:ascii="Arial" w:hAnsi="Arial" w:cs="Arial"/>
                <w:sz w:val="20"/>
                <w:szCs w:val="20"/>
              </w:rPr>
            </w:pPr>
          </w:p>
        </w:tc>
        <w:tc>
          <w:tcPr>
            <w:tcW w:w="2070" w:type="dxa"/>
            <w:vMerge/>
          </w:tcPr>
          <w:p w14:paraId="0D091E21" w14:textId="77777777" w:rsidR="000C4B1F" w:rsidRPr="00351B73" w:rsidRDefault="000C4B1F" w:rsidP="00B92F7E">
            <w:pPr>
              <w:widowControl w:val="0"/>
              <w:jc w:val="both"/>
              <w:rPr>
                <w:rFonts w:ascii="Arial" w:hAnsi="Arial" w:cs="Arial"/>
                <w:sz w:val="20"/>
                <w:szCs w:val="20"/>
              </w:rPr>
            </w:pPr>
          </w:p>
        </w:tc>
        <w:tc>
          <w:tcPr>
            <w:tcW w:w="2055" w:type="dxa"/>
          </w:tcPr>
          <w:p w14:paraId="31D58120"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760" w:type="dxa"/>
            <w:tcBorders>
              <w:right w:val="nil"/>
            </w:tcBorders>
          </w:tcPr>
          <w:p w14:paraId="66C777BF"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72.4 ± (3.54) </w:t>
            </w:r>
            <w:r w:rsidRPr="00351B73">
              <w:rPr>
                <w:rFonts w:ascii="Arial" w:hAnsi="Arial" w:cs="Arial"/>
                <w:b/>
                <w:sz w:val="20"/>
                <w:szCs w:val="20"/>
              </w:rPr>
              <w:t>AC</w:t>
            </w:r>
          </w:p>
        </w:tc>
      </w:tr>
      <w:tr w:rsidR="000C4B1F" w:rsidRPr="00351B73" w14:paraId="364F022A" w14:textId="77777777" w:rsidTr="00B92F7E">
        <w:trPr>
          <w:trHeight w:val="467"/>
        </w:trPr>
        <w:tc>
          <w:tcPr>
            <w:tcW w:w="1770" w:type="dxa"/>
            <w:vMerge/>
            <w:tcBorders>
              <w:left w:val="nil"/>
            </w:tcBorders>
          </w:tcPr>
          <w:p w14:paraId="643FB0F1" w14:textId="77777777" w:rsidR="000C4B1F" w:rsidRPr="00351B73" w:rsidRDefault="000C4B1F" w:rsidP="00B92F7E">
            <w:pPr>
              <w:widowControl w:val="0"/>
              <w:jc w:val="both"/>
              <w:rPr>
                <w:rFonts w:ascii="Arial" w:hAnsi="Arial" w:cs="Arial"/>
                <w:sz w:val="20"/>
                <w:szCs w:val="20"/>
              </w:rPr>
            </w:pPr>
          </w:p>
        </w:tc>
        <w:tc>
          <w:tcPr>
            <w:tcW w:w="2070" w:type="dxa"/>
            <w:vMerge w:val="restart"/>
          </w:tcPr>
          <w:p w14:paraId="7A73F2ED" w14:textId="77777777" w:rsidR="000C4B1F" w:rsidRPr="00351B73" w:rsidRDefault="000C4B1F" w:rsidP="00B92F7E">
            <w:pPr>
              <w:widowControl w:val="0"/>
              <w:rPr>
                <w:rFonts w:ascii="Arial" w:hAnsi="Arial" w:cs="Arial"/>
                <w:sz w:val="20"/>
                <w:szCs w:val="20"/>
              </w:rPr>
            </w:pPr>
          </w:p>
          <w:p w14:paraId="4D3B6515"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2055" w:type="dxa"/>
          </w:tcPr>
          <w:p w14:paraId="7AA1C18C"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Expired</w:t>
            </w:r>
          </w:p>
        </w:tc>
        <w:tc>
          <w:tcPr>
            <w:tcW w:w="2760" w:type="dxa"/>
            <w:tcBorders>
              <w:right w:val="nil"/>
            </w:tcBorders>
          </w:tcPr>
          <w:p w14:paraId="2A8B1FC8"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64.5 ± (3.22) </w:t>
            </w:r>
            <w:r w:rsidRPr="00351B73">
              <w:rPr>
                <w:rFonts w:ascii="Arial" w:hAnsi="Arial" w:cs="Arial"/>
                <w:b/>
                <w:sz w:val="20"/>
                <w:szCs w:val="20"/>
              </w:rPr>
              <w:t>BC</w:t>
            </w:r>
          </w:p>
        </w:tc>
      </w:tr>
      <w:tr w:rsidR="000C4B1F" w:rsidRPr="00351B73" w14:paraId="1C9EB1B8" w14:textId="77777777" w:rsidTr="00B92F7E">
        <w:trPr>
          <w:trHeight w:val="469"/>
        </w:trPr>
        <w:tc>
          <w:tcPr>
            <w:tcW w:w="1770" w:type="dxa"/>
            <w:vMerge/>
            <w:tcBorders>
              <w:left w:val="nil"/>
            </w:tcBorders>
          </w:tcPr>
          <w:p w14:paraId="1012DC2E" w14:textId="77777777" w:rsidR="000C4B1F" w:rsidRPr="00351B73" w:rsidRDefault="000C4B1F" w:rsidP="00B92F7E">
            <w:pPr>
              <w:widowControl w:val="0"/>
              <w:jc w:val="both"/>
              <w:rPr>
                <w:rFonts w:ascii="Arial" w:hAnsi="Arial" w:cs="Arial"/>
                <w:sz w:val="20"/>
                <w:szCs w:val="20"/>
              </w:rPr>
            </w:pPr>
          </w:p>
        </w:tc>
        <w:tc>
          <w:tcPr>
            <w:tcW w:w="2070" w:type="dxa"/>
            <w:vMerge/>
          </w:tcPr>
          <w:p w14:paraId="3E9578CC" w14:textId="77777777" w:rsidR="000C4B1F" w:rsidRPr="00351B73" w:rsidRDefault="000C4B1F" w:rsidP="00B92F7E">
            <w:pPr>
              <w:widowControl w:val="0"/>
              <w:jc w:val="both"/>
              <w:rPr>
                <w:rFonts w:ascii="Arial" w:hAnsi="Arial" w:cs="Arial"/>
                <w:sz w:val="20"/>
                <w:szCs w:val="20"/>
              </w:rPr>
            </w:pPr>
          </w:p>
        </w:tc>
        <w:tc>
          <w:tcPr>
            <w:tcW w:w="2055" w:type="dxa"/>
          </w:tcPr>
          <w:p w14:paraId="07480AC5"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760" w:type="dxa"/>
            <w:tcBorders>
              <w:right w:val="nil"/>
            </w:tcBorders>
          </w:tcPr>
          <w:p w14:paraId="71D1E72E" w14:textId="77777777" w:rsidR="000C4B1F" w:rsidRPr="00351B73" w:rsidRDefault="000C4B1F" w:rsidP="00B92F7E">
            <w:pPr>
              <w:widowControl w:val="0"/>
              <w:ind w:right="4"/>
              <w:rPr>
                <w:rFonts w:ascii="Arial" w:hAnsi="Arial" w:cs="Arial"/>
                <w:b/>
                <w:sz w:val="20"/>
                <w:szCs w:val="20"/>
              </w:rPr>
            </w:pPr>
            <w:r w:rsidRPr="00351B73">
              <w:rPr>
                <w:rFonts w:ascii="Arial" w:hAnsi="Arial" w:cs="Arial"/>
                <w:sz w:val="20"/>
                <w:szCs w:val="20"/>
              </w:rPr>
              <w:t xml:space="preserve">63.6 ± (3.17) </w:t>
            </w:r>
            <w:r w:rsidRPr="00351B73">
              <w:rPr>
                <w:rFonts w:ascii="Arial" w:hAnsi="Arial" w:cs="Arial"/>
                <w:b/>
                <w:sz w:val="20"/>
                <w:szCs w:val="20"/>
              </w:rPr>
              <w:t>BC</w:t>
            </w:r>
          </w:p>
        </w:tc>
      </w:tr>
    </w:tbl>
    <w:p w14:paraId="4B6517E0" w14:textId="1516F9FF" w:rsidR="000C4B1F" w:rsidRDefault="000C4B1F" w:rsidP="000C4B1F">
      <w:pPr>
        <w:pStyle w:val="Body"/>
        <w:spacing w:after="0"/>
        <w:rPr>
          <w:rFonts w:ascii="Arial" w:hAnsi="Arial" w:cs="Arial"/>
          <w:sz w:val="20"/>
          <w:szCs w:val="20"/>
        </w:rPr>
      </w:pPr>
      <w:r w:rsidRPr="00351B73">
        <w:rPr>
          <w:rFonts w:ascii="Arial" w:hAnsi="Arial" w:cs="Arial"/>
          <w:sz w:val="20"/>
          <w:szCs w:val="20"/>
        </w:rPr>
        <w:t>Different uppercase letters indicate statistically significant differences (p &lt; 0.05).</w:t>
      </w:r>
    </w:p>
    <w:p w14:paraId="73CB3413" w14:textId="77777777" w:rsidR="000C4B1F" w:rsidRDefault="000C4B1F" w:rsidP="000C4B1F">
      <w:pPr>
        <w:pStyle w:val="Body"/>
        <w:spacing w:after="0"/>
        <w:rPr>
          <w:rFonts w:ascii="Arial" w:hAnsi="Arial" w:cs="Arial"/>
          <w:sz w:val="20"/>
          <w:szCs w:val="20"/>
        </w:rPr>
      </w:pPr>
    </w:p>
    <w:p w14:paraId="3A90BCA2" w14:textId="77777777" w:rsidR="000C4B1F" w:rsidRDefault="000C4B1F" w:rsidP="000C4B1F">
      <w:pPr>
        <w:pStyle w:val="Body"/>
        <w:spacing w:after="0"/>
        <w:rPr>
          <w:rFonts w:ascii="Arial" w:hAnsi="Arial" w:cs="Arial"/>
          <w:sz w:val="20"/>
          <w:szCs w:val="20"/>
        </w:rPr>
      </w:pPr>
    </w:p>
    <w:p w14:paraId="4DB572B8" w14:textId="77777777" w:rsidR="000C4B1F" w:rsidRPr="000C4B1F" w:rsidRDefault="000C4B1F" w:rsidP="000C4B1F">
      <w:pPr>
        <w:pStyle w:val="Body"/>
        <w:rPr>
          <w:rFonts w:ascii="Arial" w:hAnsi="Arial" w:cs="Arial"/>
          <w:b/>
          <w:bCs/>
          <w:sz w:val="20"/>
          <w:szCs w:val="20"/>
        </w:rPr>
      </w:pPr>
      <w:r w:rsidRPr="000C4B1F">
        <w:rPr>
          <w:rFonts w:ascii="Arial" w:hAnsi="Arial" w:cs="Arial"/>
          <w:b/>
          <w:bCs/>
          <w:sz w:val="20"/>
          <w:szCs w:val="20"/>
        </w:rPr>
        <w:t>3.3 - Water Sorption and Solubility</w:t>
      </w:r>
    </w:p>
    <w:p w14:paraId="44FECE37" w14:textId="77777777" w:rsidR="000C4B1F" w:rsidRDefault="000C4B1F" w:rsidP="004C760D">
      <w:pPr>
        <w:pStyle w:val="Body"/>
        <w:ind w:firstLine="720"/>
        <w:rPr>
          <w:rFonts w:ascii="Arial" w:hAnsi="Arial" w:cs="Arial"/>
          <w:sz w:val="20"/>
          <w:szCs w:val="20"/>
        </w:rPr>
      </w:pPr>
      <w:r w:rsidRPr="000C4B1F">
        <w:rPr>
          <w:rFonts w:ascii="Arial" w:hAnsi="Arial" w:cs="Arial"/>
          <w:sz w:val="20"/>
          <w:szCs w:val="20"/>
        </w:rPr>
        <w:t>The water sorption and solubility tests (Table IV) showed no statistically significant interaction among the three factors (p=0.893 for sorption and p=0.193 for solubility).</w:t>
      </w:r>
    </w:p>
    <w:p w14:paraId="1FB4CC20" w14:textId="77777777" w:rsidR="004C760D" w:rsidRPr="000C4B1F" w:rsidRDefault="004C760D" w:rsidP="004C760D">
      <w:pPr>
        <w:pStyle w:val="Body"/>
        <w:ind w:firstLine="720"/>
        <w:rPr>
          <w:rFonts w:ascii="Arial" w:hAnsi="Arial" w:cs="Arial"/>
          <w:sz w:val="20"/>
          <w:szCs w:val="20"/>
        </w:rPr>
      </w:pPr>
    </w:p>
    <w:p w14:paraId="0506D806" w14:textId="7E39F7DB" w:rsidR="000C4B1F" w:rsidRDefault="000C4B1F" w:rsidP="000C4B1F">
      <w:pPr>
        <w:pStyle w:val="Body"/>
        <w:spacing w:after="0"/>
        <w:rPr>
          <w:rFonts w:ascii="Arial" w:hAnsi="Arial" w:cs="Arial"/>
          <w:sz w:val="20"/>
          <w:szCs w:val="20"/>
        </w:rPr>
      </w:pPr>
      <w:r w:rsidRPr="004C760D">
        <w:rPr>
          <w:rFonts w:ascii="Arial" w:hAnsi="Arial" w:cs="Arial"/>
          <w:b/>
          <w:bCs/>
          <w:sz w:val="20"/>
          <w:szCs w:val="20"/>
        </w:rPr>
        <w:t>Table IV</w:t>
      </w:r>
      <w:r w:rsidRPr="000C4B1F">
        <w:rPr>
          <w:rFonts w:ascii="Arial" w:hAnsi="Arial" w:cs="Arial"/>
          <w:sz w:val="20"/>
          <w:szCs w:val="20"/>
        </w:rPr>
        <w:t xml:space="preserve"> – Mean values (± standard deviation) obtained for water sorption and solubility tests, according to the evaluated groups, in μg/mm³.</w:t>
      </w:r>
    </w:p>
    <w:tbl>
      <w:tblPr>
        <w:tblW w:w="895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815"/>
        <w:gridCol w:w="1530"/>
        <w:gridCol w:w="2205"/>
        <w:gridCol w:w="1965"/>
      </w:tblGrid>
      <w:tr w:rsidR="000C4B1F" w:rsidRPr="00351B73" w14:paraId="15F60983" w14:textId="77777777" w:rsidTr="00B92F7E">
        <w:trPr>
          <w:trHeight w:val="460"/>
        </w:trPr>
        <w:tc>
          <w:tcPr>
            <w:tcW w:w="1440" w:type="dxa"/>
            <w:tcBorders>
              <w:left w:val="nil"/>
            </w:tcBorders>
          </w:tcPr>
          <w:p w14:paraId="32D5786D"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Composite</w:t>
            </w:r>
          </w:p>
          <w:p w14:paraId="4279BD2C"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Resin</w:t>
            </w:r>
          </w:p>
        </w:tc>
        <w:tc>
          <w:tcPr>
            <w:tcW w:w="1815" w:type="dxa"/>
          </w:tcPr>
          <w:p w14:paraId="535B1713"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Polymerization</w:t>
            </w:r>
          </w:p>
        </w:tc>
        <w:tc>
          <w:tcPr>
            <w:tcW w:w="1530" w:type="dxa"/>
          </w:tcPr>
          <w:p w14:paraId="689128CA"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Condition</w:t>
            </w:r>
          </w:p>
        </w:tc>
        <w:tc>
          <w:tcPr>
            <w:tcW w:w="2205" w:type="dxa"/>
          </w:tcPr>
          <w:p w14:paraId="23D6B503" w14:textId="77777777" w:rsidR="000C4B1F" w:rsidRPr="00351B73" w:rsidRDefault="000C4B1F" w:rsidP="00B92F7E">
            <w:pPr>
              <w:widowControl w:val="0"/>
              <w:ind w:left="2" w:right="2"/>
              <w:rPr>
                <w:rFonts w:ascii="Arial" w:hAnsi="Arial" w:cs="Arial"/>
                <w:b/>
                <w:sz w:val="20"/>
                <w:szCs w:val="20"/>
              </w:rPr>
            </w:pPr>
            <w:r w:rsidRPr="00351B73">
              <w:rPr>
                <w:rFonts w:ascii="Arial" w:hAnsi="Arial" w:cs="Arial"/>
                <w:b/>
                <w:sz w:val="20"/>
                <w:szCs w:val="20"/>
              </w:rPr>
              <w:t>Water Sorption (μg/mm³)</w:t>
            </w:r>
          </w:p>
        </w:tc>
        <w:tc>
          <w:tcPr>
            <w:tcW w:w="1965" w:type="dxa"/>
            <w:tcBorders>
              <w:right w:val="nil"/>
            </w:tcBorders>
          </w:tcPr>
          <w:p w14:paraId="7EEAEF94" w14:textId="77777777" w:rsidR="000C4B1F" w:rsidRPr="00351B73" w:rsidRDefault="000C4B1F" w:rsidP="00B92F7E">
            <w:pPr>
              <w:widowControl w:val="0"/>
              <w:ind w:left="1" w:right="11"/>
              <w:rPr>
                <w:rFonts w:ascii="Arial" w:hAnsi="Arial" w:cs="Arial"/>
                <w:b/>
                <w:sz w:val="20"/>
                <w:szCs w:val="20"/>
              </w:rPr>
            </w:pPr>
            <w:r w:rsidRPr="00351B73">
              <w:rPr>
                <w:rFonts w:ascii="Arial" w:hAnsi="Arial" w:cs="Arial"/>
                <w:b/>
                <w:sz w:val="20"/>
                <w:szCs w:val="20"/>
              </w:rPr>
              <w:t>Water Solubility (μg/mm³)</w:t>
            </w:r>
          </w:p>
        </w:tc>
      </w:tr>
      <w:tr w:rsidR="000C4B1F" w:rsidRPr="00351B73" w14:paraId="04B601C5" w14:textId="77777777" w:rsidTr="00B92F7E">
        <w:trPr>
          <w:trHeight w:val="506"/>
        </w:trPr>
        <w:tc>
          <w:tcPr>
            <w:tcW w:w="1440" w:type="dxa"/>
            <w:vMerge w:val="restart"/>
            <w:tcBorders>
              <w:left w:val="nil"/>
            </w:tcBorders>
          </w:tcPr>
          <w:p w14:paraId="1AD7AD1A" w14:textId="77777777" w:rsidR="000C4B1F" w:rsidRPr="00351B73" w:rsidRDefault="000C4B1F" w:rsidP="00B92F7E">
            <w:pPr>
              <w:widowControl w:val="0"/>
              <w:rPr>
                <w:rFonts w:ascii="Arial" w:hAnsi="Arial" w:cs="Arial"/>
                <w:b/>
                <w:sz w:val="20"/>
                <w:szCs w:val="20"/>
              </w:rPr>
            </w:pPr>
          </w:p>
          <w:p w14:paraId="5F186EFF" w14:textId="77777777" w:rsidR="000C4B1F" w:rsidRPr="00351B73" w:rsidRDefault="000C4B1F" w:rsidP="00B92F7E">
            <w:pPr>
              <w:widowControl w:val="0"/>
              <w:rPr>
                <w:rFonts w:ascii="Arial" w:hAnsi="Arial" w:cs="Arial"/>
                <w:b/>
                <w:sz w:val="20"/>
                <w:szCs w:val="20"/>
              </w:rPr>
            </w:pPr>
          </w:p>
          <w:p w14:paraId="47672173"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Filtek</w:t>
            </w:r>
          </w:p>
          <w:p w14:paraId="5A7B196F"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Z350xt</w:t>
            </w:r>
          </w:p>
        </w:tc>
        <w:tc>
          <w:tcPr>
            <w:tcW w:w="1815" w:type="dxa"/>
            <w:vMerge w:val="restart"/>
          </w:tcPr>
          <w:p w14:paraId="3F8B9D4D" w14:textId="77777777" w:rsidR="000C4B1F" w:rsidRPr="00351B73" w:rsidRDefault="000C4B1F" w:rsidP="00B92F7E">
            <w:pPr>
              <w:widowControl w:val="0"/>
              <w:ind w:right="6"/>
              <w:rPr>
                <w:rFonts w:ascii="Arial" w:hAnsi="Arial" w:cs="Arial"/>
                <w:sz w:val="20"/>
                <w:szCs w:val="20"/>
              </w:rPr>
            </w:pPr>
            <w:r w:rsidRPr="00351B73">
              <w:rPr>
                <w:rFonts w:ascii="Arial" w:hAnsi="Arial" w:cs="Arial"/>
                <w:sz w:val="20"/>
                <w:szCs w:val="20"/>
              </w:rPr>
              <w:t>Light only</w:t>
            </w:r>
          </w:p>
        </w:tc>
        <w:tc>
          <w:tcPr>
            <w:tcW w:w="1530" w:type="dxa"/>
          </w:tcPr>
          <w:p w14:paraId="6A1E74FA"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Expired</w:t>
            </w:r>
          </w:p>
        </w:tc>
        <w:tc>
          <w:tcPr>
            <w:tcW w:w="2205" w:type="dxa"/>
          </w:tcPr>
          <w:p w14:paraId="2D7A8B24"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18.2 (± 2.49)</w:t>
            </w:r>
          </w:p>
        </w:tc>
        <w:tc>
          <w:tcPr>
            <w:tcW w:w="1965" w:type="dxa"/>
            <w:tcBorders>
              <w:right w:val="nil"/>
            </w:tcBorders>
          </w:tcPr>
          <w:p w14:paraId="5138A245" w14:textId="77777777" w:rsidR="000C4B1F" w:rsidRPr="00351B73" w:rsidRDefault="000C4B1F" w:rsidP="00B92F7E">
            <w:pPr>
              <w:widowControl w:val="0"/>
              <w:ind w:left="4" w:right="11"/>
              <w:rPr>
                <w:rFonts w:ascii="Arial" w:hAnsi="Arial" w:cs="Arial"/>
                <w:sz w:val="20"/>
                <w:szCs w:val="20"/>
              </w:rPr>
            </w:pPr>
            <w:r w:rsidRPr="00351B73">
              <w:rPr>
                <w:rFonts w:ascii="Arial" w:hAnsi="Arial" w:cs="Arial"/>
                <w:sz w:val="20"/>
                <w:szCs w:val="20"/>
              </w:rPr>
              <w:t>0.201 (± 0.55)</w:t>
            </w:r>
          </w:p>
        </w:tc>
      </w:tr>
      <w:tr w:rsidR="000C4B1F" w:rsidRPr="00351B73" w14:paraId="6D1DE5ED" w14:textId="77777777" w:rsidTr="00B92F7E">
        <w:trPr>
          <w:trHeight w:val="486"/>
        </w:trPr>
        <w:tc>
          <w:tcPr>
            <w:tcW w:w="1440" w:type="dxa"/>
            <w:vMerge/>
            <w:tcBorders>
              <w:left w:val="nil"/>
            </w:tcBorders>
          </w:tcPr>
          <w:p w14:paraId="556E87BB" w14:textId="77777777" w:rsidR="000C4B1F" w:rsidRPr="00351B73" w:rsidRDefault="000C4B1F" w:rsidP="00B92F7E">
            <w:pPr>
              <w:widowControl w:val="0"/>
              <w:jc w:val="both"/>
              <w:rPr>
                <w:rFonts w:ascii="Arial" w:hAnsi="Arial" w:cs="Arial"/>
                <w:sz w:val="20"/>
                <w:szCs w:val="20"/>
              </w:rPr>
            </w:pPr>
          </w:p>
        </w:tc>
        <w:tc>
          <w:tcPr>
            <w:tcW w:w="1815" w:type="dxa"/>
            <w:vMerge/>
          </w:tcPr>
          <w:p w14:paraId="0C59EE5F" w14:textId="77777777" w:rsidR="000C4B1F" w:rsidRPr="00351B73" w:rsidRDefault="000C4B1F" w:rsidP="00B92F7E">
            <w:pPr>
              <w:widowControl w:val="0"/>
              <w:jc w:val="both"/>
              <w:rPr>
                <w:rFonts w:ascii="Arial" w:hAnsi="Arial" w:cs="Arial"/>
                <w:sz w:val="20"/>
                <w:szCs w:val="20"/>
              </w:rPr>
            </w:pPr>
          </w:p>
        </w:tc>
        <w:tc>
          <w:tcPr>
            <w:tcW w:w="1530" w:type="dxa"/>
          </w:tcPr>
          <w:p w14:paraId="711A7964"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205" w:type="dxa"/>
          </w:tcPr>
          <w:p w14:paraId="1FAFEB17"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21.2 (± 0.72)</w:t>
            </w:r>
          </w:p>
        </w:tc>
        <w:tc>
          <w:tcPr>
            <w:tcW w:w="1965" w:type="dxa"/>
            <w:tcBorders>
              <w:right w:val="nil"/>
            </w:tcBorders>
          </w:tcPr>
          <w:p w14:paraId="3ADA8B47" w14:textId="77777777" w:rsidR="000C4B1F" w:rsidRPr="00351B73" w:rsidRDefault="000C4B1F" w:rsidP="00B92F7E">
            <w:pPr>
              <w:widowControl w:val="0"/>
              <w:ind w:left="5" w:right="11"/>
              <w:rPr>
                <w:rFonts w:ascii="Arial" w:hAnsi="Arial" w:cs="Arial"/>
                <w:sz w:val="20"/>
                <w:szCs w:val="20"/>
              </w:rPr>
            </w:pPr>
            <w:r w:rsidRPr="00351B73">
              <w:rPr>
                <w:rFonts w:ascii="Arial" w:hAnsi="Arial" w:cs="Arial"/>
                <w:sz w:val="20"/>
                <w:szCs w:val="20"/>
              </w:rPr>
              <w:t>- 2.96 (± 0.84)</w:t>
            </w:r>
          </w:p>
        </w:tc>
      </w:tr>
      <w:tr w:rsidR="000C4B1F" w:rsidRPr="00351B73" w14:paraId="623FBCA2" w14:textId="77777777" w:rsidTr="00B92F7E">
        <w:trPr>
          <w:trHeight w:val="472"/>
        </w:trPr>
        <w:tc>
          <w:tcPr>
            <w:tcW w:w="1440" w:type="dxa"/>
            <w:vMerge/>
            <w:tcBorders>
              <w:left w:val="nil"/>
            </w:tcBorders>
          </w:tcPr>
          <w:p w14:paraId="2F0AABB6" w14:textId="77777777" w:rsidR="000C4B1F" w:rsidRPr="00351B73" w:rsidRDefault="000C4B1F" w:rsidP="00B92F7E">
            <w:pPr>
              <w:widowControl w:val="0"/>
              <w:jc w:val="both"/>
              <w:rPr>
                <w:rFonts w:ascii="Arial" w:hAnsi="Arial" w:cs="Arial"/>
                <w:sz w:val="20"/>
                <w:szCs w:val="20"/>
              </w:rPr>
            </w:pPr>
          </w:p>
        </w:tc>
        <w:tc>
          <w:tcPr>
            <w:tcW w:w="1815" w:type="dxa"/>
            <w:vMerge w:val="restart"/>
          </w:tcPr>
          <w:p w14:paraId="476A2D46"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1530" w:type="dxa"/>
          </w:tcPr>
          <w:p w14:paraId="4F57AD32"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Expired</w:t>
            </w:r>
          </w:p>
        </w:tc>
        <w:tc>
          <w:tcPr>
            <w:tcW w:w="2205" w:type="dxa"/>
          </w:tcPr>
          <w:p w14:paraId="719C3E0A"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20.9 (± 1.37)</w:t>
            </w:r>
          </w:p>
        </w:tc>
        <w:tc>
          <w:tcPr>
            <w:tcW w:w="1965" w:type="dxa"/>
            <w:tcBorders>
              <w:right w:val="nil"/>
            </w:tcBorders>
          </w:tcPr>
          <w:p w14:paraId="1204EE89" w14:textId="77777777" w:rsidR="000C4B1F" w:rsidRPr="00351B73" w:rsidRDefault="000C4B1F" w:rsidP="00B92F7E">
            <w:pPr>
              <w:widowControl w:val="0"/>
              <w:ind w:right="11"/>
              <w:rPr>
                <w:rFonts w:ascii="Arial" w:hAnsi="Arial" w:cs="Arial"/>
                <w:sz w:val="20"/>
                <w:szCs w:val="20"/>
              </w:rPr>
            </w:pPr>
            <w:r w:rsidRPr="00351B73">
              <w:rPr>
                <w:rFonts w:ascii="Arial" w:hAnsi="Arial" w:cs="Arial"/>
                <w:sz w:val="20"/>
                <w:szCs w:val="20"/>
              </w:rPr>
              <w:t>2.70 (± 0.37)</w:t>
            </w:r>
          </w:p>
        </w:tc>
      </w:tr>
      <w:tr w:rsidR="000C4B1F" w:rsidRPr="00351B73" w14:paraId="621B9EE0" w14:textId="77777777" w:rsidTr="00B92F7E">
        <w:trPr>
          <w:trHeight w:val="486"/>
        </w:trPr>
        <w:tc>
          <w:tcPr>
            <w:tcW w:w="1440" w:type="dxa"/>
            <w:vMerge/>
            <w:tcBorders>
              <w:left w:val="nil"/>
            </w:tcBorders>
          </w:tcPr>
          <w:p w14:paraId="42347BE7" w14:textId="77777777" w:rsidR="000C4B1F" w:rsidRPr="00351B73" w:rsidRDefault="000C4B1F" w:rsidP="00B92F7E">
            <w:pPr>
              <w:widowControl w:val="0"/>
              <w:jc w:val="both"/>
              <w:rPr>
                <w:rFonts w:ascii="Arial" w:hAnsi="Arial" w:cs="Arial"/>
                <w:sz w:val="20"/>
                <w:szCs w:val="20"/>
              </w:rPr>
            </w:pPr>
          </w:p>
        </w:tc>
        <w:tc>
          <w:tcPr>
            <w:tcW w:w="1815" w:type="dxa"/>
            <w:vMerge/>
          </w:tcPr>
          <w:p w14:paraId="728219B7" w14:textId="77777777" w:rsidR="000C4B1F" w:rsidRPr="00351B73" w:rsidRDefault="000C4B1F" w:rsidP="00B92F7E">
            <w:pPr>
              <w:widowControl w:val="0"/>
              <w:jc w:val="both"/>
              <w:rPr>
                <w:rFonts w:ascii="Arial" w:hAnsi="Arial" w:cs="Arial"/>
                <w:sz w:val="20"/>
                <w:szCs w:val="20"/>
              </w:rPr>
            </w:pPr>
          </w:p>
        </w:tc>
        <w:tc>
          <w:tcPr>
            <w:tcW w:w="1530" w:type="dxa"/>
          </w:tcPr>
          <w:p w14:paraId="042188A8"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205" w:type="dxa"/>
          </w:tcPr>
          <w:p w14:paraId="15843C39"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22.5 (± 3.05)</w:t>
            </w:r>
          </w:p>
        </w:tc>
        <w:tc>
          <w:tcPr>
            <w:tcW w:w="1965" w:type="dxa"/>
            <w:tcBorders>
              <w:right w:val="nil"/>
            </w:tcBorders>
          </w:tcPr>
          <w:p w14:paraId="0D070A1C" w14:textId="77777777" w:rsidR="000C4B1F" w:rsidRPr="00351B73" w:rsidRDefault="000C4B1F" w:rsidP="00B92F7E">
            <w:pPr>
              <w:widowControl w:val="0"/>
              <w:ind w:left="1" w:right="11"/>
              <w:rPr>
                <w:rFonts w:ascii="Arial" w:hAnsi="Arial" w:cs="Arial"/>
                <w:sz w:val="20"/>
                <w:szCs w:val="20"/>
              </w:rPr>
            </w:pPr>
            <w:r w:rsidRPr="00351B73">
              <w:rPr>
                <w:rFonts w:ascii="Arial" w:hAnsi="Arial" w:cs="Arial"/>
                <w:sz w:val="20"/>
                <w:szCs w:val="20"/>
              </w:rPr>
              <w:t>1.77 (± 1.27)</w:t>
            </w:r>
          </w:p>
        </w:tc>
      </w:tr>
      <w:tr w:rsidR="000C4B1F" w:rsidRPr="00351B73" w14:paraId="1F064919" w14:textId="77777777" w:rsidTr="00B92F7E">
        <w:trPr>
          <w:trHeight w:val="457"/>
        </w:trPr>
        <w:tc>
          <w:tcPr>
            <w:tcW w:w="1440" w:type="dxa"/>
            <w:vMerge w:val="restart"/>
            <w:tcBorders>
              <w:left w:val="nil"/>
            </w:tcBorders>
          </w:tcPr>
          <w:p w14:paraId="58AAD4E2" w14:textId="77777777" w:rsidR="000C4B1F" w:rsidRPr="00351B73" w:rsidRDefault="000C4B1F" w:rsidP="00B92F7E">
            <w:pPr>
              <w:widowControl w:val="0"/>
              <w:rPr>
                <w:rFonts w:ascii="Arial" w:hAnsi="Arial" w:cs="Arial"/>
                <w:b/>
                <w:sz w:val="20"/>
                <w:szCs w:val="20"/>
              </w:rPr>
            </w:pPr>
          </w:p>
          <w:p w14:paraId="2CB5D651" w14:textId="77777777" w:rsidR="000C4B1F" w:rsidRPr="00351B73" w:rsidRDefault="000C4B1F" w:rsidP="00B92F7E">
            <w:pPr>
              <w:widowControl w:val="0"/>
              <w:rPr>
                <w:rFonts w:ascii="Arial" w:hAnsi="Arial" w:cs="Arial"/>
                <w:b/>
                <w:sz w:val="20"/>
                <w:szCs w:val="20"/>
              </w:rPr>
            </w:pPr>
          </w:p>
          <w:p w14:paraId="56EBB0B3" w14:textId="77777777" w:rsidR="000C4B1F" w:rsidRPr="00351B73" w:rsidRDefault="000C4B1F" w:rsidP="00B92F7E">
            <w:pPr>
              <w:widowControl w:val="0"/>
              <w:rPr>
                <w:rFonts w:ascii="Arial" w:hAnsi="Arial" w:cs="Arial"/>
                <w:b/>
                <w:sz w:val="20"/>
                <w:szCs w:val="20"/>
              </w:rPr>
            </w:pPr>
            <w:r w:rsidRPr="00351B73">
              <w:rPr>
                <w:rFonts w:ascii="Arial" w:hAnsi="Arial" w:cs="Arial"/>
                <w:b/>
                <w:sz w:val="20"/>
                <w:szCs w:val="20"/>
              </w:rPr>
              <w:t>Opallis</w:t>
            </w:r>
          </w:p>
        </w:tc>
        <w:tc>
          <w:tcPr>
            <w:tcW w:w="1815" w:type="dxa"/>
            <w:vMerge w:val="restart"/>
          </w:tcPr>
          <w:p w14:paraId="2AE6A39D" w14:textId="77777777" w:rsidR="000C4B1F" w:rsidRPr="00351B73" w:rsidRDefault="000C4B1F" w:rsidP="00B92F7E">
            <w:pPr>
              <w:widowControl w:val="0"/>
              <w:ind w:right="6"/>
              <w:rPr>
                <w:rFonts w:ascii="Arial" w:hAnsi="Arial" w:cs="Arial"/>
                <w:sz w:val="20"/>
                <w:szCs w:val="20"/>
              </w:rPr>
            </w:pPr>
            <w:r w:rsidRPr="00351B73">
              <w:rPr>
                <w:rFonts w:ascii="Arial" w:hAnsi="Arial" w:cs="Arial"/>
                <w:sz w:val="20"/>
                <w:szCs w:val="20"/>
              </w:rPr>
              <w:t>Light only</w:t>
            </w:r>
          </w:p>
        </w:tc>
        <w:tc>
          <w:tcPr>
            <w:tcW w:w="1530" w:type="dxa"/>
          </w:tcPr>
          <w:p w14:paraId="6D1F76AE"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Expired</w:t>
            </w:r>
          </w:p>
        </w:tc>
        <w:tc>
          <w:tcPr>
            <w:tcW w:w="2205" w:type="dxa"/>
          </w:tcPr>
          <w:p w14:paraId="6B18D756"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8.12 (± 1.25)</w:t>
            </w:r>
          </w:p>
        </w:tc>
        <w:tc>
          <w:tcPr>
            <w:tcW w:w="1965" w:type="dxa"/>
            <w:tcBorders>
              <w:right w:val="nil"/>
            </w:tcBorders>
          </w:tcPr>
          <w:p w14:paraId="3309EE43" w14:textId="77777777" w:rsidR="000C4B1F" w:rsidRPr="00351B73" w:rsidRDefault="000C4B1F" w:rsidP="00B92F7E">
            <w:pPr>
              <w:widowControl w:val="0"/>
              <w:ind w:left="5" w:right="11"/>
              <w:rPr>
                <w:rFonts w:ascii="Arial" w:hAnsi="Arial" w:cs="Arial"/>
                <w:sz w:val="20"/>
                <w:szCs w:val="20"/>
              </w:rPr>
            </w:pPr>
            <w:r w:rsidRPr="00351B73">
              <w:rPr>
                <w:rFonts w:ascii="Arial" w:hAnsi="Arial" w:cs="Arial"/>
                <w:sz w:val="20"/>
                <w:szCs w:val="20"/>
              </w:rPr>
              <w:t>-0.87 (± 1.03)</w:t>
            </w:r>
          </w:p>
        </w:tc>
      </w:tr>
      <w:tr w:rsidR="000C4B1F" w:rsidRPr="00351B73" w14:paraId="4024F364" w14:textId="77777777" w:rsidTr="00B92F7E">
        <w:trPr>
          <w:trHeight w:val="486"/>
        </w:trPr>
        <w:tc>
          <w:tcPr>
            <w:tcW w:w="1440" w:type="dxa"/>
            <w:vMerge/>
            <w:tcBorders>
              <w:left w:val="nil"/>
            </w:tcBorders>
          </w:tcPr>
          <w:p w14:paraId="4F2F05DE" w14:textId="77777777" w:rsidR="000C4B1F" w:rsidRPr="00351B73" w:rsidRDefault="000C4B1F" w:rsidP="00B92F7E">
            <w:pPr>
              <w:widowControl w:val="0"/>
              <w:jc w:val="both"/>
              <w:rPr>
                <w:rFonts w:ascii="Arial" w:hAnsi="Arial" w:cs="Arial"/>
                <w:sz w:val="20"/>
                <w:szCs w:val="20"/>
              </w:rPr>
            </w:pPr>
          </w:p>
        </w:tc>
        <w:tc>
          <w:tcPr>
            <w:tcW w:w="1815" w:type="dxa"/>
            <w:vMerge/>
          </w:tcPr>
          <w:p w14:paraId="5A0101EB" w14:textId="77777777" w:rsidR="000C4B1F" w:rsidRPr="00351B73" w:rsidRDefault="000C4B1F" w:rsidP="00B92F7E">
            <w:pPr>
              <w:widowControl w:val="0"/>
              <w:jc w:val="both"/>
              <w:rPr>
                <w:rFonts w:ascii="Arial" w:hAnsi="Arial" w:cs="Arial"/>
                <w:sz w:val="20"/>
                <w:szCs w:val="20"/>
              </w:rPr>
            </w:pPr>
          </w:p>
        </w:tc>
        <w:tc>
          <w:tcPr>
            <w:tcW w:w="1530" w:type="dxa"/>
          </w:tcPr>
          <w:p w14:paraId="73B38044"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205" w:type="dxa"/>
          </w:tcPr>
          <w:p w14:paraId="484CA01F"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9.28 (± 1.04)</w:t>
            </w:r>
          </w:p>
        </w:tc>
        <w:tc>
          <w:tcPr>
            <w:tcW w:w="1965" w:type="dxa"/>
            <w:tcBorders>
              <w:right w:val="nil"/>
            </w:tcBorders>
          </w:tcPr>
          <w:p w14:paraId="3EA7A2FF" w14:textId="77777777" w:rsidR="000C4B1F" w:rsidRPr="00351B73" w:rsidRDefault="000C4B1F" w:rsidP="00B92F7E">
            <w:pPr>
              <w:widowControl w:val="0"/>
              <w:ind w:left="5" w:right="11"/>
              <w:rPr>
                <w:rFonts w:ascii="Arial" w:hAnsi="Arial" w:cs="Arial"/>
                <w:sz w:val="20"/>
                <w:szCs w:val="20"/>
              </w:rPr>
            </w:pPr>
            <w:r w:rsidRPr="00351B73">
              <w:rPr>
                <w:rFonts w:ascii="Arial" w:hAnsi="Arial" w:cs="Arial"/>
                <w:sz w:val="20"/>
                <w:szCs w:val="20"/>
              </w:rPr>
              <w:t>-1.62 (± 0.84)</w:t>
            </w:r>
          </w:p>
        </w:tc>
      </w:tr>
      <w:tr w:rsidR="000C4B1F" w:rsidRPr="00351B73" w14:paraId="2DF8608B" w14:textId="77777777" w:rsidTr="00B92F7E">
        <w:trPr>
          <w:trHeight w:val="530"/>
        </w:trPr>
        <w:tc>
          <w:tcPr>
            <w:tcW w:w="1440" w:type="dxa"/>
            <w:vMerge/>
            <w:tcBorders>
              <w:left w:val="nil"/>
            </w:tcBorders>
          </w:tcPr>
          <w:p w14:paraId="649A2C9A" w14:textId="77777777" w:rsidR="000C4B1F" w:rsidRPr="00351B73" w:rsidRDefault="000C4B1F" w:rsidP="00B92F7E">
            <w:pPr>
              <w:widowControl w:val="0"/>
              <w:jc w:val="both"/>
              <w:rPr>
                <w:rFonts w:ascii="Arial" w:hAnsi="Arial" w:cs="Arial"/>
                <w:sz w:val="20"/>
                <w:szCs w:val="20"/>
              </w:rPr>
            </w:pPr>
          </w:p>
        </w:tc>
        <w:tc>
          <w:tcPr>
            <w:tcW w:w="1815" w:type="dxa"/>
            <w:vMerge w:val="restart"/>
          </w:tcPr>
          <w:p w14:paraId="09ADF1A8" w14:textId="77777777" w:rsidR="000C4B1F" w:rsidRPr="00351B73" w:rsidRDefault="000C4B1F" w:rsidP="00B92F7E">
            <w:pPr>
              <w:widowControl w:val="0"/>
              <w:rPr>
                <w:rFonts w:ascii="Arial" w:hAnsi="Arial" w:cs="Arial"/>
                <w:sz w:val="20"/>
                <w:szCs w:val="20"/>
              </w:rPr>
            </w:pPr>
            <w:r w:rsidRPr="00351B73">
              <w:rPr>
                <w:rFonts w:ascii="Arial" w:hAnsi="Arial" w:cs="Arial"/>
                <w:sz w:val="20"/>
                <w:szCs w:val="20"/>
              </w:rPr>
              <w:t>Light + Heat</w:t>
            </w:r>
          </w:p>
        </w:tc>
        <w:tc>
          <w:tcPr>
            <w:tcW w:w="1530" w:type="dxa"/>
          </w:tcPr>
          <w:p w14:paraId="711C681C"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Expired</w:t>
            </w:r>
          </w:p>
        </w:tc>
        <w:tc>
          <w:tcPr>
            <w:tcW w:w="2205" w:type="dxa"/>
          </w:tcPr>
          <w:p w14:paraId="69D2EF35"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9.77 (± 1.02)</w:t>
            </w:r>
          </w:p>
        </w:tc>
        <w:tc>
          <w:tcPr>
            <w:tcW w:w="1965" w:type="dxa"/>
            <w:tcBorders>
              <w:right w:val="nil"/>
            </w:tcBorders>
          </w:tcPr>
          <w:p w14:paraId="5C2FB9D1" w14:textId="77777777" w:rsidR="000C4B1F" w:rsidRPr="00351B73" w:rsidRDefault="000C4B1F" w:rsidP="00B92F7E">
            <w:pPr>
              <w:widowControl w:val="0"/>
              <w:ind w:right="11"/>
              <w:rPr>
                <w:rFonts w:ascii="Arial" w:hAnsi="Arial" w:cs="Arial"/>
                <w:sz w:val="20"/>
                <w:szCs w:val="20"/>
              </w:rPr>
            </w:pPr>
            <w:r w:rsidRPr="00351B73">
              <w:rPr>
                <w:rFonts w:ascii="Arial" w:hAnsi="Arial" w:cs="Arial"/>
                <w:sz w:val="20"/>
                <w:szCs w:val="20"/>
              </w:rPr>
              <w:t>0.77 (± 0.23)</w:t>
            </w:r>
          </w:p>
        </w:tc>
      </w:tr>
      <w:tr w:rsidR="000C4B1F" w:rsidRPr="00351B73" w14:paraId="7C497AEB" w14:textId="77777777" w:rsidTr="00B92F7E">
        <w:trPr>
          <w:trHeight w:val="472"/>
        </w:trPr>
        <w:tc>
          <w:tcPr>
            <w:tcW w:w="1440" w:type="dxa"/>
            <w:vMerge/>
            <w:tcBorders>
              <w:left w:val="nil"/>
            </w:tcBorders>
          </w:tcPr>
          <w:p w14:paraId="2C9C7144" w14:textId="77777777" w:rsidR="000C4B1F" w:rsidRPr="00351B73" w:rsidRDefault="000C4B1F" w:rsidP="00B92F7E">
            <w:pPr>
              <w:widowControl w:val="0"/>
              <w:jc w:val="both"/>
              <w:rPr>
                <w:rFonts w:ascii="Arial" w:hAnsi="Arial" w:cs="Arial"/>
                <w:sz w:val="20"/>
                <w:szCs w:val="20"/>
              </w:rPr>
            </w:pPr>
          </w:p>
        </w:tc>
        <w:tc>
          <w:tcPr>
            <w:tcW w:w="1815" w:type="dxa"/>
            <w:vMerge/>
          </w:tcPr>
          <w:p w14:paraId="08B1FD19" w14:textId="77777777" w:rsidR="000C4B1F" w:rsidRPr="00351B73" w:rsidRDefault="000C4B1F" w:rsidP="00B92F7E">
            <w:pPr>
              <w:widowControl w:val="0"/>
              <w:jc w:val="both"/>
              <w:rPr>
                <w:rFonts w:ascii="Arial" w:hAnsi="Arial" w:cs="Arial"/>
                <w:sz w:val="20"/>
                <w:szCs w:val="20"/>
              </w:rPr>
            </w:pPr>
          </w:p>
        </w:tc>
        <w:tc>
          <w:tcPr>
            <w:tcW w:w="1530" w:type="dxa"/>
          </w:tcPr>
          <w:p w14:paraId="2F474ED2" w14:textId="77777777" w:rsidR="000C4B1F" w:rsidRPr="00351B73" w:rsidRDefault="000C4B1F" w:rsidP="00B92F7E">
            <w:pPr>
              <w:widowControl w:val="0"/>
              <w:ind w:right="1"/>
              <w:rPr>
                <w:rFonts w:ascii="Arial" w:hAnsi="Arial" w:cs="Arial"/>
                <w:sz w:val="20"/>
                <w:szCs w:val="20"/>
              </w:rPr>
            </w:pPr>
            <w:r w:rsidRPr="00351B73">
              <w:rPr>
                <w:rFonts w:ascii="Arial" w:hAnsi="Arial" w:cs="Arial"/>
                <w:sz w:val="20"/>
                <w:szCs w:val="20"/>
              </w:rPr>
              <w:t>Unexpired</w:t>
            </w:r>
          </w:p>
        </w:tc>
        <w:tc>
          <w:tcPr>
            <w:tcW w:w="2205" w:type="dxa"/>
          </w:tcPr>
          <w:p w14:paraId="5DA7A49B" w14:textId="77777777" w:rsidR="000C4B1F" w:rsidRPr="00351B73" w:rsidRDefault="000C4B1F" w:rsidP="00B92F7E">
            <w:pPr>
              <w:widowControl w:val="0"/>
              <w:ind w:right="2"/>
              <w:rPr>
                <w:rFonts w:ascii="Arial" w:hAnsi="Arial" w:cs="Arial"/>
                <w:sz w:val="20"/>
                <w:szCs w:val="20"/>
              </w:rPr>
            </w:pPr>
            <w:r w:rsidRPr="00351B73">
              <w:rPr>
                <w:rFonts w:ascii="Arial" w:hAnsi="Arial" w:cs="Arial"/>
                <w:sz w:val="20"/>
                <w:szCs w:val="20"/>
              </w:rPr>
              <w:t>9.80 (± 1.23)</w:t>
            </w:r>
          </w:p>
        </w:tc>
        <w:tc>
          <w:tcPr>
            <w:tcW w:w="1965" w:type="dxa"/>
            <w:tcBorders>
              <w:right w:val="nil"/>
            </w:tcBorders>
          </w:tcPr>
          <w:p w14:paraId="0362B1BE" w14:textId="77777777" w:rsidR="000C4B1F" w:rsidRPr="00351B73" w:rsidRDefault="000C4B1F" w:rsidP="00B92F7E">
            <w:pPr>
              <w:widowControl w:val="0"/>
              <w:ind w:right="11"/>
              <w:rPr>
                <w:rFonts w:ascii="Arial" w:hAnsi="Arial" w:cs="Arial"/>
                <w:sz w:val="20"/>
                <w:szCs w:val="20"/>
              </w:rPr>
            </w:pPr>
            <w:r w:rsidRPr="00351B73">
              <w:rPr>
                <w:rFonts w:ascii="Arial" w:hAnsi="Arial" w:cs="Arial"/>
                <w:sz w:val="20"/>
                <w:szCs w:val="20"/>
              </w:rPr>
              <w:t>0.60 (± 1.18)</w:t>
            </w:r>
          </w:p>
        </w:tc>
      </w:tr>
    </w:tbl>
    <w:p w14:paraId="14980902" w14:textId="77777777" w:rsidR="000C4B1F" w:rsidRDefault="000C4B1F" w:rsidP="000C4B1F">
      <w:pPr>
        <w:pStyle w:val="Body"/>
        <w:spacing w:after="0"/>
        <w:rPr>
          <w:rFonts w:ascii="Arial" w:hAnsi="Arial" w:cs="Arial"/>
          <w:sz w:val="20"/>
          <w:szCs w:val="20"/>
        </w:rPr>
      </w:pPr>
    </w:p>
    <w:p w14:paraId="1AB408CB" w14:textId="77777777" w:rsidR="000C4B1F" w:rsidRPr="000C4B1F" w:rsidRDefault="000C4B1F" w:rsidP="000C4B1F">
      <w:pPr>
        <w:pStyle w:val="Body"/>
        <w:rPr>
          <w:rFonts w:ascii="Arial" w:hAnsi="Arial" w:cs="Arial"/>
          <w:b/>
          <w:bCs/>
          <w:sz w:val="20"/>
          <w:szCs w:val="20"/>
        </w:rPr>
      </w:pPr>
      <w:r w:rsidRPr="000C4B1F">
        <w:rPr>
          <w:rFonts w:ascii="Arial" w:hAnsi="Arial" w:cs="Arial"/>
          <w:b/>
          <w:bCs/>
          <w:sz w:val="20"/>
          <w:szCs w:val="20"/>
        </w:rPr>
        <w:t>4 - DISCUSSION</w:t>
      </w:r>
    </w:p>
    <w:p w14:paraId="07C22619"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In the present study, no statistically significant differences were found for flexural strength, elastic modulus, or water sorption and solubility among the factors composite resin, polymerization method, and expiration status. Statistically significant differences were observed only in the microhardness test.</w:t>
      </w:r>
    </w:p>
    <w:p w14:paraId="3E3C3219"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The three-point flexural test is designed to simulate in vitro clinical situations, such as how a material behaves under masticatory loads. However, specimen preparation for this test, as specified in ISO 4049:2019 [20], presents limitations regarding the light-curing process. Because the specimens are relatively long (25 mm), irradiance is highest at the central irradiation site and diminishes toward the ends, increasing the likelihood of fracture outside the intended flexural zone [21–23].</w:t>
      </w:r>
    </w:p>
    <w:p w14:paraId="265AB895"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The mini-flexural test, widely reported in the literature [21, 24], uses 12 mm bars, providing greater similarity to dental anatomy and allowing single-step light activation to ensure uniform irradiation across each specimen. Results from the three-point flexural and mini-flexural tests are strongly correlated. Thus, the mini-flexural test offers advantages: it is easier to perform and more accurately reflects clinical conditions [24].</w:t>
      </w:r>
    </w:p>
    <w:p w14:paraId="0167FB42"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Studies using accelerated aging protocols have reported a significant decrease in the flexural strength of Filtek Z350 XT resin when comparing unexpired specimens to aged ones. In contrast, the elastic modulus of the same resin did not differ significantly between unexpired and expired groups, corroborating the findings of the present study [4,6].</w:t>
      </w:r>
    </w:p>
    <w:p w14:paraId="0D1EBF43"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A study using a hydrothermal aging protocol evaluated the expiration period of the tested resins and reported that up to three years after the expiration date, no statistically significant differences were observed in flexural strength, elastic modulus, or wear resistance. However, a reduction in microhardness was observed in the expired composites [5], which is consistent with the results of this study.</w:t>
      </w:r>
    </w:p>
    <w:p w14:paraId="6F9C2E3A"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Another study evaluated the flexural properties of five composite resins that were stored for up to 30 months beyond expiration [4]. The tested materials retained their flexural strength for up to 15 months post-expiration. Since the resins used in the present study were expired for no more than 12 months, these findings are consistent with our results.</w:t>
      </w:r>
    </w:p>
    <w:p w14:paraId="55A657F3"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Some laboratory studies have investigated the influence of filler particle size and filler weight on the flexural properties of resin composites [25–26]. Tanimoto et al. [25] analyzed the effect of particle size on flexural strength and observed that strength decreased as particle size increased. However, no statistically significant differences were detected in the elastic modulus among the tested materials.</w:t>
      </w:r>
    </w:p>
    <w:p w14:paraId="6988E482"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Rodrigues Junior et al. [26] found a low but significant correlation between the mechanical properties and the weight percentage of inorganic filler in composite resins. This percentage was determined by ashing the organic matrix of three resin types (universal nanoparticulate, hybrid, and microparticulate). Subsequently, the influence of the inorganic content on flexural strength and elastic modulus was evaluated by three-point flexural testing. In the present study, although the analyzed composites differ slightly in particle size (nanoparticulate Z350 XT versus microhybrid Opallis), they have an equivalent filler volume percentage, thus providing a meaningful context for comparison.</w:t>
      </w:r>
    </w:p>
    <w:p w14:paraId="43B34A42"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Previous studies have also reported a reduction in microhardness values when composite resins are past their expiration date [27,28]. In the current investigation, similar behavior was observed: within each composite group (Opallis and Z350 XT activated by light only), expired resins exhibited significantly lower microhardness than non-expired ones (p = 0.004 for Opallis; p = 0.001 for Z350 XT).</w:t>
      </w:r>
    </w:p>
    <w:p w14:paraId="5034A98E"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 xml:space="preserve">Similarly, Tirapelli et al. [28] assessed the radiopacity and microhardness of two composite resins and one compomer by comparing specimens that were non-expired with those beyond their </w:t>
      </w:r>
      <w:r w:rsidRPr="000C4B1F">
        <w:rPr>
          <w:rFonts w:ascii="Arial" w:hAnsi="Arial" w:cs="Arial"/>
          <w:sz w:val="20"/>
          <w:szCs w:val="20"/>
        </w:rPr>
        <w:lastRenderedPageBreak/>
        <w:t>expiration date. A statistically significant difference was observed in one of the composite resins, exhibiting decreased values in the expired group.</w:t>
      </w:r>
    </w:p>
    <w:p w14:paraId="0F5995CA"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In 2009, Roberti Garcia et al. [27] observed that microhardness of composite resins decreases when tested 180 days post-expiration. They evaluated the degree of conversion, microhardness, and surface roughness of expired resins subjected to direct application and light curing only. Nevertheless, when thermal treatment was combined with light activation, expired Z350 XT resin exhibited a statistically significant increase of approximately 14% in surface microhardness compared to light activation alone.</w:t>
      </w:r>
    </w:p>
    <w:p w14:paraId="7AD41AC1"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Evidence in the literature suggests that, in general, the application of heat results in increased mechanical properties of cured composites due to improved conversion and reduced unreacted monomers [9,14]. However, in this work, such enhancement was detected in the heat-treated group only during the Knoop microhardness test and was absent in the other mechanical assessments.</w:t>
      </w:r>
    </w:p>
    <w:p w14:paraId="36135D0B"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In the non-expired Z350 XT group, heat and light curing was associated with an approximately 30% decrease in Knoop microhardness compared with light-only curing. Although heat has been linked to a higher degree of conversion, excessive temperature may promote composite degradation, which can reduce surface hardness [8].</w:t>
      </w:r>
    </w:p>
    <w:p w14:paraId="1FE53D4C"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The glass transition temperature (Tg) is a material dependent parameter that can guide the selection of an appropriate thermal treatment protocol [29]. Above Tg, secondary molecular interactions weaken, permitting greater molecular relaxation and enabling trapped free radicals to react, thereby increasing the degree of conversion [8]. Reported Tg values for composite resins range from approximately 157 to 162 °C, and the initial loss of volatile components may begin at temperatures starting from 180 °C [29].</w:t>
      </w:r>
    </w:p>
    <w:p w14:paraId="386D5F55"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Santana et al. [18] observed that an experimental thermal treatment at 170 °C for 10 min significantly increased the mechanical properties of the tested composites. In the present study, the thermal curing protocol was aligned with literature recommendations (≤170 °C/10 min). Therefore, this condition alone is unlikely to explain the decrease in microhardness observed in the non-expired Z350 XT group subjected to heat and light curing.</w:t>
      </w:r>
    </w:p>
    <w:p w14:paraId="56EF07BC"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In 2019, Eliguzeloglu Dalkilic et al. reported no statistically significant differences in Vickers hardness or water solubility between expired and non-expired composite resins. In that study, four composites were evaluated, and all expired specimens were at most six months past the expiration date [7]. This short post-expiration period, as well as the use of a specific LED curing unit, may have influenced the results [7,1].</w:t>
      </w:r>
    </w:p>
    <w:p w14:paraId="2B08988E" w14:textId="77777777" w:rsidR="000C4B1F"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With advancements in dental technologies, third generation light curing units (LCUs), often referred to as polywave or multi peak devices, can deliver irradiance from 1,000 to 3,000 mW/cm² [30]. These devices are considered universal because they emit light across multiple spectral peaks that activate camphorquinone and alternative photoinitiators (e.g., TPO, PPD) [30]. The VALO LED curing light (Ultradent Products Inc., South Jordan, UT, USA) is an example of a third generation LCU. In the present study, the device’s high irradiance and broader spectral coverage may have contributed to the observed outcomes, including for expired composites polymerized with light only. This spectral output likely supported a high degree of conversion.</w:t>
      </w:r>
    </w:p>
    <w:p w14:paraId="03D15096" w14:textId="77777777" w:rsidR="000C4B1F" w:rsidRPr="000C4B1F" w:rsidRDefault="000C4B1F" w:rsidP="000C4B1F">
      <w:pPr>
        <w:pStyle w:val="Body"/>
        <w:ind w:firstLine="720"/>
        <w:rPr>
          <w:rFonts w:ascii="Arial" w:hAnsi="Arial" w:cs="Arial"/>
          <w:sz w:val="20"/>
          <w:szCs w:val="20"/>
        </w:rPr>
      </w:pPr>
      <w:r w:rsidRPr="000C4B1F">
        <w:rPr>
          <w:rFonts w:ascii="Arial" w:hAnsi="Arial" w:cs="Arial"/>
          <w:sz w:val="20"/>
          <w:szCs w:val="20"/>
        </w:rPr>
        <w:t>Muniz et al. [31] investigated the influence of thermal treatment on the water sorption and solubility of two direct composite resins by using a dry heat oven (170 °C, 10 min). They found statistically significant differences in water sorption (p = 0.026) and in solubility (p = 0.01) [31]. Fabre et al. [32] also documented negative solubility values, which do not indicate the absence of this property. Rather, water sorption exceeded mass loss, leading to an increase in specimen mass after immersion. This behavior is frequently associated with high material hydrophilicity, which favors the retention of water molecules through interactions with polar sites along the polymer chain [31,33].</w:t>
      </w:r>
    </w:p>
    <w:p w14:paraId="100D4B88" w14:textId="77777777" w:rsidR="000C4B1F" w:rsidRPr="000C4B1F" w:rsidRDefault="000C4B1F" w:rsidP="000C4B1F">
      <w:pPr>
        <w:pStyle w:val="Body"/>
        <w:spacing w:after="0"/>
        <w:rPr>
          <w:rFonts w:ascii="Arial" w:hAnsi="Arial" w:cs="Arial"/>
          <w:sz w:val="20"/>
          <w:szCs w:val="20"/>
        </w:rPr>
      </w:pPr>
      <w:r w:rsidRPr="000C4B1F">
        <w:rPr>
          <w:rFonts w:ascii="Arial" w:hAnsi="Arial" w:cs="Arial"/>
          <w:sz w:val="20"/>
          <w:szCs w:val="20"/>
        </w:rPr>
        <w:t>No statistically significant changes were detected in water sorption and solubility after the experimental air fryer thermal treatment. One plausible explanation is the comparatively lower hydrophilicity of the formulations evaluated here relative to those in previous studies, including the microhybrid FillMagic and the hybrid Filtek P60 [31] and the universal Filtek Ultimate [3]. Filtek Z350 XT is primarily formulated with Bis-GMA, UDMA and TEGDMA, whereas Opallis contains Bis-GMA and Bis-EMA. Although these monomers contain polar groups, the overall formulations in this study appear to show only moderate water uptake.</w:t>
      </w:r>
    </w:p>
    <w:p w14:paraId="42CB2ACE" w14:textId="64BBC9ED" w:rsidR="000C4B1F" w:rsidRPr="000C4B1F" w:rsidRDefault="000C4B1F" w:rsidP="000C4B1F">
      <w:pPr>
        <w:pStyle w:val="Body"/>
        <w:ind w:firstLine="720"/>
        <w:rPr>
          <w:rFonts w:ascii="Arial" w:hAnsi="Arial" w:cs="Arial"/>
          <w:sz w:val="20"/>
          <w:szCs w:val="20"/>
        </w:rPr>
      </w:pPr>
      <w:r w:rsidRPr="000C4B1F">
        <w:rPr>
          <w:rFonts w:ascii="Arial" w:hAnsi="Arial" w:cs="Arial"/>
          <w:sz w:val="20"/>
          <w:szCs w:val="20"/>
        </w:rPr>
        <w:t xml:space="preserve">To the best of our knowledge, there are no published reports using air fryers to provide heat for postcuring composite resin restorations, which limits direct comparison with previous studies. Based on the results obtained, the air fryer may be a viable heat source for thermal polymerization under the conditions tested. Further studies are necessary, including cytotoxicity assessments of </w:t>
      </w:r>
      <w:r w:rsidRPr="000C4B1F">
        <w:rPr>
          <w:rFonts w:ascii="Arial" w:hAnsi="Arial" w:cs="Arial"/>
          <w:sz w:val="20"/>
          <w:szCs w:val="20"/>
        </w:rPr>
        <w:lastRenderedPageBreak/>
        <w:t>expired composite resins and in situ or clinical investigations, to ensure safety and support clinical applicability of the materials.</w:t>
      </w:r>
    </w:p>
    <w:p w14:paraId="5ED60C1D" w14:textId="0735E626" w:rsidR="000C4B1F" w:rsidRPr="000C4B1F" w:rsidRDefault="000C4B1F" w:rsidP="000C4B1F">
      <w:pPr>
        <w:pStyle w:val="Body"/>
        <w:spacing w:after="0"/>
        <w:rPr>
          <w:rFonts w:ascii="Arial" w:hAnsi="Arial" w:cs="Arial"/>
          <w:b/>
          <w:bCs/>
          <w:sz w:val="22"/>
          <w:szCs w:val="22"/>
        </w:rPr>
      </w:pPr>
      <w:r w:rsidRPr="000C4B1F">
        <w:rPr>
          <w:rFonts w:ascii="Arial" w:hAnsi="Arial" w:cs="Arial"/>
          <w:b/>
          <w:bCs/>
          <w:sz w:val="22"/>
          <w:szCs w:val="22"/>
        </w:rPr>
        <w:t>5 - CONCLUSION</w:t>
      </w:r>
    </w:p>
    <w:p w14:paraId="4177395F" w14:textId="77777777" w:rsidR="00790ADA" w:rsidRPr="00FB3A86" w:rsidRDefault="00790ADA" w:rsidP="00441B6F">
      <w:pPr>
        <w:pStyle w:val="ConcHead"/>
        <w:spacing w:after="0"/>
        <w:jc w:val="both"/>
        <w:rPr>
          <w:rFonts w:ascii="Arial" w:hAnsi="Arial" w:cs="Arial"/>
        </w:rPr>
      </w:pPr>
    </w:p>
    <w:p w14:paraId="6C6487AD" w14:textId="38C217B5" w:rsidR="00790ADA" w:rsidRPr="000C4B1F" w:rsidRDefault="000C4B1F" w:rsidP="000C4B1F">
      <w:pPr>
        <w:pStyle w:val="Body"/>
        <w:spacing w:after="0"/>
        <w:ind w:firstLine="720"/>
        <w:rPr>
          <w:rFonts w:ascii="Arial" w:hAnsi="Arial" w:cs="Arial"/>
          <w:sz w:val="20"/>
          <w:szCs w:val="20"/>
        </w:rPr>
      </w:pPr>
      <w:r w:rsidRPr="000C4B1F">
        <w:rPr>
          <w:rFonts w:ascii="Arial" w:hAnsi="Arial" w:cs="Arial"/>
          <w:sz w:val="20"/>
          <w:szCs w:val="20"/>
        </w:rPr>
        <w:t>Within the limitations of this study, the interaction among resin type, polymerization protocol and expiration status did not significantly affect flexural strength, elastic modulus, water sorption or solubility. No main effect of expiration status was detected for these outcomes, supporting the study hypothesis. In contrast, microhardness showed a statistically significant difference, indicating that thermal treatment influenced this property in expired resins.</w:t>
      </w:r>
    </w:p>
    <w:p w14:paraId="0FE9C5C5" w14:textId="77777777" w:rsidR="000C4B1F" w:rsidRPr="00FB3A86" w:rsidRDefault="000C4B1F" w:rsidP="00441B6F">
      <w:pPr>
        <w:pStyle w:val="Body"/>
        <w:spacing w:after="0"/>
        <w:rPr>
          <w:rFonts w:ascii="Arial" w:hAnsi="Arial" w:cs="Arial"/>
        </w:rPr>
      </w:pPr>
    </w:p>
    <w:p w14:paraId="4A2D1E74" w14:textId="77777777" w:rsidR="005C784C" w:rsidRPr="0048022E" w:rsidRDefault="005C784C" w:rsidP="0048022E">
      <w:pPr>
        <w:pStyle w:val="ReferHead"/>
        <w:spacing w:after="0"/>
        <w:ind w:left="720"/>
        <w:jc w:val="both"/>
        <w:rPr>
          <w:rFonts w:ascii="Arial" w:hAnsi="Arial" w:cs="Arial"/>
          <w:b w:val="0"/>
          <w:caps w:val="0"/>
          <w:sz w:val="20"/>
        </w:rPr>
      </w:pPr>
    </w:p>
    <w:p w14:paraId="3FF61AF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F743803" w14:textId="77777777" w:rsidR="005C784C" w:rsidRPr="002B685A" w:rsidRDefault="005C784C" w:rsidP="00441B6F">
      <w:pPr>
        <w:pStyle w:val="ReferHead"/>
        <w:spacing w:after="0"/>
        <w:jc w:val="both"/>
        <w:rPr>
          <w:rFonts w:ascii="Arial" w:hAnsi="Arial" w:cs="Arial"/>
          <w:bCs/>
        </w:rPr>
      </w:pPr>
    </w:p>
    <w:p w14:paraId="24B311F6" w14:textId="7570C395" w:rsidR="00860000" w:rsidRDefault="00211DB2" w:rsidP="00211DB2">
      <w:pPr>
        <w:pStyle w:val="ReferHead"/>
        <w:spacing w:after="0"/>
        <w:ind w:firstLine="720"/>
        <w:jc w:val="both"/>
        <w:rPr>
          <w:rFonts w:ascii="Arial" w:hAnsi="Arial" w:cs="Arial"/>
          <w:b w:val="0"/>
          <w:caps w:val="0"/>
          <w:sz w:val="20"/>
        </w:rPr>
      </w:pPr>
      <w:r w:rsidRPr="00211DB2">
        <w:rPr>
          <w:rFonts w:ascii="Arial" w:hAnsi="Arial" w:cs="Arial"/>
          <w:b w:val="0"/>
          <w:caps w:val="0"/>
          <w:sz w:val="20"/>
        </w:rPr>
        <w:t>This study involved only inert materials and did not include human participants or animals; therefore, submission to Plataforma Brasil and review by the Research Ethics Committee (CEP) and the Ethics Committee for Animal Use (CEUA) were not required, in accordance with CNS Resolutions 466/2012 and 510/2016.</w:t>
      </w:r>
    </w:p>
    <w:p w14:paraId="0864A473" w14:textId="77777777" w:rsidR="00211DB2" w:rsidRDefault="00211DB2" w:rsidP="00211DB2">
      <w:pPr>
        <w:pStyle w:val="ReferHead"/>
        <w:spacing w:after="0"/>
        <w:ind w:firstLine="720"/>
        <w:jc w:val="both"/>
        <w:rPr>
          <w:rFonts w:ascii="Arial" w:hAnsi="Arial" w:cs="Arial"/>
        </w:rPr>
      </w:pPr>
    </w:p>
    <w:p w14:paraId="04C4D3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F85383" w14:textId="77777777" w:rsidR="00790ADA" w:rsidRPr="00FB3A86" w:rsidRDefault="00790ADA" w:rsidP="00441B6F">
      <w:pPr>
        <w:pStyle w:val="ReferHead"/>
        <w:spacing w:after="0"/>
        <w:jc w:val="both"/>
        <w:rPr>
          <w:rFonts w:ascii="Arial" w:hAnsi="Arial" w:cs="Arial"/>
        </w:rPr>
      </w:pPr>
    </w:p>
    <w:p w14:paraId="465609B6"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Gungor AY, Alkis H, Turkkahraman H. Can brackets be bonded with a composite resin after expiration date? </w:t>
      </w:r>
      <w:r w:rsidRPr="00351B73">
        <w:rPr>
          <w:rFonts w:ascii="Arial" w:hAnsi="Arial" w:cs="Arial"/>
          <w:i/>
          <w:sz w:val="20"/>
          <w:szCs w:val="20"/>
        </w:rPr>
        <w:t>Int J Artif Organs</w:t>
      </w:r>
      <w:r w:rsidRPr="00351B73">
        <w:rPr>
          <w:rFonts w:ascii="Arial" w:hAnsi="Arial" w:cs="Arial"/>
          <w:sz w:val="20"/>
          <w:szCs w:val="20"/>
        </w:rPr>
        <w:t>. 2016;39(2):84-86. doi:10.5301/ijao.5000479</w:t>
      </w:r>
    </w:p>
    <w:p w14:paraId="6DBF6E9F"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Shashikiran N, Talreja N. Comparative evaluation of bond strength and microleakage of standard and expired composite at resin–dentin interface: an in-vitro study. </w:t>
      </w:r>
      <w:r w:rsidRPr="00351B73">
        <w:rPr>
          <w:rFonts w:ascii="Arial" w:hAnsi="Arial" w:cs="Arial"/>
          <w:i/>
          <w:sz w:val="20"/>
          <w:szCs w:val="20"/>
        </w:rPr>
        <w:t>Int J Clin Pediatr Dent</w:t>
      </w:r>
      <w:r w:rsidRPr="00351B73">
        <w:rPr>
          <w:rFonts w:ascii="Arial" w:hAnsi="Arial" w:cs="Arial"/>
          <w:sz w:val="20"/>
          <w:szCs w:val="20"/>
        </w:rPr>
        <w:t>. 2017;10(1):1-4. doi:10.5005/jp-journals-10005-1396</w:t>
      </w:r>
    </w:p>
    <w:p w14:paraId="6403ABFE"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Dülger K, Koşar T. Microhardness, degree of conversion, and water sorption/solubility of non-expired and expired (two and three years) dental composites. </w:t>
      </w:r>
      <w:r w:rsidRPr="00351B73">
        <w:rPr>
          <w:rFonts w:ascii="Arial" w:hAnsi="Arial" w:cs="Arial"/>
          <w:i/>
          <w:sz w:val="20"/>
          <w:szCs w:val="20"/>
        </w:rPr>
        <w:t>Bezmialem Sci</w:t>
      </w:r>
      <w:r w:rsidRPr="00351B73">
        <w:rPr>
          <w:rFonts w:ascii="Arial" w:hAnsi="Arial" w:cs="Arial"/>
          <w:sz w:val="20"/>
          <w:szCs w:val="20"/>
        </w:rPr>
        <w:t>. 2023;11(2):151-157. doi:10.14235/bas.galenos.2022.64935</w:t>
      </w:r>
    </w:p>
    <w:p w14:paraId="7BEA0E34"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Nagaoka H, Bishop S, Roberts H. Flexural performance of direct resin composite restorative materials past expiration date. </w:t>
      </w:r>
      <w:r w:rsidRPr="00351B73">
        <w:rPr>
          <w:rFonts w:ascii="Arial" w:hAnsi="Arial" w:cs="Arial"/>
          <w:i/>
          <w:sz w:val="20"/>
          <w:szCs w:val="20"/>
        </w:rPr>
        <w:t>Eur J Dent</w:t>
      </w:r>
      <w:r w:rsidRPr="00351B73">
        <w:rPr>
          <w:rFonts w:ascii="Arial" w:hAnsi="Arial" w:cs="Arial"/>
          <w:sz w:val="20"/>
          <w:szCs w:val="20"/>
        </w:rPr>
        <w:t>. 2020;14(2):217-223. doi:10.1055/s-0040-1709922</w:t>
      </w:r>
    </w:p>
    <w:p w14:paraId="5D2FE669"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Oja J, Lassila L, Vallittu PK, Garoushi S. Effect of accelerated aging on some mechanical properties and wear of different commercial dental resin composites. </w:t>
      </w:r>
      <w:r w:rsidRPr="00351B73">
        <w:rPr>
          <w:rFonts w:ascii="Arial" w:hAnsi="Arial" w:cs="Arial"/>
          <w:i/>
          <w:sz w:val="20"/>
          <w:szCs w:val="20"/>
        </w:rPr>
        <w:t>Materials (Basel)</w:t>
      </w:r>
      <w:r w:rsidRPr="00351B73">
        <w:rPr>
          <w:rFonts w:ascii="Arial" w:hAnsi="Arial" w:cs="Arial"/>
          <w:sz w:val="20"/>
          <w:szCs w:val="20"/>
        </w:rPr>
        <w:t>. 2021;14(11):2769. doi:10.3390/ma14112769</w:t>
      </w:r>
    </w:p>
    <w:p w14:paraId="11A73E36"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D’Alpino PHP, Vismara MVG, Mello LMDM, Hipólito VD, González AHM, Graeff CFDO. Resin composite characterizations following a simplified protocol of accelerated aging as a function of the expiration date. </w:t>
      </w:r>
      <w:r w:rsidRPr="00351B73">
        <w:rPr>
          <w:rFonts w:ascii="Arial" w:hAnsi="Arial" w:cs="Arial"/>
          <w:i/>
          <w:sz w:val="20"/>
          <w:szCs w:val="20"/>
        </w:rPr>
        <w:t>J Mech Behav Biomed Mater</w:t>
      </w:r>
      <w:r w:rsidRPr="00351B73">
        <w:rPr>
          <w:rFonts w:ascii="Arial" w:hAnsi="Arial" w:cs="Arial"/>
          <w:sz w:val="20"/>
          <w:szCs w:val="20"/>
        </w:rPr>
        <w:t>. 2014;35:59-69. doi:10.1016/j.jmbbm.2014.03.015</w:t>
      </w:r>
    </w:p>
    <w:p w14:paraId="580A5EF4"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Eliguzeloglu Dalkilic E, Donmez N, Kazak M, Duc B, Aslantas A. Microhardness and water solubility of expired and non-expired shelf-life composites. </w:t>
      </w:r>
      <w:r w:rsidRPr="00351B73">
        <w:rPr>
          <w:rFonts w:ascii="Arial" w:hAnsi="Arial" w:cs="Arial"/>
          <w:i/>
          <w:sz w:val="20"/>
          <w:szCs w:val="20"/>
        </w:rPr>
        <w:t>Int J Artif Organs</w:t>
      </w:r>
      <w:r w:rsidRPr="00351B73">
        <w:rPr>
          <w:rFonts w:ascii="Arial" w:hAnsi="Arial" w:cs="Arial"/>
          <w:sz w:val="20"/>
          <w:szCs w:val="20"/>
        </w:rPr>
        <w:t>. 2019;42(1):25-30. doi:10.1177/0391398818790626</w:t>
      </w:r>
    </w:p>
    <w:p w14:paraId="20E99F78"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Miyazaki CL, Medeiros IS, Santana IL, Matos JDR, Rodrigues Filho LE. Heat treatment of a direct composite resin: influence on flexural strength. </w:t>
      </w:r>
      <w:r w:rsidRPr="00351B73">
        <w:rPr>
          <w:rFonts w:ascii="Arial" w:hAnsi="Arial" w:cs="Arial"/>
          <w:i/>
          <w:sz w:val="20"/>
          <w:szCs w:val="20"/>
        </w:rPr>
        <w:t>Braz Oral Res</w:t>
      </w:r>
      <w:r w:rsidRPr="00351B73">
        <w:rPr>
          <w:rFonts w:ascii="Arial" w:hAnsi="Arial" w:cs="Arial"/>
          <w:sz w:val="20"/>
          <w:szCs w:val="20"/>
        </w:rPr>
        <w:t>. 2009;23(3):241-247. doi:10.1590/S1806-83242009000300004</w:t>
      </w:r>
    </w:p>
    <w:p w14:paraId="3D97767E"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Sideridou I, Tserki V, Papanastasiou G. Effect of chemical structure on degree of conversion in light-cured dimethacrylate-based dental resins. </w:t>
      </w:r>
      <w:r w:rsidRPr="00351B73">
        <w:rPr>
          <w:rFonts w:ascii="Arial" w:hAnsi="Arial" w:cs="Arial"/>
          <w:i/>
          <w:sz w:val="20"/>
          <w:szCs w:val="20"/>
        </w:rPr>
        <w:t>Biomaterials</w:t>
      </w:r>
      <w:r w:rsidRPr="00351B73">
        <w:rPr>
          <w:rFonts w:ascii="Arial" w:hAnsi="Arial" w:cs="Arial"/>
          <w:sz w:val="20"/>
          <w:szCs w:val="20"/>
        </w:rPr>
        <w:t>. 2002;23(8):1819-1829. doi:10.1016/S0142-9612(01)00308-8</w:t>
      </w:r>
    </w:p>
    <w:p w14:paraId="76A98694"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Magne P, Malta DAMP, Enciso R, Monteiro-Junior S. Heat treatment influences monomer conversion and bond strength of indirect composite resin restorations. </w:t>
      </w:r>
      <w:r w:rsidRPr="00351B73">
        <w:rPr>
          <w:rFonts w:ascii="Arial" w:hAnsi="Arial" w:cs="Arial"/>
          <w:i/>
          <w:sz w:val="20"/>
          <w:szCs w:val="20"/>
        </w:rPr>
        <w:t>J Adhes Dent</w:t>
      </w:r>
      <w:r w:rsidRPr="00351B73">
        <w:rPr>
          <w:rFonts w:ascii="Arial" w:hAnsi="Arial" w:cs="Arial"/>
          <w:sz w:val="20"/>
          <w:szCs w:val="20"/>
        </w:rPr>
        <w:t>. 2015;17(6):559-566. doi:10.3290/j.jad.a35258</w:t>
      </w:r>
    </w:p>
    <w:p w14:paraId="609CCE8E"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Ferracane JL, Condon JR. Post-cure heat treatments for composites: properties and fractography. </w:t>
      </w:r>
      <w:r w:rsidRPr="00351B73">
        <w:rPr>
          <w:rFonts w:ascii="Arial" w:hAnsi="Arial" w:cs="Arial"/>
          <w:i/>
          <w:sz w:val="20"/>
          <w:szCs w:val="20"/>
        </w:rPr>
        <w:t>Dent Mater</w:t>
      </w:r>
      <w:r w:rsidRPr="00351B73">
        <w:rPr>
          <w:rFonts w:ascii="Arial" w:hAnsi="Arial" w:cs="Arial"/>
          <w:sz w:val="20"/>
          <w:szCs w:val="20"/>
        </w:rPr>
        <w:t>. 1992;8(5):290-295. doi:10.1016/0109-5641(92)90102-I</w:t>
      </w:r>
    </w:p>
    <w:p w14:paraId="7AAD01E9"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Ferracane JL, Mitchem JC, Condon JR, Todd R. Wear and marginal breakdown of composites with various degrees of cure. </w:t>
      </w:r>
      <w:r w:rsidRPr="00351B73">
        <w:rPr>
          <w:rFonts w:ascii="Arial" w:hAnsi="Arial" w:cs="Arial"/>
          <w:i/>
          <w:sz w:val="20"/>
          <w:szCs w:val="20"/>
        </w:rPr>
        <w:t>J Dent Res</w:t>
      </w:r>
      <w:r w:rsidRPr="00351B73">
        <w:rPr>
          <w:rFonts w:ascii="Arial" w:hAnsi="Arial" w:cs="Arial"/>
          <w:sz w:val="20"/>
          <w:szCs w:val="20"/>
        </w:rPr>
        <w:t>. 1997;76(8):1508-1516. doi:10.1177/00220345970760081401</w:t>
      </w:r>
    </w:p>
    <w:p w14:paraId="5A2F502A"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t xml:space="preserve">Almeida RM, Silva EJNL, Pereira LC, et al. Effect of post-cure thermal treatment on the degree of conversion and flexural strength of indirect composite resins. </w:t>
      </w:r>
      <w:r w:rsidRPr="00351B73">
        <w:rPr>
          <w:rFonts w:ascii="Arial" w:hAnsi="Arial" w:cs="Arial"/>
          <w:i/>
          <w:sz w:val="20"/>
          <w:szCs w:val="20"/>
        </w:rPr>
        <w:t>Braz Dent Sci</w:t>
      </w:r>
      <w:r w:rsidRPr="00351B73">
        <w:rPr>
          <w:rFonts w:ascii="Arial" w:hAnsi="Arial" w:cs="Arial"/>
          <w:sz w:val="20"/>
          <w:szCs w:val="20"/>
        </w:rPr>
        <w:t>. 2017;20(4):150-158. doi:10.14295/bds.2017.v20i4.1523</w:t>
      </w:r>
    </w:p>
    <w:p w14:paraId="64233326" w14:textId="77777777" w:rsidR="00211DB2" w:rsidRPr="00351B73" w:rsidRDefault="00211DB2" w:rsidP="00211DB2">
      <w:pPr>
        <w:numPr>
          <w:ilvl w:val="0"/>
          <w:numId w:val="33"/>
        </w:numPr>
        <w:jc w:val="both"/>
        <w:rPr>
          <w:rFonts w:ascii="Arial" w:hAnsi="Arial" w:cs="Arial"/>
          <w:sz w:val="20"/>
          <w:szCs w:val="20"/>
        </w:rPr>
      </w:pPr>
      <w:r w:rsidRPr="00351B73">
        <w:rPr>
          <w:rFonts w:ascii="Arial" w:hAnsi="Arial" w:cs="Arial"/>
          <w:sz w:val="20"/>
          <w:szCs w:val="20"/>
        </w:rPr>
        <w:lastRenderedPageBreak/>
        <w:t xml:space="preserve">Grazioli G, Francia A, Cuevas-Suárez CE, Zanchi CH, Moraes RR. Simple and low-cost thermal treatments on direct resin composites for indirect use. </w:t>
      </w:r>
      <w:r w:rsidRPr="00351B73">
        <w:rPr>
          <w:rFonts w:ascii="Arial" w:hAnsi="Arial" w:cs="Arial"/>
          <w:i/>
          <w:sz w:val="20"/>
          <w:szCs w:val="20"/>
        </w:rPr>
        <w:t>Braz Dent J</w:t>
      </w:r>
      <w:r w:rsidRPr="00351B73">
        <w:rPr>
          <w:rFonts w:ascii="Arial" w:hAnsi="Arial" w:cs="Arial"/>
          <w:sz w:val="20"/>
          <w:szCs w:val="20"/>
        </w:rPr>
        <w:t>. 2019;30(3):279-284. doi:10.1590/0103-6440201902473</w:t>
      </w:r>
    </w:p>
    <w:p w14:paraId="356E151E"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Soares CJ, Martins LRM, Fonseca RB, Correr-Sobrinho L. Flexural strength of direct composites submitted to post-polymerization heat. </w:t>
      </w:r>
      <w:r w:rsidRPr="00351B73">
        <w:rPr>
          <w:rFonts w:ascii="Arial" w:hAnsi="Arial" w:cs="Arial"/>
          <w:i/>
          <w:sz w:val="20"/>
          <w:szCs w:val="20"/>
        </w:rPr>
        <w:t>Braz Dent Sci</w:t>
      </w:r>
      <w:r w:rsidRPr="00351B73">
        <w:rPr>
          <w:rFonts w:ascii="Arial" w:hAnsi="Arial" w:cs="Arial"/>
          <w:sz w:val="20"/>
          <w:szCs w:val="20"/>
        </w:rPr>
        <w:t>. 2006;9(3):33-38. doi:10.14295/bds.2006.v9i3.202</w:t>
      </w:r>
    </w:p>
    <w:p w14:paraId="5B2CF158"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Rocha LOP, Farias ACS, Leite AM, et al. Influence of indirect reinforcements on the flexural strength of a thermally activated acrylic resin used for complete dentures. </w:t>
      </w:r>
      <w:r w:rsidRPr="00351B73">
        <w:rPr>
          <w:rFonts w:ascii="Arial" w:hAnsi="Arial" w:cs="Arial"/>
          <w:i/>
          <w:sz w:val="20"/>
          <w:szCs w:val="20"/>
        </w:rPr>
        <w:t>Braz Dent Sci</w:t>
      </w:r>
      <w:r w:rsidRPr="00351B73">
        <w:rPr>
          <w:rFonts w:ascii="Arial" w:hAnsi="Arial" w:cs="Arial"/>
          <w:sz w:val="20"/>
          <w:szCs w:val="20"/>
        </w:rPr>
        <w:t>. 2018;21(2):150-157. doi:10.14295/bds.2018.v21i2.1539</w:t>
      </w:r>
    </w:p>
    <w:p w14:paraId="6633A7D1"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Lovell LG, Lu H, Elliott JE, Stansbury JW, Bowman CN. The effect of cure rate on the mechanical properties of dental resins. </w:t>
      </w:r>
      <w:r w:rsidRPr="00351B73">
        <w:rPr>
          <w:rFonts w:ascii="Arial" w:hAnsi="Arial" w:cs="Arial"/>
          <w:i/>
          <w:sz w:val="20"/>
          <w:szCs w:val="20"/>
        </w:rPr>
        <w:t>Dent Mater</w:t>
      </w:r>
      <w:r w:rsidRPr="00351B73">
        <w:rPr>
          <w:rFonts w:ascii="Arial" w:hAnsi="Arial" w:cs="Arial"/>
          <w:sz w:val="20"/>
          <w:szCs w:val="20"/>
        </w:rPr>
        <w:t>. 2001;17(6):504-511. doi:10.1016/S0109-5641(01)00010-0</w:t>
      </w:r>
    </w:p>
    <w:p w14:paraId="66B9D783"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Santana IL, Lodovici E, Matos JR, Medeiros IS, Miyazaki CL, Rodrigues-Filho LE. Effect of experimental heat treatment on mechanical properties of resin composites. </w:t>
      </w:r>
      <w:r w:rsidRPr="00351B73">
        <w:rPr>
          <w:rFonts w:ascii="Arial" w:hAnsi="Arial" w:cs="Arial"/>
          <w:i/>
          <w:sz w:val="20"/>
          <w:szCs w:val="20"/>
        </w:rPr>
        <w:t>Braz Dent J</w:t>
      </w:r>
      <w:r w:rsidRPr="00351B73">
        <w:rPr>
          <w:rFonts w:ascii="Arial" w:hAnsi="Arial" w:cs="Arial"/>
          <w:sz w:val="20"/>
          <w:szCs w:val="20"/>
        </w:rPr>
        <w:t>. 2009;20(3):205-210. doi:10.1590/S0103-64402009000300006</w:t>
      </w:r>
    </w:p>
    <w:p w14:paraId="028DAD96"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Zamalloa-Quintana M, López-Gurreonero C, Santander-Rengifo FM, et al. Effect of additional dry heat curing on microflexural strength in three types of resin composite: an in-vitro study. </w:t>
      </w:r>
      <w:r w:rsidRPr="00351B73">
        <w:rPr>
          <w:rFonts w:ascii="Arial" w:hAnsi="Arial" w:cs="Arial"/>
          <w:i/>
          <w:sz w:val="20"/>
          <w:szCs w:val="20"/>
        </w:rPr>
        <w:t>Crystals</w:t>
      </w:r>
      <w:r w:rsidRPr="00351B73">
        <w:rPr>
          <w:rFonts w:ascii="Arial" w:hAnsi="Arial" w:cs="Arial"/>
          <w:sz w:val="20"/>
          <w:szCs w:val="20"/>
        </w:rPr>
        <w:t>. 2022;12(8):1045. doi:10.3390/cryst12081045</w:t>
      </w:r>
    </w:p>
    <w:p w14:paraId="104903AD"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International Organization for Standardization. ISO 4049:2019 Dentistry — Polymer-based restorative materials. Geneva: ISO; 2019.</w:t>
      </w:r>
    </w:p>
    <w:p w14:paraId="5C1EAF75"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Yap A, Eweis A, Yahya N. Dynamic and static flexural appraisal of resin-based composites: comparison of the ISO and mini-flexural tests. </w:t>
      </w:r>
      <w:r w:rsidRPr="00351B73">
        <w:rPr>
          <w:rFonts w:ascii="Arial" w:hAnsi="Arial" w:cs="Arial"/>
          <w:i/>
          <w:sz w:val="20"/>
          <w:szCs w:val="20"/>
        </w:rPr>
        <w:t>Oper Dent</w:t>
      </w:r>
      <w:r w:rsidRPr="00351B73">
        <w:rPr>
          <w:rFonts w:ascii="Arial" w:hAnsi="Arial" w:cs="Arial"/>
          <w:sz w:val="20"/>
          <w:szCs w:val="20"/>
        </w:rPr>
        <w:t>. 2018;43(3):E223-E231. doi:10.2341/17-224-L</w:t>
      </w:r>
    </w:p>
    <w:p w14:paraId="203E0169"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Kumar N. Inconsistency in the strength testing of dental resin-based composites among researchers. </w:t>
      </w:r>
      <w:r w:rsidRPr="00351B73">
        <w:rPr>
          <w:rFonts w:ascii="Arial" w:hAnsi="Arial" w:cs="Arial"/>
          <w:i/>
          <w:sz w:val="20"/>
          <w:szCs w:val="20"/>
        </w:rPr>
        <w:t>Pak J Med Sci</w:t>
      </w:r>
      <w:r w:rsidRPr="00351B73">
        <w:rPr>
          <w:rFonts w:ascii="Arial" w:hAnsi="Arial" w:cs="Arial"/>
          <w:sz w:val="20"/>
          <w:szCs w:val="20"/>
        </w:rPr>
        <w:t>. 2012;29(1):205-210. doi:10.12669/pjms.291.2922</w:t>
      </w:r>
    </w:p>
    <w:p w14:paraId="05C8CDD3"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Palin W, Fleming G, Marquis P. The reliability of standardized flexure strength testing procedures for a light-activated resin-based composite. </w:t>
      </w:r>
      <w:r w:rsidRPr="00351B73">
        <w:rPr>
          <w:rFonts w:ascii="Arial" w:hAnsi="Arial" w:cs="Arial"/>
          <w:i/>
          <w:sz w:val="20"/>
          <w:szCs w:val="20"/>
        </w:rPr>
        <w:t>Dent Mater</w:t>
      </w:r>
      <w:r w:rsidRPr="00351B73">
        <w:rPr>
          <w:rFonts w:ascii="Arial" w:hAnsi="Arial" w:cs="Arial"/>
          <w:sz w:val="20"/>
          <w:szCs w:val="20"/>
        </w:rPr>
        <w:t>. 2005;21(9):911-919. doi:10.1016/j.dental.2005.01.005</w:t>
      </w:r>
    </w:p>
    <w:p w14:paraId="038CBF5E"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Yap AUJ, Teoh SH. Comparison of flexural properties of composite restoratives using the ISO and mini-flexural tests. </w:t>
      </w:r>
      <w:r w:rsidRPr="00351B73">
        <w:rPr>
          <w:rFonts w:ascii="Arial" w:hAnsi="Arial" w:cs="Arial"/>
          <w:i/>
          <w:sz w:val="20"/>
          <w:szCs w:val="20"/>
        </w:rPr>
        <w:t>J Oral Rehabil</w:t>
      </w:r>
      <w:r w:rsidRPr="00351B73">
        <w:rPr>
          <w:rFonts w:ascii="Arial" w:hAnsi="Arial" w:cs="Arial"/>
          <w:sz w:val="20"/>
          <w:szCs w:val="20"/>
        </w:rPr>
        <w:t>. 2003;30(2):171-177. doi:10.1046/j.1365-2842.2003.01004.x</w:t>
      </w:r>
    </w:p>
    <w:p w14:paraId="499636F7" w14:textId="77777777" w:rsidR="00211DB2" w:rsidRPr="00351B73" w:rsidRDefault="00211DB2" w:rsidP="00211DB2">
      <w:pPr>
        <w:numPr>
          <w:ilvl w:val="0"/>
          <w:numId w:val="32"/>
        </w:numPr>
        <w:jc w:val="both"/>
        <w:rPr>
          <w:rFonts w:ascii="Arial" w:hAnsi="Arial" w:cs="Arial"/>
          <w:sz w:val="20"/>
          <w:szCs w:val="20"/>
        </w:rPr>
      </w:pPr>
      <w:r w:rsidRPr="00351B73">
        <w:rPr>
          <w:rFonts w:ascii="Arial" w:hAnsi="Arial" w:cs="Arial"/>
          <w:sz w:val="20"/>
          <w:szCs w:val="20"/>
        </w:rPr>
        <w:t xml:space="preserve">Tanimoto Y, Kitagawa T, Aida M, Nishiyama N. Experimental and computational approach for evaluating the mechanical characteristics of dental composite resins with various filler sizes. </w:t>
      </w:r>
      <w:r w:rsidRPr="00351B73">
        <w:rPr>
          <w:rFonts w:ascii="Arial" w:hAnsi="Arial" w:cs="Arial"/>
          <w:i/>
          <w:sz w:val="20"/>
          <w:szCs w:val="20"/>
        </w:rPr>
        <w:t>Acta Biomater</w:t>
      </w:r>
      <w:r w:rsidRPr="00351B73">
        <w:rPr>
          <w:rFonts w:ascii="Arial" w:hAnsi="Arial" w:cs="Arial"/>
          <w:sz w:val="20"/>
          <w:szCs w:val="20"/>
        </w:rPr>
        <w:t>. 2006;2(6):633-639. doi:10.1016/j.actbio.2006.06.006</w:t>
      </w:r>
    </w:p>
    <w:p w14:paraId="22C775F4"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Rodrigues Junior SA, Zanchi CH, Carvalho RVD, Demarco FF. Flexural strength and modulus of elasticity of different types of resin-based composites. </w:t>
      </w:r>
      <w:r w:rsidRPr="00351B73">
        <w:rPr>
          <w:rFonts w:ascii="Arial" w:hAnsi="Arial" w:cs="Arial"/>
          <w:i/>
          <w:sz w:val="20"/>
          <w:szCs w:val="20"/>
        </w:rPr>
        <w:t>Braz Oral Res</w:t>
      </w:r>
      <w:r w:rsidRPr="00351B73">
        <w:rPr>
          <w:rFonts w:ascii="Arial" w:hAnsi="Arial" w:cs="Arial"/>
          <w:sz w:val="20"/>
          <w:szCs w:val="20"/>
        </w:rPr>
        <w:t>. 2007;21(1):16-21. doi:10.1590/S1806-83242007000100003</w:t>
      </w:r>
    </w:p>
    <w:p w14:paraId="5904CB69"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Garcia LDFR, Roselino LDMR, Pires-de-Souza FCP, Consani S. Evaluation of the conversion degree, microhardness, and surface roughness of composite resins used after their expiration date. </w:t>
      </w:r>
      <w:r w:rsidRPr="00351B73">
        <w:rPr>
          <w:rFonts w:ascii="Arial" w:hAnsi="Arial" w:cs="Arial"/>
          <w:i/>
          <w:sz w:val="20"/>
          <w:szCs w:val="20"/>
        </w:rPr>
        <w:t>Gen Dent</w:t>
      </w:r>
      <w:r w:rsidRPr="00351B73">
        <w:rPr>
          <w:rFonts w:ascii="Arial" w:hAnsi="Arial" w:cs="Arial"/>
          <w:sz w:val="20"/>
          <w:szCs w:val="20"/>
        </w:rPr>
        <w:t>. 2009;58(6):e262-e267. PMID: 21062711</w:t>
      </w:r>
    </w:p>
    <w:p w14:paraId="27FC56B5"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Tirapelli C, Panzeri FDC, Panzeri H, Pardini LC, Zaniquelli O. Radiopacity and microhardness changes and effect of X-ray operating voltage in resin-based materials before and after the expiration date. </w:t>
      </w:r>
      <w:r w:rsidRPr="00351B73">
        <w:rPr>
          <w:rFonts w:ascii="Arial" w:hAnsi="Arial" w:cs="Arial"/>
          <w:i/>
          <w:sz w:val="20"/>
          <w:szCs w:val="20"/>
        </w:rPr>
        <w:t>Mater Res</w:t>
      </w:r>
      <w:r w:rsidRPr="00351B73">
        <w:rPr>
          <w:rFonts w:ascii="Arial" w:hAnsi="Arial" w:cs="Arial"/>
          <w:sz w:val="20"/>
          <w:szCs w:val="20"/>
        </w:rPr>
        <w:t>. 2004;7(3):409-412. doi:10.1590/S1516-14392004000300006</w:t>
      </w:r>
    </w:p>
    <w:p w14:paraId="1697363F"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Santana IL, Gonçalves LM, Ribeiro JJS, Mochel Filho JR, Cabral Júnior AA. Thermal behavior of direct resin composites: glass transition temperature and initial degradation analyses. </w:t>
      </w:r>
      <w:r w:rsidRPr="00351B73">
        <w:rPr>
          <w:rFonts w:ascii="Arial" w:hAnsi="Arial" w:cs="Arial"/>
          <w:i/>
          <w:sz w:val="20"/>
          <w:szCs w:val="20"/>
        </w:rPr>
        <w:t>Rev Odonto Cienc</w:t>
      </w:r>
      <w:r w:rsidRPr="00351B73">
        <w:rPr>
          <w:rFonts w:ascii="Arial" w:hAnsi="Arial" w:cs="Arial"/>
          <w:sz w:val="20"/>
          <w:szCs w:val="20"/>
        </w:rPr>
        <w:t>. 2011;26(1):50-55. doi:10.1590/S1980-65232011000100012</w:t>
      </w:r>
    </w:p>
    <w:p w14:paraId="4208D638"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Pelissier B, Jacquot B, Palin WM, Shortall AC. Three generations of LED lights and clinical implications for optimizing their use. 1: From past to present. </w:t>
      </w:r>
      <w:r w:rsidRPr="00351B73">
        <w:rPr>
          <w:rFonts w:ascii="Arial" w:hAnsi="Arial" w:cs="Arial"/>
          <w:i/>
          <w:sz w:val="20"/>
          <w:szCs w:val="20"/>
        </w:rPr>
        <w:t>Dent Update</w:t>
      </w:r>
      <w:r w:rsidRPr="00351B73">
        <w:rPr>
          <w:rFonts w:ascii="Arial" w:hAnsi="Arial" w:cs="Arial"/>
          <w:sz w:val="20"/>
          <w:szCs w:val="20"/>
        </w:rPr>
        <w:t>. 2011;38(10):660-668. doi:10.12968/denu.2011.38.10.660</w:t>
      </w:r>
    </w:p>
    <w:p w14:paraId="680EF92F"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Muniz GR, Souza E, Raposo C, Santana I. Influence of heat treatment on the sorption and solubility of direct composite resins. </w:t>
      </w:r>
      <w:r w:rsidRPr="00351B73">
        <w:rPr>
          <w:rFonts w:ascii="Arial" w:hAnsi="Arial" w:cs="Arial"/>
          <w:i/>
          <w:sz w:val="20"/>
          <w:szCs w:val="20"/>
        </w:rPr>
        <w:t>Indian J Dent Res</w:t>
      </w:r>
      <w:r w:rsidRPr="00351B73">
        <w:rPr>
          <w:rFonts w:ascii="Arial" w:hAnsi="Arial" w:cs="Arial"/>
          <w:sz w:val="20"/>
          <w:szCs w:val="20"/>
        </w:rPr>
        <w:t>. 2013;24(6):708-712. doi:10.4103/0970-9290.127617</w:t>
      </w:r>
    </w:p>
    <w:p w14:paraId="217A6DEC" w14:textId="77777777" w:rsidR="00211DB2" w:rsidRPr="00351B73" w:rsidRDefault="00211DB2" w:rsidP="00211DB2">
      <w:pPr>
        <w:numPr>
          <w:ilvl w:val="0"/>
          <w:numId w:val="34"/>
        </w:numPr>
        <w:jc w:val="both"/>
        <w:rPr>
          <w:rFonts w:ascii="Arial" w:hAnsi="Arial" w:cs="Arial"/>
          <w:sz w:val="20"/>
          <w:szCs w:val="20"/>
        </w:rPr>
      </w:pPr>
      <w:r w:rsidRPr="00351B73">
        <w:rPr>
          <w:rFonts w:ascii="Arial" w:hAnsi="Arial" w:cs="Arial"/>
          <w:sz w:val="20"/>
          <w:szCs w:val="20"/>
        </w:rPr>
        <w:t xml:space="preserve">Fabre HSC, Fabre S, Cefaly DFG, Carrilho MRDO, Garcia FCP, Wang L. Water sorption and solubility of dentin bonding agents light-cured with different light sources. </w:t>
      </w:r>
      <w:r w:rsidRPr="00351B73">
        <w:rPr>
          <w:rFonts w:ascii="Arial" w:hAnsi="Arial" w:cs="Arial"/>
          <w:i/>
          <w:sz w:val="20"/>
          <w:szCs w:val="20"/>
        </w:rPr>
        <w:t>J Dent</w:t>
      </w:r>
      <w:r w:rsidRPr="00351B73">
        <w:rPr>
          <w:rFonts w:ascii="Arial" w:hAnsi="Arial" w:cs="Arial"/>
          <w:sz w:val="20"/>
          <w:szCs w:val="20"/>
        </w:rPr>
        <w:t>. 2007;35(3):253-258. doi:10.1016/j.jdent.2006.09.002</w:t>
      </w:r>
    </w:p>
    <w:p w14:paraId="4B3B9023" w14:textId="2E99C508" w:rsidR="00B01FCD" w:rsidRPr="004C760D" w:rsidRDefault="00211DB2" w:rsidP="00441B6F">
      <w:pPr>
        <w:numPr>
          <w:ilvl w:val="0"/>
          <w:numId w:val="34"/>
        </w:numPr>
        <w:jc w:val="both"/>
        <w:rPr>
          <w:rFonts w:ascii="Arial" w:hAnsi="Arial" w:cs="Arial"/>
          <w:sz w:val="20"/>
          <w:szCs w:val="20"/>
        </w:rPr>
      </w:pPr>
      <w:r w:rsidRPr="00351B73">
        <w:rPr>
          <w:rFonts w:ascii="Arial" w:hAnsi="Arial" w:cs="Arial"/>
          <w:sz w:val="20"/>
          <w:szCs w:val="20"/>
        </w:rPr>
        <w:t xml:space="preserve">Malacarne J, Carvalho RM, de Goes MF, Svizero N, Pashley DH, Tay FR, et al. Water sorption/solubility of dental adhesive resins. </w:t>
      </w:r>
      <w:r w:rsidRPr="00351B73">
        <w:rPr>
          <w:rFonts w:ascii="Arial" w:hAnsi="Arial" w:cs="Arial"/>
          <w:i/>
          <w:sz w:val="20"/>
          <w:szCs w:val="20"/>
        </w:rPr>
        <w:t>Dent Mater</w:t>
      </w:r>
      <w:r w:rsidRPr="00351B73">
        <w:rPr>
          <w:rFonts w:ascii="Arial" w:hAnsi="Arial" w:cs="Arial"/>
          <w:sz w:val="20"/>
          <w:szCs w:val="20"/>
        </w:rPr>
        <w:t>. 2006;22(10):973-980. doi:10.1016/j.dental.2005.11.020</w:t>
      </w:r>
    </w:p>
    <w:sectPr w:rsidR="00B01FCD" w:rsidRPr="004C760D" w:rsidSect="005017B2">
      <w:headerReference w:type="even" r:id="rId14"/>
      <w:headerReference w:type="default" r:id="rId15"/>
      <w:footerReference w:type="default" r:id="rId16"/>
      <w:headerReference w:type="first" r:id="rId17"/>
      <w:type w:val="continuous"/>
      <w:pgSz w:w="12240" w:h="15840"/>
      <w:pgMar w:top="720" w:right="1739" w:bottom="720" w:left="15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424DA" w14:textId="77777777" w:rsidR="00CE36B4" w:rsidRDefault="00CE36B4" w:rsidP="00C37E61">
      <w:r>
        <w:separator/>
      </w:r>
    </w:p>
  </w:endnote>
  <w:endnote w:type="continuationSeparator" w:id="0">
    <w:p w14:paraId="6BB38E39" w14:textId="77777777" w:rsidR="00CE36B4" w:rsidRDefault="00CE36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47AC" w14:textId="77777777" w:rsidR="005017B2" w:rsidRDefault="00501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4315" w14:textId="77777777" w:rsidR="005017B2" w:rsidRDefault="00501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4267" w14:textId="31476E46" w:rsidR="00754C9A" w:rsidRPr="005017B2" w:rsidRDefault="00754C9A" w:rsidP="005017B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CE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26A86" w14:textId="77777777" w:rsidR="00CE36B4" w:rsidRDefault="00CE36B4" w:rsidP="00C37E61">
      <w:r>
        <w:separator/>
      </w:r>
    </w:p>
  </w:footnote>
  <w:footnote w:type="continuationSeparator" w:id="0">
    <w:p w14:paraId="278AA807" w14:textId="77777777" w:rsidR="00CE36B4" w:rsidRDefault="00CE36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1F4F" w14:textId="13ED3905" w:rsidR="005017B2" w:rsidRDefault="005017B2">
    <w:pPr>
      <w:pStyle w:val="Header"/>
    </w:pPr>
    <w:r>
      <w:rPr>
        <w:noProof/>
      </w:rPr>
      <w:pict w14:anchorId="3E887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76" o:spid="_x0000_s2050" type="#_x0000_t136" style="position:absolute;margin-left:0;margin-top:0;width:566.55pt;height:62.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8BC7" w14:textId="559757F3" w:rsidR="005017B2" w:rsidRDefault="005017B2">
    <w:pPr>
      <w:pStyle w:val="Header"/>
    </w:pPr>
    <w:r>
      <w:rPr>
        <w:noProof/>
      </w:rPr>
      <w:pict w14:anchorId="18DF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77" o:spid="_x0000_s2051" type="#_x0000_t136" style="position:absolute;margin-left:0;margin-top:0;width:566.55pt;height:62.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4881" w14:textId="605A3F5C" w:rsidR="00296529" w:rsidRPr="00296529" w:rsidRDefault="005017B2" w:rsidP="00296529">
    <w:pPr>
      <w:ind w:left="2160"/>
      <w:jc w:val="center"/>
      <w:rPr>
        <w:rFonts w:eastAsia="Calibri"/>
        <w:i/>
        <w:sz w:val="18"/>
        <w:szCs w:val="22"/>
      </w:rPr>
    </w:pPr>
    <w:r>
      <w:rPr>
        <w:noProof/>
      </w:rPr>
      <w:pict w14:anchorId="6A126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75" o:spid="_x0000_s2049" type="#_x0000_t136" style="position:absolute;left:0;text-align:left;margin-left:0;margin-top:0;width:566.55pt;height:62.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6A93895"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44EC7D0D" w14:textId="77777777" w:rsidR="00296529" w:rsidRPr="00296529" w:rsidRDefault="00754C9A" w:rsidP="00296529">
    <w:pPr>
      <w:jc w:val="center"/>
      <w:rPr>
        <w:rFonts w:eastAsia="Calibri"/>
        <w:i/>
        <w:sz w:val="18"/>
        <w:szCs w:val="22"/>
      </w:rPr>
    </w:pPr>
    <w:r>
      <w:rPr>
        <w:rFonts w:eastAsia="Calibri"/>
        <w:i/>
        <w:sz w:val="18"/>
        <w:szCs w:val="22"/>
      </w:rPr>
      <w:t>.</w:t>
    </w:r>
  </w:p>
  <w:p w14:paraId="3F863C28"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1BBE9B9B"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7A645150"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59059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5F00" w14:textId="7BD41035" w:rsidR="005017B2" w:rsidRDefault="005017B2">
    <w:pPr>
      <w:pStyle w:val="Header"/>
    </w:pPr>
    <w:r>
      <w:rPr>
        <w:noProof/>
      </w:rPr>
      <w:pict w14:anchorId="5BD45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79" o:spid="_x0000_s2053" type="#_x0000_t136" style="position:absolute;margin-left:0;margin-top:0;width:566.55pt;height:62.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A2D1" w14:textId="2AAC5BB8" w:rsidR="005017B2" w:rsidRDefault="005017B2">
    <w:pPr>
      <w:pStyle w:val="Header"/>
    </w:pPr>
    <w:r>
      <w:rPr>
        <w:noProof/>
      </w:rPr>
      <w:pict w14:anchorId="230FA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80" o:spid="_x0000_s2054" type="#_x0000_t136" style="position:absolute;margin-left:0;margin-top:0;width:566.55pt;height:62.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E5CA" w14:textId="6800D69E" w:rsidR="005017B2" w:rsidRDefault="005017B2">
    <w:pPr>
      <w:pStyle w:val="Header"/>
    </w:pPr>
    <w:r>
      <w:rPr>
        <w:noProof/>
      </w:rPr>
      <w:pict w14:anchorId="3DF12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27378" o:spid="_x0000_s2052" type="#_x0000_t136" style="position:absolute;margin-left:0;margin-top:0;width:566.55pt;height:62.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4E8F"/>
    <w:multiLevelType w:val="multilevel"/>
    <w:tmpl w:val="3452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B268C"/>
    <w:multiLevelType w:val="multilevel"/>
    <w:tmpl w:val="E228B334"/>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CD3952"/>
    <w:multiLevelType w:val="hybridMultilevel"/>
    <w:tmpl w:val="57ACF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342F"/>
    <w:multiLevelType w:val="multilevel"/>
    <w:tmpl w:val="38601656"/>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B4B17C3"/>
    <w:multiLevelType w:val="multilevel"/>
    <w:tmpl w:val="94422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1"/>
  </w:num>
  <w:num w:numId="32">
    <w:abstractNumId w:val="20"/>
  </w:num>
  <w:num w:numId="33">
    <w:abstractNumId w:val="21"/>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4B1F"/>
    <w:rsid w:val="000D689F"/>
    <w:rsid w:val="000E7B7B"/>
    <w:rsid w:val="000E7D62"/>
    <w:rsid w:val="00103357"/>
    <w:rsid w:val="00105EC1"/>
    <w:rsid w:val="00123C9F"/>
    <w:rsid w:val="00126190"/>
    <w:rsid w:val="00130F17"/>
    <w:rsid w:val="001320BF"/>
    <w:rsid w:val="00140A93"/>
    <w:rsid w:val="00163BC4"/>
    <w:rsid w:val="00191062"/>
    <w:rsid w:val="00192B72"/>
    <w:rsid w:val="001A29D8"/>
    <w:rsid w:val="001A5CAA"/>
    <w:rsid w:val="001B0427"/>
    <w:rsid w:val="001D3A51"/>
    <w:rsid w:val="001D5EFD"/>
    <w:rsid w:val="001E10D2"/>
    <w:rsid w:val="001E25B4"/>
    <w:rsid w:val="001E44FE"/>
    <w:rsid w:val="00200595"/>
    <w:rsid w:val="00204835"/>
    <w:rsid w:val="00211DB2"/>
    <w:rsid w:val="00212B7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36D"/>
    <w:rsid w:val="003E2904"/>
    <w:rsid w:val="00401927"/>
    <w:rsid w:val="0041027F"/>
    <w:rsid w:val="00412475"/>
    <w:rsid w:val="00423789"/>
    <w:rsid w:val="00440F43"/>
    <w:rsid w:val="00441B6F"/>
    <w:rsid w:val="00446221"/>
    <w:rsid w:val="00450E62"/>
    <w:rsid w:val="004539DB"/>
    <w:rsid w:val="00471A80"/>
    <w:rsid w:val="0048022E"/>
    <w:rsid w:val="004C760D"/>
    <w:rsid w:val="004D305E"/>
    <w:rsid w:val="004D4277"/>
    <w:rsid w:val="005017B2"/>
    <w:rsid w:val="00502516"/>
    <w:rsid w:val="00505F06"/>
    <w:rsid w:val="00506828"/>
    <w:rsid w:val="0053056E"/>
    <w:rsid w:val="00554FDA"/>
    <w:rsid w:val="005C784C"/>
    <w:rsid w:val="005D17F6"/>
    <w:rsid w:val="005E5539"/>
    <w:rsid w:val="00602BF5"/>
    <w:rsid w:val="00617FDD"/>
    <w:rsid w:val="00620277"/>
    <w:rsid w:val="00633614"/>
    <w:rsid w:val="00633F68"/>
    <w:rsid w:val="00636EB2"/>
    <w:rsid w:val="006375B8"/>
    <w:rsid w:val="0066510A"/>
    <w:rsid w:val="00673F9F"/>
    <w:rsid w:val="00685FCA"/>
    <w:rsid w:val="00686953"/>
    <w:rsid w:val="00687DEA"/>
    <w:rsid w:val="00687E67"/>
    <w:rsid w:val="006967F7"/>
    <w:rsid w:val="006A250C"/>
    <w:rsid w:val="006B21D3"/>
    <w:rsid w:val="006B57D0"/>
    <w:rsid w:val="006D30FF"/>
    <w:rsid w:val="006D6940"/>
    <w:rsid w:val="006F11EC"/>
    <w:rsid w:val="0070082C"/>
    <w:rsid w:val="00702573"/>
    <w:rsid w:val="007369E6"/>
    <w:rsid w:val="00746E59"/>
    <w:rsid w:val="00754C9A"/>
    <w:rsid w:val="0075599A"/>
    <w:rsid w:val="00755E2A"/>
    <w:rsid w:val="00761D52"/>
    <w:rsid w:val="0077749E"/>
    <w:rsid w:val="00790ADA"/>
    <w:rsid w:val="007D2288"/>
    <w:rsid w:val="007E088F"/>
    <w:rsid w:val="007F7B32"/>
    <w:rsid w:val="00804BC2"/>
    <w:rsid w:val="0081431A"/>
    <w:rsid w:val="008225AE"/>
    <w:rsid w:val="0083216F"/>
    <w:rsid w:val="00860000"/>
    <w:rsid w:val="00863BD3"/>
    <w:rsid w:val="008641ED"/>
    <w:rsid w:val="00866D66"/>
    <w:rsid w:val="008671C6"/>
    <w:rsid w:val="00872962"/>
    <w:rsid w:val="00875803"/>
    <w:rsid w:val="008B459E"/>
    <w:rsid w:val="008D66A9"/>
    <w:rsid w:val="008E13AE"/>
    <w:rsid w:val="008E1506"/>
    <w:rsid w:val="008E710C"/>
    <w:rsid w:val="008F69D6"/>
    <w:rsid w:val="00902823"/>
    <w:rsid w:val="00915CA6"/>
    <w:rsid w:val="00927834"/>
    <w:rsid w:val="009500A6"/>
    <w:rsid w:val="00957C18"/>
    <w:rsid w:val="009659BA"/>
    <w:rsid w:val="00983040"/>
    <w:rsid w:val="009B3FB9"/>
    <w:rsid w:val="009C2465"/>
    <w:rsid w:val="009C40E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96D79"/>
    <w:rsid w:val="00BA1B01"/>
    <w:rsid w:val="00BA2641"/>
    <w:rsid w:val="00BB37AA"/>
    <w:rsid w:val="00BC53A0"/>
    <w:rsid w:val="00BE62AD"/>
    <w:rsid w:val="00BF121F"/>
    <w:rsid w:val="00BF1F80"/>
    <w:rsid w:val="00C166EF"/>
    <w:rsid w:val="00C17EB0"/>
    <w:rsid w:val="00C27F5F"/>
    <w:rsid w:val="00C30A0F"/>
    <w:rsid w:val="00C37E61"/>
    <w:rsid w:val="00C4549D"/>
    <w:rsid w:val="00C47D65"/>
    <w:rsid w:val="00C70F1B"/>
    <w:rsid w:val="00C71A47"/>
    <w:rsid w:val="00C7464C"/>
    <w:rsid w:val="00C85588"/>
    <w:rsid w:val="00CD6755"/>
    <w:rsid w:val="00CD6856"/>
    <w:rsid w:val="00CE0089"/>
    <w:rsid w:val="00CE36B4"/>
    <w:rsid w:val="00CE793C"/>
    <w:rsid w:val="00CF193C"/>
    <w:rsid w:val="00D173F1"/>
    <w:rsid w:val="00D74CB0"/>
    <w:rsid w:val="00D8295D"/>
    <w:rsid w:val="00D835EA"/>
    <w:rsid w:val="00DC2A65"/>
    <w:rsid w:val="00DD1A53"/>
    <w:rsid w:val="00DD5C40"/>
    <w:rsid w:val="00DE15F0"/>
    <w:rsid w:val="00DE5663"/>
    <w:rsid w:val="00DE78AA"/>
    <w:rsid w:val="00E053D0"/>
    <w:rsid w:val="00E15994"/>
    <w:rsid w:val="00E3114E"/>
    <w:rsid w:val="00E31A70"/>
    <w:rsid w:val="00E33429"/>
    <w:rsid w:val="00E35B02"/>
    <w:rsid w:val="00E4723F"/>
    <w:rsid w:val="00E66496"/>
    <w:rsid w:val="00E66B35"/>
    <w:rsid w:val="00E66E10"/>
    <w:rsid w:val="00E769F6"/>
    <w:rsid w:val="00E8407C"/>
    <w:rsid w:val="00E84F3C"/>
    <w:rsid w:val="00EA012C"/>
    <w:rsid w:val="00EB509F"/>
    <w:rsid w:val="00EC6A55"/>
    <w:rsid w:val="00ED0288"/>
    <w:rsid w:val="00EE52CB"/>
    <w:rsid w:val="00EF581D"/>
    <w:rsid w:val="00EF7FD8"/>
    <w:rsid w:val="00F06F59"/>
    <w:rsid w:val="00F17988"/>
    <w:rsid w:val="00F469F0"/>
    <w:rsid w:val="00F53273"/>
    <w:rsid w:val="00F755E4"/>
    <w:rsid w:val="00F768FE"/>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44EC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8FE"/>
    <w:rPr>
      <w:sz w:val="24"/>
      <w:szCs w:val="24"/>
      <w:lang w:val="pt-BR" w:eastAsia="pt-BR"/>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7D6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47D65"/>
    <w:rPr>
      <w:rFonts w:asciiTheme="majorHAnsi" w:eastAsiaTheme="majorEastAsia" w:hAnsiTheme="majorHAnsi" w:cstheme="majorBidi"/>
      <w:color w:val="243F60" w:themeColor="accent1" w:themeShade="7F"/>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1A5A-5E7F-4ED6-B075-769D781A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4654</Words>
  <Characters>26529</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2025-10-01T17:02:00Z</dcterms:created>
  <dcterms:modified xsi:type="dcterms:W3CDTF">2025-10-04T06:15:00Z</dcterms:modified>
</cp:coreProperties>
</file>