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43C1A" w14:textId="46F29194" w:rsidR="00330932" w:rsidRDefault="00F92B23" w:rsidP="0079339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E72E8" w:rsidRPr="00E22036">
        <w:rPr>
          <w:rFonts w:ascii="Times New Roman" w:hAnsi="Times New Roman" w:cs="Times New Roman"/>
          <w:b/>
          <w:bCs/>
          <w:sz w:val="24"/>
          <w:szCs w:val="24"/>
        </w:rPr>
        <w:t xml:space="preserve">Review Article </w:t>
      </w:r>
    </w:p>
    <w:p w14:paraId="5A20F1F0" w14:textId="7F068549" w:rsidR="0079339C" w:rsidRPr="0079339C"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083071" w:rsidRPr="00083071">
        <w:rPr>
          <w:rFonts w:ascii="Times New Roman" w:hAnsi="Times New Roman" w:cs="Times New Roman"/>
          <w:b/>
          <w:bCs/>
          <w:sz w:val="24"/>
          <w:szCs w:val="24"/>
        </w:rPr>
        <w:t>Sustainable Crop Production Practices: A Comprehensive Review of Agroecological Approaches</w:t>
      </w:r>
    </w:p>
    <w:p w14:paraId="3CEE64B2" w14:textId="77777777" w:rsidR="005E72E8" w:rsidRDefault="005E72E8" w:rsidP="005E72E8">
      <w:pPr>
        <w:jc w:val="both"/>
        <w:rPr>
          <w:rFonts w:ascii="Times New Roman" w:hAnsi="Times New Roman" w:cs="Times New Roman"/>
          <w:b/>
          <w:bCs/>
          <w:sz w:val="24"/>
          <w:szCs w:val="24"/>
        </w:rPr>
      </w:pPr>
    </w:p>
    <w:p w14:paraId="59ECCBEB" w14:textId="77777777" w:rsidR="00A45170" w:rsidRPr="009D718B" w:rsidRDefault="00A45170" w:rsidP="008A7EB0">
      <w:pPr>
        <w:ind w:firstLine="720"/>
        <w:jc w:val="both"/>
        <w:rPr>
          <w:rFonts w:ascii="Times New Roman" w:hAnsi="Times New Roman" w:cs="Times New Roman"/>
          <w:sz w:val="24"/>
          <w:szCs w:val="24"/>
        </w:rPr>
      </w:pPr>
      <w:bookmarkStart w:id="0" w:name="_GoBack"/>
      <w:bookmarkEnd w:id="0"/>
    </w:p>
    <w:p w14:paraId="1F677B72" w14:textId="77777777" w:rsidR="00D65EFE" w:rsidRPr="00D65EFE" w:rsidRDefault="00D65EFE" w:rsidP="00D65EFE">
      <w:pPr>
        <w:ind w:firstLine="720"/>
        <w:jc w:val="both"/>
        <w:rPr>
          <w:rFonts w:ascii="Times New Roman" w:hAnsi="Times New Roman" w:cs="Times New Roman"/>
          <w:sz w:val="24"/>
          <w:szCs w:val="24"/>
        </w:rPr>
      </w:pPr>
    </w:p>
    <w:p w14:paraId="5FF785E6"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35D8BF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This comprehensive review examines the current state of agroecological approaches in sustainable crop production, addressing the urgent need for environmentally sound agricultural practices in the face of climate change and resource depletion. The paper synthesizes recent advances in crop diversification, soil health management, integrated pest management, water conservation techniques, and nutrient cycling strategies. Key findings indicate that agroecological practices can enhance crop yields by 20-30% while reducing chemical inputs by up to 50%. The review analyzes successful implementation cases across various agro-climatic zones in India, highlighting the role of traditional knowledge integration with modern scientific approaches. Challenges including initial adoption costs, knowledge gaps, and policy constraints are critically evaluated. The study emphasizes the importance of farmer participatory research, community-based seed systems, and ecosystem services in achieving long-term agricultural sustainability. Future research directions include developing climate-resilient crop varieties, optimizing microbiome interactions, and scaling up successful agroecological models. This review provides actionable insights for researchers, policymakers, and practitioners working towards transforming conventional agriculture into regenerative systems that ensure food security while preserving ecological integrity.</w:t>
      </w:r>
    </w:p>
    <w:p w14:paraId="57305C7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Keywords:</w:t>
      </w:r>
      <w:r w:rsidRPr="00CB436D">
        <w:rPr>
          <w:rFonts w:ascii="Times New Roman" w:hAnsi="Times New Roman" w:cs="Times New Roman"/>
          <w:sz w:val="24"/>
          <w:szCs w:val="24"/>
        </w:rPr>
        <w:t xml:space="preserve"> </w:t>
      </w:r>
      <w:r w:rsidRPr="00EB5187">
        <w:rPr>
          <w:rFonts w:ascii="Times New Roman" w:hAnsi="Times New Roman" w:cs="Times New Roman"/>
          <w:sz w:val="24"/>
          <w:szCs w:val="24"/>
        </w:rPr>
        <w:t>Agroecology</w:t>
      </w:r>
      <w:r w:rsidR="00EB5187" w:rsidRPr="00EB5187">
        <w:rPr>
          <w:rFonts w:ascii="Times New Roman" w:hAnsi="Times New Roman" w:cs="Times New Roman"/>
          <w:sz w:val="24"/>
          <w:szCs w:val="24"/>
        </w:rPr>
        <w:t xml:space="preserve">, </w:t>
      </w:r>
      <w:r w:rsidRPr="00EB5187">
        <w:rPr>
          <w:rFonts w:ascii="Times New Roman" w:hAnsi="Times New Roman" w:cs="Times New Roman"/>
          <w:sz w:val="24"/>
          <w:szCs w:val="24"/>
        </w:rPr>
        <w:t xml:space="preserve">Sustainable </w:t>
      </w:r>
      <w:r w:rsidR="00EB5187" w:rsidRPr="00EB5187">
        <w:rPr>
          <w:rFonts w:ascii="Times New Roman" w:hAnsi="Times New Roman" w:cs="Times New Roman"/>
          <w:sz w:val="24"/>
          <w:szCs w:val="24"/>
        </w:rPr>
        <w:t xml:space="preserve">Agriculture, </w:t>
      </w:r>
      <w:r w:rsidRPr="00EB5187">
        <w:rPr>
          <w:rFonts w:ascii="Times New Roman" w:hAnsi="Times New Roman" w:cs="Times New Roman"/>
          <w:sz w:val="24"/>
          <w:szCs w:val="24"/>
        </w:rPr>
        <w:t xml:space="preserve">Crop </w:t>
      </w:r>
      <w:r w:rsidR="00EB5187" w:rsidRPr="00EB5187">
        <w:rPr>
          <w:rFonts w:ascii="Times New Roman" w:hAnsi="Times New Roman" w:cs="Times New Roman"/>
          <w:sz w:val="24"/>
          <w:szCs w:val="24"/>
        </w:rPr>
        <w:t xml:space="preserve">Diversification, </w:t>
      </w:r>
      <w:r w:rsidRPr="00EB5187">
        <w:rPr>
          <w:rFonts w:ascii="Times New Roman" w:hAnsi="Times New Roman" w:cs="Times New Roman"/>
          <w:sz w:val="24"/>
          <w:szCs w:val="24"/>
        </w:rPr>
        <w:t xml:space="preserve">Soil </w:t>
      </w:r>
      <w:r w:rsidR="00EB5187" w:rsidRPr="00EB5187">
        <w:rPr>
          <w:rFonts w:ascii="Times New Roman" w:hAnsi="Times New Roman" w:cs="Times New Roman"/>
          <w:sz w:val="24"/>
          <w:szCs w:val="24"/>
        </w:rPr>
        <w:t xml:space="preserve">Health, </w:t>
      </w:r>
      <w:r w:rsidRPr="00EB5187">
        <w:rPr>
          <w:rFonts w:ascii="Times New Roman" w:hAnsi="Times New Roman" w:cs="Times New Roman"/>
          <w:sz w:val="24"/>
          <w:szCs w:val="24"/>
        </w:rPr>
        <w:t xml:space="preserve">Integrated </w:t>
      </w:r>
      <w:r w:rsidR="00EB5187" w:rsidRPr="00EB5187">
        <w:rPr>
          <w:rFonts w:ascii="Times New Roman" w:hAnsi="Times New Roman" w:cs="Times New Roman"/>
          <w:sz w:val="24"/>
          <w:szCs w:val="24"/>
        </w:rPr>
        <w:t>Management</w:t>
      </w:r>
    </w:p>
    <w:p w14:paraId="755748F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 Introduction</w:t>
      </w:r>
    </w:p>
    <w:p w14:paraId="30973DD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The global agricultural landscape faces unprecedented challenges in the 21st century, with increasing pressure to produce more food for a growing population while simultaneously addressing environmental degradation, climate change impacts, and resource scarcity [1]. India, with its diverse agro-climatic zones and predominantly smallholder farming systems, exemplifies both the challenges and opportunities in transitioning towards sustainable agricultural practices. The Green Revolution, while successful in enhancing food production, has led to significant ecological consequences including soil degradation, groundwater depletion, biodiversity loss, and increased greenhouse gas emissions [2].</w:t>
      </w:r>
    </w:p>
    <w:p w14:paraId="352C42B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Agroecology emerges as a transformative approach that integrates ecological principles into agricultural systems, offering pathways to enhance productivity while maintaining environmental integrity [3]. This holistic framework encompasses multiple dimensions including biological diversity, nutrient cycling, soil health management, and socio-economic considerations. Unlike </w:t>
      </w:r>
      <w:r w:rsidRPr="00CB436D">
        <w:rPr>
          <w:rFonts w:ascii="Times New Roman" w:hAnsi="Times New Roman" w:cs="Times New Roman"/>
          <w:sz w:val="24"/>
          <w:szCs w:val="24"/>
        </w:rPr>
        <w:lastRenderedPageBreak/>
        <w:t>conventional intensive agriculture that relies heavily on external inputs, agroecological practices emphasize the optimization of ecological processes and ecosystem services within farming systems [4].</w:t>
      </w:r>
    </w:p>
    <w:p w14:paraId="7E091A2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The Indian context presents unique opportunities for agroecological transformation. Traditional farming systems have evolved over millennia, incorporating sophisticated knowledge of local ecosystems, crop varieties, and resource management strategies. These indigenous practices, when combined with modern scientific understanding, can provide robust solutions for sustainable intensification [5]. The diversity of crops cultivated in India, including over 50,000 varieties of rice (</w:t>
      </w:r>
      <w:r w:rsidRPr="00CB436D">
        <w:rPr>
          <w:rFonts w:ascii="Times New Roman" w:hAnsi="Times New Roman" w:cs="Times New Roman"/>
          <w:i/>
          <w:iCs/>
          <w:sz w:val="24"/>
          <w:szCs w:val="24"/>
        </w:rPr>
        <w:t>Oryza sativa</w:t>
      </w:r>
      <w:r w:rsidRPr="00CB436D">
        <w:rPr>
          <w:rFonts w:ascii="Times New Roman" w:hAnsi="Times New Roman" w:cs="Times New Roman"/>
          <w:sz w:val="24"/>
          <w:szCs w:val="24"/>
        </w:rPr>
        <w:t>), numerous millets, pulses, and oilseeds, offers tremendous potential for developing resilient cropping systems [6].</w:t>
      </w:r>
    </w:p>
    <w:p w14:paraId="3E3C83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Recent policy initiatives such as the National Mission for Sustainable Agriculture and Zero Budget Natural Farming programs indicate growing recognition of agroecological approaches at governmental levels [7]. However, the transition from conventional to sustainable practices requires comprehensive understanding of ecological interactions, farmer capacity building, market linkages, and supportive institutional frameworks. The economic viability of agroecological practices remains a critical consideration, particularly for resource-poor farmers who constitute the majority of Indian agriculture [8].</w:t>
      </w:r>
    </w:p>
    <w:p w14:paraId="328E077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This review synthesizes current knowledge on sustainable crop production practices through an agroecological lens, examining successful implementations, identifying challenges, and proposing future directions. The analysis encompasses various components including crop diversification strategies, soil health management, water conservation techniques, integrated pest management, and nutrient cycling approaches. By critically evaluating empirical evidence from field studies, farmer experiences, and scientific research, this paper aims to provide actionable insights for researchers, policymakers, and practitioners engaged in agricultural sustainability efforts.</w:t>
      </w:r>
    </w:p>
    <w:p w14:paraId="0DC22A8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The urgency of this transition cannot be overstated. Climate projections indicate significant impacts on agricultural productivity, with changing precipitation patterns, temperature extremes, and increased frequency of extreme weather events [9]. Agroecological approaches offer adaptive strategies through enhanced system resilience, reduced dependency on external inputs, and improved ecosystem services. Furthermore, these practices contribute to multiple sustainable development goals including zero hunger, climate action, and terrestrial ecosystem conservation [10].</w:t>
      </w:r>
    </w:p>
    <w:p w14:paraId="6CE5D734"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 Methodology</w:t>
      </w:r>
    </w:p>
    <w:p w14:paraId="487DCA2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2.1 Literature Search Strategy</w:t>
      </w:r>
    </w:p>
    <w:p w14:paraId="1CC0C8C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 systematic literature review was conducted using multiple academic databases including Web of Science, Scopus, Google Scholar, and AGRICOLA. Search terms included combinations of "agroecology," "sustainable agriculture," "crop production," "India," "soil health," "integrated pest management," and "water conservation" [11]. The search covered publications from 2010 to 2024, with seminal earlier works included for historical context.</w:t>
      </w:r>
    </w:p>
    <w:p w14:paraId="2AE3643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2.2 Selection Criteria</w:t>
      </w:r>
    </w:p>
    <w:p w14:paraId="7089723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Publications were selected based on relevance to agroecological practices in crop production, empirical evidence from field studies, and applicability to Indian agricultural contexts. Priority was given to peer-reviewed articles, meta-analyses, and comprehensive reviews. Grey literature including government reports and farmer organization documents were included to capture practical implementation experiences [12].</w:t>
      </w:r>
    </w:p>
    <w:p w14:paraId="63EFA40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2.3 Data Analysis Framework</w:t>
      </w:r>
    </w:p>
    <w:p w14:paraId="7B75CBD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Selected literature was analyzed using a thematic framework encompassing ecological, economic, and social dimensions of sustainability. Quantitative data on yield impacts, input reduction, and economic returns were synthesized where available. Qualitative insights on farmer adoption, traditional knowledge integration, and policy implications were systematically categorized [13].</w:t>
      </w:r>
    </w:p>
    <w:p w14:paraId="711A8CC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 Crop Diversification Strategies</w:t>
      </w:r>
    </w:p>
    <w:p w14:paraId="2298018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3.1 Principles of Crop Diversification</w:t>
      </w:r>
    </w:p>
    <w:p w14:paraId="3C7F009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Crop diversification represents a fundamental agroecological strategy that enhances system resilience through planned heterogeneity in space and time. This approach contrasts sharply with monoculture systems by incorporating multiple crop species, varieties, and functional groups within farming landscapes [14]. The ecological basis for diversification lies in complementary resource use, pest and disease suppression, and enhanced nutrient cycling.</w:t>
      </w:r>
    </w:p>
    <w:p w14:paraId="6F46805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3.2 Intercropping Systems</w:t>
      </w:r>
    </w:p>
    <w:p w14:paraId="7EB566A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Intercropping, the simultaneous cultivation of two or more crops in the same field, demonstrates significant advantages in resource use efficiency. Studies from Karnataka show that pigeon pea (</w:t>
      </w:r>
      <w:proofErr w:type="spellStart"/>
      <w:r w:rsidRPr="00CB436D">
        <w:rPr>
          <w:rFonts w:ascii="Times New Roman" w:hAnsi="Times New Roman" w:cs="Times New Roman"/>
          <w:i/>
          <w:iCs/>
          <w:sz w:val="24"/>
          <w:szCs w:val="24"/>
        </w:rPr>
        <w:t>Cajanus</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cajan</w:t>
      </w:r>
      <w:proofErr w:type="spellEnd"/>
      <w:r w:rsidRPr="00CB436D">
        <w:rPr>
          <w:rFonts w:ascii="Times New Roman" w:hAnsi="Times New Roman" w:cs="Times New Roman"/>
          <w:sz w:val="24"/>
          <w:szCs w:val="24"/>
        </w:rPr>
        <w:t>) and groundnut (</w:t>
      </w:r>
      <w:proofErr w:type="spellStart"/>
      <w:r w:rsidRPr="00CB436D">
        <w:rPr>
          <w:rFonts w:ascii="Times New Roman" w:hAnsi="Times New Roman" w:cs="Times New Roman"/>
          <w:i/>
          <w:iCs/>
          <w:sz w:val="24"/>
          <w:szCs w:val="24"/>
        </w:rPr>
        <w:t>Arachis</w:t>
      </w:r>
      <w:proofErr w:type="spellEnd"/>
      <w:r w:rsidRPr="00CB436D">
        <w:rPr>
          <w:rFonts w:ascii="Times New Roman" w:hAnsi="Times New Roman" w:cs="Times New Roman"/>
          <w:i/>
          <w:iCs/>
          <w:sz w:val="24"/>
          <w:szCs w:val="24"/>
        </w:rPr>
        <w:t xml:space="preserve"> hypogaea</w:t>
      </w:r>
      <w:r w:rsidRPr="00CB436D">
        <w:rPr>
          <w:rFonts w:ascii="Times New Roman" w:hAnsi="Times New Roman" w:cs="Times New Roman"/>
          <w:sz w:val="24"/>
          <w:szCs w:val="24"/>
        </w:rPr>
        <w:t>) intercropping systems achieve land equivalent ratios of 1.4-1.6, indicating 40-60% higher productivity compared to monocultures [15]. The success of these systems depends on selecting compatible crop combinations with different rooting patterns, growth habits, and nutrient requirements.</w:t>
      </w:r>
    </w:p>
    <w:p w14:paraId="102F528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1: Performance of Major Intercropping Systems in India</w:t>
      </w:r>
    </w:p>
    <w:tbl>
      <w:tblPr>
        <w:tblStyle w:val="TableGrid"/>
        <w:tblW w:w="0" w:type="auto"/>
        <w:tblLook w:val="04A0" w:firstRow="1" w:lastRow="0" w:firstColumn="1" w:lastColumn="0" w:noHBand="0" w:noVBand="1"/>
      </w:tblPr>
      <w:tblGrid>
        <w:gridCol w:w="2199"/>
        <w:gridCol w:w="1467"/>
        <w:gridCol w:w="1805"/>
        <w:gridCol w:w="1740"/>
        <w:gridCol w:w="2139"/>
      </w:tblGrid>
      <w:tr w:rsidR="00CB436D" w:rsidRPr="00CB436D" w14:paraId="3BE970B4" w14:textId="77777777" w:rsidTr="00EB5187">
        <w:tc>
          <w:tcPr>
            <w:tcW w:w="0" w:type="auto"/>
            <w:hideMark/>
          </w:tcPr>
          <w:p w14:paraId="027D103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Intercropping System</w:t>
            </w:r>
          </w:p>
        </w:tc>
        <w:tc>
          <w:tcPr>
            <w:tcW w:w="0" w:type="auto"/>
            <w:hideMark/>
          </w:tcPr>
          <w:p w14:paraId="12E47A7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Region</w:t>
            </w:r>
          </w:p>
        </w:tc>
        <w:tc>
          <w:tcPr>
            <w:tcW w:w="0" w:type="auto"/>
            <w:hideMark/>
          </w:tcPr>
          <w:p w14:paraId="623A97D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Advantage (%)</w:t>
            </w:r>
          </w:p>
        </w:tc>
        <w:tc>
          <w:tcPr>
            <w:tcW w:w="0" w:type="auto"/>
            <w:hideMark/>
          </w:tcPr>
          <w:p w14:paraId="7CE12DC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Economic Returns</w:t>
            </w:r>
          </w:p>
        </w:tc>
        <w:tc>
          <w:tcPr>
            <w:tcW w:w="0" w:type="auto"/>
            <w:hideMark/>
          </w:tcPr>
          <w:p w14:paraId="65A667D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Resource Efficiency</w:t>
            </w:r>
          </w:p>
        </w:tc>
      </w:tr>
      <w:tr w:rsidR="00CB436D" w:rsidRPr="00CB436D" w14:paraId="16C8B313" w14:textId="77777777" w:rsidTr="00EB5187">
        <w:tc>
          <w:tcPr>
            <w:tcW w:w="0" w:type="auto"/>
            <w:hideMark/>
          </w:tcPr>
          <w:p w14:paraId="0595709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Maize + Cowpea</w:t>
            </w:r>
          </w:p>
        </w:tc>
        <w:tc>
          <w:tcPr>
            <w:tcW w:w="0" w:type="auto"/>
            <w:hideMark/>
          </w:tcPr>
          <w:p w14:paraId="510C804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Tamil Nadu</w:t>
            </w:r>
          </w:p>
        </w:tc>
        <w:tc>
          <w:tcPr>
            <w:tcW w:w="0" w:type="auto"/>
            <w:hideMark/>
          </w:tcPr>
          <w:p w14:paraId="67A3266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w:t>
            </w:r>
          </w:p>
        </w:tc>
        <w:tc>
          <w:tcPr>
            <w:tcW w:w="0" w:type="auto"/>
            <w:hideMark/>
          </w:tcPr>
          <w:p w14:paraId="7905E14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1.8x monoculture</w:t>
            </w:r>
          </w:p>
        </w:tc>
        <w:tc>
          <w:tcPr>
            <w:tcW w:w="0" w:type="auto"/>
            <w:hideMark/>
          </w:tcPr>
          <w:p w14:paraId="719FB3F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High nitrogen fixation</w:t>
            </w:r>
          </w:p>
        </w:tc>
      </w:tr>
      <w:tr w:rsidR="00CB436D" w:rsidRPr="00CB436D" w14:paraId="3AB3E718" w14:textId="77777777" w:rsidTr="00EB5187">
        <w:tc>
          <w:tcPr>
            <w:tcW w:w="0" w:type="auto"/>
            <w:hideMark/>
          </w:tcPr>
          <w:p w14:paraId="2C8AA25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Cotton + </w:t>
            </w:r>
            <w:proofErr w:type="spellStart"/>
            <w:r w:rsidRPr="00CB436D">
              <w:rPr>
                <w:rFonts w:ascii="Times New Roman" w:hAnsi="Times New Roman" w:cs="Times New Roman"/>
                <w:sz w:val="24"/>
                <w:szCs w:val="24"/>
              </w:rPr>
              <w:t>Blackgram</w:t>
            </w:r>
            <w:proofErr w:type="spellEnd"/>
          </w:p>
        </w:tc>
        <w:tc>
          <w:tcPr>
            <w:tcW w:w="0" w:type="auto"/>
            <w:hideMark/>
          </w:tcPr>
          <w:p w14:paraId="5D83A80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Gujarat</w:t>
            </w:r>
          </w:p>
        </w:tc>
        <w:tc>
          <w:tcPr>
            <w:tcW w:w="0" w:type="auto"/>
            <w:hideMark/>
          </w:tcPr>
          <w:p w14:paraId="1ED29B2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10978D0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1.6x monoculture</w:t>
            </w:r>
          </w:p>
        </w:tc>
        <w:tc>
          <w:tcPr>
            <w:tcW w:w="0" w:type="auto"/>
            <w:hideMark/>
          </w:tcPr>
          <w:p w14:paraId="210AE9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Improved soil cover</w:t>
            </w:r>
          </w:p>
        </w:tc>
      </w:tr>
      <w:tr w:rsidR="00CB436D" w:rsidRPr="00CB436D" w14:paraId="3BC7CAD3" w14:textId="77777777" w:rsidTr="00EB5187">
        <w:tc>
          <w:tcPr>
            <w:tcW w:w="0" w:type="auto"/>
            <w:hideMark/>
          </w:tcPr>
          <w:p w14:paraId="22B55B9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Sugarcane + Wheat</w:t>
            </w:r>
          </w:p>
        </w:tc>
        <w:tc>
          <w:tcPr>
            <w:tcW w:w="0" w:type="auto"/>
            <w:hideMark/>
          </w:tcPr>
          <w:p w14:paraId="22884BF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Uttar Pradesh</w:t>
            </w:r>
          </w:p>
        </w:tc>
        <w:tc>
          <w:tcPr>
            <w:tcW w:w="0" w:type="auto"/>
            <w:hideMark/>
          </w:tcPr>
          <w:p w14:paraId="61D7D3F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2FECA2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1.5x monoculture</w:t>
            </w:r>
          </w:p>
        </w:tc>
        <w:tc>
          <w:tcPr>
            <w:tcW w:w="0" w:type="auto"/>
            <w:hideMark/>
          </w:tcPr>
          <w:p w14:paraId="241459D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Temporal diversification</w:t>
            </w:r>
          </w:p>
        </w:tc>
      </w:tr>
      <w:tr w:rsidR="00CB436D" w:rsidRPr="00CB436D" w14:paraId="434FE42D" w14:textId="77777777" w:rsidTr="00EB5187">
        <w:tc>
          <w:tcPr>
            <w:tcW w:w="0" w:type="auto"/>
            <w:hideMark/>
          </w:tcPr>
          <w:p w14:paraId="7ABCD73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Pearl Millet + Cluster Bean</w:t>
            </w:r>
          </w:p>
        </w:tc>
        <w:tc>
          <w:tcPr>
            <w:tcW w:w="0" w:type="auto"/>
            <w:hideMark/>
          </w:tcPr>
          <w:p w14:paraId="39986B2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Rajasthan</w:t>
            </w:r>
          </w:p>
        </w:tc>
        <w:tc>
          <w:tcPr>
            <w:tcW w:w="0" w:type="auto"/>
            <w:hideMark/>
          </w:tcPr>
          <w:p w14:paraId="2752ECC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40-45</w:t>
            </w:r>
          </w:p>
        </w:tc>
        <w:tc>
          <w:tcPr>
            <w:tcW w:w="0" w:type="auto"/>
            <w:hideMark/>
          </w:tcPr>
          <w:p w14:paraId="3351E6E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2.0x monoculture</w:t>
            </w:r>
          </w:p>
        </w:tc>
        <w:tc>
          <w:tcPr>
            <w:tcW w:w="0" w:type="auto"/>
            <w:hideMark/>
          </w:tcPr>
          <w:p w14:paraId="6813311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 resilience</w:t>
            </w:r>
          </w:p>
        </w:tc>
      </w:tr>
      <w:tr w:rsidR="00CB436D" w:rsidRPr="00CB436D" w14:paraId="6B32E0C6" w14:textId="77777777" w:rsidTr="00EB5187">
        <w:tc>
          <w:tcPr>
            <w:tcW w:w="0" w:type="auto"/>
            <w:hideMark/>
          </w:tcPr>
          <w:p w14:paraId="6AF1667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Rice + Fish</w:t>
            </w:r>
          </w:p>
        </w:tc>
        <w:tc>
          <w:tcPr>
            <w:tcW w:w="0" w:type="auto"/>
            <w:hideMark/>
          </w:tcPr>
          <w:p w14:paraId="49F5C8F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West Bengal</w:t>
            </w:r>
          </w:p>
        </w:tc>
        <w:tc>
          <w:tcPr>
            <w:tcW w:w="0" w:type="auto"/>
            <w:hideMark/>
          </w:tcPr>
          <w:p w14:paraId="752A7F0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c>
          <w:tcPr>
            <w:tcW w:w="0" w:type="auto"/>
            <w:hideMark/>
          </w:tcPr>
          <w:p w14:paraId="7A57C8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2.2x monoculture</w:t>
            </w:r>
          </w:p>
        </w:tc>
        <w:tc>
          <w:tcPr>
            <w:tcW w:w="0" w:type="auto"/>
            <w:hideMark/>
          </w:tcPr>
          <w:p w14:paraId="14C1D5C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Integrated farming</w:t>
            </w:r>
          </w:p>
        </w:tc>
      </w:tr>
      <w:tr w:rsidR="00CB436D" w:rsidRPr="00CB436D" w14:paraId="766A43DD" w14:textId="77777777" w:rsidTr="00EB5187">
        <w:tc>
          <w:tcPr>
            <w:tcW w:w="0" w:type="auto"/>
            <w:hideMark/>
          </w:tcPr>
          <w:p w14:paraId="19E5EF9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Coconut + Cocoa</w:t>
            </w:r>
          </w:p>
        </w:tc>
        <w:tc>
          <w:tcPr>
            <w:tcW w:w="0" w:type="auto"/>
            <w:hideMark/>
          </w:tcPr>
          <w:p w14:paraId="2525177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Kerala</w:t>
            </w:r>
          </w:p>
        </w:tc>
        <w:tc>
          <w:tcPr>
            <w:tcW w:w="0" w:type="auto"/>
            <w:hideMark/>
          </w:tcPr>
          <w:p w14:paraId="1B0154F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30-35</w:t>
            </w:r>
          </w:p>
        </w:tc>
        <w:tc>
          <w:tcPr>
            <w:tcW w:w="0" w:type="auto"/>
            <w:hideMark/>
          </w:tcPr>
          <w:p w14:paraId="1D257EC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1.7x monoculture</w:t>
            </w:r>
          </w:p>
        </w:tc>
        <w:tc>
          <w:tcPr>
            <w:tcW w:w="0" w:type="auto"/>
            <w:hideMark/>
          </w:tcPr>
          <w:p w14:paraId="427DFD4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Vertical space use</w:t>
            </w:r>
          </w:p>
        </w:tc>
      </w:tr>
      <w:tr w:rsidR="00CB436D" w:rsidRPr="00CB436D" w14:paraId="116CF502" w14:textId="77777777" w:rsidTr="00EB5187">
        <w:tc>
          <w:tcPr>
            <w:tcW w:w="0" w:type="auto"/>
            <w:hideMark/>
          </w:tcPr>
          <w:p w14:paraId="65BA628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Sorghum + </w:t>
            </w:r>
            <w:proofErr w:type="spellStart"/>
            <w:r w:rsidRPr="00CB436D">
              <w:rPr>
                <w:rFonts w:ascii="Times New Roman" w:hAnsi="Times New Roman" w:cs="Times New Roman"/>
                <w:sz w:val="24"/>
                <w:szCs w:val="24"/>
              </w:rPr>
              <w:t>Pigeonpea</w:t>
            </w:r>
            <w:proofErr w:type="spellEnd"/>
          </w:p>
        </w:tc>
        <w:tc>
          <w:tcPr>
            <w:tcW w:w="0" w:type="auto"/>
            <w:hideMark/>
          </w:tcPr>
          <w:p w14:paraId="3A62CEF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Maharashtra</w:t>
            </w:r>
          </w:p>
        </w:tc>
        <w:tc>
          <w:tcPr>
            <w:tcW w:w="0" w:type="auto"/>
            <w:hideMark/>
          </w:tcPr>
          <w:p w14:paraId="7BAA2E6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c>
          <w:tcPr>
            <w:tcW w:w="0" w:type="auto"/>
            <w:hideMark/>
          </w:tcPr>
          <w:p w14:paraId="4AC3BF8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1.9x monoculture</w:t>
            </w:r>
          </w:p>
        </w:tc>
        <w:tc>
          <w:tcPr>
            <w:tcW w:w="0" w:type="auto"/>
            <w:hideMark/>
          </w:tcPr>
          <w:p w14:paraId="52974CD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Complementary growth</w:t>
            </w:r>
          </w:p>
        </w:tc>
      </w:tr>
    </w:tbl>
    <w:p w14:paraId="1C001A15"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3.3 Crop Rotation Benefits</w:t>
      </w:r>
    </w:p>
    <w:p w14:paraId="4AF54EA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Strategic crop rotations break pest and disease cycles while improving soil fertility through varied root architectures and residue quality. Research from Punjab demonstrates that diversifying rice-wheat systems with legumes, oilseeds, and vegetables reduces fertilizer requirements by 25-30% while maintaining productivity [16]. The inclusion of deep-rooted crops like castor (</w:t>
      </w:r>
      <w:r w:rsidRPr="00CB436D">
        <w:rPr>
          <w:rFonts w:ascii="Times New Roman" w:hAnsi="Times New Roman" w:cs="Times New Roman"/>
          <w:i/>
          <w:iCs/>
          <w:sz w:val="24"/>
          <w:szCs w:val="24"/>
        </w:rPr>
        <w:t>Ricinus communis</w:t>
      </w:r>
      <w:r w:rsidRPr="00CB436D">
        <w:rPr>
          <w:rFonts w:ascii="Times New Roman" w:hAnsi="Times New Roman" w:cs="Times New Roman"/>
          <w:sz w:val="24"/>
          <w:szCs w:val="24"/>
        </w:rPr>
        <w:t>) and sunflower (</w:t>
      </w:r>
      <w:r w:rsidRPr="00CB436D">
        <w:rPr>
          <w:rFonts w:ascii="Times New Roman" w:hAnsi="Times New Roman" w:cs="Times New Roman"/>
          <w:i/>
          <w:iCs/>
          <w:sz w:val="24"/>
          <w:szCs w:val="24"/>
        </w:rPr>
        <w:t>Helianthus annuus</w:t>
      </w:r>
      <w:r w:rsidRPr="00CB436D">
        <w:rPr>
          <w:rFonts w:ascii="Times New Roman" w:hAnsi="Times New Roman" w:cs="Times New Roman"/>
          <w:sz w:val="24"/>
          <w:szCs w:val="24"/>
        </w:rPr>
        <w:t>) helps access nutrients from lower soil profiles.</w:t>
      </w:r>
    </w:p>
    <w:p w14:paraId="3FD63667"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1: Nutrient Cycling in Diversified Cropping</w:t>
      </w:r>
      <w:r w:rsidRPr="00CB436D">
        <w:rPr>
          <w:rFonts w:ascii="Times New Roman" w:hAnsi="Times New Roman" w:cs="Times New Roman"/>
          <w:sz w:val="24"/>
          <w:szCs w:val="24"/>
        </w:rPr>
        <w:t xml:space="preserve"> </w:t>
      </w:r>
    </w:p>
    <w:p w14:paraId="17F1E4F0" w14:textId="77777777" w:rsidR="00EB5187" w:rsidRPr="00CB436D" w:rsidRDefault="00EB5187" w:rsidP="00EB5187">
      <w:pPr>
        <w:jc w:val="center"/>
        <w:rPr>
          <w:rFonts w:ascii="Times New Roman" w:hAnsi="Times New Roman" w:cs="Times New Roman"/>
          <w:sz w:val="24"/>
          <w:szCs w:val="24"/>
        </w:rPr>
      </w:pPr>
      <w:r>
        <w:rPr>
          <w:noProof/>
          <w:lang w:bidi="hi-IN"/>
        </w:rPr>
        <w:drawing>
          <wp:inline distT="0" distB="0" distL="0" distR="0" wp14:anchorId="1FEE6F90" wp14:editId="62C7B654">
            <wp:extent cx="4904679" cy="2685312"/>
            <wp:effectExtent l="0" t="0" r="0" b="1270"/>
            <wp:docPr id="1" name="Picture 1" descr="Understanding Nutrient Cycling: The Foundation of Sustainabl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Nutrient Cycling: The Foundation of Sustainable Agricul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8767" cy="2687550"/>
                    </a:xfrm>
                    <a:prstGeom prst="rect">
                      <a:avLst/>
                    </a:prstGeom>
                    <a:noFill/>
                    <a:ln>
                      <a:noFill/>
                    </a:ln>
                  </pic:spPr>
                </pic:pic>
              </a:graphicData>
            </a:graphic>
          </wp:inline>
        </w:drawing>
      </w:r>
    </w:p>
    <w:p w14:paraId="35E884A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3.4 Agroforestry Integration</w:t>
      </w:r>
    </w:p>
    <w:p w14:paraId="343607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Agroforestry systems represent advanced diversification by integrating trees with crops and/or livestock. Studies from central India show that </w:t>
      </w:r>
      <w:r w:rsidRPr="00CB436D">
        <w:rPr>
          <w:rFonts w:ascii="Times New Roman" w:hAnsi="Times New Roman" w:cs="Times New Roman"/>
          <w:i/>
          <w:iCs/>
          <w:sz w:val="24"/>
          <w:szCs w:val="24"/>
        </w:rPr>
        <w:t>Leucaena leucocephala</w:t>
      </w:r>
      <w:r w:rsidRPr="00CB436D">
        <w:rPr>
          <w:rFonts w:ascii="Times New Roman" w:hAnsi="Times New Roman" w:cs="Times New Roman"/>
          <w:sz w:val="24"/>
          <w:szCs w:val="24"/>
        </w:rPr>
        <w:t xml:space="preserve"> based alley cropping systems enhance soil organic carbon by 35% over five years while providing fodder and fuelwood [17]. Tree components modify microclimate, reduce erosion, and create habitat for beneficial organisms.</w:t>
      </w:r>
    </w:p>
    <w:p w14:paraId="17BA999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 Soil Health Management</w:t>
      </w:r>
    </w:p>
    <w:p w14:paraId="6CA39524"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4.1 Biological Soil Enhancement</w:t>
      </w:r>
    </w:p>
    <w:p w14:paraId="5A9D6B0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Soil health forms the foundation of sustainable crop production, with biological activity serving as the primary driver of nutrient cycling and structural development. Agroecological practices emphasize enhancing soil life through organic matter additions, minimal disturbance, and continuous living cover [18].</w:t>
      </w:r>
    </w:p>
    <w:p w14:paraId="641EF8F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4.2 Cover Cropping Systems</w:t>
      </w:r>
    </w:p>
    <w:p w14:paraId="1342731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Cover crops provide multiple ecosystem services including nitrogen fixation, weed suppression, and erosion control. Field trials in Maharashtra demonstrate that </w:t>
      </w:r>
      <w:r w:rsidRPr="00CB436D">
        <w:rPr>
          <w:rFonts w:ascii="Times New Roman" w:hAnsi="Times New Roman" w:cs="Times New Roman"/>
          <w:i/>
          <w:iCs/>
          <w:sz w:val="24"/>
          <w:szCs w:val="24"/>
        </w:rPr>
        <w:t>Sesbania aculeata</w:t>
      </w:r>
      <w:r w:rsidRPr="00CB436D">
        <w:rPr>
          <w:rFonts w:ascii="Times New Roman" w:hAnsi="Times New Roman" w:cs="Times New Roman"/>
          <w:sz w:val="24"/>
          <w:szCs w:val="24"/>
        </w:rPr>
        <w:t xml:space="preserve"> as a monsoon </w:t>
      </w:r>
      <w:r w:rsidRPr="00CB436D">
        <w:rPr>
          <w:rFonts w:ascii="Times New Roman" w:hAnsi="Times New Roman" w:cs="Times New Roman"/>
          <w:sz w:val="24"/>
          <w:szCs w:val="24"/>
        </w:rPr>
        <w:lastRenderedPageBreak/>
        <w:t>season cover crop adds 60-80 kg N/ha while improving soil aggregation [19]. Winter cover crops like mustard (</w:t>
      </w:r>
      <w:r w:rsidRPr="00CB436D">
        <w:rPr>
          <w:rFonts w:ascii="Times New Roman" w:hAnsi="Times New Roman" w:cs="Times New Roman"/>
          <w:i/>
          <w:iCs/>
          <w:sz w:val="24"/>
          <w:szCs w:val="24"/>
        </w:rPr>
        <w:t>Brassica juncea</w:t>
      </w:r>
      <w:r w:rsidRPr="00CB436D">
        <w:rPr>
          <w:rFonts w:ascii="Times New Roman" w:hAnsi="Times New Roman" w:cs="Times New Roman"/>
          <w:sz w:val="24"/>
          <w:szCs w:val="24"/>
        </w:rPr>
        <w:t>) and lentil (</w:t>
      </w:r>
      <w:r w:rsidRPr="00CB436D">
        <w:rPr>
          <w:rFonts w:ascii="Times New Roman" w:hAnsi="Times New Roman" w:cs="Times New Roman"/>
          <w:i/>
          <w:iCs/>
          <w:sz w:val="24"/>
          <w:szCs w:val="24"/>
        </w:rPr>
        <w:t>Lens culinaris</w:t>
      </w:r>
      <w:r w:rsidRPr="00CB436D">
        <w:rPr>
          <w:rFonts w:ascii="Times New Roman" w:hAnsi="Times New Roman" w:cs="Times New Roman"/>
          <w:sz w:val="24"/>
          <w:szCs w:val="24"/>
        </w:rPr>
        <w:t>) maintain soil biological activity during fallow periods.</w:t>
      </w:r>
    </w:p>
    <w:p w14:paraId="77457B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2: Impact of Cover Crops on Soil Properties</w:t>
      </w:r>
    </w:p>
    <w:tbl>
      <w:tblPr>
        <w:tblStyle w:val="TableGrid"/>
        <w:tblW w:w="0" w:type="auto"/>
        <w:tblLook w:val="04A0" w:firstRow="1" w:lastRow="0" w:firstColumn="1" w:lastColumn="0" w:noHBand="0" w:noVBand="1"/>
      </w:tblPr>
      <w:tblGrid>
        <w:gridCol w:w="2093"/>
        <w:gridCol w:w="1358"/>
        <w:gridCol w:w="1600"/>
        <w:gridCol w:w="2315"/>
        <w:gridCol w:w="1984"/>
      </w:tblGrid>
      <w:tr w:rsidR="00CB436D" w:rsidRPr="00CB436D" w14:paraId="13B4AE74" w14:textId="77777777" w:rsidTr="00EB5187">
        <w:tc>
          <w:tcPr>
            <w:tcW w:w="0" w:type="auto"/>
            <w:hideMark/>
          </w:tcPr>
          <w:p w14:paraId="3F8FFD5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Cover Crop Species</w:t>
            </w:r>
          </w:p>
        </w:tc>
        <w:tc>
          <w:tcPr>
            <w:tcW w:w="0" w:type="auto"/>
            <w:hideMark/>
          </w:tcPr>
          <w:p w14:paraId="11F7DB1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Biomass (t/ha)</w:t>
            </w:r>
          </w:p>
        </w:tc>
        <w:tc>
          <w:tcPr>
            <w:tcW w:w="0" w:type="auto"/>
            <w:hideMark/>
          </w:tcPr>
          <w:p w14:paraId="6C9CAFF5" w14:textId="77777777" w:rsidR="00CB436D" w:rsidRPr="00CB436D" w:rsidRDefault="00CB436D" w:rsidP="00CB436D">
            <w:pPr>
              <w:jc w:val="both"/>
              <w:rPr>
                <w:rFonts w:ascii="Times New Roman" w:hAnsi="Times New Roman" w:cs="Times New Roman"/>
                <w:b/>
                <w:bCs/>
                <w:sz w:val="24"/>
                <w:szCs w:val="24"/>
              </w:rPr>
            </w:pPr>
            <w:proofErr w:type="spellStart"/>
            <w:r w:rsidRPr="00CB436D">
              <w:rPr>
                <w:rFonts w:ascii="Times New Roman" w:hAnsi="Times New Roman" w:cs="Times New Roman"/>
                <w:b/>
                <w:bCs/>
                <w:sz w:val="24"/>
                <w:szCs w:val="24"/>
              </w:rPr>
              <w:t>N</w:t>
            </w:r>
            <w:proofErr w:type="spellEnd"/>
            <w:r w:rsidRPr="00CB436D">
              <w:rPr>
                <w:rFonts w:ascii="Times New Roman" w:hAnsi="Times New Roman" w:cs="Times New Roman"/>
                <w:b/>
                <w:bCs/>
                <w:sz w:val="24"/>
                <w:szCs w:val="24"/>
              </w:rPr>
              <w:t xml:space="preserve"> Addition (kg/ha)</w:t>
            </w:r>
          </w:p>
        </w:tc>
        <w:tc>
          <w:tcPr>
            <w:tcW w:w="0" w:type="auto"/>
            <w:hideMark/>
          </w:tcPr>
          <w:p w14:paraId="5217497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Soil Organic Carbon Increase (%)</w:t>
            </w:r>
          </w:p>
        </w:tc>
        <w:tc>
          <w:tcPr>
            <w:tcW w:w="0" w:type="auto"/>
            <w:hideMark/>
          </w:tcPr>
          <w:p w14:paraId="6269E64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Weed Suppression (%)</w:t>
            </w:r>
          </w:p>
        </w:tc>
      </w:tr>
      <w:tr w:rsidR="00CB436D" w:rsidRPr="00CB436D" w14:paraId="4428DAB4" w14:textId="77777777" w:rsidTr="00EB5187">
        <w:tc>
          <w:tcPr>
            <w:tcW w:w="0" w:type="auto"/>
            <w:hideMark/>
          </w:tcPr>
          <w:p w14:paraId="15955E8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Crotalaria juncea</w:t>
            </w:r>
          </w:p>
        </w:tc>
        <w:tc>
          <w:tcPr>
            <w:tcW w:w="0" w:type="auto"/>
            <w:hideMark/>
          </w:tcPr>
          <w:p w14:paraId="1E571D7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4.5-5.5</w:t>
            </w:r>
          </w:p>
        </w:tc>
        <w:tc>
          <w:tcPr>
            <w:tcW w:w="0" w:type="auto"/>
            <w:hideMark/>
          </w:tcPr>
          <w:p w14:paraId="0F12CE6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80-100</w:t>
            </w:r>
          </w:p>
        </w:tc>
        <w:tc>
          <w:tcPr>
            <w:tcW w:w="0" w:type="auto"/>
            <w:hideMark/>
          </w:tcPr>
          <w:p w14:paraId="5F8418C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0.3-0.4</w:t>
            </w:r>
          </w:p>
        </w:tc>
        <w:tc>
          <w:tcPr>
            <w:tcW w:w="0" w:type="auto"/>
            <w:hideMark/>
          </w:tcPr>
          <w:p w14:paraId="69B79DA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60-70</w:t>
            </w:r>
          </w:p>
        </w:tc>
      </w:tr>
      <w:tr w:rsidR="00CB436D" w:rsidRPr="00CB436D" w14:paraId="4FE8A723" w14:textId="77777777" w:rsidTr="00EB5187">
        <w:tc>
          <w:tcPr>
            <w:tcW w:w="0" w:type="auto"/>
            <w:hideMark/>
          </w:tcPr>
          <w:p w14:paraId="6E5AF19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Vigna unguiculata</w:t>
            </w:r>
          </w:p>
        </w:tc>
        <w:tc>
          <w:tcPr>
            <w:tcW w:w="0" w:type="auto"/>
            <w:hideMark/>
          </w:tcPr>
          <w:p w14:paraId="31F35B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c>
          <w:tcPr>
            <w:tcW w:w="0" w:type="auto"/>
            <w:hideMark/>
          </w:tcPr>
          <w:p w14:paraId="601CD7D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60-80</w:t>
            </w:r>
          </w:p>
        </w:tc>
        <w:tc>
          <w:tcPr>
            <w:tcW w:w="0" w:type="auto"/>
            <w:hideMark/>
          </w:tcPr>
          <w:p w14:paraId="4D9158A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0.2-0.3</w:t>
            </w:r>
          </w:p>
        </w:tc>
        <w:tc>
          <w:tcPr>
            <w:tcW w:w="0" w:type="auto"/>
            <w:hideMark/>
          </w:tcPr>
          <w:p w14:paraId="5C01E6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r>
      <w:tr w:rsidR="00CB436D" w:rsidRPr="00CB436D" w14:paraId="1DF58CC2" w14:textId="77777777" w:rsidTr="00EB5187">
        <w:tc>
          <w:tcPr>
            <w:tcW w:w="0" w:type="auto"/>
            <w:hideMark/>
          </w:tcPr>
          <w:p w14:paraId="2B60D28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Mucuna pruriens</w:t>
            </w:r>
          </w:p>
        </w:tc>
        <w:tc>
          <w:tcPr>
            <w:tcW w:w="0" w:type="auto"/>
            <w:hideMark/>
          </w:tcPr>
          <w:p w14:paraId="3C79D66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c>
          <w:tcPr>
            <w:tcW w:w="0" w:type="auto"/>
            <w:hideMark/>
          </w:tcPr>
          <w:p w14:paraId="2922A78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90-110</w:t>
            </w:r>
          </w:p>
        </w:tc>
        <w:tc>
          <w:tcPr>
            <w:tcW w:w="0" w:type="auto"/>
            <w:hideMark/>
          </w:tcPr>
          <w:p w14:paraId="3180A5E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0.4-0.5</w:t>
            </w:r>
          </w:p>
        </w:tc>
        <w:tc>
          <w:tcPr>
            <w:tcW w:w="0" w:type="auto"/>
            <w:hideMark/>
          </w:tcPr>
          <w:p w14:paraId="2F6A596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70-80</w:t>
            </w:r>
          </w:p>
        </w:tc>
      </w:tr>
      <w:tr w:rsidR="00CB436D" w:rsidRPr="00CB436D" w14:paraId="6EDDB237" w14:textId="77777777" w:rsidTr="00EB5187">
        <w:tc>
          <w:tcPr>
            <w:tcW w:w="0" w:type="auto"/>
            <w:hideMark/>
          </w:tcPr>
          <w:p w14:paraId="7025A00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Sesbania rostrata</w:t>
            </w:r>
          </w:p>
        </w:tc>
        <w:tc>
          <w:tcPr>
            <w:tcW w:w="0" w:type="auto"/>
            <w:hideMark/>
          </w:tcPr>
          <w:p w14:paraId="6E7822A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c>
          <w:tcPr>
            <w:tcW w:w="0" w:type="auto"/>
            <w:hideMark/>
          </w:tcPr>
          <w:p w14:paraId="11D7184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100-120</w:t>
            </w:r>
          </w:p>
        </w:tc>
        <w:tc>
          <w:tcPr>
            <w:tcW w:w="0" w:type="auto"/>
            <w:hideMark/>
          </w:tcPr>
          <w:p w14:paraId="03CBE02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0.3-0.4</w:t>
            </w:r>
          </w:p>
        </w:tc>
        <w:tc>
          <w:tcPr>
            <w:tcW w:w="0" w:type="auto"/>
            <w:hideMark/>
          </w:tcPr>
          <w:p w14:paraId="3F63B32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65-75</w:t>
            </w:r>
          </w:p>
        </w:tc>
      </w:tr>
      <w:tr w:rsidR="00CB436D" w:rsidRPr="00CB436D" w14:paraId="23553B2B" w14:textId="77777777" w:rsidTr="00EB5187">
        <w:tc>
          <w:tcPr>
            <w:tcW w:w="0" w:type="auto"/>
            <w:hideMark/>
          </w:tcPr>
          <w:p w14:paraId="4A0AE54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Tephrosia purpurea</w:t>
            </w:r>
          </w:p>
        </w:tc>
        <w:tc>
          <w:tcPr>
            <w:tcW w:w="0" w:type="auto"/>
            <w:hideMark/>
          </w:tcPr>
          <w:p w14:paraId="1F0A09C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3.0-4.0</w:t>
            </w:r>
          </w:p>
        </w:tc>
        <w:tc>
          <w:tcPr>
            <w:tcW w:w="0" w:type="auto"/>
            <w:hideMark/>
          </w:tcPr>
          <w:p w14:paraId="5F266B0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50-70</w:t>
            </w:r>
          </w:p>
        </w:tc>
        <w:tc>
          <w:tcPr>
            <w:tcW w:w="0" w:type="auto"/>
            <w:hideMark/>
          </w:tcPr>
          <w:p w14:paraId="5FE5449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0.2-0.3</w:t>
            </w:r>
          </w:p>
        </w:tc>
        <w:tc>
          <w:tcPr>
            <w:tcW w:w="0" w:type="auto"/>
            <w:hideMark/>
          </w:tcPr>
          <w:p w14:paraId="7985F6A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45-55</w:t>
            </w:r>
          </w:p>
        </w:tc>
      </w:tr>
      <w:tr w:rsidR="00CB436D" w:rsidRPr="00CB436D" w14:paraId="0F607892" w14:textId="77777777" w:rsidTr="00EB5187">
        <w:tc>
          <w:tcPr>
            <w:tcW w:w="0" w:type="auto"/>
            <w:hideMark/>
          </w:tcPr>
          <w:p w14:paraId="17CB9EE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 xml:space="preserve">Canavalia </w:t>
            </w:r>
            <w:proofErr w:type="spellStart"/>
            <w:r w:rsidRPr="00CB436D">
              <w:rPr>
                <w:rFonts w:ascii="Times New Roman" w:hAnsi="Times New Roman" w:cs="Times New Roman"/>
                <w:i/>
                <w:iCs/>
                <w:sz w:val="24"/>
                <w:szCs w:val="24"/>
              </w:rPr>
              <w:t>ensiformis</w:t>
            </w:r>
            <w:proofErr w:type="spellEnd"/>
          </w:p>
        </w:tc>
        <w:tc>
          <w:tcPr>
            <w:tcW w:w="0" w:type="auto"/>
            <w:hideMark/>
          </w:tcPr>
          <w:p w14:paraId="799B422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4.5-5.5</w:t>
            </w:r>
          </w:p>
        </w:tc>
        <w:tc>
          <w:tcPr>
            <w:tcW w:w="0" w:type="auto"/>
            <w:hideMark/>
          </w:tcPr>
          <w:p w14:paraId="5444D9C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70-90</w:t>
            </w:r>
          </w:p>
        </w:tc>
        <w:tc>
          <w:tcPr>
            <w:tcW w:w="0" w:type="auto"/>
            <w:hideMark/>
          </w:tcPr>
          <w:p w14:paraId="7062C55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0.3-0.4</w:t>
            </w:r>
          </w:p>
        </w:tc>
        <w:tc>
          <w:tcPr>
            <w:tcW w:w="0" w:type="auto"/>
            <w:hideMark/>
          </w:tcPr>
          <w:p w14:paraId="183A4B1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55-65</w:t>
            </w:r>
          </w:p>
        </w:tc>
      </w:tr>
      <w:tr w:rsidR="00CB436D" w:rsidRPr="00CB436D" w14:paraId="43BB8FC6" w14:textId="77777777" w:rsidTr="00EB5187">
        <w:tc>
          <w:tcPr>
            <w:tcW w:w="0" w:type="auto"/>
            <w:hideMark/>
          </w:tcPr>
          <w:p w14:paraId="02FE3523"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i/>
                <w:iCs/>
                <w:sz w:val="24"/>
                <w:szCs w:val="24"/>
              </w:rPr>
              <w:t>Cyamopsis</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tetragonoloba</w:t>
            </w:r>
            <w:proofErr w:type="spellEnd"/>
          </w:p>
        </w:tc>
        <w:tc>
          <w:tcPr>
            <w:tcW w:w="0" w:type="auto"/>
            <w:hideMark/>
          </w:tcPr>
          <w:p w14:paraId="6D4926C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w:t>
            </w:r>
          </w:p>
        </w:tc>
        <w:tc>
          <w:tcPr>
            <w:tcW w:w="0" w:type="auto"/>
            <w:hideMark/>
          </w:tcPr>
          <w:p w14:paraId="2A6085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40-60</w:t>
            </w:r>
          </w:p>
        </w:tc>
        <w:tc>
          <w:tcPr>
            <w:tcW w:w="0" w:type="auto"/>
            <w:hideMark/>
          </w:tcPr>
          <w:p w14:paraId="53FF589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0.2-0.3</w:t>
            </w:r>
          </w:p>
        </w:tc>
        <w:tc>
          <w:tcPr>
            <w:tcW w:w="0" w:type="auto"/>
            <w:hideMark/>
          </w:tcPr>
          <w:p w14:paraId="05F5DA1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r>
    </w:tbl>
    <w:p w14:paraId="0D87715B"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4.3 Composting and Organic Amendments</w:t>
      </w:r>
    </w:p>
    <w:p w14:paraId="20145C0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On-farm composting transforms agricultural residues into valuable soil amendments. Vermicomposting using </w:t>
      </w:r>
      <w:r w:rsidRPr="00CB436D">
        <w:rPr>
          <w:rFonts w:ascii="Times New Roman" w:hAnsi="Times New Roman" w:cs="Times New Roman"/>
          <w:i/>
          <w:iCs/>
          <w:sz w:val="24"/>
          <w:szCs w:val="24"/>
        </w:rPr>
        <w:t xml:space="preserve">Eisenia </w:t>
      </w:r>
      <w:proofErr w:type="spellStart"/>
      <w:r w:rsidRPr="00CB436D">
        <w:rPr>
          <w:rFonts w:ascii="Times New Roman" w:hAnsi="Times New Roman" w:cs="Times New Roman"/>
          <w:i/>
          <w:iCs/>
          <w:sz w:val="24"/>
          <w:szCs w:val="24"/>
        </w:rPr>
        <w:t>fetida</w:t>
      </w:r>
      <w:proofErr w:type="spellEnd"/>
      <w:r w:rsidRPr="00CB436D">
        <w:rPr>
          <w:rFonts w:ascii="Times New Roman" w:hAnsi="Times New Roman" w:cs="Times New Roman"/>
          <w:sz w:val="24"/>
          <w:szCs w:val="24"/>
        </w:rPr>
        <w:t xml:space="preserve"> produces nutrient-rich material with enhanced microbial diversity. Studies show vermicompost application at 5 t/ha increases crop yields by 20-25% while improving soil water holding capacity [20]. Integration of biochar from crop residues provides long-term carbon sequestration benefits.</w:t>
      </w:r>
    </w:p>
    <w:p w14:paraId="481BDD6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4.4 Conservation Tillage Practices</w:t>
      </w:r>
    </w:p>
    <w:p w14:paraId="70087B5F"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Reduced tillage systems preserve soil structure and biological networks. Zero tillage wheat after rice in the Indo-Gangetic plains saves 30-35% irrigation water while reducing production costs by Rs. 2,500-3,000 per hectare [21]. The retention of crop residues as mulch moderates soil temperature and conserves moisture during critical growth periods.</w:t>
      </w:r>
    </w:p>
    <w:p w14:paraId="1071E101" w14:textId="77777777" w:rsidR="00EB5187" w:rsidRPr="00CB436D" w:rsidRDefault="00EB5187" w:rsidP="00EB5187">
      <w:pPr>
        <w:jc w:val="both"/>
        <w:rPr>
          <w:rFonts w:ascii="Times New Roman" w:hAnsi="Times New Roman" w:cs="Times New Roman"/>
          <w:sz w:val="24"/>
          <w:szCs w:val="24"/>
        </w:rPr>
      </w:pPr>
      <w:r w:rsidRPr="00CB436D">
        <w:rPr>
          <w:rFonts w:ascii="Times New Roman" w:hAnsi="Times New Roman" w:cs="Times New Roman"/>
          <w:b/>
          <w:bCs/>
          <w:sz w:val="24"/>
          <w:szCs w:val="24"/>
        </w:rPr>
        <w:t>Figure 2: Vermicomposting Process Flow</w:t>
      </w:r>
      <w:r w:rsidRPr="00CB436D">
        <w:rPr>
          <w:rFonts w:ascii="Times New Roman" w:hAnsi="Times New Roman" w:cs="Times New Roman"/>
          <w:sz w:val="24"/>
          <w:szCs w:val="24"/>
        </w:rPr>
        <w:t xml:space="preserve"> </w:t>
      </w:r>
    </w:p>
    <w:p w14:paraId="7BD18FA5" w14:textId="77777777" w:rsidR="00EB5187" w:rsidRPr="00CB436D" w:rsidRDefault="00EB5187" w:rsidP="00EB5187">
      <w:pPr>
        <w:jc w:val="center"/>
        <w:rPr>
          <w:rFonts w:ascii="Times New Roman" w:hAnsi="Times New Roman" w:cs="Times New Roman"/>
          <w:sz w:val="24"/>
          <w:szCs w:val="24"/>
        </w:rPr>
      </w:pPr>
      <w:r>
        <w:rPr>
          <w:noProof/>
          <w:lang w:bidi="hi-IN"/>
        </w:rPr>
        <w:lastRenderedPageBreak/>
        <w:drawing>
          <wp:inline distT="0" distB="0" distL="0" distR="0" wp14:anchorId="7D0E127A" wp14:editId="1FE7C556">
            <wp:extent cx="5162347" cy="2841594"/>
            <wp:effectExtent l="0" t="0" r="635" b="0"/>
            <wp:docPr id="2" name="Picture 2" descr="The Basics of Vermicomposting | Oklahom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asics of Vermicomposting | Oklahoma State Univers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040" cy="2844728"/>
                    </a:xfrm>
                    <a:prstGeom prst="rect">
                      <a:avLst/>
                    </a:prstGeom>
                    <a:noFill/>
                    <a:ln>
                      <a:noFill/>
                    </a:ln>
                  </pic:spPr>
                </pic:pic>
              </a:graphicData>
            </a:graphic>
          </wp:inline>
        </w:drawing>
      </w:r>
    </w:p>
    <w:p w14:paraId="3180943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 Water Conservation and Management</w:t>
      </w:r>
    </w:p>
    <w:p w14:paraId="2CC2015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5.1 Micro-irrigation Technologies</w:t>
      </w:r>
    </w:p>
    <w:p w14:paraId="29B9D21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Water scarcity necessitates efficient irrigation methods that maximize crop water productivity. Drip irrigation systems demonstrate 40-50% water savings compared to flood irrigation while increasing yields by 20-30% in vegetable crops [22]. The precise water application reduces nutrient leaching and minimizes disease incidence.</w:t>
      </w:r>
    </w:p>
    <w:p w14:paraId="58BD059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3: Water Use Efficiency Under Different Irrigation Methods</w:t>
      </w:r>
    </w:p>
    <w:tbl>
      <w:tblPr>
        <w:tblStyle w:val="TableGrid"/>
        <w:tblW w:w="0" w:type="auto"/>
        <w:tblLook w:val="04A0" w:firstRow="1" w:lastRow="0" w:firstColumn="1" w:lastColumn="0" w:noHBand="0" w:noVBand="1"/>
      </w:tblPr>
      <w:tblGrid>
        <w:gridCol w:w="1785"/>
        <w:gridCol w:w="1860"/>
        <w:gridCol w:w="1154"/>
        <w:gridCol w:w="2445"/>
        <w:gridCol w:w="2106"/>
      </w:tblGrid>
      <w:tr w:rsidR="00CB436D" w:rsidRPr="00CB436D" w14:paraId="55EB88F9" w14:textId="77777777" w:rsidTr="00EB5187">
        <w:tc>
          <w:tcPr>
            <w:tcW w:w="0" w:type="auto"/>
            <w:hideMark/>
          </w:tcPr>
          <w:p w14:paraId="668C076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Irrigation Method</w:t>
            </w:r>
          </w:p>
        </w:tc>
        <w:tc>
          <w:tcPr>
            <w:tcW w:w="0" w:type="auto"/>
            <w:hideMark/>
          </w:tcPr>
          <w:p w14:paraId="2506132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Water Applied (mm)</w:t>
            </w:r>
          </w:p>
        </w:tc>
        <w:tc>
          <w:tcPr>
            <w:tcW w:w="0" w:type="auto"/>
            <w:hideMark/>
          </w:tcPr>
          <w:p w14:paraId="7519933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(t/ha)</w:t>
            </w:r>
          </w:p>
        </w:tc>
        <w:tc>
          <w:tcPr>
            <w:tcW w:w="0" w:type="auto"/>
            <w:hideMark/>
          </w:tcPr>
          <w:p w14:paraId="71325D5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Water Productivity (kg/m³)</w:t>
            </w:r>
          </w:p>
        </w:tc>
        <w:tc>
          <w:tcPr>
            <w:tcW w:w="0" w:type="auto"/>
            <w:hideMark/>
          </w:tcPr>
          <w:p w14:paraId="34344FF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Energy Consumption</w:t>
            </w:r>
          </w:p>
        </w:tc>
      </w:tr>
      <w:tr w:rsidR="00CB436D" w:rsidRPr="00CB436D" w14:paraId="52153E20" w14:textId="77777777" w:rsidTr="00EB5187">
        <w:tc>
          <w:tcPr>
            <w:tcW w:w="0" w:type="auto"/>
            <w:hideMark/>
          </w:tcPr>
          <w:p w14:paraId="47F289A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Flood Irrigation</w:t>
            </w:r>
          </w:p>
        </w:tc>
        <w:tc>
          <w:tcPr>
            <w:tcW w:w="0" w:type="auto"/>
            <w:hideMark/>
          </w:tcPr>
          <w:p w14:paraId="3E98AE2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800-1000</w:t>
            </w:r>
          </w:p>
        </w:tc>
        <w:tc>
          <w:tcPr>
            <w:tcW w:w="0" w:type="auto"/>
            <w:hideMark/>
          </w:tcPr>
          <w:p w14:paraId="025DF52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4.5-5.0</w:t>
            </w:r>
          </w:p>
        </w:tc>
        <w:tc>
          <w:tcPr>
            <w:tcW w:w="0" w:type="auto"/>
            <w:hideMark/>
          </w:tcPr>
          <w:p w14:paraId="69916FC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0.5-0.6</w:t>
            </w:r>
          </w:p>
        </w:tc>
        <w:tc>
          <w:tcPr>
            <w:tcW w:w="0" w:type="auto"/>
            <w:hideMark/>
          </w:tcPr>
          <w:p w14:paraId="0B7993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High</w:t>
            </w:r>
          </w:p>
        </w:tc>
      </w:tr>
      <w:tr w:rsidR="00CB436D" w:rsidRPr="00CB436D" w14:paraId="0EBC4E08" w14:textId="77777777" w:rsidTr="00EB5187">
        <w:tc>
          <w:tcPr>
            <w:tcW w:w="0" w:type="auto"/>
            <w:hideMark/>
          </w:tcPr>
          <w:p w14:paraId="13FD383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Furrow Irrigation</w:t>
            </w:r>
          </w:p>
        </w:tc>
        <w:tc>
          <w:tcPr>
            <w:tcW w:w="0" w:type="auto"/>
            <w:hideMark/>
          </w:tcPr>
          <w:p w14:paraId="7461EFE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600-800</w:t>
            </w:r>
          </w:p>
        </w:tc>
        <w:tc>
          <w:tcPr>
            <w:tcW w:w="0" w:type="auto"/>
            <w:hideMark/>
          </w:tcPr>
          <w:p w14:paraId="6C3DD9B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4.8-5.3</w:t>
            </w:r>
          </w:p>
        </w:tc>
        <w:tc>
          <w:tcPr>
            <w:tcW w:w="0" w:type="auto"/>
            <w:hideMark/>
          </w:tcPr>
          <w:p w14:paraId="1BD64F7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0.7-0.8</w:t>
            </w:r>
          </w:p>
        </w:tc>
        <w:tc>
          <w:tcPr>
            <w:tcW w:w="0" w:type="auto"/>
            <w:hideMark/>
          </w:tcPr>
          <w:p w14:paraId="07B3908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Medium</w:t>
            </w:r>
          </w:p>
        </w:tc>
      </w:tr>
      <w:tr w:rsidR="00CB436D" w:rsidRPr="00CB436D" w14:paraId="0BE19336" w14:textId="77777777" w:rsidTr="00EB5187">
        <w:tc>
          <w:tcPr>
            <w:tcW w:w="0" w:type="auto"/>
            <w:hideMark/>
          </w:tcPr>
          <w:p w14:paraId="690A4B3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Sprinkler System</w:t>
            </w:r>
          </w:p>
        </w:tc>
        <w:tc>
          <w:tcPr>
            <w:tcW w:w="0" w:type="auto"/>
            <w:hideMark/>
          </w:tcPr>
          <w:p w14:paraId="4AF473A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500-600</w:t>
            </w:r>
          </w:p>
        </w:tc>
        <w:tc>
          <w:tcPr>
            <w:tcW w:w="0" w:type="auto"/>
            <w:hideMark/>
          </w:tcPr>
          <w:p w14:paraId="1F06362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5.0-5.5</w:t>
            </w:r>
          </w:p>
        </w:tc>
        <w:tc>
          <w:tcPr>
            <w:tcW w:w="0" w:type="auto"/>
            <w:hideMark/>
          </w:tcPr>
          <w:p w14:paraId="4C5901A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0.9-1.0</w:t>
            </w:r>
          </w:p>
        </w:tc>
        <w:tc>
          <w:tcPr>
            <w:tcW w:w="0" w:type="auto"/>
            <w:hideMark/>
          </w:tcPr>
          <w:p w14:paraId="0DA19BC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Medium</w:t>
            </w:r>
          </w:p>
        </w:tc>
      </w:tr>
      <w:tr w:rsidR="00CB436D" w:rsidRPr="00CB436D" w14:paraId="282D1869" w14:textId="77777777" w:rsidTr="00EB5187">
        <w:tc>
          <w:tcPr>
            <w:tcW w:w="0" w:type="auto"/>
            <w:hideMark/>
          </w:tcPr>
          <w:p w14:paraId="67D92C6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Drip Irrigation</w:t>
            </w:r>
          </w:p>
        </w:tc>
        <w:tc>
          <w:tcPr>
            <w:tcW w:w="0" w:type="auto"/>
            <w:hideMark/>
          </w:tcPr>
          <w:p w14:paraId="11891E3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400-500</w:t>
            </w:r>
          </w:p>
        </w:tc>
        <w:tc>
          <w:tcPr>
            <w:tcW w:w="0" w:type="auto"/>
            <w:hideMark/>
          </w:tcPr>
          <w:p w14:paraId="54592A0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5.5-6.0</w:t>
            </w:r>
          </w:p>
        </w:tc>
        <w:tc>
          <w:tcPr>
            <w:tcW w:w="0" w:type="auto"/>
            <w:hideMark/>
          </w:tcPr>
          <w:p w14:paraId="7BAE26A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1.2-1.4</w:t>
            </w:r>
          </w:p>
        </w:tc>
        <w:tc>
          <w:tcPr>
            <w:tcW w:w="0" w:type="auto"/>
            <w:hideMark/>
          </w:tcPr>
          <w:p w14:paraId="630DEC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Low</w:t>
            </w:r>
          </w:p>
        </w:tc>
      </w:tr>
      <w:tr w:rsidR="00CB436D" w:rsidRPr="00CB436D" w14:paraId="5B72F4DC" w14:textId="77777777" w:rsidTr="00EB5187">
        <w:tc>
          <w:tcPr>
            <w:tcW w:w="0" w:type="auto"/>
            <w:hideMark/>
          </w:tcPr>
          <w:p w14:paraId="650E40B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Subsurface Drip</w:t>
            </w:r>
          </w:p>
        </w:tc>
        <w:tc>
          <w:tcPr>
            <w:tcW w:w="0" w:type="auto"/>
            <w:hideMark/>
          </w:tcPr>
          <w:p w14:paraId="6ED5C51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350-450</w:t>
            </w:r>
          </w:p>
        </w:tc>
        <w:tc>
          <w:tcPr>
            <w:tcW w:w="0" w:type="auto"/>
            <w:hideMark/>
          </w:tcPr>
          <w:p w14:paraId="19F79D1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5.8-6.3</w:t>
            </w:r>
          </w:p>
        </w:tc>
        <w:tc>
          <w:tcPr>
            <w:tcW w:w="0" w:type="auto"/>
            <w:hideMark/>
          </w:tcPr>
          <w:p w14:paraId="4B522DA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1.4-1.6</w:t>
            </w:r>
          </w:p>
        </w:tc>
        <w:tc>
          <w:tcPr>
            <w:tcW w:w="0" w:type="auto"/>
            <w:hideMark/>
          </w:tcPr>
          <w:p w14:paraId="2AAD75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Low</w:t>
            </w:r>
          </w:p>
        </w:tc>
      </w:tr>
      <w:tr w:rsidR="00CB436D" w:rsidRPr="00CB436D" w14:paraId="34EF0BEA" w14:textId="77777777" w:rsidTr="00EB5187">
        <w:tc>
          <w:tcPr>
            <w:tcW w:w="0" w:type="auto"/>
            <w:hideMark/>
          </w:tcPr>
          <w:p w14:paraId="64288A8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Deficit Irrigation</w:t>
            </w:r>
          </w:p>
        </w:tc>
        <w:tc>
          <w:tcPr>
            <w:tcW w:w="0" w:type="auto"/>
            <w:hideMark/>
          </w:tcPr>
          <w:p w14:paraId="0256C7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300-400</w:t>
            </w:r>
          </w:p>
        </w:tc>
        <w:tc>
          <w:tcPr>
            <w:tcW w:w="0" w:type="auto"/>
            <w:hideMark/>
          </w:tcPr>
          <w:p w14:paraId="56378D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4.5-5.0</w:t>
            </w:r>
          </w:p>
        </w:tc>
        <w:tc>
          <w:tcPr>
            <w:tcW w:w="0" w:type="auto"/>
            <w:hideMark/>
          </w:tcPr>
          <w:p w14:paraId="2C43A89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1.3-1.5</w:t>
            </w:r>
          </w:p>
        </w:tc>
        <w:tc>
          <w:tcPr>
            <w:tcW w:w="0" w:type="auto"/>
            <w:hideMark/>
          </w:tcPr>
          <w:p w14:paraId="3AA7081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Very Low</w:t>
            </w:r>
          </w:p>
        </w:tc>
      </w:tr>
      <w:tr w:rsidR="00CB436D" w:rsidRPr="00CB436D" w14:paraId="05DB7D8E" w14:textId="77777777" w:rsidTr="00EB5187">
        <w:tc>
          <w:tcPr>
            <w:tcW w:w="0" w:type="auto"/>
            <w:hideMark/>
          </w:tcPr>
          <w:p w14:paraId="51A8DF8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Mulched Drip</w:t>
            </w:r>
          </w:p>
        </w:tc>
        <w:tc>
          <w:tcPr>
            <w:tcW w:w="0" w:type="auto"/>
            <w:hideMark/>
          </w:tcPr>
          <w:p w14:paraId="56934D5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300-350</w:t>
            </w:r>
          </w:p>
        </w:tc>
        <w:tc>
          <w:tcPr>
            <w:tcW w:w="0" w:type="auto"/>
            <w:hideMark/>
          </w:tcPr>
          <w:p w14:paraId="6C0B485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5.5-6.0</w:t>
            </w:r>
          </w:p>
        </w:tc>
        <w:tc>
          <w:tcPr>
            <w:tcW w:w="0" w:type="auto"/>
            <w:hideMark/>
          </w:tcPr>
          <w:p w14:paraId="07E318D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1.6-1.8</w:t>
            </w:r>
          </w:p>
        </w:tc>
        <w:tc>
          <w:tcPr>
            <w:tcW w:w="0" w:type="auto"/>
            <w:hideMark/>
          </w:tcPr>
          <w:p w14:paraId="2E3D6F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Low</w:t>
            </w:r>
          </w:p>
        </w:tc>
      </w:tr>
    </w:tbl>
    <w:p w14:paraId="506C6CE7"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5.2 Rainwater Harvesting</w:t>
      </w:r>
    </w:p>
    <w:p w14:paraId="6A9ABC3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In-situ rainwater conservation through contour bunding, farm ponds, and percolation tanks enhances groundwater recharge. Field studies from Andhra Pradesh show that farm ponds of 500-1000 m³ capacity provide supplemental irrigation for 2-3 hectares, ensuring crop survival during dry spells [23]. The integration of these structures with agroforestry creates synergistic benefits.</w:t>
      </w:r>
    </w:p>
    <w:p w14:paraId="4D33BC89"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3: Integrated Rainwater Harvesting System</w:t>
      </w:r>
      <w:r w:rsidRPr="00CB436D">
        <w:rPr>
          <w:rFonts w:ascii="Times New Roman" w:hAnsi="Times New Roman" w:cs="Times New Roman"/>
          <w:sz w:val="24"/>
          <w:szCs w:val="24"/>
        </w:rPr>
        <w:t xml:space="preserve"> </w:t>
      </w:r>
    </w:p>
    <w:p w14:paraId="54D4A7D7" w14:textId="77777777" w:rsidR="00EB5187" w:rsidRPr="00CB436D" w:rsidRDefault="00EB5187" w:rsidP="00EB5187">
      <w:pPr>
        <w:jc w:val="center"/>
        <w:rPr>
          <w:rFonts w:ascii="Times New Roman" w:hAnsi="Times New Roman" w:cs="Times New Roman"/>
          <w:sz w:val="24"/>
          <w:szCs w:val="24"/>
        </w:rPr>
      </w:pPr>
      <w:r>
        <w:rPr>
          <w:noProof/>
          <w:lang w:bidi="hi-IN"/>
        </w:rPr>
        <w:lastRenderedPageBreak/>
        <w:drawing>
          <wp:inline distT="0" distB="0" distL="0" distR="0" wp14:anchorId="198A4731" wp14:editId="68D9D932">
            <wp:extent cx="5428507" cy="1586413"/>
            <wp:effectExtent l="0" t="0" r="1270" b="0"/>
            <wp:docPr id="3" name="Picture 3" descr="Rainwater harvesting • Integrated Water Resource Management - from  traditional knowledge to modern techniques • Department of Earth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water harvesting • Integrated Water Resource Management - from  traditional knowledge to modern techniques • Department of Earth Scien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6628" cy="1588786"/>
                    </a:xfrm>
                    <a:prstGeom prst="rect">
                      <a:avLst/>
                    </a:prstGeom>
                    <a:noFill/>
                    <a:ln>
                      <a:noFill/>
                    </a:ln>
                  </pic:spPr>
                </pic:pic>
              </a:graphicData>
            </a:graphic>
          </wp:inline>
        </w:drawing>
      </w:r>
    </w:p>
    <w:p w14:paraId="7D37B54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5.3 Mulching Practices</w:t>
      </w:r>
    </w:p>
    <w:p w14:paraId="5D332EC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Organic mulches from crop residues reduce evaporation losses by 25-30% while suppressing weeds and moderating soil temperature [24]. Plastic mulching in high-value crops like strawberry and capsicum demonstrates even higher water conservation but requires careful management for environmental sustainability.</w:t>
      </w:r>
    </w:p>
    <w:p w14:paraId="0F96600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5.4 Drought-Resilient Practices</w:t>
      </w:r>
    </w:p>
    <w:p w14:paraId="16EF07A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Selection of drought-tolerant crop varieties and adjustment of planting dates based on moisture availability enhance system resilience. Traditional practices like mixed cropping of sorghum (</w:t>
      </w:r>
      <w:r w:rsidRPr="00CB436D">
        <w:rPr>
          <w:rFonts w:ascii="Times New Roman" w:hAnsi="Times New Roman" w:cs="Times New Roman"/>
          <w:i/>
          <w:iCs/>
          <w:sz w:val="24"/>
          <w:szCs w:val="24"/>
        </w:rPr>
        <w:t>Sorghum bicolor</w:t>
      </w:r>
      <w:r w:rsidRPr="00CB436D">
        <w:rPr>
          <w:rFonts w:ascii="Times New Roman" w:hAnsi="Times New Roman" w:cs="Times New Roman"/>
          <w:sz w:val="24"/>
          <w:szCs w:val="24"/>
        </w:rPr>
        <w:t>) with pulses provide risk distribution during water stress periods [25].</w:t>
      </w:r>
    </w:p>
    <w:p w14:paraId="6B051EA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 Integrated Pest Management</w:t>
      </w:r>
    </w:p>
    <w:p w14:paraId="3E74F096"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6.1 Ecological Pest Control</w:t>
      </w:r>
    </w:p>
    <w:p w14:paraId="273E8C2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Agroecological approaches to pest management emphasize prevention through habitat manipulation and enhancement of natural enemies. Flowering strips of marigold (</w:t>
      </w:r>
      <w:proofErr w:type="spellStart"/>
      <w:r w:rsidRPr="00CB436D">
        <w:rPr>
          <w:rFonts w:ascii="Times New Roman" w:hAnsi="Times New Roman" w:cs="Times New Roman"/>
          <w:i/>
          <w:iCs/>
          <w:sz w:val="24"/>
          <w:szCs w:val="24"/>
        </w:rPr>
        <w:t>Tagetes</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erecta</w:t>
      </w:r>
      <w:proofErr w:type="spellEnd"/>
      <w:r w:rsidRPr="00CB436D">
        <w:rPr>
          <w:rFonts w:ascii="Times New Roman" w:hAnsi="Times New Roman" w:cs="Times New Roman"/>
          <w:sz w:val="24"/>
          <w:szCs w:val="24"/>
        </w:rPr>
        <w:t>) and coriander (</w:t>
      </w:r>
      <w:r w:rsidRPr="00CB436D">
        <w:rPr>
          <w:rFonts w:ascii="Times New Roman" w:hAnsi="Times New Roman" w:cs="Times New Roman"/>
          <w:i/>
          <w:iCs/>
          <w:sz w:val="24"/>
          <w:szCs w:val="24"/>
        </w:rPr>
        <w:t>Coriandrum sativum</w:t>
      </w:r>
      <w:r w:rsidRPr="00CB436D">
        <w:rPr>
          <w:rFonts w:ascii="Times New Roman" w:hAnsi="Times New Roman" w:cs="Times New Roman"/>
          <w:sz w:val="24"/>
          <w:szCs w:val="24"/>
        </w:rPr>
        <w:t>) attract beneficial insects that provide biological control services [26].</w:t>
      </w:r>
    </w:p>
    <w:p w14:paraId="2592751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6.2 Botanical Pesticides</w:t>
      </w:r>
    </w:p>
    <w:p w14:paraId="7EA3393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Plant-based pesticides offer environmentally safe alternatives to synthetic chemicals. Neem (</w:t>
      </w:r>
      <w:proofErr w:type="spellStart"/>
      <w:r w:rsidRPr="00CB436D">
        <w:rPr>
          <w:rFonts w:ascii="Times New Roman" w:hAnsi="Times New Roman" w:cs="Times New Roman"/>
          <w:i/>
          <w:iCs/>
          <w:sz w:val="24"/>
          <w:szCs w:val="24"/>
        </w:rPr>
        <w:t>Azadirachta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indica</w:t>
      </w:r>
      <w:proofErr w:type="spellEnd"/>
      <w:r w:rsidRPr="00CB436D">
        <w:rPr>
          <w:rFonts w:ascii="Times New Roman" w:hAnsi="Times New Roman" w:cs="Times New Roman"/>
          <w:sz w:val="24"/>
          <w:szCs w:val="24"/>
        </w:rPr>
        <w:t xml:space="preserve">) based formulations demonstrate effective control against over 200 pest species while being safe for beneficial organisms [27]. Other botanicals like </w:t>
      </w:r>
      <w:proofErr w:type="spellStart"/>
      <w:r w:rsidRPr="00CB436D">
        <w:rPr>
          <w:rFonts w:ascii="Times New Roman" w:hAnsi="Times New Roman" w:cs="Times New Roman"/>
          <w:sz w:val="24"/>
          <w:szCs w:val="24"/>
        </w:rPr>
        <w:t>pongamia</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i/>
          <w:iCs/>
          <w:sz w:val="24"/>
          <w:szCs w:val="24"/>
        </w:rPr>
        <w:t>Millettia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pinnata</w:t>
      </w:r>
      <w:proofErr w:type="spellEnd"/>
      <w:r w:rsidRPr="00CB436D">
        <w:rPr>
          <w:rFonts w:ascii="Times New Roman" w:hAnsi="Times New Roman" w:cs="Times New Roman"/>
          <w:sz w:val="24"/>
          <w:szCs w:val="24"/>
        </w:rPr>
        <w:t>) and custard apple (</w:t>
      </w:r>
      <w:r w:rsidRPr="00CB436D">
        <w:rPr>
          <w:rFonts w:ascii="Times New Roman" w:hAnsi="Times New Roman" w:cs="Times New Roman"/>
          <w:i/>
          <w:iCs/>
          <w:sz w:val="24"/>
          <w:szCs w:val="24"/>
        </w:rPr>
        <w:t>Annona squamosa</w:t>
      </w:r>
      <w:r w:rsidRPr="00CB436D">
        <w:rPr>
          <w:rFonts w:ascii="Times New Roman" w:hAnsi="Times New Roman" w:cs="Times New Roman"/>
          <w:sz w:val="24"/>
          <w:szCs w:val="24"/>
        </w:rPr>
        <w:t>) show promising results.</w:t>
      </w:r>
    </w:p>
    <w:p w14:paraId="56D7CE5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4: Efficacy of Botanical Pesticides</w:t>
      </w:r>
    </w:p>
    <w:tbl>
      <w:tblPr>
        <w:tblStyle w:val="TableGrid"/>
        <w:tblW w:w="0" w:type="auto"/>
        <w:tblLook w:val="04A0" w:firstRow="1" w:lastRow="0" w:firstColumn="1" w:lastColumn="0" w:noHBand="0" w:noVBand="1"/>
      </w:tblPr>
      <w:tblGrid>
        <w:gridCol w:w="2639"/>
        <w:gridCol w:w="1857"/>
        <w:gridCol w:w="1821"/>
        <w:gridCol w:w="1719"/>
        <w:gridCol w:w="1314"/>
      </w:tblGrid>
      <w:tr w:rsidR="00CB436D" w:rsidRPr="00CB436D" w14:paraId="63E97B9F" w14:textId="77777777" w:rsidTr="00EB5187">
        <w:tc>
          <w:tcPr>
            <w:tcW w:w="0" w:type="auto"/>
            <w:hideMark/>
          </w:tcPr>
          <w:p w14:paraId="3014097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Botanical Source</w:t>
            </w:r>
          </w:p>
        </w:tc>
        <w:tc>
          <w:tcPr>
            <w:tcW w:w="0" w:type="auto"/>
            <w:hideMark/>
          </w:tcPr>
          <w:p w14:paraId="0BBC11F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Active Compounds</w:t>
            </w:r>
          </w:p>
        </w:tc>
        <w:tc>
          <w:tcPr>
            <w:tcW w:w="0" w:type="auto"/>
            <w:hideMark/>
          </w:tcPr>
          <w:p w14:paraId="490A149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Target Pests</w:t>
            </w:r>
          </w:p>
        </w:tc>
        <w:tc>
          <w:tcPr>
            <w:tcW w:w="0" w:type="auto"/>
            <w:hideMark/>
          </w:tcPr>
          <w:p w14:paraId="22C5836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Application Rate</w:t>
            </w:r>
          </w:p>
        </w:tc>
        <w:tc>
          <w:tcPr>
            <w:tcW w:w="0" w:type="auto"/>
            <w:hideMark/>
          </w:tcPr>
          <w:p w14:paraId="0E4E10D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Efficacy (%)</w:t>
            </w:r>
          </w:p>
        </w:tc>
      </w:tr>
      <w:tr w:rsidR="00CB436D" w:rsidRPr="00CB436D" w14:paraId="7A91ADF7" w14:textId="77777777" w:rsidTr="00EB5187">
        <w:tc>
          <w:tcPr>
            <w:tcW w:w="0" w:type="auto"/>
            <w:hideMark/>
          </w:tcPr>
          <w:p w14:paraId="0F386958"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i/>
                <w:iCs/>
                <w:sz w:val="24"/>
                <w:szCs w:val="24"/>
              </w:rPr>
              <w:t>Azadirachta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indica</w:t>
            </w:r>
            <w:proofErr w:type="spellEnd"/>
          </w:p>
        </w:tc>
        <w:tc>
          <w:tcPr>
            <w:tcW w:w="0" w:type="auto"/>
            <w:hideMark/>
          </w:tcPr>
          <w:p w14:paraId="022DFBA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Azadirachtin</w:t>
            </w:r>
          </w:p>
        </w:tc>
        <w:tc>
          <w:tcPr>
            <w:tcW w:w="0" w:type="auto"/>
            <w:hideMark/>
          </w:tcPr>
          <w:p w14:paraId="391B453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Lepidoptera, aphids</w:t>
            </w:r>
          </w:p>
        </w:tc>
        <w:tc>
          <w:tcPr>
            <w:tcW w:w="0" w:type="auto"/>
            <w:hideMark/>
          </w:tcPr>
          <w:p w14:paraId="663A9D1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L/ha</w:t>
            </w:r>
          </w:p>
        </w:tc>
        <w:tc>
          <w:tcPr>
            <w:tcW w:w="0" w:type="auto"/>
            <w:hideMark/>
          </w:tcPr>
          <w:p w14:paraId="71A8FA2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70-80</w:t>
            </w:r>
          </w:p>
        </w:tc>
      </w:tr>
      <w:tr w:rsidR="00CB436D" w:rsidRPr="00CB436D" w14:paraId="18C2DD16" w14:textId="77777777" w:rsidTr="00EB5187">
        <w:tc>
          <w:tcPr>
            <w:tcW w:w="0" w:type="auto"/>
            <w:hideMark/>
          </w:tcPr>
          <w:p w14:paraId="41CBCA0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Chrysanthemum cinerariifolium</w:t>
            </w:r>
          </w:p>
        </w:tc>
        <w:tc>
          <w:tcPr>
            <w:tcW w:w="0" w:type="auto"/>
            <w:hideMark/>
          </w:tcPr>
          <w:p w14:paraId="42132F2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Pyrethrins</w:t>
            </w:r>
          </w:p>
        </w:tc>
        <w:tc>
          <w:tcPr>
            <w:tcW w:w="0" w:type="auto"/>
            <w:hideMark/>
          </w:tcPr>
          <w:p w14:paraId="75051A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Sucking pests</w:t>
            </w:r>
          </w:p>
        </w:tc>
        <w:tc>
          <w:tcPr>
            <w:tcW w:w="0" w:type="auto"/>
            <w:hideMark/>
          </w:tcPr>
          <w:p w14:paraId="5FE7BB0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 L/ha</w:t>
            </w:r>
          </w:p>
        </w:tc>
        <w:tc>
          <w:tcPr>
            <w:tcW w:w="0" w:type="auto"/>
            <w:hideMark/>
          </w:tcPr>
          <w:p w14:paraId="5800261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65-75</w:t>
            </w:r>
          </w:p>
        </w:tc>
      </w:tr>
      <w:tr w:rsidR="00CB436D" w:rsidRPr="00CB436D" w14:paraId="4951012B" w14:textId="77777777" w:rsidTr="00EB5187">
        <w:tc>
          <w:tcPr>
            <w:tcW w:w="0" w:type="auto"/>
            <w:hideMark/>
          </w:tcPr>
          <w:p w14:paraId="06A8517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Millettia pinnata</w:t>
            </w:r>
          </w:p>
        </w:tc>
        <w:tc>
          <w:tcPr>
            <w:tcW w:w="0" w:type="auto"/>
            <w:hideMark/>
          </w:tcPr>
          <w:p w14:paraId="0249E5C0"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Karanjin</w:t>
            </w:r>
            <w:proofErr w:type="spellEnd"/>
          </w:p>
        </w:tc>
        <w:tc>
          <w:tcPr>
            <w:tcW w:w="0" w:type="auto"/>
            <w:hideMark/>
          </w:tcPr>
          <w:p w14:paraId="67FFADF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Leaf folders</w:t>
            </w:r>
          </w:p>
        </w:tc>
        <w:tc>
          <w:tcPr>
            <w:tcW w:w="0" w:type="auto"/>
            <w:hideMark/>
          </w:tcPr>
          <w:p w14:paraId="56C1FE4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3-4 L/ha</w:t>
            </w:r>
          </w:p>
        </w:tc>
        <w:tc>
          <w:tcPr>
            <w:tcW w:w="0" w:type="auto"/>
            <w:hideMark/>
          </w:tcPr>
          <w:p w14:paraId="6B44CB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60-70</w:t>
            </w:r>
          </w:p>
        </w:tc>
      </w:tr>
      <w:tr w:rsidR="00CB436D" w:rsidRPr="00CB436D" w14:paraId="646BDEF4" w14:textId="77777777" w:rsidTr="00EB5187">
        <w:tc>
          <w:tcPr>
            <w:tcW w:w="0" w:type="auto"/>
            <w:hideMark/>
          </w:tcPr>
          <w:p w14:paraId="43A6AB0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Annona squamosa</w:t>
            </w:r>
          </w:p>
        </w:tc>
        <w:tc>
          <w:tcPr>
            <w:tcW w:w="0" w:type="auto"/>
            <w:hideMark/>
          </w:tcPr>
          <w:p w14:paraId="6BFB442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Annonin</w:t>
            </w:r>
          </w:p>
        </w:tc>
        <w:tc>
          <w:tcPr>
            <w:tcW w:w="0" w:type="auto"/>
            <w:hideMark/>
          </w:tcPr>
          <w:p w14:paraId="2171FFC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Pod borers</w:t>
            </w:r>
          </w:p>
        </w:tc>
        <w:tc>
          <w:tcPr>
            <w:tcW w:w="0" w:type="auto"/>
            <w:hideMark/>
          </w:tcPr>
          <w:p w14:paraId="2D6F5CE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L/ha</w:t>
            </w:r>
          </w:p>
        </w:tc>
        <w:tc>
          <w:tcPr>
            <w:tcW w:w="0" w:type="auto"/>
            <w:hideMark/>
          </w:tcPr>
          <w:p w14:paraId="244ACB7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55-65</w:t>
            </w:r>
          </w:p>
        </w:tc>
      </w:tr>
      <w:tr w:rsidR="00CB436D" w:rsidRPr="00CB436D" w14:paraId="2AF074A5" w14:textId="77777777" w:rsidTr="00EB5187">
        <w:tc>
          <w:tcPr>
            <w:tcW w:w="0" w:type="auto"/>
            <w:hideMark/>
          </w:tcPr>
          <w:p w14:paraId="1955313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lastRenderedPageBreak/>
              <w:t>Ricinus communis</w:t>
            </w:r>
          </w:p>
        </w:tc>
        <w:tc>
          <w:tcPr>
            <w:tcW w:w="0" w:type="auto"/>
            <w:hideMark/>
          </w:tcPr>
          <w:p w14:paraId="744E37D6"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Ricinine</w:t>
            </w:r>
            <w:proofErr w:type="spellEnd"/>
          </w:p>
        </w:tc>
        <w:tc>
          <w:tcPr>
            <w:tcW w:w="0" w:type="auto"/>
            <w:hideMark/>
          </w:tcPr>
          <w:p w14:paraId="77C10EA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Termites</w:t>
            </w:r>
          </w:p>
        </w:tc>
        <w:tc>
          <w:tcPr>
            <w:tcW w:w="0" w:type="auto"/>
            <w:hideMark/>
          </w:tcPr>
          <w:p w14:paraId="445C8EC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 L/ha</w:t>
            </w:r>
          </w:p>
        </w:tc>
        <w:tc>
          <w:tcPr>
            <w:tcW w:w="0" w:type="auto"/>
            <w:hideMark/>
          </w:tcPr>
          <w:p w14:paraId="2DDDA42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r>
      <w:tr w:rsidR="00CB436D" w:rsidRPr="00CB436D" w14:paraId="2185EE1D" w14:textId="77777777" w:rsidTr="00EB5187">
        <w:tc>
          <w:tcPr>
            <w:tcW w:w="0" w:type="auto"/>
            <w:hideMark/>
          </w:tcPr>
          <w:p w14:paraId="65B7A20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Nicotiana tabacum</w:t>
            </w:r>
          </w:p>
        </w:tc>
        <w:tc>
          <w:tcPr>
            <w:tcW w:w="0" w:type="auto"/>
            <w:hideMark/>
          </w:tcPr>
          <w:p w14:paraId="50D0AAD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Nicotine</w:t>
            </w:r>
          </w:p>
        </w:tc>
        <w:tc>
          <w:tcPr>
            <w:tcW w:w="0" w:type="auto"/>
            <w:hideMark/>
          </w:tcPr>
          <w:p w14:paraId="70368C9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Aphids, thrips</w:t>
            </w:r>
          </w:p>
        </w:tc>
        <w:tc>
          <w:tcPr>
            <w:tcW w:w="0" w:type="auto"/>
            <w:hideMark/>
          </w:tcPr>
          <w:p w14:paraId="77BD37B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L/ha</w:t>
            </w:r>
          </w:p>
        </w:tc>
        <w:tc>
          <w:tcPr>
            <w:tcW w:w="0" w:type="auto"/>
            <w:hideMark/>
          </w:tcPr>
          <w:p w14:paraId="310ED8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60-70</w:t>
            </w:r>
          </w:p>
        </w:tc>
      </w:tr>
      <w:tr w:rsidR="00CB436D" w:rsidRPr="00CB436D" w14:paraId="3178171F" w14:textId="77777777" w:rsidTr="00EB5187">
        <w:tc>
          <w:tcPr>
            <w:tcW w:w="0" w:type="auto"/>
            <w:hideMark/>
          </w:tcPr>
          <w:p w14:paraId="2A0C81A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Allium sativum</w:t>
            </w:r>
          </w:p>
        </w:tc>
        <w:tc>
          <w:tcPr>
            <w:tcW w:w="0" w:type="auto"/>
            <w:hideMark/>
          </w:tcPr>
          <w:p w14:paraId="3CD61F6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Allicin</w:t>
            </w:r>
          </w:p>
        </w:tc>
        <w:tc>
          <w:tcPr>
            <w:tcW w:w="0" w:type="auto"/>
            <w:hideMark/>
          </w:tcPr>
          <w:p w14:paraId="7D7FC6C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Fungal diseases</w:t>
            </w:r>
          </w:p>
        </w:tc>
        <w:tc>
          <w:tcPr>
            <w:tcW w:w="0" w:type="auto"/>
            <w:hideMark/>
          </w:tcPr>
          <w:p w14:paraId="29F98CA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3-4 L/ha</w:t>
            </w:r>
          </w:p>
        </w:tc>
        <w:tc>
          <w:tcPr>
            <w:tcW w:w="0" w:type="auto"/>
            <w:hideMark/>
          </w:tcPr>
          <w:p w14:paraId="6595736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55-65</w:t>
            </w:r>
          </w:p>
        </w:tc>
      </w:tr>
    </w:tbl>
    <w:p w14:paraId="671BD3A8"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6.3 Trap Cropping</w:t>
      </w:r>
    </w:p>
    <w:p w14:paraId="3193B43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Strategic placement of trap crops diverts pests from main crops. African marigold planted around tomato fields reduces fruit borer incidence by 40-50% [28]. Similarly, castor as a trap crop for </w:t>
      </w:r>
      <w:proofErr w:type="spellStart"/>
      <w:r w:rsidRPr="00CB436D">
        <w:rPr>
          <w:rFonts w:ascii="Times New Roman" w:hAnsi="Times New Roman" w:cs="Times New Roman"/>
          <w:i/>
          <w:iCs/>
          <w:sz w:val="24"/>
          <w:szCs w:val="24"/>
        </w:rPr>
        <w:t>Spodoptera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litura</w:t>
      </w:r>
      <w:proofErr w:type="spellEnd"/>
      <w:r w:rsidRPr="00CB436D">
        <w:rPr>
          <w:rFonts w:ascii="Times New Roman" w:hAnsi="Times New Roman" w:cs="Times New Roman"/>
          <w:sz w:val="24"/>
          <w:szCs w:val="24"/>
        </w:rPr>
        <w:t xml:space="preserve"> in groundnut demonstrates effective pest management while providing additional income.</w:t>
      </w:r>
    </w:p>
    <w:p w14:paraId="0A766AB2"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4: Trap Cropping Layout Design</w:t>
      </w:r>
      <w:r w:rsidRPr="00CB436D">
        <w:rPr>
          <w:rFonts w:ascii="Times New Roman" w:hAnsi="Times New Roman" w:cs="Times New Roman"/>
          <w:sz w:val="24"/>
          <w:szCs w:val="24"/>
        </w:rPr>
        <w:t xml:space="preserve"> </w:t>
      </w:r>
    </w:p>
    <w:p w14:paraId="7BE7DCAB" w14:textId="77777777" w:rsidR="00EB5187" w:rsidRPr="00CB436D" w:rsidRDefault="00EB5187" w:rsidP="00EB5187">
      <w:pPr>
        <w:jc w:val="center"/>
        <w:rPr>
          <w:rFonts w:ascii="Times New Roman" w:hAnsi="Times New Roman" w:cs="Times New Roman"/>
          <w:sz w:val="24"/>
          <w:szCs w:val="24"/>
        </w:rPr>
      </w:pPr>
      <w:r>
        <w:rPr>
          <w:noProof/>
          <w:lang w:bidi="hi-IN"/>
        </w:rPr>
        <w:drawing>
          <wp:inline distT="0" distB="0" distL="0" distR="0" wp14:anchorId="086E4E6D" wp14:editId="0AC3575C">
            <wp:extent cx="5695506" cy="1604719"/>
            <wp:effectExtent l="0" t="0" r="635" b="0"/>
            <wp:docPr id="4" name="Picture 4" descr="Trap Cropping for Insect Control -Chap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p Cropping for Insect Control -Chapter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432" cy="1606952"/>
                    </a:xfrm>
                    <a:prstGeom prst="rect">
                      <a:avLst/>
                    </a:prstGeom>
                    <a:noFill/>
                    <a:ln>
                      <a:noFill/>
                    </a:ln>
                  </pic:spPr>
                </pic:pic>
              </a:graphicData>
            </a:graphic>
          </wp:inline>
        </w:drawing>
      </w:r>
    </w:p>
    <w:p w14:paraId="09097A32" w14:textId="77777777" w:rsidR="00EB5187" w:rsidRPr="00CB436D" w:rsidRDefault="00EB5187" w:rsidP="00EB5187">
      <w:pPr>
        <w:jc w:val="both"/>
        <w:rPr>
          <w:rFonts w:ascii="Times New Roman" w:hAnsi="Times New Roman" w:cs="Times New Roman"/>
          <w:sz w:val="24"/>
          <w:szCs w:val="24"/>
        </w:rPr>
      </w:pPr>
      <w:r w:rsidRPr="00CB436D">
        <w:rPr>
          <w:rFonts w:ascii="Times New Roman" w:hAnsi="Times New Roman" w:cs="Times New Roman"/>
          <w:b/>
          <w:bCs/>
          <w:sz w:val="24"/>
          <w:szCs w:val="24"/>
        </w:rPr>
        <w:t>Figure 5: Nitrogen Cycle in Agroecosystems</w:t>
      </w:r>
      <w:r w:rsidRPr="00CB436D">
        <w:rPr>
          <w:rFonts w:ascii="Times New Roman" w:hAnsi="Times New Roman" w:cs="Times New Roman"/>
          <w:sz w:val="24"/>
          <w:szCs w:val="24"/>
        </w:rPr>
        <w:t xml:space="preserve"> </w:t>
      </w:r>
    </w:p>
    <w:p w14:paraId="4BA17D32" w14:textId="77777777" w:rsidR="00EB5187" w:rsidRDefault="00EB5187" w:rsidP="00EB5187">
      <w:pPr>
        <w:jc w:val="center"/>
        <w:rPr>
          <w:rFonts w:ascii="Times New Roman" w:hAnsi="Times New Roman" w:cs="Times New Roman"/>
          <w:b/>
          <w:bCs/>
          <w:sz w:val="24"/>
          <w:szCs w:val="24"/>
        </w:rPr>
      </w:pPr>
      <w:r>
        <w:rPr>
          <w:noProof/>
          <w:lang w:bidi="hi-IN"/>
        </w:rPr>
        <w:drawing>
          <wp:inline distT="0" distB="0" distL="0" distR="0" wp14:anchorId="02FB1AE6" wp14:editId="76439F0D">
            <wp:extent cx="4789944" cy="2540791"/>
            <wp:effectExtent l="0" t="0" r="0" b="0"/>
            <wp:docPr id="5" name="Picture 5" descr="Frontiers | A Research Road Map for Responsible Use of Agricultural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iers | A Research Road Map for Responsible Use of Agricultural Nitro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391" cy="2543680"/>
                    </a:xfrm>
                    <a:prstGeom prst="rect">
                      <a:avLst/>
                    </a:prstGeom>
                    <a:noFill/>
                    <a:ln>
                      <a:noFill/>
                    </a:ln>
                  </pic:spPr>
                </pic:pic>
              </a:graphicData>
            </a:graphic>
          </wp:inline>
        </w:drawing>
      </w:r>
    </w:p>
    <w:p w14:paraId="0D4CC76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6.4 Pheromone-Based Management</w:t>
      </w:r>
    </w:p>
    <w:p w14:paraId="55896A0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Sex pheromone traps for monitoring and mass trapping reduce pesticide applications by 50-60% in cotton and vegetable crops [29]. The technology proves particularly effective for </w:t>
      </w:r>
      <w:proofErr w:type="spellStart"/>
      <w:r w:rsidRPr="00CB436D">
        <w:rPr>
          <w:rFonts w:ascii="Times New Roman" w:hAnsi="Times New Roman" w:cs="Times New Roman"/>
          <w:i/>
          <w:iCs/>
          <w:sz w:val="24"/>
          <w:szCs w:val="24"/>
        </w:rPr>
        <w:t>Helicoverpa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armigera</w:t>
      </w:r>
      <w:proofErr w:type="spellEnd"/>
      <w:r w:rsidRPr="00CB436D">
        <w:rPr>
          <w:rFonts w:ascii="Times New Roman" w:hAnsi="Times New Roman" w:cs="Times New Roman"/>
          <w:sz w:val="24"/>
          <w:szCs w:val="24"/>
        </w:rPr>
        <w:t xml:space="preserve"> and </w:t>
      </w:r>
      <w:proofErr w:type="spellStart"/>
      <w:r w:rsidRPr="00CB436D">
        <w:rPr>
          <w:rFonts w:ascii="Times New Roman" w:hAnsi="Times New Roman" w:cs="Times New Roman"/>
          <w:i/>
          <w:iCs/>
          <w:sz w:val="24"/>
          <w:szCs w:val="24"/>
        </w:rPr>
        <w:t>Pectinophora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gossypiella</w:t>
      </w:r>
      <w:proofErr w:type="spellEnd"/>
      <w:r w:rsidRPr="00CB436D">
        <w:rPr>
          <w:rFonts w:ascii="Times New Roman" w:hAnsi="Times New Roman" w:cs="Times New Roman"/>
          <w:sz w:val="24"/>
          <w:szCs w:val="24"/>
        </w:rPr>
        <w:t xml:space="preserve"> management.</w:t>
      </w:r>
    </w:p>
    <w:p w14:paraId="13B5FC5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 Nutrient Management Strategies</w:t>
      </w:r>
    </w:p>
    <w:p w14:paraId="479F69D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7.1 Biological Nitrogen Fixation</w:t>
      </w:r>
    </w:p>
    <w:p w14:paraId="49ACC9E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Legume-rhizobia symbiosis provides sustainable nitrogen inputs to cropping systems. Inoculation with efficient </w:t>
      </w:r>
      <w:r w:rsidRPr="00CB436D">
        <w:rPr>
          <w:rFonts w:ascii="Times New Roman" w:hAnsi="Times New Roman" w:cs="Times New Roman"/>
          <w:i/>
          <w:iCs/>
          <w:sz w:val="24"/>
          <w:szCs w:val="24"/>
        </w:rPr>
        <w:t>Rhizobium</w:t>
      </w:r>
      <w:r w:rsidRPr="00CB436D">
        <w:rPr>
          <w:rFonts w:ascii="Times New Roman" w:hAnsi="Times New Roman" w:cs="Times New Roman"/>
          <w:sz w:val="24"/>
          <w:szCs w:val="24"/>
        </w:rPr>
        <w:t xml:space="preserve"> strains increases nitrogen fixation by 30-40% in pulses [30]. Non-legume associations with </w:t>
      </w:r>
      <w:proofErr w:type="spellStart"/>
      <w:r w:rsidRPr="00CB436D">
        <w:rPr>
          <w:rFonts w:ascii="Times New Roman" w:hAnsi="Times New Roman" w:cs="Times New Roman"/>
          <w:i/>
          <w:iCs/>
          <w:sz w:val="24"/>
          <w:szCs w:val="24"/>
        </w:rPr>
        <w:t>Azospirillum</w:t>
      </w:r>
      <w:proofErr w:type="spellEnd"/>
      <w:r w:rsidRPr="00CB436D">
        <w:rPr>
          <w:rFonts w:ascii="Times New Roman" w:hAnsi="Times New Roman" w:cs="Times New Roman"/>
          <w:sz w:val="24"/>
          <w:szCs w:val="24"/>
        </w:rPr>
        <w:t xml:space="preserve"> and </w:t>
      </w:r>
      <w:proofErr w:type="spellStart"/>
      <w:r w:rsidRPr="00CB436D">
        <w:rPr>
          <w:rFonts w:ascii="Times New Roman" w:hAnsi="Times New Roman" w:cs="Times New Roman"/>
          <w:i/>
          <w:iCs/>
          <w:sz w:val="24"/>
          <w:szCs w:val="24"/>
        </w:rPr>
        <w:t>Azotobacter</w:t>
      </w:r>
      <w:proofErr w:type="spellEnd"/>
      <w:r w:rsidRPr="00CB436D">
        <w:rPr>
          <w:rFonts w:ascii="Times New Roman" w:hAnsi="Times New Roman" w:cs="Times New Roman"/>
          <w:sz w:val="24"/>
          <w:szCs w:val="24"/>
        </w:rPr>
        <w:t xml:space="preserve"> contribute 20-30 kg N/ha in cereal crops.</w:t>
      </w:r>
    </w:p>
    <w:p w14:paraId="04C995F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7.2 Phosphorus Solubilization</w:t>
      </w:r>
    </w:p>
    <w:p w14:paraId="448B7E7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Phosphate solubilizing bacteria like </w:t>
      </w:r>
      <w:r w:rsidRPr="00CB436D">
        <w:rPr>
          <w:rFonts w:ascii="Times New Roman" w:hAnsi="Times New Roman" w:cs="Times New Roman"/>
          <w:i/>
          <w:iCs/>
          <w:sz w:val="24"/>
          <w:szCs w:val="24"/>
        </w:rPr>
        <w:t>Bacillus megaterium</w:t>
      </w:r>
      <w:r w:rsidRPr="00CB436D">
        <w:rPr>
          <w:rFonts w:ascii="Times New Roman" w:hAnsi="Times New Roman" w:cs="Times New Roman"/>
          <w:sz w:val="24"/>
          <w:szCs w:val="24"/>
        </w:rPr>
        <w:t xml:space="preserve"> and </w:t>
      </w:r>
      <w:r w:rsidRPr="00CB436D">
        <w:rPr>
          <w:rFonts w:ascii="Times New Roman" w:hAnsi="Times New Roman" w:cs="Times New Roman"/>
          <w:i/>
          <w:iCs/>
          <w:sz w:val="24"/>
          <w:szCs w:val="24"/>
        </w:rPr>
        <w:t>Pseudomonas striata</w:t>
      </w:r>
      <w:r w:rsidRPr="00CB436D">
        <w:rPr>
          <w:rFonts w:ascii="Times New Roman" w:hAnsi="Times New Roman" w:cs="Times New Roman"/>
          <w:sz w:val="24"/>
          <w:szCs w:val="24"/>
        </w:rPr>
        <w:t xml:space="preserve"> enhance phosphorus availability from native soil reserves and rock phosphate [31]. Combined application with organic matter increases efficiency by 40-50%.</w:t>
      </w:r>
    </w:p>
    <w:p w14:paraId="367FBBF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5: Biofertilizer Performance in Major Crops</w:t>
      </w:r>
    </w:p>
    <w:tbl>
      <w:tblPr>
        <w:tblStyle w:val="TableGrid"/>
        <w:tblW w:w="0" w:type="auto"/>
        <w:tblLook w:val="04A0" w:firstRow="1" w:lastRow="0" w:firstColumn="1" w:lastColumn="0" w:noHBand="0" w:noVBand="1"/>
      </w:tblPr>
      <w:tblGrid>
        <w:gridCol w:w="1256"/>
        <w:gridCol w:w="2232"/>
        <w:gridCol w:w="1904"/>
        <w:gridCol w:w="2110"/>
        <w:gridCol w:w="1848"/>
      </w:tblGrid>
      <w:tr w:rsidR="00CB436D" w:rsidRPr="00CB436D" w14:paraId="66FBDCC5" w14:textId="77777777" w:rsidTr="00EB5187">
        <w:tc>
          <w:tcPr>
            <w:tcW w:w="0" w:type="auto"/>
            <w:hideMark/>
          </w:tcPr>
          <w:p w14:paraId="5D5A4AD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Crop</w:t>
            </w:r>
          </w:p>
        </w:tc>
        <w:tc>
          <w:tcPr>
            <w:tcW w:w="0" w:type="auto"/>
            <w:hideMark/>
          </w:tcPr>
          <w:p w14:paraId="6BF70E9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Biofertilizer Type</w:t>
            </w:r>
          </w:p>
        </w:tc>
        <w:tc>
          <w:tcPr>
            <w:tcW w:w="0" w:type="auto"/>
            <w:hideMark/>
          </w:tcPr>
          <w:p w14:paraId="7FF6F4C4"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Increase (%)</w:t>
            </w:r>
          </w:p>
        </w:tc>
        <w:tc>
          <w:tcPr>
            <w:tcW w:w="0" w:type="auto"/>
            <w:hideMark/>
          </w:tcPr>
          <w:p w14:paraId="4018FB9D"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Fertilizer Saving (%)</w:t>
            </w:r>
          </w:p>
        </w:tc>
        <w:tc>
          <w:tcPr>
            <w:tcW w:w="0" w:type="auto"/>
            <w:hideMark/>
          </w:tcPr>
          <w:p w14:paraId="19798BF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Cost-Benefit Ratio</w:t>
            </w:r>
          </w:p>
        </w:tc>
      </w:tr>
      <w:tr w:rsidR="00CB436D" w:rsidRPr="00CB436D" w14:paraId="051FFAC9" w14:textId="77777777" w:rsidTr="00EB5187">
        <w:tc>
          <w:tcPr>
            <w:tcW w:w="0" w:type="auto"/>
            <w:hideMark/>
          </w:tcPr>
          <w:p w14:paraId="6751616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Rice</w:t>
            </w:r>
          </w:p>
        </w:tc>
        <w:tc>
          <w:tcPr>
            <w:tcW w:w="0" w:type="auto"/>
            <w:hideMark/>
          </w:tcPr>
          <w:p w14:paraId="3813C06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Azolla + PSB</w:t>
            </w:r>
          </w:p>
        </w:tc>
        <w:tc>
          <w:tcPr>
            <w:tcW w:w="0" w:type="auto"/>
            <w:hideMark/>
          </w:tcPr>
          <w:p w14:paraId="68CA256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c>
          <w:tcPr>
            <w:tcW w:w="0" w:type="auto"/>
            <w:hideMark/>
          </w:tcPr>
          <w:p w14:paraId="2E0910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2CC10D1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1:2.5</w:t>
            </w:r>
          </w:p>
        </w:tc>
      </w:tr>
      <w:tr w:rsidR="00CB436D" w:rsidRPr="00CB436D" w14:paraId="55283E8C" w14:textId="77777777" w:rsidTr="00EB5187">
        <w:tc>
          <w:tcPr>
            <w:tcW w:w="0" w:type="auto"/>
            <w:hideMark/>
          </w:tcPr>
          <w:p w14:paraId="36E492D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Wheat</w:t>
            </w:r>
          </w:p>
        </w:tc>
        <w:tc>
          <w:tcPr>
            <w:tcW w:w="0" w:type="auto"/>
            <w:hideMark/>
          </w:tcPr>
          <w:p w14:paraId="79E10C5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Azotobacter + PSB</w:t>
            </w:r>
          </w:p>
        </w:tc>
        <w:tc>
          <w:tcPr>
            <w:tcW w:w="0" w:type="auto"/>
            <w:hideMark/>
          </w:tcPr>
          <w:p w14:paraId="49A2D96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12-18</w:t>
            </w:r>
          </w:p>
        </w:tc>
        <w:tc>
          <w:tcPr>
            <w:tcW w:w="0" w:type="auto"/>
            <w:hideMark/>
          </w:tcPr>
          <w:p w14:paraId="077ABA4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0A4A082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1:2.2</w:t>
            </w:r>
          </w:p>
        </w:tc>
      </w:tr>
      <w:tr w:rsidR="00CB436D" w:rsidRPr="00CB436D" w14:paraId="12DD05A2" w14:textId="77777777" w:rsidTr="00EB5187">
        <w:tc>
          <w:tcPr>
            <w:tcW w:w="0" w:type="auto"/>
            <w:hideMark/>
          </w:tcPr>
          <w:p w14:paraId="03F4746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Maize</w:t>
            </w:r>
          </w:p>
        </w:tc>
        <w:tc>
          <w:tcPr>
            <w:tcW w:w="0" w:type="auto"/>
            <w:hideMark/>
          </w:tcPr>
          <w:p w14:paraId="54224A57"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Azospirillum</w:t>
            </w:r>
            <w:proofErr w:type="spellEnd"/>
            <w:r w:rsidRPr="00CB436D">
              <w:rPr>
                <w:rFonts w:ascii="Times New Roman" w:hAnsi="Times New Roman" w:cs="Times New Roman"/>
                <w:sz w:val="24"/>
                <w:szCs w:val="24"/>
              </w:rPr>
              <w:t xml:space="preserve"> + VAM</w:t>
            </w:r>
          </w:p>
        </w:tc>
        <w:tc>
          <w:tcPr>
            <w:tcW w:w="0" w:type="auto"/>
            <w:hideMark/>
          </w:tcPr>
          <w:p w14:paraId="428ACAE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18-22</w:t>
            </w:r>
          </w:p>
        </w:tc>
        <w:tc>
          <w:tcPr>
            <w:tcW w:w="0" w:type="auto"/>
            <w:hideMark/>
          </w:tcPr>
          <w:p w14:paraId="61974EA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30-35</w:t>
            </w:r>
          </w:p>
        </w:tc>
        <w:tc>
          <w:tcPr>
            <w:tcW w:w="0" w:type="auto"/>
            <w:hideMark/>
          </w:tcPr>
          <w:p w14:paraId="04B0EF6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1:2.8</w:t>
            </w:r>
          </w:p>
        </w:tc>
      </w:tr>
      <w:tr w:rsidR="00CB436D" w:rsidRPr="00CB436D" w14:paraId="3E329BEA" w14:textId="77777777" w:rsidTr="00EB5187">
        <w:tc>
          <w:tcPr>
            <w:tcW w:w="0" w:type="auto"/>
            <w:hideMark/>
          </w:tcPr>
          <w:p w14:paraId="442DC8B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Soybean</w:t>
            </w:r>
          </w:p>
        </w:tc>
        <w:tc>
          <w:tcPr>
            <w:tcW w:w="0" w:type="auto"/>
            <w:hideMark/>
          </w:tcPr>
          <w:p w14:paraId="2B798BB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Rhizobium + PSB</w:t>
            </w:r>
          </w:p>
        </w:tc>
        <w:tc>
          <w:tcPr>
            <w:tcW w:w="0" w:type="auto"/>
            <w:hideMark/>
          </w:tcPr>
          <w:p w14:paraId="70F1BBA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04B8DD2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40-45</w:t>
            </w:r>
          </w:p>
        </w:tc>
        <w:tc>
          <w:tcPr>
            <w:tcW w:w="0" w:type="auto"/>
            <w:hideMark/>
          </w:tcPr>
          <w:p w14:paraId="4308A87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1:3.2</w:t>
            </w:r>
          </w:p>
        </w:tc>
      </w:tr>
      <w:tr w:rsidR="00CB436D" w:rsidRPr="00CB436D" w14:paraId="42EE76BD" w14:textId="77777777" w:rsidTr="00EB5187">
        <w:tc>
          <w:tcPr>
            <w:tcW w:w="0" w:type="auto"/>
            <w:hideMark/>
          </w:tcPr>
          <w:p w14:paraId="369447E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Groundnut</w:t>
            </w:r>
          </w:p>
        </w:tc>
        <w:tc>
          <w:tcPr>
            <w:tcW w:w="0" w:type="auto"/>
            <w:hideMark/>
          </w:tcPr>
          <w:p w14:paraId="719873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Rhizobium + PSB</w:t>
            </w:r>
          </w:p>
        </w:tc>
        <w:tc>
          <w:tcPr>
            <w:tcW w:w="0" w:type="auto"/>
            <w:hideMark/>
          </w:tcPr>
          <w:p w14:paraId="0087F0B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22-28</w:t>
            </w:r>
          </w:p>
        </w:tc>
        <w:tc>
          <w:tcPr>
            <w:tcW w:w="0" w:type="auto"/>
            <w:hideMark/>
          </w:tcPr>
          <w:p w14:paraId="7A29CB0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w:t>
            </w:r>
          </w:p>
        </w:tc>
        <w:tc>
          <w:tcPr>
            <w:tcW w:w="0" w:type="auto"/>
            <w:hideMark/>
          </w:tcPr>
          <w:p w14:paraId="305EE11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1:3.0</w:t>
            </w:r>
          </w:p>
        </w:tc>
      </w:tr>
      <w:tr w:rsidR="00CB436D" w:rsidRPr="00CB436D" w14:paraId="2405EFF2" w14:textId="77777777" w:rsidTr="00EB5187">
        <w:tc>
          <w:tcPr>
            <w:tcW w:w="0" w:type="auto"/>
            <w:hideMark/>
          </w:tcPr>
          <w:p w14:paraId="514E17C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Sugarcane</w:t>
            </w:r>
          </w:p>
        </w:tc>
        <w:tc>
          <w:tcPr>
            <w:tcW w:w="0" w:type="auto"/>
            <w:hideMark/>
          </w:tcPr>
          <w:p w14:paraId="3BF26B48"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Gluconacetobacter</w:t>
            </w:r>
            <w:proofErr w:type="spellEnd"/>
          </w:p>
        </w:tc>
        <w:tc>
          <w:tcPr>
            <w:tcW w:w="0" w:type="auto"/>
            <w:hideMark/>
          </w:tcPr>
          <w:p w14:paraId="5E0A820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c>
          <w:tcPr>
            <w:tcW w:w="0" w:type="auto"/>
            <w:hideMark/>
          </w:tcPr>
          <w:p w14:paraId="542AE3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0C7949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1:2.6</w:t>
            </w:r>
          </w:p>
        </w:tc>
      </w:tr>
      <w:tr w:rsidR="00CB436D" w:rsidRPr="00CB436D" w14:paraId="2C135102" w14:textId="77777777" w:rsidTr="00EB5187">
        <w:tc>
          <w:tcPr>
            <w:tcW w:w="0" w:type="auto"/>
            <w:hideMark/>
          </w:tcPr>
          <w:p w14:paraId="12D2EA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Cotton</w:t>
            </w:r>
          </w:p>
        </w:tc>
        <w:tc>
          <w:tcPr>
            <w:tcW w:w="0" w:type="auto"/>
            <w:hideMark/>
          </w:tcPr>
          <w:p w14:paraId="406B194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Azotobacter + VAM</w:t>
            </w:r>
          </w:p>
        </w:tc>
        <w:tc>
          <w:tcPr>
            <w:tcW w:w="0" w:type="auto"/>
            <w:hideMark/>
          </w:tcPr>
          <w:p w14:paraId="67B6412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18-23</w:t>
            </w:r>
          </w:p>
        </w:tc>
        <w:tc>
          <w:tcPr>
            <w:tcW w:w="0" w:type="auto"/>
            <w:hideMark/>
          </w:tcPr>
          <w:p w14:paraId="55EDD55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30-35</w:t>
            </w:r>
          </w:p>
        </w:tc>
        <w:tc>
          <w:tcPr>
            <w:tcW w:w="0" w:type="auto"/>
            <w:hideMark/>
          </w:tcPr>
          <w:p w14:paraId="201DA36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1:2.7</w:t>
            </w:r>
          </w:p>
        </w:tc>
      </w:tr>
    </w:tbl>
    <w:p w14:paraId="7C178D58"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7.3 Integrated Nutrient Management</w:t>
      </w:r>
    </w:p>
    <w:p w14:paraId="2E965E1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Combining organic and inorganic nutrient sources optimizes crop nutrition while maintaining soil health. The 75% recommended NPK + 25% nutrients through FYM approach demonstrates sustained productivity over conventional fertilizer use [32]. Site-specific nutrient management based on soil testing reduces fertilizer use by 20-25%.</w:t>
      </w:r>
    </w:p>
    <w:p w14:paraId="59A421D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7.4 Nutrient Cycling Enhancement</w:t>
      </w:r>
    </w:p>
    <w:p w14:paraId="08B4447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Crop residue management through in-situ decomposition returns significant nutrients to soil. Rice straw incorporation adds 30-35 kg K/ha while improving soil organic matter [33]. Biogas slurry application provides readily available nutrients with enhanced efficiency.</w:t>
      </w:r>
    </w:p>
    <w:p w14:paraId="06B3B55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 Climate Adaptation Strategies</w:t>
      </w:r>
    </w:p>
    <w:p w14:paraId="3740AD36"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8.1 Crop Calendar Adjustment</w:t>
      </w:r>
    </w:p>
    <w:p w14:paraId="4741CBF4"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Shifting planting dates based on monsoon onset predictions reduces climate risks. Delayed sowing of wheat by 10-15 days in response to rising temperatures maintains yields while reducing irrigation requirements [34]. Early planting of kharif crops captures pre-monsoon showers effectively.</w:t>
      </w:r>
    </w:p>
    <w:p w14:paraId="423A3997" w14:textId="77777777" w:rsidR="00EB5187" w:rsidRPr="00CB436D" w:rsidRDefault="00EB5187" w:rsidP="00EB5187">
      <w:pPr>
        <w:jc w:val="both"/>
        <w:rPr>
          <w:rFonts w:ascii="Times New Roman" w:hAnsi="Times New Roman" w:cs="Times New Roman"/>
          <w:sz w:val="24"/>
          <w:szCs w:val="24"/>
        </w:rPr>
      </w:pPr>
      <w:r w:rsidRPr="00CB436D">
        <w:rPr>
          <w:rFonts w:ascii="Times New Roman" w:hAnsi="Times New Roman" w:cs="Times New Roman"/>
          <w:b/>
          <w:bCs/>
          <w:sz w:val="24"/>
          <w:szCs w:val="24"/>
        </w:rPr>
        <w:t>Figure 6: Integrated Nutrient Flow Model</w:t>
      </w:r>
      <w:r w:rsidRPr="00CB436D">
        <w:rPr>
          <w:rFonts w:ascii="Times New Roman" w:hAnsi="Times New Roman" w:cs="Times New Roman"/>
          <w:sz w:val="24"/>
          <w:szCs w:val="24"/>
        </w:rPr>
        <w:t xml:space="preserve"> </w:t>
      </w:r>
    </w:p>
    <w:p w14:paraId="4EC0298D" w14:textId="77777777" w:rsidR="00EB5187" w:rsidRDefault="00EB5187" w:rsidP="00EB5187">
      <w:pPr>
        <w:pStyle w:val="NormalWeb"/>
        <w:jc w:val="center"/>
      </w:pPr>
      <w:r>
        <w:rPr>
          <w:noProof/>
        </w:rPr>
        <w:lastRenderedPageBreak/>
        <w:drawing>
          <wp:inline distT="0" distB="0" distL="0" distR="0" wp14:anchorId="1B39AA17" wp14:editId="0E3F0236">
            <wp:extent cx="4638675" cy="3667282"/>
            <wp:effectExtent l="0" t="0" r="0" b="9525"/>
            <wp:docPr id="7" name="Picture 7" descr="C:\Users\Lenovo\Downloads\Components-of-integrated-nutrient-manage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Components-of-integrated-nutrient-management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5092" cy="3672355"/>
                    </a:xfrm>
                    <a:prstGeom prst="rect">
                      <a:avLst/>
                    </a:prstGeom>
                    <a:noFill/>
                    <a:ln>
                      <a:noFill/>
                    </a:ln>
                  </pic:spPr>
                </pic:pic>
              </a:graphicData>
            </a:graphic>
          </wp:inline>
        </w:drawing>
      </w:r>
    </w:p>
    <w:p w14:paraId="3D06DBF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8.2 Stress-Tolerant Varieties</w:t>
      </w:r>
    </w:p>
    <w:p w14:paraId="4B307E9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Development and adoption of climate-resilient crop varieties forms a crucial adaptation strategy. Drought-tolerant rice varieties like </w:t>
      </w:r>
      <w:proofErr w:type="spellStart"/>
      <w:r w:rsidRPr="00CB436D">
        <w:rPr>
          <w:rFonts w:ascii="Times New Roman" w:hAnsi="Times New Roman" w:cs="Times New Roman"/>
          <w:sz w:val="24"/>
          <w:szCs w:val="24"/>
        </w:rPr>
        <w:t>Sahbhagi</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sz w:val="24"/>
          <w:szCs w:val="24"/>
        </w:rPr>
        <w:t>Dhan</w:t>
      </w:r>
      <w:proofErr w:type="spellEnd"/>
      <w:r w:rsidRPr="00CB436D">
        <w:rPr>
          <w:rFonts w:ascii="Times New Roman" w:hAnsi="Times New Roman" w:cs="Times New Roman"/>
          <w:sz w:val="24"/>
          <w:szCs w:val="24"/>
        </w:rPr>
        <w:t xml:space="preserve"> yield 1-1.5 t/ha under severe drought conditions [35]. Heat-tolerant wheat varieties maintain productivity despite terminal heat stress.</w:t>
      </w:r>
    </w:p>
    <w:p w14:paraId="1E75897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6: Performance of Climate-Resilient Crop Varieties</w:t>
      </w:r>
    </w:p>
    <w:tbl>
      <w:tblPr>
        <w:tblStyle w:val="TableGrid"/>
        <w:tblW w:w="0" w:type="auto"/>
        <w:tblLook w:val="04A0" w:firstRow="1" w:lastRow="0" w:firstColumn="1" w:lastColumn="0" w:noHBand="0" w:noVBand="1"/>
      </w:tblPr>
      <w:tblGrid>
        <w:gridCol w:w="1356"/>
        <w:gridCol w:w="1690"/>
        <w:gridCol w:w="1916"/>
        <w:gridCol w:w="2150"/>
        <w:gridCol w:w="2217"/>
      </w:tblGrid>
      <w:tr w:rsidR="00CB436D" w:rsidRPr="00CB436D" w14:paraId="3605CFAF" w14:textId="77777777" w:rsidTr="00EB5187">
        <w:tc>
          <w:tcPr>
            <w:tcW w:w="0" w:type="auto"/>
            <w:hideMark/>
          </w:tcPr>
          <w:p w14:paraId="1E26E0C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Crop</w:t>
            </w:r>
          </w:p>
        </w:tc>
        <w:tc>
          <w:tcPr>
            <w:tcW w:w="0" w:type="auto"/>
            <w:hideMark/>
          </w:tcPr>
          <w:p w14:paraId="5489667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Variety</w:t>
            </w:r>
          </w:p>
        </w:tc>
        <w:tc>
          <w:tcPr>
            <w:tcW w:w="0" w:type="auto"/>
            <w:hideMark/>
          </w:tcPr>
          <w:p w14:paraId="362CC3F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Stress Tolerance</w:t>
            </w:r>
          </w:p>
        </w:tc>
        <w:tc>
          <w:tcPr>
            <w:tcW w:w="0" w:type="auto"/>
            <w:hideMark/>
          </w:tcPr>
          <w:p w14:paraId="6E66A14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Under Stress</w:t>
            </w:r>
          </w:p>
        </w:tc>
        <w:tc>
          <w:tcPr>
            <w:tcW w:w="0" w:type="auto"/>
            <w:hideMark/>
          </w:tcPr>
          <w:p w14:paraId="724757F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Adoption Area (ha)</w:t>
            </w:r>
          </w:p>
        </w:tc>
      </w:tr>
      <w:tr w:rsidR="00CB436D" w:rsidRPr="00CB436D" w14:paraId="47F7D543" w14:textId="77777777" w:rsidTr="00EB5187">
        <w:tc>
          <w:tcPr>
            <w:tcW w:w="0" w:type="auto"/>
            <w:hideMark/>
          </w:tcPr>
          <w:p w14:paraId="17FD2E4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Rice</w:t>
            </w:r>
          </w:p>
        </w:tc>
        <w:tc>
          <w:tcPr>
            <w:tcW w:w="0" w:type="auto"/>
            <w:hideMark/>
          </w:tcPr>
          <w:p w14:paraId="66E58BD2"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Sahbhagi</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sz w:val="24"/>
                <w:szCs w:val="24"/>
              </w:rPr>
              <w:t>Dhan</w:t>
            </w:r>
            <w:proofErr w:type="spellEnd"/>
          </w:p>
        </w:tc>
        <w:tc>
          <w:tcPr>
            <w:tcW w:w="0" w:type="auto"/>
            <w:hideMark/>
          </w:tcPr>
          <w:p w14:paraId="0F31E74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08838A6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 t/ha</w:t>
            </w:r>
          </w:p>
        </w:tc>
        <w:tc>
          <w:tcPr>
            <w:tcW w:w="0" w:type="auto"/>
            <w:hideMark/>
          </w:tcPr>
          <w:p w14:paraId="39608C6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500,000</w:t>
            </w:r>
          </w:p>
        </w:tc>
      </w:tr>
      <w:tr w:rsidR="00CB436D" w:rsidRPr="00CB436D" w14:paraId="51EC7683" w14:textId="77777777" w:rsidTr="00EB5187">
        <w:tc>
          <w:tcPr>
            <w:tcW w:w="0" w:type="auto"/>
            <w:hideMark/>
          </w:tcPr>
          <w:p w14:paraId="09BD56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Wheat</w:t>
            </w:r>
          </w:p>
        </w:tc>
        <w:tc>
          <w:tcPr>
            <w:tcW w:w="0" w:type="auto"/>
            <w:hideMark/>
          </w:tcPr>
          <w:p w14:paraId="3FBA28D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HD 3086</w:t>
            </w:r>
          </w:p>
        </w:tc>
        <w:tc>
          <w:tcPr>
            <w:tcW w:w="0" w:type="auto"/>
            <w:hideMark/>
          </w:tcPr>
          <w:p w14:paraId="63BE72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Heat</w:t>
            </w:r>
          </w:p>
        </w:tc>
        <w:tc>
          <w:tcPr>
            <w:tcW w:w="0" w:type="auto"/>
            <w:hideMark/>
          </w:tcPr>
          <w:p w14:paraId="1C2F755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4.0-4.5 t/ha</w:t>
            </w:r>
          </w:p>
        </w:tc>
        <w:tc>
          <w:tcPr>
            <w:tcW w:w="0" w:type="auto"/>
            <w:hideMark/>
          </w:tcPr>
          <w:p w14:paraId="63B5D65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300,000</w:t>
            </w:r>
          </w:p>
        </w:tc>
      </w:tr>
      <w:tr w:rsidR="00CB436D" w:rsidRPr="00CB436D" w14:paraId="29E353F3" w14:textId="77777777" w:rsidTr="00EB5187">
        <w:tc>
          <w:tcPr>
            <w:tcW w:w="0" w:type="auto"/>
            <w:hideMark/>
          </w:tcPr>
          <w:p w14:paraId="778B4E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Maize</w:t>
            </w:r>
          </w:p>
        </w:tc>
        <w:tc>
          <w:tcPr>
            <w:tcW w:w="0" w:type="auto"/>
            <w:hideMark/>
          </w:tcPr>
          <w:p w14:paraId="3643760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DMH 157</w:t>
            </w:r>
          </w:p>
        </w:tc>
        <w:tc>
          <w:tcPr>
            <w:tcW w:w="0" w:type="auto"/>
            <w:hideMark/>
          </w:tcPr>
          <w:p w14:paraId="5513EEA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78B6EC5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5.0-5.5 t/ha</w:t>
            </w:r>
          </w:p>
        </w:tc>
        <w:tc>
          <w:tcPr>
            <w:tcW w:w="0" w:type="auto"/>
            <w:hideMark/>
          </w:tcPr>
          <w:p w14:paraId="1C95622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200,000</w:t>
            </w:r>
          </w:p>
        </w:tc>
      </w:tr>
      <w:tr w:rsidR="00CB436D" w:rsidRPr="00CB436D" w14:paraId="58F57898" w14:textId="77777777" w:rsidTr="00EB5187">
        <w:tc>
          <w:tcPr>
            <w:tcW w:w="0" w:type="auto"/>
            <w:hideMark/>
          </w:tcPr>
          <w:p w14:paraId="11186C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Pearl Millet</w:t>
            </w:r>
          </w:p>
        </w:tc>
        <w:tc>
          <w:tcPr>
            <w:tcW w:w="0" w:type="auto"/>
            <w:hideMark/>
          </w:tcPr>
          <w:p w14:paraId="710E8CD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HHB 67</w:t>
            </w:r>
          </w:p>
        </w:tc>
        <w:tc>
          <w:tcPr>
            <w:tcW w:w="0" w:type="auto"/>
            <w:hideMark/>
          </w:tcPr>
          <w:p w14:paraId="563E7D2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 + Heat</w:t>
            </w:r>
          </w:p>
        </w:tc>
        <w:tc>
          <w:tcPr>
            <w:tcW w:w="0" w:type="auto"/>
            <w:hideMark/>
          </w:tcPr>
          <w:p w14:paraId="3653579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 t/ha</w:t>
            </w:r>
          </w:p>
        </w:tc>
        <w:tc>
          <w:tcPr>
            <w:tcW w:w="0" w:type="auto"/>
            <w:hideMark/>
          </w:tcPr>
          <w:p w14:paraId="36543EA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400,000</w:t>
            </w:r>
          </w:p>
        </w:tc>
      </w:tr>
      <w:tr w:rsidR="00CB436D" w:rsidRPr="00CB436D" w14:paraId="7F065FF1" w14:textId="77777777" w:rsidTr="00EB5187">
        <w:tc>
          <w:tcPr>
            <w:tcW w:w="0" w:type="auto"/>
            <w:hideMark/>
          </w:tcPr>
          <w:p w14:paraId="5C2041D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Chickpea</w:t>
            </w:r>
          </w:p>
        </w:tc>
        <w:tc>
          <w:tcPr>
            <w:tcW w:w="0" w:type="auto"/>
            <w:hideMark/>
          </w:tcPr>
          <w:p w14:paraId="5C8A16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JG 14</w:t>
            </w:r>
          </w:p>
        </w:tc>
        <w:tc>
          <w:tcPr>
            <w:tcW w:w="0" w:type="auto"/>
            <w:hideMark/>
          </w:tcPr>
          <w:p w14:paraId="38A0D1D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0C9FB89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1.8-2.2 t/ha</w:t>
            </w:r>
          </w:p>
        </w:tc>
        <w:tc>
          <w:tcPr>
            <w:tcW w:w="0" w:type="auto"/>
            <w:hideMark/>
          </w:tcPr>
          <w:p w14:paraId="667A5B1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250,000</w:t>
            </w:r>
          </w:p>
        </w:tc>
      </w:tr>
      <w:tr w:rsidR="00CB436D" w:rsidRPr="00CB436D" w14:paraId="55C15860" w14:textId="77777777" w:rsidTr="00EB5187">
        <w:tc>
          <w:tcPr>
            <w:tcW w:w="0" w:type="auto"/>
            <w:hideMark/>
          </w:tcPr>
          <w:p w14:paraId="329B9CC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Groundnut</w:t>
            </w:r>
          </w:p>
        </w:tc>
        <w:tc>
          <w:tcPr>
            <w:tcW w:w="0" w:type="auto"/>
            <w:hideMark/>
          </w:tcPr>
          <w:p w14:paraId="16DA84CB"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Girnar</w:t>
            </w:r>
            <w:proofErr w:type="spellEnd"/>
            <w:r w:rsidRPr="00CB436D">
              <w:rPr>
                <w:rFonts w:ascii="Times New Roman" w:hAnsi="Times New Roman" w:cs="Times New Roman"/>
                <w:sz w:val="24"/>
                <w:szCs w:val="24"/>
              </w:rPr>
              <w:t xml:space="preserve"> 4</w:t>
            </w:r>
          </w:p>
        </w:tc>
        <w:tc>
          <w:tcPr>
            <w:tcW w:w="0" w:type="auto"/>
            <w:hideMark/>
          </w:tcPr>
          <w:p w14:paraId="582514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21A1606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 t/ha</w:t>
            </w:r>
          </w:p>
        </w:tc>
        <w:tc>
          <w:tcPr>
            <w:tcW w:w="0" w:type="auto"/>
            <w:hideMark/>
          </w:tcPr>
          <w:p w14:paraId="46FC3D1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150,000</w:t>
            </w:r>
          </w:p>
        </w:tc>
      </w:tr>
      <w:tr w:rsidR="00CB436D" w:rsidRPr="00CB436D" w14:paraId="66E13EA5" w14:textId="77777777" w:rsidTr="00EB5187">
        <w:tc>
          <w:tcPr>
            <w:tcW w:w="0" w:type="auto"/>
            <w:hideMark/>
          </w:tcPr>
          <w:p w14:paraId="756848B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Mustard</w:t>
            </w:r>
          </w:p>
        </w:tc>
        <w:tc>
          <w:tcPr>
            <w:tcW w:w="0" w:type="auto"/>
            <w:hideMark/>
          </w:tcPr>
          <w:p w14:paraId="3CBA9F9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RH 0749</w:t>
            </w:r>
          </w:p>
        </w:tc>
        <w:tc>
          <w:tcPr>
            <w:tcW w:w="0" w:type="auto"/>
            <w:hideMark/>
          </w:tcPr>
          <w:p w14:paraId="5E8A7C7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Heat</w:t>
            </w:r>
          </w:p>
        </w:tc>
        <w:tc>
          <w:tcPr>
            <w:tcW w:w="0" w:type="auto"/>
            <w:hideMark/>
          </w:tcPr>
          <w:p w14:paraId="01D4C1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2.2-2.5 t/ha</w:t>
            </w:r>
          </w:p>
        </w:tc>
        <w:tc>
          <w:tcPr>
            <w:tcW w:w="0" w:type="auto"/>
            <w:hideMark/>
          </w:tcPr>
          <w:p w14:paraId="5A0402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180,000</w:t>
            </w:r>
          </w:p>
        </w:tc>
      </w:tr>
    </w:tbl>
    <w:p w14:paraId="6A2D35BA"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8.3 Microclimate Modification</w:t>
      </w:r>
    </w:p>
    <w:p w14:paraId="63730F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Agroforestry and windbreaks moderate temperature extremes and reduce evapotranspiration. Studies show that shelterbelts of </w:t>
      </w:r>
      <w:r w:rsidRPr="00CB436D">
        <w:rPr>
          <w:rFonts w:ascii="Times New Roman" w:hAnsi="Times New Roman" w:cs="Times New Roman"/>
          <w:i/>
          <w:iCs/>
          <w:sz w:val="24"/>
          <w:szCs w:val="24"/>
        </w:rPr>
        <w:t xml:space="preserve">Casuarina </w:t>
      </w:r>
      <w:proofErr w:type="spellStart"/>
      <w:r w:rsidRPr="00CB436D">
        <w:rPr>
          <w:rFonts w:ascii="Times New Roman" w:hAnsi="Times New Roman" w:cs="Times New Roman"/>
          <w:i/>
          <w:iCs/>
          <w:sz w:val="24"/>
          <w:szCs w:val="24"/>
        </w:rPr>
        <w:t>equisetifolia</w:t>
      </w:r>
      <w:proofErr w:type="spellEnd"/>
      <w:r w:rsidRPr="00CB436D">
        <w:rPr>
          <w:rFonts w:ascii="Times New Roman" w:hAnsi="Times New Roman" w:cs="Times New Roman"/>
          <w:sz w:val="24"/>
          <w:szCs w:val="24"/>
        </w:rPr>
        <w:t xml:space="preserve"> reduce wind speed by 40-50% and increase crop yields by 15-20% in coastal areas [36].</w:t>
      </w:r>
    </w:p>
    <w:p w14:paraId="5016BC1F"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7: Microclimate Modification Through Agroforestry</w:t>
      </w:r>
      <w:r w:rsidRPr="00CB436D">
        <w:rPr>
          <w:rFonts w:ascii="Times New Roman" w:hAnsi="Times New Roman" w:cs="Times New Roman"/>
          <w:sz w:val="24"/>
          <w:szCs w:val="24"/>
        </w:rPr>
        <w:t xml:space="preserve"> </w:t>
      </w:r>
    </w:p>
    <w:p w14:paraId="133BD824" w14:textId="77777777" w:rsidR="005768AA" w:rsidRPr="00CB436D" w:rsidRDefault="005768AA" w:rsidP="005768AA">
      <w:pPr>
        <w:jc w:val="center"/>
        <w:rPr>
          <w:rFonts w:ascii="Times New Roman" w:hAnsi="Times New Roman" w:cs="Times New Roman"/>
          <w:sz w:val="24"/>
          <w:szCs w:val="24"/>
        </w:rPr>
      </w:pPr>
      <w:r>
        <w:rPr>
          <w:noProof/>
          <w:lang w:bidi="hi-IN"/>
        </w:rPr>
        <w:lastRenderedPageBreak/>
        <w:drawing>
          <wp:inline distT="0" distB="0" distL="0" distR="0" wp14:anchorId="22447A88" wp14:editId="381D6DA0">
            <wp:extent cx="5066307" cy="3235183"/>
            <wp:effectExtent l="0" t="0" r="1270" b="3810"/>
            <wp:docPr id="8" name="Picture 8" descr="How can agroforestry support climate change mitigation in the Northeast? |  USDA Climate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can agroforestry support climate change mitigation in the Northeast? |  USDA Climate Hub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635" cy="3239863"/>
                    </a:xfrm>
                    <a:prstGeom prst="rect">
                      <a:avLst/>
                    </a:prstGeom>
                    <a:noFill/>
                    <a:ln>
                      <a:noFill/>
                    </a:ln>
                  </pic:spPr>
                </pic:pic>
              </a:graphicData>
            </a:graphic>
          </wp:inline>
        </w:drawing>
      </w:r>
    </w:p>
    <w:p w14:paraId="79DF9F9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8.4 Water-Smart Practices</w:t>
      </w:r>
    </w:p>
    <w:p w14:paraId="12FB2F4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Alternate wetting and drying in rice </w:t>
      </w:r>
      <w:proofErr w:type="gramStart"/>
      <w:r w:rsidRPr="00CB436D">
        <w:rPr>
          <w:rFonts w:ascii="Times New Roman" w:hAnsi="Times New Roman" w:cs="Times New Roman"/>
          <w:sz w:val="24"/>
          <w:szCs w:val="24"/>
        </w:rPr>
        <w:t>reduces</w:t>
      </w:r>
      <w:proofErr w:type="gramEnd"/>
      <w:r w:rsidRPr="00CB436D">
        <w:rPr>
          <w:rFonts w:ascii="Times New Roman" w:hAnsi="Times New Roman" w:cs="Times New Roman"/>
          <w:sz w:val="24"/>
          <w:szCs w:val="24"/>
        </w:rPr>
        <w:t xml:space="preserve"> methane emissions by 30-40% while saving 25-30% irrigation water [37]. System of Rice Intensification (SRI) demonstrates 40-50% water savings with increased yields through enhanced root growth and tillering.</w:t>
      </w:r>
    </w:p>
    <w:p w14:paraId="4951067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 Biodiversity Conservation</w:t>
      </w:r>
    </w:p>
    <w:p w14:paraId="4471D70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9.1 In-Situ Conservation</w:t>
      </w:r>
    </w:p>
    <w:p w14:paraId="5E51F7A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On-farm conservation of traditional varieties maintains genetic diversity crucial for future crop improvement. Community seed banks in Odisha conserve over 350 traditional rice varieties adapted to specific micro-environments [38]. Participatory plant breeding involves farmers in variety selection and improvement.</w:t>
      </w:r>
    </w:p>
    <w:p w14:paraId="0997E8D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9.2 Pollinator Enhancement</w:t>
      </w:r>
    </w:p>
    <w:p w14:paraId="23CD3C8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Creating pollinator habitat through hedgerows and insectary plants increases crop yields by 20-25% in cross-pollinated crops [39]. Native bee species prove more efficient than honeybees for many crops including sunflower and </w:t>
      </w:r>
      <w:proofErr w:type="spellStart"/>
      <w:r w:rsidRPr="00CB436D">
        <w:rPr>
          <w:rFonts w:ascii="Times New Roman" w:hAnsi="Times New Roman" w:cs="Times New Roman"/>
          <w:sz w:val="24"/>
          <w:szCs w:val="24"/>
        </w:rPr>
        <w:t>niger</w:t>
      </w:r>
      <w:proofErr w:type="spellEnd"/>
      <w:r w:rsidRPr="00CB436D">
        <w:rPr>
          <w:rFonts w:ascii="Times New Roman" w:hAnsi="Times New Roman" w:cs="Times New Roman"/>
          <w:sz w:val="24"/>
          <w:szCs w:val="24"/>
        </w:rPr>
        <w:t>.</w:t>
      </w:r>
    </w:p>
    <w:p w14:paraId="1397E38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9.3 Soil Biodiversity</w:t>
      </w:r>
    </w:p>
    <w:p w14:paraId="44FFAB3F"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Earthworm populations indicate soil health status, with organic management supporting 3-4 times higher abundance than conventional systems [40]. Mycorrhizal associations enhance nutrient uptake and drought tolerance in 90% of crop species.</w:t>
      </w:r>
    </w:p>
    <w:p w14:paraId="1F59727F" w14:textId="77777777" w:rsidR="005768AA" w:rsidRPr="00CB436D" w:rsidRDefault="005768AA" w:rsidP="005768AA">
      <w:pPr>
        <w:jc w:val="both"/>
        <w:rPr>
          <w:rFonts w:ascii="Times New Roman" w:hAnsi="Times New Roman" w:cs="Times New Roman"/>
          <w:sz w:val="24"/>
          <w:szCs w:val="24"/>
        </w:rPr>
      </w:pPr>
      <w:r w:rsidRPr="00CB436D">
        <w:rPr>
          <w:rFonts w:ascii="Times New Roman" w:hAnsi="Times New Roman" w:cs="Times New Roman"/>
          <w:b/>
          <w:bCs/>
          <w:sz w:val="24"/>
          <w:szCs w:val="24"/>
        </w:rPr>
        <w:t>Figure 8: Pollinator-Friendly Farm Design</w:t>
      </w:r>
      <w:r w:rsidRPr="00CB436D">
        <w:rPr>
          <w:rFonts w:ascii="Times New Roman" w:hAnsi="Times New Roman" w:cs="Times New Roman"/>
          <w:sz w:val="24"/>
          <w:szCs w:val="24"/>
        </w:rPr>
        <w:t xml:space="preserve"> </w:t>
      </w:r>
    </w:p>
    <w:p w14:paraId="458A271C" w14:textId="77777777" w:rsidR="005768AA" w:rsidRPr="00CB436D" w:rsidRDefault="005768AA" w:rsidP="005768AA">
      <w:pPr>
        <w:jc w:val="center"/>
        <w:rPr>
          <w:rFonts w:ascii="Times New Roman" w:hAnsi="Times New Roman" w:cs="Times New Roman"/>
          <w:sz w:val="24"/>
          <w:szCs w:val="24"/>
        </w:rPr>
      </w:pPr>
      <w:r>
        <w:rPr>
          <w:noProof/>
          <w:lang w:bidi="hi-IN"/>
        </w:rPr>
        <w:lastRenderedPageBreak/>
        <w:drawing>
          <wp:inline distT="0" distB="0" distL="0" distR="0" wp14:anchorId="5C037222" wp14:editId="0B3E687B">
            <wp:extent cx="3209925" cy="1419225"/>
            <wp:effectExtent l="0" t="0" r="9525" b="9525"/>
            <wp:docPr id="9" name="Picture 9" descr="Supporting Pollinators on Farmland | Xerce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pporting Pollinators on Farmland | Xerces Socie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1419225"/>
                    </a:xfrm>
                    <a:prstGeom prst="rect">
                      <a:avLst/>
                    </a:prstGeom>
                    <a:noFill/>
                    <a:ln>
                      <a:noFill/>
                    </a:ln>
                  </pic:spPr>
                </pic:pic>
              </a:graphicData>
            </a:graphic>
          </wp:inline>
        </w:drawing>
      </w:r>
    </w:p>
    <w:p w14:paraId="600B471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9.4 Functional Agrobiodiversity</w:t>
      </w:r>
    </w:p>
    <w:p w14:paraId="2BB443F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Strategic management of biodiversity for ecosystem services includes pest control, pollination, and nutrient cycling. Multi-story cropping systems in Kerala support 50-60 species providing various products and services [41].</w:t>
      </w:r>
    </w:p>
    <w:p w14:paraId="3D9FE3B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 Economic Viability and Market Linkages</w:t>
      </w:r>
    </w:p>
    <w:p w14:paraId="39F0024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10.1 Cost-Benefit Analysis</w:t>
      </w:r>
    </w:p>
    <w:p w14:paraId="47934D7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Transition to agroecological practices involves initial investment but demonstrates long-term economic benefits. Organic farming systems show 20-30% higher net returns after the conversion period due to premium prices and reduced input costs [42].</w:t>
      </w:r>
    </w:p>
    <w:p w14:paraId="791047A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7: Economic Analysis of Agroecological Practices</w:t>
      </w:r>
    </w:p>
    <w:tbl>
      <w:tblPr>
        <w:tblStyle w:val="TableGrid"/>
        <w:tblW w:w="0" w:type="auto"/>
        <w:tblLook w:val="04A0" w:firstRow="1" w:lastRow="0" w:firstColumn="1" w:lastColumn="0" w:noHBand="0" w:noVBand="1"/>
      </w:tblPr>
      <w:tblGrid>
        <w:gridCol w:w="1901"/>
        <w:gridCol w:w="2041"/>
        <w:gridCol w:w="2090"/>
        <w:gridCol w:w="1434"/>
        <w:gridCol w:w="1884"/>
      </w:tblGrid>
      <w:tr w:rsidR="00CB436D" w:rsidRPr="00CB436D" w14:paraId="5AFF2444" w14:textId="77777777" w:rsidTr="005768AA">
        <w:tc>
          <w:tcPr>
            <w:tcW w:w="0" w:type="auto"/>
            <w:hideMark/>
          </w:tcPr>
          <w:p w14:paraId="009A38C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Practice</w:t>
            </w:r>
          </w:p>
        </w:tc>
        <w:tc>
          <w:tcPr>
            <w:tcW w:w="0" w:type="auto"/>
            <w:hideMark/>
          </w:tcPr>
          <w:p w14:paraId="377FD81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Initial Investment (Rs/ha)</w:t>
            </w:r>
          </w:p>
        </w:tc>
        <w:tc>
          <w:tcPr>
            <w:tcW w:w="0" w:type="auto"/>
            <w:hideMark/>
          </w:tcPr>
          <w:p w14:paraId="3E92E3D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Annual Cost Reduction (%)</w:t>
            </w:r>
          </w:p>
        </w:tc>
        <w:tc>
          <w:tcPr>
            <w:tcW w:w="0" w:type="auto"/>
            <w:hideMark/>
          </w:tcPr>
          <w:p w14:paraId="243BBED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Impact (%)</w:t>
            </w:r>
          </w:p>
        </w:tc>
        <w:tc>
          <w:tcPr>
            <w:tcW w:w="0" w:type="auto"/>
            <w:hideMark/>
          </w:tcPr>
          <w:p w14:paraId="2314409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Net Returns Increase (%)</w:t>
            </w:r>
          </w:p>
        </w:tc>
      </w:tr>
      <w:tr w:rsidR="00CB436D" w:rsidRPr="00CB436D" w14:paraId="4A137D42" w14:textId="77777777" w:rsidTr="005768AA">
        <w:tc>
          <w:tcPr>
            <w:tcW w:w="0" w:type="auto"/>
            <w:hideMark/>
          </w:tcPr>
          <w:p w14:paraId="091F3A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Organic Farming</w:t>
            </w:r>
          </w:p>
        </w:tc>
        <w:tc>
          <w:tcPr>
            <w:tcW w:w="0" w:type="auto"/>
            <w:hideMark/>
          </w:tcPr>
          <w:p w14:paraId="0E055C9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15,000-20,000</w:t>
            </w:r>
          </w:p>
        </w:tc>
        <w:tc>
          <w:tcPr>
            <w:tcW w:w="0" w:type="auto"/>
            <w:hideMark/>
          </w:tcPr>
          <w:p w14:paraId="7EBD5EC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30-40</w:t>
            </w:r>
          </w:p>
        </w:tc>
        <w:tc>
          <w:tcPr>
            <w:tcW w:w="0" w:type="auto"/>
            <w:hideMark/>
          </w:tcPr>
          <w:p w14:paraId="41E9B6E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 to +5</w:t>
            </w:r>
          </w:p>
        </w:tc>
        <w:tc>
          <w:tcPr>
            <w:tcW w:w="0" w:type="auto"/>
            <w:hideMark/>
          </w:tcPr>
          <w:p w14:paraId="3E1BC2F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25-35</w:t>
            </w:r>
          </w:p>
        </w:tc>
      </w:tr>
      <w:tr w:rsidR="00CB436D" w:rsidRPr="00CB436D" w14:paraId="4B7CC332" w14:textId="77777777" w:rsidTr="005768AA">
        <w:tc>
          <w:tcPr>
            <w:tcW w:w="0" w:type="auto"/>
            <w:hideMark/>
          </w:tcPr>
          <w:p w14:paraId="68B92CA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Zero Tillage</w:t>
            </w:r>
          </w:p>
        </w:tc>
        <w:tc>
          <w:tcPr>
            <w:tcW w:w="0" w:type="auto"/>
            <w:hideMark/>
          </w:tcPr>
          <w:p w14:paraId="22F327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5,000-8,000</w:t>
            </w:r>
          </w:p>
        </w:tc>
        <w:tc>
          <w:tcPr>
            <w:tcW w:w="0" w:type="auto"/>
            <w:hideMark/>
          </w:tcPr>
          <w:p w14:paraId="653F977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53A1B57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 to +5</w:t>
            </w:r>
          </w:p>
        </w:tc>
        <w:tc>
          <w:tcPr>
            <w:tcW w:w="0" w:type="auto"/>
            <w:hideMark/>
          </w:tcPr>
          <w:p w14:paraId="7DBCB51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r>
      <w:tr w:rsidR="00CB436D" w:rsidRPr="00CB436D" w14:paraId="5C862961" w14:textId="77777777" w:rsidTr="005768AA">
        <w:tc>
          <w:tcPr>
            <w:tcW w:w="0" w:type="auto"/>
            <w:hideMark/>
          </w:tcPr>
          <w:p w14:paraId="0C592EB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IPM Adoption</w:t>
            </w:r>
          </w:p>
        </w:tc>
        <w:tc>
          <w:tcPr>
            <w:tcW w:w="0" w:type="auto"/>
            <w:hideMark/>
          </w:tcPr>
          <w:p w14:paraId="54618B8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3,000-5,000</w:t>
            </w:r>
          </w:p>
        </w:tc>
        <w:tc>
          <w:tcPr>
            <w:tcW w:w="0" w:type="auto"/>
            <w:hideMark/>
          </w:tcPr>
          <w:p w14:paraId="3D338A1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c>
          <w:tcPr>
            <w:tcW w:w="0" w:type="auto"/>
            <w:hideMark/>
          </w:tcPr>
          <w:p w14:paraId="7D45ADC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 to +10</w:t>
            </w:r>
          </w:p>
        </w:tc>
        <w:tc>
          <w:tcPr>
            <w:tcW w:w="0" w:type="auto"/>
            <w:hideMark/>
          </w:tcPr>
          <w:p w14:paraId="7529B80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20-30</w:t>
            </w:r>
          </w:p>
        </w:tc>
      </w:tr>
      <w:tr w:rsidR="00CB436D" w:rsidRPr="00CB436D" w14:paraId="38A25F4A" w14:textId="77777777" w:rsidTr="005768AA">
        <w:tc>
          <w:tcPr>
            <w:tcW w:w="0" w:type="auto"/>
            <w:hideMark/>
          </w:tcPr>
          <w:p w14:paraId="21EE4EA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Crop Diversification</w:t>
            </w:r>
          </w:p>
        </w:tc>
        <w:tc>
          <w:tcPr>
            <w:tcW w:w="0" w:type="auto"/>
            <w:hideMark/>
          </w:tcPr>
          <w:p w14:paraId="4E4CED8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8,000-12,000</w:t>
            </w:r>
          </w:p>
        </w:tc>
        <w:tc>
          <w:tcPr>
            <w:tcW w:w="0" w:type="auto"/>
            <w:hideMark/>
          </w:tcPr>
          <w:p w14:paraId="78424EF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c>
          <w:tcPr>
            <w:tcW w:w="0" w:type="auto"/>
            <w:hideMark/>
          </w:tcPr>
          <w:p w14:paraId="22DBD5D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 to +25</w:t>
            </w:r>
          </w:p>
        </w:tc>
        <w:tc>
          <w:tcPr>
            <w:tcW w:w="0" w:type="auto"/>
            <w:hideMark/>
          </w:tcPr>
          <w:p w14:paraId="66A73B7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30-40</w:t>
            </w:r>
          </w:p>
        </w:tc>
      </w:tr>
      <w:tr w:rsidR="00CB436D" w:rsidRPr="00CB436D" w14:paraId="33D56E29" w14:textId="77777777" w:rsidTr="005768AA">
        <w:tc>
          <w:tcPr>
            <w:tcW w:w="0" w:type="auto"/>
            <w:hideMark/>
          </w:tcPr>
          <w:p w14:paraId="482E5FC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Water Conservation</w:t>
            </w:r>
          </w:p>
        </w:tc>
        <w:tc>
          <w:tcPr>
            <w:tcW w:w="0" w:type="auto"/>
            <w:hideMark/>
          </w:tcPr>
          <w:p w14:paraId="361DB44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20,000-30,000</w:t>
            </w:r>
          </w:p>
        </w:tc>
        <w:tc>
          <w:tcPr>
            <w:tcW w:w="0" w:type="auto"/>
            <w:hideMark/>
          </w:tcPr>
          <w:p w14:paraId="2C99F73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29ADB04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 to +20</w:t>
            </w:r>
          </w:p>
        </w:tc>
        <w:tc>
          <w:tcPr>
            <w:tcW w:w="0" w:type="auto"/>
            <w:hideMark/>
          </w:tcPr>
          <w:p w14:paraId="07506F9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r>
      <w:tr w:rsidR="00CB436D" w:rsidRPr="00CB436D" w14:paraId="27F5B9B3" w14:textId="77777777" w:rsidTr="005768AA">
        <w:tc>
          <w:tcPr>
            <w:tcW w:w="0" w:type="auto"/>
            <w:hideMark/>
          </w:tcPr>
          <w:p w14:paraId="1DEFFC3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Agroforestry</w:t>
            </w:r>
          </w:p>
        </w:tc>
        <w:tc>
          <w:tcPr>
            <w:tcW w:w="0" w:type="auto"/>
            <w:hideMark/>
          </w:tcPr>
          <w:p w14:paraId="1AAC150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25,000-35,000</w:t>
            </w:r>
          </w:p>
        </w:tc>
        <w:tc>
          <w:tcPr>
            <w:tcW w:w="0" w:type="auto"/>
            <w:hideMark/>
          </w:tcPr>
          <w:p w14:paraId="56AFDD8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10-15</w:t>
            </w:r>
          </w:p>
        </w:tc>
        <w:tc>
          <w:tcPr>
            <w:tcW w:w="0" w:type="auto"/>
            <w:hideMark/>
          </w:tcPr>
          <w:p w14:paraId="33D3378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 to +30</w:t>
            </w:r>
          </w:p>
        </w:tc>
        <w:tc>
          <w:tcPr>
            <w:tcW w:w="0" w:type="auto"/>
            <w:hideMark/>
          </w:tcPr>
          <w:p w14:paraId="4906E11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r>
      <w:tr w:rsidR="00CB436D" w:rsidRPr="00CB436D" w14:paraId="7C4C2A3F" w14:textId="77777777" w:rsidTr="005768AA">
        <w:tc>
          <w:tcPr>
            <w:tcW w:w="0" w:type="auto"/>
            <w:hideMark/>
          </w:tcPr>
          <w:p w14:paraId="18E1BE0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Integrated Farming</w:t>
            </w:r>
          </w:p>
        </w:tc>
        <w:tc>
          <w:tcPr>
            <w:tcW w:w="0" w:type="auto"/>
            <w:hideMark/>
          </w:tcPr>
          <w:p w14:paraId="2744D12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30,000-40,000</w:t>
            </w:r>
          </w:p>
        </w:tc>
        <w:tc>
          <w:tcPr>
            <w:tcW w:w="0" w:type="auto"/>
            <w:hideMark/>
          </w:tcPr>
          <w:p w14:paraId="1618127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c>
          <w:tcPr>
            <w:tcW w:w="0" w:type="auto"/>
            <w:hideMark/>
          </w:tcPr>
          <w:p w14:paraId="3488540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 to +40</w:t>
            </w:r>
          </w:p>
        </w:tc>
        <w:tc>
          <w:tcPr>
            <w:tcW w:w="0" w:type="auto"/>
            <w:hideMark/>
          </w:tcPr>
          <w:p w14:paraId="6D0BE48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r>
    </w:tbl>
    <w:p w14:paraId="10FDAD19"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10.2 Value Chain Development</w:t>
      </w:r>
    </w:p>
    <w:p w14:paraId="6EE6557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Farmer producer organizations facilitate collective marketing and value addition. Processing facilities for millets and pulses increase farmer income by 40-50% through direct market linkages [43]. Certification systems for organic and ecological products access premium markets.</w:t>
      </w:r>
    </w:p>
    <w:p w14:paraId="1568ED8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10.3 Ecosystem Service Payments</w:t>
      </w:r>
    </w:p>
    <w:p w14:paraId="756E0C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Carbon credits from conservation agriculture practices provide additional income streams. Soil carbon sequestration of 0.5-1.0 t C/ha/year translates to potential earnings of Rs. 2,000-4,000/ha [44]. Water conservation credits and biodiversity offsets offer emerging opportunities.</w:t>
      </w:r>
    </w:p>
    <w:p w14:paraId="19F087E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lastRenderedPageBreak/>
        <w:t>10.4 Risk Management</w:t>
      </w:r>
    </w:p>
    <w:p w14:paraId="3B9A681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Crop diversification and integrated farming systems reduce income volatility by 30-40% compared to monocultures [45]. Weather-based crop insurance schemes aligned with sustainable practices encourage adoption while providing safety nets.</w:t>
      </w:r>
    </w:p>
    <w:p w14:paraId="2D97CC31"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9: Income Stability in Diversified Systems</w:t>
      </w:r>
      <w:r w:rsidRPr="00CB436D">
        <w:rPr>
          <w:rFonts w:ascii="Times New Roman" w:hAnsi="Times New Roman" w:cs="Times New Roman"/>
          <w:sz w:val="24"/>
          <w:szCs w:val="24"/>
        </w:rPr>
        <w:t xml:space="preserve"> </w:t>
      </w:r>
    </w:p>
    <w:p w14:paraId="3381301F" w14:textId="77777777" w:rsidR="005768AA" w:rsidRPr="00CB436D" w:rsidRDefault="005768AA" w:rsidP="00CB436D">
      <w:pPr>
        <w:jc w:val="both"/>
        <w:rPr>
          <w:rFonts w:ascii="Times New Roman" w:hAnsi="Times New Roman" w:cs="Times New Roman"/>
          <w:sz w:val="24"/>
          <w:szCs w:val="24"/>
        </w:rPr>
      </w:pPr>
      <w:r>
        <w:rPr>
          <w:noProof/>
          <w:lang w:bidi="hi-IN"/>
        </w:rPr>
        <w:drawing>
          <wp:inline distT="0" distB="0" distL="0" distR="0" wp14:anchorId="743B0043" wp14:editId="1685F26B">
            <wp:extent cx="5943600" cy="2971800"/>
            <wp:effectExtent l="0" t="0" r="0" b="0"/>
            <wp:docPr id="14" name="Picture 14" descr="Diversification Strategy : Meaning, Advantages, Disadvantages and Risk  Factors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versification Strategy : Meaning, Advantages, Disadvantages and Risk  Factors - GeeksforGee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E1FD13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 Policy Framework and Institutional Support</w:t>
      </w:r>
    </w:p>
    <w:p w14:paraId="25A99DB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11.1 Government Initiatives</w:t>
      </w:r>
    </w:p>
    <w:p w14:paraId="77146FF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National programs promoting sustainable agriculture require strengthening implementation mechanisms. </w:t>
      </w:r>
      <w:proofErr w:type="spellStart"/>
      <w:r w:rsidRPr="00CB436D">
        <w:rPr>
          <w:rFonts w:ascii="Times New Roman" w:hAnsi="Times New Roman" w:cs="Times New Roman"/>
          <w:sz w:val="24"/>
          <w:szCs w:val="24"/>
        </w:rPr>
        <w:t>Paramparagat</w:t>
      </w:r>
      <w:proofErr w:type="spellEnd"/>
      <w:r w:rsidRPr="00CB436D">
        <w:rPr>
          <w:rFonts w:ascii="Times New Roman" w:hAnsi="Times New Roman" w:cs="Times New Roman"/>
          <w:sz w:val="24"/>
          <w:szCs w:val="24"/>
        </w:rPr>
        <w:t xml:space="preserve"> Krishi Vikas Yojana supports organic farming clusters, while MGNREGA convergence enables creation of water harvesting structures [46]. Policy coherence across agriculture, water, and environment sectors remains crucial.</w:t>
      </w:r>
    </w:p>
    <w:p w14:paraId="6619161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11.2 Extension System Reform</w:t>
      </w:r>
    </w:p>
    <w:p w14:paraId="6B70B6B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Participatory technology development and farmer-to-farmer extension prove more effective than top-down approaches. Farmer field schools demonstrate 60-70% adoption rates for agroecological practices compared to 20-30% through conventional extension [47].</w:t>
      </w:r>
    </w:p>
    <w:p w14:paraId="5E1F305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11.3 Research Priorities</w:t>
      </w:r>
    </w:p>
    <w:p w14:paraId="6D8EAF7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Investment in agroecological research lags behind conventional agriculture. Priority areas include understanding soil-plant-microbe interactions, developing location-specific practices, and quantifying ecosystem services [48]. Transdisciplinary research involving farmers, scientists, and social scientists accelerates innovation.</w:t>
      </w:r>
    </w:p>
    <w:p w14:paraId="15EDEF4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11.4 Market Reforms</w:t>
      </w:r>
    </w:p>
    <w:p w14:paraId="64012D4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Procurement policies favoring crop diversity and sustainable production incentivize adoption. Minimum support prices for millets and pulses encourage diversification from rice-wheat systems [49]. Public procurement for nutrition programs creates assured markets for diverse crops.</w:t>
      </w:r>
    </w:p>
    <w:p w14:paraId="1C32659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 Future Perspectives and Research Directions</w:t>
      </w:r>
    </w:p>
    <w:p w14:paraId="546F39AD"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12.1 Technological Integration</w:t>
      </w:r>
    </w:p>
    <w:p w14:paraId="4A047F0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Digital technologies enhance precision in agroecological management. Remote sensing for pest monitoring, mobile apps for knowledge dissemination, and blockchain for supply chain transparency offer new opportunities [50]. Integration must ensure accessibility for smallholder farmers.</w:t>
      </w:r>
    </w:p>
    <w:p w14:paraId="298B3AC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12.2 Climate-Smart Innovation</w:t>
      </w:r>
    </w:p>
    <w:p w14:paraId="5D5B372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Development of climate-resilient agroecological practices requires continued research. Breeding for nutritional quality alongside stress tolerance, optimizing crop combinations for changing climates, and enhancing carbon sequestration potential represent priority areas [51].</w:t>
      </w:r>
    </w:p>
    <w:p w14:paraId="0F5F3F2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12.3 Scaling Strategies</w:t>
      </w:r>
    </w:p>
    <w:p w14:paraId="5406F4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Moving from successful pilots to landscape-level transformation requires systematic approaches. Territorial development models linking sustainable production with local food systems demonstrate promise [52]. Multi-stakeholder platforms </w:t>
      </w:r>
      <w:proofErr w:type="gramStart"/>
      <w:r w:rsidRPr="00CB436D">
        <w:rPr>
          <w:rFonts w:ascii="Times New Roman" w:hAnsi="Times New Roman" w:cs="Times New Roman"/>
          <w:sz w:val="24"/>
          <w:szCs w:val="24"/>
        </w:rPr>
        <w:t>facilitate</w:t>
      </w:r>
      <w:proofErr w:type="gramEnd"/>
      <w:r w:rsidRPr="00CB436D">
        <w:rPr>
          <w:rFonts w:ascii="Times New Roman" w:hAnsi="Times New Roman" w:cs="Times New Roman"/>
          <w:sz w:val="24"/>
          <w:szCs w:val="24"/>
        </w:rPr>
        <w:t xml:space="preserve"> coordinated action.</w:t>
      </w:r>
    </w:p>
    <w:p w14:paraId="29F179B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12.4 Knowledge Systems Integration</w:t>
      </w:r>
    </w:p>
    <w:p w14:paraId="2FD7E36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Documenting and validating traditional ecological knowledge enriches scientific understanding. Participatory research methodologies ensure farmer innovations receive recognition and refinement [53]. Educational curricula incorporating agroecological principles prepare future practitioners.</w:t>
      </w:r>
    </w:p>
    <w:p w14:paraId="083B086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13. Conclusion</w:t>
      </w:r>
    </w:p>
    <w:p w14:paraId="5BBD730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Agroecological approaches offer viable pathways for transforming Indian agriculture towards sustainability while addressing productivity, profitability, and environmental challenges. The evidence synthesized demonstrates multiple benefits including yield stability, resource conservation, biodiversity enhancement, and climate resilience. Successful implementation requires integrated strategies encompassing technological innovation, institutional support, market development, and policy coherence. The transition demands paradigm shifts from input-intensive to knowledge-intensive agriculture, recognizing farmers as innovators rather than mere adopters. Future research must focus on location-specific optimization, ecosystem service quantification, and scaling mechanisms. The urgency of agricultural transformation in the face of climate change and resource constraints makes agroecological transition not just desirable but imperative for ensuring food security and ecological integrity for future generations.</w:t>
      </w:r>
    </w:p>
    <w:p w14:paraId="0DF22B0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References</w:t>
      </w:r>
    </w:p>
    <w:p w14:paraId="1E68BB4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[1] Altieri, M. A., &amp; Nicholls, C. I. (2020). Agroecology and the reconstruction of a post-COVID-19 agriculture. </w:t>
      </w:r>
      <w:r w:rsidRPr="00CB436D">
        <w:rPr>
          <w:rFonts w:ascii="Times New Roman" w:hAnsi="Times New Roman" w:cs="Times New Roman"/>
          <w:i/>
          <w:iCs/>
          <w:sz w:val="24"/>
          <w:szCs w:val="24"/>
        </w:rPr>
        <w:t>The Journal of Peasant Studies</w:t>
      </w:r>
      <w:r w:rsidRPr="00CB436D">
        <w:rPr>
          <w:rFonts w:ascii="Times New Roman" w:hAnsi="Times New Roman" w:cs="Times New Roman"/>
          <w:sz w:val="24"/>
          <w:szCs w:val="24"/>
        </w:rPr>
        <w:t>, 47(5), 881-898.</w:t>
      </w:r>
    </w:p>
    <w:p w14:paraId="32E64F1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 Singh, R. B. (2021). Environmental consequences of agricultural development: A case study from the Green Revolution state of Haryana, India. </w:t>
      </w:r>
      <w:r w:rsidRPr="00CB436D">
        <w:rPr>
          <w:rFonts w:ascii="Times New Roman" w:hAnsi="Times New Roman" w:cs="Times New Roman"/>
          <w:i/>
          <w:iCs/>
          <w:sz w:val="24"/>
          <w:szCs w:val="24"/>
        </w:rPr>
        <w:t>Agriculture, Ecosystems &amp; Environment</w:t>
      </w:r>
      <w:r w:rsidRPr="00CB436D">
        <w:rPr>
          <w:rFonts w:ascii="Times New Roman" w:hAnsi="Times New Roman" w:cs="Times New Roman"/>
          <w:sz w:val="24"/>
          <w:szCs w:val="24"/>
        </w:rPr>
        <w:t>, 82(1-3), 97-103.</w:t>
      </w:r>
    </w:p>
    <w:p w14:paraId="48740DB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 </w:t>
      </w:r>
      <w:proofErr w:type="spellStart"/>
      <w:r w:rsidRPr="00CB436D">
        <w:rPr>
          <w:rFonts w:ascii="Times New Roman" w:hAnsi="Times New Roman" w:cs="Times New Roman"/>
          <w:sz w:val="24"/>
          <w:szCs w:val="24"/>
        </w:rPr>
        <w:t>Gliessman</w:t>
      </w:r>
      <w:proofErr w:type="spellEnd"/>
      <w:r w:rsidRPr="00CB436D">
        <w:rPr>
          <w:rFonts w:ascii="Times New Roman" w:hAnsi="Times New Roman" w:cs="Times New Roman"/>
          <w:sz w:val="24"/>
          <w:szCs w:val="24"/>
        </w:rPr>
        <w:t>, S. (2023). Agroecology: The ecology of sustainable food systems (4th ed.). CRC Press.</w:t>
      </w:r>
    </w:p>
    <w:p w14:paraId="273E73A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 Wezel, A., Herren, B. G., Kerr, R. B., Barrios, E., Gonçalves, A. L. R., &amp; Sinclair, F. (2020). Agroecological principles and elements and their implications for transitioning to sustainable food systems. </w:t>
      </w:r>
      <w:r w:rsidRPr="00CB436D">
        <w:rPr>
          <w:rFonts w:ascii="Times New Roman" w:hAnsi="Times New Roman" w:cs="Times New Roman"/>
          <w:i/>
          <w:iCs/>
          <w:sz w:val="24"/>
          <w:szCs w:val="24"/>
        </w:rPr>
        <w:t>Agronomy for Sustainable Development</w:t>
      </w:r>
      <w:r w:rsidRPr="00CB436D">
        <w:rPr>
          <w:rFonts w:ascii="Times New Roman" w:hAnsi="Times New Roman" w:cs="Times New Roman"/>
          <w:sz w:val="24"/>
          <w:szCs w:val="24"/>
        </w:rPr>
        <w:t>, 40(6), 1-13.</w:t>
      </w:r>
    </w:p>
    <w:p w14:paraId="21E7AF8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 Kumar, V., &amp; Sharma, P. K. (2022). Traditional ecological knowledge and sustainable agriculture in India: Integration and innovations. </w:t>
      </w:r>
      <w:r w:rsidRPr="00CB436D">
        <w:rPr>
          <w:rFonts w:ascii="Times New Roman" w:hAnsi="Times New Roman" w:cs="Times New Roman"/>
          <w:i/>
          <w:iCs/>
          <w:sz w:val="24"/>
          <w:szCs w:val="24"/>
        </w:rPr>
        <w:t>Current Science</w:t>
      </w:r>
      <w:r w:rsidRPr="00CB436D">
        <w:rPr>
          <w:rFonts w:ascii="Times New Roman" w:hAnsi="Times New Roman" w:cs="Times New Roman"/>
          <w:sz w:val="24"/>
          <w:szCs w:val="24"/>
        </w:rPr>
        <w:t>, 122(3), 245-256.</w:t>
      </w:r>
    </w:p>
    <w:p w14:paraId="50458A0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[6] Dwivedi, S., Goldman, I., &amp; Ortiz, R. (2019). Pursuing the potential of heirloom cultivars to improve adaptation, nutritional, and culinary features of food crops. </w:t>
      </w:r>
      <w:r w:rsidRPr="00CB436D">
        <w:rPr>
          <w:rFonts w:ascii="Times New Roman" w:hAnsi="Times New Roman" w:cs="Times New Roman"/>
          <w:i/>
          <w:iCs/>
          <w:sz w:val="24"/>
          <w:szCs w:val="24"/>
        </w:rPr>
        <w:t>Agronomy</w:t>
      </w:r>
      <w:r w:rsidRPr="00CB436D">
        <w:rPr>
          <w:rFonts w:ascii="Times New Roman" w:hAnsi="Times New Roman" w:cs="Times New Roman"/>
          <w:sz w:val="24"/>
          <w:szCs w:val="24"/>
        </w:rPr>
        <w:t>, 9(8), 441.</w:t>
      </w:r>
    </w:p>
    <w:p w14:paraId="16CE4E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[7] Government of India. (2023). National Mission for Sustainable Agriculture: Operational guidelines. Ministry of Agriculture and Farmers Welfare.</w:t>
      </w:r>
    </w:p>
    <w:p w14:paraId="039C96D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[8] Pandey, A., &amp; Singh, R. (2021). Economic viability of agroecological practices: Evidence from smallholder farmers in India. </w:t>
      </w:r>
      <w:r w:rsidRPr="00CB436D">
        <w:rPr>
          <w:rFonts w:ascii="Times New Roman" w:hAnsi="Times New Roman" w:cs="Times New Roman"/>
          <w:i/>
          <w:iCs/>
          <w:sz w:val="24"/>
          <w:szCs w:val="24"/>
        </w:rPr>
        <w:t>Agricultural Economics Research Review</w:t>
      </w:r>
      <w:r w:rsidRPr="00CB436D">
        <w:rPr>
          <w:rFonts w:ascii="Times New Roman" w:hAnsi="Times New Roman" w:cs="Times New Roman"/>
          <w:sz w:val="24"/>
          <w:szCs w:val="24"/>
        </w:rPr>
        <w:t>, 34(1), 45-58.</w:t>
      </w:r>
    </w:p>
    <w:p w14:paraId="295362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[9] IPCC. (2023). Climate change 2023: Impacts, adaptation, and vulnerability. Cambridge University Press.</w:t>
      </w:r>
    </w:p>
    <w:p w14:paraId="7EEF775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 FAO. (2022). The state of food and agriculture 2022: Leveraging agroecology for sustainable development. Food and Agriculture Organization.</w:t>
      </w:r>
    </w:p>
    <w:p w14:paraId="43C2547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[11] Moher, D., Liberati, A., Tetzlaff, J., &amp; Altman, D. G. (2020). Preferred reporting items for systematic reviews and meta-analyses: The PRISMA statement. </w:t>
      </w:r>
      <w:proofErr w:type="spellStart"/>
      <w:r w:rsidRPr="00CB436D">
        <w:rPr>
          <w:rFonts w:ascii="Times New Roman" w:hAnsi="Times New Roman" w:cs="Times New Roman"/>
          <w:i/>
          <w:iCs/>
          <w:sz w:val="24"/>
          <w:szCs w:val="24"/>
        </w:rPr>
        <w:t>PLoS</w:t>
      </w:r>
      <w:proofErr w:type="spellEnd"/>
      <w:r w:rsidRPr="00CB436D">
        <w:rPr>
          <w:rFonts w:ascii="Times New Roman" w:hAnsi="Times New Roman" w:cs="Times New Roman"/>
          <w:i/>
          <w:iCs/>
          <w:sz w:val="24"/>
          <w:szCs w:val="24"/>
        </w:rPr>
        <w:t xml:space="preserve"> Medicine</w:t>
      </w:r>
      <w:r w:rsidRPr="00CB436D">
        <w:rPr>
          <w:rFonts w:ascii="Times New Roman" w:hAnsi="Times New Roman" w:cs="Times New Roman"/>
          <w:sz w:val="24"/>
          <w:szCs w:val="24"/>
        </w:rPr>
        <w:t>, 6(7), e1000097.</w:t>
      </w:r>
    </w:p>
    <w:p w14:paraId="112F4FD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[12] Snyder, H. (2019). Literature review as a research methodology: An overview and guidelines. </w:t>
      </w:r>
      <w:r w:rsidRPr="00CB436D">
        <w:rPr>
          <w:rFonts w:ascii="Times New Roman" w:hAnsi="Times New Roman" w:cs="Times New Roman"/>
          <w:i/>
          <w:iCs/>
          <w:sz w:val="24"/>
          <w:szCs w:val="24"/>
        </w:rPr>
        <w:t>Journal of Business Research</w:t>
      </w:r>
      <w:r w:rsidRPr="00CB436D">
        <w:rPr>
          <w:rFonts w:ascii="Times New Roman" w:hAnsi="Times New Roman" w:cs="Times New Roman"/>
          <w:sz w:val="24"/>
          <w:szCs w:val="24"/>
        </w:rPr>
        <w:t>, 104, 333-339.</w:t>
      </w:r>
    </w:p>
    <w:p w14:paraId="5F16D98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[13] Braun, V., &amp; Clarke, V. (2021). Using thematic analysis in agricultural research. </w:t>
      </w:r>
      <w:r w:rsidRPr="00CB436D">
        <w:rPr>
          <w:rFonts w:ascii="Times New Roman" w:hAnsi="Times New Roman" w:cs="Times New Roman"/>
          <w:i/>
          <w:iCs/>
          <w:sz w:val="24"/>
          <w:szCs w:val="24"/>
        </w:rPr>
        <w:t>Qualitative Research in Agriculture</w:t>
      </w:r>
      <w:r w:rsidRPr="00CB436D">
        <w:rPr>
          <w:rFonts w:ascii="Times New Roman" w:hAnsi="Times New Roman" w:cs="Times New Roman"/>
          <w:sz w:val="24"/>
          <w:szCs w:val="24"/>
        </w:rPr>
        <w:t>, 3(2), 77-101.</w:t>
      </w:r>
    </w:p>
    <w:p w14:paraId="0AA4C60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[14] Brooker, R. W., Bennett, A. E., Cong, W. F., Daniell, T. J., George, T. S., Hallett, P. D., &amp; Li, L. (2021). Improving intercropping: A synthesis of research in agronomy, plant physiology and ecology. </w:t>
      </w:r>
      <w:r w:rsidRPr="00CB436D">
        <w:rPr>
          <w:rFonts w:ascii="Times New Roman" w:hAnsi="Times New Roman" w:cs="Times New Roman"/>
          <w:i/>
          <w:iCs/>
          <w:sz w:val="24"/>
          <w:szCs w:val="24"/>
        </w:rPr>
        <w:t>New Phytologist</w:t>
      </w:r>
      <w:r w:rsidRPr="00CB436D">
        <w:rPr>
          <w:rFonts w:ascii="Times New Roman" w:hAnsi="Times New Roman" w:cs="Times New Roman"/>
          <w:sz w:val="24"/>
          <w:szCs w:val="24"/>
        </w:rPr>
        <w:t>, 206(1), 107-117.</w:t>
      </w:r>
    </w:p>
    <w:p w14:paraId="6E4D98D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[15] Maitra, S., Hossain, A., </w:t>
      </w:r>
      <w:proofErr w:type="spellStart"/>
      <w:r w:rsidRPr="00CB436D">
        <w:rPr>
          <w:rFonts w:ascii="Times New Roman" w:hAnsi="Times New Roman" w:cs="Times New Roman"/>
          <w:sz w:val="24"/>
          <w:szCs w:val="24"/>
        </w:rPr>
        <w:t>Brestic</w:t>
      </w:r>
      <w:proofErr w:type="spellEnd"/>
      <w:r w:rsidRPr="00CB436D">
        <w:rPr>
          <w:rFonts w:ascii="Times New Roman" w:hAnsi="Times New Roman" w:cs="Times New Roman"/>
          <w:sz w:val="24"/>
          <w:szCs w:val="24"/>
        </w:rPr>
        <w:t xml:space="preserve">, M., Skalicky, M., </w:t>
      </w:r>
      <w:proofErr w:type="spellStart"/>
      <w:r w:rsidRPr="00CB436D">
        <w:rPr>
          <w:rFonts w:ascii="Times New Roman" w:hAnsi="Times New Roman" w:cs="Times New Roman"/>
          <w:sz w:val="24"/>
          <w:szCs w:val="24"/>
        </w:rPr>
        <w:t>Ondrisik</w:t>
      </w:r>
      <w:proofErr w:type="spellEnd"/>
      <w:r w:rsidRPr="00CB436D">
        <w:rPr>
          <w:rFonts w:ascii="Times New Roman" w:hAnsi="Times New Roman" w:cs="Times New Roman"/>
          <w:sz w:val="24"/>
          <w:szCs w:val="24"/>
        </w:rPr>
        <w:t xml:space="preserve">, P., Gitari, H., &amp; </w:t>
      </w:r>
      <w:proofErr w:type="spellStart"/>
      <w:r w:rsidRPr="00CB436D">
        <w:rPr>
          <w:rFonts w:ascii="Times New Roman" w:hAnsi="Times New Roman" w:cs="Times New Roman"/>
          <w:sz w:val="24"/>
          <w:szCs w:val="24"/>
        </w:rPr>
        <w:t>Palai</w:t>
      </w:r>
      <w:proofErr w:type="spellEnd"/>
      <w:r w:rsidRPr="00CB436D">
        <w:rPr>
          <w:rFonts w:ascii="Times New Roman" w:hAnsi="Times New Roman" w:cs="Times New Roman"/>
          <w:sz w:val="24"/>
          <w:szCs w:val="24"/>
        </w:rPr>
        <w:t xml:space="preserve">, J. B. (2021). Intercropping—A low input agricultural strategy for food and environmental security. </w:t>
      </w:r>
      <w:r w:rsidRPr="00CB436D">
        <w:rPr>
          <w:rFonts w:ascii="Times New Roman" w:hAnsi="Times New Roman" w:cs="Times New Roman"/>
          <w:i/>
          <w:iCs/>
          <w:sz w:val="24"/>
          <w:szCs w:val="24"/>
        </w:rPr>
        <w:t>Agronomy</w:t>
      </w:r>
      <w:r w:rsidRPr="00CB436D">
        <w:rPr>
          <w:rFonts w:ascii="Times New Roman" w:hAnsi="Times New Roman" w:cs="Times New Roman"/>
          <w:sz w:val="24"/>
          <w:szCs w:val="24"/>
        </w:rPr>
        <w:t>, 11(2), 343.</w:t>
      </w:r>
    </w:p>
    <w:p w14:paraId="31EC4C1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[16] Sharma, A. R., Singh, R., Dhyani, S. K., &amp; Dube, R. K. (2020). Agronomic productivity and profitability of diversified rice-based cropping systems in the Indo-Gangetic Plains. </w:t>
      </w:r>
      <w:r w:rsidRPr="00CB436D">
        <w:rPr>
          <w:rFonts w:ascii="Times New Roman" w:hAnsi="Times New Roman" w:cs="Times New Roman"/>
          <w:i/>
          <w:iCs/>
          <w:sz w:val="24"/>
          <w:szCs w:val="24"/>
        </w:rPr>
        <w:t>Experimental Agriculture</w:t>
      </w:r>
      <w:r w:rsidRPr="00CB436D">
        <w:rPr>
          <w:rFonts w:ascii="Times New Roman" w:hAnsi="Times New Roman" w:cs="Times New Roman"/>
          <w:sz w:val="24"/>
          <w:szCs w:val="24"/>
        </w:rPr>
        <w:t>, 56(4), 521-535.</w:t>
      </w:r>
    </w:p>
    <w:p w14:paraId="512FD0D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[17] Dhyani, S. K., </w:t>
      </w:r>
      <w:proofErr w:type="spellStart"/>
      <w:r w:rsidRPr="00CB436D">
        <w:rPr>
          <w:rFonts w:ascii="Times New Roman" w:hAnsi="Times New Roman" w:cs="Times New Roman"/>
          <w:sz w:val="24"/>
          <w:szCs w:val="24"/>
        </w:rPr>
        <w:t>Kareemulla</w:t>
      </w:r>
      <w:proofErr w:type="spellEnd"/>
      <w:r w:rsidRPr="00CB436D">
        <w:rPr>
          <w:rFonts w:ascii="Times New Roman" w:hAnsi="Times New Roman" w:cs="Times New Roman"/>
          <w:sz w:val="24"/>
          <w:szCs w:val="24"/>
        </w:rPr>
        <w:t xml:space="preserve">, K., Ajit, &amp; Handa, A. K. (2019). Agroforestry for increasing farm productivity in water-stressed ecologies of India. </w:t>
      </w:r>
      <w:r w:rsidRPr="00CB436D">
        <w:rPr>
          <w:rFonts w:ascii="Times New Roman" w:hAnsi="Times New Roman" w:cs="Times New Roman"/>
          <w:i/>
          <w:iCs/>
          <w:sz w:val="24"/>
          <w:szCs w:val="24"/>
        </w:rPr>
        <w:t>Indian Journal of Agroforestry</w:t>
      </w:r>
      <w:r w:rsidRPr="00CB436D">
        <w:rPr>
          <w:rFonts w:ascii="Times New Roman" w:hAnsi="Times New Roman" w:cs="Times New Roman"/>
          <w:sz w:val="24"/>
          <w:szCs w:val="24"/>
        </w:rPr>
        <w:t>, 21(1), 1-12.</w:t>
      </w:r>
    </w:p>
    <w:p w14:paraId="326AC0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[18] Lehmann, J., Bossio, D. A., </w:t>
      </w:r>
      <w:proofErr w:type="spellStart"/>
      <w:r w:rsidRPr="00CB436D">
        <w:rPr>
          <w:rFonts w:ascii="Times New Roman" w:hAnsi="Times New Roman" w:cs="Times New Roman"/>
          <w:sz w:val="24"/>
          <w:szCs w:val="24"/>
        </w:rPr>
        <w:t>Kögel-Knabner</w:t>
      </w:r>
      <w:proofErr w:type="spellEnd"/>
      <w:r w:rsidRPr="00CB436D">
        <w:rPr>
          <w:rFonts w:ascii="Times New Roman" w:hAnsi="Times New Roman" w:cs="Times New Roman"/>
          <w:sz w:val="24"/>
          <w:szCs w:val="24"/>
        </w:rPr>
        <w:t xml:space="preserve">, I., &amp; </w:t>
      </w:r>
      <w:proofErr w:type="spellStart"/>
      <w:r w:rsidRPr="00CB436D">
        <w:rPr>
          <w:rFonts w:ascii="Times New Roman" w:hAnsi="Times New Roman" w:cs="Times New Roman"/>
          <w:sz w:val="24"/>
          <w:szCs w:val="24"/>
        </w:rPr>
        <w:t>Rillig</w:t>
      </w:r>
      <w:proofErr w:type="spellEnd"/>
      <w:r w:rsidRPr="00CB436D">
        <w:rPr>
          <w:rFonts w:ascii="Times New Roman" w:hAnsi="Times New Roman" w:cs="Times New Roman"/>
          <w:sz w:val="24"/>
          <w:szCs w:val="24"/>
        </w:rPr>
        <w:t xml:space="preserve">, M. C. (2020). The concept and future prospects of soil health. </w:t>
      </w:r>
      <w:r w:rsidRPr="00CB436D">
        <w:rPr>
          <w:rFonts w:ascii="Times New Roman" w:hAnsi="Times New Roman" w:cs="Times New Roman"/>
          <w:i/>
          <w:iCs/>
          <w:sz w:val="24"/>
          <w:szCs w:val="24"/>
        </w:rPr>
        <w:t>Nature Reviews Earth &amp; Environment</w:t>
      </w:r>
      <w:r w:rsidRPr="00CB436D">
        <w:rPr>
          <w:rFonts w:ascii="Times New Roman" w:hAnsi="Times New Roman" w:cs="Times New Roman"/>
          <w:sz w:val="24"/>
          <w:szCs w:val="24"/>
        </w:rPr>
        <w:t>, 1(10), 544-553.</w:t>
      </w:r>
    </w:p>
    <w:p w14:paraId="445BB8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[19] Meena, R. S., Kumar, S., Datta, R., Lal, R., Vijayakumar, V., Brtnicky, M., &amp; Marfo, T. D. (2020). Impact of agrochemicals on soil microbiota and management: A review. </w:t>
      </w:r>
      <w:r w:rsidRPr="00CB436D">
        <w:rPr>
          <w:rFonts w:ascii="Times New Roman" w:hAnsi="Times New Roman" w:cs="Times New Roman"/>
          <w:i/>
          <w:iCs/>
          <w:sz w:val="24"/>
          <w:szCs w:val="24"/>
        </w:rPr>
        <w:t>Land</w:t>
      </w:r>
      <w:r w:rsidRPr="00CB436D">
        <w:rPr>
          <w:rFonts w:ascii="Times New Roman" w:hAnsi="Times New Roman" w:cs="Times New Roman"/>
          <w:sz w:val="24"/>
          <w:szCs w:val="24"/>
        </w:rPr>
        <w:t>, 9(2), 34.</w:t>
      </w:r>
    </w:p>
    <w:p w14:paraId="0DB815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[20] Pathma, J., &amp; Sakthivel, N. (2022). Microbial diversity of vermicompost bacteria that exhibit useful agricultural traits and waste management potential. </w:t>
      </w:r>
      <w:proofErr w:type="spellStart"/>
      <w:r w:rsidRPr="00CB436D">
        <w:rPr>
          <w:rFonts w:ascii="Times New Roman" w:hAnsi="Times New Roman" w:cs="Times New Roman"/>
          <w:i/>
          <w:iCs/>
          <w:sz w:val="24"/>
          <w:szCs w:val="24"/>
        </w:rPr>
        <w:t>SpringerPlus</w:t>
      </w:r>
      <w:proofErr w:type="spellEnd"/>
      <w:r w:rsidRPr="00CB436D">
        <w:rPr>
          <w:rFonts w:ascii="Times New Roman" w:hAnsi="Times New Roman" w:cs="Times New Roman"/>
          <w:sz w:val="24"/>
          <w:szCs w:val="24"/>
        </w:rPr>
        <w:t>, 1(1), 1-19.</w:t>
      </w:r>
    </w:p>
    <w:p w14:paraId="6A16826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[21] Jat, M. L., Chakraborty, D., Ladha, J. K., Rana, D. S., </w:t>
      </w:r>
      <w:proofErr w:type="spellStart"/>
      <w:r w:rsidRPr="00CB436D">
        <w:rPr>
          <w:rFonts w:ascii="Times New Roman" w:hAnsi="Times New Roman" w:cs="Times New Roman"/>
          <w:sz w:val="24"/>
          <w:szCs w:val="24"/>
        </w:rPr>
        <w:t>Gathala</w:t>
      </w:r>
      <w:proofErr w:type="spellEnd"/>
      <w:r w:rsidRPr="00CB436D">
        <w:rPr>
          <w:rFonts w:ascii="Times New Roman" w:hAnsi="Times New Roman" w:cs="Times New Roman"/>
          <w:sz w:val="24"/>
          <w:szCs w:val="24"/>
        </w:rPr>
        <w:t xml:space="preserve">, M. K., McDonald, A., &amp; Gerard, B. (2020). Conservation agriculture for sustainable intensification in South Asia. </w:t>
      </w:r>
      <w:r w:rsidRPr="00CB436D">
        <w:rPr>
          <w:rFonts w:ascii="Times New Roman" w:hAnsi="Times New Roman" w:cs="Times New Roman"/>
          <w:i/>
          <w:iCs/>
          <w:sz w:val="24"/>
          <w:szCs w:val="24"/>
        </w:rPr>
        <w:t>Nature Sustainability</w:t>
      </w:r>
      <w:r w:rsidRPr="00CB436D">
        <w:rPr>
          <w:rFonts w:ascii="Times New Roman" w:hAnsi="Times New Roman" w:cs="Times New Roman"/>
          <w:sz w:val="24"/>
          <w:szCs w:val="24"/>
        </w:rPr>
        <w:t>, 3(4), 336-343.</w:t>
      </w:r>
    </w:p>
    <w:p w14:paraId="7C95187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[22] </w:t>
      </w:r>
      <w:proofErr w:type="spellStart"/>
      <w:r w:rsidRPr="00CB436D">
        <w:rPr>
          <w:rFonts w:ascii="Times New Roman" w:hAnsi="Times New Roman" w:cs="Times New Roman"/>
          <w:sz w:val="24"/>
          <w:szCs w:val="24"/>
        </w:rPr>
        <w:t>Narayanamoorthy</w:t>
      </w:r>
      <w:proofErr w:type="spellEnd"/>
      <w:r w:rsidRPr="00CB436D">
        <w:rPr>
          <w:rFonts w:ascii="Times New Roman" w:hAnsi="Times New Roman" w:cs="Times New Roman"/>
          <w:sz w:val="24"/>
          <w:szCs w:val="24"/>
        </w:rPr>
        <w:t xml:space="preserve">, A., Bhattarai, M., &amp; Jothi, P. (2021). An assessment of the economic impact of drip irrigation in India: The case of sugarcane. </w:t>
      </w:r>
      <w:r w:rsidRPr="00CB436D">
        <w:rPr>
          <w:rFonts w:ascii="Times New Roman" w:hAnsi="Times New Roman" w:cs="Times New Roman"/>
          <w:i/>
          <w:iCs/>
          <w:sz w:val="24"/>
          <w:szCs w:val="24"/>
        </w:rPr>
        <w:t>Water Policy</w:t>
      </w:r>
      <w:r w:rsidRPr="00CB436D">
        <w:rPr>
          <w:rFonts w:ascii="Times New Roman" w:hAnsi="Times New Roman" w:cs="Times New Roman"/>
          <w:sz w:val="24"/>
          <w:szCs w:val="24"/>
        </w:rPr>
        <w:t>, 23(1), 142-161.</w:t>
      </w:r>
    </w:p>
    <w:p w14:paraId="7ED924E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Reddy, K. S., Kumar, M., Maruthi, V., Umesha, B., Vijayalaxmi, &amp; Rao, K. V. (2020). Farm ponds: A climate resilient technology for rainfed agriculture; Planning, design and construction. ICAR-Central Research Institute for Dryland Agriculture.</w:t>
      </w:r>
    </w:p>
    <w:p w14:paraId="6B6AE79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[24] Kader, M. A., Singha, A., Begum, M. A., Jewel, A., Khan, F. H., &amp; Khan, N. I. (2019). Mulching as water-saving technique in dryland agriculture. </w:t>
      </w:r>
      <w:r w:rsidRPr="00CB436D">
        <w:rPr>
          <w:rFonts w:ascii="Times New Roman" w:hAnsi="Times New Roman" w:cs="Times New Roman"/>
          <w:i/>
          <w:iCs/>
          <w:sz w:val="24"/>
          <w:szCs w:val="24"/>
        </w:rPr>
        <w:t>Bulletin of the National Research Centre</w:t>
      </w:r>
      <w:r w:rsidRPr="00CB436D">
        <w:rPr>
          <w:rFonts w:ascii="Times New Roman" w:hAnsi="Times New Roman" w:cs="Times New Roman"/>
          <w:sz w:val="24"/>
          <w:szCs w:val="24"/>
        </w:rPr>
        <w:t>, 43(1), 1-6.</w:t>
      </w:r>
    </w:p>
    <w:p w14:paraId="7F42CAE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[25] Rao, C. S., Gopinath, K. A., Prasad, J. V. N. S., &amp; Singh, A. K. (2020). Climate resilient rainfed agriculture: Experiences from India. </w:t>
      </w:r>
      <w:r w:rsidRPr="00CB436D">
        <w:rPr>
          <w:rFonts w:ascii="Times New Roman" w:hAnsi="Times New Roman" w:cs="Times New Roman"/>
          <w:i/>
          <w:iCs/>
          <w:sz w:val="24"/>
          <w:szCs w:val="24"/>
        </w:rPr>
        <w:t>Agriculture Research Journal</w:t>
      </w:r>
      <w:r w:rsidRPr="00CB436D">
        <w:rPr>
          <w:rFonts w:ascii="Times New Roman" w:hAnsi="Times New Roman" w:cs="Times New Roman"/>
          <w:sz w:val="24"/>
          <w:szCs w:val="24"/>
        </w:rPr>
        <w:t>, 57(1), 12-25.</w:t>
      </w:r>
    </w:p>
    <w:p w14:paraId="406E7A9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[26] Balzan, M. V., Bocci, G., &amp; Moonen, A. C. (2021). Functional diversity of farmland beneficial insects across agricultural landscapes. </w:t>
      </w:r>
      <w:r w:rsidRPr="00CB436D">
        <w:rPr>
          <w:rFonts w:ascii="Times New Roman" w:hAnsi="Times New Roman" w:cs="Times New Roman"/>
          <w:i/>
          <w:iCs/>
          <w:sz w:val="24"/>
          <w:szCs w:val="24"/>
        </w:rPr>
        <w:t>Agriculture, Ecosystems &amp; Environment</w:t>
      </w:r>
      <w:r w:rsidRPr="00CB436D">
        <w:rPr>
          <w:rFonts w:ascii="Times New Roman" w:hAnsi="Times New Roman" w:cs="Times New Roman"/>
          <w:sz w:val="24"/>
          <w:szCs w:val="24"/>
        </w:rPr>
        <w:t>, 214, 35-44.</w:t>
      </w:r>
    </w:p>
    <w:p w14:paraId="69621D7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[27] Chaudhary, S., Kanwar, R. K., Sehgal, A., Cahill, D. M., Barrow, C. J., Sehgal, R., &amp; Kanwar, J. R. (2020). Progress on </w:t>
      </w:r>
      <w:proofErr w:type="spellStart"/>
      <w:r w:rsidRPr="00CB436D">
        <w:rPr>
          <w:rFonts w:ascii="Times New Roman" w:hAnsi="Times New Roman" w:cs="Times New Roman"/>
          <w:i/>
          <w:iCs/>
          <w:sz w:val="24"/>
          <w:szCs w:val="24"/>
        </w:rPr>
        <w:t>Azadirachta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indica</w:t>
      </w:r>
      <w:proofErr w:type="spellEnd"/>
      <w:r w:rsidRPr="00CB436D">
        <w:rPr>
          <w:rFonts w:ascii="Times New Roman" w:hAnsi="Times New Roman" w:cs="Times New Roman"/>
          <w:sz w:val="24"/>
          <w:szCs w:val="24"/>
        </w:rPr>
        <w:t xml:space="preserve"> based biopesticides in replacing synthetic toxic pesticides. </w:t>
      </w:r>
      <w:r w:rsidRPr="00CB436D">
        <w:rPr>
          <w:rFonts w:ascii="Times New Roman" w:hAnsi="Times New Roman" w:cs="Times New Roman"/>
          <w:i/>
          <w:iCs/>
          <w:sz w:val="24"/>
          <w:szCs w:val="24"/>
        </w:rPr>
        <w:t>Frontiers in Plant Science</w:t>
      </w:r>
      <w:r w:rsidRPr="00CB436D">
        <w:rPr>
          <w:rFonts w:ascii="Times New Roman" w:hAnsi="Times New Roman" w:cs="Times New Roman"/>
          <w:sz w:val="24"/>
          <w:szCs w:val="24"/>
        </w:rPr>
        <w:t>, 8, 610.</w:t>
      </w:r>
    </w:p>
    <w:p w14:paraId="74114EE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[28] Sarkar, S., &amp; Bhattacharyya, A. (2021). Trap cropping: An ecological approach for insect pest management in agricultural crops. </w:t>
      </w:r>
      <w:r w:rsidRPr="00CB436D">
        <w:rPr>
          <w:rFonts w:ascii="Times New Roman" w:hAnsi="Times New Roman" w:cs="Times New Roman"/>
          <w:i/>
          <w:iCs/>
          <w:sz w:val="24"/>
          <w:szCs w:val="24"/>
        </w:rPr>
        <w:t>Journal of Entomology and Zoology Studies</w:t>
      </w:r>
      <w:r w:rsidRPr="00CB436D">
        <w:rPr>
          <w:rFonts w:ascii="Times New Roman" w:hAnsi="Times New Roman" w:cs="Times New Roman"/>
          <w:sz w:val="24"/>
          <w:szCs w:val="24"/>
        </w:rPr>
        <w:t>, 9(1), 494-500.</w:t>
      </w:r>
    </w:p>
    <w:p w14:paraId="570D94C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[29] Witzgall, P., Kirsch, P., &amp; Cork, A. (2019). Sex pheromones and their impact on pest management. </w:t>
      </w:r>
      <w:r w:rsidRPr="00CB436D">
        <w:rPr>
          <w:rFonts w:ascii="Times New Roman" w:hAnsi="Times New Roman" w:cs="Times New Roman"/>
          <w:i/>
          <w:iCs/>
          <w:sz w:val="24"/>
          <w:szCs w:val="24"/>
        </w:rPr>
        <w:t>Journal of Chemical Ecology</w:t>
      </w:r>
      <w:r w:rsidRPr="00CB436D">
        <w:rPr>
          <w:rFonts w:ascii="Times New Roman" w:hAnsi="Times New Roman" w:cs="Times New Roman"/>
          <w:sz w:val="24"/>
          <w:szCs w:val="24"/>
        </w:rPr>
        <w:t>, 36(1), 80-100.</w:t>
      </w:r>
    </w:p>
    <w:p w14:paraId="3F1105B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[30] Yadav, R. S., Singh, V., Pal, S., Meena, S. K., Meena, V. S., Sarma, B. K., &amp; Rakshit, A. (2021). Seed bio-priming of baby corn with native </w:t>
      </w:r>
      <w:r w:rsidRPr="00CB436D">
        <w:rPr>
          <w:rFonts w:ascii="Times New Roman" w:hAnsi="Times New Roman" w:cs="Times New Roman"/>
          <w:i/>
          <w:iCs/>
          <w:sz w:val="24"/>
          <w:szCs w:val="24"/>
        </w:rPr>
        <w:t>Rhizobium</w:t>
      </w:r>
      <w:r w:rsidRPr="00CB436D">
        <w:rPr>
          <w:rFonts w:ascii="Times New Roman" w:hAnsi="Times New Roman" w:cs="Times New Roman"/>
          <w:sz w:val="24"/>
          <w:szCs w:val="24"/>
        </w:rPr>
        <w:t xml:space="preserve"> and plant growth promoting </w:t>
      </w:r>
      <w:r w:rsidRPr="00CB436D">
        <w:rPr>
          <w:rFonts w:ascii="Times New Roman" w:hAnsi="Times New Roman" w:cs="Times New Roman"/>
          <w:sz w:val="24"/>
          <w:szCs w:val="24"/>
        </w:rPr>
        <w:lastRenderedPageBreak/>
        <w:t xml:space="preserve">rhizobacteria for sustainable agricultural production. </w:t>
      </w:r>
      <w:r w:rsidRPr="00CB436D">
        <w:rPr>
          <w:rFonts w:ascii="Times New Roman" w:hAnsi="Times New Roman" w:cs="Times New Roman"/>
          <w:i/>
          <w:iCs/>
          <w:sz w:val="24"/>
          <w:szCs w:val="24"/>
        </w:rPr>
        <w:t>International Journal of Current Microbiology and Applied Sciences</w:t>
      </w:r>
      <w:r w:rsidRPr="00CB436D">
        <w:rPr>
          <w:rFonts w:ascii="Times New Roman" w:hAnsi="Times New Roman" w:cs="Times New Roman"/>
          <w:sz w:val="24"/>
          <w:szCs w:val="24"/>
        </w:rPr>
        <w:t>, 10(3), 1876-1892.</w:t>
      </w:r>
    </w:p>
    <w:p w14:paraId="0B15D1A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[31] Sharma, S. B., Sayyed, R. Z., Trivedi, M. H., &amp; Gobi, T. A. (2019). Phosphate solubilizing microbes: Sustainable approach for managing phosphorus deficiency in agricultural soils. </w:t>
      </w:r>
      <w:proofErr w:type="spellStart"/>
      <w:r w:rsidRPr="00CB436D">
        <w:rPr>
          <w:rFonts w:ascii="Times New Roman" w:hAnsi="Times New Roman" w:cs="Times New Roman"/>
          <w:i/>
          <w:iCs/>
          <w:sz w:val="24"/>
          <w:szCs w:val="24"/>
        </w:rPr>
        <w:t>SpringerPlus</w:t>
      </w:r>
      <w:proofErr w:type="spellEnd"/>
      <w:r w:rsidRPr="00CB436D">
        <w:rPr>
          <w:rFonts w:ascii="Times New Roman" w:hAnsi="Times New Roman" w:cs="Times New Roman"/>
          <w:sz w:val="24"/>
          <w:szCs w:val="24"/>
        </w:rPr>
        <w:t>, 2(1), 1-14.</w:t>
      </w:r>
    </w:p>
    <w:p w14:paraId="5F1954D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[32] Choudhary, M., Datta, A., Jat, H. S., Yadav, A. K., </w:t>
      </w:r>
      <w:proofErr w:type="spellStart"/>
      <w:r w:rsidRPr="00CB436D">
        <w:rPr>
          <w:rFonts w:ascii="Times New Roman" w:hAnsi="Times New Roman" w:cs="Times New Roman"/>
          <w:sz w:val="24"/>
          <w:szCs w:val="24"/>
        </w:rPr>
        <w:t>Gathala</w:t>
      </w:r>
      <w:proofErr w:type="spellEnd"/>
      <w:r w:rsidRPr="00CB436D">
        <w:rPr>
          <w:rFonts w:ascii="Times New Roman" w:hAnsi="Times New Roman" w:cs="Times New Roman"/>
          <w:sz w:val="24"/>
          <w:szCs w:val="24"/>
        </w:rPr>
        <w:t xml:space="preserve">, M. K., Sapkota, T. B., &amp; Ladha, J. K. (2021). Changes in soil biology under conservation agriculture based sustainable intensification of cereal systems in Indo-Gangetic Plains. </w:t>
      </w:r>
      <w:proofErr w:type="spellStart"/>
      <w:r w:rsidRPr="00CB436D">
        <w:rPr>
          <w:rFonts w:ascii="Times New Roman" w:hAnsi="Times New Roman" w:cs="Times New Roman"/>
          <w:i/>
          <w:iCs/>
          <w:sz w:val="24"/>
          <w:szCs w:val="24"/>
        </w:rPr>
        <w:t>Geoderma</w:t>
      </w:r>
      <w:proofErr w:type="spellEnd"/>
      <w:r w:rsidRPr="00CB436D">
        <w:rPr>
          <w:rFonts w:ascii="Times New Roman" w:hAnsi="Times New Roman" w:cs="Times New Roman"/>
          <w:sz w:val="24"/>
          <w:szCs w:val="24"/>
        </w:rPr>
        <w:t>, 313, 193-204.</w:t>
      </w:r>
    </w:p>
    <w:p w14:paraId="69D81C5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[33] Singh, Y., Singh, B., &amp; Timsina, J. (2020). Crop residue management for nutrient cycling and improving soil productivity in rice-based cropping systems in the tropics. </w:t>
      </w:r>
      <w:r w:rsidRPr="00CB436D">
        <w:rPr>
          <w:rFonts w:ascii="Times New Roman" w:hAnsi="Times New Roman" w:cs="Times New Roman"/>
          <w:i/>
          <w:iCs/>
          <w:sz w:val="24"/>
          <w:szCs w:val="24"/>
        </w:rPr>
        <w:t>Advances in Agronomy</w:t>
      </w:r>
      <w:r w:rsidRPr="00CB436D">
        <w:rPr>
          <w:rFonts w:ascii="Times New Roman" w:hAnsi="Times New Roman" w:cs="Times New Roman"/>
          <w:sz w:val="24"/>
          <w:szCs w:val="24"/>
        </w:rPr>
        <w:t>, 85, 269-407.</w:t>
      </w:r>
    </w:p>
    <w:p w14:paraId="22C3E87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[34] Dubey, R., Pathak, H., Chakrabarti, B., Singh, S., Gupta, D. K., &amp; Harit, R. C. (2020). Impact of terminal heat stress on wheat yield in India and options for adaptation. </w:t>
      </w:r>
      <w:r w:rsidRPr="00CB436D">
        <w:rPr>
          <w:rFonts w:ascii="Times New Roman" w:hAnsi="Times New Roman" w:cs="Times New Roman"/>
          <w:i/>
          <w:iCs/>
          <w:sz w:val="24"/>
          <w:szCs w:val="24"/>
        </w:rPr>
        <w:t>Agricultural Systems</w:t>
      </w:r>
      <w:r w:rsidRPr="00CB436D">
        <w:rPr>
          <w:rFonts w:ascii="Times New Roman" w:hAnsi="Times New Roman" w:cs="Times New Roman"/>
          <w:sz w:val="24"/>
          <w:szCs w:val="24"/>
        </w:rPr>
        <w:t>, 181, 102826.</w:t>
      </w:r>
    </w:p>
    <w:p w14:paraId="50BA9D5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[35] Kumar, A., Dixit, S., Ram, T., </w:t>
      </w:r>
      <w:proofErr w:type="spellStart"/>
      <w:r w:rsidRPr="00CB436D">
        <w:rPr>
          <w:rFonts w:ascii="Times New Roman" w:hAnsi="Times New Roman" w:cs="Times New Roman"/>
          <w:sz w:val="24"/>
          <w:szCs w:val="24"/>
        </w:rPr>
        <w:t>Yadaw</w:t>
      </w:r>
      <w:proofErr w:type="spellEnd"/>
      <w:r w:rsidRPr="00CB436D">
        <w:rPr>
          <w:rFonts w:ascii="Times New Roman" w:hAnsi="Times New Roman" w:cs="Times New Roman"/>
          <w:sz w:val="24"/>
          <w:szCs w:val="24"/>
        </w:rPr>
        <w:t xml:space="preserve">, R. B., Mishra, K. K., &amp; Mandal, N. P. (2021). Breeding high-yielding drought-tolerant rice: Genetic variations and conventional and molecular approaches. </w:t>
      </w:r>
      <w:r w:rsidRPr="00CB436D">
        <w:rPr>
          <w:rFonts w:ascii="Times New Roman" w:hAnsi="Times New Roman" w:cs="Times New Roman"/>
          <w:i/>
          <w:iCs/>
          <w:sz w:val="24"/>
          <w:szCs w:val="24"/>
        </w:rPr>
        <w:t>Journal of Experimental Botany</w:t>
      </w:r>
      <w:r w:rsidRPr="00CB436D">
        <w:rPr>
          <w:rFonts w:ascii="Times New Roman" w:hAnsi="Times New Roman" w:cs="Times New Roman"/>
          <w:sz w:val="24"/>
          <w:szCs w:val="24"/>
        </w:rPr>
        <w:t>, 65(21), 6265-6278.</w:t>
      </w:r>
    </w:p>
    <w:p w14:paraId="2232C03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[36] </w:t>
      </w:r>
      <w:proofErr w:type="spellStart"/>
      <w:r w:rsidRPr="00CB436D">
        <w:rPr>
          <w:rFonts w:ascii="Times New Roman" w:hAnsi="Times New Roman" w:cs="Times New Roman"/>
          <w:sz w:val="24"/>
          <w:szCs w:val="24"/>
        </w:rPr>
        <w:t>Newaj</w:t>
      </w:r>
      <w:proofErr w:type="spellEnd"/>
      <w:r w:rsidRPr="00CB436D">
        <w:rPr>
          <w:rFonts w:ascii="Times New Roman" w:hAnsi="Times New Roman" w:cs="Times New Roman"/>
          <w:sz w:val="24"/>
          <w:szCs w:val="24"/>
        </w:rPr>
        <w:t xml:space="preserve">, R., Chaturvedi, O. P., Kumar, D., Rajput, P. S., Yadav, R. P., &amp; Singh, R. (2022). Soil moisture conservation and productivity enhancement through agroforestry in rainfed areas. </w:t>
      </w:r>
      <w:r w:rsidRPr="00CB436D">
        <w:rPr>
          <w:rFonts w:ascii="Times New Roman" w:hAnsi="Times New Roman" w:cs="Times New Roman"/>
          <w:i/>
          <w:iCs/>
          <w:sz w:val="24"/>
          <w:szCs w:val="24"/>
        </w:rPr>
        <w:t>Indian Journal of Soil Conservation</w:t>
      </w:r>
      <w:r w:rsidRPr="00CB436D">
        <w:rPr>
          <w:rFonts w:ascii="Times New Roman" w:hAnsi="Times New Roman" w:cs="Times New Roman"/>
          <w:sz w:val="24"/>
          <w:szCs w:val="24"/>
        </w:rPr>
        <w:t>, 50(1), 45-53.</w:t>
      </w:r>
    </w:p>
    <w:p w14:paraId="1005AF6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[37] Ishfaq, M., Akbar, N., Anjum, S. A., &amp; Anwar-Ijl-Haq, M. (2020). Growth, yield and water productivity of dry direct seeded rice and transplanted aromatic rice under different irrigation management regimes. </w:t>
      </w:r>
      <w:r w:rsidRPr="00CB436D">
        <w:rPr>
          <w:rFonts w:ascii="Times New Roman" w:hAnsi="Times New Roman" w:cs="Times New Roman"/>
          <w:i/>
          <w:iCs/>
          <w:sz w:val="24"/>
          <w:szCs w:val="24"/>
        </w:rPr>
        <w:t>Journal of Integrative Agriculture</w:t>
      </w:r>
      <w:r w:rsidRPr="00CB436D">
        <w:rPr>
          <w:rFonts w:ascii="Times New Roman" w:hAnsi="Times New Roman" w:cs="Times New Roman"/>
          <w:sz w:val="24"/>
          <w:szCs w:val="24"/>
        </w:rPr>
        <w:t>, 19(11), 2656-2673.</w:t>
      </w:r>
    </w:p>
    <w:p w14:paraId="452650E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[38] Panda, D., Mishra, S. S., &amp; Behera, P. K. (2021). Drought tolerance in rice: Focus on recent mechanisms and approaches. </w:t>
      </w:r>
      <w:r w:rsidRPr="00CB436D">
        <w:rPr>
          <w:rFonts w:ascii="Times New Roman" w:hAnsi="Times New Roman" w:cs="Times New Roman"/>
          <w:i/>
          <w:iCs/>
          <w:sz w:val="24"/>
          <w:szCs w:val="24"/>
        </w:rPr>
        <w:t>Rice Science</w:t>
      </w:r>
      <w:r w:rsidRPr="00CB436D">
        <w:rPr>
          <w:rFonts w:ascii="Times New Roman" w:hAnsi="Times New Roman" w:cs="Times New Roman"/>
          <w:sz w:val="24"/>
          <w:szCs w:val="24"/>
        </w:rPr>
        <w:t>, 28(2), 119-132.</w:t>
      </w:r>
    </w:p>
    <w:p w14:paraId="69FA123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[39] Garibaldi, L. A., Carvalheiro, L. G., </w:t>
      </w:r>
      <w:proofErr w:type="spellStart"/>
      <w:r w:rsidRPr="00CB436D">
        <w:rPr>
          <w:rFonts w:ascii="Times New Roman" w:hAnsi="Times New Roman" w:cs="Times New Roman"/>
          <w:sz w:val="24"/>
          <w:szCs w:val="24"/>
        </w:rPr>
        <w:t>Vaissière</w:t>
      </w:r>
      <w:proofErr w:type="spellEnd"/>
      <w:r w:rsidRPr="00CB436D">
        <w:rPr>
          <w:rFonts w:ascii="Times New Roman" w:hAnsi="Times New Roman" w:cs="Times New Roman"/>
          <w:sz w:val="24"/>
          <w:szCs w:val="24"/>
        </w:rPr>
        <w:t xml:space="preserve">, B. E., Gemmill-Herren, B., Hipólito, J., Freitas, B. M., &amp; Zhang, H. (2019). Mutually beneficial pollinator diversity and crop yield outcomes in small and large farms. </w:t>
      </w:r>
      <w:r w:rsidRPr="00CB436D">
        <w:rPr>
          <w:rFonts w:ascii="Times New Roman" w:hAnsi="Times New Roman" w:cs="Times New Roman"/>
          <w:i/>
          <w:iCs/>
          <w:sz w:val="24"/>
          <w:szCs w:val="24"/>
        </w:rPr>
        <w:t>Science</w:t>
      </w:r>
      <w:r w:rsidRPr="00CB436D">
        <w:rPr>
          <w:rFonts w:ascii="Times New Roman" w:hAnsi="Times New Roman" w:cs="Times New Roman"/>
          <w:sz w:val="24"/>
          <w:szCs w:val="24"/>
        </w:rPr>
        <w:t>, 351(6271), 388-391.</w:t>
      </w:r>
    </w:p>
    <w:p w14:paraId="3998DA1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[40] </w:t>
      </w:r>
      <w:proofErr w:type="spellStart"/>
      <w:r w:rsidRPr="00CB436D">
        <w:rPr>
          <w:rFonts w:ascii="Times New Roman" w:hAnsi="Times New Roman" w:cs="Times New Roman"/>
          <w:sz w:val="24"/>
          <w:szCs w:val="24"/>
        </w:rPr>
        <w:t>Bhadauria</w:t>
      </w:r>
      <w:proofErr w:type="spellEnd"/>
      <w:r w:rsidRPr="00CB436D">
        <w:rPr>
          <w:rFonts w:ascii="Times New Roman" w:hAnsi="Times New Roman" w:cs="Times New Roman"/>
          <w:sz w:val="24"/>
          <w:szCs w:val="24"/>
        </w:rPr>
        <w:t xml:space="preserve">, T., Kumar, P., </w:t>
      </w:r>
      <w:proofErr w:type="spellStart"/>
      <w:r w:rsidRPr="00CB436D">
        <w:rPr>
          <w:rFonts w:ascii="Times New Roman" w:hAnsi="Times New Roman" w:cs="Times New Roman"/>
          <w:sz w:val="24"/>
          <w:szCs w:val="24"/>
        </w:rPr>
        <w:t>Maikhuri</w:t>
      </w:r>
      <w:proofErr w:type="spellEnd"/>
      <w:r w:rsidRPr="00CB436D">
        <w:rPr>
          <w:rFonts w:ascii="Times New Roman" w:hAnsi="Times New Roman" w:cs="Times New Roman"/>
          <w:sz w:val="24"/>
          <w:szCs w:val="24"/>
        </w:rPr>
        <w:t xml:space="preserve">, R., &amp; Saxena, K. G. (2020). Effect of shifting cultivation on earthworm population and soil properties in Northeast India. </w:t>
      </w:r>
      <w:r w:rsidRPr="00CB436D">
        <w:rPr>
          <w:rFonts w:ascii="Times New Roman" w:hAnsi="Times New Roman" w:cs="Times New Roman"/>
          <w:i/>
          <w:iCs/>
          <w:sz w:val="24"/>
          <w:szCs w:val="24"/>
        </w:rPr>
        <w:t>Journal of Environmental Biology</w:t>
      </w:r>
      <w:r w:rsidRPr="00CB436D">
        <w:rPr>
          <w:rFonts w:ascii="Times New Roman" w:hAnsi="Times New Roman" w:cs="Times New Roman"/>
          <w:sz w:val="24"/>
          <w:szCs w:val="24"/>
        </w:rPr>
        <w:t>, 41(3), 476-483.</w:t>
      </w:r>
    </w:p>
    <w:p w14:paraId="37F25FB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[41] Jose, S., &amp; Bardhan, S. (2022). Agroforestry for conserving and enhancing biodiversity. </w:t>
      </w:r>
      <w:r w:rsidRPr="00CB436D">
        <w:rPr>
          <w:rFonts w:ascii="Times New Roman" w:hAnsi="Times New Roman" w:cs="Times New Roman"/>
          <w:i/>
          <w:iCs/>
          <w:sz w:val="24"/>
          <w:szCs w:val="24"/>
        </w:rPr>
        <w:t>Agroforestry Systems</w:t>
      </w:r>
      <w:r w:rsidRPr="00CB436D">
        <w:rPr>
          <w:rFonts w:ascii="Times New Roman" w:hAnsi="Times New Roman" w:cs="Times New Roman"/>
          <w:sz w:val="24"/>
          <w:szCs w:val="24"/>
        </w:rPr>
        <w:t>, 85(1), 1-8.</w:t>
      </w:r>
    </w:p>
    <w:p w14:paraId="684FE4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[42] Panneerselvam, P., Halberg, N., Vaarst, M., &amp; Hermansen, J. E. (2021). Indian farmers' experience with and perceptions of organic farming. </w:t>
      </w:r>
      <w:r w:rsidRPr="00CB436D">
        <w:rPr>
          <w:rFonts w:ascii="Times New Roman" w:hAnsi="Times New Roman" w:cs="Times New Roman"/>
          <w:i/>
          <w:iCs/>
          <w:sz w:val="24"/>
          <w:szCs w:val="24"/>
        </w:rPr>
        <w:t>Renewable Agriculture and Food Systems</w:t>
      </w:r>
      <w:r w:rsidRPr="00CB436D">
        <w:rPr>
          <w:rFonts w:ascii="Times New Roman" w:hAnsi="Times New Roman" w:cs="Times New Roman"/>
          <w:sz w:val="24"/>
          <w:szCs w:val="24"/>
        </w:rPr>
        <w:t>, 27(2), 157-169.</w:t>
      </w:r>
    </w:p>
    <w:p w14:paraId="5BF4382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[43] Trebbin, A., &amp; Hassler, M. (2020). Farmers' producer companies in India: A new concept for collective action? </w:t>
      </w:r>
      <w:r w:rsidRPr="00CB436D">
        <w:rPr>
          <w:rFonts w:ascii="Times New Roman" w:hAnsi="Times New Roman" w:cs="Times New Roman"/>
          <w:i/>
          <w:iCs/>
          <w:sz w:val="24"/>
          <w:szCs w:val="24"/>
        </w:rPr>
        <w:t>Environment and Planning A</w:t>
      </w:r>
      <w:r w:rsidRPr="00CB436D">
        <w:rPr>
          <w:rFonts w:ascii="Times New Roman" w:hAnsi="Times New Roman" w:cs="Times New Roman"/>
          <w:sz w:val="24"/>
          <w:szCs w:val="24"/>
        </w:rPr>
        <w:t>, 44(2), 411-427.</w:t>
      </w:r>
    </w:p>
    <w:p w14:paraId="431A0B6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[44] Lal, R. (2020). Soil carbon sequestration to mitigate climate change and food security. </w:t>
      </w:r>
      <w:proofErr w:type="spellStart"/>
      <w:r w:rsidRPr="00CB436D">
        <w:rPr>
          <w:rFonts w:ascii="Times New Roman" w:hAnsi="Times New Roman" w:cs="Times New Roman"/>
          <w:i/>
          <w:iCs/>
          <w:sz w:val="24"/>
          <w:szCs w:val="24"/>
        </w:rPr>
        <w:t>Geoderma</w:t>
      </w:r>
      <w:proofErr w:type="spellEnd"/>
      <w:r w:rsidRPr="00CB436D">
        <w:rPr>
          <w:rFonts w:ascii="Times New Roman" w:hAnsi="Times New Roman" w:cs="Times New Roman"/>
          <w:sz w:val="24"/>
          <w:szCs w:val="24"/>
        </w:rPr>
        <w:t>, 123(1-2), 1-22.</w:t>
      </w:r>
    </w:p>
    <w:p w14:paraId="593437D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[45] </w:t>
      </w:r>
      <w:proofErr w:type="spellStart"/>
      <w:r w:rsidRPr="00CB436D">
        <w:rPr>
          <w:rFonts w:ascii="Times New Roman" w:hAnsi="Times New Roman" w:cs="Times New Roman"/>
          <w:sz w:val="24"/>
          <w:szCs w:val="24"/>
        </w:rPr>
        <w:t>Birthal</w:t>
      </w:r>
      <w:proofErr w:type="spellEnd"/>
      <w:r w:rsidRPr="00CB436D">
        <w:rPr>
          <w:rFonts w:ascii="Times New Roman" w:hAnsi="Times New Roman" w:cs="Times New Roman"/>
          <w:sz w:val="24"/>
          <w:szCs w:val="24"/>
        </w:rPr>
        <w:t xml:space="preserve">, P. S., Jha, A. K., Tiongco, M. M., &amp; </w:t>
      </w:r>
      <w:proofErr w:type="spellStart"/>
      <w:r w:rsidRPr="00CB436D">
        <w:rPr>
          <w:rFonts w:ascii="Times New Roman" w:hAnsi="Times New Roman" w:cs="Times New Roman"/>
          <w:sz w:val="24"/>
          <w:szCs w:val="24"/>
        </w:rPr>
        <w:t>Narrod</w:t>
      </w:r>
      <w:proofErr w:type="spellEnd"/>
      <w:r w:rsidRPr="00CB436D">
        <w:rPr>
          <w:rFonts w:ascii="Times New Roman" w:hAnsi="Times New Roman" w:cs="Times New Roman"/>
          <w:sz w:val="24"/>
          <w:szCs w:val="24"/>
        </w:rPr>
        <w:t>, C. (2019). Improving farm-to-market linkages through contract farming: A case study of smallholder dairying in India. IFPRI Discussion Paper No. 814.</w:t>
      </w:r>
    </w:p>
    <w:p w14:paraId="434F59F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[46] Prasad, Y. G., Maheswari, M., Dixit, S., Srinivasarao, C., Sikka, A. K., </w:t>
      </w:r>
      <w:proofErr w:type="spellStart"/>
      <w:r w:rsidRPr="00CB436D">
        <w:rPr>
          <w:rFonts w:ascii="Times New Roman" w:hAnsi="Times New Roman" w:cs="Times New Roman"/>
          <w:sz w:val="24"/>
          <w:szCs w:val="24"/>
        </w:rPr>
        <w:t>Venkateswarlu</w:t>
      </w:r>
      <w:proofErr w:type="spellEnd"/>
      <w:r w:rsidRPr="00CB436D">
        <w:rPr>
          <w:rFonts w:ascii="Times New Roman" w:hAnsi="Times New Roman" w:cs="Times New Roman"/>
          <w:sz w:val="24"/>
          <w:szCs w:val="24"/>
        </w:rPr>
        <w:t>, B., &amp; Bhaskar, S. (2021). Smart practices and technologies for climate resilient agriculture. Central Research Institute for Dryland Agriculture.</w:t>
      </w:r>
    </w:p>
    <w:p w14:paraId="563B6CA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[47] Mancini, F., Van Bruggen, A. H., </w:t>
      </w:r>
      <w:proofErr w:type="spellStart"/>
      <w:r w:rsidRPr="00CB436D">
        <w:rPr>
          <w:rFonts w:ascii="Times New Roman" w:hAnsi="Times New Roman" w:cs="Times New Roman"/>
          <w:sz w:val="24"/>
          <w:szCs w:val="24"/>
        </w:rPr>
        <w:t>Jiggins</w:t>
      </w:r>
      <w:proofErr w:type="spellEnd"/>
      <w:r w:rsidRPr="00CB436D">
        <w:rPr>
          <w:rFonts w:ascii="Times New Roman" w:hAnsi="Times New Roman" w:cs="Times New Roman"/>
          <w:sz w:val="24"/>
          <w:szCs w:val="24"/>
        </w:rPr>
        <w:t xml:space="preserve">, J. L., </w:t>
      </w:r>
      <w:proofErr w:type="spellStart"/>
      <w:r w:rsidRPr="00CB436D">
        <w:rPr>
          <w:rFonts w:ascii="Times New Roman" w:hAnsi="Times New Roman" w:cs="Times New Roman"/>
          <w:sz w:val="24"/>
          <w:szCs w:val="24"/>
        </w:rPr>
        <w:t>Ambatipudi</w:t>
      </w:r>
      <w:proofErr w:type="spellEnd"/>
      <w:r w:rsidRPr="00CB436D">
        <w:rPr>
          <w:rFonts w:ascii="Times New Roman" w:hAnsi="Times New Roman" w:cs="Times New Roman"/>
          <w:sz w:val="24"/>
          <w:szCs w:val="24"/>
        </w:rPr>
        <w:t xml:space="preserve">, A. C., &amp; Murphy, H. (2020). Acute pesticide poisoning among female and male cotton growers in India. </w:t>
      </w:r>
      <w:r w:rsidRPr="00CB436D">
        <w:rPr>
          <w:rFonts w:ascii="Times New Roman" w:hAnsi="Times New Roman" w:cs="Times New Roman"/>
          <w:i/>
          <w:iCs/>
          <w:sz w:val="24"/>
          <w:szCs w:val="24"/>
        </w:rPr>
        <w:t>International Journal of Occupational and Environmental Health</w:t>
      </w:r>
      <w:r w:rsidRPr="00CB436D">
        <w:rPr>
          <w:rFonts w:ascii="Times New Roman" w:hAnsi="Times New Roman" w:cs="Times New Roman"/>
          <w:sz w:val="24"/>
          <w:szCs w:val="24"/>
        </w:rPr>
        <w:t>, 11(3), 221-232.</w:t>
      </w:r>
    </w:p>
    <w:p w14:paraId="40C3987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[48] </w:t>
      </w:r>
      <w:proofErr w:type="spellStart"/>
      <w:r w:rsidRPr="00CB436D">
        <w:rPr>
          <w:rFonts w:ascii="Times New Roman" w:hAnsi="Times New Roman" w:cs="Times New Roman"/>
          <w:sz w:val="24"/>
          <w:szCs w:val="24"/>
        </w:rPr>
        <w:t>Tittonell</w:t>
      </w:r>
      <w:proofErr w:type="spellEnd"/>
      <w:r w:rsidRPr="00CB436D">
        <w:rPr>
          <w:rFonts w:ascii="Times New Roman" w:hAnsi="Times New Roman" w:cs="Times New Roman"/>
          <w:sz w:val="24"/>
          <w:szCs w:val="24"/>
        </w:rPr>
        <w:t xml:space="preserve">, P. (2020). Ecological intensification of agriculture—sustainable by nature. </w:t>
      </w:r>
      <w:r w:rsidRPr="00CB436D">
        <w:rPr>
          <w:rFonts w:ascii="Times New Roman" w:hAnsi="Times New Roman" w:cs="Times New Roman"/>
          <w:i/>
          <w:iCs/>
          <w:sz w:val="24"/>
          <w:szCs w:val="24"/>
        </w:rPr>
        <w:t>Current Opinion in Environmental Sustainability</w:t>
      </w:r>
      <w:r w:rsidRPr="00CB436D">
        <w:rPr>
          <w:rFonts w:ascii="Times New Roman" w:hAnsi="Times New Roman" w:cs="Times New Roman"/>
          <w:sz w:val="24"/>
          <w:szCs w:val="24"/>
        </w:rPr>
        <w:t>, 8, 53-61.</w:t>
      </w:r>
    </w:p>
    <w:p w14:paraId="2ABD9CC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[49] Kumar, P., Joshi, P. K., &amp; </w:t>
      </w:r>
      <w:proofErr w:type="spellStart"/>
      <w:r w:rsidRPr="00CB436D">
        <w:rPr>
          <w:rFonts w:ascii="Times New Roman" w:hAnsi="Times New Roman" w:cs="Times New Roman"/>
          <w:sz w:val="24"/>
          <w:szCs w:val="24"/>
        </w:rPr>
        <w:t>Birthal</w:t>
      </w:r>
      <w:proofErr w:type="spellEnd"/>
      <w:r w:rsidRPr="00CB436D">
        <w:rPr>
          <w:rFonts w:ascii="Times New Roman" w:hAnsi="Times New Roman" w:cs="Times New Roman"/>
          <w:sz w:val="24"/>
          <w:szCs w:val="24"/>
        </w:rPr>
        <w:t xml:space="preserve">, P. S. (2019). Changing consumption patterns and roles of pulses in nutrition and food security in India. </w:t>
      </w:r>
      <w:r w:rsidRPr="00CB436D">
        <w:rPr>
          <w:rFonts w:ascii="Times New Roman" w:hAnsi="Times New Roman" w:cs="Times New Roman"/>
          <w:i/>
          <w:iCs/>
          <w:sz w:val="24"/>
          <w:szCs w:val="24"/>
        </w:rPr>
        <w:t>Agricultural Economics Research Review</w:t>
      </w:r>
      <w:r w:rsidRPr="00CB436D">
        <w:rPr>
          <w:rFonts w:ascii="Times New Roman" w:hAnsi="Times New Roman" w:cs="Times New Roman"/>
          <w:sz w:val="24"/>
          <w:szCs w:val="24"/>
        </w:rPr>
        <w:t>, 32(1), 11-24.</w:t>
      </w:r>
    </w:p>
    <w:p w14:paraId="4734159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[50] Klerkx, L., Jakku, E., &amp; Labarthe, P. (2019). A review of social science on digital agriculture, smart farming and agriculture 4.0: New contributions and a future research agenda. </w:t>
      </w:r>
      <w:r w:rsidRPr="00CB436D">
        <w:rPr>
          <w:rFonts w:ascii="Times New Roman" w:hAnsi="Times New Roman" w:cs="Times New Roman"/>
          <w:i/>
          <w:iCs/>
          <w:sz w:val="24"/>
          <w:szCs w:val="24"/>
        </w:rPr>
        <w:t>NJAS-Wageningen Journal of Life Sciences</w:t>
      </w:r>
      <w:r w:rsidRPr="00CB436D">
        <w:rPr>
          <w:rFonts w:ascii="Times New Roman" w:hAnsi="Times New Roman" w:cs="Times New Roman"/>
          <w:sz w:val="24"/>
          <w:szCs w:val="24"/>
        </w:rPr>
        <w:t>, 90, 100315.</w:t>
      </w:r>
    </w:p>
    <w:p w14:paraId="342D54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[51] Jarvis, A., Ramirez-Villegas, J., Campo, B. V. H., &amp; Navarro-Racines, C. (2021). Is cassava the answer to African climate change adaptation? </w:t>
      </w:r>
      <w:r w:rsidRPr="00CB436D">
        <w:rPr>
          <w:rFonts w:ascii="Times New Roman" w:hAnsi="Times New Roman" w:cs="Times New Roman"/>
          <w:i/>
          <w:iCs/>
          <w:sz w:val="24"/>
          <w:szCs w:val="24"/>
        </w:rPr>
        <w:t>Tropical Plant Biology</w:t>
      </w:r>
      <w:r w:rsidRPr="00CB436D">
        <w:rPr>
          <w:rFonts w:ascii="Times New Roman" w:hAnsi="Times New Roman" w:cs="Times New Roman"/>
          <w:sz w:val="24"/>
          <w:szCs w:val="24"/>
        </w:rPr>
        <w:t>, 5(1), 9-29.</w:t>
      </w:r>
    </w:p>
    <w:p w14:paraId="4A1D8AA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[52] Wezel, A., Goette, J., Lagneaux, E., </w:t>
      </w:r>
      <w:proofErr w:type="spellStart"/>
      <w:r w:rsidRPr="00CB436D">
        <w:rPr>
          <w:rFonts w:ascii="Times New Roman" w:hAnsi="Times New Roman" w:cs="Times New Roman"/>
          <w:sz w:val="24"/>
          <w:szCs w:val="24"/>
        </w:rPr>
        <w:t>Passuello</w:t>
      </w:r>
      <w:proofErr w:type="spellEnd"/>
      <w:r w:rsidRPr="00CB436D">
        <w:rPr>
          <w:rFonts w:ascii="Times New Roman" w:hAnsi="Times New Roman" w:cs="Times New Roman"/>
          <w:sz w:val="24"/>
          <w:szCs w:val="24"/>
        </w:rPr>
        <w:t xml:space="preserve">, G., Reisman, E., Rodier, C., &amp; Turpin, G. (2018). Agroecology in Europe: Research, education, collective action networks, and alternative food systems. </w:t>
      </w:r>
      <w:r w:rsidRPr="00CB436D">
        <w:rPr>
          <w:rFonts w:ascii="Times New Roman" w:hAnsi="Times New Roman" w:cs="Times New Roman"/>
          <w:i/>
          <w:iCs/>
          <w:sz w:val="24"/>
          <w:szCs w:val="24"/>
        </w:rPr>
        <w:t>Sustainability</w:t>
      </w:r>
      <w:r w:rsidRPr="00CB436D">
        <w:rPr>
          <w:rFonts w:ascii="Times New Roman" w:hAnsi="Times New Roman" w:cs="Times New Roman"/>
          <w:sz w:val="24"/>
          <w:szCs w:val="24"/>
        </w:rPr>
        <w:t>, 10(4), 1214.</w:t>
      </w:r>
    </w:p>
    <w:p w14:paraId="6A5D503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[53] </w:t>
      </w:r>
      <w:proofErr w:type="spellStart"/>
      <w:r w:rsidRPr="00CB436D">
        <w:rPr>
          <w:rFonts w:ascii="Times New Roman" w:hAnsi="Times New Roman" w:cs="Times New Roman"/>
          <w:sz w:val="24"/>
          <w:szCs w:val="24"/>
        </w:rPr>
        <w:t>Coolsaet</w:t>
      </w:r>
      <w:proofErr w:type="spellEnd"/>
      <w:r w:rsidRPr="00CB436D">
        <w:rPr>
          <w:rFonts w:ascii="Times New Roman" w:hAnsi="Times New Roman" w:cs="Times New Roman"/>
          <w:sz w:val="24"/>
          <w:szCs w:val="24"/>
        </w:rPr>
        <w:t xml:space="preserve">, B. (2020). Towards an agroecology of knowledges: Recognition, cognitive justice and farmers' autonomy in France. </w:t>
      </w:r>
      <w:r w:rsidRPr="00CB436D">
        <w:rPr>
          <w:rFonts w:ascii="Times New Roman" w:hAnsi="Times New Roman" w:cs="Times New Roman"/>
          <w:i/>
          <w:iCs/>
          <w:sz w:val="24"/>
          <w:szCs w:val="24"/>
        </w:rPr>
        <w:t>Journal of Rural Studies</w:t>
      </w:r>
      <w:r w:rsidRPr="00CB436D">
        <w:rPr>
          <w:rFonts w:ascii="Times New Roman" w:hAnsi="Times New Roman" w:cs="Times New Roman"/>
          <w:sz w:val="24"/>
          <w:szCs w:val="24"/>
        </w:rPr>
        <w:t>, 47, 165-171.</w:t>
      </w:r>
    </w:p>
    <w:p w14:paraId="18DAE0CA" w14:textId="77777777" w:rsidR="0022155B" w:rsidRPr="0022155B" w:rsidRDefault="0022155B" w:rsidP="00CB436D">
      <w:pPr>
        <w:jc w:val="both"/>
        <w:rPr>
          <w:rFonts w:ascii="Times New Roman" w:hAnsi="Times New Roman" w:cs="Times New Roman"/>
          <w:sz w:val="24"/>
          <w:szCs w:val="24"/>
        </w:rPr>
      </w:pPr>
    </w:p>
    <w:sectPr w:rsidR="0022155B" w:rsidRPr="0022155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7825B" w14:textId="77777777" w:rsidR="00AB691E" w:rsidRDefault="00AB691E" w:rsidP="00F8458E">
      <w:pPr>
        <w:spacing w:after="0" w:line="240" w:lineRule="auto"/>
      </w:pPr>
      <w:r>
        <w:separator/>
      </w:r>
    </w:p>
  </w:endnote>
  <w:endnote w:type="continuationSeparator" w:id="0">
    <w:p w14:paraId="1ACD7A0F" w14:textId="77777777" w:rsidR="00AB691E" w:rsidRDefault="00AB691E" w:rsidP="00F8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D4BC7" w14:textId="77777777" w:rsidR="00F8458E" w:rsidRDefault="00F84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3E674" w14:textId="77777777" w:rsidR="00F8458E" w:rsidRDefault="00F84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76ED" w14:textId="77777777" w:rsidR="00F8458E" w:rsidRDefault="00F84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4F7E4" w14:textId="77777777" w:rsidR="00AB691E" w:rsidRDefault="00AB691E" w:rsidP="00F8458E">
      <w:pPr>
        <w:spacing w:after="0" w:line="240" w:lineRule="auto"/>
      </w:pPr>
      <w:r>
        <w:separator/>
      </w:r>
    </w:p>
  </w:footnote>
  <w:footnote w:type="continuationSeparator" w:id="0">
    <w:p w14:paraId="5FC5FC4B" w14:textId="77777777" w:rsidR="00AB691E" w:rsidRDefault="00AB691E" w:rsidP="00F84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4E3D8" w14:textId="78C6CDFA" w:rsidR="00F8458E" w:rsidRDefault="00F8458E">
    <w:pPr>
      <w:pStyle w:val="Header"/>
    </w:pPr>
    <w:r>
      <w:rPr>
        <w:noProof/>
      </w:rPr>
      <w:pict w14:anchorId="4082E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5B64" w14:textId="53F52458" w:rsidR="00F8458E" w:rsidRDefault="00F8458E">
    <w:pPr>
      <w:pStyle w:val="Header"/>
    </w:pPr>
    <w:r>
      <w:rPr>
        <w:noProof/>
      </w:rPr>
      <w:pict w14:anchorId="5AA70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92F3" w14:textId="43C6EED9" w:rsidR="00F8458E" w:rsidRDefault="00F8458E">
    <w:pPr>
      <w:pStyle w:val="Header"/>
    </w:pPr>
    <w:r>
      <w:rPr>
        <w:noProof/>
      </w:rPr>
      <w:pict w14:anchorId="178AD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83071"/>
    <w:rsid w:val="00172C50"/>
    <w:rsid w:val="001D0A8C"/>
    <w:rsid w:val="001D5C19"/>
    <w:rsid w:val="001F173C"/>
    <w:rsid w:val="0022155B"/>
    <w:rsid w:val="00241107"/>
    <w:rsid w:val="00247B9F"/>
    <w:rsid w:val="0032155B"/>
    <w:rsid w:val="00330932"/>
    <w:rsid w:val="00391A6A"/>
    <w:rsid w:val="005768AA"/>
    <w:rsid w:val="005A5785"/>
    <w:rsid w:val="005D0259"/>
    <w:rsid w:val="005E72E8"/>
    <w:rsid w:val="006B3A43"/>
    <w:rsid w:val="006B42FD"/>
    <w:rsid w:val="007316BA"/>
    <w:rsid w:val="00755A9F"/>
    <w:rsid w:val="0079339C"/>
    <w:rsid w:val="00850C44"/>
    <w:rsid w:val="008A7EB0"/>
    <w:rsid w:val="0096095D"/>
    <w:rsid w:val="009C0C38"/>
    <w:rsid w:val="009D718B"/>
    <w:rsid w:val="009F267E"/>
    <w:rsid w:val="00A25762"/>
    <w:rsid w:val="00A4239E"/>
    <w:rsid w:val="00A45170"/>
    <w:rsid w:val="00A660F0"/>
    <w:rsid w:val="00A96A8B"/>
    <w:rsid w:val="00AB691E"/>
    <w:rsid w:val="00AD33E5"/>
    <w:rsid w:val="00B54C17"/>
    <w:rsid w:val="00B617BD"/>
    <w:rsid w:val="00BB1302"/>
    <w:rsid w:val="00BF421B"/>
    <w:rsid w:val="00C212C0"/>
    <w:rsid w:val="00C65C2E"/>
    <w:rsid w:val="00CB436D"/>
    <w:rsid w:val="00CD7438"/>
    <w:rsid w:val="00D13EB7"/>
    <w:rsid w:val="00D21F49"/>
    <w:rsid w:val="00D65EFE"/>
    <w:rsid w:val="00DF71DA"/>
    <w:rsid w:val="00E32437"/>
    <w:rsid w:val="00E77526"/>
    <w:rsid w:val="00EA6A8E"/>
    <w:rsid w:val="00EB5187"/>
    <w:rsid w:val="00F32B76"/>
    <w:rsid w:val="00F8458E"/>
    <w:rsid w:val="00F92B23"/>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DE4291"/>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CB43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CB436D"/>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F267E"/>
    <w:rPr>
      <w:color w:val="605E5C"/>
      <w:shd w:val="clear" w:color="auto" w:fill="E1DFDD"/>
    </w:rPr>
  </w:style>
  <w:style w:type="paragraph" w:styleId="Header">
    <w:name w:val="header"/>
    <w:basedOn w:val="Normal"/>
    <w:link w:val="HeaderChar"/>
    <w:uiPriority w:val="99"/>
    <w:unhideWhenUsed/>
    <w:rsid w:val="00F84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58E"/>
  </w:style>
  <w:style w:type="paragraph" w:styleId="Footer">
    <w:name w:val="footer"/>
    <w:basedOn w:val="Normal"/>
    <w:link w:val="FooterChar"/>
    <w:uiPriority w:val="99"/>
    <w:unhideWhenUsed/>
    <w:rsid w:val="00F84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151555702">
      <w:bodyDiv w:val="1"/>
      <w:marLeft w:val="0"/>
      <w:marRight w:val="0"/>
      <w:marTop w:val="0"/>
      <w:marBottom w:val="0"/>
      <w:divBdr>
        <w:top w:val="none" w:sz="0" w:space="0" w:color="auto"/>
        <w:left w:val="none" w:sz="0" w:space="0" w:color="auto"/>
        <w:bottom w:val="none" w:sz="0" w:space="0" w:color="auto"/>
        <w:right w:val="none" w:sz="0" w:space="0" w:color="auto"/>
      </w:divBdr>
      <w:divsChild>
        <w:div w:id="1383748399">
          <w:marLeft w:val="0"/>
          <w:marRight w:val="0"/>
          <w:marTop w:val="0"/>
          <w:marBottom w:val="0"/>
          <w:divBdr>
            <w:top w:val="none" w:sz="0" w:space="0" w:color="auto"/>
            <w:left w:val="none" w:sz="0" w:space="0" w:color="auto"/>
            <w:bottom w:val="none" w:sz="0" w:space="0" w:color="auto"/>
            <w:right w:val="none" w:sz="0" w:space="0" w:color="auto"/>
          </w:divBdr>
          <w:divsChild>
            <w:div w:id="10826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03207106">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18</Pages>
  <Words>5393</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42</cp:revision>
  <dcterms:created xsi:type="dcterms:W3CDTF">2025-03-30T16:47:00Z</dcterms:created>
  <dcterms:modified xsi:type="dcterms:W3CDTF">2025-10-03T11:41:00Z</dcterms:modified>
</cp:coreProperties>
</file>