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5C20C" w14:textId="77777777" w:rsidR="00783253" w:rsidRDefault="00783253" w:rsidP="006E7C63">
      <w:pPr>
        <w:spacing w:after="0" w:line="259" w:lineRule="auto"/>
        <w:ind w:left="-180" w:right="102" w:firstLine="0"/>
        <w:jc w:val="center"/>
        <w:rPr>
          <w:b/>
          <w:bCs/>
          <w:sz w:val="36"/>
          <w:szCs w:val="36"/>
        </w:rPr>
      </w:pPr>
      <w:bookmarkStart w:id="0" w:name="_Hlk209530337"/>
      <w:bookmarkStart w:id="1" w:name="_Hlk209691110"/>
      <w:bookmarkEnd w:id="0"/>
      <w:r w:rsidRPr="00783253">
        <w:rPr>
          <w:b/>
          <w:bCs/>
          <w:sz w:val="36"/>
          <w:szCs w:val="36"/>
        </w:rPr>
        <w:t>Original Research Article</w:t>
      </w:r>
    </w:p>
    <w:p w14:paraId="729A62D0" w14:textId="77777777" w:rsidR="00783253" w:rsidRDefault="00783253" w:rsidP="006E7C63">
      <w:pPr>
        <w:spacing w:after="0" w:line="259" w:lineRule="auto"/>
        <w:ind w:left="-180" w:right="102" w:firstLine="0"/>
        <w:jc w:val="center"/>
        <w:rPr>
          <w:b/>
          <w:bCs/>
          <w:sz w:val="36"/>
          <w:szCs w:val="36"/>
        </w:rPr>
      </w:pPr>
    </w:p>
    <w:p w14:paraId="2143D59F" w14:textId="53620659" w:rsidR="001F3752" w:rsidRPr="0086646E" w:rsidRDefault="001F3752" w:rsidP="006E7C63">
      <w:pPr>
        <w:spacing w:after="0" w:line="259" w:lineRule="auto"/>
        <w:ind w:left="-180" w:right="102" w:firstLine="0"/>
        <w:jc w:val="center"/>
        <w:rPr>
          <w:b/>
          <w:bCs/>
          <w:sz w:val="36"/>
          <w:szCs w:val="36"/>
        </w:rPr>
      </w:pPr>
      <w:r w:rsidRPr="0086646E">
        <w:rPr>
          <w:b/>
          <w:bCs/>
          <w:sz w:val="36"/>
          <w:szCs w:val="36"/>
        </w:rPr>
        <w:t xml:space="preserve">Effect of Macro and Micronutrients on Growth, Flowering, Yield </w:t>
      </w:r>
      <w:r w:rsidR="00BF3616" w:rsidRPr="0086646E">
        <w:rPr>
          <w:b/>
          <w:bCs/>
          <w:sz w:val="36"/>
          <w:szCs w:val="36"/>
        </w:rPr>
        <w:t xml:space="preserve">and Quality </w:t>
      </w:r>
      <w:r w:rsidRPr="0086646E">
        <w:rPr>
          <w:b/>
          <w:bCs/>
          <w:sz w:val="36"/>
          <w:szCs w:val="36"/>
        </w:rPr>
        <w:t>attributes of Tomato (</w:t>
      </w:r>
      <w:r w:rsidRPr="0086646E">
        <w:rPr>
          <w:b/>
          <w:bCs/>
          <w:i/>
          <w:sz w:val="36"/>
          <w:szCs w:val="36"/>
        </w:rPr>
        <w:t xml:space="preserve">Solanum </w:t>
      </w:r>
      <w:proofErr w:type="spellStart"/>
      <w:r w:rsidRPr="0086646E">
        <w:rPr>
          <w:b/>
          <w:bCs/>
          <w:i/>
          <w:sz w:val="36"/>
          <w:szCs w:val="36"/>
        </w:rPr>
        <w:t>Lycopersicum</w:t>
      </w:r>
      <w:proofErr w:type="spellEnd"/>
      <w:r w:rsidRPr="0086646E">
        <w:rPr>
          <w:b/>
          <w:bCs/>
          <w:sz w:val="36"/>
          <w:szCs w:val="36"/>
        </w:rPr>
        <w:t xml:space="preserve">) </w:t>
      </w:r>
      <w:proofErr w:type="spellStart"/>
      <w:r w:rsidRPr="0086646E">
        <w:rPr>
          <w:b/>
          <w:bCs/>
          <w:sz w:val="36"/>
          <w:szCs w:val="36"/>
        </w:rPr>
        <w:t>c.v</w:t>
      </w:r>
      <w:proofErr w:type="spellEnd"/>
      <w:r w:rsidRPr="0086646E">
        <w:rPr>
          <w:b/>
          <w:bCs/>
          <w:sz w:val="36"/>
          <w:szCs w:val="36"/>
        </w:rPr>
        <w:t xml:space="preserve"> </w:t>
      </w:r>
      <w:proofErr w:type="spellStart"/>
      <w:r w:rsidRPr="0086646E">
        <w:rPr>
          <w:b/>
          <w:bCs/>
          <w:sz w:val="36"/>
          <w:szCs w:val="36"/>
        </w:rPr>
        <w:t>Heemishikhar</w:t>
      </w:r>
      <w:proofErr w:type="spellEnd"/>
      <w:r w:rsidRPr="0086646E">
        <w:rPr>
          <w:b/>
          <w:bCs/>
          <w:sz w:val="36"/>
          <w:szCs w:val="36"/>
        </w:rPr>
        <w:t xml:space="preserve"> under protected conditions</w:t>
      </w:r>
    </w:p>
    <w:bookmarkEnd w:id="1"/>
    <w:p w14:paraId="4266FCEB" w14:textId="77777777" w:rsidR="00AB38B4" w:rsidRPr="0086646E" w:rsidRDefault="00AB38B4" w:rsidP="0086646E">
      <w:pPr>
        <w:ind w:left="-180" w:firstLine="0"/>
        <w:jc w:val="left"/>
        <w:rPr>
          <w:sz w:val="28"/>
          <w:szCs w:val="32"/>
        </w:rPr>
      </w:pPr>
    </w:p>
    <w:p w14:paraId="6B91CCC3" w14:textId="17D62C77" w:rsidR="00CA5F15" w:rsidRPr="006845F9" w:rsidRDefault="00CA5F15" w:rsidP="00BC7BD4">
      <w:pPr>
        <w:jc w:val="right"/>
        <w:rPr>
          <w:rFonts w:ascii="Times New Roman" w:hAnsi="Times New Roman" w:cs="Times New Roman"/>
          <w:i/>
          <w:iCs/>
          <w:sz w:val="24"/>
          <w:szCs w:val="24"/>
        </w:rPr>
      </w:pPr>
    </w:p>
    <w:p w14:paraId="4DE3E3A8" w14:textId="77777777" w:rsidR="00023C33" w:rsidRPr="006845F9" w:rsidRDefault="00023C33" w:rsidP="001E616B">
      <w:pPr>
        <w:jc w:val="center"/>
        <w:rPr>
          <w:rFonts w:ascii="Times New Roman" w:hAnsi="Times New Roman" w:cs="Times New Roman"/>
          <w:sz w:val="24"/>
          <w:szCs w:val="24"/>
        </w:rPr>
      </w:pPr>
    </w:p>
    <w:p w14:paraId="3AA170D5" w14:textId="77777777" w:rsidR="00023C33" w:rsidRPr="00111D46" w:rsidRDefault="00023C33" w:rsidP="00111D46">
      <w:pPr>
        <w:pStyle w:val="Heading1"/>
        <w:numPr>
          <w:ilvl w:val="0"/>
          <w:numId w:val="0"/>
        </w:numPr>
        <w:ind w:left="-5"/>
      </w:pPr>
      <w:r w:rsidRPr="00111D46">
        <w:t>ABSTRACT</w:t>
      </w:r>
    </w:p>
    <w:p w14:paraId="5E727C2F" w14:textId="77777777" w:rsidR="003505A0" w:rsidRPr="00037557" w:rsidRDefault="003505A0" w:rsidP="003505A0">
      <w:pPr>
        <w:spacing w:line="240" w:lineRule="auto"/>
        <w:rPr>
          <w:bCs/>
          <w:lang w:val="en-GB"/>
        </w:rPr>
      </w:pPr>
      <w:r w:rsidRPr="00037557">
        <w:rPr>
          <w:lang w:val="en-US"/>
        </w:rPr>
        <w:t xml:space="preserve">The investigation entitled “Effect of macro and micronutrients on growth, flowering, and yield attributes of tomato cv. </w:t>
      </w:r>
      <w:proofErr w:type="spellStart"/>
      <w:r w:rsidRPr="00037557">
        <w:rPr>
          <w:lang w:val="en-US"/>
        </w:rPr>
        <w:t>Heemshikhar</w:t>
      </w:r>
      <w:proofErr w:type="spellEnd"/>
      <w:r w:rsidRPr="00037557">
        <w:rPr>
          <w:lang w:val="en-US"/>
        </w:rPr>
        <w:t xml:space="preserve"> under protected conditions” was conducted at Polyhouse, School of Agricultural Sciences and Technology, RIMT University, Mandi </w:t>
      </w:r>
      <w:proofErr w:type="spellStart"/>
      <w:r w:rsidRPr="00037557">
        <w:rPr>
          <w:lang w:val="en-US"/>
        </w:rPr>
        <w:t>Gobindgarh</w:t>
      </w:r>
      <w:proofErr w:type="spellEnd"/>
      <w:r w:rsidRPr="00037557">
        <w:rPr>
          <w:lang w:val="en-US"/>
        </w:rPr>
        <w:t>, Punjab, during 2023-24. The experiment consists of seven treatments viz. T</w:t>
      </w:r>
      <w:r w:rsidRPr="00037557">
        <w:rPr>
          <w:vertAlign w:val="subscript"/>
          <w:lang w:val="en-US"/>
        </w:rPr>
        <w:t>1</w:t>
      </w:r>
      <w:r w:rsidRPr="00037557">
        <w:rPr>
          <w:lang w:val="en-US"/>
        </w:rPr>
        <w:t xml:space="preserve"> Control, T</w:t>
      </w:r>
      <w:r w:rsidRPr="00037557">
        <w:rPr>
          <w:vertAlign w:val="subscript"/>
          <w:lang w:val="en-US"/>
        </w:rPr>
        <w:t>2</w:t>
      </w:r>
      <w:r w:rsidRPr="00037557">
        <w:rPr>
          <w:lang w:val="en-US"/>
        </w:rPr>
        <w:t xml:space="preserve"> (NPK 0.5 g + Zinc 50 ppm + Boron 50 ppm /plant), T</w:t>
      </w:r>
      <w:r w:rsidRPr="00037557">
        <w:rPr>
          <w:vertAlign w:val="subscript"/>
          <w:lang w:val="en-US"/>
        </w:rPr>
        <w:t>3</w:t>
      </w:r>
      <w:r w:rsidRPr="00037557">
        <w:rPr>
          <w:lang w:val="en-US"/>
        </w:rPr>
        <w:t xml:space="preserve"> (NPK 0.5 g + Zinc 100 ppm + Boron 100 ppm /plant),T</w:t>
      </w:r>
      <w:r w:rsidRPr="00037557">
        <w:rPr>
          <w:vertAlign w:val="subscript"/>
          <w:lang w:val="en-US"/>
        </w:rPr>
        <w:t>4</w:t>
      </w:r>
      <w:r w:rsidRPr="00037557">
        <w:rPr>
          <w:lang w:val="en-US"/>
        </w:rPr>
        <w:t xml:space="preserve"> (NPK 1 g + Zinc 50 ppm + Boron 50 ppm / plant), T</w:t>
      </w:r>
      <w:r w:rsidRPr="00037557">
        <w:rPr>
          <w:vertAlign w:val="subscript"/>
          <w:lang w:val="en-US"/>
        </w:rPr>
        <w:t xml:space="preserve">5 </w:t>
      </w:r>
      <w:r w:rsidRPr="00037557">
        <w:rPr>
          <w:lang w:val="en-US"/>
        </w:rPr>
        <w:t>(NPK 1 g + Zinc 100 ppm + Boron 100 ppm /plant), T</w:t>
      </w:r>
      <w:r w:rsidRPr="00037557">
        <w:rPr>
          <w:vertAlign w:val="subscript"/>
          <w:lang w:val="en-US"/>
        </w:rPr>
        <w:t>6</w:t>
      </w:r>
      <w:r w:rsidRPr="00037557">
        <w:rPr>
          <w:lang w:val="en-US"/>
        </w:rPr>
        <w:t xml:space="preserve"> (NPK 1.5 g + Zinc 50 ppm + Boron 50 ppm /plant) and T</w:t>
      </w:r>
      <w:r w:rsidRPr="00037557">
        <w:rPr>
          <w:vertAlign w:val="subscript"/>
          <w:lang w:val="en-US"/>
        </w:rPr>
        <w:t xml:space="preserve">7 </w:t>
      </w:r>
      <w:r w:rsidRPr="00037557">
        <w:rPr>
          <w:lang w:val="en-US"/>
        </w:rPr>
        <w:t>(NPK 1.5 g + Zinc 100 ppm + Boron 100 ppm /plant)</w:t>
      </w:r>
      <w:r w:rsidR="00386706" w:rsidRPr="00037557">
        <w:t>.</w:t>
      </w:r>
      <w:r w:rsidRPr="00037557">
        <w:rPr>
          <w:bCs/>
          <w:lang w:val="en-GB"/>
        </w:rPr>
        <w:t>The observations were</w:t>
      </w:r>
      <w:r w:rsidR="00DF01C6" w:rsidRPr="00037557">
        <w:rPr>
          <w:bCs/>
          <w:lang w:val="en-GB"/>
        </w:rPr>
        <w:t xml:space="preserve"> recorded on growth, flowering and yield and its component traits</w:t>
      </w:r>
      <w:r w:rsidRPr="00037557">
        <w:rPr>
          <w:bCs/>
          <w:lang w:val="en-GB"/>
        </w:rPr>
        <w:t>.</w:t>
      </w:r>
      <w:r w:rsidR="00DF01C6" w:rsidRPr="00037557">
        <w:rPr>
          <w:bCs/>
          <w:lang w:val="en-US"/>
        </w:rPr>
        <w:t>Results revealed that</w:t>
      </w:r>
      <w:r w:rsidRPr="00037557">
        <w:rPr>
          <w:bCs/>
          <w:lang w:val="en-US"/>
        </w:rPr>
        <w:t xml:space="preserve"> plant height (216.22 cm), number of leaves per plant (31.47), number of flowers per plant (55.85),</w:t>
      </w:r>
      <w:r w:rsidR="00DF01C6" w:rsidRPr="00037557">
        <w:rPr>
          <w:bCs/>
          <w:lang w:val="en-US"/>
        </w:rPr>
        <w:t>number of fruits per cluster (8.22), number of fruits per plant (42.36), fruit length (4.42cm), fruit diameter (5.40cm), fruit volume (45.00 ml), average fruit weight (67.38 g), fruit yield per plant (2.41 kg), fruit yield per plot, (24.10 kg) and per hectare  (296.43 q ha</w:t>
      </w:r>
      <w:r w:rsidR="00DF01C6" w:rsidRPr="00037557">
        <w:rPr>
          <w:bCs/>
          <w:vertAlign w:val="superscript"/>
          <w:lang w:val="en-US"/>
        </w:rPr>
        <w:t>-1</w:t>
      </w:r>
      <w:r w:rsidR="00DF01C6" w:rsidRPr="00037557">
        <w:rPr>
          <w:bCs/>
          <w:lang w:val="en-US"/>
        </w:rPr>
        <w:t xml:space="preserve">) </w:t>
      </w:r>
      <w:proofErr w:type="spellStart"/>
      <w:r w:rsidR="00DF01C6" w:rsidRPr="00037557">
        <w:rPr>
          <w:rFonts w:eastAsiaTheme="minorHAnsi"/>
          <w:color w:val="auto"/>
          <w:szCs w:val="20"/>
          <w:lang w:val="en-US" w:eastAsia="en-US"/>
        </w:rPr>
        <w:t>minimum</w:t>
      </w:r>
      <w:r w:rsidRPr="00037557">
        <w:rPr>
          <w:bCs/>
          <w:lang w:val="en-US"/>
        </w:rPr>
        <w:t>days</w:t>
      </w:r>
      <w:proofErr w:type="spellEnd"/>
      <w:r w:rsidRPr="00037557">
        <w:rPr>
          <w:bCs/>
          <w:lang w:val="en-US"/>
        </w:rPr>
        <w:t xml:space="preserve"> to first flowering (31.57 days), days to 50% flowering (40.58 days), and days to fruit set (51.65 days) were recorded in T</w:t>
      </w:r>
      <w:r w:rsidRPr="00037557">
        <w:rPr>
          <w:bCs/>
          <w:vertAlign w:val="subscript"/>
          <w:lang w:val="en-US"/>
        </w:rPr>
        <w:t>7</w:t>
      </w:r>
      <w:r w:rsidRPr="00037557">
        <w:rPr>
          <w:bCs/>
          <w:lang w:val="en-US"/>
        </w:rPr>
        <w:t xml:space="preserve"> whereas number of primary branches per plant (9.22) was maximum in treatment T</w:t>
      </w:r>
      <w:r w:rsidRPr="00037557">
        <w:rPr>
          <w:bCs/>
          <w:vertAlign w:val="subscript"/>
          <w:lang w:val="en-US"/>
        </w:rPr>
        <w:t>5</w:t>
      </w:r>
    </w:p>
    <w:p w14:paraId="69130AFC" w14:textId="77777777" w:rsidR="00070206" w:rsidRDefault="00070206" w:rsidP="00070206">
      <w:pPr>
        <w:rPr>
          <w:rFonts w:ascii="Times New Roman" w:hAnsi="Times New Roman" w:cs="Times New Roman"/>
          <w:sz w:val="24"/>
          <w:szCs w:val="28"/>
        </w:rPr>
      </w:pPr>
    </w:p>
    <w:p w14:paraId="1A9965AD" w14:textId="77777777" w:rsidR="00D462DB" w:rsidRPr="00424C31" w:rsidRDefault="00D462DB" w:rsidP="00070206">
      <w:pPr>
        <w:rPr>
          <w:iCs/>
        </w:rPr>
      </w:pPr>
      <w:r w:rsidRPr="00424C31">
        <w:t xml:space="preserve">Keywords: </w:t>
      </w:r>
      <w:r w:rsidR="00E5635D" w:rsidRPr="00424C31">
        <w:rPr>
          <w:iCs/>
        </w:rPr>
        <w:t>Design, growth, macronutrients, quality, returns, tomato, yield</w:t>
      </w:r>
    </w:p>
    <w:p w14:paraId="09DE688E" w14:textId="77777777" w:rsidR="00C65653" w:rsidRPr="00B130FE" w:rsidRDefault="00C65653" w:rsidP="00B130FE">
      <w:pPr>
        <w:jc w:val="left"/>
        <w:rPr>
          <w:iCs/>
          <w:sz w:val="22"/>
          <w:szCs w:val="24"/>
        </w:rPr>
      </w:pPr>
    </w:p>
    <w:p w14:paraId="345DC6BC" w14:textId="77777777" w:rsidR="00C65653" w:rsidRPr="00B130FE" w:rsidRDefault="004C532B" w:rsidP="00B130FE">
      <w:pPr>
        <w:pStyle w:val="ListParagraph"/>
        <w:numPr>
          <w:ilvl w:val="0"/>
          <w:numId w:val="3"/>
        </w:numPr>
        <w:jc w:val="left"/>
        <w:rPr>
          <w:b/>
          <w:bCs/>
          <w:sz w:val="22"/>
          <w:szCs w:val="24"/>
        </w:rPr>
      </w:pPr>
      <w:r w:rsidRPr="00B130FE">
        <w:rPr>
          <w:b/>
          <w:bCs/>
          <w:iCs/>
          <w:sz w:val="22"/>
          <w:szCs w:val="24"/>
        </w:rPr>
        <w:t>INTRODUCTION</w:t>
      </w:r>
    </w:p>
    <w:p w14:paraId="0C9DE827" w14:textId="77777777" w:rsidR="004C532B" w:rsidRDefault="004C532B" w:rsidP="004C532B">
      <w:pPr>
        <w:ind w:firstLine="710"/>
        <w:rPr>
          <w:rFonts w:ascii="Times New Roman" w:hAnsi="Times New Roman" w:cs="Times New Roman"/>
          <w:sz w:val="24"/>
          <w:szCs w:val="28"/>
        </w:rPr>
      </w:pPr>
    </w:p>
    <w:p w14:paraId="20DFC915" w14:textId="77777777" w:rsidR="004C532B" w:rsidRPr="00B130FE" w:rsidRDefault="004C532B" w:rsidP="004C532B">
      <w:pPr>
        <w:ind w:firstLine="710"/>
      </w:pPr>
      <w:r w:rsidRPr="00B130FE">
        <w:t>Tomato (</w:t>
      </w:r>
      <w:r w:rsidRPr="00B130FE">
        <w:rPr>
          <w:i/>
          <w:iCs/>
        </w:rPr>
        <w:t xml:space="preserve">Solanum </w:t>
      </w:r>
      <w:proofErr w:type="spellStart"/>
      <w:r w:rsidRPr="00B130FE">
        <w:rPr>
          <w:i/>
          <w:iCs/>
        </w:rPr>
        <w:t>lycopersicum</w:t>
      </w:r>
      <w:proofErr w:type="spellEnd"/>
      <w:r w:rsidRPr="00B130FE">
        <w:t xml:space="preserve">) is one of the most significant vegetable crops from the Solanaceae family, cultivated globally due to its adaptability to diverse climates, high yield potential, and versatility in both fresh consumption and food processing industries. Although primarily a self-pollinating and day-neutral plant, a small degree of cross-pollination can still occur. With a chromosome number of 2n = 24, tomatoes are believed to have originated along the western coastal plains of South America (Ali </w:t>
      </w:r>
      <w:r w:rsidRPr="00B130FE">
        <w:rPr>
          <w:i/>
          <w:iCs/>
        </w:rPr>
        <w:t>et al</w:t>
      </w:r>
      <w:r w:rsidRPr="00B130FE">
        <w:t xml:space="preserve"> 2012). Tomatoes thrive in warm climates, with an optimal temperature range between 20–25 °C for best growth, while vibrant red coloration develops ideally at 21–24 °C. They are rich in pigments like β-carotene and lycopene and contribute to vascular health and prevention of scurvy. Nutritionally, tomatoes are valuable, containing calcium (48 mg), vitamin C (27 mg), phosphorus (20 mg), carbohydrates (3.6 g), protein (0.9 g), dietary </w:t>
      </w:r>
      <w:r w:rsidR="00A65775" w:rsidRPr="00B130FE">
        <w:t>fibre</w:t>
      </w:r>
      <w:r w:rsidRPr="00B130FE">
        <w:t xml:space="preserve"> (0.8 g), iron (0.4 mg), fat (0.2 g), and providing about 20 kilocalories of energy per serving (Ejaz </w:t>
      </w:r>
      <w:r w:rsidRPr="00B130FE">
        <w:rPr>
          <w:i/>
          <w:iCs/>
        </w:rPr>
        <w:t>et al</w:t>
      </w:r>
      <w:r w:rsidRPr="00B130FE">
        <w:t xml:space="preserve"> 2011).</w:t>
      </w:r>
    </w:p>
    <w:p w14:paraId="4431E4D9" w14:textId="77777777" w:rsidR="004C532B" w:rsidRPr="00B130FE" w:rsidRDefault="004C532B" w:rsidP="004C532B">
      <w:pPr>
        <w:ind w:firstLine="710"/>
      </w:pPr>
    </w:p>
    <w:p w14:paraId="492537D7" w14:textId="77777777" w:rsidR="004C532B" w:rsidRPr="00B130FE" w:rsidRDefault="004C532B" w:rsidP="004C532B">
      <w:pPr>
        <w:ind w:firstLine="710"/>
      </w:pPr>
      <w:r w:rsidRPr="00B130FE">
        <w:t xml:space="preserve">In India, major tomato-producing states include Uttar Pradesh, Karnataka, Maharashtra, Haryana, Punjab, and Bihar. Nationwide, tomatoes are cultivated on approximately </w:t>
      </w:r>
      <w:r w:rsidRPr="00B130FE">
        <w:rPr>
          <w:lang w:val="en-US"/>
        </w:rPr>
        <w:t>8.49 lakh hectares</w:t>
      </w:r>
      <w:r w:rsidRPr="00B130FE">
        <w:t xml:space="preserve">, </w:t>
      </w:r>
      <w:r w:rsidRPr="00B130FE">
        <w:rPr>
          <w:lang w:val="en-US"/>
        </w:rPr>
        <w:t xml:space="preserve">and production of 204.25 lakh </w:t>
      </w:r>
      <w:r w:rsidR="00A65775" w:rsidRPr="00B130FE">
        <w:rPr>
          <w:lang w:val="en-US"/>
        </w:rPr>
        <w:t>tones</w:t>
      </w:r>
      <w:r w:rsidR="004B3B8D" w:rsidRPr="00B130FE">
        <w:rPr>
          <w:lang w:val="en-US"/>
        </w:rPr>
        <w:fldChar w:fldCharType="begin" w:fldLock="1"/>
      </w:r>
      <w:r w:rsidRPr="00B130FE">
        <w:rPr>
          <w:lang w:val="en-US"/>
        </w:rPr>
        <w:instrText>ADDIN CSL_CITATION {"citationItems":[{"id":"ITEM-1","itemData":{"URL":"ttps://www.fao.org/faostat/en/ data","accessed":{"date-parts":[["2025","4","17"]]},"author":[{"dropping-particle":"","family":"Food and Agriculture Organization","given":"","non-dropping-particle":"","parse-names":false,"suffix":""}],"container-title":"Food and Agriculture Organization of the United Nations","id":"ITEM-1","issued":{"date-parts":[["2025"]]},"title":"FAO Statistics","type":"webpage"},"uris":["http://www.mendeley.com/documents/?uuid=eec8166d-cf05-49d2-ae49-1c085ebebca7"]}],"mendeley":{"formattedCitation":"(Food and Agriculture Organization, 2025)","manualFormatting":"(Food and Agriculture Organization 2023)","plainTextFormattedCitation":"(Food and Agriculture Organization, 2025)","previouslyFormattedCitation":"(Food and Agriculture Organization, 2025a)"},"properties":{"noteIndex":0},"schema":"https://github.com/citation-style-language/schema/raw/master/csl-citation.json"}</w:instrText>
      </w:r>
      <w:r w:rsidR="004B3B8D" w:rsidRPr="00B130FE">
        <w:rPr>
          <w:lang w:val="en-US"/>
        </w:rPr>
        <w:fldChar w:fldCharType="separate"/>
      </w:r>
      <w:r w:rsidRPr="00B130FE">
        <w:rPr>
          <w:lang w:val="en-US"/>
        </w:rPr>
        <w:t>(Food and Agriculture Organization 2023)</w:t>
      </w:r>
      <w:r w:rsidR="004B3B8D" w:rsidRPr="00B130FE">
        <w:fldChar w:fldCharType="end"/>
      </w:r>
      <w:r w:rsidRPr="00B130FE">
        <w:rPr>
          <w:lang w:val="en-US"/>
        </w:rPr>
        <w:t xml:space="preserve">. </w:t>
      </w:r>
      <w:r w:rsidRPr="00B130FE">
        <w:t xml:space="preserve">In Punjab alone, the crop spans about </w:t>
      </w:r>
      <w:r w:rsidRPr="00B130FE">
        <w:rPr>
          <w:lang w:val="en-US"/>
        </w:rPr>
        <w:t xml:space="preserve">11.17 thousand hectares </w:t>
      </w:r>
      <w:r w:rsidRPr="00B130FE">
        <w:t>with a production output of approximately</w:t>
      </w:r>
      <w:r w:rsidRPr="00B130FE">
        <w:rPr>
          <w:lang w:val="en-US"/>
        </w:rPr>
        <w:t xml:space="preserve"> 2.91 lakh </w:t>
      </w:r>
      <w:proofErr w:type="gramStart"/>
      <w:r w:rsidR="00A65775" w:rsidRPr="00B130FE">
        <w:rPr>
          <w:lang w:val="en-US"/>
        </w:rPr>
        <w:t>tones</w:t>
      </w:r>
      <w:r w:rsidRPr="00B130FE">
        <w:t>(</w:t>
      </w:r>
      <w:proofErr w:type="gramEnd"/>
      <w:r w:rsidRPr="00B130FE">
        <w:t>Department of Agriculture &amp; Farmers Welfare, 2025).</w:t>
      </w:r>
    </w:p>
    <w:p w14:paraId="33DC193C" w14:textId="77777777" w:rsidR="004C532B" w:rsidRPr="00B130FE" w:rsidRDefault="004C532B" w:rsidP="004C532B"/>
    <w:p w14:paraId="1DC0DC61" w14:textId="77777777" w:rsidR="0091208F" w:rsidRPr="00B130FE" w:rsidRDefault="004C532B" w:rsidP="005F77A0">
      <w:pPr>
        <w:ind w:firstLine="710"/>
      </w:pPr>
      <w:r w:rsidRPr="00B130FE">
        <w:lastRenderedPageBreak/>
        <w:t xml:space="preserve">Tomato is a widely consumed vegetable known not only for its culinary versatility but also for its significant medicinal properties. It is utilized in a variety of forms, including salads, soups, ketchup, sauces, chutneys, pickles, powders, pastes, juices, and purees. Additionally, whole tomatoes are often canned, and the fruit serves as a key ingredient in beverages such as the cocktail “Bloody Mary.” The distinctive </w:t>
      </w:r>
      <w:r w:rsidR="00A65775" w:rsidRPr="00B130FE">
        <w:t>flavour</w:t>
      </w:r>
      <w:r w:rsidRPr="00B130FE">
        <w:t xml:space="preserve"> of tomato fruits is influenced by several volatile compounds, particularly ethanol and </w:t>
      </w:r>
      <w:proofErr w:type="spellStart"/>
      <w:proofErr w:type="gramStart"/>
      <w:r w:rsidRPr="00B130FE">
        <w:t>acetaldehyde.Tomato</w:t>
      </w:r>
      <w:proofErr w:type="spellEnd"/>
      <w:proofErr w:type="gramEnd"/>
      <w:r w:rsidRPr="00B130FE">
        <w:t xml:space="preserve"> juice is known to aid digestion by stimulating gastric secretions, purifying the blood, and serving as an intestinal antiseptic. On the global scale, India holds the second position in both the cultivation area and total production of </w:t>
      </w:r>
      <w:proofErr w:type="spellStart"/>
      <w:proofErr w:type="gramStart"/>
      <w:r w:rsidRPr="00B130FE">
        <w:t>tomatoes.</w:t>
      </w:r>
      <w:r w:rsidR="00CE7BCE" w:rsidRPr="00B130FE">
        <w:rPr>
          <w:bCs/>
        </w:rPr>
        <w:t>Nutrient</w:t>
      </w:r>
      <w:proofErr w:type="spellEnd"/>
      <w:proofErr w:type="gramEnd"/>
      <w:r w:rsidR="00CE7BCE" w:rsidRPr="00B130FE">
        <w:rPr>
          <w:bCs/>
        </w:rPr>
        <w:t xml:space="preserve"> amendments are historically used to improve plant productivity. </w:t>
      </w:r>
      <w:r w:rsidR="0091208F" w:rsidRPr="00B130FE">
        <w:rPr>
          <w:bCs/>
          <w:lang w:val="en-GB"/>
        </w:rPr>
        <w:t>Nitrogen is a major element in protein, nucleic acid, enzymes, and chlorophyll (</w:t>
      </w:r>
      <w:proofErr w:type="spellStart"/>
      <w:r w:rsidR="0091208F" w:rsidRPr="00B130FE">
        <w:rPr>
          <w:bCs/>
          <w:lang w:val="en-GB"/>
        </w:rPr>
        <w:t>Koeduka</w:t>
      </w:r>
      <w:proofErr w:type="spellEnd"/>
      <w:r w:rsidR="0091208F" w:rsidRPr="00B130FE">
        <w:rPr>
          <w:bCs/>
          <w:i/>
          <w:lang w:val="en-GB"/>
        </w:rPr>
        <w:t xml:space="preserve"> et al</w:t>
      </w:r>
      <w:r w:rsidR="0091208F" w:rsidRPr="00B130FE">
        <w:rPr>
          <w:bCs/>
          <w:lang w:val="en-GB"/>
        </w:rPr>
        <w:t xml:space="preserve"> 2006). Lack of nitrogen in tomato causes chlorosis and reduce the total of light engrossed per unit time ultimately reduce the number of photosynthates, leading to both fruit and flower abortion (Kirimi </w:t>
      </w:r>
      <w:r w:rsidR="0091208F" w:rsidRPr="00B130FE">
        <w:rPr>
          <w:bCs/>
          <w:i/>
          <w:lang w:val="en-GB"/>
        </w:rPr>
        <w:t>et al</w:t>
      </w:r>
      <w:r w:rsidR="0091208F" w:rsidRPr="00B130FE">
        <w:rPr>
          <w:bCs/>
          <w:lang w:val="en-GB"/>
        </w:rPr>
        <w:t xml:space="preserve"> 2011). Lack of phosphorous will show the result in slow stunted growth and reduction in yield and marketable fruits (</w:t>
      </w:r>
      <w:proofErr w:type="spellStart"/>
      <w:r w:rsidR="0091208F" w:rsidRPr="00B130FE">
        <w:rPr>
          <w:bCs/>
          <w:lang w:val="en-GB"/>
        </w:rPr>
        <w:t>Fandi</w:t>
      </w:r>
      <w:proofErr w:type="spellEnd"/>
      <w:r w:rsidR="0091208F" w:rsidRPr="00B130FE">
        <w:rPr>
          <w:bCs/>
          <w:lang w:val="en-GB"/>
        </w:rPr>
        <w:t xml:space="preserve"> </w:t>
      </w:r>
      <w:r w:rsidR="0091208F" w:rsidRPr="00B130FE">
        <w:rPr>
          <w:bCs/>
          <w:i/>
          <w:lang w:val="en-GB"/>
        </w:rPr>
        <w:t>et al</w:t>
      </w:r>
      <w:r w:rsidR="0091208F" w:rsidRPr="00B130FE">
        <w:rPr>
          <w:bCs/>
          <w:lang w:val="en-GB"/>
        </w:rPr>
        <w:t xml:space="preserve"> 2010). Potassium is essential for maintaining osmotic potential in cells. It is summarized in the activation of an enzyme involved in respiration and photosynthesis in the youngest leaves. Micronutrients improve the chemical composition of vegetable crops and are known to acts as catalyst in plants (Karthick </w:t>
      </w:r>
      <w:r w:rsidR="0091208F" w:rsidRPr="00B130FE">
        <w:rPr>
          <w:bCs/>
          <w:i/>
          <w:lang w:val="en-GB"/>
        </w:rPr>
        <w:t>et al</w:t>
      </w:r>
      <w:r w:rsidR="0091208F" w:rsidRPr="00B130FE">
        <w:rPr>
          <w:bCs/>
          <w:lang w:val="en-GB"/>
        </w:rPr>
        <w:t xml:space="preserve"> 2018). Among micronutrients, Zinc and Boron are important for plant nutrition (Aske </w:t>
      </w:r>
      <w:r w:rsidR="0091208F" w:rsidRPr="00B130FE">
        <w:rPr>
          <w:bCs/>
          <w:i/>
          <w:lang w:val="en-GB"/>
        </w:rPr>
        <w:t>et al</w:t>
      </w:r>
      <w:r w:rsidR="0091208F" w:rsidRPr="00B130FE">
        <w:rPr>
          <w:bCs/>
          <w:lang w:val="en-GB"/>
        </w:rPr>
        <w:t xml:space="preserve"> 2017</w:t>
      </w:r>
      <w:proofErr w:type="gramStart"/>
      <w:r w:rsidR="0091208F" w:rsidRPr="00B130FE">
        <w:rPr>
          <w:bCs/>
          <w:lang w:val="en-GB"/>
        </w:rPr>
        <w:t>).Boron</w:t>
      </w:r>
      <w:proofErr w:type="gramEnd"/>
      <w:r w:rsidR="0091208F" w:rsidRPr="00B130FE">
        <w:rPr>
          <w:bCs/>
          <w:lang w:val="en-GB"/>
        </w:rPr>
        <w:t xml:space="preserve"> (B) plays an essential role in the development and growth of new cell in the plant   meristem. Boron does not easily move around the plant and therefore, the deficiency appears first in young tissues, growing points, root tips and developing fruits and its deficiency may cause sterility, poor fruit set, small fruit size and ultimately lower </w:t>
      </w:r>
      <w:proofErr w:type="spellStart"/>
      <w:proofErr w:type="gramStart"/>
      <w:r w:rsidR="0091208F" w:rsidRPr="00B130FE">
        <w:rPr>
          <w:bCs/>
          <w:lang w:val="en-GB"/>
        </w:rPr>
        <w:t>yield</w:t>
      </w:r>
      <w:r w:rsidR="00F81960" w:rsidRPr="00B130FE">
        <w:rPr>
          <w:bCs/>
          <w:lang w:val="en-GB"/>
        </w:rPr>
        <w:t>.</w:t>
      </w:r>
      <w:r w:rsidR="0091208F" w:rsidRPr="00B130FE">
        <w:rPr>
          <w:bCs/>
          <w:lang w:val="en-GB"/>
        </w:rPr>
        <w:t>Zinc</w:t>
      </w:r>
      <w:proofErr w:type="spellEnd"/>
      <w:proofErr w:type="gramEnd"/>
      <w:r w:rsidR="0091208F" w:rsidRPr="00B130FE">
        <w:rPr>
          <w:bCs/>
          <w:lang w:val="en-GB"/>
        </w:rPr>
        <w:t xml:space="preserve"> is indispensable for normal growth and development of plants. It is effective for the synthesis of plant hormones like auxin and carbohydrate formation (Pankaj </w:t>
      </w:r>
      <w:r w:rsidR="0091208F" w:rsidRPr="00B130FE">
        <w:rPr>
          <w:bCs/>
          <w:i/>
          <w:lang w:val="en-GB"/>
        </w:rPr>
        <w:t>et al</w:t>
      </w:r>
      <w:r w:rsidR="0091208F" w:rsidRPr="00B130FE">
        <w:rPr>
          <w:bCs/>
          <w:lang w:val="en-GB"/>
        </w:rPr>
        <w:t xml:space="preserve"> 2018). Its deficiency causes interveinal chlorosis of older leaves then leaves turn grey-white and fall prematurely or die. </w:t>
      </w:r>
    </w:p>
    <w:p w14:paraId="0AD336F4" w14:textId="77777777" w:rsidR="0011338C" w:rsidRDefault="0011338C" w:rsidP="0011338C">
      <w:pPr>
        <w:rPr>
          <w:rFonts w:ascii="Times New Roman" w:hAnsi="Times New Roman" w:cs="Times New Roman"/>
          <w:bCs/>
          <w:sz w:val="24"/>
          <w:szCs w:val="28"/>
          <w:lang w:val="en-GB"/>
        </w:rPr>
      </w:pPr>
    </w:p>
    <w:p w14:paraId="63EFED94" w14:textId="77777777" w:rsidR="00614990" w:rsidRPr="009A291B" w:rsidRDefault="00614990" w:rsidP="009A291B">
      <w:pPr>
        <w:pStyle w:val="ListParagraph"/>
        <w:numPr>
          <w:ilvl w:val="0"/>
          <w:numId w:val="3"/>
        </w:numPr>
        <w:jc w:val="left"/>
        <w:rPr>
          <w:b/>
          <w:bCs/>
          <w:sz w:val="22"/>
          <w:szCs w:val="24"/>
        </w:rPr>
      </w:pPr>
      <w:r w:rsidRPr="009A291B">
        <w:rPr>
          <w:b/>
          <w:bCs/>
          <w:sz w:val="22"/>
          <w:szCs w:val="24"/>
        </w:rPr>
        <w:t xml:space="preserve">MATERIALS AND METHODS </w:t>
      </w:r>
    </w:p>
    <w:p w14:paraId="067A36CA" w14:textId="77777777" w:rsidR="00614990" w:rsidRPr="00614990" w:rsidRDefault="00614990" w:rsidP="00614990">
      <w:pPr>
        <w:rPr>
          <w:rFonts w:ascii="Times New Roman" w:hAnsi="Times New Roman" w:cs="Times New Roman"/>
          <w:bCs/>
          <w:sz w:val="24"/>
          <w:szCs w:val="28"/>
        </w:rPr>
      </w:pPr>
    </w:p>
    <w:p w14:paraId="199485B4" w14:textId="77777777" w:rsidR="00614990" w:rsidRPr="009A291B" w:rsidRDefault="00614990" w:rsidP="00DF01C6">
      <w:pPr>
        <w:rPr>
          <w:bCs/>
        </w:rPr>
      </w:pPr>
      <w:r w:rsidRPr="009A291B">
        <w:rPr>
          <w:bCs/>
        </w:rPr>
        <w:t xml:space="preserve">The field experiment was carried out during the Rabi (winter) season of 2023–24 at the Polyhouse facility, School of Agricultural Sciences and Technology, RIMT University, Mandi </w:t>
      </w:r>
      <w:proofErr w:type="spellStart"/>
      <w:r w:rsidRPr="009A291B">
        <w:rPr>
          <w:bCs/>
        </w:rPr>
        <w:t>Gobindgarh</w:t>
      </w:r>
      <w:proofErr w:type="spellEnd"/>
      <w:r w:rsidRPr="009A291B">
        <w:rPr>
          <w:bCs/>
        </w:rPr>
        <w:t>, Punjab. The experiment was structured using a Completely Randomized Block Design (CRBD) with seven different treatments, each replicated three times. Each plot measured 3 meters in length and 3 meters in width. The tomato variety ‘</w:t>
      </w:r>
      <w:proofErr w:type="spellStart"/>
      <w:r w:rsidRPr="009A291B">
        <w:rPr>
          <w:bCs/>
        </w:rPr>
        <w:t>Heemshikhar</w:t>
      </w:r>
      <w:proofErr w:type="spellEnd"/>
      <w:r w:rsidRPr="009A291B">
        <w:rPr>
          <w:bCs/>
        </w:rPr>
        <w:t xml:space="preserve">’ was chosen as the test </w:t>
      </w:r>
      <w:r w:rsidR="00DF01C6" w:rsidRPr="009A291B">
        <w:rPr>
          <w:bCs/>
        </w:rPr>
        <w:t xml:space="preserve">variety. </w:t>
      </w:r>
      <w:r w:rsidRPr="009A291B">
        <w:rPr>
          <w:bCs/>
        </w:rPr>
        <w:t>The experiment consisted of seven treatments: T</w:t>
      </w:r>
      <w:r w:rsidRPr="009A291B">
        <w:rPr>
          <w:bCs/>
          <w:vertAlign w:val="subscript"/>
        </w:rPr>
        <w:t>1</w:t>
      </w:r>
      <w:r w:rsidRPr="009A291B">
        <w:rPr>
          <w:bCs/>
        </w:rPr>
        <w:t xml:space="preserve"> served as the absolute control with no application of NPK, zinc, or boron. T</w:t>
      </w:r>
      <w:r w:rsidRPr="009A291B">
        <w:rPr>
          <w:bCs/>
          <w:vertAlign w:val="subscript"/>
        </w:rPr>
        <w:t>2</w:t>
      </w:r>
      <w:r w:rsidRPr="009A291B">
        <w:rPr>
          <w:bCs/>
        </w:rPr>
        <w:t xml:space="preserve"> involved the application of 0.5 grams of NPK along with 50 ppm of zinc and 50 ppm of boron per plant. T</w:t>
      </w:r>
      <w:r w:rsidRPr="009A291B">
        <w:rPr>
          <w:bCs/>
          <w:vertAlign w:val="subscript"/>
        </w:rPr>
        <w:t>3</w:t>
      </w:r>
      <w:r w:rsidRPr="009A291B">
        <w:rPr>
          <w:bCs/>
        </w:rPr>
        <w:t xml:space="preserve"> received 0.5 grams of NPK, 100 ppm of zinc, and 100 ppm of boron per plant. T</w:t>
      </w:r>
      <w:r w:rsidRPr="009A291B">
        <w:rPr>
          <w:bCs/>
          <w:vertAlign w:val="subscript"/>
        </w:rPr>
        <w:t>4</w:t>
      </w:r>
      <w:r w:rsidRPr="009A291B">
        <w:rPr>
          <w:bCs/>
        </w:rPr>
        <w:t xml:space="preserve"> included 1 gram of NPK with 50 ppm of zinc and 50 ppm of boron. T</w:t>
      </w:r>
      <w:r w:rsidRPr="009A291B">
        <w:rPr>
          <w:bCs/>
          <w:vertAlign w:val="subscript"/>
        </w:rPr>
        <w:t>5</w:t>
      </w:r>
      <w:r w:rsidRPr="009A291B">
        <w:rPr>
          <w:bCs/>
        </w:rPr>
        <w:t xml:space="preserve"> had 1 gram of NPK with 100 ppm each of zinc and boron. T</w:t>
      </w:r>
      <w:r w:rsidRPr="009A291B">
        <w:rPr>
          <w:bCs/>
          <w:vertAlign w:val="subscript"/>
        </w:rPr>
        <w:t>6</w:t>
      </w:r>
      <w:r w:rsidRPr="009A291B">
        <w:rPr>
          <w:bCs/>
        </w:rPr>
        <w:t xml:space="preserve"> was treated with 1.5 grams of NPK along with 50 ppm each of zinc and boron, while T</w:t>
      </w:r>
      <w:r w:rsidRPr="009A291B">
        <w:rPr>
          <w:bCs/>
          <w:vertAlign w:val="subscript"/>
        </w:rPr>
        <w:t>7</w:t>
      </w:r>
      <w:r w:rsidRPr="009A291B">
        <w:rPr>
          <w:bCs/>
        </w:rPr>
        <w:t xml:space="preserve"> received 1.5 grams of NPK, 100 ppm of zinc, and 100 ppm of boron per plant. The standard recommended dose of fertilizers (RDF) used in the experiment was 19:19:19 kg of NPK per hectare.</w:t>
      </w:r>
    </w:p>
    <w:p w14:paraId="71DA0535" w14:textId="77777777" w:rsidR="00614990" w:rsidRDefault="00614990" w:rsidP="0011338C">
      <w:pPr>
        <w:rPr>
          <w:rFonts w:ascii="Times New Roman" w:hAnsi="Times New Roman" w:cs="Times New Roman"/>
          <w:bCs/>
          <w:sz w:val="24"/>
          <w:szCs w:val="28"/>
          <w:lang w:val="en-GB"/>
        </w:rPr>
      </w:pPr>
    </w:p>
    <w:p w14:paraId="5406B2A5" w14:textId="77777777" w:rsidR="008B570F" w:rsidRPr="00A22756" w:rsidRDefault="008B570F" w:rsidP="00A22756">
      <w:pPr>
        <w:pStyle w:val="ListParagraph"/>
        <w:numPr>
          <w:ilvl w:val="0"/>
          <w:numId w:val="3"/>
        </w:numPr>
        <w:jc w:val="left"/>
        <w:rPr>
          <w:b/>
          <w:sz w:val="22"/>
          <w:szCs w:val="24"/>
          <w:lang w:val="en-GB"/>
        </w:rPr>
      </w:pPr>
      <w:r w:rsidRPr="00A22756">
        <w:rPr>
          <w:b/>
          <w:sz w:val="22"/>
          <w:szCs w:val="24"/>
          <w:lang w:val="en-GB"/>
        </w:rPr>
        <w:t>RESULTS AND DISCSSION</w:t>
      </w:r>
    </w:p>
    <w:p w14:paraId="20004F77" w14:textId="77777777" w:rsidR="00F26337" w:rsidRDefault="00F26337" w:rsidP="0011338C">
      <w:pPr>
        <w:rPr>
          <w:rFonts w:ascii="Times New Roman" w:hAnsi="Times New Roman" w:cs="Times New Roman"/>
        </w:rPr>
      </w:pPr>
    </w:p>
    <w:p w14:paraId="46F554CF" w14:textId="77777777" w:rsidR="00506CD3" w:rsidRPr="00D4424E" w:rsidRDefault="009747B8" w:rsidP="00D4424E">
      <w:pPr>
        <w:ind w:left="0" w:firstLine="0"/>
        <w:jc w:val="left"/>
        <w:rPr>
          <w:b/>
          <w:bCs/>
          <w:sz w:val="22"/>
          <w:szCs w:val="24"/>
        </w:rPr>
      </w:pPr>
      <w:r>
        <w:rPr>
          <w:b/>
          <w:bCs/>
          <w:sz w:val="22"/>
          <w:szCs w:val="24"/>
        </w:rPr>
        <w:t xml:space="preserve">3.1 </w:t>
      </w:r>
      <w:r w:rsidRPr="009747B8">
        <w:rPr>
          <w:b/>
          <w:bCs/>
          <w:sz w:val="22"/>
          <w:szCs w:val="24"/>
        </w:rPr>
        <w:t>GROWTH CHARACTERS</w:t>
      </w:r>
    </w:p>
    <w:p w14:paraId="4CC3551A" w14:textId="77777777" w:rsidR="00F058FD" w:rsidRPr="00F46CB4" w:rsidRDefault="00F46CB4" w:rsidP="00F46CB4">
      <w:pPr>
        <w:rPr>
          <w:b/>
          <w:bCs/>
          <w:sz w:val="28"/>
          <w:szCs w:val="32"/>
          <w:lang w:val="en-GB"/>
        </w:rPr>
      </w:pPr>
      <w:r w:rsidRPr="00F46CB4">
        <w:rPr>
          <w:b/>
          <w:bCs/>
        </w:rPr>
        <w:t xml:space="preserve">3.1.1 </w:t>
      </w:r>
      <w:r w:rsidR="00F26337" w:rsidRPr="00F46CB4">
        <w:rPr>
          <w:b/>
          <w:bCs/>
        </w:rPr>
        <w:t>Plant Height</w:t>
      </w:r>
      <w:r w:rsidR="00F26337" w:rsidRPr="00F46CB4">
        <w:rPr>
          <w:rFonts w:ascii="Times New Roman" w:hAnsi="Times New Roman" w:cs="Times New Roman"/>
          <w:b/>
          <w:bCs/>
          <w:sz w:val="24"/>
          <w:szCs w:val="28"/>
        </w:rPr>
        <w:t xml:space="preserve">: </w:t>
      </w:r>
      <w:r w:rsidR="005017D5" w:rsidRPr="00F46CB4">
        <w:rPr>
          <w:rFonts w:eastAsia="Times New Roman"/>
          <w:szCs w:val="20"/>
        </w:rPr>
        <w:t xml:space="preserve">The data recorded on plant height of tomato </w:t>
      </w:r>
      <w:r w:rsidR="000308BD" w:rsidRPr="00F46CB4">
        <w:rPr>
          <w:rFonts w:eastAsia="Times New Roman"/>
          <w:szCs w:val="20"/>
        </w:rPr>
        <w:t>is</w:t>
      </w:r>
      <w:r w:rsidR="005017D5" w:rsidRPr="00F46CB4">
        <w:rPr>
          <w:rFonts w:eastAsia="Times New Roman"/>
          <w:szCs w:val="20"/>
        </w:rPr>
        <w:t xml:space="preserve"> shown in Table 1, indicates that the maximum plant height 216.22 cm was observed in treatment T</w:t>
      </w:r>
      <w:r w:rsidR="005017D5" w:rsidRPr="00F46CB4">
        <w:rPr>
          <w:rFonts w:eastAsia="Times New Roman"/>
          <w:szCs w:val="20"/>
          <w:vertAlign w:val="subscript"/>
        </w:rPr>
        <w:t>7</w:t>
      </w:r>
      <w:r w:rsidR="005017D5" w:rsidRPr="00F46CB4">
        <w:rPr>
          <w:rFonts w:eastAsia="Times New Roman"/>
          <w:szCs w:val="20"/>
        </w:rPr>
        <w:t xml:space="preserve"> (NPK 1.5g + Zinc 100 ppm + Boron 100 ppm per plant). This was followed by treatment T</w:t>
      </w:r>
      <w:r w:rsidR="005017D5" w:rsidRPr="00F46CB4">
        <w:rPr>
          <w:rFonts w:eastAsia="Times New Roman"/>
          <w:szCs w:val="20"/>
          <w:vertAlign w:val="subscript"/>
        </w:rPr>
        <w:t>5</w:t>
      </w:r>
      <w:r w:rsidR="005017D5" w:rsidRPr="00F46CB4">
        <w:rPr>
          <w:rFonts w:eastAsia="Times New Roman"/>
          <w:szCs w:val="20"/>
        </w:rPr>
        <w:t xml:space="preserve"> with a height of 207.67 cm, T</w:t>
      </w:r>
      <w:r w:rsidR="005017D5" w:rsidRPr="00F46CB4">
        <w:rPr>
          <w:rFonts w:eastAsia="Times New Roman"/>
          <w:szCs w:val="20"/>
          <w:vertAlign w:val="subscript"/>
        </w:rPr>
        <w:t>6</w:t>
      </w:r>
      <w:r w:rsidR="005017D5" w:rsidRPr="00F46CB4">
        <w:rPr>
          <w:rFonts w:eastAsia="Times New Roman"/>
          <w:szCs w:val="20"/>
        </w:rPr>
        <w:t xml:space="preserve"> with 176.56 cm, and T</w:t>
      </w:r>
      <w:r w:rsidR="005017D5" w:rsidRPr="00F46CB4">
        <w:rPr>
          <w:rFonts w:eastAsia="Times New Roman"/>
          <w:szCs w:val="20"/>
          <w:vertAlign w:val="subscript"/>
        </w:rPr>
        <w:t>4</w:t>
      </w:r>
      <w:r w:rsidR="005017D5" w:rsidRPr="00F46CB4">
        <w:rPr>
          <w:rFonts w:eastAsia="Times New Roman"/>
          <w:szCs w:val="20"/>
        </w:rPr>
        <w:t xml:space="preserve"> with 166.67 cm</w:t>
      </w:r>
      <w:r w:rsidR="000308BD" w:rsidRPr="00F46CB4">
        <w:rPr>
          <w:rFonts w:eastAsia="Times New Roman"/>
          <w:szCs w:val="20"/>
        </w:rPr>
        <w:t xml:space="preserve"> while</w:t>
      </w:r>
      <w:r w:rsidR="005017D5" w:rsidRPr="00F46CB4">
        <w:rPr>
          <w:rFonts w:eastAsia="Times New Roman"/>
          <w:szCs w:val="20"/>
        </w:rPr>
        <w:t xml:space="preserve"> the minimum </w:t>
      </w:r>
      <w:r w:rsidR="000308BD" w:rsidRPr="00F46CB4">
        <w:rPr>
          <w:rFonts w:eastAsia="Times New Roman"/>
          <w:szCs w:val="20"/>
        </w:rPr>
        <w:t xml:space="preserve">plant </w:t>
      </w:r>
      <w:r w:rsidR="005017D5" w:rsidRPr="00F46CB4">
        <w:rPr>
          <w:rFonts w:eastAsia="Times New Roman"/>
          <w:szCs w:val="20"/>
        </w:rPr>
        <w:t>height</w:t>
      </w:r>
      <w:r w:rsidR="000308BD" w:rsidRPr="00F46CB4">
        <w:rPr>
          <w:rFonts w:eastAsia="Times New Roman"/>
          <w:szCs w:val="20"/>
        </w:rPr>
        <w:t xml:space="preserve"> of tomato was</w:t>
      </w:r>
      <w:r w:rsidR="005017D5" w:rsidRPr="00F46CB4">
        <w:rPr>
          <w:rFonts w:eastAsia="Times New Roman"/>
          <w:szCs w:val="20"/>
        </w:rPr>
        <w:t xml:space="preserve"> recorded in the control treatment T</w:t>
      </w:r>
      <w:r w:rsidR="005017D5" w:rsidRPr="00F46CB4">
        <w:rPr>
          <w:rFonts w:eastAsia="Times New Roman"/>
          <w:szCs w:val="20"/>
          <w:vertAlign w:val="subscript"/>
        </w:rPr>
        <w:t>1</w:t>
      </w:r>
      <w:r w:rsidR="005017D5" w:rsidRPr="00F46CB4">
        <w:rPr>
          <w:rFonts w:eastAsia="Times New Roman"/>
          <w:szCs w:val="20"/>
        </w:rPr>
        <w:t xml:space="preserve"> (142.33 cm). The application of</w:t>
      </w:r>
      <w:r w:rsidR="000308BD" w:rsidRPr="00F46CB4">
        <w:rPr>
          <w:rFonts w:eastAsia="Times New Roman"/>
          <w:szCs w:val="20"/>
        </w:rPr>
        <w:t xml:space="preserve"> micronutrients </w:t>
      </w:r>
      <w:proofErr w:type="spellStart"/>
      <w:proofErr w:type="gramStart"/>
      <w:r w:rsidR="000308BD" w:rsidRPr="00F46CB4">
        <w:rPr>
          <w:rFonts w:eastAsia="Times New Roman"/>
          <w:szCs w:val="20"/>
        </w:rPr>
        <w:t>viz</w:t>
      </w:r>
      <w:r w:rsidR="004D50BE" w:rsidRPr="00F46CB4">
        <w:rPr>
          <w:rFonts w:eastAsia="Times New Roman"/>
          <w:szCs w:val="20"/>
        </w:rPr>
        <w:t>.,z</w:t>
      </w:r>
      <w:r w:rsidR="005017D5" w:rsidRPr="00F46CB4">
        <w:rPr>
          <w:rFonts w:eastAsia="Times New Roman"/>
          <w:szCs w:val="20"/>
        </w:rPr>
        <w:t>inc</w:t>
      </w:r>
      <w:proofErr w:type="spellEnd"/>
      <w:proofErr w:type="gramEnd"/>
      <w:r w:rsidR="005017D5" w:rsidRPr="00F46CB4">
        <w:rPr>
          <w:rFonts w:eastAsia="Times New Roman"/>
          <w:szCs w:val="20"/>
        </w:rPr>
        <w:t xml:space="preserve"> and </w:t>
      </w:r>
      <w:r w:rsidR="004D50BE" w:rsidRPr="00F46CB4">
        <w:rPr>
          <w:rFonts w:eastAsia="Times New Roman"/>
          <w:szCs w:val="20"/>
        </w:rPr>
        <w:t>b</w:t>
      </w:r>
      <w:r w:rsidR="005017D5" w:rsidRPr="00F46CB4">
        <w:rPr>
          <w:rFonts w:eastAsia="Times New Roman"/>
          <w:szCs w:val="20"/>
        </w:rPr>
        <w:t xml:space="preserve">oron </w:t>
      </w:r>
      <w:r w:rsidR="004D50BE" w:rsidRPr="00F46CB4">
        <w:rPr>
          <w:rFonts w:eastAsia="Times New Roman"/>
          <w:szCs w:val="20"/>
        </w:rPr>
        <w:t>were</w:t>
      </w:r>
      <w:r w:rsidR="005017D5" w:rsidRPr="00F46CB4">
        <w:rPr>
          <w:rFonts w:eastAsia="Times New Roman"/>
          <w:szCs w:val="20"/>
        </w:rPr>
        <w:t xml:space="preserve"> found to positively influence</w:t>
      </w:r>
      <w:r w:rsidR="004D50BE" w:rsidRPr="00F46CB4">
        <w:rPr>
          <w:rFonts w:eastAsia="Times New Roman"/>
          <w:szCs w:val="20"/>
        </w:rPr>
        <w:t xml:space="preserve"> the</w:t>
      </w:r>
      <w:r w:rsidR="005017D5" w:rsidRPr="00F46CB4">
        <w:rPr>
          <w:rFonts w:eastAsia="Times New Roman"/>
          <w:szCs w:val="20"/>
        </w:rPr>
        <w:t xml:space="preserve"> plant height. The increase in height was likely due to the foliar application of these micronutrients, as supported by previous studies, such as those by Singh and Tiwari (2013). Zinc aids in auxin synthesis, and in combination with Boron, it plays a crucial role in cell wall formation and cell differentiation in plants (Patil </w:t>
      </w:r>
      <w:r w:rsidR="005017D5" w:rsidRPr="00F46CB4">
        <w:rPr>
          <w:rFonts w:eastAsia="Times New Roman"/>
          <w:i/>
          <w:iCs/>
          <w:szCs w:val="20"/>
        </w:rPr>
        <w:t>et al</w:t>
      </w:r>
      <w:r w:rsidR="005017D5" w:rsidRPr="00F46CB4">
        <w:rPr>
          <w:rFonts w:eastAsia="Times New Roman"/>
          <w:szCs w:val="20"/>
        </w:rPr>
        <w:t xml:space="preserve"> 2008).</w:t>
      </w:r>
    </w:p>
    <w:p w14:paraId="7CA4A05B" w14:textId="77777777" w:rsidR="002C4133" w:rsidRPr="00E2244C" w:rsidRDefault="00E2244C" w:rsidP="006735E6">
      <w:pPr>
        <w:spacing w:before="100" w:beforeAutospacing="1" w:after="100" w:afterAutospacing="1" w:line="240" w:lineRule="auto"/>
        <w:ind w:left="0" w:firstLine="0"/>
        <w:rPr>
          <w:rFonts w:eastAsia="Times New Roman"/>
          <w:szCs w:val="20"/>
        </w:rPr>
      </w:pPr>
      <w:r w:rsidRPr="00E2244C">
        <w:rPr>
          <w:b/>
          <w:bCs/>
          <w:szCs w:val="20"/>
        </w:rPr>
        <w:lastRenderedPageBreak/>
        <w:t xml:space="preserve">3.1.2 </w:t>
      </w:r>
      <w:r w:rsidR="002671D2" w:rsidRPr="00E2244C">
        <w:rPr>
          <w:b/>
          <w:bCs/>
          <w:szCs w:val="20"/>
        </w:rPr>
        <w:t xml:space="preserve">Number of leaves per </w:t>
      </w:r>
      <w:proofErr w:type="spellStart"/>
      <w:proofErr w:type="gramStart"/>
      <w:r w:rsidR="002671D2" w:rsidRPr="00E2244C">
        <w:rPr>
          <w:b/>
          <w:bCs/>
          <w:szCs w:val="20"/>
        </w:rPr>
        <w:t>plant</w:t>
      </w:r>
      <w:r w:rsidR="00230CDD" w:rsidRPr="00E2244C">
        <w:rPr>
          <w:b/>
          <w:bCs/>
          <w:szCs w:val="20"/>
        </w:rPr>
        <w:t>:</w:t>
      </w:r>
      <w:r w:rsidR="002C4133" w:rsidRPr="00E2244C">
        <w:rPr>
          <w:szCs w:val="20"/>
        </w:rPr>
        <w:t>The</w:t>
      </w:r>
      <w:proofErr w:type="spellEnd"/>
      <w:proofErr w:type="gramEnd"/>
      <w:r w:rsidR="002C4133" w:rsidRPr="00E2244C">
        <w:rPr>
          <w:szCs w:val="20"/>
        </w:rPr>
        <w:t xml:space="preserve"> </w:t>
      </w:r>
      <w:r w:rsidR="00E21BFC" w:rsidRPr="00E2244C">
        <w:rPr>
          <w:szCs w:val="20"/>
        </w:rPr>
        <w:t>results</w:t>
      </w:r>
      <w:r w:rsidR="002C4133" w:rsidRPr="00E2244C">
        <w:rPr>
          <w:szCs w:val="20"/>
        </w:rPr>
        <w:t xml:space="preserve"> on the number of leaves per plant</w:t>
      </w:r>
      <w:r w:rsidR="00E21BFC" w:rsidRPr="00E2244C">
        <w:rPr>
          <w:szCs w:val="20"/>
        </w:rPr>
        <w:t xml:space="preserve"> </w:t>
      </w:r>
      <w:proofErr w:type="spellStart"/>
      <w:r w:rsidR="00E21BFC" w:rsidRPr="00E2244C">
        <w:rPr>
          <w:szCs w:val="20"/>
        </w:rPr>
        <w:t>arepresented</w:t>
      </w:r>
      <w:proofErr w:type="spellEnd"/>
      <w:r w:rsidR="00E21BFC" w:rsidRPr="00E2244C">
        <w:rPr>
          <w:szCs w:val="20"/>
        </w:rPr>
        <w:t xml:space="preserve"> </w:t>
      </w:r>
      <w:r w:rsidR="002C4133" w:rsidRPr="00E2244C">
        <w:rPr>
          <w:szCs w:val="20"/>
        </w:rPr>
        <w:t>in Table 1, indicating that the highest leaf count (31.47) was recorded in treatment T</w:t>
      </w:r>
      <w:r w:rsidR="002C4133" w:rsidRPr="00E2244C">
        <w:rPr>
          <w:szCs w:val="20"/>
          <w:vertAlign w:val="subscript"/>
        </w:rPr>
        <w:t>7</w:t>
      </w:r>
      <w:r w:rsidR="002C4133" w:rsidRPr="00E2244C">
        <w:rPr>
          <w:szCs w:val="20"/>
        </w:rPr>
        <w:t xml:space="preserve"> (NPK 1.5 g + Zinc 100 ppm + Boron 100 ppm per plant). This was followed by T</w:t>
      </w:r>
      <w:r w:rsidR="002C4133" w:rsidRPr="00E2244C">
        <w:rPr>
          <w:szCs w:val="20"/>
          <w:vertAlign w:val="subscript"/>
        </w:rPr>
        <w:t>6</w:t>
      </w:r>
      <w:r w:rsidR="002C4133" w:rsidRPr="00E2244C">
        <w:rPr>
          <w:szCs w:val="20"/>
        </w:rPr>
        <w:t xml:space="preserve"> with 30.35 leaves, T</w:t>
      </w:r>
      <w:r w:rsidR="002C4133" w:rsidRPr="00E2244C">
        <w:rPr>
          <w:szCs w:val="20"/>
          <w:vertAlign w:val="subscript"/>
        </w:rPr>
        <w:t>5</w:t>
      </w:r>
      <w:r w:rsidR="002C4133" w:rsidRPr="00E2244C">
        <w:rPr>
          <w:szCs w:val="20"/>
        </w:rPr>
        <w:t xml:space="preserve"> with 29.23 leaves, and T</w:t>
      </w:r>
      <w:r w:rsidR="002C4133" w:rsidRPr="00E2244C">
        <w:rPr>
          <w:szCs w:val="20"/>
          <w:vertAlign w:val="subscript"/>
        </w:rPr>
        <w:t>4</w:t>
      </w:r>
      <w:r w:rsidR="002C4133" w:rsidRPr="00E2244C">
        <w:rPr>
          <w:szCs w:val="20"/>
        </w:rPr>
        <w:t xml:space="preserve"> with 27.33 leaves per plant</w:t>
      </w:r>
      <w:r w:rsidR="00E21BFC" w:rsidRPr="00E2244C">
        <w:rPr>
          <w:szCs w:val="20"/>
        </w:rPr>
        <w:t xml:space="preserve"> while </w:t>
      </w:r>
      <w:r w:rsidR="002C4133" w:rsidRPr="00E2244C">
        <w:rPr>
          <w:szCs w:val="20"/>
        </w:rPr>
        <w:t xml:space="preserve">the lowest leaf count </w:t>
      </w:r>
      <w:r w:rsidR="00E21BFC" w:rsidRPr="00E2244C">
        <w:rPr>
          <w:szCs w:val="20"/>
        </w:rPr>
        <w:t xml:space="preserve">was </w:t>
      </w:r>
      <w:r w:rsidR="002C4133" w:rsidRPr="00E2244C">
        <w:rPr>
          <w:szCs w:val="20"/>
        </w:rPr>
        <w:t>recorded in the control treatment T</w:t>
      </w:r>
      <w:r w:rsidR="002C4133" w:rsidRPr="00E2244C">
        <w:rPr>
          <w:szCs w:val="20"/>
          <w:vertAlign w:val="subscript"/>
        </w:rPr>
        <w:t>1</w:t>
      </w:r>
      <w:r w:rsidR="002C4133" w:rsidRPr="00E2244C">
        <w:rPr>
          <w:szCs w:val="20"/>
        </w:rPr>
        <w:t xml:space="preserve"> (18.33). The observed increase in the number of leaves per plant may be attributed to the adequate supply of</w:t>
      </w:r>
      <w:r w:rsidR="00E21BFC" w:rsidRPr="00E2244C">
        <w:rPr>
          <w:szCs w:val="20"/>
        </w:rPr>
        <w:t xml:space="preserve"> macro as well as micronutrients </w:t>
      </w:r>
      <w:r w:rsidR="002C4133" w:rsidRPr="00E2244C">
        <w:rPr>
          <w:szCs w:val="20"/>
        </w:rPr>
        <w:t xml:space="preserve">through foliar application, which likely provided optimal growing conditions and balanced nutrition (Akand et al., 2016). These findings are consistent with earlier studies on the impact of foliar application of boron and zinc on tomato growth and yield (Harris and </w:t>
      </w:r>
      <w:proofErr w:type="spellStart"/>
      <w:r w:rsidR="002C4133" w:rsidRPr="00E2244C">
        <w:rPr>
          <w:szCs w:val="20"/>
        </w:rPr>
        <w:t>Mathuma</w:t>
      </w:r>
      <w:proofErr w:type="spellEnd"/>
      <w:r w:rsidR="002C4133" w:rsidRPr="00E2244C">
        <w:rPr>
          <w:szCs w:val="20"/>
        </w:rPr>
        <w:t>, 2015).</w:t>
      </w:r>
    </w:p>
    <w:p w14:paraId="52A8C210" w14:textId="77777777" w:rsidR="00263E73" w:rsidRPr="00E2244C" w:rsidRDefault="00E2244C" w:rsidP="006735E6">
      <w:pPr>
        <w:tabs>
          <w:tab w:val="left" w:pos="8225"/>
        </w:tabs>
        <w:ind w:left="0" w:firstLine="0"/>
        <w:rPr>
          <w:rFonts w:eastAsia="Times New Roman"/>
          <w:color w:val="auto"/>
          <w:szCs w:val="20"/>
        </w:rPr>
      </w:pPr>
      <w:r>
        <w:rPr>
          <w:b/>
          <w:bCs/>
          <w:szCs w:val="20"/>
        </w:rPr>
        <w:t xml:space="preserve">3.1.3 </w:t>
      </w:r>
      <w:r w:rsidR="004708C9" w:rsidRPr="00E2244C">
        <w:rPr>
          <w:b/>
          <w:bCs/>
          <w:szCs w:val="20"/>
        </w:rPr>
        <w:t xml:space="preserve">Number of Flowers per plant: </w:t>
      </w:r>
      <w:r w:rsidR="00263E73" w:rsidRPr="00E2244C">
        <w:rPr>
          <w:szCs w:val="20"/>
        </w:rPr>
        <w:t>The observations</w:t>
      </w:r>
      <w:r w:rsidR="00E21BFC" w:rsidRPr="00E2244C">
        <w:rPr>
          <w:szCs w:val="20"/>
        </w:rPr>
        <w:t xml:space="preserve"> recorded</w:t>
      </w:r>
      <w:r w:rsidR="00263E73" w:rsidRPr="00E2244C">
        <w:rPr>
          <w:szCs w:val="20"/>
        </w:rPr>
        <w:t xml:space="preserve"> on the number of flowers per plant are presented in Table 1. The highest number of flowers per plant (55.85) was recorded in treatment T</w:t>
      </w:r>
      <w:r w:rsidR="00263E73" w:rsidRPr="00E2244C">
        <w:rPr>
          <w:szCs w:val="20"/>
          <w:vertAlign w:val="subscript"/>
        </w:rPr>
        <w:t>7</w:t>
      </w:r>
      <w:r w:rsidR="00263E73" w:rsidRPr="00E2244C">
        <w:rPr>
          <w:szCs w:val="20"/>
        </w:rPr>
        <w:t xml:space="preserve"> (NPK 1.5 g + Zinc 100 ppm + Boron 100 ppm per plant), followed by T</w:t>
      </w:r>
      <w:r w:rsidR="00263E73" w:rsidRPr="00E2244C">
        <w:rPr>
          <w:szCs w:val="20"/>
          <w:vertAlign w:val="subscript"/>
        </w:rPr>
        <w:t>6</w:t>
      </w:r>
      <w:r w:rsidR="00263E73" w:rsidRPr="00E2244C">
        <w:rPr>
          <w:szCs w:val="20"/>
        </w:rPr>
        <w:t xml:space="preserve"> (50.92), T</w:t>
      </w:r>
      <w:r w:rsidR="00263E73" w:rsidRPr="00E2244C">
        <w:rPr>
          <w:szCs w:val="20"/>
          <w:vertAlign w:val="subscript"/>
        </w:rPr>
        <w:t>5</w:t>
      </w:r>
      <w:r w:rsidR="00263E73" w:rsidRPr="00E2244C">
        <w:rPr>
          <w:szCs w:val="20"/>
        </w:rPr>
        <w:t xml:space="preserve"> (45.99), and T</w:t>
      </w:r>
      <w:r w:rsidR="00263E73" w:rsidRPr="00E2244C">
        <w:rPr>
          <w:szCs w:val="20"/>
          <w:vertAlign w:val="subscript"/>
        </w:rPr>
        <w:t>4</w:t>
      </w:r>
      <w:r w:rsidR="00263E73" w:rsidRPr="00E2244C">
        <w:rPr>
          <w:szCs w:val="20"/>
        </w:rPr>
        <w:t xml:space="preserve"> (39.63). Among all treatments, T</w:t>
      </w:r>
      <w:r w:rsidR="00263E73" w:rsidRPr="00E2244C">
        <w:rPr>
          <w:szCs w:val="20"/>
          <w:vertAlign w:val="subscript"/>
        </w:rPr>
        <w:t>7</w:t>
      </w:r>
      <w:r w:rsidR="00263E73" w:rsidRPr="00E2244C">
        <w:rPr>
          <w:szCs w:val="20"/>
        </w:rPr>
        <w:t xml:space="preserve"> was found to be statistically significant and was considered at par with other higher-performing </w:t>
      </w:r>
      <w:proofErr w:type="spellStart"/>
      <w:proofErr w:type="gramStart"/>
      <w:r w:rsidR="00263E73" w:rsidRPr="00E2244C">
        <w:rPr>
          <w:szCs w:val="20"/>
        </w:rPr>
        <w:t>treatments.</w:t>
      </w:r>
      <w:r w:rsidR="00263E73" w:rsidRPr="00E2244C">
        <w:rPr>
          <w:rFonts w:eastAsia="Times New Roman"/>
          <w:color w:val="auto"/>
          <w:szCs w:val="20"/>
        </w:rPr>
        <w:t>The</w:t>
      </w:r>
      <w:proofErr w:type="spellEnd"/>
      <w:proofErr w:type="gramEnd"/>
      <w:r w:rsidR="00263E73" w:rsidRPr="00E2244C">
        <w:rPr>
          <w:rFonts w:eastAsia="Times New Roman"/>
          <w:color w:val="auto"/>
          <w:szCs w:val="20"/>
        </w:rPr>
        <w:t xml:space="preserve"> minimum number of flowers per plant (20.00) was recorded in treatment T</w:t>
      </w:r>
      <w:r w:rsidR="00263E73" w:rsidRPr="00E2244C">
        <w:rPr>
          <w:rFonts w:eastAsia="Times New Roman"/>
          <w:color w:val="auto"/>
          <w:szCs w:val="20"/>
          <w:vertAlign w:val="subscript"/>
        </w:rPr>
        <w:t>1</w:t>
      </w:r>
      <w:r w:rsidR="00263E73" w:rsidRPr="00E2244C">
        <w:rPr>
          <w:rFonts w:eastAsia="Times New Roman"/>
          <w:color w:val="auto"/>
          <w:szCs w:val="20"/>
        </w:rPr>
        <w:t xml:space="preserve"> (Control). This lower flower count may be attributed to the absence of essential nutrients, particularly macronutrients, which are crucial for overall plant growth and reproductive development. Adequate nitrogen availability plays a key role in promoting vegetative growth, accelerating reproductive development, and enhancing protein synthesis, all of which contribute to improved yield parameters (Biswas et al., 2015; Rani and Tripura, 2021).</w:t>
      </w:r>
    </w:p>
    <w:p w14:paraId="2F29B528" w14:textId="77777777" w:rsidR="006735E6" w:rsidRPr="00E2244C" w:rsidRDefault="006735E6" w:rsidP="006735E6">
      <w:pPr>
        <w:tabs>
          <w:tab w:val="left" w:pos="8225"/>
        </w:tabs>
        <w:ind w:left="0" w:firstLine="0"/>
        <w:rPr>
          <w:rStyle w:val="Heading2Char"/>
          <w:bCs/>
          <w:szCs w:val="20"/>
        </w:rPr>
      </w:pPr>
    </w:p>
    <w:p w14:paraId="6E179519" w14:textId="77777777" w:rsidR="005545C9" w:rsidRPr="00E2244C" w:rsidRDefault="00E2244C" w:rsidP="006735E6">
      <w:pPr>
        <w:tabs>
          <w:tab w:val="left" w:pos="8225"/>
        </w:tabs>
        <w:ind w:left="0" w:firstLine="0"/>
        <w:rPr>
          <w:rFonts w:eastAsia="Times New Roman"/>
          <w:b/>
          <w:bCs/>
          <w:szCs w:val="20"/>
        </w:rPr>
      </w:pPr>
      <w:r>
        <w:rPr>
          <w:rStyle w:val="Heading2Char"/>
          <w:bCs/>
          <w:szCs w:val="20"/>
        </w:rPr>
        <w:t>3.1.4</w:t>
      </w:r>
      <w:r w:rsidR="005545C9" w:rsidRPr="00E2244C">
        <w:rPr>
          <w:rStyle w:val="Heading2Char"/>
          <w:bCs/>
          <w:szCs w:val="20"/>
        </w:rPr>
        <w:t>Days to 50% flowering</w:t>
      </w:r>
      <w:r w:rsidR="009645C5" w:rsidRPr="00E2244C">
        <w:rPr>
          <w:rStyle w:val="Heading2Char"/>
          <w:rFonts w:eastAsia="Times New Roman"/>
          <w:bCs/>
          <w:szCs w:val="20"/>
        </w:rPr>
        <w:t xml:space="preserve">: </w:t>
      </w:r>
      <w:r w:rsidR="005545C9" w:rsidRPr="00E2244C">
        <w:rPr>
          <w:rFonts w:eastAsia="Times New Roman"/>
          <w:szCs w:val="20"/>
        </w:rPr>
        <w:t xml:space="preserve">The observations on the number of days required to reach 50% flowering are presented in </w:t>
      </w:r>
      <w:r w:rsidR="005545C9" w:rsidRPr="00E2244C">
        <w:rPr>
          <w:rFonts w:eastAsia="Times New Roman"/>
          <w:bCs/>
          <w:szCs w:val="20"/>
        </w:rPr>
        <w:t xml:space="preserve">Table </w:t>
      </w:r>
      <w:r w:rsidR="0016276C" w:rsidRPr="00E2244C">
        <w:rPr>
          <w:rFonts w:eastAsia="Times New Roman"/>
          <w:bCs/>
          <w:szCs w:val="20"/>
        </w:rPr>
        <w:t>1</w:t>
      </w:r>
      <w:r w:rsidR="005545C9" w:rsidRPr="00E2244C">
        <w:rPr>
          <w:rFonts w:eastAsia="Times New Roman"/>
          <w:szCs w:val="20"/>
        </w:rPr>
        <w:t xml:space="preserve">. Among all treatments, </w:t>
      </w:r>
      <w:r w:rsidR="005545C9" w:rsidRPr="00E2244C">
        <w:rPr>
          <w:rFonts w:eastAsia="Times New Roman"/>
          <w:bCs/>
          <w:szCs w:val="20"/>
        </w:rPr>
        <w:t>T</w:t>
      </w:r>
      <w:r w:rsidR="005545C9" w:rsidRPr="00E2244C">
        <w:rPr>
          <w:rFonts w:eastAsia="Times New Roman"/>
          <w:bCs/>
          <w:szCs w:val="20"/>
          <w:vertAlign w:val="subscript"/>
        </w:rPr>
        <w:t>7</w:t>
      </w:r>
      <w:r w:rsidR="005545C9" w:rsidRPr="00E2244C">
        <w:rPr>
          <w:rFonts w:eastAsia="Times New Roman"/>
          <w:szCs w:val="20"/>
        </w:rPr>
        <w:t xml:space="preserve"> (NPK 1.5g + Zinc 100 ppm + Boron 100 ppm /plant) recorded the shortest period to reach 50% flowering at </w:t>
      </w:r>
      <w:r w:rsidR="005545C9" w:rsidRPr="00E2244C">
        <w:rPr>
          <w:rFonts w:eastAsia="Times New Roman"/>
          <w:bCs/>
          <w:szCs w:val="20"/>
        </w:rPr>
        <w:t>40.58 days</w:t>
      </w:r>
      <w:r w:rsidR="005545C9" w:rsidRPr="00E2244C">
        <w:rPr>
          <w:rFonts w:eastAsia="Times New Roman"/>
          <w:szCs w:val="20"/>
        </w:rPr>
        <w:t xml:space="preserve">, followed by </w:t>
      </w:r>
      <w:r w:rsidR="005545C9" w:rsidRPr="00E2244C">
        <w:rPr>
          <w:rFonts w:eastAsia="Times New Roman"/>
          <w:bCs/>
          <w:szCs w:val="20"/>
        </w:rPr>
        <w:t>T</w:t>
      </w:r>
      <w:r w:rsidR="005545C9" w:rsidRPr="00E2244C">
        <w:rPr>
          <w:rFonts w:eastAsia="Times New Roman"/>
          <w:bCs/>
          <w:szCs w:val="20"/>
          <w:vertAlign w:val="subscript"/>
        </w:rPr>
        <w:t>6</w:t>
      </w:r>
      <w:r w:rsidR="005545C9" w:rsidRPr="00E2244C">
        <w:rPr>
          <w:rFonts w:eastAsia="Times New Roman"/>
          <w:szCs w:val="20"/>
        </w:rPr>
        <w:t xml:space="preserve"> (41.65 days), </w:t>
      </w:r>
      <w:r w:rsidR="005545C9" w:rsidRPr="00E2244C">
        <w:rPr>
          <w:rFonts w:eastAsia="Times New Roman"/>
          <w:bCs/>
          <w:szCs w:val="20"/>
        </w:rPr>
        <w:t>T</w:t>
      </w:r>
      <w:r w:rsidR="005545C9" w:rsidRPr="00E2244C">
        <w:rPr>
          <w:rFonts w:eastAsia="Times New Roman"/>
          <w:bCs/>
          <w:szCs w:val="20"/>
          <w:vertAlign w:val="subscript"/>
        </w:rPr>
        <w:t>5</w:t>
      </w:r>
      <w:r w:rsidR="005545C9" w:rsidRPr="00E2244C">
        <w:rPr>
          <w:rFonts w:eastAsia="Times New Roman"/>
          <w:szCs w:val="20"/>
        </w:rPr>
        <w:t xml:space="preserve"> (42.77 days), and </w:t>
      </w:r>
      <w:r w:rsidR="005545C9" w:rsidRPr="00E2244C">
        <w:rPr>
          <w:rFonts w:eastAsia="Times New Roman"/>
          <w:bCs/>
          <w:szCs w:val="20"/>
        </w:rPr>
        <w:t>T</w:t>
      </w:r>
      <w:r w:rsidR="005545C9" w:rsidRPr="00E2244C">
        <w:rPr>
          <w:rFonts w:eastAsia="Times New Roman"/>
          <w:bCs/>
          <w:szCs w:val="20"/>
          <w:vertAlign w:val="subscript"/>
        </w:rPr>
        <w:t>4</w:t>
      </w:r>
      <w:r w:rsidR="005545C9" w:rsidRPr="00E2244C">
        <w:rPr>
          <w:rFonts w:eastAsia="Times New Roman"/>
          <w:szCs w:val="20"/>
        </w:rPr>
        <w:t xml:space="preserve">(43.86 days). In contrast, the </w:t>
      </w:r>
      <w:r w:rsidR="00F17C4A" w:rsidRPr="00E2244C">
        <w:rPr>
          <w:rFonts w:eastAsia="Times New Roman"/>
          <w:szCs w:val="20"/>
        </w:rPr>
        <w:t>maximum days to</w:t>
      </w:r>
      <w:r w:rsidR="005545C9" w:rsidRPr="00E2244C">
        <w:rPr>
          <w:rFonts w:eastAsia="Times New Roman"/>
          <w:szCs w:val="20"/>
        </w:rPr>
        <w:t xml:space="preserve"> 50% flowering was observed in the control group, </w:t>
      </w:r>
      <w:r w:rsidR="005545C9" w:rsidRPr="00E2244C">
        <w:rPr>
          <w:rFonts w:eastAsia="Times New Roman"/>
          <w:bCs/>
          <w:szCs w:val="20"/>
        </w:rPr>
        <w:t>T</w:t>
      </w:r>
      <w:r w:rsidR="00FD4180" w:rsidRPr="00E2244C">
        <w:rPr>
          <w:rFonts w:eastAsia="Times New Roman"/>
          <w:bCs/>
          <w:szCs w:val="20"/>
          <w:vertAlign w:val="subscript"/>
        </w:rPr>
        <w:t>1</w:t>
      </w:r>
      <w:r w:rsidR="005545C9" w:rsidRPr="00E2244C">
        <w:rPr>
          <w:rFonts w:eastAsia="Times New Roman"/>
          <w:szCs w:val="20"/>
        </w:rPr>
        <w:t xml:space="preserve"> (Distilled water), where flowering was recorded at </w:t>
      </w:r>
      <w:r w:rsidR="005545C9" w:rsidRPr="00E2244C">
        <w:rPr>
          <w:rFonts w:eastAsia="Times New Roman"/>
          <w:bCs/>
          <w:szCs w:val="20"/>
        </w:rPr>
        <w:t xml:space="preserve">47.18 </w:t>
      </w:r>
      <w:proofErr w:type="spellStart"/>
      <w:proofErr w:type="gramStart"/>
      <w:r w:rsidR="005545C9" w:rsidRPr="00E2244C">
        <w:rPr>
          <w:rFonts w:eastAsia="Times New Roman"/>
          <w:bCs/>
          <w:szCs w:val="20"/>
        </w:rPr>
        <w:t>days</w:t>
      </w:r>
      <w:r w:rsidR="005545C9" w:rsidRPr="00E2244C">
        <w:rPr>
          <w:rFonts w:eastAsia="Times New Roman"/>
          <w:szCs w:val="20"/>
        </w:rPr>
        <w:t>.The</w:t>
      </w:r>
      <w:proofErr w:type="spellEnd"/>
      <w:proofErr w:type="gramEnd"/>
      <w:r w:rsidR="005545C9" w:rsidRPr="00E2244C">
        <w:rPr>
          <w:rFonts w:eastAsia="Times New Roman"/>
          <w:szCs w:val="20"/>
        </w:rPr>
        <w:t xml:space="preserve"> earlier flowering observed in nutrient-supplemented treatments can likely be attributed to the balanced availability of essential nutrients, particularly nitrogen, which plays a vital role in promoting cell division and differentiation. However, an excessive nitrogen supply may prolong the vegetative phase, disrupting the carbon-to-nitrogen (</w:t>
      </w:r>
      <w:r w:rsidR="00FD4180" w:rsidRPr="00E2244C">
        <w:rPr>
          <w:rFonts w:eastAsia="Times New Roman"/>
          <w:szCs w:val="20"/>
        </w:rPr>
        <w:t>C: N</w:t>
      </w:r>
      <w:r w:rsidR="005545C9" w:rsidRPr="00E2244C">
        <w:rPr>
          <w:rFonts w:eastAsia="Times New Roman"/>
          <w:szCs w:val="20"/>
        </w:rPr>
        <w:t xml:space="preserve">) balance and consequently delaying the transition to reproductive growth. These findings are consistent with the results reported by </w:t>
      </w:r>
      <w:r w:rsidR="005545C9" w:rsidRPr="00E2244C">
        <w:rPr>
          <w:rFonts w:eastAsia="Times New Roman"/>
          <w:bCs/>
          <w:szCs w:val="20"/>
        </w:rPr>
        <w:t>Prativa et al. (2011)</w:t>
      </w:r>
      <w:r w:rsidR="005545C9" w:rsidRPr="00E2244C">
        <w:rPr>
          <w:rFonts w:eastAsia="Times New Roman"/>
          <w:szCs w:val="20"/>
        </w:rPr>
        <w:t>.</w:t>
      </w:r>
    </w:p>
    <w:p w14:paraId="19BFCA8F" w14:textId="77777777" w:rsidR="00805DBE" w:rsidRDefault="00805DBE" w:rsidP="00B91DEB">
      <w:pPr>
        <w:spacing w:after="160" w:line="259" w:lineRule="auto"/>
        <w:ind w:left="0" w:right="0" w:firstLine="0"/>
        <w:jc w:val="left"/>
        <w:rPr>
          <w:rFonts w:ascii="Times New Roman" w:eastAsia="Times New Roman" w:hAnsi="Times New Roman" w:cs="Times New Roman"/>
          <w:b/>
          <w:bCs/>
          <w:sz w:val="24"/>
          <w:szCs w:val="24"/>
        </w:rPr>
      </w:pPr>
    </w:p>
    <w:p w14:paraId="6DCA87C5" w14:textId="77777777" w:rsidR="00506CD3" w:rsidRPr="00805DBE" w:rsidRDefault="00805DBE" w:rsidP="00B91DEB">
      <w:pPr>
        <w:spacing w:after="160" w:line="259" w:lineRule="auto"/>
        <w:ind w:left="0" w:right="0" w:firstLine="0"/>
        <w:jc w:val="left"/>
        <w:rPr>
          <w:rFonts w:eastAsia="Times New Roman"/>
          <w:b/>
          <w:bCs/>
          <w:sz w:val="22"/>
        </w:rPr>
      </w:pPr>
      <w:r>
        <w:rPr>
          <w:rFonts w:eastAsia="Times New Roman"/>
          <w:b/>
          <w:bCs/>
          <w:sz w:val="22"/>
        </w:rPr>
        <w:t xml:space="preserve">3.2 </w:t>
      </w:r>
      <w:r w:rsidRPr="00805DBE">
        <w:rPr>
          <w:rFonts w:eastAsia="Times New Roman"/>
          <w:b/>
          <w:bCs/>
          <w:sz w:val="22"/>
        </w:rPr>
        <w:t>FRUIT YIELD CHARACTERS</w:t>
      </w:r>
    </w:p>
    <w:p w14:paraId="0DC776C6" w14:textId="77777777" w:rsidR="00E2607C" w:rsidRPr="00A21A63" w:rsidRDefault="00A21A63" w:rsidP="00E2607C">
      <w:pPr>
        <w:spacing w:before="100" w:beforeAutospacing="1" w:after="100" w:afterAutospacing="1" w:line="240" w:lineRule="auto"/>
        <w:rPr>
          <w:rFonts w:eastAsia="Times New Roman"/>
          <w:szCs w:val="20"/>
        </w:rPr>
      </w:pPr>
      <w:r>
        <w:rPr>
          <w:rFonts w:eastAsia="Times New Roman"/>
          <w:b/>
          <w:bCs/>
          <w:szCs w:val="20"/>
        </w:rPr>
        <w:t xml:space="preserve">3.2.1 </w:t>
      </w:r>
      <w:r w:rsidR="00CC4286" w:rsidRPr="00A21A63">
        <w:rPr>
          <w:rFonts w:eastAsia="Times New Roman"/>
          <w:b/>
          <w:bCs/>
          <w:szCs w:val="20"/>
        </w:rPr>
        <w:t xml:space="preserve">Number </w:t>
      </w:r>
      <w:r w:rsidR="00B73A68" w:rsidRPr="00A21A63">
        <w:rPr>
          <w:rFonts w:eastAsia="Times New Roman"/>
          <w:b/>
          <w:bCs/>
          <w:szCs w:val="20"/>
        </w:rPr>
        <w:t xml:space="preserve">of Fruits per cluster: </w:t>
      </w:r>
      <w:r w:rsidR="00FF4436" w:rsidRPr="00A21A63">
        <w:rPr>
          <w:rFonts w:eastAsia="Times New Roman"/>
          <w:szCs w:val="20"/>
        </w:rPr>
        <w:t xml:space="preserve">The observations on the number of fruits per cluster are presented in </w:t>
      </w:r>
      <w:r w:rsidR="00FF4436" w:rsidRPr="00A21A63">
        <w:rPr>
          <w:rFonts w:eastAsia="Times New Roman"/>
          <w:bCs/>
          <w:szCs w:val="20"/>
        </w:rPr>
        <w:t xml:space="preserve">Table </w:t>
      </w:r>
      <w:r w:rsidR="0016276C" w:rsidRPr="00A21A63">
        <w:rPr>
          <w:rFonts w:eastAsia="Times New Roman"/>
          <w:bCs/>
          <w:szCs w:val="20"/>
        </w:rPr>
        <w:t>1</w:t>
      </w:r>
      <w:r w:rsidR="00E42896" w:rsidRPr="00A21A63">
        <w:rPr>
          <w:rFonts w:eastAsia="Times New Roman"/>
          <w:bCs/>
          <w:szCs w:val="20"/>
        </w:rPr>
        <w:t>.</w:t>
      </w:r>
      <w:r w:rsidR="00FF4436" w:rsidRPr="00A21A63">
        <w:rPr>
          <w:rFonts w:eastAsia="Times New Roman"/>
          <w:szCs w:val="20"/>
        </w:rPr>
        <w:t xml:space="preserve"> The highest number of fruits per cluster </w:t>
      </w:r>
      <w:r w:rsidR="00FF4436" w:rsidRPr="00A21A63">
        <w:rPr>
          <w:rFonts w:eastAsia="Times New Roman"/>
          <w:b/>
          <w:szCs w:val="20"/>
        </w:rPr>
        <w:t>(</w:t>
      </w:r>
      <w:r w:rsidR="00FF4436" w:rsidRPr="00A21A63">
        <w:rPr>
          <w:rFonts w:eastAsia="Times New Roman"/>
          <w:bCs/>
          <w:szCs w:val="20"/>
        </w:rPr>
        <w:t>8.22</w:t>
      </w:r>
      <w:r w:rsidR="00FF4436" w:rsidRPr="00A21A63">
        <w:rPr>
          <w:rFonts w:eastAsia="Times New Roman"/>
          <w:szCs w:val="20"/>
        </w:rPr>
        <w:t xml:space="preserve">) was recorded in </w:t>
      </w:r>
      <w:r w:rsidR="00FF4436" w:rsidRPr="00A21A63">
        <w:rPr>
          <w:rFonts w:eastAsia="Times New Roman"/>
          <w:bCs/>
          <w:szCs w:val="20"/>
        </w:rPr>
        <w:t>Treatment T</w:t>
      </w:r>
      <w:r w:rsidR="00FF4436" w:rsidRPr="00A21A63">
        <w:rPr>
          <w:rFonts w:eastAsia="Times New Roman"/>
          <w:bCs/>
          <w:szCs w:val="20"/>
          <w:vertAlign w:val="subscript"/>
        </w:rPr>
        <w:t>7</w:t>
      </w:r>
      <w:r w:rsidR="00FF4436" w:rsidRPr="00A21A63">
        <w:rPr>
          <w:rFonts w:eastAsia="Times New Roman"/>
          <w:szCs w:val="20"/>
        </w:rPr>
        <w:t xml:space="preserve">(NPK 1.5g + Zinc 100 ppm + Boron 100 ppm /plant), followed by </w:t>
      </w:r>
      <w:r w:rsidR="00FF4436" w:rsidRPr="00A21A63">
        <w:rPr>
          <w:rFonts w:eastAsia="Times New Roman"/>
          <w:bCs/>
          <w:szCs w:val="20"/>
        </w:rPr>
        <w:t>T</w:t>
      </w:r>
      <w:r w:rsidR="00FF4436" w:rsidRPr="00A21A63">
        <w:rPr>
          <w:rFonts w:eastAsia="Times New Roman"/>
          <w:bCs/>
          <w:szCs w:val="20"/>
          <w:vertAlign w:val="subscript"/>
        </w:rPr>
        <w:t>6</w:t>
      </w:r>
      <w:r w:rsidR="00FF4436" w:rsidRPr="00A21A63">
        <w:rPr>
          <w:rFonts w:eastAsia="Times New Roman"/>
          <w:szCs w:val="20"/>
        </w:rPr>
        <w:t xml:space="preserve">(7.56), </w:t>
      </w:r>
      <w:r w:rsidR="00FF4436" w:rsidRPr="00A21A63">
        <w:rPr>
          <w:rFonts w:eastAsia="Times New Roman"/>
          <w:bCs/>
          <w:szCs w:val="20"/>
        </w:rPr>
        <w:t>T</w:t>
      </w:r>
      <w:r w:rsidR="00FF4436" w:rsidRPr="00A21A63">
        <w:rPr>
          <w:rFonts w:eastAsia="Times New Roman"/>
          <w:bCs/>
          <w:szCs w:val="20"/>
          <w:vertAlign w:val="subscript"/>
        </w:rPr>
        <w:t>5</w:t>
      </w:r>
      <w:r w:rsidR="00FF4436" w:rsidRPr="00A21A63">
        <w:rPr>
          <w:rFonts w:eastAsia="Times New Roman"/>
          <w:szCs w:val="20"/>
        </w:rPr>
        <w:t xml:space="preserve">(7.37), and </w:t>
      </w:r>
      <w:r w:rsidR="00FF4436" w:rsidRPr="00A21A63">
        <w:rPr>
          <w:rFonts w:eastAsia="Times New Roman"/>
          <w:bCs/>
          <w:szCs w:val="20"/>
        </w:rPr>
        <w:t>T</w:t>
      </w:r>
      <w:r w:rsidR="00FF4436" w:rsidRPr="00A21A63">
        <w:rPr>
          <w:rFonts w:eastAsia="Times New Roman"/>
          <w:bCs/>
          <w:szCs w:val="20"/>
          <w:vertAlign w:val="subscript"/>
        </w:rPr>
        <w:t>4</w:t>
      </w:r>
      <w:r w:rsidR="00FF4436" w:rsidRPr="00A21A63">
        <w:rPr>
          <w:rFonts w:eastAsia="Times New Roman"/>
          <w:szCs w:val="20"/>
        </w:rPr>
        <w:t xml:space="preserve">(7.27). This increase in fruit number under nutrient-enriched treatments is likely the result of an adequate supply of essential macronutrients, which play a crucial role in supporting both vegetative and reproductive development. In particular, nitrogen is known to enhance cell division, stimulate protein synthesis, and facilitate overall plant growth, all of which contribute to improved fruit set and higher productivity. These findings are consistent with the reports of </w:t>
      </w:r>
      <w:r w:rsidR="00A0257A" w:rsidRPr="00A21A63">
        <w:rPr>
          <w:rFonts w:eastAsia="Times New Roman"/>
          <w:bCs/>
          <w:szCs w:val="20"/>
        </w:rPr>
        <w:t>(</w:t>
      </w:r>
      <w:r w:rsidR="00FD4180" w:rsidRPr="00A21A63">
        <w:rPr>
          <w:rFonts w:eastAsia="Times New Roman"/>
          <w:bCs/>
          <w:szCs w:val="20"/>
        </w:rPr>
        <w:t>Kumari</w:t>
      </w:r>
      <w:r w:rsidR="00FF4436" w:rsidRPr="00A21A63">
        <w:rPr>
          <w:rFonts w:eastAsia="Times New Roman"/>
          <w:bCs/>
          <w:szCs w:val="20"/>
        </w:rPr>
        <w:t xml:space="preserve"> and </w:t>
      </w:r>
      <w:r w:rsidR="00FD4180" w:rsidRPr="00A21A63">
        <w:rPr>
          <w:rFonts w:eastAsia="Times New Roman"/>
          <w:bCs/>
          <w:szCs w:val="20"/>
        </w:rPr>
        <w:t>Shekhar</w:t>
      </w:r>
      <w:r w:rsidR="00FF4436" w:rsidRPr="00A21A63">
        <w:rPr>
          <w:rFonts w:eastAsia="Times New Roman"/>
          <w:bCs/>
          <w:szCs w:val="20"/>
        </w:rPr>
        <w:t xml:space="preserve"> 2012</w:t>
      </w:r>
      <w:r w:rsidR="00FF4436" w:rsidRPr="00A21A63">
        <w:rPr>
          <w:rFonts w:eastAsia="Times New Roman"/>
          <w:b/>
          <w:bCs/>
          <w:szCs w:val="20"/>
        </w:rPr>
        <w:t>)</w:t>
      </w:r>
      <w:r w:rsidR="00FF4436" w:rsidRPr="00A21A63">
        <w:rPr>
          <w:rFonts w:eastAsia="Times New Roman"/>
          <w:szCs w:val="20"/>
        </w:rPr>
        <w:t xml:space="preserve"> and </w:t>
      </w:r>
      <w:r w:rsidR="00A0257A" w:rsidRPr="00A21A63">
        <w:rPr>
          <w:rFonts w:eastAsia="Times New Roman"/>
          <w:szCs w:val="20"/>
        </w:rPr>
        <w:t>(</w:t>
      </w:r>
      <w:r w:rsidR="00FF4436" w:rsidRPr="00A21A63">
        <w:rPr>
          <w:rFonts w:eastAsia="Times New Roman"/>
          <w:bCs/>
          <w:szCs w:val="20"/>
        </w:rPr>
        <w:t>Parmar et al. 2019</w:t>
      </w:r>
      <w:r w:rsidR="00FF4436" w:rsidRPr="00A21A63">
        <w:rPr>
          <w:rFonts w:eastAsia="Times New Roman"/>
          <w:b/>
          <w:bCs/>
          <w:szCs w:val="20"/>
        </w:rPr>
        <w:t>)</w:t>
      </w:r>
      <w:r w:rsidR="00FF4436" w:rsidRPr="00A21A63">
        <w:rPr>
          <w:rFonts w:eastAsia="Times New Roman"/>
          <w:szCs w:val="20"/>
        </w:rPr>
        <w:t>, who also observed similar trends in tomato yield response to balanced nutrient management.</w:t>
      </w:r>
    </w:p>
    <w:p w14:paraId="3824341D" w14:textId="77777777" w:rsidR="00CC5D3F"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3.2.2 </w:t>
      </w:r>
      <w:r w:rsidR="00124DCB" w:rsidRPr="00A21A63">
        <w:rPr>
          <w:rFonts w:eastAsia="Times New Roman"/>
          <w:b/>
          <w:bCs/>
          <w:szCs w:val="20"/>
        </w:rPr>
        <w:t xml:space="preserve">Number of Fruits per </w:t>
      </w:r>
      <w:proofErr w:type="spellStart"/>
      <w:proofErr w:type="gramStart"/>
      <w:r w:rsidR="00124DCB" w:rsidRPr="00A21A63">
        <w:rPr>
          <w:rFonts w:eastAsia="Times New Roman"/>
          <w:b/>
          <w:bCs/>
          <w:szCs w:val="20"/>
        </w:rPr>
        <w:t>plant</w:t>
      </w:r>
      <w:r w:rsidR="00CC5D3F" w:rsidRPr="00A21A63">
        <w:rPr>
          <w:rFonts w:eastAsia="Times New Roman"/>
          <w:b/>
          <w:bCs/>
          <w:szCs w:val="20"/>
        </w:rPr>
        <w:t>:</w:t>
      </w:r>
      <w:r w:rsidR="003F7A74" w:rsidRPr="00A21A63">
        <w:rPr>
          <w:rFonts w:eastAsia="Times New Roman"/>
          <w:szCs w:val="20"/>
        </w:rPr>
        <w:t>The</w:t>
      </w:r>
      <w:proofErr w:type="spellEnd"/>
      <w:proofErr w:type="gramEnd"/>
      <w:r w:rsidR="003F7A74" w:rsidRPr="00A21A63">
        <w:rPr>
          <w:rFonts w:eastAsia="Times New Roman"/>
          <w:szCs w:val="20"/>
        </w:rPr>
        <w:t xml:space="preserve"> data on the number of fruits per plant are presented in </w:t>
      </w:r>
      <w:r w:rsidR="003F7A74" w:rsidRPr="00A21A63">
        <w:rPr>
          <w:rFonts w:eastAsia="Times New Roman"/>
          <w:bCs/>
          <w:szCs w:val="20"/>
        </w:rPr>
        <w:t xml:space="preserve">Table </w:t>
      </w:r>
      <w:r w:rsidR="0016276C" w:rsidRPr="00A21A63">
        <w:rPr>
          <w:rFonts w:eastAsia="Times New Roman"/>
          <w:bCs/>
          <w:szCs w:val="20"/>
        </w:rPr>
        <w:t>1</w:t>
      </w:r>
      <w:r w:rsidR="003F7A74" w:rsidRPr="00A21A63">
        <w:rPr>
          <w:rFonts w:eastAsia="Times New Roman"/>
          <w:szCs w:val="20"/>
        </w:rPr>
        <w:t>. The highest fruit count per plant (</w:t>
      </w:r>
      <w:r w:rsidR="003F7A74" w:rsidRPr="00A21A63">
        <w:rPr>
          <w:rFonts w:eastAsia="Times New Roman"/>
          <w:bCs/>
          <w:szCs w:val="20"/>
        </w:rPr>
        <w:t>42.36</w:t>
      </w:r>
      <w:r w:rsidR="003F7A74" w:rsidRPr="00A21A63">
        <w:rPr>
          <w:rFonts w:eastAsia="Times New Roman"/>
          <w:szCs w:val="20"/>
        </w:rPr>
        <w:t xml:space="preserve">) was recorded in </w:t>
      </w:r>
      <w:r w:rsidR="003F7A74" w:rsidRPr="00A21A63">
        <w:rPr>
          <w:rFonts w:eastAsia="Times New Roman"/>
          <w:bCs/>
          <w:szCs w:val="20"/>
        </w:rPr>
        <w:t>Treatment T</w:t>
      </w:r>
      <w:r w:rsidR="003F7A74" w:rsidRPr="00A21A63">
        <w:rPr>
          <w:rFonts w:eastAsia="Times New Roman"/>
          <w:bCs/>
          <w:szCs w:val="20"/>
          <w:vertAlign w:val="subscript"/>
        </w:rPr>
        <w:t>7</w:t>
      </w:r>
      <w:r w:rsidR="003F7A74" w:rsidRPr="00A21A63">
        <w:rPr>
          <w:rFonts w:eastAsia="Times New Roman"/>
          <w:szCs w:val="20"/>
        </w:rPr>
        <w:t xml:space="preserve">, closely followed by </w:t>
      </w:r>
      <w:r w:rsidR="003F7A74" w:rsidRPr="00A21A63">
        <w:rPr>
          <w:rFonts w:eastAsia="Times New Roman"/>
          <w:bCs/>
          <w:szCs w:val="20"/>
        </w:rPr>
        <w:t>T</w:t>
      </w:r>
      <w:r w:rsidR="003F7A74" w:rsidRPr="00A21A63">
        <w:rPr>
          <w:rFonts w:eastAsia="Times New Roman"/>
          <w:bCs/>
          <w:szCs w:val="20"/>
          <w:vertAlign w:val="subscript"/>
        </w:rPr>
        <w:t>6</w:t>
      </w:r>
      <w:r w:rsidR="003F7A74" w:rsidRPr="00A21A63">
        <w:rPr>
          <w:rFonts w:eastAsia="Times New Roman"/>
          <w:szCs w:val="20"/>
        </w:rPr>
        <w:t>(42.15). The lowest number of fruits per plant (</w:t>
      </w:r>
      <w:r w:rsidR="003F7A74" w:rsidRPr="00A21A63">
        <w:rPr>
          <w:rFonts w:eastAsia="Times New Roman"/>
          <w:bCs/>
          <w:szCs w:val="20"/>
        </w:rPr>
        <w:t>25.36</w:t>
      </w:r>
      <w:r w:rsidR="003F7A74" w:rsidRPr="00A21A63">
        <w:rPr>
          <w:rFonts w:eastAsia="Times New Roman"/>
          <w:szCs w:val="20"/>
        </w:rPr>
        <w:t xml:space="preserve">) was observed in </w:t>
      </w:r>
      <w:r w:rsidR="003F7A74" w:rsidRPr="00A21A63">
        <w:rPr>
          <w:rFonts w:eastAsia="Times New Roman"/>
          <w:bCs/>
          <w:szCs w:val="20"/>
        </w:rPr>
        <w:t>T</w:t>
      </w:r>
      <w:r w:rsidR="003F7A74" w:rsidRPr="00A21A63">
        <w:rPr>
          <w:rFonts w:eastAsia="Times New Roman"/>
          <w:bCs/>
          <w:szCs w:val="20"/>
          <w:vertAlign w:val="subscript"/>
        </w:rPr>
        <w:t>1</w:t>
      </w:r>
      <w:r w:rsidR="003F7A74" w:rsidRPr="00A21A63">
        <w:rPr>
          <w:rFonts w:eastAsia="Times New Roman"/>
          <w:szCs w:val="20"/>
        </w:rPr>
        <w:t xml:space="preserve">(Control). The enhanced fruit set under nutrient-enriched treatments can be attributed to the foliar application of essential micronutrients such as boron, zinc, and iron, which are known to play vital roles in supporting physiological and reproductive processes in tomato plants. The application of these elements has been reported to improve overall fruit formation and yield, as documented by </w:t>
      </w:r>
      <w:r w:rsidR="003F7A74" w:rsidRPr="00A21A63">
        <w:rPr>
          <w:rFonts w:eastAsia="Times New Roman"/>
          <w:bCs/>
          <w:szCs w:val="20"/>
        </w:rPr>
        <w:t>Haleema et al. (2018</w:t>
      </w:r>
      <w:r w:rsidR="003F7A74" w:rsidRPr="00A21A63">
        <w:rPr>
          <w:rFonts w:eastAsia="Times New Roman"/>
          <w:b/>
          <w:bCs/>
          <w:szCs w:val="20"/>
        </w:rPr>
        <w:t>)</w:t>
      </w:r>
      <w:r w:rsidR="003F7A74" w:rsidRPr="00A21A63">
        <w:rPr>
          <w:rFonts w:eastAsia="Times New Roman"/>
          <w:szCs w:val="20"/>
        </w:rPr>
        <w:t xml:space="preserve">. Similar positive effects on fruit quantity, particularly due to boron, zinc, and iron applications, were also observed by </w:t>
      </w:r>
      <w:proofErr w:type="spellStart"/>
      <w:r w:rsidR="003F7A74" w:rsidRPr="00A21A63">
        <w:rPr>
          <w:rFonts w:eastAsia="Times New Roman"/>
          <w:bCs/>
          <w:szCs w:val="20"/>
        </w:rPr>
        <w:t>Saky</w:t>
      </w:r>
      <w:proofErr w:type="spellEnd"/>
      <w:r w:rsidR="003F7A74" w:rsidRPr="00A21A63">
        <w:rPr>
          <w:rFonts w:eastAsia="Times New Roman"/>
          <w:bCs/>
          <w:szCs w:val="20"/>
        </w:rPr>
        <w:t xml:space="preserve"> and </w:t>
      </w:r>
      <w:proofErr w:type="spellStart"/>
      <w:r w:rsidR="003F7A74" w:rsidRPr="00A21A63">
        <w:rPr>
          <w:rFonts w:eastAsia="Times New Roman"/>
          <w:bCs/>
          <w:szCs w:val="20"/>
        </w:rPr>
        <w:t>Sulandjar</w:t>
      </w:r>
      <w:proofErr w:type="spellEnd"/>
      <w:r w:rsidR="003F7A74" w:rsidRPr="00A21A63">
        <w:rPr>
          <w:rFonts w:eastAsia="Times New Roman"/>
          <w:bCs/>
          <w:szCs w:val="20"/>
        </w:rPr>
        <w:t xml:space="preserve"> (2019)</w:t>
      </w:r>
      <w:r w:rsidR="003F7A74" w:rsidRPr="00A21A63">
        <w:rPr>
          <w:rFonts w:eastAsia="Times New Roman"/>
          <w:szCs w:val="20"/>
        </w:rPr>
        <w:t xml:space="preserve"> in tomato crops.</w:t>
      </w:r>
    </w:p>
    <w:p w14:paraId="5FF0207D" w14:textId="77777777" w:rsidR="009E1D0A" w:rsidRPr="00A21A63" w:rsidRDefault="00A21A63" w:rsidP="009E1D0A">
      <w:pPr>
        <w:spacing w:before="100" w:beforeAutospacing="1" w:after="100" w:afterAutospacing="1" w:line="240" w:lineRule="auto"/>
        <w:rPr>
          <w:rFonts w:eastAsia="Times New Roman"/>
          <w:szCs w:val="20"/>
        </w:rPr>
      </w:pPr>
      <w:r>
        <w:rPr>
          <w:rFonts w:eastAsia="Times New Roman"/>
          <w:b/>
          <w:bCs/>
          <w:szCs w:val="20"/>
        </w:rPr>
        <w:lastRenderedPageBreak/>
        <w:t xml:space="preserve">3.2.3 </w:t>
      </w:r>
      <w:r w:rsidR="008C5110" w:rsidRPr="00A21A63">
        <w:rPr>
          <w:rFonts w:eastAsia="Times New Roman"/>
          <w:b/>
          <w:bCs/>
          <w:szCs w:val="20"/>
        </w:rPr>
        <w:t xml:space="preserve">Fruit Length (cm): </w:t>
      </w:r>
      <w:r w:rsidR="009E1D0A" w:rsidRPr="00A21A63">
        <w:rPr>
          <w:rFonts w:eastAsia="Times New Roman"/>
          <w:szCs w:val="20"/>
        </w:rPr>
        <w:t xml:space="preserve">The results for fruit length (cm) are summarized in </w:t>
      </w:r>
      <w:r w:rsidR="009E1D0A" w:rsidRPr="00A21A63">
        <w:rPr>
          <w:rFonts w:eastAsia="Times New Roman"/>
          <w:bCs/>
          <w:szCs w:val="20"/>
        </w:rPr>
        <w:t xml:space="preserve">Table </w:t>
      </w:r>
      <w:r w:rsidR="0016276C" w:rsidRPr="00A21A63">
        <w:rPr>
          <w:rFonts w:eastAsia="Times New Roman"/>
          <w:bCs/>
          <w:szCs w:val="20"/>
        </w:rPr>
        <w:t>1</w:t>
      </w:r>
      <w:r w:rsidR="009E1D0A" w:rsidRPr="00A21A63">
        <w:rPr>
          <w:rFonts w:eastAsia="Times New Roman"/>
          <w:szCs w:val="20"/>
        </w:rPr>
        <w:t xml:space="preserve">. The longest fruits were recorded in </w:t>
      </w:r>
      <w:r w:rsidR="009E1D0A" w:rsidRPr="00A21A63">
        <w:rPr>
          <w:rFonts w:eastAsia="Times New Roman"/>
          <w:bCs/>
          <w:szCs w:val="20"/>
        </w:rPr>
        <w:t>Treatment T</w:t>
      </w:r>
      <w:r w:rsidR="009E1D0A" w:rsidRPr="00A21A63">
        <w:rPr>
          <w:rFonts w:eastAsia="Times New Roman"/>
          <w:bCs/>
          <w:szCs w:val="20"/>
          <w:vertAlign w:val="subscript"/>
        </w:rPr>
        <w:t>7</w:t>
      </w:r>
      <w:r w:rsidR="009E1D0A" w:rsidRPr="00A21A63">
        <w:rPr>
          <w:rFonts w:eastAsia="Times New Roman"/>
          <w:szCs w:val="20"/>
        </w:rPr>
        <w:t xml:space="preserve"> (NPK 1.5g + Zinc 100 ppm + Boron 100 ppm /plant), with an average length of </w:t>
      </w:r>
      <w:r w:rsidR="009E1D0A" w:rsidRPr="00A21A63">
        <w:rPr>
          <w:rFonts w:eastAsia="Times New Roman"/>
          <w:bCs/>
          <w:szCs w:val="20"/>
        </w:rPr>
        <w:t>4.42 cm</w:t>
      </w:r>
      <w:r w:rsidR="009E1D0A" w:rsidRPr="00A21A63">
        <w:rPr>
          <w:rFonts w:eastAsia="Times New Roman"/>
          <w:szCs w:val="20"/>
        </w:rPr>
        <w:t xml:space="preserve">. This was followed by </w:t>
      </w:r>
      <w:r w:rsidR="009E1D0A" w:rsidRPr="00A21A63">
        <w:rPr>
          <w:rFonts w:eastAsia="Times New Roman"/>
          <w:bCs/>
          <w:szCs w:val="20"/>
        </w:rPr>
        <w:t>T</w:t>
      </w:r>
      <w:r w:rsidR="009E1D0A" w:rsidRPr="00A21A63">
        <w:rPr>
          <w:rFonts w:eastAsia="Times New Roman"/>
          <w:bCs/>
          <w:szCs w:val="20"/>
          <w:vertAlign w:val="subscript"/>
        </w:rPr>
        <w:t>6</w:t>
      </w:r>
      <w:r w:rsidR="009E1D0A" w:rsidRPr="00A21A63">
        <w:rPr>
          <w:rFonts w:eastAsia="Times New Roman"/>
          <w:szCs w:val="20"/>
        </w:rPr>
        <w:t xml:space="preserve"> (4.25 cm</w:t>
      </w:r>
      <w:r w:rsidR="00A0257A" w:rsidRPr="00A21A63">
        <w:rPr>
          <w:rFonts w:eastAsia="Times New Roman"/>
          <w:szCs w:val="20"/>
        </w:rPr>
        <w:t>)</w:t>
      </w:r>
      <w:r w:rsidR="009E1D0A" w:rsidRPr="00A21A63">
        <w:rPr>
          <w:rFonts w:eastAsia="Times New Roman"/>
          <w:szCs w:val="20"/>
        </w:rPr>
        <w:t xml:space="preserve">. The </w:t>
      </w:r>
      <w:r w:rsidR="00A0257A" w:rsidRPr="00A21A63">
        <w:rPr>
          <w:rFonts w:eastAsia="Times New Roman"/>
          <w:szCs w:val="20"/>
        </w:rPr>
        <w:t>minimum</w:t>
      </w:r>
      <w:r w:rsidR="009E1D0A" w:rsidRPr="00A21A63">
        <w:rPr>
          <w:rFonts w:eastAsia="Times New Roman"/>
          <w:szCs w:val="20"/>
        </w:rPr>
        <w:t xml:space="preserve"> fruit length (</w:t>
      </w:r>
      <w:r w:rsidR="009E1D0A" w:rsidRPr="00A21A63">
        <w:rPr>
          <w:rFonts w:eastAsia="Times New Roman"/>
          <w:bCs/>
          <w:szCs w:val="20"/>
        </w:rPr>
        <w:t>3.32 cm</w:t>
      </w:r>
      <w:r w:rsidR="009E1D0A" w:rsidRPr="00A21A63">
        <w:rPr>
          <w:rFonts w:eastAsia="Times New Roman"/>
          <w:szCs w:val="20"/>
        </w:rPr>
        <w:t>) was recorded in the control treatment (</w:t>
      </w:r>
      <w:r w:rsidR="009E1D0A" w:rsidRPr="00A21A63">
        <w:rPr>
          <w:rFonts w:eastAsia="Times New Roman"/>
          <w:bCs/>
          <w:szCs w:val="20"/>
        </w:rPr>
        <w:t>T</w:t>
      </w:r>
      <w:r w:rsidR="009E1D0A" w:rsidRPr="00A21A63">
        <w:rPr>
          <w:rFonts w:eastAsia="Times New Roman"/>
          <w:bCs/>
          <w:szCs w:val="20"/>
          <w:vertAlign w:val="subscript"/>
        </w:rPr>
        <w:t>1</w:t>
      </w:r>
      <w:r w:rsidR="009E1D0A" w:rsidRPr="00A21A63">
        <w:rPr>
          <w:rFonts w:eastAsia="Times New Roman"/>
          <w:szCs w:val="20"/>
        </w:rPr>
        <w:t xml:space="preserve">). The observed increase in fruit length under nutrient-enriched treatments could be attributed to enhanced photosynthate production and efficient translocation from the leaves to the developing fruits. The higher availability of assimilates likely supported better fruit development, which was facilitated by the overall improved vegetative </w:t>
      </w:r>
      <w:r w:rsidR="00FD4180" w:rsidRPr="00A21A63">
        <w:rPr>
          <w:rFonts w:eastAsia="Times New Roman"/>
          <w:szCs w:val="20"/>
        </w:rPr>
        <w:t>vigour</w:t>
      </w:r>
      <w:r w:rsidR="009E1D0A" w:rsidRPr="00A21A63">
        <w:rPr>
          <w:rFonts w:eastAsia="Times New Roman"/>
          <w:szCs w:val="20"/>
        </w:rPr>
        <w:t xml:space="preserve"> of the plants. These observations are consistent with the findings reported by </w:t>
      </w:r>
      <w:r w:rsidR="009E1D0A" w:rsidRPr="00A21A63">
        <w:rPr>
          <w:rFonts w:eastAsia="Times New Roman"/>
          <w:bCs/>
          <w:szCs w:val="20"/>
        </w:rPr>
        <w:t>Salam et al. (2010)</w:t>
      </w:r>
    </w:p>
    <w:p w14:paraId="1A1B4117" w14:textId="77777777" w:rsidR="002A41FD" w:rsidRPr="00A21A63" w:rsidRDefault="00A21A63" w:rsidP="00C859A4">
      <w:pPr>
        <w:spacing w:before="100" w:beforeAutospacing="1" w:after="100" w:afterAutospacing="1" w:line="240" w:lineRule="auto"/>
        <w:ind w:left="0" w:firstLine="0"/>
        <w:rPr>
          <w:rFonts w:eastAsia="Times New Roman"/>
          <w:szCs w:val="20"/>
        </w:rPr>
      </w:pPr>
      <w:r>
        <w:rPr>
          <w:rFonts w:eastAsia="Times New Roman"/>
          <w:b/>
          <w:bCs/>
          <w:szCs w:val="20"/>
        </w:rPr>
        <w:t xml:space="preserve">3.2.4 </w:t>
      </w:r>
      <w:r w:rsidR="0020544B" w:rsidRPr="00A21A63">
        <w:rPr>
          <w:rFonts w:eastAsia="Times New Roman"/>
          <w:b/>
          <w:bCs/>
          <w:szCs w:val="20"/>
        </w:rPr>
        <w:t xml:space="preserve">Fruit Diameter (cm): </w:t>
      </w:r>
      <w:r w:rsidR="00AE1C4B" w:rsidRPr="00A21A63">
        <w:rPr>
          <w:rFonts w:eastAsia="Times New Roman"/>
          <w:szCs w:val="20"/>
        </w:rPr>
        <w:t xml:space="preserve">The data on fruit diameter (cm) are presented in </w:t>
      </w:r>
      <w:r w:rsidR="00AE1C4B" w:rsidRPr="00A21A63">
        <w:rPr>
          <w:rFonts w:eastAsia="Times New Roman"/>
          <w:bCs/>
          <w:szCs w:val="20"/>
        </w:rPr>
        <w:t xml:space="preserve">Table </w:t>
      </w:r>
      <w:r w:rsidR="0016276C" w:rsidRPr="00A21A63">
        <w:rPr>
          <w:rFonts w:eastAsia="Times New Roman"/>
          <w:bCs/>
          <w:szCs w:val="20"/>
        </w:rPr>
        <w:t>1</w:t>
      </w:r>
      <w:r w:rsidR="00AE1C4B" w:rsidRPr="00A21A63">
        <w:rPr>
          <w:rFonts w:eastAsia="Times New Roman"/>
          <w:szCs w:val="20"/>
        </w:rPr>
        <w:t>. The largest fruit diameter (</w:t>
      </w:r>
      <w:r w:rsidR="00AE1C4B" w:rsidRPr="00A21A63">
        <w:rPr>
          <w:rFonts w:eastAsia="Times New Roman"/>
          <w:bCs/>
          <w:szCs w:val="20"/>
        </w:rPr>
        <w:t>5.40 cm</w:t>
      </w:r>
      <w:r w:rsidR="00AE1C4B" w:rsidRPr="00A21A63">
        <w:rPr>
          <w:rFonts w:eastAsia="Times New Roman"/>
          <w:szCs w:val="20"/>
        </w:rPr>
        <w:t xml:space="preserve">) was observed in </w:t>
      </w:r>
      <w:r w:rsidR="00AE1C4B" w:rsidRPr="00A21A63">
        <w:rPr>
          <w:rFonts w:eastAsia="Times New Roman"/>
          <w:bCs/>
          <w:szCs w:val="20"/>
        </w:rPr>
        <w:t>Treatment T</w:t>
      </w:r>
      <w:r w:rsidR="00AE1C4B" w:rsidRPr="00A21A63">
        <w:rPr>
          <w:rFonts w:eastAsia="Times New Roman"/>
          <w:bCs/>
          <w:szCs w:val="20"/>
          <w:vertAlign w:val="subscript"/>
        </w:rPr>
        <w:t>7</w:t>
      </w:r>
      <w:r w:rsidR="00AE1C4B" w:rsidRPr="00A21A63">
        <w:rPr>
          <w:rFonts w:eastAsia="Times New Roman"/>
          <w:szCs w:val="20"/>
        </w:rPr>
        <w:t>. The minimum fruit diameter (</w:t>
      </w:r>
      <w:r w:rsidR="00AE1C4B" w:rsidRPr="00A21A63">
        <w:rPr>
          <w:rFonts w:eastAsia="Times New Roman"/>
          <w:bCs/>
          <w:szCs w:val="20"/>
        </w:rPr>
        <w:t>3.10 cm</w:t>
      </w:r>
      <w:r w:rsidR="00AE1C4B" w:rsidRPr="00A21A63">
        <w:rPr>
          <w:rFonts w:eastAsia="Times New Roman"/>
          <w:szCs w:val="20"/>
        </w:rPr>
        <w:t xml:space="preserve">) was recorded in </w:t>
      </w:r>
      <w:r w:rsidR="00AE1C4B" w:rsidRPr="00A21A63">
        <w:rPr>
          <w:rFonts w:eastAsia="Times New Roman"/>
          <w:bCs/>
          <w:szCs w:val="20"/>
        </w:rPr>
        <w:t>T1</w:t>
      </w:r>
      <w:r w:rsidR="00AE1C4B" w:rsidRPr="00A21A63">
        <w:rPr>
          <w:rFonts w:eastAsia="Times New Roman"/>
          <w:szCs w:val="20"/>
        </w:rPr>
        <w:t xml:space="preserve"> (Control). The increase in fruit diameter under nutrient-rich treatments can be attributed to the enhanced availability of essential macronutrients, particularly nitrogen, which plays a critical role in promoting cell division, protein synthesis, and overall plant growth. These processes collectively contribute to improved fruit development and size. Similar findings were reported by </w:t>
      </w:r>
      <w:r w:rsidR="00AE1C4B" w:rsidRPr="00A21A63">
        <w:rPr>
          <w:rFonts w:eastAsia="Times New Roman"/>
          <w:bCs/>
          <w:szCs w:val="20"/>
        </w:rPr>
        <w:t>Meena et al. (2014</w:t>
      </w:r>
      <w:r w:rsidR="00AE1C4B" w:rsidRPr="00A21A63">
        <w:rPr>
          <w:rFonts w:eastAsia="Times New Roman"/>
          <w:b/>
          <w:bCs/>
          <w:szCs w:val="20"/>
        </w:rPr>
        <w:t>)</w:t>
      </w:r>
      <w:r w:rsidR="00AE1C4B" w:rsidRPr="00A21A63">
        <w:rPr>
          <w:rFonts w:eastAsia="Times New Roman"/>
          <w:szCs w:val="20"/>
        </w:rPr>
        <w:t>, who highlighted the influence of balanced nutrient supply on fruit diameter in tomatoes.</w:t>
      </w:r>
    </w:p>
    <w:p w14:paraId="229CD57E" w14:textId="77777777"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3.2.5 </w:t>
      </w:r>
      <w:r w:rsidR="00106695" w:rsidRPr="00A21A63">
        <w:rPr>
          <w:rFonts w:eastAsia="Times New Roman"/>
          <w:b/>
          <w:bCs/>
          <w:szCs w:val="20"/>
        </w:rPr>
        <w:t>Fruit weight (g</w:t>
      </w:r>
      <w:proofErr w:type="gramStart"/>
      <w:r w:rsidR="00106695" w:rsidRPr="00A21A63">
        <w:rPr>
          <w:rFonts w:eastAsia="Times New Roman"/>
          <w:b/>
          <w:bCs/>
          <w:szCs w:val="20"/>
        </w:rPr>
        <w:t>):</w:t>
      </w:r>
      <w:r w:rsidR="00D1219B" w:rsidRPr="00A21A63">
        <w:rPr>
          <w:rFonts w:eastAsia="Times New Roman"/>
          <w:szCs w:val="20"/>
        </w:rPr>
        <w:t>The</w:t>
      </w:r>
      <w:proofErr w:type="gramEnd"/>
      <w:r w:rsidR="00D1219B" w:rsidRPr="00A21A63">
        <w:rPr>
          <w:rFonts w:eastAsia="Times New Roman"/>
          <w:szCs w:val="20"/>
        </w:rPr>
        <w:t xml:space="preserve"> data on average fruit weight (g) are presented in </w:t>
      </w:r>
      <w:r w:rsidR="00D1219B" w:rsidRPr="00A21A63">
        <w:rPr>
          <w:rFonts w:eastAsia="Times New Roman"/>
          <w:bCs/>
          <w:szCs w:val="20"/>
        </w:rPr>
        <w:t xml:space="preserve">Table </w:t>
      </w:r>
      <w:r w:rsidR="0016276C" w:rsidRPr="00A21A63">
        <w:rPr>
          <w:rFonts w:eastAsia="Times New Roman"/>
          <w:bCs/>
          <w:szCs w:val="20"/>
        </w:rPr>
        <w:t>2</w:t>
      </w:r>
      <w:r w:rsidR="00D1219B" w:rsidRPr="00A21A63">
        <w:rPr>
          <w:rFonts w:eastAsia="Times New Roman"/>
          <w:szCs w:val="20"/>
        </w:rPr>
        <w:t>. The highest average fruit weight (</w:t>
      </w:r>
      <w:r w:rsidR="00D1219B" w:rsidRPr="00A21A63">
        <w:rPr>
          <w:rFonts w:eastAsia="Times New Roman"/>
          <w:bCs/>
          <w:szCs w:val="20"/>
        </w:rPr>
        <w:t>67.38 g</w:t>
      </w:r>
      <w:r w:rsidR="00D1219B" w:rsidRPr="00A21A63">
        <w:rPr>
          <w:rFonts w:eastAsia="Times New Roman"/>
          <w:szCs w:val="20"/>
        </w:rPr>
        <w:t xml:space="preserve">) was recorded in </w:t>
      </w:r>
      <w:r w:rsidR="00D1219B" w:rsidRPr="00A21A63">
        <w:rPr>
          <w:rFonts w:eastAsia="Times New Roman"/>
          <w:bCs/>
          <w:szCs w:val="20"/>
        </w:rPr>
        <w:t>Treatment T</w:t>
      </w:r>
      <w:r w:rsidR="00D1219B" w:rsidRPr="00A21A63">
        <w:rPr>
          <w:rFonts w:eastAsia="Times New Roman"/>
          <w:bCs/>
          <w:szCs w:val="20"/>
          <w:vertAlign w:val="subscript"/>
        </w:rPr>
        <w:t>7</w:t>
      </w:r>
      <w:r w:rsidR="00D1219B" w:rsidRPr="00A21A63">
        <w:rPr>
          <w:rFonts w:eastAsia="Times New Roman"/>
          <w:szCs w:val="20"/>
        </w:rPr>
        <w:t xml:space="preserve"> (NPK 1.5g + Zinc 100 ppm + Boron 100 ppm /plant). In contrast, the lowest average fruit weight (</w:t>
      </w:r>
      <w:r w:rsidR="00D1219B" w:rsidRPr="00A21A63">
        <w:rPr>
          <w:rFonts w:eastAsia="Times New Roman"/>
          <w:bCs/>
          <w:szCs w:val="20"/>
        </w:rPr>
        <w:t>50.24 g</w:t>
      </w:r>
      <w:r w:rsidR="00D1219B" w:rsidRPr="00A21A63">
        <w:rPr>
          <w:rFonts w:eastAsia="Times New Roman"/>
          <w:szCs w:val="20"/>
        </w:rPr>
        <w:t xml:space="preserve">) was observed in </w:t>
      </w:r>
      <w:r w:rsidR="00D1219B" w:rsidRPr="00A21A63">
        <w:rPr>
          <w:rFonts w:eastAsia="Times New Roman"/>
          <w:bCs/>
          <w:szCs w:val="20"/>
        </w:rPr>
        <w:t>T</w:t>
      </w:r>
      <w:r w:rsidR="00D1219B" w:rsidRPr="00A21A63">
        <w:rPr>
          <w:rFonts w:eastAsia="Times New Roman"/>
          <w:bCs/>
          <w:szCs w:val="20"/>
          <w:vertAlign w:val="subscript"/>
        </w:rPr>
        <w:t>1</w:t>
      </w:r>
      <w:r w:rsidR="00D1219B" w:rsidRPr="00A21A63">
        <w:rPr>
          <w:rFonts w:eastAsia="Times New Roman"/>
          <w:szCs w:val="20"/>
        </w:rPr>
        <w:t>. The increase in fruit weight under boron and zinc treatments can be attributed to their role in enhancing photosynthate accumulation, which directly influences fruit development. Boron, in particular, facilitates the efficient translocation and storage of assimilates, which contributes to increased fruit mass (</w:t>
      </w:r>
      <w:r w:rsidR="00D1219B" w:rsidRPr="00A21A63">
        <w:rPr>
          <w:rFonts w:eastAsia="Times New Roman"/>
          <w:bCs/>
          <w:szCs w:val="20"/>
        </w:rPr>
        <w:t>Shukla, 2011</w:t>
      </w:r>
      <w:r w:rsidR="00D1219B" w:rsidRPr="00A21A63">
        <w:rPr>
          <w:rFonts w:eastAsia="Times New Roman"/>
          <w:szCs w:val="20"/>
        </w:rPr>
        <w:t xml:space="preserve">). Furthermore, the combined application of zinc and boron promotes the synthesis of tryptophan and auxin, both of which are essential for fruit growth, as noted by </w:t>
      </w:r>
      <w:r w:rsidR="00D1219B" w:rsidRPr="00A21A63">
        <w:rPr>
          <w:rFonts w:eastAsia="Times New Roman"/>
          <w:bCs/>
          <w:szCs w:val="20"/>
        </w:rPr>
        <w:t>Wojcik and Wojcik (2003</w:t>
      </w:r>
      <w:r w:rsidR="00D1219B" w:rsidRPr="00A21A63">
        <w:rPr>
          <w:rFonts w:eastAsia="Times New Roman"/>
          <w:b/>
          <w:bCs/>
          <w:szCs w:val="20"/>
        </w:rPr>
        <w:t>)</w:t>
      </w:r>
      <w:r w:rsidR="00D1219B" w:rsidRPr="00A21A63">
        <w:rPr>
          <w:rFonts w:eastAsia="Times New Roman"/>
          <w:szCs w:val="20"/>
        </w:rPr>
        <w:t>.</w:t>
      </w:r>
    </w:p>
    <w:p w14:paraId="75B6F6D8" w14:textId="77777777" w:rsidR="00D1219B" w:rsidRPr="00A21A63" w:rsidRDefault="00A21A63" w:rsidP="00D1219B">
      <w:pPr>
        <w:spacing w:before="100" w:beforeAutospacing="1" w:after="100" w:afterAutospacing="1" w:line="240" w:lineRule="auto"/>
        <w:rPr>
          <w:rFonts w:eastAsia="Times New Roman"/>
          <w:szCs w:val="20"/>
        </w:rPr>
      </w:pPr>
      <w:r>
        <w:rPr>
          <w:rFonts w:eastAsia="Times New Roman"/>
          <w:b/>
          <w:bCs/>
          <w:szCs w:val="20"/>
        </w:rPr>
        <w:t xml:space="preserve">3.2.6 </w:t>
      </w:r>
      <w:r w:rsidR="00D1219B" w:rsidRPr="00A21A63">
        <w:rPr>
          <w:rFonts w:eastAsia="Times New Roman"/>
          <w:b/>
          <w:bCs/>
          <w:szCs w:val="20"/>
        </w:rPr>
        <w:t>Fruit yield per plant (kg</w:t>
      </w:r>
      <w:proofErr w:type="gramStart"/>
      <w:r w:rsidR="00D1219B" w:rsidRPr="00A21A63">
        <w:rPr>
          <w:rFonts w:eastAsia="Times New Roman"/>
          <w:b/>
          <w:bCs/>
          <w:szCs w:val="20"/>
        </w:rPr>
        <w:t>):</w:t>
      </w:r>
      <w:r w:rsidR="009431C1" w:rsidRPr="00A21A63">
        <w:rPr>
          <w:rFonts w:eastAsia="Times New Roman"/>
          <w:szCs w:val="20"/>
        </w:rPr>
        <w:t>The</w:t>
      </w:r>
      <w:proofErr w:type="gramEnd"/>
      <w:r w:rsidR="009431C1" w:rsidRPr="00A21A63">
        <w:rPr>
          <w:rFonts w:eastAsia="Times New Roman"/>
          <w:szCs w:val="20"/>
        </w:rPr>
        <w:t xml:space="preserve"> results for fruit yield per plant (kg) are presented in Table </w:t>
      </w:r>
      <w:r w:rsidR="0016276C" w:rsidRPr="00A21A63">
        <w:rPr>
          <w:rFonts w:eastAsia="Times New Roman"/>
          <w:szCs w:val="20"/>
        </w:rPr>
        <w:t>2</w:t>
      </w:r>
      <w:r w:rsidR="009431C1" w:rsidRPr="00A21A63">
        <w:rPr>
          <w:rFonts w:eastAsia="Times New Roman"/>
          <w:szCs w:val="20"/>
        </w:rPr>
        <w:t>. The highest fruit yield per plant (2.41 kg) was recorded in Treatment T</w:t>
      </w:r>
      <w:r w:rsidR="00FD4180" w:rsidRPr="00A21A63">
        <w:rPr>
          <w:rFonts w:eastAsia="Times New Roman"/>
          <w:szCs w:val="20"/>
          <w:vertAlign w:val="subscript"/>
        </w:rPr>
        <w:t>7</w:t>
      </w:r>
      <w:r w:rsidR="00FD4180" w:rsidRPr="00A21A63">
        <w:rPr>
          <w:rFonts w:eastAsia="Times New Roman"/>
          <w:szCs w:val="20"/>
        </w:rPr>
        <w:t xml:space="preserve"> (</w:t>
      </w:r>
      <w:r w:rsidR="009431C1" w:rsidRPr="00A21A63">
        <w:rPr>
          <w:rFonts w:eastAsia="Times New Roman"/>
          <w:szCs w:val="20"/>
        </w:rPr>
        <w:t>NPK 1.5g + Zinc 100 ppm + Boron 100 ppm /plant), followed by T</w:t>
      </w:r>
      <w:r w:rsidR="00FD4180" w:rsidRPr="00A21A63">
        <w:rPr>
          <w:rFonts w:eastAsia="Times New Roman"/>
          <w:szCs w:val="20"/>
          <w:vertAlign w:val="subscript"/>
        </w:rPr>
        <w:t>6</w:t>
      </w:r>
      <w:r w:rsidR="00FD4180" w:rsidRPr="00A21A63">
        <w:rPr>
          <w:rFonts w:eastAsia="Times New Roman"/>
          <w:szCs w:val="20"/>
        </w:rPr>
        <w:t xml:space="preserve"> (</w:t>
      </w:r>
      <w:r w:rsidR="009431C1" w:rsidRPr="00A21A63">
        <w:rPr>
          <w:rFonts w:eastAsia="Times New Roman"/>
          <w:szCs w:val="20"/>
        </w:rPr>
        <w:t>2.26 kg), T</w:t>
      </w:r>
      <w:r w:rsidR="00FD4180" w:rsidRPr="00A21A63">
        <w:rPr>
          <w:rFonts w:eastAsia="Times New Roman"/>
          <w:szCs w:val="20"/>
          <w:vertAlign w:val="subscript"/>
        </w:rPr>
        <w:t>5</w:t>
      </w:r>
      <w:r w:rsidR="00FD4180" w:rsidRPr="00A21A63">
        <w:rPr>
          <w:rFonts w:eastAsia="Times New Roman"/>
          <w:szCs w:val="20"/>
        </w:rPr>
        <w:t xml:space="preserve"> (</w:t>
      </w:r>
      <w:r w:rsidR="009431C1" w:rsidRPr="00A21A63">
        <w:rPr>
          <w:rFonts w:eastAsia="Times New Roman"/>
          <w:szCs w:val="20"/>
        </w:rPr>
        <w:t>1.97 kg), and T</w:t>
      </w:r>
      <w:r w:rsidR="00FD4180" w:rsidRPr="00A21A63">
        <w:rPr>
          <w:rFonts w:eastAsia="Times New Roman"/>
          <w:szCs w:val="20"/>
          <w:vertAlign w:val="subscript"/>
        </w:rPr>
        <w:t xml:space="preserve">4 </w:t>
      </w:r>
      <w:r w:rsidR="00FD4180" w:rsidRPr="00A21A63">
        <w:rPr>
          <w:rFonts w:eastAsia="Times New Roman"/>
          <w:szCs w:val="20"/>
        </w:rPr>
        <w:t>(</w:t>
      </w:r>
      <w:r w:rsidR="009431C1" w:rsidRPr="00A21A63">
        <w:rPr>
          <w:rFonts w:eastAsia="Times New Roman"/>
          <w:szCs w:val="20"/>
        </w:rPr>
        <w:t>1.85 kg). The lowest fruit yield per plant (1.26 kg) was observed in T</w:t>
      </w:r>
      <w:r w:rsidR="009431C1" w:rsidRPr="00A21A63">
        <w:rPr>
          <w:rFonts w:eastAsia="Times New Roman"/>
          <w:szCs w:val="20"/>
          <w:vertAlign w:val="subscript"/>
        </w:rPr>
        <w:t>1</w:t>
      </w:r>
      <w:r w:rsidR="009431C1" w:rsidRPr="00A21A63">
        <w:rPr>
          <w:rFonts w:eastAsia="Times New Roman"/>
          <w:szCs w:val="20"/>
        </w:rPr>
        <w:t xml:space="preserve"> (Control). The increased yield observed under nutrient-enriched treatments can be attributed to improved nutrient uptake and more efficient photosynthetic activity, both of which enhance the accumulation of assimilates in the fruit. This positive relationship between nutrient availability and fruit yield has also been reported by </w:t>
      </w:r>
      <w:proofErr w:type="spellStart"/>
      <w:r w:rsidR="009431C1" w:rsidRPr="00A21A63">
        <w:rPr>
          <w:rFonts w:eastAsia="Times New Roman"/>
          <w:szCs w:val="20"/>
        </w:rPr>
        <w:t>Iguvenc</w:t>
      </w:r>
      <w:proofErr w:type="spellEnd"/>
      <w:r w:rsidR="009431C1" w:rsidRPr="00A21A63">
        <w:rPr>
          <w:rFonts w:eastAsia="Times New Roman"/>
          <w:szCs w:val="20"/>
        </w:rPr>
        <w:t xml:space="preserve"> and </w:t>
      </w:r>
      <w:proofErr w:type="spellStart"/>
      <w:r w:rsidR="009431C1" w:rsidRPr="00A21A63">
        <w:rPr>
          <w:rFonts w:eastAsia="Times New Roman"/>
          <w:szCs w:val="20"/>
        </w:rPr>
        <w:t>Badem</w:t>
      </w:r>
      <w:proofErr w:type="spellEnd"/>
      <w:r w:rsidR="009431C1" w:rsidRPr="00A21A63">
        <w:rPr>
          <w:rFonts w:eastAsia="Times New Roman"/>
          <w:szCs w:val="20"/>
        </w:rPr>
        <w:t xml:space="preserve"> (2002)</w:t>
      </w:r>
    </w:p>
    <w:p w14:paraId="0728C5E4" w14:textId="77777777" w:rsidR="002A41FD" w:rsidRPr="00A21A63" w:rsidRDefault="00A21A63" w:rsidP="003F7A74">
      <w:pPr>
        <w:spacing w:before="100" w:beforeAutospacing="1" w:after="100" w:afterAutospacing="1" w:line="240" w:lineRule="auto"/>
        <w:ind w:left="0" w:firstLine="0"/>
        <w:rPr>
          <w:rFonts w:eastAsia="Times New Roman"/>
          <w:szCs w:val="20"/>
        </w:rPr>
      </w:pPr>
      <w:r>
        <w:rPr>
          <w:rFonts w:eastAsia="Times New Roman"/>
          <w:b/>
          <w:bCs/>
          <w:szCs w:val="20"/>
        </w:rPr>
        <w:t xml:space="preserve">3.2.7 </w:t>
      </w:r>
      <w:r w:rsidR="00A26E20" w:rsidRPr="00A21A63">
        <w:rPr>
          <w:rFonts w:eastAsia="Times New Roman"/>
          <w:b/>
          <w:bCs/>
          <w:szCs w:val="20"/>
        </w:rPr>
        <w:t xml:space="preserve">Fruit yield per </w:t>
      </w:r>
      <w:r w:rsidR="001242CD" w:rsidRPr="00A21A63">
        <w:rPr>
          <w:rFonts w:eastAsia="Times New Roman"/>
          <w:b/>
          <w:bCs/>
          <w:szCs w:val="20"/>
        </w:rPr>
        <w:t>plot</w:t>
      </w:r>
      <w:r w:rsidR="00A26E20" w:rsidRPr="00A21A63">
        <w:rPr>
          <w:rFonts w:eastAsia="Times New Roman"/>
          <w:b/>
          <w:bCs/>
          <w:szCs w:val="20"/>
        </w:rPr>
        <w:t xml:space="preserve"> (</w:t>
      </w:r>
      <w:r w:rsidR="001242CD" w:rsidRPr="00A21A63">
        <w:rPr>
          <w:rFonts w:eastAsia="Times New Roman"/>
          <w:b/>
          <w:bCs/>
          <w:szCs w:val="20"/>
        </w:rPr>
        <w:t>kg</w:t>
      </w:r>
      <w:r w:rsidR="00A26E20" w:rsidRPr="00A21A63">
        <w:rPr>
          <w:rFonts w:eastAsia="Times New Roman"/>
          <w:b/>
          <w:bCs/>
          <w:szCs w:val="20"/>
        </w:rPr>
        <w:t xml:space="preserve">): </w:t>
      </w:r>
      <w:r w:rsidR="00A40355" w:rsidRPr="00A21A63">
        <w:rPr>
          <w:rFonts w:eastAsia="Times New Roman"/>
          <w:szCs w:val="20"/>
        </w:rPr>
        <w:t xml:space="preserve">The recorded data on fruit yield per plot (kg) are presented in </w:t>
      </w:r>
      <w:r w:rsidR="00A40355" w:rsidRPr="00A21A63">
        <w:rPr>
          <w:rFonts w:eastAsia="Times New Roman"/>
          <w:bCs/>
          <w:szCs w:val="20"/>
        </w:rPr>
        <w:t xml:space="preserve">Table </w:t>
      </w:r>
      <w:r w:rsidR="0016276C" w:rsidRPr="00A21A63">
        <w:rPr>
          <w:rFonts w:eastAsia="Times New Roman"/>
          <w:bCs/>
          <w:szCs w:val="20"/>
        </w:rPr>
        <w:t>2</w:t>
      </w:r>
      <w:r w:rsidR="00A40355" w:rsidRPr="00A21A63">
        <w:rPr>
          <w:rFonts w:eastAsia="Times New Roman"/>
          <w:szCs w:val="20"/>
        </w:rPr>
        <w:t>. The highest fruit yield per plot (</w:t>
      </w:r>
      <w:r w:rsidR="00A40355" w:rsidRPr="00A21A63">
        <w:rPr>
          <w:rFonts w:eastAsia="Times New Roman"/>
          <w:bCs/>
          <w:szCs w:val="20"/>
        </w:rPr>
        <w:t>24.10 kg</w:t>
      </w:r>
      <w:r w:rsidR="00A40355" w:rsidRPr="00A21A63">
        <w:rPr>
          <w:rFonts w:eastAsia="Times New Roman"/>
          <w:szCs w:val="20"/>
        </w:rPr>
        <w:t xml:space="preserve">) was observed in </w:t>
      </w:r>
      <w:r w:rsidR="00EB63D4" w:rsidRPr="00A21A63">
        <w:rPr>
          <w:rFonts w:eastAsia="Times New Roman"/>
          <w:bCs/>
          <w:szCs w:val="20"/>
        </w:rPr>
        <w:t>t</w:t>
      </w:r>
      <w:r w:rsidR="00A40355" w:rsidRPr="00A21A63">
        <w:rPr>
          <w:rFonts w:eastAsia="Times New Roman"/>
          <w:bCs/>
          <w:szCs w:val="20"/>
        </w:rPr>
        <w:t>reatment T</w:t>
      </w:r>
      <w:proofErr w:type="gramStart"/>
      <w:r w:rsidR="00A40355" w:rsidRPr="00A21A63">
        <w:rPr>
          <w:rFonts w:eastAsia="Times New Roman"/>
          <w:bCs/>
          <w:szCs w:val="20"/>
          <w:vertAlign w:val="subscript"/>
        </w:rPr>
        <w:t>7</w:t>
      </w:r>
      <w:r w:rsidR="00EB63D4" w:rsidRPr="00A21A63">
        <w:rPr>
          <w:rFonts w:eastAsia="Times New Roman"/>
          <w:bCs/>
          <w:szCs w:val="20"/>
          <w:vertAlign w:val="subscript"/>
        </w:rPr>
        <w:t>.</w:t>
      </w:r>
      <w:r w:rsidR="00A40355" w:rsidRPr="00A21A63">
        <w:rPr>
          <w:rFonts w:eastAsia="Times New Roman"/>
          <w:szCs w:val="20"/>
        </w:rPr>
        <w:t>The</w:t>
      </w:r>
      <w:proofErr w:type="gramEnd"/>
      <w:r w:rsidR="00A40355" w:rsidRPr="00A21A63">
        <w:rPr>
          <w:rFonts w:eastAsia="Times New Roman"/>
          <w:szCs w:val="20"/>
        </w:rPr>
        <w:t xml:space="preserve"> lowest fruit yield per plot (</w:t>
      </w:r>
      <w:r w:rsidR="00A40355" w:rsidRPr="00A21A63">
        <w:rPr>
          <w:rFonts w:eastAsia="Times New Roman"/>
          <w:bCs/>
          <w:szCs w:val="20"/>
        </w:rPr>
        <w:t>12.60 kg</w:t>
      </w:r>
      <w:r w:rsidR="00A40355" w:rsidRPr="00A21A63">
        <w:rPr>
          <w:rFonts w:eastAsia="Times New Roman"/>
          <w:szCs w:val="20"/>
        </w:rPr>
        <w:t xml:space="preserve">) was recorded in </w:t>
      </w:r>
      <w:r w:rsidR="00A40355" w:rsidRPr="00A21A63">
        <w:rPr>
          <w:rFonts w:eastAsia="Times New Roman"/>
          <w:bCs/>
          <w:szCs w:val="20"/>
        </w:rPr>
        <w:t>T</w:t>
      </w:r>
      <w:r w:rsidR="00A40355" w:rsidRPr="00A21A63">
        <w:rPr>
          <w:rFonts w:eastAsia="Times New Roman"/>
          <w:bCs/>
          <w:szCs w:val="20"/>
          <w:vertAlign w:val="subscript"/>
        </w:rPr>
        <w:t>1</w:t>
      </w:r>
      <w:r w:rsidR="00EB63D4" w:rsidRPr="00A21A63">
        <w:rPr>
          <w:rFonts w:eastAsia="Times New Roman"/>
          <w:bCs/>
          <w:szCs w:val="20"/>
          <w:vertAlign w:val="subscript"/>
        </w:rPr>
        <w:t>.</w:t>
      </w:r>
      <w:r w:rsidR="00A40355" w:rsidRPr="00A21A63">
        <w:rPr>
          <w:rFonts w:eastAsia="Times New Roman"/>
          <w:szCs w:val="20"/>
        </w:rPr>
        <w:t xml:space="preserve">The observed increase in fruit yield per plot may be attributed to nutrient-supplemented treatments likely resulted from improved vegetative growth and more efficient nutrient uptake, which in turn enhanced the rate of photosynthesis and the accumulation of assimilates. Similar findings were reported by </w:t>
      </w:r>
      <w:r w:rsidR="00A40355" w:rsidRPr="00A21A63">
        <w:rPr>
          <w:rFonts w:eastAsia="Times New Roman"/>
          <w:bCs/>
          <w:szCs w:val="20"/>
        </w:rPr>
        <w:t>Ali et al. (2012</w:t>
      </w:r>
      <w:r w:rsidR="00A40355" w:rsidRPr="00A21A63">
        <w:rPr>
          <w:rFonts w:eastAsia="Times New Roman"/>
          <w:b/>
          <w:bCs/>
          <w:szCs w:val="20"/>
        </w:rPr>
        <w:t>)</w:t>
      </w:r>
      <w:r w:rsidR="00A40355" w:rsidRPr="00A21A63">
        <w:rPr>
          <w:rFonts w:eastAsia="Times New Roman"/>
          <w:szCs w:val="20"/>
        </w:rPr>
        <w:t>, who highlighted the positive influence of optimal nutrient availability on the overall yield performance of tomato plants</w:t>
      </w:r>
      <w:r w:rsidR="00DC4013" w:rsidRPr="00A21A63">
        <w:rPr>
          <w:rFonts w:eastAsia="Times New Roman"/>
          <w:szCs w:val="20"/>
        </w:rPr>
        <w:t>.</w:t>
      </w:r>
    </w:p>
    <w:p w14:paraId="423C7466" w14:textId="77777777" w:rsidR="001B63C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3.2.8 </w:t>
      </w:r>
      <w:r w:rsidR="00DC4013" w:rsidRPr="00A21A63">
        <w:rPr>
          <w:rFonts w:eastAsia="Times New Roman"/>
          <w:b/>
          <w:bCs/>
          <w:szCs w:val="20"/>
        </w:rPr>
        <w:t>Fruit yield per hectare (q):</w:t>
      </w:r>
      <w:r w:rsidR="001B63C6" w:rsidRPr="00A21A63">
        <w:rPr>
          <w:rFonts w:eastAsia="Times New Roman"/>
          <w:szCs w:val="20"/>
        </w:rPr>
        <w:t xml:space="preserve"> The recorded observations on fruit yield per hectare (q ha</w:t>
      </w:r>
      <w:r w:rsidR="001B63C6" w:rsidRPr="00A21A63">
        <w:rPr>
          <w:rFonts w:ascii="Cambria Math" w:eastAsia="Times New Roman" w:hAnsi="Cambria Math" w:cs="Cambria Math"/>
          <w:szCs w:val="20"/>
        </w:rPr>
        <w:t>⁻</w:t>
      </w:r>
      <w:r w:rsidR="001B63C6" w:rsidRPr="00A21A63">
        <w:rPr>
          <w:rFonts w:eastAsia="Times New Roman"/>
          <w:szCs w:val="20"/>
        </w:rPr>
        <w:t xml:space="preserve">¹) are presented in </w:t>
      </w:r>
      <w:r w:rsidR="001B63C6" w:rsidRPr="00A21A63">
        <w:rPr>
          <w:rFonts w:eastAsia="Times New Roman"/>
          <w:bCs/>
          <w:szCs w:val="20"/>
        </w:rPr>
        <w:t xml:space="preserve">Table </w:t>
      </w:r>
      <w:r w:rsidR="0016276C" w:rsidRPr="00A21A63">
        <w:rPr>
          <w:rFonts w:eastAsia="Times New Roman"/>
          <w:bCs/>
          <w:szCs w:val="20"/>
        </w:rPr>
        <w:t>2</w:t>
      </w:r>
      <w:r w:rsidR="001B63C6" w:rsidRPr="00A21A63">
        <w:rPr>
          <w:rFonts w:eastAsia="Times New Roman"/>
          <w:szCs w:val="20"/>
        </w:rPr>
        <w:t>. The highest fruit yield per hectare (</w:t>
      </w:r>
      <w:r w:rsidR="001B63C6" w:rsidRPr="00A21A63">
        <w:rPr>
          <w:rFonts w:eastAsia="Times New Roman"/>
          <w:bCs/>
          <w:szCs w:val="20"/>
        </w:rPr>
        <w:t>296.43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achieved in </w:t>
      </w:r>
      <w:r w:rsidR="00EB63D4" w:rsidRPr="00A21A63">
        <w:rPr>
          <w:rFonts w:eastAsia="Times New Roman"/>
          <w:bCs/>
          <w:szCs w:val="20"/>
        </w:rPr>
        <w:t>t</w:t>
      </w:r>
      <w:r w:rsidR="001B63C6" w:rsidRPr="00A21A63">
        <w:rPr>
          <w:rFonts w:eastAsia="Times New Roman"/>
          <w:bCs/>
          <w:szCs w:val="20"/>
        </w:rPr>
        <w:t>reatmen</w:t>
      </w:r>
      <w:r w:rsidR="001B63C6" w:rsidRPr="00A21A63">
        <w:rPr>
          <w:rFonts w:eastAsia="Times New Roman"/>
          <w:b/>
          <w:bCs/>
          <w:szCs w:val="20"/>
        </w:rPr>
        <w:t xml:space="preserve">t </w:t>
      </w:r>
      <w:r w:rsidR="001B63C6" w:rsidRPr="00A21A63">
        <w:rPr>
          <w:rFonts w:eastAsia="Times New Roman"/>
          <w:bCs/>
          <w:szCs w:val="20"/>
        </w:rPr>
        <w:t>T</w:t>
      </w:r>
      <w:r w:rsidR="001B63C6" w:rsidRPr="00A21A63">
        <w:rPr>
          <w:rFonts w:eastAsia="Times New Roman"/>
          <w:bCs/>
          <w:szCs w:val="20"/>
          <w:vertAlign w:val="subscript"/>
        </w:rPr>
        <w:t>7</w:t>
      </w:r>
      <w:r w:rsidR="001B63C6" w:rsidRPr="00A21A63">
        <w:rPr>
          <w:rFonts w:eastAsia="Times New Roman"/>
          <w:szCs w:val="20"/>
        </w:rPr>
        <w:t xml:space="preserve"> (NPK 1.5g + Zinc 100 ppm + Boron 100 ppm /plant</w:t>
      </w:r>
      <w:r w:rsidR="00EB63D4" w:rsidRPr="00A21A63">
        <w:rPr>
          <w:rFonts w:eastAsia="Times New Roman"/>
          <w:szCs w:val="20"/>
        </w:rPr>
        <w:t xml:space="preserve">). </w:t>
      </w:r>
      <w:r w:rsidR="001B63C6" w:rsidRPr="00A21A63">
        <w:rPr>
          <w:rFonts w:eastAsia="Times New Roman"/>
          <w:szCs w:val="20"/>
        </w:rPr>
        <w:t>The lowest yield (</w:t>
      </w:r>
      <w:r w:rsidR="001B63C6" w:rsidRPr="00A21A63">
        <w:rPr>
          <w:rFonts w:eastAsia="Times New Roman"/>
          <w:bCs/>
          <w:szCs w:val="20"/>
        </w:rPr>
        <w:t>154.98 q ha</w:t>
      </w:r>
      <w:r w:rsidR="001B63C6" w:rsidRPr="00A21A63">
        <w:rPr>
          <w:rFonts w:ascii="Cambria Math" w:eastAsia="Times New Roman" w:hAnsi="Cambria Math" w:cs="Cambria Math"/>
          <w:bCs/>
          <w:szCs w:val="20"/>
        </w:rPr>
        <w:t>⁻</w:t>
      </w:r>
      <w:r w:rsidR="001B63C6" w:rsidRPr="00A21A63">
        <w:rPr>
          <w:rFonts w:eastAsia="Times New Roman"/>
          <w:bCs/>
          <w:szCs w:val="20"/>
        </w:rPr>
        <w:t>¹</w:t>
      </w:r>
      <w:r w:rsidR="001B63C6" w:rsidRPr="00A21A63">
        <w:rPr>
          <w:rFonts w:eastAsia="Times New Roman"/>
          <w:szCs w:val="20"/>
        </w:rPr>
        <w:t xml:space="preserve">) was recorded in </w:t>
      </w:r>
      <w:r w:rsidR="001B63C6" w:rsidRPr="00A21A63">
        <w:rPr>
          <w:rFonts w:eastAsia="Times New Roman"/>
          <w:bCs/>
          <w:szCs w:val="20"/>
        </w:rPr>
        <w:t>T</w:t>
      </w:r>
      <w:r w:rsidR="001B63C6" w:rsidRPr="00A21A63">
        <w:rPr>
          <w:rFonts w:eastAsia="Times New Roman"/>
          <w:bCs/>
          <w:szCs w:val="20"/>
          <w:vertAlign w:val="subscript"/>
        </w:rPr>
        <w:t>1</w:t>
      </w:r>
      <w:r w:rsidR="001B63C6" w:rsidRPr="00A21A63">
        <w:rPr>
          <w:rFonts w:eastAsia="Times New Roman"/>
          <w:szCs w:val="20"/>
        </w:rPr>
        <w:t xml:space="preserve">(Control). The improvement in fruit yield per hectare can be attributed to the combined effect of macro- and micronutrients on vegetative growth, which likely enhanced photosynthetic efficiency and overall plant </w:t>
      </w:r>
      <w:r w:rsidR="00FD4180" w:rsidRPr="00A21A63">
        <w:rPr>
          <w:rFonts w:eastAsia="Times New Roman"/>
          <w:szCs w:val="20"/>
        </w:rPr>
        <w:t>vigour</w:t>
      </w:r>
      <w:r w:rsidR="001B63C6" w:rsidRPr="00A21A63">
        <w:rPr>
          <w:rFonts w:eastAsia="Times New Roman"/>
          <w:szCs w:val="20"/>
        </w:rPr>
        <w:t xml:space="preserve">. These findings are well supported by the studies of </w:t>
      </w:r>
      <w:r w:rsidR="001B63C6" w:rsidRPr="00A21A63">
        <w:rPr>
          <w:rFonts w:eastAsia="Times New Roman"/>
          <w:bCs/>
          <w:szCs w:val="20"/>
        </w:rPr>
        <w:t>Chatterjee et al. (2013</w:t>
      </w:r>
      <w:r w:rsidR="001B63C6" w:rsidRPr="00A21A63">
        <w:rPr>
          <w:rFonts w:eastAsia="Times New Roman"/>
          <w:b/>
          <w:bCs/>
          <w:szCs w:val="20"/>
        </w:rPr>
        <w:t>)</w:t>
      </w:r>
      <w:r w:rsidR="001B63C6" w:rsidRPr="00A21A63">
        <w:rPr>
          <w:rFonts w:eastAsia="Times New Roman"/>
          <w:szCs w:val="20"/>
        </w:rPr>
        <w:t xml:space="preserve">, </w:t>
      </w:r>
      <w:r w:rsidR="001B63C6" w:rsidRPr="00A21A63">
        <w:rPr>
          <w:rFonts w:eastAsia="Times New Roman"/>
          <w:bCs/>
          <w:szCs w:val="20"/>
        </w:rPr>
        <w:t>Gulati et al. (2013)</w:t>
      </w:r>
      <w:r w:rsidR="001B63C6" w:rsidRPr="00A21A63">
        <w:rPr>
          <w:rFonts w:eastAsia="Times New Roman"/>
          <w:szCs w:val="20"/>
        </w:rPr>
        <w:t xml:space="preserve">, and </w:t>
      </w:r>
      <w:r w:rsidR="001B63C6" w:rsidRPr="00A21A63">
        <w:rPr>
          <w:rFonts w:eastAsia="Times New Roman"/>
          <w:bCs/>
          <w:szCs w:val="20"/>
        </w:rPr>
        <w:t>Sulaiman et al. (2020</w:t>
      </w:r>
      <w:r w:rsidR="001B63C6" w:rsidRPr="00A21A63">
        <w:rPr>
          <w:rFonts w:eastAsia="Times New Roman"/>
          <w:b/>
          <w:bCs/>
          <w:szCs w:val="20"/>
        </w:rPr>
        <w:t>)</w:t>
      </w:r>
      <w:r w:rsidR="001B63C6" w:rsidRPr="00A21A63">
        <w:rPr>
          <w:rFonts w:eastAsia="Times New Roman"/>
          <w:szCs w:val="20"/>
        </w:rPr>
        <w:t>, which also demonstrated that integrated application of NPK, organic manures, and biofertilizers significantly improved growth, yield, and fruit quality in tomato compared to untreated controls.</w:t>
      </w:r>
    </w:p>
    <w:p w14:paraId="244A4C37" w14:textId="77777777" w:rsidR="009163D6" w:rsidRPr="00A21A63" w:rsidRDefault="00A21A63" w:rsidP="00A21A63">
      <w:pPr>
        <w:spacing w:before="100" w:beforeAutospacing="1" w:after="100" w:afterAutospacing="1" w:line="240" w:lineRule="auto"/>
        <w:jc w:val="left"/>
        <w:rPr>
          <w:rFonts w:eastAsia="Times New Roman"/>
          <w:b/>
          <w:bCs/>
          <w:sz w:val="22"/>
        </w:rPr>
      </w:pPr>
      <w:r>
        <w:rPr>
          <w:rFonts w:eastAsia="Times New Roman"/>
          <w:b/>
          <w:bCs/>
          <w:sz w:val="22"/>
        </w:rPr>
        <w:t xml:space="preserve">3.3 </w:t>
      </w:r>
      <w:r w:rsidRPr="00A21A63">
        <w:rPr>
          <w:rFonts w:eastAsia="Times New Roman"/>
          <w:b/>
          <w:bCs/>
          <w:sz w:val="22"/>
        </w:rPr>
        <w:t>FRUIT QUALITY CHARACTERS</w:t>
      </w:r>
    </w:p>
    <w:p w14:paraId="515AA7AE" w14:textId="77777777" w:rsidR="00774531" w:rsidRPr="00A21A63" w:rsidRDefault="00A21A63" w:rsidP="00774531">
      <w:pPr>
        <w:spacing w:before="100" w:beforeAutospacing="1" w:after="100" w:afterAutospacing="1" w:line="240" w:lineRule="auto"/>
        <w:rPr>
          <w:b/>
          <w:bCs/>
        </w:rPr>
      </w:pPr>
      <w:r>
        <w:rPr>
          <w:b/>
          <w:bCs/>
        </w:rPr>
        <w:lastRenderedPageBreak/>
        <w:t xml:space="preserve">3.3.1 </w:t>
      </w:r>
      <w:r w:rsidR="00C70F90" w:rsidRPr="00A21A63">
        <w:rPr>
          <w:b/>
          <w:bCs/>
        </w:rPr>
        <w:t xml:space="preserve">Total Soluble solids (°Brix): </w:t>
      </w:r>
      <w:r w:rsidR="00774531" w:rsidRPr="00A21A63">
        <w:t xml:space="preserve">The data </w:t>
      </w:r>
      <w:r w:rsidR="00EB63D4" w:rsidRPr="00A21A63">
        <w:t xml:space="preserve">recorded </w:t>
      </w:r>
      <w:r w:rsidR="00774531" w:rsidRPr="00A21A63">
        <w:t xml:space="preserve">on total soluble solids (°Brix) are presented in Table </w:t>
      </w:r>
      <w:r w:rsidR="0016276C" w:rsidRPr="00A21A63">
        <w:t>2</w:t>
      </w:r>
      <w:r w:rsidR="00774531" w:rsidRPr="00A21A63">
        <w:t xml:space="preserve">. The </w:t>
      </w:r>
      <w:r w:rsidR="00EB63D4" w:rsidRPr="00A21A63">
        <w:t>maximum</w:t>
      </w:r>
      <w:r w:rsidR="00774531" w:rsidRPr="00A21A63">
        <w:t xml:space="preserve"> total soluble solids content (4.57°Brix) was recorded in Treatment T</w:t>
      </w:r>
      <w:r w:rsidR="00774531" w:rsidRPr="00A21A63">
        <w:rPr>
          <w:vertAlign w:val="subscript"/>
        </w:rPr>
        <w:t>7</w:t>
      </w:r>
      <w:r w:rsidR="00774531" w:rsidRPr="00A21A63">
        <w:t xml:space="preserve"> The </w:t>
      </w:r>
      <w:r w:rsidR="00EB63D4" w:rsidRPr="00A21A63">
        <w:t>minimum</w:t>
      </w:r>
      <w:r w:rsidR="00774531" w:rsidRPr="00A21A63">
        <w:t xml:space="preserve"> TSS value (1.17°Brix) was observed in T</w:t>
      </w:r>
      <w:r w:rsidR="00FD4180" w:rsidRPr="00A21A63">
        <w:rPr>
          <w:vertAlign w:val="subscript"/>
        </w:rPr>
        <w:t>1</w:t>
      </w:r>
      <w:r w:rsidR="00774531" w:rsidRPr="00A21A63">
        <w:t xml:space="preserve"> (Control). Total soluble solids are a key indicator of fruit quality, as previously noted by Ali et al. (2004). Interestingly, earlier findings by </w:t>
      </w:r>
      <w:r w:rsidR="00FD4180" w:rsidRPr="00A21A63">
        <w:t>Jyotsna</w:t>
      </w:r>
      <w:r w:rsidR="00774531" w:rsidRPr="00A21A63">
        <w:t xml:space="preserve"> and Mathew (2008) reported that calcium alone did not significantly enhance TSS content, whereas the combined application of calcium and boron resulted in a noticeable improvement. This suggests that the interaction between these two nutrients plays a vital role in enriching the TSS content of tomato fruits</w:t>
      </w:r>
      <w:r w:rsidR="006B7AF8" w:rsidRPr="00A21A63">
        <w:t>.</w:t>
      </w:r>
    </w:p>
    <w:p w14:paraId="1DDFA5EA" w14:textId="77777777" w:rsidR="009163D6" w:rsidRPr="00A21A63" w:rsidRDefault="00A21A63" w:rsidP="001B63C6">
      <w:pPr>
        <w:spacing w:before="100" w:beforeAutospacing="1" w:after="100" w:afterAutospacing="1" w:line="240" w:lineRule="auto"/>
        <w:rPr>
          <w:rFonts w:eastAsia="Times New Roman"/>
          <w:szCs w:val="20"/>
        </w:rPr>
      </w:pPr>
      <w:r>
        <w:rPr>
          <w:rFonts w:eastAsia="Times New Roman"/>
          <w:b/>
          <w:bCs/>
          <w:szCs w:val="20"/>
        </w:rPr>
        <w:t xml:space="preserve">3.3.2 </w:t>
      </w:r>
      <w:r w:rsidR="00BE48B6" w:rsidRPr="00A21A63">
        <w:rPr>
          <w:rFonts w:eastAsia="Times New Roman"/>
          <w:b/>
          <w:bCs/>
          <w:szCs w:val="20"/>
        </w:rPr>
        <w:t xml:space="preserve">Fruit </w:t>
      </w:r>
      <w:proofErr w:type="spellStart"/>
      <w:proofErr w:type="gramStart"/>
      <w:r w:rsidR="00BE48B6" w:rsidRPr="00A21A63">
        <w:rPr>
          <w:rFonts w:eastAsia="Times New Roman"/>
          <w:b/>
          <w:bCs/>
          <w:szCs w:val="20"/>
        </w:rPr>
        <w:t>pH:</w:t>
      </w:r>
      <w:r w:rsidR="00806B6A" w:rsidRPr="00A21A63">
        <w:rPr>
          <w:rFonts w:eastAsia="Times New Roman"/>
          <w:szCs w:val="20"/>
        </w:rPr>
        <w:t>The</w:t>
      </w:r>
      <w:proofErr w:type="spellEnd"/>
      <w:proofErr w:type="gramEnd"/>
      <w:r w:rsidR="00806B6A" w:rsidRPr="00A21A63">
        <w:rPr>
          <w:rFonts w:eastAsia="Times New Roman"/>
          <w:szCs w:val="20"/>
        </w:rPr>
        <w:t xml:space="preserve"> results related to pH values are summarized in Table </w:t>
      </w:r>
      <w:r w:rsidR="0016276C" w:rsidRPr="00A21A63">
        <w:rPr>
          <w:rFonts w:eastAsia="Times New Roman"/>
          <w:szCs w:val="20"/>
        </w:rPr>
        <w:t>2</w:t>
      </w:r>
      <w:r w:rsidR="00543CEE" w:rsidRPr="00A21A63">
        <w:rPr>
          <w:rFonts w:eastAsia="Times New Roman"/>
          <w:szCs w:val="20"/>
        </w:rPr>
        <w:t>.</w:t>
      </w:r>
      <w:r w:rsidR="00806B6A" w:rsidRPr="00A21A63">
        <w:rPr>
          <w:rFonts w:eastAsia="Times New Roman"/>
          <w:szCs w:val="20"/>
        </w:rPr>
        <w:t xml:space="preserve"> The highest pH value (4.15) was observed in Treatment T</w:t>
      </w:r>
      <w:r w:rsidR="00806B6A" w:rsidRPr="00A21A63">
        <w:rPr>
          <w:rFonts w:eastAsia="Times New Roman"/>
          <w:szCs w:val="20"/>
          <w:vertAlign w:val="subscript"/>
        </w:rPr>
        <w:t>7</w:t>
      </w:r>
      <w:r w:rsidR="00806B6A" w:rsidRPr="00A21A63">
        <w:rPr>
          <w:rFonts w:eastAsia="Times New Roman"/>
          <w:szCs w:val="20"/>
        </w:rPr>
        <w:t xml:space="preserve"> (NPK 1.5g + Zinc 100 ppm + Boron 100 ppm /plant), followed by T</w:t>
      </w:r>
      <w:r w:rsidR="00FD4180" w:rsidRPr="00A21A63">
        <w:rPr>
          <w:rFonts w:eastAsia="Times New Roman"/>
          <w:szCs w:val="20"/>
          <w:vertAlign w:val="subscript"/>
        </w:rPr>
        <w:t>6</w:t>
      </w:r>
      <w:r w:rsidR="00806B6A" w:rsidRPr="00A21A63">
        <w:rPr>
          <w:rFonts w:eastAsia="Times New Roman"/>
          <w:szCs w:val="20"/>
        </w:rPr>
        <w:t>(4.13) and T</w:t>
      </w:r>
      <w:r w:rsidR="00806B6A" w:rsidRPr="00A21A63">
        <w:rPr>
          <w:rFonts w:eastAsia="Times New Roman"/>
          <w:szCs w:val="20"/>
          <w:vertAlign w:val="subscript"/>
        </w:rPr>
        <w:t>5</w:t>
      </w:r>
      <w:r w:rsidR="00806B6A" w:rsidRPr="00A21A63">
        <w:rPr>
          <w:rFonts w:eastAsia="Times New Roman"/>
          <w:szCs w:val="20"/>
        </w:rPr>
        <w:t xml:space="preserve"> (4.11). The pH level of tomato fruit generally increases as the fruit matures, progressing from the mature-green stage to full ripeness. This parameter is mainly influenced by the fruit's acid content, which plays an essential role in both </w:t>
      </w:r>
      <w:r w:rsidR="00FD4180" w:rsidRPr="00A21A63">
        <w:rPr>
          <w:rFonts w:eastAsia="Times New Roman"/>
          <w:szCs w:val="20"/>
        </w:rPr>
        <w:t>flavour</w:t>
      </w:r>
      <w:r w:rsidR="00806B6A" w:rsidRPr="00A21A63">
        <w:rPr>
          <w:rFonts w:eastAsia="Times New Roman"/>
          <w:szCs w:val="20"/>
        </w:rPr>
        <w:t xml:space="preserve"> and product safety. According to Anthon et al. (2011), a pH value of 4.4 is considered the upper safety limit, while an ideal target pH is around 4.25 to ensure the product is both safe for consumption and maintains desirable quality. The gradual rise in pH typically coincides with a reduction in titratable acidity, largely due to the decreasing concentration of citric acid the dominant organic acid in </w:t>
      </w:r>
      <w:proofErr w:type="spellStart"/>
      <w:r w:rsidR="00806B6A" w:rsidRPr="00A21A63">
        <w:rPr>
          <w:rFonts w:eastAsia="Times New Roman"/>
          <w:szCs w:val="20"/>
        </w:rPr>
        <w:t>tomatoesas</w:t>
      </w:r>
      <w:proofErr w:type="spellEnd"/>
      <w:r w:rsidR="00806B6A" w:rsidRPr="00A21A63">
        <w:rPr>
          <w:rFonts w:eastAsia="Times New Roman"/>
          <w:szCs w:val="20"/>
        </w:rPr>
        <w:t xml:space="preserve"> the fruit ripens.</w:t>
      </w:r>
    </w:p>
    <w:p w14:paraId="27ECC479" w14:textId="77777777" w:rsidR="00DC5763" w:rsidRPr="00A21A63" w:rsidRDefault="00A21A63" w:rsidP="00DC5763">
      <w:pPr>
        <w:spacing w:before="100" w:beforeAutospacing="1" w:after="100" w:afterAutospacing="1" w:line="240" w:lineRule="auto"/>
        <w:ind w:left="0" w:right="0" w:firstLine="0"/>
        <w:rPr>
          <w:rFonts w:eastAsia="Times New Roman"/>
          <w:color w:val="auto"/>
          <w:szCs w:val="20"/>
        </w:rPr>
      </w:pPr>
      <w:r>
        <w:rPr>
          <w:rFonts w:eastAsia="Times New Roman"/>
          <w:b/>
          <w:bCs/>
          <w:szCs w:val="20"/>
        </w:rPr>
        <w:t xml:space="preserve">3.3.3 </w:t>
      </w:r>
      <w:r w:rsidR="00914A59" w:rsidRPr="00A21A63">
        <w:rPr>
          <w:rFonts w:eastAsia="Times New Roman"/>
          <w:b/>
          <w:bCs/>
          <w:szCs w:val="20"/>
        </w:rPr>
        <w:t>Fruit Firmness (</w:t>
      </w:r>
      <w:r w:rsidR="00B514B0" w:rsidRPr="00A21A63">
        <w:rPr>
          <w:rFonts w:eastAsia="Times New Roman"/>
          <w:b/>
          <w:bCs/>
          <w:szCs w:val="20"/>
        </w:rPr>
        <w:t>kg cm</w:t>
      </w:r>
      <w:r w:rsidR="00B514B0" w:rsidRPr="00A21A63">
        <w:rPr>
          <w:rFonts w:eastAsia="Times New Roman"/>
          <w:b/>
          <w:bCs/>
          <w:szCs w:val="20"/>
          <w:vertAlign w:val="superscript"/>
        </w:rPr>
        <w:t>2</w:t>
      </w:r>
      <w:r w:rsidR="00B514B0" w:rsidRPr="00A21A63">
        <w:rPr>
          <w:rFonts w:eastAsia="Times New Roman"/>
          <w:b/>
          <w:bCs/>
          <w:szCs w:val="20"/>
        </w:rPr>
        <w:t xml:space="preserve">): </w:t>
      </w:r>
      <w:r w:rsidR="00DC5763" w:rsidRPr="00A21A63">
        <w:rPr>
          <w:rFonts w:eastAsia="Times New Roman"/>
          <w:color w:val="auto"/>
          <w:szCs w:val="20"/>
        </w:rPr>
        <w:t xml:space="preserve">The observations on fruit firmness (kg/cm²) are presented in </w:t>
      </w:r>
      <w:r w:rsidR="00DC5763" w:rsidRPr="00A21A63">
        <w:rPr>
          <w:rFonts w:eastAsia="Times New Roman"/>
          <w:bCs/>
          <w:color w:val="auto"/>
          <w:szCs w:val="20"/>
        </w:rPr>
        <w:t xml:space="preserve">Table </w:t>
      </w:r>
      <w:r w:rsidR="0016276C" w:rsidRPr="00A21A63">
        <w:rPr>
          <w:rFonts w:eastAsia="Times New Roman"/>
          <w:bCs/>
          <w:color w:val="auto"/>
          <w:szCs w:val="20"/>
        </w:rPr>
        <w:t>2</w:t>
      </w:r>
      <w:r w:rsidR="00DC5763" w:rsidRPr="00A21A63">
        <w:rPr>
          <w:rFonts w:eastAsia="Times New Roman"/>
          <w:color w:val="auto"/>
          <w:szCs w:val="20"/>
        </w:rPr>
        <w:t xml:space="preserve">. The </w:t>
      </w:r>
      <w:r w:rsidR="00543CEE" w:rsidRPr="00A21A63">
        <w:rPr>
          <w:rFonts w:eastAsia="Times New Roman"/>
          <w:color w:val="auto"/>
          <w:szCs w:val="20"/>
        </w:rPr>
        <w:t>maximum</w:t>
      </w:r>
      <w:r w:rsidR="00DC5763" w:rsidRPr="00A21A63">
        <w:rPr>
          <w:rFonts w:eastAsia="Times New Roman"/>
          <w:color w:val="auto"/>
          <w:szCs w:val="20"/>
        </w:rPr>
        <w:t xml:space="preserve"> fruit firmness (</w:t>
      </w:r>
      <w:r w:rsidR="00DC5763" w:rsidRPr="00A21A63">
        <w:rPr>
          <w:rFonts w:eastAsia="Times New Roman"/>
          <w:bCs/>
          <w:color w:val="auto"/>
          <w:szCs w:val="20"/>
        </w:rPr>
        <w:t>4.13 kg/cm²</w:t>
      </w:r>
      <w:r w:rsidR="00DC5763" w:rsidRPr="00A21A63">
        <w:rPr>
          <w:rFonts w:eastAsia="Times New Roman"/>
          <w:color w:val="auto"/>
          <w:szCs w:val="20"/>
        </w:rPr>
        <w:t xml:space="preserve">) was recorded in </w:t>
      </w:r>
      <w:r w:rsidR="00DC5763" w:rsidRPr="00A21A63">
        <w:rPr>
          <w:rFonts w:eastAsia="Times New Roman"/>
          <w:bCs/>
          <w:color w:val="auto"/>
          <w:szCs w:val="20"/>
        </w:rPr>
        <w:t>Treatment T</w:t>
      </w:r>
      <w:r w:rsidR="00DC5763" w:rsidRPr="00A21A63">
        <w:rPr>
          <w:rFonts w:eastAsia="Times New Roman"/>
          <w:bCs/>
          <w:color w:val="auto"/>
          <w:szCs w:val="20"/>
          <w:vertAlign w:val="subscript"/>
        </w:rPr>
        <w:t>7</w:t>
      </w:r>
      <w:r w:rsidR="00543CEE" w:rsidRPr="00A21A63">
        <w:rPr>
          <w:rFonts w:eastAsia="Times New Roman"/>
          <w:bCs/>
          <w:color w:val="auto"/>
          <w:szCs w:val="20"/>
        </w:rPr>
        <w:t xml:space="preserve">. </w:t>
      </w:r>
      <w:r w:rsidR="00DC5763" w:rsidRPr="00A21A63">
        <w:rPr>
          <w:rFonts w:eastAsia="Times New Roman"/>
          <w:color w:val="auto"/>
          <w:szCs w:val="20"/>
        </w:rPr>
        <w:t>The lowest fruit firmness (</w:t>
      </w:r>
      <w:r w:rsidR="00DC5763" w:rsidRPr="00A21A63">
        <w:rPr>
          <w:rFonts w:eastAsia="Times New Roman"/>
          <w:bCs/>
          <w:color w:val="auto"/>
          <w:szCs w:val="20"/>
        </w:rPr>
        <w:t>1.35 kg/cm</w:t>
      </w:r>
      <w:r w:rsidR="00DC5763" w:rsidRPr="00A21A63">
        <w:rPr>
          <w:rFonts w:eastAsia="Times New Roman"/>
          <w:b/>
          <w:bCs/>
          <w:color w:val="auto"/>
          <w:szCs w:val="20"/>
        </w:rPr>
        <w:t>²</w:t>
      </w:r>
      <w:r w:rsidR="00DC5763" w:rsidRPr="00A21A63">
        <w:rPr>
          <w:rFonts w:eastAsia="Times New Roman"/>
          <w:color w:val="auto"/>
          <w:szCs w:val="20"/>
        </w:rPr>
        <w:t xml:space="preserve">) was observed in </w:t>
      </w:r>
      <w:r w:rsidR="00DC5763" w:rsidRPr="00A21A63">
        <w:rPr>
          <w:rFonts w:eastAsia="Times New Roman"/>
          <w:bCs/>
          <w:color w:val="auto"/>
          <w:szCs w:val="20"/>
        </w:rPr>
        <w:t>T</w:t>
      </w:r>
      <w:r w:rsidR="00DC5763" w:rsidRPr="00A21A63">
        <w:rPr>
          <w:rFonts w:eastAsia="Times New Roman"/>
          <w:bCs/>
          <w:color w:val="auto"/>
          <w:szCs w:val="20"/>
          <w:vertAlign w:val="subscript"/>
        </w:rPr>
        <w:t>1</w:t>
      </w:r>
      <w:r w:rsidR="00DC5763" w:rsidRPr="00A21A63">
        <w:rPr>
          <w:rFonts w:eastAsia="Times New Roman"/>
          <w:color w:val="auto"/>
          <w:szCs w:val="20"/>
        </w:rPr>
        <w:t xml:space="preserve"> (Control). The improved firmness observed in boron-treated fruits can be linked to boron’s critical role in enhancing calcium metabolism and promoting cell wall stability. Boron not only contributes to maintaining cell wall integrity but also plays a part in delaying cell wall degradation during fruit ripening, as highlighted by </w:t>
      </w:r>
      <w:r w:rsidR="00DC5763" w:rsidRPr="00A21A63">
        <w:rPr>
          <w:rFonts w:eastAsia="Times New Roman"/>
          <w:bCs/>
          <w:color w:val="auto"/>
          <w:szCs w:val="20"/>
        </w:rPr>
        <w:t>Ryden et al. (2003)</w:t>
      </w:r>
      <w:r w:rsidR="00DC5763" w:rsidRPr="00A21A63">
        <w:rPr>
          <w:rFonts w:eastAsia="Times New Roman"/>
          <w:color w:val="auto"/>
          <w:szCs w:val="20"/>
        </w:rPr>
        <w:t xml:space="preserve"> and </w:t>
      </w:r>
      <w:r w:rsidR="00DC5763" w:rsidRPr="00A21A63">
        <w:rPr>
          <w:rFonts w:eastAsia="Times New Roman"/>
          <w:bCs/>
          <w:color w:val="auto"/>
          <w:szCs w:val="20"/>
        </w:rPr>
        <w:t xml:space="preserve">Lester and </w:t>
      </w:r>
      <w:proofErr w:type="spellStart"/>
      <w:proofErr w:type="gramStart"/>
      <w:r w:rsidR="00DC5763" w:rsidRPr="00A21A63">
        <w:rPr>
          <w:rFonts w:eastAsia="Times New Roman"/>
          <w:bCs/>
          <w:color w:val="auto"/>
          <w:szCs w:val="20"/>
        </w:rPr>
        <w:t>Grusak</w:t>
      </w:r>
      <w:proofErr w:type="spellEnd"/>
      <w:r w:rsidR="00DC5763" w:rsidRPr="00A21A63">
        <w:rPr>
          <w:rFonts w:eastAsia="Times New Roman"/>
          <w:bCs/>
          <w:color w:val="auto"/>
          <w:szCs w:val="20"/>
        </w:rPr>
        <w:t>(</w:t>
      </w:r>
      <w:proofErr w:type="gramEnd"/>
      <w:r w:rsidR="00DC5763" w:rsidRPr="00A21A63">
        <w:rPr>
          <w:rFonts w:eastAsia="Times New Roman"/>
          <w:bCs/>
          <w:color w:val="auto"/>
          <w:szCs w:val="20"/>
        </w:rPr>
        <w:t>2004)</w:t>
      </w:r>
      <w:r w:rsidR="00DC5763" w:rsidRPr="00A21A63">
        <w:rPr>
          <w:rFonts w:eastAsia="Times New Roman"/>
          <w:color w:val="auto"/>
          <w:szCs w:val="20"/>
        </w:rPr>
        <w:t xml:space="preserve">. Furthermore, the combined application of calcium and boron has been reported to further enhance fruit firmness, as demonstrated by </w:t>
      </w:r>
      <w:r w:rsidR="00DC5763" w:rsidRPr="00A21A63">
        <w:rPr>
          <w:rFonts w:eastAsia="Times New Roman"/>
          <w:bCs/>
          <w:color w:val="auto"/>
          <w:szCs w:val="20"/>
        </w:rPr>
        <w:t>Smit and Combrink (2005)</w:t>
      </w:r>
      <w:r w:rsidR="00DC5763" w:rsidRPr="00A21A63">
        <w:rPr>
          <w:rFonts w:eastAsia="Times New Roman"/>
          <w:color w:val="auto"/>
          <w:szCs w:val="20"/>
        </w:rPr>
        <w:t>.</w:t>
      </w:r>
    </w:p>
    <w:p w14:paraId="413A0DDB" w14:textId="77777777" w:rsidR="006E06A2" w:rsidRPr="00A21A63" w:rsidRDefault="00A21A63" w:rsidP="006E06A2">
      <w:pPr>
        <w:spacing w:before="100" w:beforeAutospacing="1" w:after="100" w:afterAutospacing="1" w:line="240" w:lineRule="auto"/>
        <w:ind w:left="0" w:right="0" w:firstLine="0"/>
        <w:rPr>
          <w:rFonts w:eastAsia="Times New Roman"/>
          <w:color w:val="auto"/>
          <w:szCs w:val="20"/>
        </w:rPr>
      </w:pPr>
      <w:r>
        <w:rPr>
          <w:rFonts w:eastAsia="Times New Roman"/>
          <w:b/>
          <w:bCs/>
          <w:color w:val="auto"/>
          <w:szCs w:val="20"/>
        </w:rPr>
        <w:t xml:space="preserve">3.3.4 </w:t>
      </w:r>
      <w:r w:rsidR="004546BA" w:rsidRPr="00A21A63">
        <w:rPr>
          <w:rFonts w:eastAsia="Times New Roman"/>
          <w:b/>
          <w:bCs/>
          <w:color w:val="auto"/>
          <w:szCs w:val="20"/>
        </w:rPr>
        <w:t xml:space="preserve">Dry Matter (%): </w:t>
      </w:r>
      <w:r w:rsidR="00B91DEB" w:rsidRPr="00A21A63">
        <w:rPr>
          <w:rFonts w:eastAsia="Times New Roman"/>
          <w:color w:val="auto"/>
          <w:szCs w:val="20"/>
        </w:rPr>
        <w:t xml:space="preserve">The data pertaining to dry matter content (percentage) are summarized in Table </w:t>
      </w:r>
      <w:r w:rsidR="0016276C" w:rsidRPr="00A21A63">
        <w:rPr>
          <w:rFonts w:eastAsia="Times New Roman"/>
          <w:color w:val="auto"/>
          <w:szCs w:val="20"/>
        </w:rPr>
        <w:t>2</w:t>
      </w:r>
      <w:r w:rsidR="00543CEE" w:rsidRPr="00A21A63">
        <w:rPr>
          <w:rFonts w:eastAsia="Times New Roman"/>
          <w:color w:val="auto"/>
          <w:szCs w:val="20"/>
        </w:rPr>
        <w:t>.</w:t>
      </w:r>
      <w:r w:rsidR="00B91DEB" w:rsidRPr="00A21A63">
        <w:rPr>
          <w:rFonts w:eastAsia="Times New Roman"/>
          <w:color w:val="auto"/>
          <w:szCs w:val="20"/>
        </w:rPr>
        <w:t xml:space="preserve"> The highest dry matter percentage (5.71%) was observed in treatment T</w:t>
      </w:r>
      <w:r w:rsidR="00B91DEB" w:rsidRPr="00A21A63">
        <w:rPr>
          <w:rFonts w:eastAsia="Times New Roman"/>
          <w:color w:val="auto"/>
          <w:szCs w:val="20"/>
          <w:vertAlign w:val="subscript"/>
        </w:rPr>
        <w:t>7</w:t>
      </w:r>
      <w:r w:rsidR="00543CEE" w:rsidRPr="00A21A63">
        <w:rPr>
          <w:rFonts w:eastAsia="Times New Roman"/>
          <w:color w:val="auto"/>
          <w:szCs w:val="20"/>
          <w:vertAlign w:val="subscript"/>
        </w:rPr>
        <w:t>.</w:t>
      </w:r>
      <w:r w:rsidR="00B91DEB" w:rsidRPr="00A21A63">
        <w:rPr>
          <w:rFonts w:eastAsia="Times New Roman"/>
          <w:color w:val="auto"/>
          <w:szCs w:val="20"/>
        </w:rPr>
        <w:t xml:space="preserve"> Conversely, the lowest dry matter content (4.07%) was recorded in the control treatment (T</w:t>
      </w:r>
      <w:r w:rsidR="00FD4180" w:rsidRPr="00A21A63">
        <w:rPr>
          <w:rFonts w:eastAsia="Times New Roman"/>
          <w:color w:val="auto"/>
          <w:szCs w:val="20"/>
          <w:vertAlign w:val="subscript"/>
        </w:rPr>
        <w:t>1</w:t>
      </w:r>
      <w:r w:rsidR="00FD4180" w:rsidRPr="00A21A63">
        <w:rPr>
          <w:rFonts w:eastAsia="Times New Roman"/>
          <w:color w:val="auto"/>
          <w:szCs w:val="20"/>
        </w:rPr>
        <w:t xml:space="preserve"> 1</w:t>
      </w:r>
      <w:r w:rsidR="00B91DEB" w:rsidRPr="00A21A63">
        <w:rPr>
          <w:rFonts w:eastAsia="Times New Roman"/>
          <w:color w:val="auto"/>
          <w:szCs w:val="20"/>
        </w:rPr>
        <w:t>). The enhanced accumulation of dry matter in the shoots can likely be attributed to an increased deposition of photosynthates within the vegetative tissues. Previous studies have shown a positive correlation between the application of micronutrients particularly calcium and zinc and photosynthate accumulation (Thalooth et al., 2006; Verma et al., 2018)</w:t>
      </w:r>
      <w:r w:rsidR="00515187" w:rsidRPr="00A21A63">
        <w:rPr>
          <w:rFonts w:eastAsia="Times New Roman"/>
          <w:color w:val="auto"/>
          <w:szCs w:val="20"/>
        </w:rPr>
        <w:t>.</w:t>
      </w:r>
    </w:p>
    <w:p w14:paraId="6B32515D" w14:textId="77777777" w:rsidR="006E06A2" w:rsidRPr="00A21A63" w:rsidRDefault="004B4B85" w:rsidP="00051783">
      <w:pPr>
        <w:pStyle w:val="Heading1"/>
        <w:numPr>
          <w:ilvl w:val="0"/>
          <w:numId w:val="0"/>
        </w:numPr>
        <w:ind w:left="10" w:hanging="10"/>
      </w:pPr>
      <w:r>
        <w:t xml:space="preserve">4. </w:t>
      </w:r>
      <w:r w:rsidR="006E06A2" w:rsidRPr="00A21A63">
        <w:t xml:space="preserve">CONCLUSION </w:t>
      </w:r>
    </w:p>
    <w:p w14:paraId="04684F94" w14:textId="77777777" w:rsidR="006E06A2" w:rsidRPr="004B4B85" w:rsidRDefault="006E06A2" w:rsidP="006E06A2">
      <w:pPr>
        <w:rPr>
          <w:szCs w:val="20"/>
        </w:rPr>
      </w:pPr>
      <w:r w:rsidRPr="004B4B85">
        <w:rPr>
          <w:szCs w:val="20"/>
        </w:rPr>
        <w:t>Based on the findings of the study, it can be concluded that treatment T</w:t>
      </w:r>
      <w:r w:rsidRPr="004B4B85">
        <w:rPr>
          <w:szCs w:val="20"/>
          <w:vertAlign w:val="subscript"/>
        </w:rPr>
        <w:t>7</w:t>
      </w:r>
      <w:r w:rsidRPr="004B4B85">
        <w:rPr>
          <w:szCs w:val="20"/>
        </w:rPr>
        <w:t xml:space="preserve"> (NPK 1.5g + Zinc 100 ppm + Boron 100 ppm per plant) revealed superior performance across a wide range of growth, flowering, yield, quality, and economic parameters in tomato cultivation. This treatment recorded the highest plant height (216.22 cm), number of leaves per plant (31.47), and number of flowers per plant (55.85). Additionally, T</w:t>
      </w:r>
      <w:r w:rsidRPr="004B4B85">
        <w:rPr>
          <w:szCs w:val="20"/>
          <w:vertAlign w:val="subscript"/>
        </w:rPr>
        <w:t>7</w:t>
      </w:r>
      <w:r w:rsidRPr="004B4B85">
        <w:rPr>
          <w:szCs w:val="20"/>
        </w:rPr>
        <w:t xml:space="preserve"> exhibited the earliest flowering and fruit set, with the shortest number of days to first flowering (31.57 days), 50% flowering (40.58 days), and fruit set (51.65 days). In terms of yield attributes, T</w:t>
      </w:r>
      <w:r w:rsidRPr="004B4B85">
        <w:rPr>
          <w:szCs w:val="20"/>
          <w:vertAlign w:val="subscript"/>
        </w:rPr>
        <w:t>7</w:t>
      </w:r>
      <w:r w:rsidRPr="004B4B85">
        <w:rPr>
          <w:szCs w:val="20"/>
        </w:rPr>
        <w:t xml:space="preserve"> also recorded the maximum number of fruits per cluster (8.22), fruits per plant (42.36), fruit weight (67.38 g), fruit length (4.42 cm), fruit diameter (5.40 cm), fruit volume (45.00 ml), fruit yield per plant (2.41 kg), per plot (24.10 kg), and per hectare (234.98 q). Quality parameters such as dry matter content (5.71%), total soluble solids (4.57 °Brix), fruit firmness (4.13 kg/cm²), and pH (4.15) were also highest in T</w:t>
      </w:r>
      <w:r w:rsidRPr="004B4B85">
        <w:rPr>
          <w:szCs w:val="20"/>
          <w:vertAlign w:val="subscript"/>
        </w:rPr>
        <w:t>7</w:t>
      </w:r>
      <w:r w:rsidR="003A1AE8" w:rsidRPr="004B4B85">
        <w:rPr>
          <w:szCs w:val="20"/>
        </w:rPr>
        <w:t>.</w:t>
      </w:r>
    </w:p>
    <w:p w14:paraId="30C19EBC" w14:textId="77777777" w:rsidR="006E06A2" w:rsidRPr="004B4B85" w:rsidRDefault="006E06A2" w:rsidP="006E06A2">
      <w:pPr>
        <w:rPr>
          <w:szCs w:val="20"/>
        </w:rPr>
      </w:pPr>
      <w:r w:rsidRPr="004B4B85">
        <w:rPr>
          <w:szCs w:val="20"/>
        </w:rPr>
        <w:t>Overall, the results clearly indicate that the combined application of macro- and micronutrients, particularly in treatment T</w:t>
      </w:r>
      <w:r w:rsidRPr="004B4B85">
        <w:rPr>
          <w:szCs w:val="20"/>
          <w:vertAlign w:val="subscript"/>
        </w:rPr>
        <w:t>7</w:t>
      </w:r>
      <w:r w:rsidRPr="004B4B85">
        <w:rPr>
          <w:szCs w:val="20"/>
        </w:rPr>
        <w:t>, significantly enhances growth, flowering, yield, fruit quality, and profitability in tomato cultivation. Thus, balanced fertilization with both macro- and micronutrients is crucial for optimizing tomato production.</w:t>
      </w:r>
    </w:p>
    <w:p w14:paraId="0EF34E18" w14:textId="77777777" w:rsidR="00391A93" w:rsidRDefault="00391A93" w:rsidP="00391A93">
      <w:pPr>
        <w:spacing w:line="360" w:lineRule="auto"/>
        <w:ind w:left="0" w:firstLine="0"/>
        <w:rPr>
          <w:rFonts w:ascii="Times New Roman" w:eastAsia="Times New Roman" w:hAnsi="Times New Roman" w:cs="Times New Roman"/>
          <w:color w:val="auto"/>
          <w:sz w:val="24"/>
          <w:szCs w:val="24"/>
        </w:rPr>
      </w:pPr>
    </w:p>
    <w:p w14:paraId="1C12B55F" w14:textId="77777777" w:rsidR="006A7C35" w:rsidRDefault="006A7C35" w:rsidP="00051783">
      <w:pPr>
        <w:spacing w:line="360" w:lineRule="auto"/>
        <w:ind w:left="-142"/>
        <w:rPr>
          <w:rFonts w:eastAsia="Times New Roman"/>
          <w:b/>
          <w:bCs/>
          <w:color w:val="000000" w:themeColor="text1"/>
          <w:sz w:val="22"/>
        </w:rPr>
      </w:pPr>
    </w:p>
    <w:p w14:paraId="584B1124" w14:textId="77777777" w:rsidR="006A7C35" w:rsidRDefault="006A7C35" w:rsidP="00051783">
      <w:pPr>
        <w:spacing w:line="360" w:lineRule="auto"/>
        <w:ind w:left="-142"/>
        <w:rPr>
          <w:rFonts w:eastAsia="Times New Roman"/>
          <w:b/>
          <w:bCs/>
          <w:color w:val="000000" w:themeColor="text1"/>
          <w:sz w:val="22"/>
        </w:rPr>
      </w:pPr>
    </w:p>
    <w:p w14:paraId="72BBF7EC" w14:textId="14C4ADC5" w:rsidR="00051783" w:rsidRPr="004B4B85" w:rsidRDefault="00051783" w:rsidP="00051783">
      <w:pPr>
        <w:spacing w:line="360" w:lineRule="auto"/>
        <w:ind w:left="-142"/>
        <w:rPr>
          <w:rFonts w:eastAsia="Times New Roman"/>
          <w:b/>
          <w:bCs/>
          <w:color w:val="000000" w:themeColor="text1"/>
          <w:sz w:val="22"/>
        </w:rPr>
      </w:pPr>
      <w:bookmarkStart w:id="2" w:name="_GoBack"/>
      <w:bookmarkEnd w:id="2"/>
      <w:r w:rsidRPr="004B4B85">
        <w:rPr>
          <w:rFonts w:eastAsia="Times New Roman"/>
          <w:b/>
          <w:bCs/>
          <w:color w:val="000000" w:themeColor="text1"/>
          <w:sz w:val="22"/>
        </w:rPr>
        <w:lastRenderedPageBreak/>
        <w:t>COMPLIANCE WITH ETHICAL STANDARDS</w:t>
      </w:r>
    </w:p>
    <w:p w14:paraId="302309BA"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This article does not contain any studies with human participants performed by any of the authors.</w:t>
      </w:r>
    </w:p>
    <w:p w14:paraId="4B38FB1D" w14:textId="77777777" w:rsidR="00051783" w:rsidRPr="004B4B85" w:rsidRDefault="00051783" w:rsidP="00051783">
      <w:pPr>
        <w:spacing w:line="360" w:lineRule="auto"/>
        <w:ind w:left="-142"/>
        <w:rPr>
          <w:rFonts w:eastAsia="Times New Roman"/>
          <w:b/>
          <w:bCs/>
          <w:color w:val="000000" w:themeColor="text1"/>
          <w:sz w:val="22"/>
        </w:rPr>
      </w:pPr>
      <w:r w:rsidRPr="004B4B85">
        <w:rPr>
          <w:rFonts w:eastAsia="Times New Roman"/>
          <w:b/>
          <w:bCs/>
          <w:color w:val="000000" w:themeColor="text1"/>
          <w:sz w:val="22"/>
        </w:rPr>
        <w:t>CONFLICT OF INTEREST</w:t>
      </w:r>
    </w:p>
    <w:p w14:paraId="64065981" w14:textId="77777777" w:rsidR="00051783" w:rsidRPr="004B4B85" w:rsidRDefault="00051783" w:rsidP="00051783">
      <w:pPr>
        <w:spacing w:line="360" w:lineRule="auto"/>
        <w:ind w:left="-142"/>
        <w:rPr>
          <w:rFonts w:eastAsia="Times New Roman"/>
          <w:color w:val="000000" w:themeColor="text1"/>
          <w:sz w:val="22"/>
        </w:rPr>
      </w:pPr>
      <w:r w:rsidRPr="004B4B85">
        <w:rPr>
          <w:rFonts w:eastAsia="Times New Roman"/>
          <w:color w:val="000000" w:themeColor="text1"/>
          <w:sz w:val="22"/>
        </w:rPr>
        <w:t>The authors declare that they have no conflicts of interest.</w:t>
      </w:r>
    </w:p>
    <w:p w14:paraId="50442FA9" w14:textId="77777777" w:rsidR="00051783" w:rsidRDefault="00051783"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pPr>
    </w:p>
    <w:p w14:paraId="62A49F20" w14:textId="77777777" w:rsidR="00511DAD" w:rsidRPr="006E06A2" w:rsidRDefault="00511DAD" w:rsidP="006E06A2">
      <w:pPr>
        <w:spacing w:before="100" w:beforeAutospacing="1" w:after="100" w:afterAutospacing="1" w:line="240" w:lineRule="auto"/>
        <w:ind w:left="0" w:right="0" w:firstLine="0"/>
        <w:rPr>
          <w:rFonts w:ascii="Times New Roman" w:eastAsia="Times New Roman" w:hAnsi="Times New Roman" w:cs="Times New Roman"/>
          <w:color w:val="auto"/>
          <w:sz w:val="24"/>
          <w:szCs w:val="24"/>
        </w:rPr>
        <w:sectPr w:rsidR="00511DAD" w:rsidRPr="006E06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
        <w:tblpPr w:leftFromText="180" w:rightFromText="180" w:vertAnchor="text" w:horzAnchor="margin" w:tblpX="-299" w:tblpY="487"/>
        <w:tblW w:w="13485" w:type="dxa"/>
        <w:tblLayout w:type="fixed"/>
        <w:tblLook w:val="04A0" w:firstRow="1" w:lastRow="0" w:firstColumn="1" w:lastColumn="0" w:noHBand="0" w:noVBand="1"/>
      </w:tblPr>
      <w:tblGrid>
        <w:gridCol w:w="1926"/>
        <w:gridCol w:w="1205"/>
        <w:gridCol w:w="1482"/>
        <w:gridCol w:w="1494"/>
        <w:gridCol w:w="1636"/>
        <w:gridCol w:w="1489"/>
        <w:gridCol w:w="1489"/>
        <w:gridCol w:w="1201"/>
        <w:gridCol w:w="1563"/>
      </w:tblGrid>
      <w:tr w:rsidR="00B00E53" w:rsidRPr="00896637" w14:paraId="2DD0AED2" w14:textId="77777777" w:rsidTr="00B00E53">
        <w:trPr>
          <w:trHeight w:val="214"/>
        </w:trPr>
        <w:tc>
          <w:tcPr>
            <w:tcW w:w="1926" w:type="dxa"/>
          </w:tcPr>
          <w:p w14:paraId="607972BA" w14:textId="77777777" w:rsidR="00B00E53" w:rsidRPr="00896637" w:rsidRDefault="00B00E53" w:rsidP="007C67A0">
            <w:pPr>
              <w:spacing w:after="160" w:line="259" w:lineRule="auto"/>
              <w:ind w:left="0" w:right="0" w:firstLine="0"/>
              <w:jc w:val="left"/>
              <w:rPr>
                <w:szCs w:val="20"/>
              </w:rPr>
            </w:pPr>
            <w:r w:rsidRPr="00896637">
              <w:rPr>
                <w:b/>
                <w:bCs/>
                <w:szCs w:val="20"/>
                <w:lang w:val="en-GB"/>
              </w:rPr>
              <w:lastRenderedPageBreak/>
              <w:t>Treatments</w:t>
            </w:r>
          </w:p>
        </w:tc>
        <w:tc>
          <w:tcPr>
            <w:tcW w:w="1205" w:type="dxa"/>
            <w:vAlign w:val="center"/>
          </w:tcPr>
          <w:p w14:paraId="2E333D30" w14:textId="77777777" w:rsidR="00B00E53" w:rsidRPr="00896637" w:rsidRDefault="00B00E53" w:rsidP="007C67A0">
            <w:pPr>
              <w:spacing w:after="160" w:line="259" w:lineRule="auto"/>
              <w:ind w:left="0" w:right="0" w:firstLine="0"/>
              <w:jc w:val="left"/>
              <w:rPr>
                <w:szCs w:val="20"/>
              </w:rPr>
            </w:pPr>
            <w:r w:rsidRPr="00896637">
              <w:rPr>
                <w:b/>
                <w:bCs/>
                <w:szCs w:val="20"/>
                <w:lang w:val="en-GB"/>
              </w:rPr>
              <w:t>Plant height (cm)</w:t>
            </w:r>
          </w:p>
        </w:tc>
        <w:tc>
          <w:tcPr>
            <w:tcW w:w="1482" w:type="dxa"/>
            <w:vAlign w:val="center"/>
          </w:tcPr>
          <w:p w14:paraId="7EBF1853"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leaves per plant</w:t>
            </w:r>
          </w:p>
        </w:tc>
        <w:tc>
          <w:tcPr>
            <w:tcW w:w="1494" w:type="dxa"/>
            <w:vAlign w:val="center"/>
          </w:tcPr>
          <w:p w14:paraId="041529B5"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flowers per plant</w:t>
            </w:r>
          </w:p>
        </w:tc>
        <w:tc>
          <w:tcPr>
            <w:tcW w:w="1636" w:type="dxa"/>
          </w:tcPr>
          <w:p w14:paraId="3AEDBA7A" w14:textId="77777777" w:rsidR="00B00E53" w:rsidRPr="00896637" w:rsidRDefault="00B00E53" w:rsidP="007C67A0">
            <w:pPr>
              <w:spacing w:after="160" w:line="259" w:lineRule="auto"/>
              <w:ind w:left="0" w:right="0" w:firstLine="0"/>
              <w:jc w:val="left"/>
              <w:rPr>
                <w:szCs w:val="20"/>
              </w:rPr>
            </w:pPr>
            <w:r w:rsidRPr="00896637">
              <w:rPr>
                <w:b/>
                <w:bCs/>
                <w:szCs w:val="20"/>
                <w:lang w:val="en-GB"/>
              </w:rPr>
              <w:t>Days to 50% flowering</w:t>
            </w:r>
          </w:p>
        </w:tc>
        <w:tc>
          <w:tcPr>
            <w:tcW w:w="1489" w:type="dxa"/>
          </w:tcPr>
          <w:p w14:paraId="4D17BD3A" w14:textId="77777777" w:rsidR="00B00E53" w:rsidRPr="00896637" w:rsidRDefault="00B00E53" w:rsidP="007C67A0">
            <w:pPr>
              <w:spacing w:after="160" w:line="259" w:lineRule="auto"/>
              <w:ind w:left="0" w:right="0" w:firstLine="0"/>
              <w:jc w:val="left"/>
              <w:rPr>
                <w:szCs w:val="20"/>
              </w:rPr>
            </w:pPr>
            <w:r w:rsidRPr="00896637">
              <w:rPr>
                <w:b/>
                <w:bCs/>
                <w:szCs w:val="20"/>
                <w:lang w:val="en-GB"/>
              </w:rPr>
              <w:t>Number of fruits per cluster</w:t>
            </w:r>
          </w:p>
        </w:tc>
        <w:tc>
          <w:tcPr>
            <w:tcW w:w="1489" w:type="dxa"/>
          </w:tcPr>
          <w:p w14:paraId="22C32AEC"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Number of fruits per plant</w:t>
            </w:r>
          </w:p>
        </w:tc>
        <w:tc>
          <w:tcPr>
            <w:tcW w:w="1201" w:type="dxa"/>
          </w:tcPr>
          <w:p w14:paraId="345252D6"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length (cm)</w:t>
            </w:r>
          </w:p>
        </w:tc>
        <w:tc>
          <w:tcPr>
            <w:tcW w:w="1563" w:type="dxa"/>
          </w:tcPr>
          <w:p w14:paraId="5540B0EF" w14:textId="77777777" w:rsidR="00B00E53" w:rsidRPr="00896637" w:rsidRDefault="00B00E53" w:rsidP="007C67A0">
            <w:pPr>
              <w:spacing w:after="160" w:line="259" w:lineRule="auto"/>
              <w:ind w:left="0" w:right="0" w:firstLine="0"/>
              <w:jc w:val="left"/>
              <w:rPr>
                <w:b/>
                <w:bCs/>
                <w:szCs w:val="20"/>
                <w:lang w:val="en-GB"/>
              </w:rPr>
            </w:pPr>
            <w:r w:rsidRPr="00896637">
              <w:rPr>
                <w:b/>
                <w:bCs/>
                <w:szCs w:val="20"/>
                <w:lang w:val="en-GB"/>
              </w:rPr>
              <w:t>Fruit diameter (cm)</w:t>
            </w:r>
          </w:p>
        </w:tc>
      </w:tr>
      <w:tr w:rsidR="00B00E53" w:rsidRPr="00896637" w14:paraId="35E69F37" w14:textId="77777777" w:rsidTr="00B00E53">
        <w:trPr>
          <w:trHeight w:val="222"/>
        </w:trPr>
        <w:tc>
          <w:tcPr>
            <w:tcW w:w="1926" w:type="dxa"/>
          </w:tcPr>
          <w:p w14:paraId="39CF7AA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205" w:type="dxa"/>
            <w:vAlign w:val="center"/>
          </w:tcPr>
          <w:p w14:paraId="67A0C2F0" w14:textId="77777777" w:rsidR="00B00E53" w:rsidRPr="00896637" w:rsidRDefault="00B00E53" w:rsidP="00641EE2">
            <w:pPr>
              <w:spacing w:after="160" w:line="259" w:lineRule="auto"/>
              <w:ind w:left="0" w:right="0" w:firstLine="0"/>
              <w:jc w:val="left"/>
              <w:rPr>
                <w:szCs w:val="20"/>
              </w:rPr>
            </w:pPr>
            <w:r w:rsidRPr="00896637">
              <w:rPr>
                <w:szCs w:val="20"/>
              </w:rPr>
              <w:t>142.33</w:t>
            </w:r>
          </w:p>
        </w:tc>
        <w:tc>
          <w:tcPr>
            <w:tcW w:w="1482" w:type="dxa"/>
            <w:vAlign w:val="center"/>
          </w:tcPr>
          <w:p w14:paraId="1D635778" w14:textId="77777777" w:rsidR="00B00E53" w:rsidRPr="00896637" w:rsidRDefault="00B00E53" w:rsidP="00641EE2">
            <w:pPr>
              <w:spacing w:after="160" w:line="259" w:lineRule="auto"/>
              <w:ind w:left="0" w:right="0" w:firstLine="0"/>
              <w:jc w:val="left"/>
              <w:rPr>
                <w:szCs w:val="20"/>
              </w:rPr>
            </w:pPr>
            <w:r w:rsidRPr="00896637">
              <w:rPr>
                <w:szCs w:val="20"/>
                <w:lang w:val="en-GB"/>
              </w:rPr>
              <w:t>18.33</w:t>
            </w:r>
          </w:p>
        </w:tc>
        <w:tc>
          <w:tcPr>
            <w:tcW w:w="1494" w:type="dxa"/>
            <w:vAlign w:val="center"/>
          </w:tcPr>
          <w:p w14:paraId="071F47C0" w14:textId="77777777" w:rsidR="00B00E53" w:rsidRPr="00896637" w:rsidRDefault="00B00E53" w:rsidP="00641EE2">
            <w:pPr>
              <w:spacing w:after="160" w:line="259" w:lineRule="auto"/>
              <w:ind w:left="0" w:right="0" w:firstLine="0"/>
              <w:jc w:val="left"/>
              <w:rPr>
                <w:szCs w:val="20"/>
              </w:rPr>
            </w:pPr>
            <w:r w:rsidRPr="00896637">
              <w:rPr>
                <w:szCs w:val="20"/>
                <w:lang w:val="en-GB"/>
              </w:rPr>
              <w:t>20.00</w:t>
            </w:r>
          </w:p>
        </w:tc>
        <w:tc>
          <w:tcPr>
            <w:tcW w:w="1636" w:type="dxa"/>
          </w:tcPr>
          <w:p w14:paraId="56104A38" w14:textId="77777777" w:rsidR="00B00E53" w:rsidRPr="00896637" w:rsidRDefault="00B00E53" w:rsidP="00641EE2">
            <w:pPr>
              <w:spacing w:after="160" w:line="259" w:lineRule="auto"/>
              <w:ind w:left="0" w:right="0" w:firstLine="0"/>
              <w:jc w:val="left"/>
              <w:rPr>
                <w:szCs w:val="20"/>
              </w:rPr>
            </w:pPr>
            <w:r w:rsidRPr="00896637">
              <w:rPr>
                <w:bCs/>
                <w:szCs w:val="20"/>
                <w:lang w:val="en-GB"/>
              </w:rPr>
              <w:t>47.18</w:t>
            </w:r>
          </w:p>
        </w:tc>
        <w:tc>
          <w:tcPr>
            <w:tcW w:w="1489" w:type="dxa"/>
          </w:tcPr>
          <w:p w14:paraId="49FC2C65" w14:textId="77777777" w:rsidR="00B00E53" w:rsidRPr="00896637" w:rsidRDefault="00B00E53" w:rsidP="00641EE2">
            <w:pPr>
              <w:spacing w:after="160" w:line="259" w:lineRule="auto"/>
              <w:ind w:left="0" w:right="0" w:firstLine="0"/>
              <w:jc w:val="left"/>
              <w:rPr>
                <w:szCs w:val="20"/>
              </w:rPr>
            </w:pPr>
            <w:r w:rsidRPr="00896637">
              <w:rPr>
                <w:bCs/>
                <w:szCs w:val="20"/>
                <w:lang w:val="en-GB"/>
              </w:rPr>
              <w:t>3.80</w:t>
            </w:r>
          </w:p>
        </w:tc>
        <w:tc>
          <w:tcPr>
            <w:tcW w:w="1489" w:type="dxa"/>
          </w:tcPr>
          <w:p w14:paraId="6A4007AA" w14:textId="77777777" w:rsidR="00B00E53" w:rsidRPr="00896637" w:rsidRDefault="00B00E53" w:rsidP="00641EE2">
            <w:pPr>
              <w:spacing w:after="160" w:line="259" w:lineRule="auto"/>
              <w:ind w:left="0" w:right="0" w:firstLine="0"/>
              <w:jc w:val="left"/>
              <w:rPr>
                <w:szCs w:val="20"/>
              </w:rPr>
            </w:pPr>
            <w:r w:rsidRPr="00896637">
              <w:rPr>
                <w:bCs/>
                <w:szCs w:val="20"/>
                <w:lang w:val="en-GB"/>
              </w:rPr>
              <w:t>25.36</w:t>
            </w:r>
          </w:p>
        </w:tc>
        <w:tc>
          <w:tcPr>
            <w:tcW w:w="1201" w:type="dxa"/>
          </w:tcPr>
          <w:p w14:paraId="3572F0F5" w14:textId="77777777" w:rsidR="00B00E53" w:rsidRPr="00896637" w:rsidRDefault="00B00E53" w:rsidP="00641EE2">
            <w:pPr>
              <w:spacing w:after="160" w:line="259" w:lineRule="auto"/>
              <w:ind w:left="0" w:right="0" w:firstLine="0"/>
              <w:jc w:val="left"/>
              <w:rPr>
                <w:szCs w:val="20"/>
              </w:rPr>
            </w:pPr>
            <w:r w:rsidRPr="00896637">
              <w:rPr>
                <w:bCs/>
                <w:szCs w:val="20"/>
                <w:lang w:val="en-GB"/>
              </w:rPr>
              <w:t>3.32</w:t>
            </w:r>
          </w:p>
        </w:tc>
        <w:tc>
          <w:tcPr>
            <w:tcW w:w="1563" w:type="dxa"/>
          </w:tcPr>
          <w:p w14:paraId="1592A592" w14:textId="77777777" w:rsidR="00B00E53" w:rsidRPr="00896637" w:rsidRDefault="00B00E53" w:rsidP="00641EE2">
            <w:pPr>
              <w:spacing w:after="160" w:line="259" w:lineRule="auto"/>
              <w:ind w:left="0" w:right="0" w:firstLine="0"/>
              <w:jc w:val="left"/>
              <w:rPr>
                <w:szCs w:val="20"/>
              </w:rPr>
            </w:pPr>
            <w:r w:rsidRPr="00896637">
              <w:rPr>
                <w:bCs/>
                <w:szCs w:val="20"/>
                <w:lang w:val="en-GB"/>
              </w:rPr>
              <w:t>3.10</w:t>
            </w:r>
          </w:p>
        </w:tc>
      </w:tr>
      <w:tr w:rsidR="00B00E53" w:rsidRPr="00896637" w14:paraId="71189B15" w14:textId="77777777" w:rsidTr="00B00E53">
        <w:trPr>
          <w:trHeight w:val="214"/>
        </w:trPr>
        <w:tc>
          <w:tcPr>
            <w:tcW w:w="1926" w:type="dxa"/>
          </w:tcPr>
          <w:p w14:paraId="6B76DE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205" w:type="dxa"/>
            <w:vAlign w:val="center"/>
          </w:tcPr>
          <w:p w14:paraId="4A39B603" w14:textId="77777777" w:rsidR="00B00E53" w:rsidRPr="00896637" w:rsidRDefault="00B00E53" w:rsidP="00641EE2">
            <w:pPr>
              <w:spacing w:after="160" w:line="259" w:lineRule="auto"/>
              <w:ind w:left="0" w:right="0" w:firstLine="0"/>
              <w:jc w:val="left"/>
              <w:rPr>
                <w:szCs w:val="20"/>
              </w:rPr>
            </w:pPr>
            <w:r w:rsidRPr="00896637">
              <w:rPr>
                <w:szCs w:val="20"/>
              </w:rPr>
              <w:t>150.00</w:t>
            </w:r>
          </w:p>
        </w:tc>
        <w:tc>
          <w:tcPr>
            <w:tcW w:w="1482" w:type="dxa"/>
            <w:vAlign w:val="center"/>
          </w:tcPr>
          <w:p w14:paraId="23086CBB" w14:textId="77777777" w:rsidR="00B00E53" w:rsidRPr="00896637" w:rsidRDefault="00B00E53" w:rsidP="00641EE2">
            <w:pPr>
              <w:spacing w:after="160" w:line="259" w:lineRule="auto"/>
              <w:ind w:left="0" w:right="0" w:firstLine="0"/>
              <w:jc w:val="left"/>
              <w:rPr>
                <w:szCs w:val="20"/>
              </w:rPr>
            </w:pPr>
            <w:r w:rsidRPr="00896637">
              <w:rPr>
                <w:szCs w:val="20"/>
                <w:lang w:val="en-GB"/>
              </w:rPr>
              <w:t>23.42</w:t>
            </w:r>
          </w:p>
        </w:tc>
        <w:tc>
          <w:tcPr>
            <w:tcW w:w="1494" w:type="dxa"/>
            <w:vAlign w:val="center"/>
          </w:tcPr>
          <w:p w14:paraId="153FFB08" w14:textId="77777777" w:rsidR="00B00E53" w:rsidRPr="00896637" w:rsidRDefault="00B00E53" w:rsidP="00641EE2">
            <w:pPr>
              <w:spacing w:after="160" w:line="259" w:lineRule="auto"/>
              <w:ind w:left="0" w:right="0" w:firstLine="0"/>
              <w:jc w:val="left"/>
              <w:rPr>
                <w:szCs w:val="20"/>
              </w:rPr>
            </w:pPr>
            <w:r w:rsidRPr="00896637">
              <w:rPr>
                <w:szCs w:val="20"/>
                <w:lang w:val="en-GB"/>
              </w:rPr>
              <w:t>25.34</w:t>
            </w:r>
          </w:p>
        </w:tc>
        <w:tc>
          <w:tcPr>
            <w:tcW w:w="1636" w:type="dxa"/>
          </w:tcPr>
          <w:p w14:paraId="528E251E" w14:textId="77777777" w:rsidR="00B00E53" w:rsidRPr="00896637" w:rsidRDefault="00B00E53" w:rsidP="00641EE2">
            <w:pPr>
              <w:spacing w:after="160" w:line="259" w:lineRule="auto"/>
              <w:ind w:left="0" w:right="0" w:firstLine="0"/>
              <w:jc w:val="left"/>
              <w:rPr>
                <w:szCs w:val="20"/>
              </w:rPr>
            </w:pPr>
            <w:r w:rsidRPr="00896637">
              <w:rPr>
                <w:bCs/>
                <w:szCs w:val="20"/>
                <w:lang w:val="en-GB"/>
              </w:rPr>
              <w:t>46.08</w:t>
            </w:r>
          </w:p>
        </w:tc>
        <w:tc>
          <w:tcPr>
            <w:tcW w:w="1489" w:type="dxa"/>
          </w:tcPr>
          <w:p w14:paraId="3232C71E" w14:textId="77777777" w:rsidR="00B00E53" w:rsidRPr="00896637" w:rsidRDefault="00B00E53" w:rsidP="00641EE2">
            <w:pPr>
              <w:spacing w:after="160" w:line="259" w:lineRule="auto"/>
              <w:ind w:left="0" w:right="0" w:firstLine="0"/>
              <w:jc w:val="left"/>
              <w:rPr>
                <w:szCs w:val="20"/>
              </w:rPr>
            </w:pPr>
            <w:r w:rsidRPr="00896637">
              <w:rPr>
                <w:bCs/>
                <w:szCs w:val="20"/>
                <w:lang w:val="en-GB"/>
              </w:rPr>
              <w:t>5.20</w:t>
            </w:r>
          </w:p>
        </w:tc>
        <w:tc>
          <w:tcPr>
            <w:tcW w:w="1489" w:type="dxa"/>
          </w:tcPr>
          <w:p w14:paraId="610D8DDB" w14:textId="77777777" w:rsidR="00B00E53" w:rsidRPr="00896637" w:rsidRDefault="00B00E53" w:rsidP="00641EE2">
            <w:pPr>
              <w:spacing w:after="160" w:line="259" w:lineRule="auto"/>
              <w:ind w:left="0" w:right="0" w:firstLine="0"/>
              <w:jc w:val="left"/>
              <w:rPr>
                <w:szCs w:val="20"/>
              </w:rPr>
            </w:pPr>
            <w:r w:rsidRPr="00896637">
              <w:rPr>
                <w:bCs/>
                <w:szCs w:val="20"/>
                <w:lang w:val="en-GB"/>
              </w:rPr>
              <w:t>36.34</w:t>
            </w:r>
          </w:p>
        </w:tc>
        <w:tc>
          <w:tcPr>
            <w:tcW w:w="1201" w:type="dxa"/>
          </w:tcPr>
          <w:p w14:paraId="60080118" w14:textId="77777777" w:rsidR="00B00E53" w:rsidRPr="00896637" w:rsidRDefault="00B00E53" w:rsidP="00641EE2">
            <w:pPr>
              <w:spacing w:after="160" w:line="259" w:lineRule="auto"/>
              <w:ind w:left="0" w:right="0" w:firstLine="0"/>
              <w:jc w:val="left"/>
              <w:rPr>
                <w:szCs w:val="20"/>
              </w:rPr>
            </w:pPr>
            <w:r w:rsidRPr="00896637">
              <w:rPr>
                <w:bCs/>
                <w:szCs w:val="20"/>
                <w:lang w:val="en-GB"/>
              </w:rPr>
              <w:t>3.60</w:t>
            </w:r>
          </w:p>
        </w:tc>
        <w:tc>
          <w:tcPr>
            <w:tcW w:w="1563" w:type="dxa"/>
          </w:tcPr>
          <w:p w14:paraId="2E1EDD32" w14:textId="77777777" w:rsidR="00B00E53" w:rsidRPr="00896637" w:rsidRDefault="00B00E53" w:rsidP="00641EE2">
            <w:pPr>
              <w:spacing w:after="160" w:line="259" w:lineRule="auto"/>
              <w:ind w:left="0" w:right="0" w:firstLine="0"/>
              <w:jc w:val="left"/>
              <w:rPr>
                <w:szCs w:val="20"/>
              </w:rPr>
            </w:pPr>
            <w:r w:rsidRPr="00896637">
              <w:rPr>
                <w:bCs/>
                <w:szCs w:val="20"/>
                <w:lang w:val="en-GB"/>
              </w:rPr>
              <w:t>3.63</w:t>
            </w:r>
          </w:p>
        </w:tc>
      </w:tr>
      <w:tr w:rsidR="00B00E53" w:rsidRPr="00896637" w14:paraId="3189E10B" w14:textId="77777777" w:rsidTr="00B00E53">
        <w:trPr>
          <w:trHeight w:val="222"/>
        </w:trPr>
        <w:tc>
          <w:tcPr>
            <w:tcW w:w="1926" w:type="dxa"/>
          </w:tcPr>
          <w:p w14:paraId="58025F40"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205" w:type="dxa"/>
            <w:vAlign w:val="center"/>
          </w:tcPr>
          <w:p w14:paraId="6E0D065E" w14:textId="77777777" w:rsidR="00B00E53" w:rsidRPr="00896637" w:rsidRDefault="00B00E53" w:rsidP="00641EE2">
            <w:pPr>
              <w:spacing w:after="160" w:line="259" w:lineRule="auto"/>
              <w:ind w:left="0" w:right="0" w:firstLine="0"/>
              <w:jc w:val="left"/>
              <w:rPr>
                <w:szCs w:val="20"/>
              </w:rPr>
            </w:pPr>
            <w:r w:rsidRPr="00896637">
              <w:rPr>
                <w:szCs w:val="20"/>
              </w:rPr>
              <w:t>157.67</w:t>
            </w:r>
          </w:p>
        </w:tc>
        <w:tc>
          <w:tcPr>
            <w:tcW w:w="1482" w:type="dxa"/>
            <w:vAlign w:val="center"/>
          </w:tcPr>
          <w:p w14:paraId="04BA487A" w14:textId="77777777" w:rsidR="00B00E53" w:rsidRPr="00896637" w:rsidRDefault="00B00E53" w:rsidP="00641EE2">
            <w:pPr>
              <w:spacing w:after="160" w:line="259" w:lineRule="auto"/>
              <w:ind w:left="0" w:right="0" w:firstLine="0"/>
              <w:jc w:val="left"/>
              <w:rPr>
                <w:szCs w:val="20"/>
              </w:rPr>
            </w:pPr>
            <w:r w:rsidRPr="00896637">
              <w:rPr>
                <w:szCs w:val="20"/>
                <w:lang w:val="en-GB"/>
              </w:rPr>
              <w:t>25.43</w:t>
            </w:r>
          </w:p>
        </w:tc>
        <w:tc>
          <w:tcPr>
            <w:tcW w:w="1494" w:type="dxa"/>
            <w:vAlign w:val="center"/>
          </w:tcPr>
          <w:p w14:paraId="797B1B67" w14:textId="77777777" w:rsidR="00B00E53" w:rsidRPr="00896637" w:rsidRDefault="00B00E53" w:rsidP="00641EE2">
            <w:pPr>
              <w:spacing w:after="160" w:line="259" w:lineRule="auto"/>
              <w:ind w:left="0" w:right="0" w:firstLine="0"/>
              <w:jc w:val="left"/>
              <w:rPr>
                <w:szCs w:val="20"/>
              </w:rPr>
            </w:pPr>
            <w:r w:rsidRPr="00896637">
              <w:rPr>
                <w:szCs w:val="20"/>
                <w:lang w:val="en-GB"/>
              </w:rPr>
              <w:t>34.70</w:t>
            </w:r>
          </w:p>
        </w:tc>
        <w:tc>
          <w:tcPr>
            <w:tcW w:w="1636" w:type="dxa"/>
          </w:tcPr>
          <w:p w14:paraId="02D72945" w14:textId="77777777" w:rsidR="00B00E53" w:rsidRPr="00896637" w:rsidRDefault="00B00E53" w:rsidP="00641EE2">
            <w:pPr>
              <w:spacing w:after="160" w:line="259" w:lineRule="auto"/>
              <w:ind w:left="0" w:right="0" w:firstLine="0"/>
              <w:jc w:val="left"/>
              <w:rPr>
                <w:szCs w:val="20"/>
              </w:rPr>
            </w:pPr>
            <w:r w:rsidRPr="00896637">
              <w:rPr>
                <w:bCs/>
                <w:szCs w:val="20"/>
                <w:lang w:val="en-GB"/>
              </w:rPr>
              <w:t>44.99</w:t>
            </w:r>
          </w:p>
        </w:tc>
        <w:tc>
          <w:tcPr>
            <w:tcW w:w="1489" w:type="dxa"/>
          </w:tcPr>
          <w:p w14:paraId="1356F072" w14:textId="77777777" w:rsidR="00B00E53" w:rsidRPr="00896637" w:rsidRDefault="00B00E53" w:rsidP="00641EE2">
            <w:pPr>
              <w:spacing w:after="160" w:line="259" w:lineRule="auto"/>
              <w:ind w:left="0" w:right="0" w:firstLine="0"/>
              <w:jc w:val="left"/>
              <w:rPr>
                <w:szCs w:val="20"/>
              </w:rPr>
            </w:pPr>
            <w:r w:rsidRPr="00896637">
              <w:rPr>
                <w:bCs/>
                <w:szCs w:val="20"/>
                <w:lang w:val="en-GB"/>
              </w:rPr>
              <w:t>6.37</w:t>
            </w:r>
          </w:p>
        </w:tc>
        <w:tc>
          <w:tcPr>
            <w:tcW w:w="1489" w:type="dxa"/>
          </w:tcPr>
          <w:p w14:paraId="0952F79F" w14:textId="77777777" w:rsidR="00B00E53" w:rsidRPr="00896637" w:rsidRDefault="00B00E53" w:rsidP="00641EE2">
            <w:pPr>
              <w:spacing w:after="160" w:line="259" w:lineRule="auto"/>
              <w:ind w:left="0" w:right="0" w:firstLine="0"/>
              <w:jc w:val="left"/>
              <w:rPr>
                <w:szCs w:val="20"/>
              </w:rPr>
            </w:pPr>
            <w:r w:rsidRPr="00896637">
              <w:rPr>
                <w:bCs/>
                <w:szCs w:val="20"/>
                <w:lang w:val="en-GB"/>
              </w:rPr>
              <w:t>38.21</w:t>
            </w:r>
          </w:p>
        </w:tc>
        <w:tc>
          <w:tcPr>
            <w:tcW w:w="1201" w:type="dxa"/>
          </w:tcPr>
          <w:p w14:paraId="4EF24DB3" w14:textId="77777777" w:rsidR="00B00E53" w:rsidRPr="00896637" w:rsidRDefault="00B00E53" w:rsidP="00641EE2">
            <w:pPr>
              <w:spacing w:after="160" w:line="259" w:lineRule="auto"/>
              <w:ind w:left="0" w:right="0" w:firstLine="0"/>
              <w:jc w:val="left"/>
              <w:rPr>
                <w:szCs w:val="20"/>
              </w:rPr>
            </w:pPr>
            <w:r w:rsidRPr="00896637">
              <w:rPr>
                <w:bCs/>
                <w:szCs w:val="20"/>
                <w:lang w:val="en-GB"/>
              </w:rPr>
              <w:t>3.64</w:t>
            </w:r>
          </w:p>
        </w:tc>
        <w:tc>
          <w:tcPr>
            <w:tcW w:w="1563" w:type="dxa"/>
          </w:tcPr>
          <w:p w14:paraId="409BBC0C" w14:textId="77777777" w:rsidR="00B00E53" w:rsidRPr="00896637" w:rsidRDefault="00B00E53" w:rsidP="00641EE2">
            <w:pPr>
              <w:spacing w:after="160" w:line="259" w:lineRule="auto"/>
              <w:ind w:left="0" w:right="0" w:firstLine="0"/>
              <w:jc w:val="left"/>
              <w:rPr>
                <w:szCs w:val="20"/>
              </w:rPr>
            </w:pPr>
            <w:r w:rsidRPr="00896637">
              <w:rPr>
                <w:bCs/>
                <w:szCs w:val="20"/>
                <w:lang w:val="en-GB"/>
              </w:rPr>
              <w:t>4.17</w:t>
            </w:r>
          </w:p>
        </w:tc>
      </w:tr>
      <w:tr w:rsidR="00B00E53" w:rsidRPr="00896637" w14:paraId="3FBDD63D" w14:textId="77777777" w:rsidTr="00B00E53">
        <w:trPr>
          <w:trHeight w:val="214"/>
        </w:trPr>
        <w:tc>
          <w:tcPr>
            <w:tcW w:w="1926" w:type="dxa"/>
          </w:tcPr>
          <w:p w14:paraId="118B1DD1"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205" w:type="dxa"/>
            <w:vAlign w:val="center"/>
          </w:tcPr>
          <w:p w14:paraId="2103A4F5" w14:textId="77777777" w:rsidR="00B00E53" w:rsidRPr="00896637" w:rsidRDefault="00B00E53" w:rsidP="00641EE2">
            <w:pPr>
              <w:spacing w:after="160" w:line="259" w:lineRule="auto"/>
              <w:ind w:left="0" w:right="0" w:firstLine="0"/>
              <w:jc w:val="left"/>
              <w:rPr>
                <w:szCs w:val="20"/>
              </w:rPr>
            </w:pPr>
            <w:r w:rsidRPr="00896637">
              <w:rPr>
                <w:szCs w:val="20"/>
              </w:rPr>
              <w:t>166.67</w:t>
            </w:r>
          </w:p>
        </w:tc>
        <w:tc>
          <w:tcPr>
            <w:tcW w:w="1482" w:type="dxa"/>
            <w:vAlign w:val="center"/>
          </w:tcPr>
          <w:p w14:paraId="23DC102A" w14:textId="77777777" w:rsidR="00B00E53" w:rsidRPr="00896637" w:rsidRDefault="00B00E53" w:rsidP="00641EE2">
            <w:pPr>
              <w:spacing w:after="160" w:line="259" w:lineRule="auto"/>
              <w:ind w:left="0" w:right="0" w:firstLine="0"/>
              <w:jc w:val="left"/>
              <w:rPr>
                <w:szCs w:val="20"/>
              </w:rPr>
            </w:pPr>
            <w:r w:rsidRPr="00896637">
              <w:rPr>
                <w:szCs w:val="20"/>
                <w:lang w:val="en-GB"/>
              </w:rPr>
              <w:t>27.33</w:t>
            </w:r>
          </w:p>
        </w:tc>
        <w:tc>
          <w:tcPr>
            <w:tcW w:w="1494" w:type="dxa"/>
            <w:vAlign w:val="center"/>
          </w:tcPr>
          <w:p w14:paraId="4C64E7D6" w14:textId="77777777" w:rsidR="00B00E53" w:rsidRPr="00896637" w:rsidRDefault="00B00E53" w:rsidP="00641EE2">
            <w:pPr>
              <w:spacing w:after="160" w:line="259" w:lineRule="auto"/>
              <w:ind w:left="0" w:right="0" w:firstLine="0"/>
              <w:jc w:val="left"/>
              <w:rPr>
                <w:szCs w:val="20"/>
              </w:rPr>
            </w:pPr>
            <w:r w:rsidRPr="00896637">
              <w:rPr>
                <w:szCs w:val="20"/>
                <w:lang w:val="en-GB"/>
              </w:rPr>
              <w:t>39.63</w:t>
            </w:r>
          </w:p>
        </w:tc>
        <w:tc>
          <w:tcPr>
            <w:tcW w:w="1636" w:type="dxa"/>
          </w:tcPr>
          <w:p w14:paraId="561EC8A5" w14:textId="77777777" w:rsidR="00B00E53" w:rsidRPr="00896637" w:rsidRDefault="00B00E53" w:rsidP="00641EE2">
            <w:pPr>
              <w:spacing w:after="160" w:line="259" w:lineRule="auto"/>
              <w:ind w:left="0" w:right="0" w:firstLine="0"/>
              <w:jc w:val="left"/>
              <w:rPr>
                <w:szCs w:val="20"/>
              </w:rPr>
            </w:pPr>
            <w:r w:rsidRPr="00896637">
              <w:rPr>
                <w:bCs/>
                <w:szCs w:val="20"/>
                <w:lang w:val="en-GB"/>
              </w:rPr>
              <w:t>43.86</w:t>
            </w:r>
          </w:p>
        </w:tc>
        <w:tc>
          <w:tcPr>
            <w:tcW w:w="1489" w:type="dxa"/>
          </w:tcPr>
          <w:p w14:paraId="76043BDA" w14:textId="77777777" w:rsidR="00B00E53" w:rsidRPr="00896637" w:rsidRDefault="00B00E53" w:rsidP="00641EE2">
            <w:pPr>
              <w:spacing w:after="160" w:line="259" w:lineRule="auto"/>
              <w:ind w:left="0" w:right="0" w:firstLine="0"/>
              <w:jc w:val="left"/>
              <w:rPr>
                <w:szCs w:val="20"/>
              </w:rPr>
            </w:pPr>
            <w:r w:rsidRPr="00896637">
              <w:rPr>
                <w:bCs/>
                <w:szCs w:val="20"/>
                <w:lang w:val="en-GB"/>
              </w:rPr>
              <w:t>7.27</w:t>
            </w:r>
          </w:p>
        </w:tc>
        <w:tc>
          <w:tcPr>
            <w:tcW w:w="1489" w:type="dxa"/>
          </w:tcPr>
          <w:p w14:paraId="1B791934" w14:textId="77777777" w:rsidR="00B00E53" w:rsidRPr="00896637" w:rsidRDefault="00B00E53" w:rsidP="00641EE2">
            <w:pPr>
              <w:spacing w:after="160" w:line="259" w:lineRule="auto"/>
              <w:ind w:left="0" w:right="0" w:firstLine="0"/>
              <w:jc w:val="left"/>
              <w:rPr>
                <w:szCs w:val="20"/>
              </w:rPr>
            </w:pPr>
            <w:r w:rsidRPr="00896637">
              <w:rPr>
                <w:bCs/>
                <w:szCs w:val="20"/>
                <w:lang w:val="en-GB"/>
              </w:rPr>
              <w:t>38.45</w:t>
            </w:r>
          </w:p>
        </w:tc>
        <w:tc>
          <w:tcPr>
            <w:tcW w:w="1201" w:type="dxa"/>
          </w:tcPr>
          <w:p w14:paraId="0FC88EE0" w14:textId="77777777" w:rsidR="00B00E53" w:rsidRPr="00896637" w:rsidRDefault="00B00E53" w:rsidP="00641EE2">
            <w:pPr>
              <w:spacing w:after="160" w:line="259" w:lineRule="auto"/>
              <w:ind w:left="0" w:right="0" w:firstLine="0"/>
              <w:jc w:val="left"/>
              <w:rPr>
                <w:szCs w:val="20"/>
              </w:rPr>
            </w:pPr>
            <w:r w:rsidRPr="00896637">
              <w:rPr>
                <w:bCs/>
                <w:szCs w:val="20"/>
                <w:lang w:val="en-GB"/>
              </w:rPr>
              <w:t>4.05</w:t>
            </w:r>
          </w:p>
        </w:tc>
        <w:tc>
          <w:tcPr>
            <w:tcW w:w="1563" w:type="dxa"/>
          </w:tcPr>
          <w:p w14:paraId="1C1DD695" w14:textId="77777777" w:rsidR="00B00E53" w:rsidRPr="00896637" w:rsidRDefault="00B00E53" w:rsidP="00641EE2">
            <w:pPr>
              <w:spacing w:after="160" w:line="259" w:lineRule="auto"/>
              <w:ind w:left="0" w:right="0" w:firstLine="0"/>
              <w:jc w:val="left"/>
              <w:rPr>
                <w:szCs w:val="20"/>
              </w:rPr>
            </w:pPr>
            <w:r w:rsidRPr="00896637">
              <w:rPr>
                <w:bCs/>
                <w:szCs w:val="20"/>
                <w:lang w:val="en-GB"/>
              </w:rPr>
              <w:t>4.37</w:t>
            </w:r>
          </w:p>
        </w:tc>
      </w:tr>
      <w:tr w:rsidR="00B00E53" w:rsidRPr="00896637" w14:paraId="121CCCFF" w14:textId="77777777" w:rsidTr="00B00E53">
        <w:trPr>
          <w:trHeight w:val="222"/>
        </w:trPr>
        <w:tc>
          <w:tcPr>
            <w:tcW w:w="1926" w:type="dxa"/>
          </w:tcPr>
          <w:p w14:paraId="70D0C044"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205" w:type="dxa"/>
            <w:vAlign w:val="center"/>
          </w:tcPr>
          <w:p w14:paraId="136CF64E" w14:textId="77777777" w:rsidR="00B00E53" w:rsidRPr="00896637" w:rsidRDefault="00B00E53" w:rsidP="00641EE2">
            <w:pPr>
              <w:spacing w:after="160" w:line="259" w:lineRule="auto"/>
              <w:ind w:left="0" w:right="0" w:firstLine="0"/>
              <w:jc w:val="left"/>
              <w:rPr>
                <w:szCs w:val="20"/>
              </w:rPr>
            </w:pPr>
            <w:r w:rsidRPr="00896637">
              <w:rPr>
                <w:szCs w:val="20"/>
              </w:rPr>
              <w:t>207.67</w:t>
            </w:r>
          </w:p>
        </w:tc>
        <w:tc>
          <w:tcPr>
            <w:tcW w:w="1482" w:type="dxa"/>
            <w:vAlign w:val="center"/>
          </w:tcPr>
          <w:p w14:paraId="5631BCB7" w14:textId="77777777" w:rsidR="00B00E53" w:rsidRPr="00896637" w:rsidRDefault="00B00E53" w:rsidP="00641EE2">
            <w:pPr>
              <w:spacing w:after="160" w:line="259" w:lineRule="auto"/>
              <w:ind w:left="0" w:right="0" w:firstLine="0"/>
              <w:jc w:val="left"/>
              <w:rPr>
                <w:szCs w:val="20"/>
              </w:rPr>
            </w:pPr>
            <w:r w:rsidRPr="00896637">
              <w:rPr>
                <w:szCs w:val="20"/>
                <w:lang w:val="en-GB"/>
              </w:rPr>
              <w:t>29.23</w:t>
            </w:r>
          </w:p>
        </w:tc>
        <w:tc>
          <w:tcPr>
            <w:tcW w:w="1494" w:type="dxa"/>
            <w:vAlign w:val="center"/>
          </w:tcPr>
          <w:p w14:paraId="4D21A307" w14:textId="77777777" w:rsidR="00B00E53" w:rsidRPr="00896637" w:rsidRDefault="00B00E53" w:rsidP="00641EE2">
            <w:pPr>
              <w:spacing w:after="160" w:line="259" w:lineRule="auto"/>
              <w:ind w:left="0" w:right="0" w:firstLine="0"/>
              <w:jc w:val="left"/>
              <w:rPr>
                <w:szCs w:val="20"/>
              </w:rPr>
            </w:pPr>
            <w:r w:rsidRPr="00896637">
              <w:rPr>
                <w:szCs w:val="20"/>
                <w:lang w:val="en-GB"/>
              </w:rPr>
              <w:t>45.99</w:t>
            </w:r>
          </w:p>
        </w:tc>
        <w:tc>
          <w:tcPr>
            <w:tcW w:w="1636" w:type="dxa"/>
          </w:tcPr>
          <w:p w14:paraId="1E7828A0" w14:textId="77777777" w:rsidR="00B00E53" w:rsidRPr="00896637" w:rsidRDefault="00B00E53" w:rsidP="00641EE2">
            <w:pPr>
              <w:spacing w:after="160" w:line="259" w:lineRule="auto"/>
              <w:ind w:left="0" w:right="0" w:firstLine="0"/>
              <w:jc w:val="left"/>
              <w:rPr>
                <w:szCs w:val="20"/>
              </w:rPr>
            </w:pPr>
            <w:r w:rsidRPr="00896637">
              <w:rPr>
                <w:bCs/>
                <w:szCs w:val="20"/>
                <w:lang w:val="en-GB"/>
              </w:rPr>
              <w:t>42.77</w:t>
            </w:r>
          </w:p>
        </w:tc>
        <w:tc>
          <w:tcPr>
            <w:tcW w:w="1489" w:type="dxa"/>
          </w:tcPr>
          <w:p w14:paraId="02BB36E1" w14:textId="77777777" w:rsidR="00B00E53" w:rsidRPr="00896637" w:rsidRDefault="00B00E53" w:rsidP="00641EE2">
            <w:pPr>
              <w:spacing w:after="160" w:line="259" w:lineRule="auto"/>
              <w:ind w:left="0" w:right="0" w:firstLine="0"/>
              <w:jc w:val="left"/>
              <w:rPr>
                <w:szCs w:val="20"/>
              </w:rPr>
            </w:pPr>
            <w:r w:rsidRPr="00896637">
              <w:rPr>
                <w:bCs/>
                <w:szCs w:val="20"/>
                <w:lang w:val="en-GB"/>
              </w:rPr>
              <w:t>7.37</w:t>
            </w:r>
          </w:p>
        </w:tc>
        <w:tc>
          <w:tcPr>
            <w:tcW w:w="1489" w:type="dxa"/>
          </w:tcPr>
          <w:p w14:paraId="6335046B" w14:textId="77777777" w:rsidR="00B00E53" w:rsidRPr="00896637" w:rsidRDefault="00B00E53" w:rsidP="00641EE2">
            <w:pPr>
              <w:spacing w:after="160" w:line="259" w:lineRule="auto"/>
              <w:ind w:left="0" w:right="0" w:firstLine="0"/>
              <w:jc w:val="left"/>
              <w:rPr>
                <w:szCs w:val="20"/>
              </w:rPr>
            </w:pPr>
            <w:r w:rsidRPr="00896637">
              <w:rPr>
                <w:bCs/>
                <w:szCs w:val="20"/>
                <w:lang w:val="en-GB"/>
              </w:rPr>
              <w:t>40.25</w:t>
            </w:r>
          </w:p>
        </w:tc>
        <w:tc>
          <w:tcPr>
            <w:tcW w:w="1201" w:type="dxa"/>
          </w:tcPr>
          <w:p w14:paraId="03F75CEF" w14:textId="77777777" w:rsidR="00B00E53" w:rsidRPr="00896637" w:rsidRDefault="00B00E53" w:rsidP="00641EE2">
            <w:pPr>
              <w:spacing w:after="160" w:line="259" w:lineRule="auto"/>
              <w:ind w:left="0" w:right="0" w:firstLine="0"/>
              <w:jc w:val="left"/>
              <w:rPr>
                <w:szCs w:val="20"/>
              </w:rPr>
            </w:pPr>
            <w:r w:rsidRPr="00896637">
              <w:rPr>
                <w:bCs/>
                <w:szCs w:val="20"/>
                <w:lang w:val="en-GB"/>
              </w:rPr>
              <w:t>4.15</w:t>
            </w:r>
          </w:p>
        </w:tc>
        <w:tc>
          <w:tcPr>
            <w:tcW w:w="1563" w:type="dxa"/>
          </w:tcPr>
          <w:p w14:paraId="43B5020F" w14:textId="77777777" w:rsidR="00B00E53" w:rsidRPr="00896637" w:rsidRDefault="00B00E53" w:rsidP="00641EE2">
            <w:pPr>
              <w:spacing w:after="160" w:line="259" w:lineRule="auto"/>
              <w:ind w:left="0" w:right="0" w:firstLine="0"/>
              <w:jc w:val="left"/>
              <w:rPr>
                <w:szCs w:val="20"/>
              </w:rPr>
            </w:pPr>
            <w:r w:rsidRPr="00896637">
              <w:rPr>
                <w:bCs/>
                <w:szCs w:val="20"/>
                <w:lang w:val="en-GB"/>
              </w:rPr>
              <w:t>4.63</w:t>
            </w:r>
          </w:p>
        </w:tc>
      </w:tr>
      <w:tr w:rsidR="00B00E53" w:rsidRPr="00896637" w14:paraId="6F2BAA98" w14:textId="77777777" w:rsidTr="00B00E53">
        <w:trPr>
          <w:trHeight w:val="214"/>
        </w:trPr>
        <w:tc>
          <w:tcPr>
            <w:tcW w:w="1926" w:type="dxa"/>
          </w:tcPr>
          <w:p w14:paraId="75F11A6A" w14:textId="77777777" w:rsidR="00B00E53" w:rsidRPr="00896637" w:rsidRDefault="00B00E53"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205" w:type="dxa"/>
            <w:vAlign w:val="center"/>
          </w:tcPr>
          <w:p w14:paraId="3D8F5529" w14:textId="77777777" w:rsidR="00B00E53" w:rsidRPr="00896637" w:rsidRDefault="00B00E53" w:rsidP="00641EE2">
            <w:pPr>
              <w:spacing w:after="160" w:line="259" w:lineRule="auto"/>
              <w:ind w:left="0" w:right="0" w:firstLine="0"/>
              <w:jc w:val="left"/>
              <w:rPr>
                <w:szCs w:val="20"/>
              </w:rPr>
            </w:pPr>
            <w:r w:rsidRPr="00896637">
              <w:rPr>
                <w:szCs w:val="20"/>
              </w:rPr>
              <w:t>176.56</w:t>
            </w:r>
          </w:p>
        </w:tc>
        <w:tc>
          <w:tcPr>
            <w:tcW w:w="1482" w:type="dxa"/>
            <w:vAlign w:val="center"/>
          </w:tcPr>
          <w:p w14:paraId="3EC2DB17" w14:textId="77777777" w:rsidR="00B00E53" w:rsidRPr="00896637" w:rsidRDefault="00B00E53" w:rsidP="00641EE2">
            <w:pPr>
              <w:spacing w:after="160" w:line="259" w:lineRule="auto"/>
              <w:ind w:left="0" w:right="0" w:firstLine="0"/>
              <w:jc w:val="left"/>
              <w:rPr>
                <w:szCs w:val="20"/>
              </w:rPr>
            </w:pPr>
            <w:r w:rsidRPr="00896637">
              <w:rPr>
                <w:szCs w:val="20"/>
                <w:lang w:val="en-GB"/>
              </w:rPr>
              <w:t>30.35</w:t>
            </w:r>
          </w:p>
        </w:tc>
        <w:tc>
          <w:tcPr>
            <w:tcW w:w="1494" w:type="dxa"/>
            <w:vAlign w:val="center"/>
          </w:tcPr>
          <w:p w14:paraId="545BC8FC" w14:textId="77777777" w:rsidR="00B00E53" w:rsidRPr="00896637" w:rsidRDefault="00B00E53" w:rsidP="00641EE2">
            <w:pPr>
              <w:spacing w:after="160" w:line="259" w:lineRule="auto"/>
              <w:ind w:left="0" w:right="0" w:firstLine="0"/>
              <w:jc w:val="left"/>
              <w:rPr>
                <w:szCs w:val="20"/>
              </w:rPr>
            </w:pPr>
            <w:r w:rsidRPr="00896637">
              <w:rPr>
                <w:szCs w:val="20"/>
                <w:lang w:val="en-GB"/>
              </w:rPr>
              <w:t>50.92</w:t>
            </w:r>
          </w:p>
        </w:tc>
        <w:tc>
          <w:tcPr>
            <w:tcW w:w="1636" w:type="dxa"/>
          </w:tcPr>
          <w:p w14:paraId="603A5E43" w14:textId="77777777" w:rsidR="00B00E53" w:rsidRPr="00896637" w:rsidRDefault="00B00E53" w:rsidP="00641EE2">
            <w:pPr>
              <w:spacing w:after="160" w:line="259" w:lineRule="auto"/>
              <w:ind w:left="0" w:right="0" w:firstLine="0"/>
              <w:jc w:val="left"/>
              <w:rPr>
                <w:szCs w:val="20"/>
              </w:rPr>
            </w:pPr>
            <w:r w:rsidRPr="00896637">
              <w:rPr>
                <w:bCs/>
                <w:szCs w:val="20"/>
                <w:lang w:val="en-GB"/>
              </w:rPr>
              <w:t>41.65</w:t>
            </w:r>
          </w:p>
        </w:tc>
        <w:tc>
          <w:tcPr>
            <w:tcW w:w="1489" w:type="dxa"/>
          </w:tcPr>
          <w:p w14:paraId="3A3F0DB4" w14:textId="77777777" w:rsidR="00B00E53" w:rsidRPr="00896637" w:rsidRDefault="00B00E53" w:rsidP="00641EE2">
            <w:pPr>
              <w:spacing w:after="160" w:line="259" w:lineRule="auto"/>
              <w:ind w:left="0" w:right="0" w:firstLine="0"/>
              <w:jc w:val="left"/>
              <w:rPr>
                <w:szCs w:val="20"/>
              </w:rPr>
            </w:pPr>
            <w:r w:rsidRPr="00896637">
              <w:rPr>
                <w:bCs/>
                <w:szCs w:val="20"/>
                <w:lang w:val="en-GB"/>
              </w:rPr>
              <w:t>7.56</w:t>
            </w:r>
          </w:p>
        </w:tc>
        <w:tc>
          <w:tcPr>
            <w:tcW w:w="1489" w:type="dxa"/>
          </w:tcPr>
          <w:p w14:paraId="1FFD724F" w14:textId="77777777" w:rsidR="00B00E53" w:rsidRPr="00896637" w:rsidRDefault="00B00E53" w:rsidP="00641EE2">
            <w:pPr>
              <w:spacing w:after="160" w:line="259" w:lineRule="auto"/>
              <w:ind w:left="0" w:right="0" w:firstLine="0"/>
              <w:jc w:val="left"/>
              <w:rPr>
                <w:szCs w:val="20"/>
              </w:rPr>
            </w:pPr>
            <w:r w:rsidRPr="00896637">
              <w:rPr>
                <w:bCs/>
                <w:szCs w:val="20"/>
                <w:lang w:val="en-GB"/>
              </w:rPr>
              <w:t>42.15</w:t>
            </w:r>
          </w:p>
        </w:tc>
        <w:tc>
          <w:tcPr>
            <w:tcW w:w="1201" w:type="dxa"/>
          </w:tcPr>
          <w:p w14:paraId="5916F1DA" w14:textId="77777777" w:rsidR="00B00E53" w:rsidRPr="00896637" w:rsidRDefault="00B00E53" w:rsidP="00641EE2">
            <w:pPr>
              <w:spacing w:after="160" w:line="259" w:lineRule="auto"/>
              <w:ind w:left="0" w:right="0" w:firstLine="0"/>
              <w:jc w:val="left"/>
              <w:rPr>
                <w:szCs w:val="20"/>
              </w:rPr>
            </w:pPr>
            <w:r w:rsidRPr="00896637">
              <w:rPr>
                <w:bCs/>
                <w:szCs w:val="20"/>
                <w:lang w:val="en-GB"/>
              </w:rPr>
              <w:t>4.25</w:t>
            </w:r>
          </w:p>
        </w:tc>
        <w:tc>
          <w:tcPr>
            <w:tcW w:w="1563" w:type="dxa"/>
          </w:tcPr>
          <w:p w14:paraId="60491807" w14:textId="77777777" w:rsidR="00B00E53" w:rsidRPr="00896637" w:rsidRDefault="00B00E53" w:rsidP="00641EE2">
            <w:pPr>
              <w:spacing w:after="160" w:line="259" w:lineRule="auto"/>
              <w:ind w:left="0" w:right="0" w:firstLine="0"/>
              <w:jc w:val="left"/>
              <w:rPr>
                <w:szCs w:val="20"/>
              </w:rPr>
            </w:pPr>
            <w:r w:rsidRPr="00896637">
              <w:rPr>
                <w:bCs/>
                <w:szCs w:val="20"/>
                <w:lang w:val="en-GB"/>
              </w:rPr>
              <w:t>4.93</w:t>
            </w:r>
          </w:p>
        </w:tc>
      </w:tr>
      <w:tr w:rsidR="00B00E53" w:rsidRPr="00896637" w14:paraId="4E2C85C1" w14:textId="77777777" w:rsidTr="00B00E53">
        <w:trPr>
          <w:trHeight w:val="214"/>
        </w:trPr>
        <w:tc>
          <w:tcPr>
            <w:tcW w:w="1926" w:type="dxa"/>
          </w:tcPr>
          <w:p w14:paraId="793C723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205" w:type="dxa"/>
            <w:vAlign w:val="center"/>
          </w:tcPr>
          <w:p w14:paraId="1EF5AE13" w14:textId="77777777" w:rsidR="00B00E53" w:rsidRPr="00896637" w:rsidRDefault="00B00E53" w:rsidP="00641EE2">
            <w:pPr>
              <w:spacing w:after="160" w:line="259" w:lineRule="auto"/>
              <w:ind w:left="0" w:right="0" w:firstLine="0"/>
              <w:jc w:val="left"/>
              <w:rPr>
                <w:szCs w:val="20"/>
              </w:rPr>
            </w:pPr>
            <w:r w:rsidRPr="00896637">
              <w:rPr>
                <w:szCs w:val="20"/>
              </w:rPr>
              <w:t>216.22</w:t>
            </w:r>
          </w:p>
        </w:tc>
        <w:tc>
          <w:tcPr>
            <w:tcW w:w="1482" w:type="dxa"/>
            <w:vAlign w:val="center"/>
          </w:tcPr>
          <w:p w14:paraId="5223D483" w14:textId="77777777" w:rsidR="00B00E53" w:rsidRPr="00896637" w:rsidRDefault="00B00E53" w:rsidP="00641EE2">
            <w:pPr>
              <w:spacing w:after="160" w:line="259" w:lineRule="auto"/>
              <w:ind w:left="0" w:right="0" w:firstLine="0"/>
              <w:jc w:val="left"/>
              <w:rPr>
                <w:szCs w:val="20"/>
              </w:rPr>
            </w:pPr>
            <w:r w:rsidRPr="00896637">
              <w:rPr>
                <w:szCs w:val="20"/>
                <w:lang w:val="en-GB"/>
              </w:rPr>
              <w:t>31.47</w:t>
            </w:r>
          </w:p>
        </w:tc>
        <w:tc>
          <w:tcPr>
            <w:tcW w:w="1494" w:type="dxa"/>
            <w:vAlign w:val="center"/>
          </w:tcPr>
          <w:p w14:paraId="439C759D" w14:textId="77777777" w:rsidR="00B00E53" w:rsidRPr="00896637" w:rsidRDefault="00B00E53" w:rsidP="00641EE2">
            <w:pPr>
              <w:spacing w:after="160" w:line="259" w:lineRule="auto"/>
              <w:ind w:left="0" w:right="0" w:firstLine="0"/>
              <w:jc w:val="left"/>
              <w:rPr>
                <w:szCs w:val="20"/>
              </w:rPr>
            </w:pPr>
            <w:r w:rsidRPr="00896637">
              <w:rPr>
                <w:szCs w:val="20"/>
                <w:lang w:val="en-GB"/>
              </w:rPr>
              <w:t>55.85</w:t>
            </w:r>
          </w:p>
        </w:tc>
        <w:tc>
          <w:tcPr>
            <w:tcW w:w="1636" w:type="dxa"/>
          </w:tcPr>
          <w:p w14:paraId="6458E193" w14:textId="77777777" w:rsidR="00B00E53" w:rsidRPr="00896637" w:rsidRDefault="00B00E53" w:rsidP="00641EE2">
            <w:pPr>
              <w:spacing w:after="160" w:line="259" w:lineRule="auto"/>
              <w:ind w:left="0" w:right="0" w:firstLine="0"/>
              <w:jc w:val="left"/>
              <w:rPr>
                <w:szCs w:val="20"/>
              </w:rPr>
            </w:pPr>
            <w:r w:rsidRPr="00896637">
              <w:rPr>
                <w:bCs/>
                <w:szCs w:val="20"/>
                <w:lang w:val="en-GB"/>
              </w:rPr>
              <w:t>40.58</w:t>
            </w:r>
          </w:p>
        </w:tc>
        <w:tc>
          <w:tcPr>
            <w:tcW w:w="1489" w:type="dxa"/>
          </w:tcPr>
          <w:p w14:paraId="40D2A090" w14:textId="77777777" w:rsidR="00B00E53" w:rsidRPr="00896637" w:rsidRDefault="00B00E53" w:rsidP="00641EE2">
            <w:pPr>
              <w:spacing w:after="160" w:line="259" w:lineRule="auto"/>
              <w:ind w:left="0" w:right="0" w:firstLine="0"/>
              <w:jc w:val="left"/>
              <w:rPr>
                <w:szCs w:val="20"/>
              </w:rPr>
            </w:pPr>
            <w:r w:rsidRPr="00896637">
              <w:rPr>
                <w:bCs/>
                <w:szCs w:val="20"/>
                <w:lang w:val="en-GB"/>
              </w:rPr>
              <w:t>8.22</w:t>
            </w:r>
          </w:p>
        </w:tc>
        <w:tc>
          <w:tcPr>
            <w:tcW w:w="1489" w:type="dxa"/>
          </w:tcPr>
          <w:p w14:paraId="6B669E2F" w14:textId="77777777" w:rsidR="00B00E53" w:rsidRPr="00896637" w:rsidRDefault="00B00E53" w:rsidP="00641EE2">
            <w:pPr>
              <w:spacing w:after="160" w:line="259" w:lineRule="auto"/>
              <w:ind w:left="0" w:right="0" w:firstLine="0"/>
              <w:jc w:val="left"/>
              <w:rPr>
                <w:szCs w:val="20"/>
              </w:rPr>
            </w:pPr>
            <w:r w:rsidRPr="00896637">
              <w:rPr>
                <w:bCs/>
                <w:szCs w:val="20"/>
                <w:lang w:val="en-GB"/>
              </w:rPr>
              <w:t>42.36</w:t>
            </w:r>
          </w:p>
        </w:tc>
        <w:tc>
          <w:tcPr>
            <w:tcW w:w="1201" w:type="dxa"/>
          </w:tcPr>
          <w:p w14:paraId="5ACF642A" w14:textId="77777777" w:rsidR="00B00E53" w:rsidRPr="00896637" w:rsidRDefault="00B00E53" w:rsidP="00641EE2">
            <w:pPr>
              <w:spacing w:after="160" w:line="259" w:lineRule="auto"/>
              <w:ind w:left="0" w:right="0" w:firstLine="0"/>
              <w:jc w:val="left"/>
              <w:rPr>
                <w:szCs w:val="20"/>
              </w:rPr>
            </w:pPr>
            <w:r w:rsidRPr="00896637">
              <w:rPr>
                <w:bCs/>
                <w:szCs w:val="20"/>
                <w:lang w:val="en-GB"/>
              </w:rPr>
              <w:t>4.42</w:t>
            </w:r>
          </w:p>
        </w:tc>
        <w:tc>
          <w:tcPr>
            <w:tcW w:w="1563" w:type="dxa"/>
          </w:tcPr>
          <w:p w14:paraId="61427918" w14:textId="77777777" w:rsidR="00B00E53" w:rsidRPr="00896637" w:rsidRDefault="00B00E53" w:rsidP="00641EE2">
            <w:pPr>
              <w:spacing w:after="160" w:line="259" w:lineRule="auto"/>
              <w:ind w:left="0" w:right="0" w:firstLine="0"/>
              <w:jc w:val="left"/>
              <w:rPr>
                <w:szCs w:val="20"/>
              </w:rPr>
            </w:pPr>
            <w:r w:rsidRPr="00896637">
              <w:rPr>
                <w:bCs/>
                <w:szCs w:val="20"/>
                <w:lang w:val="en-GB"/>
              </w:rPr>
              <w:t>5.40</w:t>
            </w:r>
          </w:p>
        </w:tc>
      </w:tr>
      <w:tr w:rsidR="00B00E53" w:rsidRPr="00896637" w14:paraId="7EE39EF6" w14:textId="77777777" w:rsidTr="00B00E53">
        <w:trPr>
          <w:trHeight w:val="214"/>
        </w:trPr>
        <w:tc>
          <w:tcPr>
            <w:tcW w:w="1926" w:type="dxa"/>
          </w:tcPr>
          <w:p w14:paraId="1D141681"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CD (0.05)</w:t>
            </w:r>
          </w:p>
        </w:tc>
        <w:tc>
          <w:tcPr>
            <w:tcW w:w="1205" w:type="dxa"/>
            <w:vAlign w:val="center"/>
          </w:tcPr>
          <w:p w14:paraId="26B02117" w14:textId="77777777" w:rsidR="00B00E53" w:rsidRPr="00896637" w:rsidRDefault="00B00E53" w:rsidP="00641EE2">
            <w:pPr>
              <w:spacing w:after="160" w:line="259" w:lineRule="auto"/>
              <w:ind w:left="0" w:right="0" w:firstLine="0"/>
              <w:jc w:val="left"/>
              <w:rPr>
                <w:szCs w:val="20"/>
              </w:rPr>
            </w:pPr>
            <w:r w:rsidRPr="00896637">
              <w:rPr>
                <w:szCs w:val="20"/>
              </w:rPr>
              <w:t>58.00</w:t>
            </w:r>
          </w:p>
        </w:tc>
        <w:tc>
          <w:tcPr>
            <w:tcW w:w="1482" w:type="dxa"/>
            <w:vAlign w:val="center"/>
          </w:tcPr>
          <w:p w14:paraId="4DF23B1C" w14:textId="77777777" w:rsidR="00B00E53" w:rsidRPr="00896637" w:rsidRDefault="00B00E53" w:rsidP="00641EE2">
            <w:pPr>
              <w:spacing w:after="160" w:line="259" w:lineRule="auto"/>
              <w:ind w:left="0" w:right="0" w:firstLine="0"/>
              <w:jc w:val="left"/>
              <w:rPr>
                <w:szCs w:val="20"/>
              </w:rPr>
            </w:pPr>
            <w:r w:rsidRPr="00896637">
              <w:rPr>
                <w:szCs w:val="20"/>
                <w:lang w:val="en-GB"/>
              </w:rPr>
              <w:t>4.82</w:t>
            </w:r>
          </w:p>
        </w:tc>
        <w:tc>
          <w:tcPr>
            <w:tcW w:w="1494" w:type="dxa"/>
            <w:vAlign w:val="center"/>
          </w:tcPr>
          <w:p w14:paraId="60D26D26" w14:textId="77777777" w:rsidR="00B00E53" w:rsidRPr="00896637" w:rsidRDefault="00B00E53" w:rsidP="00641EE2">
            <w:pPr>
              <w:spacing w:after="160" w:line="259" w:lineRule="auto"/>
              <w:ind w:left="0" w:right="0" w:firstLine="0"/>
              <w:jc w:val="left"/>
              <w:rPr>
                <w:szCs w:val="20"/>
              </w:rPr>
            </w:pPr>
            <w:r w:rsidRPr="00896637">
              <w:rPr>
                <w:szCs w:val="20"/>
                <w:lang w:val="en-GB"/>
              </w:rPr>
              <w:t>1.49</w:t>
            </w:r>
          </w:p>
        </w:tc>
        <w:tc>
          <w:tcPr>
            <w:tcW w:w="1636" w:type="dxa"/>
          </w:tcPr>
          <w:p w14:paraId="03B22BB1" w14:textId="77777777" w:rsidR="00B00E53" w:rsidRPr="00896637" w:rsidRDefault="00B00E53" w:rsidP="00641EE2">
            <w:pPr>
              <w:spacing w:after="160" w:line="259" w:lineRule="auto"/>
              <w:ind w:left="0" w:right="0" w:firstLine="0"/>
              <w:jc w:val="left"/>
              <w:rPr>
                <w:szCs w:val="20"/>
              </w:rPr>
            </w:pPr>
            <w:r w:rsidRPr="00896637">
              <w:rPr>
                <w:bCs/>
                <w:szCs w:val="20"/>
                <w:lang w:val="en-GB"/>
              </w:rPr>
              <w:t>5.05</w:t>
            </w:r>
          </w:p>
        </w:tc>
        <w:tc>
          <w:tcPr>
            <w:tcW w:w="1489" w:type="dxa"/>
          </w:tcPr>
          <w:p w14:paraId="6542D374" w14:textId="77777777" w:rsidR="00B00E53" w:rsidRPr="00896637" w:rsidRDefault="00B00E53" w:rsidP="00641EE2">
            <w:pPr>
              <w:spacing w:after="160" w:line="259" w:lineRule="auto"/>
              <w:ind w:left="0" w:right="0" w:firstLine="0"/>
              <w:jc w:val="left"/>
              <w:rPr>
                <w:szCs w:val="20"/>
              </w:rPr>
            </w:pPr>
            <w:r w:rsidRPr="00896637">
              <w:rPr>
                <w:bCs/>
                <w:szCs w:val="20"/>
                <w:lang w:val="en-GB"/>
              </w:rPr>
              <w:t>0.04</w:t>
            </w:r>
          </w:p>
        </w:tc>
        <w:tc>
          <w:tcPr>
            <w:tcW w:w="1489" w:type="dxa"/>
          </w:tcPr>
          <w:p w14:paraId="4FB70525" w14:textId="77777777" w:rsidR="00B00E53" w:rsidRPr="00896637" w:rsidRDefault="00B00E53" w:rsidP="00641EE2">
            <w:pPr>
              <w:spacing w:after="160" w:line="259" w:lineRule="auto"/>
              <w:ind w:left="0" w:right="0" w:firstLine="0"/>
              <w:jc w:val="left"/>
              <w:rPr>
                <w:szCs w:val="20"/>
              </w:rPr>
            </w:pPr>
            <w:r w:rsidRPr="00896637">
              <w:rPr>
                <w:bCs/>
                <w:szCs w:val="20"/>
                <w:lang w:val="en-GB"/>
              </w:rPr>
              <w:t>1.23</w:t>
            </w:r>
          </w:p>
        </w:tc>
        <w:tc>
          <w:tcPr>
            <w:tcW w:w="1201" w:type="dxa"/>
          </w:tcPr>
          <w:p w14:paraId="3B4D4DE2" w14:textId="77777777" w:rsidR="00B00E53" w:rsidRPr="00896637" w:rsidRDefault="00B00E53" w:rsidP="00641EE2">
            <w:pPr>
              <w:spacing w:after="160" w:line="259" w:lineRule="auto"/>
              <w:ind w:left="0" w:right="0" w:firstLine="0"/>
              <w:jc w:val="left"/>
              <w:rPr>
                <w:szCs w:val="20"/>
              </w:rPr>
            </w:pPr>
            <w:r w:rsidRPr="00896637">
              <w:rPr>
                <w:bCs/>
                <w:szCs w:val="20"/>
                <w:lang w:val="en-GB"/>
              </w:rPr>
              <w:t>1.14</w:t>
            </w:r>
          </w:p>
        </w:tc>
        <w:tc>
          <w:tcPr>
            <w:tcW w:w="1563" w:type="dxa"/>
          </w:tcPr>
          <w:p w14:paraId="1FB1B118" w14:textId="77777777" w:rsidR="00B00E53" w:rsidRPr="00896637" w:rsidRDefault="00B00E53" w:rsidP="00641EE2">
            <w:pPr>
              <w:spacing w:after="160" w:line="259" w:lineRule="auto"/>
              <w:ind w:left="0" w:right="0" w:firstLine="0"/>
              <w:jc w:val="left"/>
              <w:rPr>
                <w:szCs w:val="20"/>
              </w:rPr>
            </w:pPr>
            <w:r w:rsidRPr="00896637">
              <w:rPr>
                <w:bCs/>
                <w:szCs w:val="20"/>
                <w:lang w:val="en-GB"/>
              </w:rPr>
              <w:t>1.51</w:t>
            </w:r>
          </w:p>
        </w:tc>
      </w:tr>
      <w:tr w:rsidR="00B00E53" w:rsidRPr="00896637" w14:paraId="4F0D8E90" w14:textId="77777777" w:rsidTr="00B00E53">
        <w:trPr>
          <w:trHeight w:val="214"/>
        </w:trPr>
        <w:tc>
          <w:tcPr>
            <w:tcW w:w="1926" w:type="dxa"/>
          </w:tcPr>
          <w:p w14:paraId="7D563AE0" w14:textId="77777777" w:rsidR="00B00E53" w:rsidRPr="00896637" w:rsidRDefault="00B00E53" w:rsidP="00641EE2">
            <w:pPr>
              <w:spacing w:after="160" w:line="259" w:lineRule="auto"/>
              <w:ind w:left="0" w:right="0" w:firstLine="0"/>
              <w:jc w:val="left"/>
              <w:rPr>
                <w:szCs w:val="20"/>
                <w:lang w:val="en-GB"/>
              </w:rPr>
            </w:pPr>
            <w:r w:rsidRPr="00896637">
              <w:rPr>
                <w:szCs w:val="20"/>
                <w:lang w:val="en-GB"/>
              </w:rPr>
              <w:t>SE (±m)</w:t>
            </w:r>
          </w:p>
        </w:tc>
        <w:tc>
          <w:tcPr>
            <w:tcW w:w="1205" w:type="dxa"/>
            <w:vAlign w:val="center"/>
          </w:tcPr>
          <w:p w14:paraId="701D98C9" w14:textId="77777777" w:rsidR="00B00E53" w:rsidRPr="00896637" w:rsidRDefault="00B00E53" w:rsidP="00641EE2">
            <w:pPr>
              <w:spacing w:after="160" w:line="259" w:lineRule="auto"/>
              <w:ind w:left="0" w:right="0" w:firstLine="0"/>
              <w:jc w:val="left"/>
              <w:rPr>
                <w:szCs w:val="20"/>
              </w:rPr>
            </w:pPr>
            <w:r w:rsidRPr="00896637">
              <w:rPr>
                <w:szCs w:val="20"/>
              </w:rPr>
              <w:t>13.78</w:t>
            </w:r>
          </w:p>
        </w:tc>
        <w:tc>
          <w:tcPr>
            <w:tcW w:w="1482" w:type="dxa"/>
            <w:vAlign w:val="center"/>
          </w:tcPr>
          <w:p w14:paraId="3A7B4923" w14:textId="77777777" w:rsidR="00B00E53" w:rsidRPr="00896637" w:rsidRDefault="00B00E53" w:rsidP="00641EE2">
            <w:pPr>
              <w:spacing w:after="160" w:line="259" w:lineRule="auto"/>
              <w:ind w:left="0" w:right="0" w:firstLine="0"/>
              <w:jc w:val="left"/>
              <w:rPr>
                <w:szCs w:val="20"/>
              </w:rPr>
            </w:pPr>
            <w:r w:rsidRPr="00896637">
              <w:rPr>
                <w:szCs w:val="20"/>
                <w:lang w:val="en-GB"/>
              </w:rPr>
              <w:t>1.14</w:t>
            </w:r>
          </w:p>
        </w:tc>
        <w:tc>
          <w:tcPr>
            <w:tcW w:w="1494" w:type="dxa"/>
            <w:vAlign w:val="center"/>
          </w:tcPr>
          <w:p w14:paraId="26B18FC5" w14:textId="77777777" w:rsidR="00B00E53" w:rsidRPr="00896637" w:rsidRDefault="00B00E53" w:rsidP="00641EE2">
            <w:pPr>
              <w:spacing w:after="160" w:line="259" w:lineRule="auto"/>
              <w:ind w:left="0" w:right="0" w:firstLine="0"/>
              <w:jc w:val="left"/>
              <w:rPr>
                <w:szCs w:val="20"/>
              </w:rPr>
            </w:pPr>
            <w:r w:rsidRPr="00896637">
              <w:rPr>
                <w:szCs w:val="20"/>
                <w:lang w:val="en-GB"/>
              </w:rPr>
              <w:t>0.35</w:t>
            </w:r>
          </w:p>
        </w:tc>
        <w:tc>
          <w:tcPr>
            <w:tcW w:w="1636" w:type="dxa"/>
          </w:tcPr>
          <w:p w14:paraId="04E53A0F" w14:textId="77777777" w:rsidR="00B00E53" w:rsidRPr="00896637" w:rsidRDefault="00B00E53" w:rsidP="00641EE2">
            <w:pPr>
              <w:spacing w:after="160" w:line="259" w:lineRule="auto"/>
              <w:ind w:left="0" w:right="0" w:firstLine="0"/>
              <w:jc w:val="left"/>
              <w:rPr>
                <w:szCs w:val="20"/>
              </w:rPr>
            </w:pPr>
            <w:r w:rsidRPr="00896637">
              <w:rPr>
                <w:bCs/>
                <w:szCs w:val="20"/>
                <w:lang w:val="en-GB"/>
              </w:rPr>
              <w:t>1.20</w:t>
            </w:r>
          </w:p>
        </w:tc>
        <w:tc>
          <w:tcPr>
            <w:tcW w:w="1489" w:type="dxa"/>
          </w:tcPr>
          <w:p w14:paraId="68F0FB7B" w14:textId="77777777" w:rsidR="00B00E53" w:rsidRPr="00896637" w:rsidRDefault="00B00E53" w:rsidP="00641EE2">
            <w:pPr>
              <w:spacing w:after="160" w:line="259" w:lineRule="auto"/>
              <w:ind w:left="0" w:right="0" w:firstLine="0"/>
              <w:jc w:val="left"/>
              <w:rPr>
                <w:szCs w:val="20"/>
              </w:rPr>
            </w:pPr>
            <w:r w:rsidRPr="00896637">
              <w:rPr>
                <w:bCs/>
                <w:szCs w:val="20"/>
                <w:lang w:val="en-GB"/>
              </w:rPr>
              <w:t>0.01</w:t>
            </w:r>
          </w:p>
        </w:tc>
        <w:tc>
          <w:tcPr>
            <w:tcW w:w="1489" w:type="dxa"/>
          </w:tcPr>
          <w:p w14:paraId="7FEC9A10" w14:textId="77777777" w:rsidR="00B00E53" w:rsidRPr="00896637" w:rsidRDefault="00B00E53" w:rsidP="00641EE2">
            <w:pPr>
              <w:spacing w:after="160" w:line="259" w:lineRule="auto"/>
              <w:ind w:left="0" w:right="0" w:firstLine="0"/>
              <w:jc w:val="left"/>
              <w:rPr>
                <w:szCs w:val="20"/>
              </w:rPr>
            </w:pPr>
            <w:r w:rsidRPr="00896637">
              <w:rPr>
                <w:bCs/>
                <w:szCs w:val="20"/>
                <w:lang w:val="en-GB"/>
              </w:rPr>
              <w:t>0.07</w:t>
            </w:r>
          </w:p>
        </w:tc>
        <w:tc>
          <w:tcPr>
            <w:tcW w:w="1201" w:type="dxa"/>
          </w:tcPr>
          <w:p w14:paraId="32DF45BC" w14:textId="77777777" w:rsidR="00B00E53" w:rsidRPr="00896637" w:rsidRDefault="00B00E53" w:rsidP="00641EE2">
            <w:pPr>
              <w:spacing w:after="160" w:line="259" w:lineRule="auto"/>
              <w:ind w:left="0" w:right="0" w:firstLine="0"/>
              <w:jc w:val="left"/>
              <w:rPr>
                <w:szCs w:val="20"/>
              </w:rPr>
            </w:pPr>
            <w:r w:rsidRPr="00896637">
              <w:rPr>
                <w:bCs/>
                <w:szCs w:val="20"/>
                <w:lang w:val="en-GB"/>
              </w:rPr>
              <w:t>0.32</w:t>
            </w:r>
          </w:p>
        </w:tc>
        <w:tc>
          <w:tcPr>
            <w:tcW w:w="1563" w:type="dxa"/>
          </w:tcPr>
          <w:p w14:paraId="3A8302C2" w14:textId="77777777" w:rsidR="00B00E53" w:rsidRPr="00896637" w:rsidRDefault="00B00E53" w:rsidP="00641EE2">
            <w:pPr>
              <w:spacing w:after="160" w:line="259" w:lineRule="auto"/>
              <w:ind w:left="0" w:right="0" w:firstLine="0"/>
              <w:jc w:val="left"/>
              <w:rPr>
                <w:szCs w:val="20"/>
              </w:rPr>
            </w:pPr>
            <w:r w:rsidRPr="00896637">
              <w:rPr>
                <w:bCs/>
                <w:szCs w:val="20"/>
                <w:lang w:val="en-GB"/>
              </w:rPr>
              <w:t>0.36</w:t>
            </w:r>
          </w:p>
        </w:tc>
      </w:tr>
    </w:tbl>
    <w:p w14:paraId="56230C18" w14:textId="77777777" w:rsidR="001C51E5" w:rsidRPr="00896637" w:rsidRDefault="001C51E5" w:rsidP="001C51E5">
      <w:pPr>
        <w:pStyle w:val="Caption"/>
        <w:keepNext/>
        <w:rPr>
          <w:b/>
          <w:i w:val="0"/>
          <w:color w:val="000000" w:themeColor="text1"/>
          <w:sz w:val="22"/>
          <w:szCs w:val="22"/>
        </w:rPr>
      </w:pPr>
      <w:r w:rsidRPr="00896637">
        <w:rPr>
          <w:b/>
          <w:i w:val="0"/>
          <w:color w:val="000000" w:themeColor="text1"/>
          <w:sz w:val="20"/>
          <w:szCs w:val="20"/>
        </w:rPr>
        <w:t xml:space="preserve">Table </w:t>
      </w:r>
      <w:r w:rsidR="004B3B8D" w:rsidRPr="00896637">
        <w:rPr>
          <w:b/>
          <w:i w:val="0"/>
          <w:color w:val="000000" w:themeColor="text1"/>
          <w:sz w:val="20"/>
          <w:szCs w:val="20"/>
        </w:rPr>
        <w:fldChar w:fldCharType="begin"/>
      </w:r>
      <w:r w:rsidRPr="00896637">
        <w:rPr>
          <w:b/>
          <w:i w:val="0"/>
          <w:color w:val="000000" w:themeColor="text1"/>
          <w:sz w:val="20"/>
          <w:szCs w:val="20"/>
        </w:rPr>
        <w:instrText xml:space="preserve"> SEQ Table \* ARABIC </w:instrText>
      </w:r>
      <w:r w:rsidR="004B3B8D" w:rsidRPr="00896637">
        <w:rPr>
          <w:b/>
          <w:i w:val="0"/>
          <w:color w:val="000000" w:themeColor="text1"/>
          <w:sz w:val="20"/>
          <w:szCs w:val="20"/>
        </w:rPr>
        <w:fldChar w:fldCharType="separate"/>
      </w:r>
      <w:r w:rsidRPr="00896637">
        <w:rPr>
          <w:b/>
          <w:i w:val="0"/>
          <w:noProof/>
          <w:color w:val="000000" w:themeColor="text1"/>
          <w:sz w:val="20"/>
          <w:szCs w:val="20"/>
        </w:rPr>
        <w:t>1</w:t>
      </w:r>
      <w:r w:rsidR="004B3B8D" w:rsidRPr="00896637">
        <w:rPr>
          <w:b/>
          <w:i w:val="0"/>
          <w:color w:val="000000" w:themeColor="text1"/>
          <w:sz w:val="20"/>
          <w:szCs w:val="20"/>
        </w:rPr>
        <w:fldChar w:fldCharType="end"/>
      </w:r>
      <w:r w:rsidRPr="00896637">
        <w:rPr>
          <w:b/>
          <w:i w:val="0"/>
          <w:color w:val="000000" w:themeColor="text1"/>
          <w:sz w:val="20"/>
          <w:szCs w:val="20"/>
        </w:rPr>
        <w:t xml:space="preserve"> : Effect of macro and micronutrients on growth parameters (cm) of tomato cv. </w:t>
      </w:r>
      <w:proofErr w:type="spellStart"/>
      <w:r w:rsidRPr="00896637">
        <w:rPr>
          <w:b/>
          <w:i w:val="0"/>
          <w:color w:val="000000" w:themeColor="text1"/>
          <w:sz w:val="20"/>
          <w:szCs w:val="20"/>
        </w:rPr>
        <w:t>Heemshikhar</w:t>
      </w:r>
      <w:proofErr w:type="spellEnd"/>
      <w:r w:rsidRPr="00896637">
        <w:rPr>
          <w:b/>
          <w:i w:val="0"/>
          <w:color w:val="000000" w:themeColor="text1"/>
          <w:sz w:val="20"/>
          <w:szCs w:val="20"/>
        </w:rPr>
        <w:t xml:space="preserve"> under protected conditions.</w:t>
      </w:r>
      <w:r w:rsidRPr="00896637">
        <w:rPr>
          <w:b/>
          <w:i w:val="0"/>
          <w:color w:val="000000" w:themeColor="text1"/>
          <w:sz w:val="22"/>
          <w:szCs w:val="22"/>
        </w:rPr>
        <w:br/>
      </w:r>
    </w:p>
    <w:p w14:paraId="1993D022" w14:textId="77777777" w:rsidR="0033017C" w:rsidRPr="0033017C" w:rsidRDefault="0033017C" w:rsidP="0033017C">
      <w:pPr>
        <w:ind w:left="0" w:firstLine="0"/>
        <w:sectPr w:rsidR="0033017C" w:rsidRPr="0033017C" w:rsidSect="001C51E5">
          <w:pgSz w:w="15840" w:h="12240" w:orient="landscape"/>
          <w:pgMar w:top="1440" w:right="1440" w:bottom="1440" w:left="1440" w:header="720" w:footer="720" w:gutter="0"/>
          <w:cols w:space="720"/>
          <w:docGrid w:linePitch="360"/>
        </w:sectPr>
      </w:pPr>
      <w:r>
        <w:br/>
      </w:r>
    </w:p>
    <w:tbl>
      <w:tblPr>
        <w:tblStyle w:val="TableGrid"/>
        <w:tblpPr w:leftFromText="180" w:rightFromText="180" w:vertAnchor="text" w:horzAnchor="margin" w:tblpY="419"/>
        <w:tblW w:w="13077" w:type="dxa"/>
        <w:tblLayout w:type="fixed"/>
        <w:tblLook w:val="04A0" w:firstRow="1" w:lastRow="0" w:firstColumn="1" w:lastColumn="0" w:noHBand="0" w:noVBand="1"/>
      </w:tblPr>
      <w:tblGrid>
        <w:gridCol w:w="1790"/>
        <w:gridCol w:w="1413"/>
        <w:gridCol w:w="1197"/>
        <w:gridCol w:w="1377"/>
        <w:gridCol w:w="1389"/>
        <w:gridCol w:w="1526"/>
        <w:gridCol w:w="933"/>
        <w:gridCol w:w="1620"/>
        <w:gridCol w:w="1832"/>
      </w:tblGrid>
      <w:tr w:rsidR="006E06A2" w:rsidRPr="00896637" w14:paraId="3787CDC6" w14:textId="77777777" w:rsidTr="00B00E53">
        <w:trPr>
          <w:trHeight w:val="185"/>
        </w:trPr>
        <w:tc>
          <w:tcPr>
            <w:tcW w:w="1790" w:type="dxa"/>
          </w:tcPr>
          <w:p w14:paraId="56A472E7" w14:textId="77777777" w:rsidR="006E06A2" w:rsidRPr="00896637" w:rsidRDefault="006E06A2" w:rsidP="00641EE2">
            <w:pPr>
              <w:spacing w:after="160" w:line="259" w:lineRule="auto"/>
              <w:ind w:left="0" w:right="0" w:firstLine="0"/>
              <w:jc w:val="left"/>
              <w:rPr>
                <w:szCs w:val="20"/>
              </w:rPr>
            </w:pPr>
            <w:r w:rsidRPr="00896637">
              <w:rPr>
                <w:b/>
                <w:bCs/>
                <w:szCs w:val="20"/>
                <w:lang w:val="en-GB"/>
              </w:rPr>
              <w:lastRenderedPageBreak/>
              <w:t>Treatments</w:t>
            </w:r>
          </w:p>
        </w:tc>
        <w:tc>
          <w:tcPr>
            <w:tcW w:w="1413" w:type="dxa"/>
            <w:vAlign w:val="center"/>
          </w:tcPr>
          <w:p w14:paraId="7DD8FDDA" w14:textId="77777777" w:rsidR="006E06A2" w:rsidRPr="00896637" w:rsidRDefault="006E06A2" w:rsidP="00641EE2">
            <w:pPr>
              <w:spacing w:after="160" w:line="259" w:lineRule="auto"/>
              <w:ind w:left="0" w:right="0" w:firstLine="0"/>
              <w:jc w:val="left"/>
              <w:rPr>
                <w:szCs w:val="20"/>
              </w:rPr>
            </w:pPr>
            <w:r w:rsidRPr="00896637">
              <w:rPr>
                <w:b/>
                <w:bCs/>
                <w:szCs w:val="20"/>
              </w:rPr>
              <w:t>Average fruit weight (g)</w:t>
            </w:r>
          </w:p>
        </w:tc>
        <w:tc>
          <w:tcPr>
            <w:tcW w:w="1197" w:type="dxa"/>
            <w:vAlign w:val="center"/>
          </w:tcPr>
          <w:p w14:paraId="088F90A8" w14:textId="77777777" w:rsidR="006E06A2" w:rsidRPr="00896637" w:rsidRDefault="006E06A2" w:rsidP="00641EE2">
            <w:pPr>
              <w:spacing w:after="160" w:line="259" w:lineRule="auto"/>
              <w:ind w:left="0" w:right="0" w:firstLine="0"/>
              <w:jc w:val="left"/>
              <w:rPr>
                <w:szCs w:val="20"/>
              </w:rPr>
            </w:pPr>
            <w:r w:rsidRPr="00896637">
              <w:rPr>
                <w:b/>
                <w:bCs/>
                <w:szCs w:val="20"/>
              </w:rPr>
              <w:t xml:space="preserve">Fruit yield per plant (kg) </w:t>
            </w:r>
          </w:p>
        </w:tc>
        <w:tc>
          <w:tcPr>
            <w:tcW w:w="1377" w:type="dxa"/>
            <w:vAlign w:val="center"/>
          </w:tcPr>
          <w:p w14:paraId="06AD2546" w14:textId="77777777" w:rsidR="006E06A2" w:rsidRPr="00896637" w:rsidRDefault="006E06A2" w:rsidP="00641EE2">
            <w:pPr>
              <w:spacing w:after="160" w:line="259" w:lineRule="auto"/>
              <w:ind w:left="0" w:right="0" w:firstLine="0"/>
              <w:jc w:val="left"/>
              <w:rPr>
                <w:szCs w:val="20"/>
              </w:rPr>
            </w:pPr>
            <w:r w:rsidRPr="00896637">
              <w:rPr>
                <w:b/>
                <w:bCs/>
                <w:szCs w:val="20"/>
              </w:rPr>
              <w:t>Fruit yield per plot (kg)</w:t>
            </w:r>
          </w:p>
        </w:tc>
        <w:tc>
          <w:tcPr>
            <w:tcW w:w="1389" w:type="dxa"/>
            <w:vAlign w:val="center"/>
          </w:tcPr>
          <w:p w14:paraId="3B7B904C" w14:textId="77777777" w:rsidR="006E06A2" w:rsidRPr="00896637" w:rsidRDefault="006E06A2" w:rsidP="00641EE2">
            <w:pPr>
              <w:spacing w:after="160" w:line="259" w:lineRule="auto"/>
              <w:ind w:left="0" w:right="0" w:firstLine="0"/>
              <w:jc w:val="left"/>
              <w:rPr>
                <w:szCs w:val="20"/>
              </w:rPr>
            </w:pPr>
            <w:r w:rsidRPr="00896637">
              <w:rPr>
                <w:b/>
                <w:bCs/>
                <w:szCs w:val="20"/>
              </w:rPr>
              <w:t>Fruit yield per hectare (q)</w:t>
            </w:r>
          </w:p>
        </w:tc>
        <w:tc>
          <w:tcPr>
            <w:tcW w:w="1526" w:type="dxa"/>
            <w:vAlign w:val="center"/>
          </w:tcPr>
          <w:p w14:paraId="0E5B9159" w14:textId="77777777" w:rsidR="006E06A2" w:rsidRPr="00896637" w:rsidRDefault="006E06A2" w:rsidP="00641EE2">
            <w:pPr>
              <w:spacing w:after="160" w:line="259" w:lineRule="auto"/>
              <w:ind w:left="0" w:right="0" w:firstLine="0"/>
              <w:jc w:val="left"/>
              <w:rPr>
                <w:szCs w:val="20"/>
              </w:rPr>
            </w:pPr>
            <w:r w:rsidRPr="00896637">
              <w:rPr>
                <w:b/>
                <w:bCs/>
                <w:szCs w:val="20"/>
              </w:rPr>
              <w:t>Total soluble solids (°Brix)</w:t>
            </w:r>
          </w:p>
        </w:tc>
        <w:tc>
          <w:tcPr>
            <w:tcW w:w="933" w:type="dxa"/>
            <w:vAlign w:val="center"/>
          </w:tcPr>
          <w:p w14:paraId="69E3BFB9" w14:textId="77777777" w:rsidR="006E06A2" w:rsidRPr="00896637" w:rsidRDefault="006E06A2" w:rsidP="00641EE2">
            <w:pPr>
              <w:spacing w:after="160" w:line="259" w:lineRule="auto"/>
              <w:ind w:left="0" w:right="0" w:firstLine="0"/>
              <w:jc w:val="left"/>
              <w:rPr>
                <w:szCs w:val="20"/>
              </w:rPr>
            </w:pPr>
            <w:r w:rsidRPr="00896637">
              <w:rPr>
                <w:b/>
                <w:bCs/>
                <w:szCs w:val="20"/>
                <w:lang w:val="en-GB"/>
              </w:rPr>
              <w:t>pH</w:t>
            </w:r>
          </w:p>
        </w:tc>
        <w:tc>
          <w:tcPr>
            <w:tcW w:w="1620" w:type="dxa"/>
            <w:vAlign w:val="center"/>
          </w:tcPr>
          <w:p w14:paraId="613F057B" w14:textId="77777777" w:rsidR="006E06A2" w:rsidRPr="00896637" w:rsidRDefault="006E06A2" w:rsidP="00641EE2">
            <w:pPr>
              <w:spacing w:after="160" w:line="259" w:lineRule="auto"/>
              <w:ind w:left="0" w:right="0" w:firstLine="0"/>
              <w:jc w:val="left"/>
              <w:rPr>
                <w:szCs w:val="20"/>
              </w:rPr>
            </w:pPr>
            <w:r w:rsidRPr="00896637">
              <w:rPr>
                <w:b/>
                <w:bCs/>
                <w:szCs w:val="20"/>
                <w:lang w:val="en-GB"/>
              </w:rPr>
              <w:t>Fruit firmness(kg/cm</w:t>
            </w:r>
            <w:r w:rsidRPr="00896637">
              <w:rPr>
                <w:b/>
                <w:bCs/>
                <w:szCs w:val="20"/>
                <w:vertAlign w:val="superscript"/>
                <w:lang w:val="en-GB"/>
              </w:rPr>
              <w:t>2</w:t>
            </w:r>
            <w:r w:rsidRPr="00896637">
              <w:rPr>
                <w:b/>
                <w:bCs/>
                <w:szCs w:val="20"/>
                <w:lang w:val="en-GB"/>
              </w:rPr>
              <w:t>)</w:t>
            </w:r>
          </w:p>
        </w:tc>
        <w:tc>
          <w:tcPr>
            <w:tcW w:w="1832" w:type="dxa"/>
            <w:vAlign w:val="center"/>
          </w:tcPr>
          <w:p w14:paraId="49C22164" w14:textId="77777777" w:rsidR="006E06A2" w:rsidRPr="00896637" w:rsidRDefault="006E06A2" w:rsidP="00641EE2">
            <w:pPr>
              <w:spacing w:after="160" w:line="259" w:lineRule="auto"/>
              <w:ind w:left="0" w:right="0" w:firstLine="0"/>
              <w:jc w:val="left"/>
              <w:rPr>
                <w:szCs w:val="20"/>
              </w:rPr>
            </w:pPr>
            <w:r w:rsidRPr="00896637">
              <w:rPr>
                <w:b/>
                <w:bCs/>
                <w:szCs w:val="20"/>
                <w:lang w:val="en-GB"/>
              </w:rPr>
              <w:t>Dry matter (%)</w:t>
            </w:r>
          </w:p>
        </w:tc>
      </w:tr>
      <w:tr w:rsidR="006E06A2" w:rsidRPr="00896637" w14:paraId="73F15CF4" w14:textId="77777777" w:rsidTr="00B00E53">
        <w:trPr>
          <w:trHeight w:val="192"/>
        </w:trPr>
        <w:tc>
          <w:tcPr>
            <w:tcW w:w="1790" w:type="dxa"/>
          </w:tcPr>
          <w:p w14:paraId="6FEDF39A"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1</w:t>
            </w:r>
          </w:p>
        </w:tc>
        <w:tc>
          <w:tcPr>
            <w:tcW w:w="1413" w:type="dxa"/>
          </w:tcPr>
          <w:p w14:paraId="16A75083" w14:textId="77777777" w:rsidR="006E06A2" w:rsidRPr="00896637" w:rsidRDefault="006E06A2" w:rsidP="00641EE2">
            <w:pPr>
              <w:spacing w:after="160" w:line="259" w:lineRule="auto"/>
              <w:ind w:left="0" w:right="0" w:firstLine="0"/>
              <w:jc w:val="left"/>
              <w:rPr>
                <w:szCs w:val="20"/>
              </w:rPr>
            </w:pPr>
            <w:r w:rsidRPr="00896637">
              <w:rPr>
                <w:bCs/>
                <w:szCs w:val="20"/>
                <w:lang w:val="en-GB"/>
              </w:rPr>
              <w:t>50.24</w:t>
            </w:r>
          </w:p>
        </w:tc>
        <w:tc>
          <w:tcPr>
            <w:tcW w:w="1197" w:type="dxa"/>
          </w:tcPr>
          <w:p w14:paraId="2BC864EB" w14:textId="77777777" w:rsidR="006E06A2" w:rsidRPr="00896637" w:rsidRDefault="006E06A2" w:rsidP="00641EE2">
            <w:pPr>
              <w:spacing w:after="160" w:line="259" w:lineRule="auto"/>
              <w:ind w:left="0" w:right="0" w:firstLine="0"/>
              <w:jc w:val="left"/>
              <w:rPr>
                <w:szCs w:val="20"/>
              </w:rPr>
            </w:pPr>
            <w:r w:rsidRPr="00896637">
              <w:rPr>
                <w:bCs/>
                <w:szCs w:val="20"/>
                <w:lang w:val="en-GB"/>
              </w:rPr>
              <w:t>1.26</w:t>
            </w:r>
          </w:p>
        </w:tc>
        <w:tc>
          <w:tcPr>
            <w:tcW w:w="1377" w:type="dxa"/>
          </w:tcPr>
          <w:p w14:paraId="41D44F1B" w14:textId="77777777" w:rsidR="006E06A2" w:rsidRPr="00896637" w:rsidRDefault="006E06A2" w:rsidP="00641EE2">
            <w:pPr>
              <w:spacing w:after="160" w:line="259" w:lineRule="auto"/>
              <w:ind w:left="0" w:right="0" w:firstLine="0"/>
              <w:jc w:val="left"/>
              <w:rPr>
                <w:szCs w:val="20"/>
              </w:rPr>
            </w:pPr>
            <w:r w:rsidRPr="00896637">
              <w:rPr>
                <w:bCs/>
                <w:szCs w:val="20"/>
                <w:lang w:val="en-GB"/>
              </w:rPr>
              <w:t>12.60</w:t>
            </w:r>
          </w:p>
        </w:tc>
        <w:tc>
          <w:tcPr>
            <w:tcW w:w="1389" w:type="dxa"/>
          </w:tcPr>
          <w:p w14:paraId="08EBA072" w14:textId="77777777" w:rsidR="006E06A2" w:rsidRPr="00896637" w:rsidRDefault="006E06A2" w:rsidP="00641EE2">
            <w:pPr>
              <w:spacing w:after="160" w:line="259" w:lineRule="auto"/>
              <w:ind w:left="0" w:right="0" w:firstLine="0"/>
              <w:jc w:val="left"/>
              <w:rPr>
                <w:szCs w:val="20"/>
              </w:rPr>
            </w:pPr>
            <w:r w:rsidRPr="00896637">
              <w:rPr>
                <w:bCs/>
                <w:szCs w:val="20"/>
                <w:lang w:val="en-GB"/>
              </w:rPr>
              <w:t>154.98</w:t>
            </w:r>
          </w:p>
        </w:tc>
        <w:tc>
          <w:tcPr>
            <w:tcW w:w="1526" w:type="dxa"/>
          </w:tcPr>
          <w:p w14:paraId="5276DC87" w14:textId="77777777" w:rsidR="006E06A2" w:rsidRPr="00896637" w:rsidRDefault="006E06A2" w:rsidP="00641EE2">
            <w:pPr>
              <w:spacing w:after="160" w:line="259" w:lineRule="auto"/>
              <w:ind w:left="0" w:right="0" w:firstLine="0"/>
              <w:jc w:val="left"/>
              <w:rPr>
                <w:szCs w:val="20"/>
              </w:rPr>
            </w:pPr>
            <w:r w:rsidRPr="00896637">
              <w:rPr>
                <w:bCs/>
                <w:szCs w:val="20"/>
                <w:lang w:val="en-GB"/>
              </w:rPr>
              <w:t>1.17</w:t>
            </w:r>
          </w:p>
        </w:tc>
        <w:tc>
          <w:tcPr>
            <w:tcW w:w="933" w:type="dxa"/>
          </w:tcPr>
          <w:p w14:paraId="34F6F9D7" w14:textId="77777777" w:rsidR="006E06A2" w:rsidRPr="00896637" w:rsidRDefault="006E06A2" w:rsidP="00641EE2">
            <w:pPr>
              <w:spacing w:after="160" w:line="259" w:lineRule="auto"/>
              <w:ind w:left="0" w:right="0" w:firstLine="0"/>
              <w:jc w:val="left"/>
              <w:rPr>
                <w:szCs w:val="20"/>
              </w:rPr>
            </w:pPr>
            <w:r w:rsidRPr="00896637">
              <w:rPr>
                <w:bCs/>
                <w:szCs w:val="20"/>
                <w:lang w:val="en-GB"/>
              </w:rPr>
              <w:t>4.03</w:t>
            </w:r>
          </w:p>
        </w:tc>
        <w:tc>
          <w:tcPr>
            <w:tcW w:w="1620" w:type="dxa"/>
          </w:tcPr>
          <w:p w14:paraId="01DB7BEF" w14:textId="77777777" w:rsidR="006E06A2" w:rsidRPr="00896637" w:rsidRDefault="006E06A2" w:rsidP="00641EE2">
            <w:pPr>
              <w:spacing w:after="160" w:line="259" w:lineRule="auto"/>
              <w:ind w:left="0" w:right="0" w:firstLine="0"/>
              <w:jc w:val="left"/>
              <w:rPr>
                <w:szCs w:val="20"/>
              </w:rPr>
            </w:pPr>
            <w:r w:rsidRPr="00896637">
              <w:rPr>
                <w:bCs/>
                <w:szCs w:val="20"/>
                <w:lang w:val="en-GB"/>
              </w:rPr>
              <w:t>2.01</w:t>
            </w:r>
          </w:p>
        </w:tc>
        <w:tc>
          <w:tcPr>
            <w:tcW w:w="1832" w:type="dxa"/>
          </w:tcPr>
          <w:p w14:paraId="5C2E3698"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r>
      <w:tr w:rsidR="006E06A2" w:rsidRPr="00896637" w14:paraId="2CF75464" w14:textId="77777777" w:rsidTr="00B00E53">
        <w:trPr>
          <w:trHeight w:val="185"/>
        </w:trPr>
        <w:tc>
          <w:tcPr>
            <w:tcW w:w="1790" w:type="dxa"/>
          </w:tcPr>
          <w:p w14:paraId="0D87F787"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2</w:t>
            </w:r>
          </w:p>
        </w:tc>
        <w:tc>
          <w:tcPr>
            <w:tcW w:w="1413" w:type="dxa"/>
          </w:tcPr>
          <w:p w14:paraId="342FA553" w14:textId="77777777" w:rsidR="006E06A2" w:rsidRPr="00896637" w:rsidRDefault="006E06A2" w:rsidP="00641EE2">
            <w:pPr>
              <w:spacing w:after="160" w:line="259" w:lineRule="auto"/>
              <w:ind w:left="0" w:right="0" w:firstLine="0"/>
              <w:jc w:val="left"/>
              <w:rPr>
                <w:szCs w:val="20"/>
              </w:rPr>
            </w:pPr>
            <w:r w:rsidRPr="00896637">
              <w:rPr>
                <w:bCs/>
                <w:szCs w:val="20"/>
                <w:lang w:val="en-GB"/>
              </w:rPr>
              <w:t>52.36</w:t>
            </w:r>
          </w:p>
        </w:tc>
        <w:tc>
          <w:tcPr>
            <w:tcW w:w="1197" w:type="dxa"/>
          </w:tcPr>
          <w:p w14:paraId="22E62C3C" w14:textId="77777777" w:rsidR="006E06A2" w:rsidRPr="00896637" w:rsidRDefault="006E06A2" w:rsidP="00641EE2">
            <w:pPr>
              <w:spacing w:after="160" w:line="259" w:lineRule="auto"/>
              <w:ind w:left="0" w:right="0" w:firstLine="0"/>
              <w:jc w:val="left"/>
              <w:rPr>
                <w:szCs w:val="20"/>
              </w:rPr>
            </w:pPr>
            <w:r w:rsidRPr="00896637">
              <w:rPr>
                <w:bCs/>
                <w:szCs w:val="20"/>
                <w:lang w:val="en-GB"/>
              </w:rPr>
              <w:t>1.31</w:t>
            </w:r>
          </w:p>
        </w:tc>
        <w:tc>
          <w:tcPr>
            <w:tcW w:w="1377" w:type="dxa"/>
          </w:tcPr>
          <w:p w14:paraId="733BAD6B" w14:textId="77777777" w:rsidR="006E06A2" w:rsidRPr="00896637" w:rsidRDefault="006E06A2" w:rsidP="00641EE2">
            <w:pPr>
              <w:spacing w:after="160" w:line="259" w:lineRule="auto"/>
              <w:ind w:left="0" w:right="0" w:firstLine="0"/>
              <w:jc w:val="left"/>
              <w:rPr>
                <w:szCs w:val="20"/>
              </w:rPr>
            </w:pPr>
            <w:r w:rsidRPr="00896637">
              <w:rPr>
                <w:bCs/>
                <w:szCs w:val="20"/>
                <w:lang w:val="en-GB"/>
              </w:rPr>
              <w:t>13.10</w:t>
            </w:r>
          </w:p>
        </w:tc>
        <w:tc>
          <w:tcPr>
            <w:tcW w:w="1389" w:type="dxa"/>
          </w:tcPr>
          <w:p w14:paraId="5378E7D8" w14:textId="77777777" w:rsidR="006E06A2" w:rsidRPr="00896637" w:rsidRDefault="006E06A2" w:rsidP="00641EE2">
            <w:pPr>
              <w:spacing w:after="160" w:line="259" w:lineRule="auto"/>
              <w:ind w:left="0" w:right="0" w:firstLine="0"/>
              <w:jc w:val="left"/>
              <w:rPr>
                <w:szCs w:val="20"/>
              </w:rPr>
            </w:pPr>
            <w:r w:rsidRPr="00896637">
              <w:rPr>
                <w:bCs/>
                <w:szCs w:val="20"/>
                <w:lang w:val="en-GB"/>
              </w:rPr>
              <w:t>161.13</w:t>
            </w:r>
          </w:p>
        </w:tc>
        <w:tc>
          <w:tcPr>
            <w:tcW w:w="1526" w:type="dxa"/>
          </w:tcPr>
          <w:p w14:paraId="60631A9D" w14:textId="77777777" w:rsidR="006E06A2" w:rsidRPr="00896637" w:rsidRDefault="006E06A2" w:rsidP="00641EE2">
            <w:pPr>
              <w:spacing w:after="160" w:line="259" w:lineRule="auto"/>
              <w:ind w:left="0" w:right="0" w:firstLine="0"/>
              <w:jc w:val="left"/>
              <w:rPr>
                <w:szCs w:val="20"/>
              </w:rPr>
            </w:pPr>
            <w:r w:rsidRPr="00896637">
              <w:rPr>
                <w:bCs/>
                <w:szCs w:val="20"/>
                <w:lang w:val="en-GB"/>
              </w:rPr>
              <w:t>2.10</w:t>
            </w:r>
          </w:p>
        </w:tc>
        <w:tc>
          <w:tcPr>
            <w:tcW w:w="933" w:type="dxa"/>
          </w:tcPr>
          <w:p w14:paraId="5500EE5F" w14:textId="77777777" w:rsidR="006E06A2" w:rsidRPr="00896637" w:rsidRDefault="006E06A2" w:rsidP="00641EE2">
            <w:pPr>
              <w:spacing w:after="160" w:line="259" w:lineRule="auto"/>
              <w:ind w:left="0" w:right="0" w:firstLine="0"/>
              <w:jc w:val="left"/>
              <w:rPr>
                <w:szCs w:val="20"/>
              </w:rPr>
            </w:pPr>
            <w:r w:rsidRPr="00896637">
              <w:rPr>
                <w:bCs/>
                <w:szCs w:val="20"/>
                <w:lang w:val="en-GB"/>
              </w:rPr>
              <w:t>4.05</w:t>
            </w:r>
          </w:p>
        </w:tc>
        <w:tc>
          <w:tcPr>
            <w:tcW w:w="1620" w:type="dxa"/>
          </w:tcPr>
          <w:p w14:paraId="1FC59D96" w14:textId="77777777" w:rsidR="006E06A2" w:rsidRPr="00896637" w:rsidRDefault="006E06A2" w:rsidP="00641EE2">
            <w:pPr>
              <w:spacing w:after="160" w:line="259" w:lineRule="auto"/>
              <w:ind w:left="0" w:right="0" w:firstLine="0"/>
              <w:jc w:val="left"/>
              <w:rPr>
                <w:szCs w:val="20"/>
              </w:rPr>
            </w:pPr>
            <w:r w:rsidRPr="00896637">
              <w:rPr>
                <w:bCs/>
                <w:szCs w:val="20"/>
                <w:lang w:val="en-GB"/>
              </w:rPr>
              <w:t>3.26</w:t>
            </w:r>
          </w:p>
        </w:tc>
        <w:tc>
          <w:tcPr>
            <w:tcW w:w="1832" w:type="dxa"/>
          </w:tcPr>
          <w:p w14:paraId="7B3B4C9E" w14:textId="77777777" w:rsidR="006E06A2" w:rsidRPr="00896637" w:rsidRDefault="006E06A2" w:rsidP="00641EE2">
            <w:pPr>
              <w:spacing w:after="160" w:line="259" w:lineRule="auto"/>
              <w:ind w:left="0" w:right="0" w:firstLine="0"/>
              <w:jc w:val="left"/>
              <w:rPr>
                <w:szCs w:val="20"/>
              </w:rPr>
            </w:pPr>
            <w:r w:rsidRPr="00896637">
              <w:rPr>
                <w:bCs/>
                <w:szCs w:val="20"/>
                <w:lang w:val="en-GB"/>
              </w:rPr>
              <w:t>4.70</w:t>
            </w:r>
          </w:p>
        </w:tc>
      </w:tr>
      <w:tr w:rsidR="006E06A2" w:rsidRPr="00896637" w14:paraId="69326EB3" w14:textId="77777777" w:rsidTr="00B00E53">
        <w:trPr>
          <w:trHeight w:val="192"/>
        </w:trPr>
        <w:tc>
          <w:tcPr>
            <w:tcW w:w="1790" w:type="dxa"/>
          </w:tcPr>
          <w:p w14:paraId="276D5812"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3</w:t>
            </w:r>
          </w:p>
        </w:tc>
        <w:tc>
          <w:tcPr>
            <w:tcW w:w="1413" w:type="dxa"/>
          </w:tcPr>
          <w:p w14:paraId="28D878EA" w14:textId="77777777" w:rsidR="006E06A2" w:rsidRPr="00896637" w:rsidRDefault="006E06A2" w:rsidP="00641EE2">
            <w:pPr>
              <w:spacing w:after="160" w:line="259" w:lineRule="auto"/>
              <w:ind w:left="0" w:right="0" w:firstLine="0"/>
              <w:jc w:val="left"/>
              <w:rPr>
                <w:szCs w:val="20"/>
              </w:rPr>
            </w:pPr>
            <w:r w:rsidRPr="00896637">
              <w:rPr>
                <w:bCs/>
                <w:szCs w:val="20"/>
                <w:lang w:val="en-GB"/>
              </w:rPr>
              <w:t>55.28</w:t>
            </w:r>
          </w:p>
        </w:tc>
        <w:tc>
          <w:tcPr>
            <w:tcW w:w="1197" w:type="dxa"/>
          </w:tcPr>
          <w:p w14:paraId="13A382B3" w14:textId="77777777" w:rsidR="006E06A2" w:rsidRPr="00896637" w:rsidRDefault="006E06A2" w:rsidP="00641EE2">
            <w:pPr>
              <w:spacing w:after="160" w:line="259" w:lineRule="auto"/>
              <w:ind w:left="0" w:right="0" w:firstLine="0"/>
              <w:jc w:val="left"/>
              <w:rPr>
                <w:szCs w:val="20"/>
              </w:rPr>
            </w:pPr>
            <w:r w:rsidRPr="00896637">
              <w:rPr>
                <w:bCs/>
                <w:szCs w:val="20"/>
                <w:lang w:val="en-GB"/>
              </w:rPr>
              <w:t>1.67</w:t>
            </w:r>
          </w:p>
        </w:tc>
        <w:tc>
          <w:tcPr>
            <w:tcW w:w="1377" w:type="dxa"/>
          </w:tcPr>
          <w:p w14:paraId="02D9D0C4" w14:textId="77777777" w:rsidR="006E06A2" w:rsidRPr="00896637" w:rsidRDefault="006E06A2" w:rsidP="00641EE2">
            <w:pPr>
              <w:spacing w:after="160" w:line="259" w:lineRule="auto"/>
              <w:ind w:left="0" w:right="0" w:firstLine="0"/>
              <w:jc w:val="left"/>
              <w:rPr>
                <w:szCs w:val="20"/>
              </w:rPr>
            </w:pPr>
            <w:r w:rsidRPr="00896637">
              <w:rPr>
                <w:bCs/>
                <w:szCs w:val="20"/>
                <w:lang w:val="en-GB"/>
              </w:rPr>
              <w:t>16.70</w:t>
            </w:r>
          </w:p>
        </w:tc>
        <w:tc>
          <w:tcPr>
            <w:tcW w:w="1389" w:type="dxa"/>
          </w:tcPr>
          <w:p w14:paraId="792AAA78" w14:textId="77777777" w:rsidR="006E06A2" w:rsidRPr="00896637" w:rsidRDefault="006E06A2" w:rsidP="00641EE2">
            <w:pPr>
              <w:spacing w:after="160" w:line="259" w:lineRule="auto"/>
              <w:ind w:left="0" w:right="0" w:firstLine="0"/>
              <w:jc w:val="left"/>
              <w:rPr>
                <w:szCs w:val="20"/>
              </w:rPr>
            </w:pPr>
            <w:r w:rsidRPr="00896637">
              <w:rPr>
                <w:bCs/>
                <w:szCs w:val="20"/>
                <w:lang w:val="en-GB"/>
              </w:rPr>
              <w:t>205.41</w:t>
            </w:r>
          </w:p>
        </w:tc>
        <w:tc>
          <w:tcPr>
            <w:tcW w:w="1526" w:type="dxa"/>
          </w:tcPr>
          <w:p w14:paraId="74DAB16F" w14:textId="77777777" w:rsidR="006E06A2" w:rsidRPr="00896637" w:rsidRDefault="006E06A2" w:rsidP="00641EE2">
            <w:pPr>
              <w:spacing w:after="160" w:line="259" w:lineRule="auto"/>
              <w:ind w:left="0" w:right="0" w:firstLine="0"/>
              <w:jc w:val="left"/>
              <w:rPr>
                <w:szCs w:val="20"/>
              </w:rPr>
            </w:pPr>
            <w:r w:rsidRPr="00896637">
              <w:rPr>
                <w:bCs/>
                <w:szCs w:val="20"/>
                <w:lang w:val="en-GB"/>
              </w:rPr>
              <w:t>2.67</w:t>
            </w:r>
          </w:p>
        </w:tc>
        <w:tc>
          <w:tcPr>
            <w:tcW w:w="933" w:type="dxa"/>
          </w:tcPr>
          <w:p w14:paraId="04D5D934"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c>
          <w:tcPr>
            <w:tcW w:w="1620" w:type="dxa"/>
          </w:tcPr>
          <w:p w14:paraId="1AFA4655" w14:textId="77777777" w:rsidR="006E06A2" w:rsidRPr="00896637" w:rsidRDefault="006E06A2" w:rsidP="00641EE2">
            <w:pPr>
              <w:spacing w:after="160" w:line="259" w:lineRule="auto"/>
              <w:ind w:left="0" w:right="0" w:firstLine="0"/>
              <w:jc w:val="left"/>
              <w:rPr>
                <w:szCs w:val="20"/>
              </w:rPr>
            </w:pPr>
            <w:r w:rsidRPr="00896637">
              <w:rPr>
                <w:bCs/>
                <w:szCs w:val="20"/>
                <w:lang w:val="en-GB"/>
              </w:rPr>
              <w:t>3.33</w:t>
            </w:r>
          </w:p>
        </w:tc>
        <w:tc>
          <w:tcPr>
            <w:tcW w:w="1832" w:type="dxa"/>
          </w:tcPr>
          <w:p w14:paraId="0E68E554" w14:textId="77777777" w:rsidR="006E06A2" w:rsidRPr="00896637" w:rsidRDefault="006E06A2" w:rsidP="00641EE2">
            <w:pPr>
              <w:spacing w:after="160" w:line="259" w:lineRule="auto"/>
              <w:ind w:left="0" w:right="0" w:firstLine="0"/>
              <w:jc w:val="left"/>
              <w:rPr>
                <w:szCs w:val="20"/>
              </w:rPr>
            </w:pPr>
            <w:r w:rsidRPr="00896637">
              <w:rPr>
                <w:bCs/>
                <w:szCs w:val="20"/>
                <w:lang w:val="en-GB"/>
              </w:rPr>
              <w:t>4.84</w:t>
            </w:r>
          </w:p>
        </w:tc>
      </w:tr>
      <w:tr w:rsidR="006E06A2" w:rsidRPr="00896637" w14:paraId="316814EB" w14:textId="77777777" w:rsidTr="00B00E53">
        <w:trPr>
          <w:trHeight w:val="185"/>
        </w:trPr>
        <w:tc>
          <w:tcPr>
            <w:tcW w:w="1790" w:type="dxa"/>
          </w:tcPr>
          <w:p w14:paraId="4ECDC927"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4</w:t>
            </w:r>
          </w:p>
        </w:tc>
        <w:tc>
          <w:tcPr>
            <w:tcW w:w="1413" w:type="dxa"/>
          </w:tcPr>
          <w:p w14:paraId="47AACE3C" w14:textId="77777777" w:rsidR="006E06A2" w:rsidRPr="00896637" w:rsidRDefault="006E06A2" w:rsidP="00641EE2">
            <w:pPr>
              <w:spacing w:after="160" w:line="259" w:lineRule="auto"/>
              <w:ind w:left="0" w:right="0" w:firstLine="0"/>
              <w:jc w:val="left"/>
              <w:rPr>
                <w:szCs w:val="20"/>
              </w:rPr>
            </w:pPr>
            <w:r w:rsidRPr="00896637">
              <w:rPr>
                <w:bCs/>
                <w:szCs w:val="20"/>
                <w:lang w:val="en-GB"/>
              </w:rPr>
              <w:t>59.74</w:t>
            </w:r>
          </w:p>
        </w:tc>
        <w:tc>
          <w:tcPr>
            <w:tcW w:w="1197" w:type="dxa"/>
          </w:tcPr>
          <w:p w14:paraId="7EB6B14E" w14:textId="77777777" w:rsidR="006E06A2" w:rsidRPr="00896637" w:rsidRDefault="006E06A2" w:rsidP="00641EE2">
            <w:pPr>
              <w:spacing w:after="160" w:line="259" w:lineRule="auto"/>
              <w:ind w:left="0" w:right="0" w:firstLine="0"/>
              <w:jc w:val="left"/>
              <w:rPr>
                <w:szCs w:val="20"/>
              </w:rPr>
            </w:pPr>
            <w:r w:rsidRPr="00896637">
              <w:rPr>
                <w:bCs/>
                <w:szCs w:val="20"/>
                <w:lang w:val="en-GB"/>
              </w:rPr>
              <w:t>1.85</w:t>
            </w:r>
          </w:p>
        </w:tc>
        <w:tc>
          <w:tcPr>
            <w:tcW w:w="1377" w:type="dxa"/>
          </w:tcPr>
          <w:p w14:paraId="41BCF18D" w14:textId="77777777" w:rsidR="006E06A2" w:rsidRPr="00896637" w:rsidRDefault="006E06A2" w:rsidP="00641EE2">
            <w:pPr>
              <w:spacing w:after="160" w:line="259" w:lineRule="auto"/>
              <w:ind w:left="0" w:right="0" w:firstLine="0"/>
              <w:jc w:val="left"/>
              <w:rPr>
                <w:szCs w:val="20"/>
              </w:rPr>
            </w:pPr>
            <w:r w:rsidRPr="00896637">
              <w:rPr>
                <w:bCs/>
                <w:szCs w:val="20"/>
                <w:lang w:val="en-GB"/>
              </w:rPr>
              <w:t>18.50</w:t>
            </w:r>
          </w:p>
        </w:tc>
        <w:tc>
          <w:tcPr>
            <w:tcW w:w="1389" w:type="dxa"/>
          </w:tcPr>
          <w:p w14:paraId="088B7D93" w14:textId="77777777" w:rsidR="006E06A2" w:rsidRPr="00896637" w:rsidRDefault="006E06A2" w:rsidP="00641EE2">
            <w:pPr>
              <w:spacing w:after="160" w:line="259" w:lineRule="auto"/>
              <w:ind w:left="0" w:right="0" w:firstLine="0"/>
              <w:jc w:val="left"/>
              <w:rPr>
                <w:szCs w:val="20"/>
              </w:rPr>
            </w:pPr>
            <w:r w:rsidRPr="00896637">
              <w:rPr>
                <w:bCs/>
                <w:szCs w:val="20"/>
                <w:lang w:val="en-GB"/>
              </w:rPr>
              <w:t>227.55</w:t>
            </w:r>
          </w:p>
        </w:tc>
        <w:tc>
          <w:tcPr>
            <w:tcW w:w="1526" w:type="dxa"/>
          </w:tcPr>
          <w:p w14:paraId="6A5D3196" w14:textId="77777777" w:rsidR="006E06A2" w:rsidRPr="00896637" w:rsidRDefault="006E06A2" w:rsidP="00641EE2">
            <w:pPr>
              <w:spacing w:after="160" w:line="259" w:lineRule="auto"/>
              <w:ind w:left="0" w:right="0" w:firstLine="0"/>
              <w:jc w:val="left"/>
              <w:rPr>
                <w:szCs w:val="20"/>
              </w:rPr>
            </w:pPr>
            <w:r w:rsidRPr="00896637">
              <w:rPr>
                <w:bCs/>
                <w:szCs w:val="20"/>
                <w:lang w:val="en-GB"/>
              </w:rPr>
              <w:t>3.13</w:t>
            </w:r>
          </w:p>
        </w:tc>
        <w:tc>
          <w:tcPr>
            <w:tcW w:w="933" w:type="dxa"/>
          </w:tcPr>
          <w:p w14:paraId="144448BF" w14:textId="77777777" w:rsidR="006E06A2" w:rsidRPr="00896637" w:rsidRDefault="006E06A2" w:rsidP="00641EE2">
            <w:pPr>
              <w:spacing w:after="160" w:line="259" w:lineRule="auto"/>
              <w:ind w:left="0" w:right="0" w:firstLine="0"/>
              <w:jc w:val="left"/>
              <w:rPr>
                <w:szCs w:val="20"/>
              </w:rPr>
            </w:pPr>
            <w:r w:rsidRPr="00896637">
              <w:rPr>
                <w:bCs/>
                <w:szCs w:val="20"/>
                <w:lang w:val="en-GB"/>
              </w:rPr>
              <w:t>4.09</w:t>
            </w:r>
          </w:p>
        </w:tc>
        <w:tc>
          <w:tcPr>
            <w:tcW w:w="1620" w:type="dxa"/>
          </w:tcPr>
          <w:p w14:paraId="1AA78787" w14:textId="77777777" w:rsidR="006E06A2" w:rsidRPr="00896637" w:rsidRDefault="006E06A2" w:rsidP="00641EE2">
            <w:pPr>
              <w:spacing w:after="160" w:line="259" w:lineRule="auto"/>
              <w:ind w:left="0" w:right="0" w:firstLine="0"/>
              <w:jc w:val="left"/>
              <w:rPr>
                <w:szCs w:val="20"/>
              </w:rPr>
            </w:pPr>
            <w:r w:rsidRPr="00896637">
              <w:rPr>
                <w:bCs/>
                <w:szCs w:val="20"/>
                <w:lang w:val="en-GB"/>
              </w:rPr>
              <w:t>3.52</w:t>
            </w:r>
          </w:p>
        </w:tc>
        <w:tc>
          <w:tcPr>
            <w:tcW w:w="1832" w:type="dxa"/>
          </w:tcPr>
          <w:p w14:paraId="28070C1A" w14:textId="77777777" w:rsidR="006E06A2" w:rsidRPr="00896637" w:rsidRDefault="006E06A2" w:rsidP="00641EE2">
            <w:pPr>
              <w:spacing w:after="160" w:line="259" w:lineRule="auto"/>
              <w:ind w:left="0" w:right="0" w:firstLine="0"/>
              <w:jc w:val="left"/>
              <w:rPr>
                <w:szCs w:val="20"/>
              </w:rPr>
            </w:pPr>
            <w:r w:rsidRPr="00896637">
              <w:rPr>
                <w:bCs/>
                <w:szCs w:val="20"/>
                <w:lang w:val="en-GB"/>
              </w:rPr>
              <w:t>5.16</w:t>
            </w:r>
          </w:p>
        </w:tc>
      </w:tr>
      <w:tr w:rsidR="006E06A2" w:rsidRPr="00896637" w14:paraId="41AC926B" w14:textId="77777777" w:rsidTr="00B00E53">
        <w:trPr>
          <w:trHeight w:val="192"/>
        </w:trPr>
        <w:tc>
          <w:tcPr>
            <w:tcW w:w="1790" w:type="dxa"/>
          </w:tcPr>
          <w:p w14:paraId="00F73C30"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5</w:t>
            </w:r>
          </w:p>
        </w:tc>
        <w:tc>
          <w:tcPr>
            <w:tcW w:w="1413" w:type="dxa"/>
          </w:tcPr>
          <w:p w14:paraId="27CCB57C" w14:textId="77777777" w:rsidR="006E06A2" w:rsidRPr="00896637" w:rsidRDefault="006E06A2" w:rsidP="00641EE2">
            <w:pPr>
              <w:spacing w:after="160" w:line="259" w:lineRule="auto"/>
              <w:ind w:left="0" w:right="0" w:firstLine="0"/>
              <w:jc w:val="left"/>
              <w:rPr>
                <w:szCs w:val="20"/>
              </w:rPr>
            </w:pPr>
            <w:r w:rsidRPr="00896637">
              <w:rPr>
                <w:bCs/>
                <w:szCs w:val="20"/>
                <w:lang w:val="en-GB"/>
              </w:rPr>
              <w:t>62.29</w:t>
            </w:r>
          </w:p>
        </w:tc>
        <w:tc>
          <w:tcPr>
            <w:tcW w:w="1197" w:type="dxa"/>
          </w:tcPr>
          <w:p w14:paraId="735B2ACA" w14:textId="77777777" w:rsidR="006E06A2" w:rsidRPr="00896637" w:rsidRDefault="006E06A2" w:rsidP="00641EE2">
            <w:pPr>
              <w:spacing w:after="160" w:line="259" w:lineRule="auto"/>
              <w:ind w:left="0" w:right="0" w:firstLine="0"/>
              <w:jc w:val="left"/>
              <w:rPr>
                <w:szCs w:val="20"/>
              </w:rPr>
            </w:pPr>
            <w:r w:rsidRPr="00896637">
              <w:rPr>
                <w:bCs/>
                <w:szCs w:val="20"/>
                <w:lang w:val="en-GB"/>
              </w:rPr>
              <w:t>1.97</w:t>
            </w:r>
          </w:p>
        </w:tc>
        <w:tc>
          <w:tcPr>
            <w:tcW w:w="1377" w:type="dxa"/>
          </w:tcPr>
          <w:p w14:paraId="0B857D70" w14:textId="77777777" w:rsidR="006E06A2" w:rsidRPr="00896637" w:rsidRDefault="006E06A2" w:rsidP="00641EE2">
            <w:pPr>
              <w:spacing w:after="160" w:line="259" w:lineRule="auto"/>
              <w:ind w:left="0" w:right="0" w:firstLine="0"/>
              <w:jc w:val="left"/>
              <w:rPr>
                <w:szCs w:val="20"/>
              </w:rPr>
            </w:pPr>
            <w:r w:rsidRPr="00896637">
              <w:rPr>
                <w:bCs/>
                <w:szCs w:val="20"/>
                <w:lang w:val="en-GB"/>
              </w:rPr>
              <w:t>19.70</w:t>
            </w:r>
          </w:p>
        </w:tc>
        <w:tc>
          <w:tcPr>
            <w:tcW w:w="1389" w:type="dxa"/>
          </w:tcPr>
          <w:p w14:paraId="1B29D8BA" w14:textId="77777777" w:rsidR="006E06A2" w:rsidRPr="00896637" w:rsidRDefault="006E06A2" w:rsidP="00641EE2">
            <w:pPr>
              <w:spacing w:after="160" w:line="259" w:lineRule="auto"/>
              <w:ind w:left="0" w:right="0" w:firstLine="0"/>
              <w:jc w:val="left"/>
              <w:rPr>
                <w:szCs w:val="20"/>
              </w:rPr>
            </w:pPr>
            <w:r w:rsidRPr="00896637">
              <w:rPr>
                <w:bCs/>
                <w:szCs w:val="20"/>
                <w:lang w:val="en-GB"/>
              </w:rPr>
              <w:t>242.31</w:t>
            </w:r>
          </w:p>
        </w:tc>
        <w:tc>
          <w:tcPr>
            <w:tcW w:w="1526" w:type="dxa"/>
          </w:tcPr>
          <w:p w14:paraId="2F6C2366" w14:textId="77777777" w:rsidR="006E06A2" w:rsidRPr="00896637" w:rsidRDefault="006E06A2" w:rsidP="00641EE2">
            <w:pPr>
              <w:spacing w:after="160" w:line="259" w:lineRule="auto"/>
              <w:ind w:left="0" w:right="0" w:firstLine="0"/>
              <w:jc w:val="left"/>
              <w:rPr>
                <w:szCs w:val="20"/>
              </w:rPr>
            </w:pPr>
            <w:r w:rsidRPr="00896637">
              <w:rPr>
                <w:bCs/>
                <w:szCs w:val="20"/>
                <w:lang w:val="en-GB"/>
              </w:rPr>
              <w:t>3.53</w:t>
            </w:r>
          </w:p>
        </w:tc>
        <w:tc>
          <w:tcPr>
            <w:tcW w:w="933" w:type="dxa"/>
          </w:tcPr>
          <w:p w14:paraId="6296D300" w14:textId="77777777" w:rsidR="006E06A2" w:rsidRPr="00896637" w:rsidRDefault="006E06A2" w:rsidP="00641EE2">
            <w:pPr>
              <w:spacing w:after="160" w:line="259" w:lineRule="auto"/>
              <w:ind w:left="0" w:right="0" w:firstLine="0"/>
              <w:jc w:val="left"/>
              <w:rPr>
                <w:szCs w:val="20"/>
              </w:rPr>
            </w:pPr>
            <w:r w:rsidRPr="00896637">
              <w:rPr>
                <w:bCs/>
                <w:szCs w:val="20"/>
                <w:lang w:val="en-GB"/>
              </w:rPr>
              <w:t>4.11</w:t>
            </w:r>
          </w:p>
        </w:tc>
        <w:tc>
          <w:tcPr>
            <w:tcW w:w="1620" w:type="dxa"/>
          </w:tcPr>
          <w:p w14:paraId="4F2983C3" w14:textId="77777777" w:rsidR="006E06A2" w:rsidRPr="00896637" w:rsidRDefault="006E06A2" w:rsidP="00641EE2">
            <w:pPr>
              <w:spacing w:after="160" w:line="259" w:lineRule="auto"/>
              <w:ind w:left="0" w:right="0" w:firstLine="0"/>
              <w:jc w:val="left"/>
              <w:rPr>
                <w:szCs w:val="20"/>
              </w:rPr>
            </w:pPr>
            <w:r w:rsidRPr="00896637">
              <w:rPr>
                <w:bCs/>
                <w:szCs w:val="20"/>
                <w:lang w:val="en-GB"/>
              </w:rPr>
              <w:t>3.68</w:t>
            </w:r>
          </w:p>
        </w:tc>
        <w:tc>
          <w:tcPr>
            <w:tcW w:w="1832" w:type="dxa"/>
          </w:tcPr>
          <w:p w14:paraId="06B0A4BD" w14:textId="77777777" w:rsidR="006E06A2" w:rsidRPr="00896637" w:rsidRDefault="006E06A2" w:rsidP="00641EE2">
            <w:pPr>
              <w:spacing w:after="160" w:line="259" w:lineRule="auto"/>
              <w:ind w:left="0" w:right="0" w:firstLine="0"/>
              <w:jc w:val="left"/>
              <w:rPr>
                <w:szCs w:val="20"/>
              </w:rPr>
            </w:pPr>
            <w:r w:rsidRPr="00896637">
              <w:rPr>
                <w:bCs/>
                <w:szCs w:val="20"/>
                <w:lang w:val="en-GB"/>
              </w:rPr>
              <w:t>5.28</w:t>
            </w:r>
          </w:p>
        </w:tc>
      </w:tr>
      <w:tr w:rsidR="006E06A2" w:rsidRPr="00896637" w14:paraId="6D7B4CB4" w14:textId="77777777" w:rsidTr="00B00E53">
        <w:trPr>
          <w:trHeight w:val="185"/>
        </w:trPr>
        <w:tc>
          <w:tcPr>
            <w:tcW w:w="1790" w:type="dxa"/>
          </w:tcPr>
          <w:p w14:paraId="1479EFB6" w14:textId="77777777" w:rsidR="006E06A2" w:rsidRPr="00896637" w:rsidRDefault="006E06A2" w:rsidP="00641EE2">
            <w:pPr>
              <w:spacing w:after="160" w:line="259" w:lineRule="auto"/>
              <w:ind w:left="0" w:right="0" w:firstLine="0"/>
              <w:jc w:val="left"/>
              <w:rPr>
                <w:szCs w:val="20"/>
              </w:rPr>
            </w:pPr>
            <w:r w:rsidRPr="00896637">
              <w:rPr>
                <w:szCs w:val="20"/>
                <w:lang w:val="en-GB"/>
              </w:rPr>
              <w:t>T</w:t>
            </w:r>
            <w:r w:rsidRPr="00896637">
              <w:rPr>
                <w:szCs w:val="20"/>
                <w:vertAlign w:val="subscript"/>
                <w:lang w:val="en-GB"/>
              </w:rPr>
              <w:t>6</w:t>
            </w:r>
          </w:p>
        </w:tc>
        <w:tc>
          <w:tcPr>
            <w:tcW w:w="1413" w:type="dxa"/>
          </w:tcPr>
          <w:p w14:paraId="24EDCE9E" w14:textId="77777777" w:rsidR="006E06A2" w:rsidRPr="00896637" w:rsidRDefault="006E06A2" w:rsidP="00641EE2">
            <w:pPr>
              <w:spacing w:after="160" w:line="259" w:lineRule="auto"/>
              <w:ind w:left="0" w:right="0" w:firstLine="0"/>
              <w:jc w:val="left"/>
              <w:rPr>
                <w:szCs w:val="20"/>
              </w:rPr>
            </w:pPr>
            <w:r w:rsidRPr="00896637">
              <w:rPr>
                <w:bCs/>
                <w:szCs w:val="20"/>
                <w:lang w:val="en-GB"/>
              </w:rPr>
              <w:t>63.14</w:t>
            </w:r>
          </w:p>
        </w:tc>
        <w:tc>
          <w:tcPr>
            <w:tcW w:w="1197" w:type="dxa"/>
          </w:tcPr>
          <w:p w14:paraId="521C5166" w14:textId="77777777" w:rsidR="006E06A2" w:rsidRPr="00896637" w:rsidRDefault="006E06A2" w:rsidP="00641EE2">
            <w:pPr>
              <w:spacing w:after="160" w:line="259" w:lineRule="auto"/>
              <w:ind w:left="0" w:right="0" w:firstLine="0"/>
              <w:jc w:val="left"/>
              <w:rPr>
                <w:szCs w:val="20"/>
              </w:rPr>
            </w:pPr>
            <w:r w:rsidRPr="00896637">
              <w:rPr>
                <w:bCs/>
                <w:szCs w:val="20"/>
                <w:lang w:val="en-GB"/>
              </w:rPr>
              <w:t>2.26</w:t>
            </w:r>
          </w:p>
        </w:tc>
        <w:tc>
          <w:tcPr>
            <w:tcW w:w="1377" w:type="dxa"/>
          </w:tcPr>
          <w:p w14:paraId="236B9344" w14:textId="77777777" w:rsidR="006E06A2" w:rsidRPr="00896637" w:rsidRDefault="006E06A2" w:rsidP="00641EE2">
            <w:pPr>
              <w:spacing w:after="160" w:line="259" w:lineRule="auto"/>
              <w:ind w:left="0" w:right="0" w:firstLine="0"/>
              <w:jc w:val="left"/>
              <w:rPr>
                <w:szCs w:val="20"/>
              </w:rPr>
            </w:pPr>
            <w:r w:rsidRPr="00896637">
              <w:rPr>
                <w:bCs/>
                <w:szCs w:val="20"/>
                <w:lang w:val="en-GB"/>
              </w:rPr>
              <w:t>22.60</w:t>
            </w:r>
          </w:p>
        </w:tc>
        <w:tc>
          <w:tcPr>
            <w:tcW w:w="1389" w:type="dxa"/>
          </w:tcPr>
          <w:p w14:paraId="70FD700A" w14:textId="77777777" w:rsidR="006E06A2" w:rsidRPr="00896637" w:rsidRDefault="006E06A2" w:rsidP="00641EE2">
            <w:pPr>
              <w:spacing w:after="160" w:line="259" w:lineRule="auto"/>
              <w:ind w:left="0" w:right="0" w:firstLine="0"/>
              <w:jc w:val="left"/>
              <w:rPr>
                <w:szCs w:val="20"/>
              </w:rPr>
            </w:pPr>
            <w:r w:rsidRPr="00896637">
              <w:rPr>
                <w:bCs/>
                <w:szCs w:val="20"/>
                <w:lang w:val="en-GB"/>
              </w:rPr>
              <w:t>277.98</w:t>
            </w:r>
          </w:p>
        </w:tc>
        <w:tc>
          <w:tcPr>
            <w:tcW w:w="1526" w:type="dxa"/>
          </w:tcPr>
          <w:p w14:paraId="45C035C1" w14:textId="77777777" w:rsidR="006E06A2" w:rsidRPr="00896637" w:rsidRDefault="006E06A2" w:rsidP="00641EE2">
            <w:pPr>
              <w:spacing w:after="160" w:line="259" w:lineRule="auto"/>
              <w:ind w:left="0" w:right="0" w:firstLine="0"/>
              <w:jc w:val="left"/>
              <w:rPr>
                <w:szCs w:val="20"/>
              </w:rPr>
            </w:pPr>
            <w:r w:rsidRPr="00896637">
              <w:rPr>
                <w:bCs/>
                <w:szCs w:val="20"/>
                <w:lang w:val="en-GB"/>
              </w:rPr>
              <w:t>4.07</w:t>
            </w:r>
          </w:p>
        </w:tc>
        <w:tc>
          <w:tcPr>
            <w:tcW w:w="933" w:type="dxa"/>
          </w:tcPr>
          <w:p w14:paraId="79DB0C58" w14:textId="77777777" w:rsidR="006E06A2" w:rsidRPr="00896637" w:rsidRDefault="006E06A2" w:rsidP="00641EE2">
            <w:pPr>
              <w:spacing w:after="160" w:line="259" w:lineRule="auto"/>
              <w:ind w:left="0" w:right="0" w:firstLine="0"/>
              <w:jc w:val="left"/>
              <w:rPr>
                <w:szCs w:val="20"/>
              </w:rPr>
            </w:pPr>
            <w:r w:rsidRPr="00896637">
              <w:rPr>
                <w:bCs/>
                <w:szCs w:val="20"/>
                <w:lang w:val="en-GB"/>
              </w:rPr>
              <w:t>4.13</w:t>
            </w:r>
          </w:p>
        </w:tc>
        <w:tc>
          <w:tcPr>
            <w:tcW w:w="1620" w:type="dxa"/>
          </w:tcPr>
          <w:p w14:paraId="63758700" w14:textId="77777777" w:rsidR="006E06A2" w:rsidRPr="00896637" w:rsidRDefault="006E06A2" w:rsidP="00641EE2">
            <w:pPr>
              <w:spacing w:after="160" w:line="259" w:lineRule="auto"/>
              <w:ind w:left="0" w:right="0" w:firstLine="0"/>
              <w:jc w:val="left"/>
              <w:rPr>
                <w:szCs w:val="20"/>
              </w:rPr>
            </w:pPr>
            <w:r w:rsidRPr="00896637">
              <w:rPr>
                <w:bCs/>
                <w:szCs w:val="20"/>
                <w:lang w:val="en-GB"/>
              </w:rPr>
              <w:t>4.00</w:t>
            </w:r>
          </w:p>
        </w:tc>
        <w:tc>
          <w:tcPr>
            <w:tcW w:w="1832" w:type="dxa"/>
          </w:tcPr>
          <w:p w14:paraId="2EC8EEBB" w14:textId="77777777" w:rsidR="006E06A2" w:rsidRPr="00896637" w:rsidRDefault="006E06A2" w:rsidP="00641EE2">
            <w:pPr>
              <w:spacing w:after="160" w:line="259" w:lineRule="auto"/>
              <w:ind w:left="0" w:right="0" w:firstLine="0"/>
              <w:jc w:val="left"/>
              <w:rPr>
                <w:szCs w:val="20"/>
              </w:rPr>
            </w:pPr>
            <w:r w:rsidRPr="00896637">
              <w:rPr>
                <w:bCs/>
                <w:szCs w:val="20"/>
                <w:lang w:val="en-GB"/>
              </w:rPr>
              <w:t>5.68</w:t>
            </w:r>
          </w:p>
        </w:tc>
      </w:tr>
      <w:tr w:rsidR="006E06A2" w:rsidRPr="00896637" w14:paraId="5F4C3F1A" w14:textId="77777777" w:rsidTr="00B00E53">
        <w:trPr>
          <w:trHeight w:val="185"/>
        </w:trPr>
        <w:tc>
          <w:tcPr>
            <w:tcW w:w="1790" w:type="dxa"/>
          </w:tcPr>
          <w:p w14:paraId="2E3A8E40"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T</w:t>
            </w:r>
            <w:r w:rsidRPr="00896637">
              <w:rPr>
                <w:szCs w:val="20"/>
                <w:vertAlign w:val="subscript"/>
                <w:lang w:val="en-GB"/>
              </w:rPr>
              <w:t>7</w:t>
            </w:r>
          </w:p>
        </w:tc>
        <w:tc>
          <w:tcPr>
            <w:tcW w:w="1413" w:type="dxa"/>
          </w:tcPr>
          <w:p w14:paraId="177006A4" w14:textId="77777777" w:rsidR="006E06A2" w:rsidRPr="00896637" w:rsidRDefault="006E06A2" w:rsidP="00641EE2">
            <w:pPr>
              <w:spacing w:after="160" w:line="259" w:lineRule="auto"/>
              <w:ind w:left="0" w:right="0" w:firstLine="0"/>
              <w:jc w:val="left"/>
              <w:rPr>
                <w:szCs w:val="20"/>
              </w:rPr>
            </w:pPr>
            <w:r w:rsidRPr="00896637">
              <w:rPr>
                <w:bCs/>
                <w:szCs w:val="20"/>
                <w:lang w:val="en-GB"/>
              </w:rPr>
              <w:t>67.38</w:t>
            </w:r>
          </w:p>
        </w:tc>
        <w:tc>
          <w:tcPr>
            <w:tcW w:w="1197" w:type="dxa"/>
          </w:tcPr>
          <w:p w14:paraId="3FBB8FCE" w14:textId="77777777" w:rsidR="006E06A2" w:rsidRPr="00896637" w:rsidRDefault="006E06A2" w:rsidP="00641EE2">
            <w:pPr>
              <w:spacing w:after="160" w:line="259" w:lineRule="auto"/>
              <w:ind w:left="0" w:right="0" w:firstLine="0"/>
              <w:jc w:val="left"/>
              <w:rPr>
                <w:szCs w:val="20"/>
              </w:rPr>
            </w:pPr>
            <w:r w:rsidRPr="00896637">
              <w:rPr>
                <w:bCs/>
                <w:szCs w:val="20"/>
                <w:lang w:val="en-GB"/>
              </w:rPr>
              <w:t>2.41</w:t>
            </w:r>
          </w:p>
        </w:tc>
        <w:tc>
          <w:tcPr>
            <w:tcW w:w="1377" w:type="dxa"/>
          </w:tcPr>
          <w:p w14:paraId="19889D97" w14:textId="77777777" w:rsidR="006E06A2" w:rsidRPr="00896637" w:rsidRDefault="006E06A2" w:rsidP="00641EE2">
            <w:pPr>
              <w:spacing w:after="160" w:line="259" w:lineRule="auto"/>
              <w:ind w:left="0" w:right="0" w:firstLine="0"/>
              <w:jc w:val="left"/>
              <w:rPr>
                <w:szCs w:val="20"/>
              </w:rPr>
            </w:pPr>
            <w:r w:rsidRPr="00896637">
              <w:rPr>
                <w:bCs/>
                <w:szCs w:val="20"/>
                <w:lang w:val="en-GB"/>
              </w:rPr>
              <w:t>24.10</w:t>
            </w:r>
          </w:p>
        </w:tc>
        <w:tc>
          <w:tcPr>
            <w:tcW w:w="1389" w:type="dxa"/>
          </w:tcPr>
          <w:p w14:paraId="291275D6" w14:textId="77777777" w:rsidR="006E06A2" w:rsidRPr="00896637" w:rsidRDefault="006E06A2" w:rsidP="00641EE2">
            <w:pPr>
              <w:spacing w:after="160" w:line="259" w:lineRule="auto"/>
              <w:ind w:left="0" w:right="0" w:firstLine="0"/>
              <w:jc w:val="left"/>
              <w:rPr>
                <w:szCs w:val="20"/>
              </w:rPr>
            </w:pPr>
            <w:r w:rsidRPr="00896637">
              <w:rPr>
                <w:bCs/>
                <w:szCs w:val="20"/>
                <w:lang w:val="en-GB"/>
              </w:rPr>
              <w:t>296.43</w:t>
            </w:r>
          </w:p>
        </w:tc>
        <w:tc>
          <w:tcPr>
            <w:tcW w:w="1526" w:type="dxa"/>
          </w:tcPr>
          <w:p w14:paraId="443F4D43" w14:textId="77777777" w:rsidR="006E06A2" w:rsidRPr="00896637" w:rsidRDefault="006E06A2" w:rsidP="00641EE2">
            <w:pPr>
              <w:spacing w:after="160" w:line="259" w:lineRule="auto"/>
              <w:ind w:left="0" w:right="0" w:firstLine="0"/>
              <w:jc w:val="left"/>
              <w:rPr>
                <w:szCs w:val="20"/>
              </w:rPr>
            </w:pPr>
            <w:r w:rsidRPr="00896637">
              <w:rPr>
                <w:bCs/>
                <w:szCs w:val="20"/>
                <w:lang w:val="en-GB"/>
              </w:rPr>
              <w:t>4.57</w:t>
            </w:r>
          </w:p>
        </w:tc>
        <w:tc>
          <w:tcPr>
            <w:tcW w:w="933" w:type="dxa"/>
          </w:tcPr>
          <w:p w14:paraId="4B83D7DC" w14:textId="77777777" w:rsidR="006E06A2" w:rsidRPr="00896637" w:rsidRDefault="006E06A2" w:rsidP="00641EE2">
            <w:pPr>
              <w:spacing w:after="160" w:line="259" w:lineRule="auto"/>
              <w:ind w:left="0" w:right="0" w:firstLine="0"/>
              <w:jc w:val="left"/>
              <w:rPr>
                <w:szCs w:val="20"/>
              </w:rPr>
            </w:pPr>
            <w:r w:rsidRPr="00896637">
              <w:rPr>
                <w:bCs/>
                <w:szCs w:val="20"/>
                <w:lang w:val="en-GB"/>
              </w:rPr>
              <w:t>4.15</w:t>
            </w:r>
          </w:p>
        </w:tc>
        <w:tc>
          <w:tcPr>
            <w:tcW w:w="1620" w:type="dxa"/>
          </w:tcPr>
          <w:p w14:paraId="1BFCE891" w14:textId="77777777" w:rsidR="006E06A2" w:rsidRPr="00896637" w:rsidRDefault="006E06A2" w:rsidP="00641EE2">
            <w:pPr>
              <w:spacing w:after="160" w:line="259" w:lineRule="auto"/>
              <w:ind w:left="0" w:right="0" w:firstLine="0"/>
              <w:jc w:val="left"/>
              <w:rPr>
                <w:szCs w:val="20"/>
              </w:rPr>
            </w:pPr>
            <w:r w:rsidRPr="00896637">
              <w:rPr>
                <w:bCs/>
                <w:szCs w:val="20"/>
                <w:lang w:val="en-GB"/>
              </w:rPr>
              <w:t>4.13</w:t>
            </w:r>
          </w:p>
        </w:tc>
        <w:tc>
          <w:tcPr>
            <w:tcW w:w="1832" w:type="dxa"/>
          </w:tcPr>
          <w:p w14:paraId="5072CDC1" w14:textId="77777777" w:rsidR="006E06A2" w:rsidRPr="00896637" w:rsidRDefault="006E06A2" w:rsidP="00641EE2">
            <w:pPr>
              <w:spacing w:after="160" w:line="259" w:lineRule="auto"/>
              <w:ind w:left="0" w:right="0" w:firstLine="0"/>
              <w:jc w:val="left"/>
              <w:rPr>
                <w:szCs w:val="20"/>
              </w:rPr>
            </w:pPr>
            <w:r w:rsidRPr="00896637">
              <w:rPr>
                <w:bCs/>
                <w:szCs w:val="20"/>
                <w:lang w:val="en-GB"/>
              </w:rPr>
              <w:t>5.71</w:t>
            </w:r>
          </w:p>
        </w:tc>
      </w:tr>
      <w:tr w:rsidR="006E06A2" w:rsidRPr="00896637" w14:paraId="6DF16AED" w14:textId="77777777" w:rsidTr="00B00E53">
        <w:trPr>
          <w:trHeight w:val="185"/>
        </w:trPr>
        <w:tc>
          <w:tcPr>
            <w:tcW w:w="1790" w:type="dxa"/>
          </w:tcPr>
          <w:p w14:paraId="0B1DA80F"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CD (0.05)</w:t>
            </w:r>
          </w:p>
        </w:tc>
        <w:tc>
          <w:tcPr>
            <w:tcW w:w="1413" w:type="dxa"/>
          </w:tcPr>
          <w:p w14:paraId="0BC4F23D" w14:textId="77777777" w:rsidR="006E06A2" w:rsidRPr="00896637" w:rsidRDefault="006E06A2" w:rsidP="00641EE2">
            <w:pPr>
              <w:spacing w:after="160" w:line="259" w:lineRule="auto"/>
              <w:ind w:left="0" w:right="0" w:firstLine="0"/>
              <w:jc w:val="left"/>
              <w:rPr>
                <w:szCs w:val="20"/>
              </w:rPr>
            </w:pPr>
            <w:r w:rsidRPr="00896637">
              <w:rPr>
                <w:bCs/>
                <w:szCs w:val="20"/>
                <w:lang w:val="en-GB"/>
              </w:rPr>
              <w:t>4.52</w:t>
            </w:r>
          </w:p>
        </w:tc>
        <w:tc>
          <w:tcPr>
            <w:tcW w:w="1197" w:type="dxa"/>
          </w:tcPr>
          <w:p w14:paraId="1D8DB6C6" w14:textId="77777777" w:rsidR="006E06A2" w:rsidRPr="00896637" w:rsidRDefault="006E06A2" w:rsidP="00641EE2">
            <w:pPr>
              <w:spacing w:after="160" w:line="259" w:lineRule="auto"/>
              <w:ind w:left="0" w:right="0" w:firstLine="0"/>
              <w:jc w:val="left"/>
              <w:rPr>
                <w:szCs w:val="20"/>
              </w:rPr>
            </w:pPr>
            <w:r w:rsidRPr="00896637">
              <w:rPr>
                <w:bCs/>
                <w:szCs w:val="20"/>
                <w:lang w:val="en-GB"/>
              </w:rPr>
              <w:t>0.74</w:t>
            </w:r>
          </w:p>
        </w:tc>
        <w:tc>
          <w:tcPr>
            <w:tcW w:w="1377" w:type="dxa"/>
          </w:tcPr>
          <w:p w14:paraId="60A98EA3" w14:textId="77777777" w:rsidR="006E06A2" w:rsidRPr="00896637" w:rsidRDefault="006E06A2" w:rsidP="00641EE2">
            <w:pPr>
              <w:spacing w:after="160" w:line="259" w:lineRule="auto"/>
              <w:ind w:left="0" w:right="0" w:firstLine="0"/>
              <w:jc w:val="left"/>
              <w:rPr>
                <w:szCs w:val="20"/>
              </w:rPr>
            </w:pPr>
            <w:r w:rsidRPr="00896637">
              <w:rPr>
                <w:bCs/>
                <w:szCs w:val="20"/>
                <w:lang w:val="en-GB"/>
              </w:rPr>
              <w:t>7.40</w:t>
            </w:r>
          </w:p>
        </w:tc>
        <w:tc>
          <w:tcPr>
            <w:tcW w:w="1389" w:type="dxa"/>
          </w:tcPr>
          <w:p w14:paraId="63D1F2B5" w14:textId="77777777" w:rsidR="006E06A2" w:rsidRPr="00896637" w:rsidRDefault="006E06A2" w:rsidP="00641EE2">
            <w:pPr>
              <w:spacing w:after="160" w:line="259" w:lineRule="auto"/>
              <w:ind w:left="0" w:right="0" w:firstLine="0"/>
              <w:jc w:val="left"/>
              <w:rPr>
                <w:szCs w:val="20"/>
              </w:rPr>
            </w:pPr>
            <w:r w:rsidRPr="00896637">
              <w:rPr>
                <w:bCs/>
                <w:szCs w:val="20"/>
                <w:lang w:val="en-GB"/>
              </w:rPr>
              <w:t>52.41</w:t>
            </w:r>
          </w:p>
        </w:tc>
        <w:tc>
          <w:tcPr>
            <w:tcW w:w="1526" w:type="dxa"/>
          </w:tcPr>
          <w:p w14:paraId="0858EE63" w14:textId="77777777" w:rsidR="006E06A2" w:rsidRPr="00896637" w:rsidRDefault="006E06A2" w:rsidP="00641EE2">
            <w:pPr>
              <w:spacing w:after="160" w:line="259" w:lineRule="auto"/>
              <w:ind w:left="0" w:right="0" w:firstLine="0"/>
              <w:jc w:val="left"/>
              <w:rPr>
                <w:szCs w:val="20"/>
              </w:rPr>
            </w:pPr>
            <w:r w:rsidRPr="00896637">
              <w:rPr>
                <w:bCs/>
                <w:szCs w:val="20"/>
                <w:lang w:val="en-GB"/>
              </w:rPr>
              <w:t>1.32</w:t>
            </w:r>
          </w:p>
        </w:tc>
        <w:tc>
          <w:tcPr>
            <w:tcW w:w="933" w:type="dxa"/>
          </w:tcPr>
          <w:p w14:paraId="56BDFD44" w14:textId="77777777" w:rsidR="006E06A2" w:rsidRPr="00896637" w:rsidRDefault="006E06A2" w:rsidP="00641EE2">
            <w:pPr>
              <w:spacing w:after="160" w:line="259" w:lineRule="auto"/>
              <w:ind w:left="0" w:right="0" w:firstLine="0"/>
              <w:jc w:val="left"/>
              <w:rPr>
                <w:szCs w:val="20"/>
              </w:rPr>
            </w:pPr>
            <w:r w:rsidRPr="00896637">
              <w:rPr>
                <w:bCs/>
                <w:szCs w:val="20"/>
                <w:lang w:val="en-GB"/>
              </w:rPr>
              <w:t>0.06</w:t>
            </w:r>
          </w:p>
        </w:tc>
        <w:tc>
          <w:tcPr>
            <w:tcW w:w="1620" w:type="dxa"/>
          </w:tcPr>
          <w:p w14:paraId="51AA0779" w14:textId="77777777" w:rsidR="006E06A2" w:rsidRPr="00896637" w:rsidRDefault="006E06A2" w:rsidP="00641EE2">
            <w:pPr>
              <w:spacing w:after="160" w:line="259" w:lineRule="auto"/>
              <w:ind w:left="0" w:right="0" w:firstLine="0"/>
              <w:jc w:val="left"/>
              <w:rPr>
                <w:szCs w:val="20"/>
              </w:rPr>
            </w:pPr>
            <w:r w:rsidRPr="00896637">
              <w:rPr>
                <w:bCs/>
                <w:szCs w:val="20"/>
                <w:lang w:val="en-GB"/>
              </w:rPr>
              <w:t>0.12</w:t>
            </w:r>
          </w:p>
        </w:tc>
        <w:tc>
          <w:tcPr>
            <w:tcW w:w="1832" w:type="dxa"/>
          </w:tcPr>
          <w:p w14:paraId="02ED8AC5" w14:textId="77777777" w:rsidR="006E06A2" w:rsidRPr="00896637" w:rsidRDefault="006E06A2" w:rsidP="00641EE2">
            <w:pPr>
              <w:spacing w:after="160" w:line="259" w:lineRule="auto"/>
              <w:ind w:left="0" w:right="0" w:firstLine="0"/>
              <w:jc w:val="left"/>
              <w:rPr>
                <w:szCs w:val="20"/>
              </w:rPr>
            </w:pPr>
            <w:r w:rsidRPr="00896637">
              <w:rPr>
                <w:bCs/>
                <w:szCs w:val="20"/>
                <w:lang w:val="en-GB"/>
              </w:rPr>
              <w:t>0.05</w:t>
            </w:r>
          </w:p>
        </w:tc>
      </w:tr>
      <w:tr w:rsidR="006E06A2" w:rsidRPr="00896637" w14:paraId="3171FC7A" w14:textId="77777777" w:rsidTr="00B00E53">
        <w:trPr>
          <w:trHeight w:val="185"/>
        </w:trPr>
        <w:tc>
          <w:tcPr>
            <w:tcW w:w="1790" w:type="dxa"/>
          </w:tcPr>
          <w:p w14:paraId="619FEB40" w14:textId="77777777" w:rsidR="006E06A2" w:rsidRPr="00896637" w:rsidRDefault="006E06A2" w:rsidP="00641EE2">
            <w:pPr>
              <w:spacing w:after="160" w:line="259" w:lineRule="auto"/>
              <w:ind w:left="0" w:right="0" w:firstLine="0"/>
              <w:jc w:val="left"/>
              <w:rPr>
                <w:szCs w:val="20"/>
                <w:lang w:val="en-GB"/>
              </w:rPr>
            </w:pPr>
            <w:r w:rsidRPr="00896637">
              <w:rPr>
                <w:szCs w:val="20"/>
                <w:lang w:val="en-GB"/>
              </w:rPr>
              <w:t>SE (±m)</w:t>
            </w:r>
          </w:p>
        </w:tc>
        <w:tc>
          <w:tcPr>
            <w:tcW w:w="1413" w:type="dxa"/>
          </w:tcPr>
          <w:p w14:paraId="4F10EF69" w14:textId="77777777" w:rsidR="006E06A2" w:rsidRPr="00896637" w:rsidRDefault="006E06A2" w:rsidP="00641EE2">
            <w:pPr>
              <w:spacing w:after="160" w:line="259" w:lineRule="auto"/>
              <w:ind w:left="0" w:right="0" w:firstLine="0"/>
              <w:jc w:val="left"/>
              <w:rPr>
                <w:szCs w:val="20"/>
              </w:rPr>
            </w:pPr>
            <w:r w:rsidRPr="00896637">
              <w:rPr>
                <w:bCs/>
                <w:szCs w:val="20"/>
                <w:lang w:val="en-GB"/>
              </w:rPr>
              <w:t>0.56</w:t>
            </w:r>
          </w:p>
        </w:tc>
        <w:tc>
          <w:tcPr>
            <w:tcW w:w="1197" w:type="dxa"/>
          </w:tcPr>
          <w:p w14:paraId="57BD5DF8" w14:textId="77777777" w:rsidR="006E06A2" w:rsidRPr="00896637" w:rsidRDefault="006E06A2" w:rsidP="00641EE2">
            <w:pPr>
              <w:spacing w:after="160" w:line="259" w:lineRule="auto"/>
              <w:ind w:left="0" w:right="0" w:firstLine="0"/>
              <w:jc w:val="left"/>
              <w:rPr>
                <w:szCs w:val="20"/>
              </w:rPr>
            </w:pPr>
            <w:r w:rsidRPr="00896637">
              <w:rPr>
                <w:bCs/>
                <w:szCs w:val="20"/>
                <w:lang w:val="en-GB"/>
              </w:rPr>
              <w:t>0.48</w:t>
            </w:r>
          </w:p>
        </w:tc>
        <w:tc>
          <w:tcPr>
            <w:tcW w:w="1377" w:type="dxa"/>
          </w:tcPr>
          <w:p w14:paraId="16CAD03C" w14:textId="77777777" w:rsidR="006E06A2" w:rsidRPr="00896637" w:rsidRDefault="006E06A2" w:rsidP="00641EE2">
            <w:pPr>
              <w:spacing w:after="160" w:line="259" w:lineRule="auto"/>
              <w:ind w:left="0" w:right="0" w:firstLine="0"/>
              <w:jc w:val="left"/>
              <w:rPr>
                <w:szCs w:val="20"/>
              </w:rPr>
            </w:pPr>
            <w:r w:rsidRPr="00896637">
              <w:rPr>
                <w:bCs/>
                <w:szCs w:val="20"/>
                <w:lang w:val="en-GB"/>
              </w:rPr>
              <w:t>4.80</w:t>
            </w:r>
          </w:p>
        </w:tc>
        <w:tc>
          <w:tcPr>
            <w:tcW w:w="1389" w:type="dxa"/>
          </w:tcPr>
          <w:p w14:paraId="7DA338CD" w14:textId="77777777" w:rsidR="006E06A2" w:rsidRPr="00896637" w:rsidRDefault="006E06A2" w:rsidP="00641EE2">
            <w:pPr>
              <w:spacing w:after="160" w:line="259" w:lineRule="auto"/>
              <w:ind w:left="0" w:right="0" w:firstLine="0"/>
              <w:jc w:val="left"/>
              <w:rPr>
                <w:szCs w:val="20"/>
              </w:rPr>
            </w:pPr>
            <w:r w:rsidRPr="00896637">
              <w:rPr>
                <w:bCs/>
                <w:szCs w:val="20"/>
                <w:lang w:val="en-GB"/>
              </w:rPr>
              <w:t>3.48</w:t>
            </w:r>
          </w:p>
        </w:tc>
        <w:tc>
          <w:tcPr>
            <w:tcW w:w="1526" w:type="dxa"/>
          </w:tcPr>
          <w:p w14:paraId="79C71AB6" w14:textId="77777777" w:rsidR="006E06A2" w:rsidRPr="00896637" w:rsidRDefault="006E06A2" w:rsidP="00641EE2">
            <w:pPr>
              <w:spacing w:after="160" w:line="259" w:lineRule="auto"/>
              <w:ind w:left="0" w:right="0" w:firstLine="0"/>
              <w:jc w:val="left"/>
              <w:rPr>
                <w:szCs w:val="20"/>
              </w:rPr>
            </w:pPr>
            <w:r w:rsidRPr="00896637">
              <w:rPr>
                <w:bCs/>
                <w:szCs w:val="20"/>
                <w:lang w:val="en-GB"/>
              </w:rPr>
              <w:t>0.31</w:t>
            </w:r>
          </w:p>
        </w:tc>
        <w:tc>
          <w:tcPr>
            <w:tcW w:w="933" w:type="dxa"/>
          </w:tcPr>
          <w:p w14:paraId="6658BD43" w14:textId="77777777" w:rsidR="006E06A2" w:rsidRPr="00896637" w:rsidRDefault="006E06A2" w:rsidP="00641EE2">
            <w:pPr>
              <w:spacing w:after="160" w:line="259" w:lineRule="auto"/>
              <w:ind w:left="0" w:right="0" w:firstLine="0"/>
              <w:jc w:val="left"/>
              <w:rPr>
                <w:szCs w:val="20"/>
              </w:rPr>
            </w:pPr>
            <w:r w:rsidRPr="00896637">
              <w:rPr>
                <w:bCs/>
                <w:szCs w:val="20"/>
                <w:lang w:val="en-GB"/>
              </w:rPr>
              <w:t>0.01</w:t>
            </w:r>
          </w:p>
        </w:tc>
        <w:tc>
          <w:tcPr>
            <w:tcW w:w="1620" w:type="dxa"/>
          </w:tcPr>
          <w:p w14:paraId="7561AAFF" w14:textId="77777777" w:rsidR="006E06A2" w:rsidRPr="00896637" w:rsidRDefault="006E06A2" w:rsidP="00641EE2">
            <w:pPr>
              <w:spacing w:after="160" w:line="259" w:lineRule="auto"/>
              <w:ind w:left="0" w:right="0" w:firstLine="0"/>
              <w:jc w:val="left"/>
              <w:rPr>
                <w:szCs w:val="20"/>
              </w:rPr>
            </w:pPr>
            <w:r w:rsidRPr="00896637">
              <w:rPr>
                <w:bCs/>
                <w:szCs w:val="20"/>
                <w:lang w:val="en-GB"/>
              </w:rPr>
              <w:t>0.60</w:t>
            </w:r>
          </w:p>
        </w:tc>
        <w:tc>
          <w:tcPr>
            <w:tcW w:w="1832" w:type="dxa"/>
          </w:tcPr>
          <w:p w14:paraId="3EE9FBE9" w14:textId="77777777" w:rsidR="006E06A2" w:rsidRPr="00896637" w:rsidRDefault="006E06A2" w:rsidP="00641EE2">
            <w:pPr>
              <w:spacing w:after="160" w:line="259" w:lineRule="auto"/>
              <w:ind w:left="0" w:right="0" w:firstLine="0"/>
              <w:jc w:val="left"/>
              <w:rPr>
                <w:szCs w:val="20"/>
              </w:rPr>
            </w:pPr>
            <w:r w:rsidRPr="00896637">
              <w:rPr>
                <w:bCs/>
                <w:szCs w:val="20"/>
                <w:lang w:val="en-GB"/>
              </w:rPr>
              <w:t>0.01</w:t>
            </w:r>
          </w:p>
        </w:tc>
      </w:tr>
    </w:tbl>
    <w:p w14:paraId="7CEF9E32" w14:textId="77777777" w:rsidR="00641EE2" w:rsidRPr="00896637" w:rsidRDefault="00641EE2" w:rsidP="00A65775">
      <w:pPr>
        <w:ind w:left="0" w:firstLine="0"/>
        <w:rPr>
          <w:sz w:val="22"/>
        </w:rPr>
      </w:pPr>
      <w:r w:rsidRPr="00896637">
        <w:rPr>
          <w:b/>
          <w:color w:val="000000" w:themeColor="text1"/>
          <w:szCs w:val="20"/>
        </w:rPr>
        <w:t xml:space="preserve">Table </w:t>
      </w:r>
      <w:r w:rsidRPr="00896637">
        <w:rPr>
          <w:b/>
          <w:iCs/>
          <w:color w:val="000000" w:themeColor="text1"/>
          <w:szCs w:val="20"/>
        </w:rPr>
        <w:t>2</w:t>
      </w:r>
      <w:r w:rsidRPr="00896637">
        <w:rPr>
          <w:b/>
          <w:color w:val="000000" w:themeColor="text1"/>
          <w:szCs w:val="20"/>
        </w:rPr>
        <w:t xml:space="preserve">: Effect of macro and micronutrients on yield and quality parameters of tomato cv. </w:t>
      </w:r>
      <w:proofErr w:type="spellStart"/>
      <w:r w:rsidRPr="00896637">
        <w:rPr>
          <w:b/>
          <w:color w:val="000000" w:themeColor="text1"/>
          <w:szCs w:val="20"/>
        </w:rPr>
        <w:t>Heemshikhar</w:t>
      </w:r>
      <w:proofErr w:type="spellEnd"/>
      <w:r w:rsidRPr="00896637">
        <w:rPr>
          <w:b/>
          <w:color w:val="000000" w:themeColor="text1"/>
          <w:szCs w:val="20"/>
        </w:rPr>
        <w:t xml:space="preserve"> under protected conditions.</w:t>
      </w:r>
      <w:r w:rsidRPr="00896637">
        <w:rPr>
          <w:b/>
          <w:color w:val="000000" w:themeColor="text1"/>
          <w:sz w:val="22"/>
        </w:rPr>
        <w:br/>
      </w:r>
    </w:p>
    <w:p w14:paraId="0F94E81E" w14:textId="77777777" w:rsidR="007F6591" w:rsidRDefault="001C51E5" w:rsidP="0033017C">
      <w:pPr>
        <w:spacing w:after="160" w:line="259" w:lineRule="auto"/>
        <w:ind w:left="0" w:right="0" w:firstLine="0"/>
        <w:jc w:val="left"/>
        <w:rPr>
          <w:rFonts w:ascii="Times New Roman" w:hAnsi="Times New Roman" w:cs="Times New Roman"/>
          <w:sz w:val="22"/>
        </w:rPr>
        <w:sectPr w:rsidR="007F6591" w:rsidSect="001C51E5">
          <w:pgSz w:w="15840" w:h="12240" w:orient="landscape"/>
          <w:pgMar w:top="1440" w:right="1440" w:bottom="1440" w:left="1440" w:header="720" w:footer="720" w:gutter="0"/>
          <w:cols w:space="720"/>
          <w:docGrid w:linePitch="360"/>
        </w:sectPr>
      </w:pPr>
      <w:r>
        <w:rPr>
          <w:rFonts w:ascii="Times New Roman" w:hAnsi="Times New Roman" w:cs="Times New Roman"/>
          <w:sz w:val="22"/>
        </w:rPr>
        <w:br w:type="page"/>
      </w:r>
    </w:p>
    <w:p w14:paraId="5E99756D" w14:textId="77777777" w:rsidR="001C51E5" w:rsidRDefault="00B00E53" w:rsidP="0033017C">
      <w:pPr>
        <w:spacing w:after="160" w:line="259" w:lineRule="auto"/>
        <w:ind w:left="0" w:right="0" w:firstLine="0"/>
        <w:jc w:val="left"/>
        <w:rPr>
          <w:rFonts w:ascii="Times New Roman" w:hAnsi="Times New Roman" w:cs="Times New Roman"/>
          <w:sz w:val="22"/>
        </w:rPr>
      </w:pPr>
      <w:r>
        <w:rPr>
          <w:noProof/>
          <w:lang w:val="en-US" w:eastAsia="en-US" w:bidi="pa-IN"/>
        </w:rPr>
        <w:lastRenderedPageBreak/>
        <w:drawing>
          <wp:inline distT="0" distB="0" distL="0" distR="0" wp14:anchorId="7BEF3E59" wp14:editId="2437E407">
            <wp:extent cx="3886200" cy="2331720"/>
            <wp:effectExtent l="0" t="0" r="0" b="11430"/>
            <wp:docPr id="1" name="Chart 1">
              <a:extLst xmlns:a="http://schemas.openxmlformats.org/drawingml/2006/main">
                <a:ext uri="{FF2B5EF4-FFF2-40B4-BE49-F238E27FC236}">
                  <a16:creationId xmlns:a16="http://schemas.microsoft.com/office/drawing/2014/main" id="{09D04C85-A96F-465F-AA60-A47E63684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3ACF15" w14:textId="77777777" w:rsidR="007F6591" w:rsidRPr="00896637" w:rsidRDefault="0033017C" w:rsidP="007F6591">
      <w:pPr>
        <w:spacing w:after="160" w:line="259" w:lineRule="auto"/>
        <w:ind w:left="144" w:right="0" w:firstLine="0"/>
        <w:jc w:val="left"/>
        <w:rPr>
          <w:b/>
          <w:color w:val="000000" w:themeColor="text1"/>
          <w:szCs w:val="20"/>
        </w:rPr>
      </w:pPr>
      <w:r w:rsidRPr="00896637">
        <w:rPr>
          <w:b/>
          <w:bCs/>
          <w:szCs w:val="20"/>
        </w:rPr>
        <w:t xml:space="preserve">Fig </w:t>
      </w:r>
      <w:proofErr w:type="gramStart"/>
      <w:r w:rsidRPr="00896637">
        <w:rPr>
          <w:b/>
          <w:bCs/>
          <w:szCs w:val="20"/>
        </w:rPr>
        <w:t>1:</w:t>
      </w:r>
      <w:r w:rsidR="007F6591" w:rsidRPr="00896637">
        <w:rPr>
          <w:b/>
          <w:color w:val="000000" w:themeColor="text1"/>
          <w:szCs w:val="20"/>
        </w:rPr>
        <w:t>Effect</w:t>
      </w:r>
      <w:proofErr w:type="gramEnd"/>
      <w:r w:rsidR="007F6591" w:rsidRPr="00896637">
        <w:rPr>
          <w:b/>
          <w:color w:val="000000" w:themeColor="text1"/>
          <w:szCs w:val="20"/>
        </w:rPr>
        <w:t xml:space="preserve"> of macro and micronutrients on growth parameters of tomato</w:t>
      </w:r>
    </w:p>
    <w:p w14:paraId="2B273577" w14:textId="77777777" w:rsidR="00B00E53" w:rsidRDefault="00B00E53"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0F33B896" wp14:editId="4E3D1660">
            <wp:extent cx="3886200" cy="2331720"/>
            <wp:effectExtent l="0" t="0" r="0" b="11430"/>
            <wp:docPr id="6" name="Chart 6">
              <a:extLst xmlns:a="http://schemas.openxmlformats.org/drawingml/2006/main">
                <a:ext uri="{FF2B5EF4-FFF2-40B4-BE49-F238E27FC236}">
                  <a16:creationId xmlns:a16="http://schemas.microsoft.com/office/drawing/2014/main" id="{6DB3AAA6-BB49-42E1-A9AC-6B922F76F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AF218" w14:textId="77777777" w:rsidR="007F6591" w:rsidRPr="00A450C2" w:rsidRDefault="007F6591" w:rsidP="007F6591">
      <w:pPr>
        <w:spacing w:after="160" w:line="259" w:lineRule="auto"/>
        <w:ind w:left="144" w:right="0" w:firstLine="0"/>
        <w:jc w:val="left"/>
        <w:rPr>
          <w:b/>
          <w:color w:val="000000" w:themeColor="text1"/>
          <w:szCs w:val="20"/>
        </w:rPr>
      </w:pPr>
      <w:r w:rsidRPr="00A450C2">
        <w:rPr>
          <w:b/>
          <w:bCs/>
          <w:szCs w:val="20"/>
        </w:rPr>
        <w:t xml:space="preserve">Fig </w:t>
      </w:r>
      <w:proofErr w:type="gramStart"/>
      <w:r w:rsidRPr="00A450C2">
        <w:rPr>
          <w:b/>
          <w:bCs/>
          <w:szCs w:val="20"/>
        </w:rPr>
        <w:t>2:</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 xml:space="preserve">fruiting </w:t>
      </w:r>
      <w:r w:rsidRPr="00A450C2">
        <w:rPr>
          <w:b/>
          <w:color w:val="000000" w:themeColor="text1"/>
          <w:szCs w:val="20"/>
        </w:rPr>
        <w:t>parameters of tomato</w:t>
      </w:r>
    </w:p>
    <w:p w14:paraId="626650B8" w14:textId="77777777" w:rsidR="007F6591" w:rsidRDefault="00C859A4" w:rsidP="007F6591">
      <w:pPr>
        <w:spacing w:after="160" w:line="259" w:lineRule="auto"/>
        <w:ind w:left="144"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18905072" wp14:editId="736AEAA5">
            <wp:extent cx="3886200" cy="2196935"/>
            <wp:effectExtent l="0" t="0" r="0" b="13335"/>
            <wp:docPr id="7" name="Chart 7">
              <a:extLst xmlns:a="http://schemas.openxmlformats.org/drawingml/2006/main">
                <a:ext uri="{FF2B5EF4-FFF2-40B4-BE49-F238E27FC236}">
                  <a16:creationId xmlns:a16="http://schemas.microsoft.com/office/drawing/2014/main" id="{40ABDFA5-3271-4BF9-9869-AD18BBD66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33800F" w14:textId="77777777" w:rsidR="00523C8C" w:rsidRPr="00A450C2" w:rsidRDefault="00523C8C" w:rsidP="00551034">
      <w:pPr>
        <w:spacing w:after="160" w:line="259" w:lineRule="auto"/>
        <w:ind w:left="0" w:right="0" w:firstLine="0"/>
        <w:jc w:val="left"/>
        <w:rPr>
          <w:b/>
          <w:color w:val="000000" w:themeColor="text1"/>
          <w:szCs w:val="20"/>
        </w:rPr>
      </w:pPr>
      <w:r w:rsidRPr="00A450C2">
        <w:rPr>
          <w:b/>
          <w:bCs/>
          <w:szCs w:val="20"/>
        </w:rPr>
        <w:t xml:space="preserve">Fig </w:t>
      </w:r>
      <w:proofErr w:type="gramStart"/>
      <w:r w:rsidRPr="00A450C2">
        <w:rPr>
          <w:b/>
          <w:bCs/>
          <w:szCs w:val="20"/>
        </w:rPr>
        <w:t>3:</w:t>
      </w:r>
      <w:r w:rsidRPr="00A450C2">
        <w:rPr>
          <w:b/>
          <w:color w:val="000000" w:themeColor="text1"/>
          <w:szCs w:val="20"/>
        </w:rPr>
        <w:t>Effect</w:t>
      </w:r>
      <w:proofErr w:type="gramEnd"/>
      <w:r w:rsidRPr="00A450C2">
        <w:rPr>
          <w:b/>
          <w:color w:val="000000" w:themeColor="text1"/>
          <w:szCs w:val="20"/>
        </w:rPr>
        <w:t xml:space="preserve"> of macro and micronutrients on </w:t>
      </w:r>
      <w:r w:rsidR="00C859A4" w:rsidRPr="00A450C2">
        <w:rPr>
          <w:b/>
          <w:color w:val="000000" w:themeColor="text1"/>
          <w:szCs w:val="20"/>
        </w:rPr>
        <w:t>yield</w:t>
      </w:r>
      <w:r w:rsidRPr="00A450C2">
        <w:rPr>
          <w:b/>
          <w:color w:val="000000" w:themeColor="text1"/>
          <w:szCs w:val="20"/>
        </w:rPr>
        <w:t xml:space="preserve"> parameters of tomato</w:t>
      </w:r>
    </w:p>
    <w:p w14:paraId="74C4716C" w14:textId="77777777" w:rsidR="00551034" w:rsidRDefault="00C859A4" w:rsidP="00551034">
      <w:pPr>
        <w:spacing w:after="160" w:line="259" w:lineRule="auto"/>
        <w:ind w:left="0" w:right="0" w:firstLine="0"/>
        <w:jc w:val="left"/>
        <w:rPr>
          <w:rFonts w:ascii="Times New Roman" w:hAnsi="Times New Roman" w:cs="Times New Roman"/>
          <w:b/>
          <w:color w:val="000000" w:themeColor="text1"/>
          <w:sz w:val="22"/>
        </w:rPr>
      </w:pPr>
      <w:r>
        <w:rPr>
          <w:noProof/>
          <w:lang w:val="en-US" w:eastAsia="en-US" w:bidi="pa-IN"/>
        </w:rPr>
        <w:drawing>
          <wp:inline distT="0" distB="0" distL="0" distR="0" wp14:anchorId="67B8B5D9" wp14:editId="3425340D">
            <wp:extent cx="3886200" cy="2331720"/>
            <wp:effectExtent l="0" t="0" r="0" b="11430"/>
            <wp:docPr id="8" name="Chart 8">
              <a:extLst xmlns:a="http://schemas.openxmlformats.org/drawingml/2006/main">
                <a:ext uri="{FF2B5EF4-FFF2-40B4-BE49-F238E27FC236}">
                  <a16:creationId xmlns:a16="http://schemas.microsoft.com/office/drawing/2014/main" id="{51C1BDF0-B951-4491-977F-109A9575E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40425B" w14:textId="77777777" w:rsidR="00551034" w:rsidRPr="00A450C2" w:rsidRDefault="00551034" w:rsidP="00551034">
      <w:pPr>
        <w:spacing w:after="160" w:line="259" w:lineRule="auto"/>
        <w:ind w:left="0" w:right="0" w:firstLine="0"/>
        <w:jc w:val="left"/>
        <w:rPr>
          <w:b/>
          <w:color w:val="000000" w:themeColor="text1"/>
          <w:szCs w:val="20"/>
        </w:rPr>
        <w:sectPr w:rsidR="00551034" w:rsidRPr="00A450C2" w:rsidSect="007F6591">
          <w:pgSz w:w="15840" w:h="12240" w:orient="landscape"/>
          <w:pgMar w:top="1440" w:right="1440" w:bottom="1440" w:left="1440" w:header="720" w:footer="720" w:gutter="0"/>
          <w:cols w:num="2" w:space="720"/>
          <w:docGrid w:linePitch="360"/>
        </w:sectPr>
      </w:pPr>
      <w:r w:rsidRPr="00A450C2">
        <w:rPr>
          <w:b/>
          <w:color w:val="000000" w:themeColor="text1"/>
          <w:szCs w:val="20"/>
        </w:rPr>
        <w:t xml:space="preserve">Fig 4:  Effect of macro and micronutrients on </w:t>
      </w:r>
      <w:r w:rsidR="00C859A4" w:rsidRPr="00A450C2">
        <w:rPr>
          <w:b/>
          <w:color w:val="000000" w:themeColor="text1"/>
          <w:szCs w:val="20"/>
        </w:rPr>
        <w:t>quality</w:t>
      </w:r>
      <w:r w:rsidRPr="00A450C2">
        <w:rPr>
          <w:b/>
          <w:color w:val="000000" w:themeColor="text1"/>
          <w:szCs w:val="20"/>
        </w:rPr>
        <w:t xml:space="preserve"> parameters of tomat</w:t>
      </w:r>
      <w:r w:rsidR="00C859A4" w:rsidRPr="00A450C2">
        <w:rPr>
          <w:b/>
          <w:color w:val="000000" w:themeColor="text1"/>
          <w:szCs w:val="20"/>
        </w:rPr>
        <w:t>o</w:t>
      </w:r>
    </w:p>
    <w:p w14:paraId="4F3E7C4B" w14:textId="77777777" w:rsidR="00A65775" w:rsidRDefault="00A65775" w:rsidP="00A65775">
      <w:pPr>
        <w:ind w:left="0" w:firstLine="0"/>
        <w:rPr>
          <w:rFonts w:ascii="Times New Roman" w:hAnsi="Times New Roman" w:cs="Times New Roman"/>
          <w:sz w:val="22"/>
        </w:rPr>
      </w:pPr>
    </w:p>
    <w:p w14:paraId="2B331DEB" w14:textId="77777777" w:rsidR="00A65775" w:rsidRPr="00E5036C" w:rsidRDefault="00A65775" w:rsidP="00A65775">
      <w:pPr>
        <w:spacing w:after="0" w:line="259" w:lineRule="auto"/>
        <w:ind w:left="0" w:right="0" w:firstLine="0"/>
        <w:jc w:val="left"/>
        <w:rPr>
          <w:rFonts w:ascii="Times New Roman" w:hAnsi="Times New Roman" w:cs="Times New Roman"/>
          <w:sz w:val="22"/>
        </w:rPr>
      </w:pPr>
    </w:p>
    <w:p w14:paraId="630F7D96" w14:textId="77777777" w:rsidR="00230226" w:rsidRPr="00C47C47" w:rsidRDefault="00230226" w:rsidP="00C47C47">
      <w:pPr>
        <w:ind w:left="0" w:firstLine="0"/>
        <w:jc w:val="left"/>
        <w:rPr>
          <w:b/>
          <w:sz w:val="22"/>
        </w:rPr>
      </w:pPr>
      <w:r w:rsidRPr="00C47C47">
        <w:rPr>
          <w:b/>
          <w:sz w:val="22"/>
        </w:rPr>
        <w:t>REFERENCE</w:t>
      </w:r>
      <w:r w:rsidR="00C47C47" w:rsidRPr="00C47C47">
        <w:rPr>
          <w:b/>
          <w:sz w:val="22"/>
        </w:rPr>
        <w:t>S</w:t>
      </w:r>
    </w:p>
    <w:p w14:paraId="6451CCB1" w14:textId="77777777" w:rsidR="00051783" w:rsidRDefault="00051783" w:rsidP="00230226">
      <w:pPr>
        <w:ind w:left="-993"/>
        <w:rPr>
          <w:rFonts w:ascii="Times New Roman" w:hAnsi="Times New Roman" w:cs="Times New Roman"/>
          <w:b/>
          <w:sz w:val="22"/>
        </w:rPr>
      </w:pPr>
    </w:p>
    <w:p w14:paraId="31267D0A" w14:textId="77777777" w:rsidR="00081009" w:rsidRPr="00354195"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354195">
        <w:rPr>
          <w:rFonts w:ascii="Helvetica" w:eastAsia="Times New Roman" w:hAnsi="Helvetica" w:cs="Helvetica"/>
          <w:bCs/>
          <w:noProof/>
          <w:color w:val="auto"/>
          <w:szCs w:val="20"/>
          <w:lang w:val="en-US"/>
        </w:rPr>
        <w:t xml:space="preserve">Akand, M. H., Khairul Mazed, H. E. M., Bhagat, S. M., Moonmoon, J. F., &amp; Moniruzzaman, M. (2016). Growth and yield of tomato as influenced by potassium and gibberellic acid. </w:t>
      </w:r>
      <w:r w:rsidRPr="00354195">
        <w:rPr>
          <w:rFonts w:ascii="Helvetica" w:eastAsia="Times New Roman" w:hAnsi="Helvetica" w:cs="Helvetica"/>
          <w:bCs/>
          <w:i/>
          <w:iCs/>
          <w:noProof/>
          <w:color w:val="auto"/>
          <w:szCs w:val="20"/>
          <w:lang w:val="en-US"/>
        </w:rPr>
        <w:t>Bulletin of the Institute of Tropical Agriculture, Kyushu University, 39</w:t>
      </w:r>
      <w:r w:rsidRPr="00354195">
        <w:rPr>
          <w:rFonts w:ascii="Helvetica" w:eastAsia="Times New Roman" w:hAnsi="Helvetica" w:cs="Helvetica"/>
          <w:bCs/>
          <w:noProof/>
          <w:color w:val="auto"/>
          <w:szCs w:val="20"/>
          <w:lang w:val="en-US"/>
        </w:rPr>
        <w:t>, 83–94.</w:t>
      </w:r>
    </w:p>
    <w:p w14:paraId="2C97C133"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Ali, M. A., Raza, H., Khan, M. A., &amp; Hussain, M. (2004). Effect of different periods of ambient storage on chemical composition of apple fruit. </w:t>
      </w:r>
      <w:r w:rsidRPr="00081009">
        <w:rPr>
          <w:rFonts w:ascii="Helvetica" w:eastAsia="Times New Roman" w:hAnsi="Helvetica" w:cs="Helvetica"/>
          <w:bCs/>
          <w:i/>
          <w:iCs/>
          <w:noProof/>
          <w:color w:val="auto"/>
          <w:szCs w:val="20"/>
          <w:lang w:val="en-US"/>
        </w:rPr>
        <w:t>International Journal of Agriculture and Biology, 6</w:t>
      </w:r>
      <w:r w:rsidRPr="00081009">
        <w:rPr>
          <w:rFonts w:ascii="Helvetica" w:eastAsia="Times New Roman" w:hAnsi="Helvetica" w:cs="Helvetica"/>
          <w:bCs/>
          <w:noProof/>
          <w:color w:val="auto"/>
          <w:szCs w:val="20"/>
          <w:lang w:val="en-US"/>
        </w:rPr>
        <w:t>(2), 568–571.</w:t>
      </w:r>
    </w:p>
    <w:p w14:paraId="54DB8FD4"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Ali, W., Jilani, M. S., Nisar Naeem, N. N., Kashif Waseem, K. W., Jehanzeb Khan, J. K., Ahmad, M. J., &amp; Ghazanfarullah. (2012). Evaluation of different hybrids of tomato under the climatic conditions of Peshawar. </w:t>
      </w:r>
      <w:r w:rsidRPr="00081009">
        <w:rPr>
          <w:rFonts w:ascii="Helvetica" w:eastAsia="Times New Roman" w:hAnsi="Helvetica" w:cs="Helvetica"/>
          <w:bCs/>
          <w:i/>
          <w:iCs/>
          <w:noProof/>
          <w:color w:val="auto"/>
          <w:szCs w:val="20"/>
          <w:lang w:val="en-US"/>
        </w:rPr>
        <w:t>Sarhad Journal of Agriculture, 28</w:t>
      </w:r>
      <w:r w:rsidRPr="00081009">
        <w:rPr>
          <w:rFonts w:ascii="Helvetica" w:eastAsia="Times New Roman" w:hAnsi="Helvetica" w:cs="Helvetica"/>
          <w:bCs/>
          <w:noProof/>
          <w:color w:val="auto"/>
          <w:szCs w:val="20"/>
          <w:lang w:val="en-US"/>
        </w:rPr>
        <w:t>(2), 207–212.</w:t>
      </w:r>
    </w:p>
    <w:p w14:paraId="06298AB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Anthon, G. E., LeStrange, M., &amp; Barrett, D. M. (2011). Changes in pH, acids, sugars and other quality parameters during extended vine holding of ripe processing tomatoes. </w:t>
      </w:r>
      <w:r w:rsidRPr="00081009">
        <w:rPr>
          <w:rFonts w:ascii="Helvetica" w:eastAsia="Times New Roman" w:hAnsi="Helvetica" w:cs="Helvetica"/>
          <w:bCs/>
          <w:i/>
          <w:iCs/>
          <w:noProof/>
          <w:color w:val="auto"/>
          <w:szCs w:val="20"/>
          <w:lang w:val="en-US"/>
        </w:rPr>
        <w:t>Journal of the Science of Food and Agriculture, 91</w:t>
      </w:r>
      <w:r w:rsidRPr="00081009">
        <w:rPr>
          <w:rFonts w:ascii="Helvetica" w:eastAsia="Times New Roman" w:hAnsi="Helvetica" w:cs="Helvetica"/>
          <w:bCs/>
          <w:noProof/>
          <w:color w:val="auto"/>
          <w:szCs w:val="20"/>
          <w:lang w:val="en-US"/>
        </w:rPr>
        <w:t xml:space="preserve">(7), 1175–1181. </w:t>
      </w:r>
      <w:hyperlink r:id="rId18" w:tgtFrame="_new" w:history="1">
        <w:r w:rsidRPr="00081009">
          <w:rPr>
            <w:rStyle w:val="Hyperlink"/>
            <w:rFonts w:ascii="Helvetica" w:eastAsia="Times New Roman" w:hAnsi="Helvetica" w:cs="Helvetica"/>
            <w:bCs/>
            <w:noProof/>
            <w:szCs w:val="20"/>
            <w:lang w:val="en-US"/>
          </w:rPr>
          <w:t>https://doi.org/10.1002/jsfa.4312</w:t>
        </w:r>
      </w:hyperlink>
    </w:p>
    <w:p w14:paraId="02BC3C8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Aske, V., Jain, P. K., Lal, N., &amp; Shiurkar, G. (2017). Effect of micronutrients on yield, quality, and storability of onion cv. Bhima Super. </w:t>
      </w:r>
      <w:r w:rsidRPr="00081009">
        <w:rPr>
          <w:rFonts w:ascii="Helvetica" w:eastAsia="Times New Roman" w:hAnsi="Helvetica" w:cs="Helvetica"/>
          <w:bCs/>
          <w:i/>
          <w:iCs/>
          <w:noProof/>
          <w:color w:val="auto"/>
          <w:szCs w:val="20"/>
          <w:lang w:val="en-US"/>
        </w:rPr>
        <w:t>Trends in Biosciences, 10</w:t>
      </w:r>
      <w:r w:rsidRPr="00081009">
        <w:rPr>
          <w:rFonts w:ascii="Helvetica" w:eastAsia="Times New Roman" w:hAnsi="Helvetica" w:cs="Helvetica"/>
          <w:bCs/>
          <w:noProof/>
          <w:color w:val="auto"/>
          <w:szCs w:val="20"/>
          <w:lang w:val="en-US"/>
        </w:rPr>
        <w:t>(6), 1354–1358.</w:t>
      </w:r>
    </w:p>
    <w:p w14:paraId="0A6A7537"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Biswas, M., Sarkar, D. R., Asif, M. I., Sikder, R. K., Mehraj, H., &amp; Uddin, A. F. M. J. (2015). Effect of nitrogen levels on morphological and yield response of BARI tomato-9. </w:t>
      </w:r>
      <w:r w:rsidRPr="00081009">
        <w:rPr>
          <w:rFonts w:ascii="Helvetica" w:eastAsia="Times New Roman" w:hAnsi="Helvetica" w:cs="Helvetica"/>
          <w:bCs/>
          <w:i/>
          <w:iCs/>
          <w:noProof/>
          <w:color w:val="auto"/>
          <w:szCs w:val="20"/>
          <w:lang w:val="en-US"/>
        </w:rPr>
        <w:t>Journal of Science, Technology and Environment Informatics, 1</w:t>
      </w:r>
      <w:r w:rsidRPr="00081009">
        <w:rPr>
          <w:rFonts w:ascii="Helvetica" w:eastAsia="Times New Roman" w:hAnsi="Helvetica" w:cs="Helvetica"/>
          <w:bCs/>
          <w:noProof/>
          <w:color w:val="auto"/>
          <w:szCs w:val="20"/>
          <w:lang w:val="en-US"/>
        </w:rPr>
        <w:t>(2), 68–74.</w:t>
      </w:r>
    </w:p>
    <w:p w14:paraId="311F699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Chatterjee, R., Choudhuri, P., Laskar, N., &amp; Pundibari, C. B. (2013). Influence of nutrient management practices for minimizing whitefly (</w:t>
      </w:r>
      <w:r w:rsidRPr="00081009">
        <w:rPr>
          <w:rFonts w:ascii="Helvetica" w:eastAsia="Times New Roman" w:hAnsi="Helvetica" w:cs="Helvetica"/>
          <w:bCs/>
          <w:i/>
          <w:iCs/>
          <w:noProof/>
          <w:color w:val="auto"/>
          <w:szCs w:val="20"/>
          <w:lang w:val="en-US"/>
        </w:rPr>
        <w:t>Bemisia tabaci</w:t>
      </w:r>
      <w:r w:rsidRPr="00081009">
        <w:rPr>
          <w:rFonts w:ascii="Helvetica" w:eastAsia="Times New Roman" w:hAnsi="Helvetica" w:cs="Helvetica"/>
          <w:bCs/>
          <w:noProof/>
          <w:color w:val="auto"/>
          <w:szCs w:val="20"/>
          <w:lang w:val="en-US"/>
        </w:rPr>
        <w:t xml:space="preserve"> Genn.) population in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w:t>
      </w:r>
      <w:r w:rsidRPr="00081009">
        <w:rPr>
          <w:rFonts w:ascii="Helvetica" w:eastAsia="Times New Roman" w:hAnsi="Helvetica" w:cs="Helvetica"/>
          <w:bCs/>
          <w:i/>
          <w:iCs/>
          <w:noProof/>
          <w:color w:val="auto"/>
          <w:szCs w:val="20"/>
          <w:lang w:val="en-US"/>
        </w:rPr>
        <w:t>International Journal of Science, Environment and Technology, 2</w:t>
      </w:r>
      <w:r w:rsidRPr="00081009">
        <w:rPr>
          <w:rFonts w:ascii="Helvetica" w:eastAsia="Times New Roman" w:hAnsi="Helvetica" w:cs="Helvetica"/>
          <w:bCs/>
          <w:noProof/>
          <w:color w:val="auto"/>
          <w:szCs w:val="20"/>
          <w:lang w:val="en-US"/>
        </w:rPr>
        <w:t>(5), 956–962.</w:t>
      </w:r>
    </w:p>
    <w:p w14:paraId="1D23AA6F"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Department of Agriculture and Farmers Welfare. (2025). </w:t>
      </w:r>
      <w:r w:rsidRPr="00081009">
        <w:rPr>
          <w:rFonts w:ascii="Helvetica" w:eastAsia="Times New Roman" w:hAnsi="Helvetica" w:cs="Helvetica"/>
          <w:bCs/>
          <w:i/>
          <w:iCs/>
          <w:noProof/>
          <w:color w:val="auto"/>
          <w:szCs w:val="20"/>
          <w:lang w:val="en-US"/>
        </w:rPr>
        <w:t>Area and production statistics.</w:t>
      </w:r>
      <w:r w:rsidRPr="00081009">
        <w:rPr>
          <w:rFonts w:ascii="Helvetica" w:eastAsia="Times New Roman" w:hAnsi="Helvetica" w:cs="Helvetica"/>
          <w:bCs/>
          <w:noProof/>
          <w:color w:val="auto"/>
          <w:szCs w:val="20"/>
          <w:lang w:val="en-US"/>
        </w:rPr>
        <w:t xml:space="preserve"> Ministry of Agriculture and Farmers Welfare, New Delhi, India. </w:t>
      </w:r>
      <w:hyperlink r:id="rId19" w:tgtFrame="_new" w:history="1">
        <w:r w:rsidRPr="00081009">
          <w:rPr>
            <w:rStyle w:val="Hyperlink"/>
            <w:rFonts w:ascii="Helvetica" w:eastAsia="Times New Roman" w:hAnsi="Helvetica" w:cs="Helvetica"/>
            <w:bCs/>
            <w:noProof/>
            <w:szCs w:val="20"/>
            <w:lang w:val="en-US"/>
          </w:rPr>
          <w:t>https://agriwelfare.gov.in/en/StatHortEst</w:t>
        </w:r>
      </w:hyperlink>
    </w:p>
    <w:p w14:paraId="7C4E18F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Ejaz, M., Rehman, S. U., Waqas, R., Manan, A., Imran, M., &amp; Bukhari, M. A. (2011). Combined efficacy of macro-nutrients and micro-nutrients as a foliar application on growth and yield of tomato grown by vegetable forcing. </w:t>
      </w:r>
      <w:r w:rsidRPr="00081009">
        <w:rPr>
          <w:rFonts w:ascii="Helvetica" w:eastAsia="Times New Roman" w:hAnsi="Helvetica" w:cs="Helvetica"/>
          <w:bCs/>
          <w:i/>
          <w:iCs/>
          <w:noProof/>
          <w:color w:val="auto"/>
          <w:szCs w:val="20"/>
          <w:lang w:val="en-US"/>
        </w:rPr>
        <w:t>International Journal for Agro Veterinary and Medical Sciences, 5</w:t>
      </w:r>
      <w:r w:rsidRPr="00081009">
        <w:rPr>
          <w:rFonts w:ascii="Helvetica" w:eastAsia="Times New Roman" w:hAnsi="Helvetica" w:cs="Helvetica"/>
          <w:bCs/>
          <w:noProof/>
          <w:color w:val="auto"/>
          <w:szCs w:val="20"/>
          <w:lang w:val="en-US"/>
        </w:rPr>
        <w:t>(3), 327–335.</w:t>
      </w:r>
    </w:p>
    <w:p w14:paraId="5B207323"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Fandi, M., Muhtaseb, J., &amp; Hussein, M. (2010). Effect of N, P, K concentrations on yield and fruit quality of tomato (</w:t>
      </w:r>
      <w:r w:rsidRPr="00081009">
        <w:rPr>
          <w:rFonts w:ascii="Helvetica" w:eastAsia="Times New Roman" w:hAnsi="Helvetica" w:cs="Helvetica"/>
          <w:bCs/>
          <w:i/>
          <w:iCs/>
          <w:noProof/>
          <w:color w:val="auto"/>
          <w:szCs w:val="20"/>
          <w:lang w:val="en-US"/>
        </w:rPr>
        <w:t>Solanum lycopersicum</w:t>
      </w:r>
      <w:r w:rsidRPr="00081009">
        <w:rPr>
          <w:rFonts w:ascii="Helvetica" w:eastAsia="Times New Roman" w:hAnsi="Helvetica" w:cs="Helvetica"/>
          <w:bCs/>
          <w:noProof/>
          <w:color w:val="auto"/>
          <w:szCs w:val="20"/>
          <w:lang w:val="en-US"/>
        </w:rPr>
        <w:t xml:space="preserve"> L.) in tuff culture. </w:t>
      </w:r>
      <w:r w:rsidRPr="00081009">
        <w:rPr>
          <w:rFonts w:ascii="Helvetica" w:eastAsia="Times New Roman" w:hAnsi="Helvetica" w:cs="Helvetica"/>
          <w:bCs/>
          <w:i/>
          <w:iCs/>
          <w:noProof/>
          <w:color w:val="auto"/>
          <w:szCs w:val="20"/>
          <w:lang w:val="en-US"/>
        </w:rPr>
        <w:t>Journal of Central European Agriculture, 11</w:t>
      </w:r>
      <w:r w:rsidRPr="00081009">
        <w:rPr>
          <w:rFonts w:ascii="Helvetica" w:eastAsia="Times New Roman" w:hAnsi="Helvetica" w:cs="Helvetica"/>
          <w:bCs/>
          <w:noProof/>
          <w:color w:val="auto"/>
          <w:szCs w:val="20"/>
          <w:lang w:val="en-US"/>
        </w:rPr>
        <w:t>(2), 179–184.</w:t>
      </w:r>
    </w:p>
    <w:p w14:paraId="06EDFF2D"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Food and Agriculture Organization. (2023). </w:t>
      </w:r>
      <w:r w:rsidRPr="00081009">
        <w:rPr>
          <w:rFonts w:ascii="Helvetica" w:eastAsia="Times New Roman" w:hAnsi="Helvetica" w:cs="Helvetica"/>
          <w:bCs/>
          <w:i/>
          <w:iCs/>
          <w:noProof/>
          <w:color w:val="auto"/>
          <w:szCs w:val="20"/>
          <w:lang w:val="en-US"/>
        </w:rPr>
        <w:t>Food and Agriculture Organization statistics.</w:t>
      </w:r>
      <w:r w:rsidRPr="00081009">
        <w:rPr>
          <w:rFonts w:ascii="Helvetica" w:eastAsia="Times New Roman" w:hAnsi="Helvetica" w:cs="Helvetica"/>
          <w:bCs/>
          <w:noProof/>
          <w:color w:val="auto"/>
          <w:szCs w:val="20"/>
          <w:lang w:val="en-US"/>
        </w:rPr>
        <w:t xml:space="preserve"> Food and Agriculture Organization of the United Nations. </w:t>
      </w:r>
      <w:hyperlink r:id="rId20" w:tgtFrame="_new" w:history="1">
        <w:r w:rsidRPr="00081009">
          <w:rPr>
            <w:rStyle w:val="Hyperlink"/>
            <w:rFonts w:ascii="Helvetica" w:eastAsia="Times New Roman" w:hAnsi="Helvetica" w:cs="Helvetica"/>
            <w:bCs/>
            <w:noProof/>
            <w:szCs w:val="20"/>
            <w:lang w:val="en-US"/>
          </w:rPr>
          <w:t>https://www.fao.org/faostat/en</w:t>
        </w:r>
      </w:hyperlink>
    </w:p>
    <w:p w14:paraId="736325AE"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lastRenderedPageBreak/>
        <w:t>Gulati, I. J., Ajeet Singh, A. S., Sharma, S. S., &amp; Prasad, M. P. (2013). Studies on NPK drip-fertigation with organic manures for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under arid condition. </w:t>
      </w:r>
      <w:r w:rsidRPr="00081009">
        <w:rPr>
          <w:rFonts w:ascii="Helvetica" w:eastAsia="Times New Roman" w:hAnsi="Helvetica" w:cs="Helvetica"/>
          <w:bCs/>
          <w:i/>
          <w:iCs/>
          <w:noProof/>
          <w:color w:val="auto"/>
          <w:szCs w:val="20"/>
          <w:lang w:val="en-US"/>
        </w:rPr>
        <w:t>Annals of Agricultural-Biological Research, 18</w:t>
      </w:r>
      <w:r w:rsidRPr="00081009">
        <w:rPr>
          <w:rFonts w:ascii="Helvetica" w:eastAsia="Times New Roman" w:hAnsi="Helvetica" w:cs="Helvetica"/>
          <w:bCs/>
          <w:noProof/>
          <w:color w:val="auto"/>
          <w:szCs w:val="20"/>
          <w:lang w:val="en-US"/>
        </w:rPr>
        <w:t>(2), 182–185.</w:t>
      </w:r>
    </w:p>
    <w:p w14:paraId="3DA9773A"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 xml:space="preserve">Haleema, B., Rab, A., &amp; Hussain, S. A. (2018). Effect of calcium, boron and zinc foliar application on growth and fruit production of tomato. </w:t>
      </w:r>
      <w:r w:rsidRPr="00081009">
        <w:rPr>
          <w:rFonts w:ascii="Helvetica" w:eastAsia="Times New Roman" w:hAnsi="Helvetica" w:cs="Helvetica"/>
          <w:bCs/>
          <w:i/>
          <w:iCs/>
          <w:noProof/>
          <w:color w:val="auto"/>
          <w:szCs w:val="20"/>
          <w:lang w:val="en-US"/>
        </w:rPr>
        <w:t>Sarhad Journal of Agriculture, 34</w:t>
      </w:r>
      <w:r w:rsidRPr="00081009">
        <w:rPr>
          <w:rFonts w:ascii="Helvetica" w:eastAsia="Times New Roman" w:hAnsi="Helvetica" w:cs="Helvetica"/>
          <w:bCs/>
          <w:noProof/>
          <w:color w:val="auto"/>
          <w:szCs w:val="20"/>
          <w:lang w:val="en-US"/>
        </w:rPr>
        <w:t>(1), 19–30.</w:t>
      </w:r>
    </w:p>
    <w:p w14:paraId="294FBF05"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Harris, &amp; Mathuma. (2015). Effect of foliar application of boron and zinc on growth and yield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Mill.). </w:t>
      </w:r>
      <w:r w:rsidRPr="00081009">
        <w:rPr>
          <w:rFonts w:ascii="Helvetica" w:eastAsia="Times New Roman" w:hAnsi="Helvetica" w:cs="Helvetica"/>
          <w:bCs/>
          <w:i/>
          <w:iCs/>
          <w:noProof/>
          <w:color w:val="auto"/>
          <w:szCs w:val="20"/>
          <w:lang w:val="en-US"/>
        </w:rPr>
        <w:t>Asian Journal of Pharmaceutical Science and Technology, 5</w:t>
      </w:r>
      <w:r w:rsidRPr="00081009">
        <w:rPr>
          <w:rFonts w:ascii="Helvetica" w:eastAsia="Times New Roman" w:hAnsi="Helvetica" w:cs="Helvetica"/>
          <w:bCs/>
          <w:noProof/>
          <w:color w:val="auto"/>
          <w:szCs w:val="20"/>
          <w:lang w:val="en-US"/>
        </w:rPr>
        <w:t>(2), 74–78.</w:t>
      </w:r>
    </w:p>
    <w:p w14:paraId="735FD936" w14:textId="77777777" w:rsidR="00081009" w:rsidRPr="00081009"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Iguvenc, I., &amp; Badem, H. (2002). Effect of foliar application of different sources and levels of nitrogen on growth and yield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w:t>
      </w:r>
      <w:r w:rsidRPr="00081009">
        <w:rPr>
          <w:rFonts w:ascii="Helvetica" w:eastAsia="Times New Roman" w:hAnsi="Helvetica" w:cs="Helvetica"/>
          <w:bCs/>
          <w:i/>
          <w:iCs/>
          <w:noProof/>
          <w:color w:val="auto"/>
          <w:szCs w:val="20"/>
          <w:lang w:val="en-US"/>
        </w:rPr>
        <w:t>Indian Journal of Agricultural Sciences, 72</w:t>
      </w:r>
      <w:r w:rsidRPr="00081009">
        <w:rPr>
          <w:rFonts w:ascii="Helvetica" w:eastAsia="Times New Roman" w:hAnsi="Helvetica" w:cs="Helvetica"/>
          <w:bCs/>
          <w:noProof/>
          <w:color w:val="auto"/>
          <w:szCs w:val="20"/>
          <w:lang w:val="en-US"/>
        </w:rPr>
        <w:t>(2), 104–105.</w:t>
      </w:r>
    </w:p>
    <w:p w14:paraId="3F1CE7E0" w14:textId="77777777" w:rsidR="001F2042" w:rsidRPr="00354195" w:rsidRDefault="00081009"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081009">
        <w:rPr>
          <w:rFonts w:ascii="Helvetica" w:eastAsia="Times New Roman" w:hAnsi="Helvetica" w:cs="Helvetica"/>
          <w:bCs/>
          <w:noProof/>
          <w:color w:val="auto"/>
          <w:szCs w:val="20"/>
          <w:lang w:val="en-US"/>
        </w:rPr>
        <w:t>Jyolsna, V. K., &amp; Mathew, U. (2008). Boron nutrition of tomato (</w:t>
      </w:r>
      <w:r w:rsidRPr="00081009">
        <w:rPr>
          <w:rFonts w:ascii="Helvetica" w:eastAsia="Times New Roman" w:hAnsi="Helvetica" w:cs="Helvetica"/>
          <w:bCs/>
          <w:i/>
          <w:iCs/>
          <w:noProof/>
          <w:color w:val="auto"/>
          <w:szCs w:val="20"/>
          <w:lang w:val="en-US"/>
        </w:rPr>
        <w:t>Lycopersicon esculentum</w:t>
      </w:r>
      <w:r w:rsidRPr="00081009">
        <w:rPr>
          <w:rFonts w:ascii="Helvetica" w:eastAsia="Times New Roman" w:hAnsi="Helvetica" w:cs="Helvetica"/>
          <w:bCs/>
          <w:noProof/>
          <w:color w:val="auto"/>
          <w:szCs w:val="20"/>
          <w:lang w:val="en-US"/>
        </w:rPr>
        <w:t xml:space="preserve"> L.) grown in the laterite soils of southern Kerala. </w:t>
      </w:r>
      <w:r w:rsidRPr="00081009">
        <w:rPr>
          <w:rFonts w:ascii="Helvetica" w:eastAsia="Times New Roman" w:hAnsi="Helvetica" w:cs="Helvetica"/>
          <w:bCs/>
          <w:i/>
          <w:iCs/>
          <w:noProof/>
          <w:color w:val="auto"/>
          <w:szCs w:val="20"/>
          <w:lang w:val="en-US"/>
        </w:rPr>
        <w:t>Journal of Tropical Agriculture, 46</w:t>
      </w:r>
      <w:r w:rsidRPr="00081009">
        <w:rPr>
          <w:rFonts w:ascii="Helvetica" w:eastAsia="Times New Roman" w:hAnsi="Helvetica" w:cs="Helvetica"/>
          <w:bCs/>
          <w:noProof/>
          <w:color w:val="auto"/>
          <w:szCs w:val="20"/>
          <w:lang w:val="en-US"/>
        </w:rPr>
        <w:t>(1–2), 73–75.</w:t>
      </w:r>
    </w:p>
    <w:p w14:paraId="52F84E92"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Karthick, R., Rajalingam, G. V., Praneetha, S., Sujatha, K. B., &amp; </w:t>
      </w:r>
      <w:proofErr w:type="spellStart"/>
      <w:r w:rsidRPr="001F2042">
        <w:rPr>
          <w:rFonts w:ascii="Helvetica" w:eastAsia="Times New Roman" w:hAnsi="Helvetica" w:cs="Helvetica"/>
          <w:color w:val="auto"/>
          <w:szCs w:val="20"/>
          <w:lang w:val="en-US" w:eastAsia="en-US"/>
        </w:rPr>
        <w:t>Armungam</w:t>
      </w:r>
      <w:proofErr w:type="spellEnd"/>
      <w:r w:rsidRPr="001F2042">
        <w:rPr>
          <w:rFonts w:ascii="Helvetica" w:eastAsia="Times New Roman" w:hAnsi="Helvetica" w:cs="Helvetica"/>
          <w:color w:val="auto"/>
          <w:szCs w:val="20"/>
          <w:lang w:val="en-US" w:eastAsia="en-US"/>
        </w:rPr>
        <w:t>, T. (2018). Effect of micronutrients on growth, flowering and yield of bitter gourd (</w:t>
      </w:r>
      <w:r w:rsidRPr="001F2042">
        <w:rPr>
          <w:rFonts w:ascii="Helvetica" w:eastAsia="Times New Roman" w:hAnsi="Helvetica" w:cs="Helvetica"/>
          <w:i/>
          <w:iCs/>
          <w:color w:val="auto"/>
          <w:szCs w:val="20"/>
          <w:lang w:val="en-US" w:eastAsia="en-US"/>
        </w:rPr>
        <w:t xml:space="preserve">Momordica </w:t>
      </w:r>
      <w:proofErr w:type="spellStart"/>
      <w:r w:rsidRPr="001F2042">
        <w:rPr>
          <w:rFonts w:ascii="Helvetica" w:eastAsia="Times New Roman" w:hAnsi="Helvetica" w:cs="Helvetica"/>
          <w:i/>
          <w:iCs/>
          <w:color w:val="auto"/>
          <w:szCs w:val="20"/>
          <w:lang w:val="en-US" w:eastAsia="en-US"/>
        </w:rPr>
        <w:t>charantia</w:t>
      </w:r>
      <w:proofErr w:type="spellEnd"/>
      <w:r w:rsidRPr="001F2042">
        <w:rPr>
          <w:rFonts w:ascii="Helvetica" w:eastAsia="Times New Roman" w:hAnsi="Helvetica" w:cs="Helvetica"/>
          <w:color w:val="auto"/>
          <w:szCs w:val="20"/>
          <w:lang w:val="en-US" w:eastAsia="en-US"/>
        </w:rPr>
        <w:t xml:space="preserve"> cv. CO1). </w:t>
      </w:r>
      <w:r w:rsidRPr="001F2042">
        <w:rPr>
          <w:rFonts w:ascii="Helvetica" w:eastAsia="Times New Roman" w:hAnsi="Helvetica" w:cs="Helvetica"/>
          <w:i/>
          <w:iCs/>
          <w:color w:val="auto"/>
          <w:szCs w:val="20"/>
          <w:lang w:val="en-US" w:eastAsia="en-US"/>
        </w:rPr>
        <w:t>International Journal of Chemical Studies, 6</w:t>
      </w:r>
      <w:r w:rsidRPr="001F2042">
        <w:rPr>
          <w:rFonts w:ascii="Helvetica" w:eastAsia="Times New Roman" w:hAnsi="Helvetica" w:cs="Helvetica"/>
          <w:color w:val="auto"/>
          <w:szCs w:val="20"/>
          <w:lang w:val="en-US" w:eastAsia="en-US"/>
        </w:rPr>
        <w:t>(1), 845–848.</w:t>
      </w:r>
    </w:p>
    <w:p w14:paraId="1AEB1AD9"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Kirimi, J. K., </w:t>
      </w:r>
      <w:proofErr w:type="spellStart"/>
      <w:r w:rsidRPr="001F2042">
        <w:rPr>
          <w:rFonts w:ascii="Helvetica" w:eastAsia="Times New Roman" w:hAnsi="Helvetica" w:cs="Helvetica"/>
          <w:color w:val="auto"/>
          <w:szCs w:val="20"/>
          <w:lang w:val="en-US" w:eastAsia="en-US"/>
        </w:rPr>
        <w:t>Itulya</w:t>
      </w:r>
      <w:proofErr w:type="spellEnd"/>
      <w:r w:rsidRPr="001F2042">
        <w:rPr>
          <w:rFonts w:ascii="Helvetica" w:eastAsia="Times New Roman" w:hAnsi="Helvetica" w:cs="Helvetica"/>
          <w:color w:val="auto"/>
          <w:szCs w:val="20"/>
          <w:lang w:val="en-US" w:eastAsia="en-US"/>
        </w:rPr>
        <w:t xml:space="preserve">, F. M., &amp; </w:t>
      </w:r>
      <w:proofErr w:type="spellStart"/>
      <w:r w:rsidRPr="001F2042">
        <w:rPr>
          <w:rFonts w:ascii="Helvetica" w:eastAsia="Times New Roman" w:hAnsi="Helvetica" w:cs="Helvetica"/>
          <w:color w:val="auto"/>
          <w:szCs w:val="20"/>
          <w:lang w:val="en-US" w:eastAsia="en-US"/>
        </w:rPr>
        <w:t>Mwaja</w:t>
      </w:r>
      <w:proofErr w:type="spellEnd"/>
      <w:r w:rsidRPr="001F2042">
        <w:rPr>
          <w:rFonts w:ascii="Helvetica" w:eastAsia="Times New Roman" w:hAnsi="Helvetica" w:cs="Helvetica"/>
          <w:color w:val="auto"/>
          <w:szCs w:val="20"/>
          <w:lang w:val="en-US" w:eastAsia="en-US"/>
        </w:rPr>
        <w:t xml:space="preserve">, V. N. (2011). Effects of nitrogen and spacing on fruit yield of tomato. </w:t>
      </w:r>
      <w:r w:rsidRPr="001F2042">
        <w:rPr>
          <w:rFonts w:ascii="Helvetica" w:eastAsia="Times New Roman" w:hAnsi="Helvetica" w:cs="Helvetica"/>
          <w:i/>
          <w:iCs/>
          <w:color w:val="auto"/>
          <w:szCs w:val="20"/>
          <w:lang w:val="en-US" w:eastAsia="en-US"/>
        </w:rPr>
        <w:t>African Journal of Horticultural Science, 5</w:t>
      </w:r>
      <w:r w:rsidRPr="001F2042">
        <w:rPr>
          <w:rFonts w:ascii="Helvetica" w:eastAsia="Times New Roman" w:hAnsi="Helvetica" w:cs="Helvetica"/>
          <w:color w:val="auto"/>
          <w:szCs w:val="20"/>
          <w:lang w:val="en-US" w:eastAsia="en-US"/>
        </w:rPr>
        <w:t>, 50–60.</w:t>
      </w:r>
    </w:p>
    <w:p w14:paraId="4871A836"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roofErr w:type="spellStart"/>
      <w:r w:rsidRPr="001F2042">
        <w:rPr>
          <w:rFonts w:ascii="Helvetica" w:eastAsia="Times New Roman" w:hAnsi="Helvetica" w:cs="Helvetica"/>
          <w:color w:val="auto"/>
          <w:szCs w:val="20"/>
          <w:lang w:val="en-US" w:eastAsia="en-US"/>
        </w:rPr>
        <w:t>Koeduka</w:t>
      </w:r>
      <w:proofErr w:type="spellEnd"/>
      <w:r w:rsidRPr="001F2042">
        <w:rPr>
          <w:rFonts w:ascii="Helvetica" w:eastAsia="Times New Roman" w:hAnsi="Helvetica" w:cs="Helvetica"/>
          <w:color w:val="auto"/>
          <w:szCs w:val="20"/>
          <w:lang w:val="en-US" w:eastAsia="en-US"/>
        </w:rPr>
        <w:t xml:space="preserve">, T., Fridman, E., Gang, D. R., </w:t>
      </w:r>
      <w:proofErr w:type="spellStart"/>
      <w:r w:rsidRPr="001F2042">
        <w:rPr>
          <w:rFonts w:ascii="Helvetica" w:eastAsia="Times New Roman" w:hAnsi="Helvetica" w:cs="Helvetica"/>
          <w:color w:val="auto"/>
          <w:szCs w:val="20"/>
          <w:lang w:val="en-US" w:eastAsia="en-US"/>
        </w:rPr>
        <w:t>Vassao</w:t>
      </w:r>
      <w:proofErr w:type="spellEnd"/>
      <w:r w:rsidRPr="001F2042">
        <w:rPr>
          <w:rFonts w:ascii="Helvetica" w:eastAsia="Times New Roman" w:hAnsi="Helvetica" w:cs="Helvetica"/>
          <w:color w:val="auto"/>
          <w:szCs w:val="20"/>
          <w:lang w:val="en-US" w:eastAsia="en-US"/>
        </w:rPr>
        <w:t xml:space="preserve">, D. G., Jackson, B. L., Kish, C. M., Orlova, I., </w:t>
      </w:r>
      <w:proofErr w:type="spellStart"/>
      <w:r w:rsidRPr="001F2042">
        <w:rPr>
          <w:rFonts w:ascii="Helvetica" w:eastAsia="Times New Roman" w:hAnsi="Helvetica" w:cs="Helvetica"/>
          <w:color w:val="auto"/>
          <w:szCs w:val="20"/>
          <w:lang w:val="en-US" w:eastAsia="en-US"/>
        </w:rPr>
        <w:t>Spassova</w:t>
      </w:r>
      <w:proofErr w:type="spellEnd"/>
      <w:r w:rsidRPr="001F2042">
        <w:rPr>
          <w:rFonts w:ascii="Helvetica" w:eastAsia="Times New Roman" w:hAnsi="Helvetica" w:cs="Helvetica"/>
          <w:color w:val="auto"/>
          <w:szCs w:val="20"/>
          <w:lang w:val="en-US" w:eastAsia="en-US"/>
        </w:rPr>
        <w:t xml:space="preserve">, S. M., Lewis, N. G., Noel, J. P., Baiga, T. J., </w:t>
      </w:r>
      <w:proofErr w:type="spellStart"/>
      <w:r w:rsidRPr="001F2042">
        <w:rPr>
          <w:rFonts w:ascii="Helvetica" w:eastAsia="Times New Roman" w:hAnsi="Helvetica" w:cs="Helvetica"/>
          <w:color w:val="auto"/>
          <w:szCs w:val="20"/>
          <w:lang w:val="en-US" w:eastAsia="en-US"/>
        </w:rPr>
        <w:t>Dudareva</w:t>
      </w:r>
      <w:proofErr w:type="spellEnd"/>
      <w:r w:rsidRPr="001F2042">
        <w:rPr>
          <w:rFonts w:ascii="Helvetica" w:eastAsia="Times New Roman" w:hAnsi="Helvetica" w:cs="Helvetica"/>
          <w:color w:val="auto"/>
          <w:szCs w:val="20"/>
          <w:lang w:val="en-US" w:eastAsia="en-US"/>
        </w:rPr>
        <w:t xml:space="preserve">, N., &amp; Pichersky, E. (2006). Eugenol and isoeugenol, characteristic aromatic constituents of spices, are biosynthesized via reduction of a coniferyl alcohol ester. </w:t>
      </w:r>
      <w:r w:rsidRPr="001F2042">
        <w:rPr>
          <w:rFonts w:ascii="Helvetica" w:eastAsia="Times New Roman" w:hAnsi="Helvetica" w:cs="Helvetica"/>
          <w:i/>
          <w:iCs/>
          <w:color w:val="auto"/>
          <w:szCs w:val="20"/>
          <w:lang w:val="en-US" w:eastAsia="en-US"/>
        </w:rPr>
        <w:t>Proceedings of the National Academy of Sciences, 103</w:t>
      </w:r>
      <w:r w:rsidRPr="001F2042">
        <w:rPr>
          <w:rFonts w:ascii="Helvetica" w:eastAsia="Times New Roman" w:hAnsi="Helvetica" w:cs="Helvetica"/>
          <w:color w:val="auto"/>
          <w:szCs w:val="20"/>
          <w:lang w:val="en-US" w:eastAsia="en-US"/>
        </w:rPr>
        <w:t>(26), 10128–10133.</w:t>
      </w:r>
    </w:p>
    <w:p w14:paraId="4B4EEDFE"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Lester, G. E., &amp; </w:t>
      </w:r>
      <w:proofErr w:type="spellStart"/>
      <w:r w:rsidRPr="001F2042">
        <w:rPr>
          <w:rFonts w:ascii="Helvetica" w:eastAsia="Times New Roman" w:hAnsi="Helvetica" w:cs="Helvetica"/>
          <w:color w:val="auto"/>
          <w:szCs w:val="20"/>
          <w:lang w:val="en-US" w:eastAsia="en-US"/>
        </w:rPr>
        <w:t>Grusak</w:t>
      </w:r>
      <w:proofErr w:type="spellEnd"/>
      <w:r w:rsidRPr="001F2042">
        <w:rPr>
          <w:rFonts w:ascii="Helvetica" w:eastAsia="Times New Roman" w:hAnsi="Helvetica" w:cs="Helvetica"/>
          <w:color w:val="auto"/>
          <w:szCs w:val="20"/>
          <w:lang w:val="en-US" w:eastAsia="en-US"/>
        </w:rPr>
        <w:t xml:space="preserve">, M. A. (2004). Field application of chelated calcium: Postharvest effects on cantaloupe and honeydew fruit quality. </w:t>
      </w:r>
      <w:proofErr w:type="spellStart"/>
      <w:r w:rsidRPr="001F2042">
        <w:rPr>
          <w:rFonts w:ascii="Helvetica" w:eastAsia="Times New Roman" w:hAnsi="Helvetica" w:cs="Helvetica"/>
          <w:i/>
          <w:iCs/>
          <w:color w:val="auto"/>
          <w:szCs w:val="20"/>
          <w:lang w:val="en-US" w:eastAsia="en-US"/>
        </w:rPr>
        <w:t>HortTechnology</w:t>
      </w:r>
      <w:proofErr w:type="spellEnd"/>
      <w:r w:rsidRPr="001F2042">
        <w:rPr>
          <w:rFonts w:ascii="Helvetica" w:eastAsia="Times New Roman" w:hAnsi="Helvetica" w:cs="Helvetica"/>
          <w:i/>
          <w:iCs/>
          <w:color w:val="auto"/>
          <w:szCs w:val="20"/>
          <w:lang w:val="en-US" w:eastAsia="en-US"/>
        </w:rPr>
        <w:t>, 14</w:t>
      </w:r>
      <w:r w:rsidRPr="001F2042">
        <w:rPr>
          <w:rFonts w:ascii="Helvetica" w:eastAsia="Times New Roman" w:hAnsi="Helvetica" w:cs="Helvetica"/>
          <w:color w:val="auto"/>
          <w:szCs w:val="20"/>
          <w:lang w:val="en-US" w:eastAsia="en-US"/>
        </w:rPr>
        <w:t>(1), 29–37.</w:t>
      </w:r>
    </w:p>
    <w:p w14:paraId="2E0D02F7"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Meena, R. K., Kumar, S., Maji, S., Kumar, &amp; Kumar, M. (2014). Effect of organic manures and biofertilizers on growth, flowering, yield and quality of tomato cv. Pusa Sheetal. </w:t>
      </w:r>
      <w:r w:rsidRPr="001F2042">
        <w:rPr>
          <w:rFonts w:ascii="Helvetica" w:eastAsia="Times New Roman" w:hAnsi="Helvetica" w:cs="Helvetica"/>
          <w:i/>
          <w:iCs/>
          <w:color w:val="auto"/>
          <w:szCs w:val="20"/>
          <w:lang w:val="en-US" w:eastAsia="en-US"/>
        </w:rPr>
        <w:t>International Journal of Agricultural Sciences, 10</w:t>
      </w:r>
      <w:r w:rsidRPr="001F2042">
        <w:rPr>
          <w:rFonts w:ascii="Helvetica" w:eastAsia="Times New Roman" w:hAnsi="Helvetica" w:cs="Helvetica"/>
          <w:color w:val="auto"/>
          <w:szCs w:val="20"/>
          <w:lang w:val="en-US" w:eastAsia="en-US"/>
        </w:rPr>
        <w:t>(1), 329–332.</w:t>
      </w:r>
    </w:p>
    <w:p w14:paraId="44378177"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Meenakumari, T., &amp; </w:t>
      </w:r>
      <w:proofErr w:type="spellStart"/>
      <w:r w:rsidRPr="001F2042">
        <w:rPr>
          <w:rFonts w:ascii="Helvetica" w:eastAsia="Times New Roman" w:hAnsi="Helvetica" w:cs="Helvetica"/>
          <w:color w:val="auto"/>
          <w:szCs w:val="20"/>
          <w:lang w:val="en-US" w:eastAsia="en-US"/>
        </w:rPr>
        <w:t>Shehkar</w:t>
      </w:r>
      <w:proofErr w:type="spellEnd"/>
      <w:r w:rsidRPr="001F2042">
        <w:rPr>
          <w:rFonts w:ascii="Helvetica" w:eastAsia="Times New Roman" w:hAnsi="Helvetica" w:cs="Helvetica"/>
          <w:color w:val="auto"/>
          <w:szCs w:val="20"/>
          <w:lang w:val="en-US" w:eastAsia="en-US"/>
        </w:rPr>
        <w:t>, M. (2012). Vermicompost and other fertilizers effects on growth, yield and nutritional status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w:t>
      </w:r>
      <w:r w:rsidRPr="001F2042">
        <w:rPr>
          <w:rFonts w:ascii="Helvetica" w:eastAsia="Times New Roman" w:hAnsi="Helvetica" w:cs="Helvetica"/>
          <w:i/>
          <w:iCs/>
          <w:color w:val="auto"/>
          <w:szCs w:val="20"/>
          <w:lang w:val="en-US" w:eastAsia="en-US"/>
        </w:rPr>
        <w:t>World Research Journal of Agricultural Biotechnology, 1</w:t>
      </w:r>
      <w:r w:rsidRPr="001F2042">
        <w:rPr>
          <w:rFonts w:ascii="Helvetica" w:eastAsia="Times New Roman" w:hAnsi="Helvetica" w:cs="Helvetica"/>
          <w:color w:val="auto"/>
          <w:szCs w:val="20"/>
          <w:lang w:val="en-US" w:eastAsia="en-US"/>
        </w:rPr>
        <w:t>(1), 14–16.</w:t>
      </w:r>
    </w:p>
    <w:p w14:paraId="206E93DD"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Pankaj, P., Kujur, P. K., &amp; Saravanan, S. (2018). Effect of different micronutrient on plant quality of broccoli (</w:t>
      </w:r>
      <w:r w:rsidRPr="001F2042">
        <w:rPr>
          <w:rFonts w:ascii="Helvetica" w:eastAsia="Times New Roman" w:hAnsi="Helvetica" w:cs="Helvetica"/>
          <w:i/>
          <w:iCs/>
          <w:color w:val="auto"/>
          <w:szCs w:val="20"/>
          <w:lang w:val="en-US" w:eastAsia="en-US"/>
        </w:rPr>
        <w:t>Brassica oleracea var. italica</w:t>
      </w:r>
      <w:r w:rsidRPr="001F2042">
        <w:rPr>
          <w:rFonts w:ascii="Helvetica" w:eastAsia="Times New Roman" w:hAnsi="Helvetica" w:cs="Helvetica"/>
          <w:color w:val="auto"/>
          <w:szCs w:val="20"/>
          <w:lang w:val="en-US" w:eastAsia="en-US"/>
        </w:rPr>
        <w:t xml:space="preserve"> cv. Green Magic). </w:t>
      </w:r>
      <w:r w:rsidRPr="001F2042">
        <w:rPr>
          <w:rFonts w:ascii="Helvetica" w:eastAsia="Times New Roman" w:hAnsi="Helvetica" w:cs="Helvetica"/>
          <w:i/>
          <w:iCs/>
          <w:color w:val="auto"/>
          <w:szCs w:val="20"/>
          <w:lang w:val="en-US" w:eastAsia="en-US"/>
        </w:rPr>
        <w:t>Journal of Pharmacognosy and Phytochemistry, 7</w:t>
      </w:r>
      <w:r w:rsidRPr="001F2042">
        <w:rPr>
          <w:rFonts w:ascii="Helvetica" w:eastAsia="Times New Roman" w:hAnsi="Helvetica" w:cs="Helvetica"/>
          <w:color w:val="auto"/>
          <w:szCs w:val="20"/>
          <w:lang w:val="en-US" w:eastAsia="en-US"/>
        </w:rPr>
        <w:t xml:space="preserve">(1S), </w:t>
      </w:r>
      <w:r w:rsidRPr="001F2042">
        <w:rPr>
          <w:rFonts w:ascii="Helvetica" w:eastAsia="Times New Roman" w:hAnsi="Helvetica" w:cs="Helvetica"/>
          <w:color w:val="auto"/>
          <w:szCs w:val="20"/>
          <w:lang w:val="en-US" w:eastAsia="en-US"/>
        </w:rPr>
        <w:lastRenderedPageBreak/>
        <w:t>2825–2828.</w:t>
      </w:r>
    </w:p>
    <w:p w14:paraId="4D2B52C3"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Parmar, U., </w:t>
      </w:r>
      <w:proofErr w:type="spellStart"/>
      <w:r w:rsidRPr="001F2042">
        <w:rPr>
          <w:rFonts w:ascii="Helvetica" w:eastAsia="Times New Roman" w:hAnsi="Helvetica" w:cs="Helvetica"/>
          <w:color w:val="auto"/>
          <w:szCs w:val="20"/>
          <w:lang w:val="en-US" w:eastAsia="en-US"/>
        </w:rPr>
        <w:t>Tembhre</w:t>
      </w:r>
      <w:proofErr w:type="spellEnd"/>
      <w:r w:rsidRPr="001F2042">
        <w:rPr>
          <w:rFonts w:ascii="Helvetica" w:eastAsia="Times New Roman" w:hAnsi="Helvetica" w:cs="Helvetica"/>
          <w:color w:val="auto"/>
          <w:szCs w:val="20"/>
          <w:lang w:val="en-US" w:eastAsia="en-US"/>
        </w:rPr>
        <w:t>, D., Das, M. P., &amp; Pradhan, J. (2019). Effect of integrated nutrient management on growth, development and yield traits of tomato (</w:t>
      </w:r>
      <w:r w:rsidRPr="001F2042">
        <w:rPr>
          <w:rFonts w:ascii="Helvetica" w:eastAsia="Times New Roman" w:hAnsi="Helvetica" w:cs="Helvetica"/>
          <w:i/>
          <w:iCs/>
          <w:color w:val="auto"/>
          <w:szCs w:val="20"/>
          <w:lang w:val="en-US" w:eastAsia="en-US"/>
        </w:rPr>
        <w:t xml:space="preserve">Solanum </w:t>
      </w:r>
      <w:proofErr w:type="spellStart"/>
      <w:r w:rsidRPr="001F2042">
        <w:rPr>
          <w:rFonts w:ascii="Helvetica" w:eastAsia="Times New Roman" w:hAnsi="Helvetica" w:cs="Helvetica"/>
          <w:i/>
          <w:iCs/>
          <w:color w:val="auto"/>
          <w:szCs w:val="20"/>
          <w:lang w:val="en-US" w:eastAsia="en-US"/>
        </w:rPr>
        <w:t>lycopersicon</w:t>
      </w:r>
      <w:proofErr w:type="spellEnd"/>
      <w:r w:rsidRPr="001F2042">
        <w:rPr>
          <w:rFonts w:ascii="Helvetica" w:eastAsia="Times New Roman" w:hAnsi="Helvetica" w:cs="Helvetica"/>
          <w:color w:val="auto"/>
          <w:szCs w:val="20"/>
          <w:lang w:val="en-US" w:eastAsia="en-US"/>
        </w:rPr>
        <w:t xml:space="preserve"> L.). </w:t>
      </w:r>
      <w:r w:rsidRPr="001F2042">
        <w:rPr>
          <w:rFonts w:ascii="Helvetica" w:eastAsia="Times New Roman" w:hAnsi="Helvetica" w:cs="Helvetica"/>
          <w:i/>
          <w:iCs/>
          <w:color w:val="auto"/>
          <w:szCs w:val="20"/>
          <w:lang w:val="en-US" w:eastAsia="en-US"/>
        </w:rPr>
        <w:t>Journal of Pharmacognosy and Phytochemistry, 8</w:t>
      </w:r>
      <w:r w:rsidRPr="001F2042">
        <w:rPr>
          <w:rFonts w:ascii="Helvetica" w:eastAsia="Times New Roman" w:hAnsi="Helvetica" w:cs="Helvetica"/>
          <w:color w:val="auto"/>
          <w:szCs w:val="20"/>
          <w:lang w:val="en-US" w:eastAsia="en-US"/>
        </w:rPr>
        <w:t>(3), 2764–2768.</w:t>
      </w:r>
    </w:p>
    <w:p w14:paraId="1212D5A4"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Rani, P., &amp; Tripura, U. (2021). Effect of integrated nutrient management on growth and yield of tomato: A review. </w:t>
      </w:r>
      <w:r w:rsidRPr="001F2042">
        <w:rPr>
          <w:rFonts w:ascii="Helvetica" w:eastAsia="Times New Roman" w:hAnsi="Helvetica" w:cs="Helvetica"/>
          <w:i/>
          <w:iCs/>
          <w:color w:val="auto"/>
          <w:szCs w:val="20"/>
          <w:lang w:val="en-US" w:eastAsia="en-US"/>
        </w:rPr>
        <w:t>The Pharma Innovation Journal, 10</w:t>
      </w:r>
      <w:r w:rsidRPr="001F2042">
        <w:rPr>
          <w:rFonts w:ascii="Helvetica" w:eastAsia="Times New Roman" w:hAnsi="Helvetica" w:cs="Helvetica"/>
          <w:color w:val="auto"/>
          <w:szCs w:val="20"/>
          <w:lang w:val="en-US" w:eastAsia="en-US"/>
        </w:rPr>
        <w:t>(5), 1695–1701.</w:t>
      </w:r>
    </w:p>
    <w:p w14:paraId="779A9D09"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Ryden, P., Sugimoto-Shirasu, K., Smith, A. C., Findlay, K., Reiter, W.-D., &amp; McCann, M. C. (2003). Tensile properties of </w:t>
      </w:r>
      <w:r w:rsidRPr="001F2042">
        <w:rPr>
          <w:rFonts w:ascii="Helvetica" w:eastAsia="Times New Roman" w:hAnsi="Helvetica" w:cs="Helvetica"/>
          <w:i/>
          <w:iCs/>
          <w:color w:val="auto"/>
          <w:szCs w:val="20"/>
          <w:lang w:val="en-US" w:eastAsia="en-US"/>
        </w:rPr>
        <w:t>Arabidopsis</w:t>
      </w:r>
      <w:r w:rsidRPr="001F2042">
        <w:rPr>
          <w:rFonts w:ascii="Helvetica" w:eastAsia="Times New Roman" w:hAnsi="Helvetica" w:cs="Helvetica"/>
          <w:color w:val="auto"/>
          <w:szCs w:val="20"/>
          <w:lang w:val="en-US" w:eastAsia="en-US"/>
        </w:rPr>
        <w:t xml:space="preserve"> cell walls depend on both a xyloglucan cross-linked microfibrillar network and rhamnogalacturonan II-borate complexes. </w:t>
      </w:r>
      <w:r w:rsidRPr="001F2042">
        <w:rPr>
          <w:rFonts w:ascii="Helvetica" w:eastAsia="Times New Roman" w:hAnsi="Helvetica" w:cs="Helvetica"/>
          <w:i/>
          <w:iCs/>
          <w:color w:val="auto"/>
          <w:szCs w:val="20"/>
          <w:lang w:val="en-US" w:eastAsia="en-US"/>
        </w:rPr>
        <w:t>Plant Physiology, 132</w:t>
      </w:r>
      <w:r w:rsidRPr="001F2042">
        <w:rPr>
          <w:rFonts w:ascii="Helvetica" w:eastAsia="Times New Roman" w:hAnsi="Helvetica" w:cs="Helvetica"/>
          <w:color w:val="auto"/>
          <w:szCs w:val="20"/>
          <w:lang w:val="en-US" w:eastAsia="en-US"/>
        </w:rPr>
        <w:t>(2), 1033–1040.</w:t>
      </w:r>
    </w:p>
    <w:p w14:paraId="018765C6" w14:textId="77777777" w:rsidR="001F2042"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proofErr w:type="spellStart"/>
      <w:r w:rsidRPr="001F2042">
        <w:rPr>
          <w:rFonts w:ascii="Helvetica" w:eastAsia="Times New Roman" w:hAnsi="Helvetica" w:cs="Helvetica"/>
          <w:color w:val="auto"/>
          <w:szCs w:val="20"/>
          <w:lang w:val="en-US" w:eastAsia="en-US"/>
        </w:rPr>
        <w:t>Saky</w:t>
      </w:r>
      <w:proofErr w:type="spellEnd"/>
      <w:r w:rsidRPr="001F2042">
        <w:rPr>
          <w:rFonts w:ascii="Helvetica" w:eastAsia="Times New Roman" w:hAnsi="Helvetica" w:cs="Helvetica"/>
          <w:color w:val="auto"/>
          <w:szCs w:val="20"/>
          <w:lang w:val="en-US" w:eastAsia="en-US"/>
        </w:rPr>
        <w:t xml:space="preserve">, &amp; </w:t>
      </w:r>
      <w:proofErr w:type="spellStart"/>
      <w:r w:rsidRPr="001F2042">
        <w:rPr>
          <w:rFonts w:ascii="Helvetica" w:eastAsia="Times New Roman" w:hAnsi="Helvetica" w:cs="Helvetica"/>
          <w:color w:val="auto"/>
          <w:szCs w:val="20"/>
          <w:lang w:val="en-US" w:eastAsia="en-US"/>
        </w:rPr>
        <w:t>Sulandjar</w:t>
      </w:r>
      <w:proofErr w:type="spellEnd"/>
      <w:r w:rsidRPr="001F2042">
        <w:rPr>
          <w:rFonts w:ascii="Helvetica" w:eastAsia="Times New Roman" w:hAnsi="Helvetica" w:cs="Helvetica"/>
          <w:color w:val="auto"/>
          <w:szCs w:val="20"/>
          <w:lang w:val="en-US" w:eastAsia="en-US"/>
        </w:rPr>
        <w:t xml:space="preserve">. (2019). Foliar iron application on growth and yield of tomato. </w:t>
      </w:r>
      <w:r w:rsidRPr="001F2042">
        <w:rPr>
          <w:rFonts w:ascii="Helvetica" w:eastAsia="Times New Roman" w:hAnsi="Helvetica" w:cs="Helvetica"/>
          <w:i/>
          <w:iCs/>
          <w:color w:val="auto"/>
          <w:szCs w:val="20"/>
          <w:lang w:val="en-US" w:eastAsia="en-US"/>
        </w:rPr>
        <w:t>IOP Conference Series: Earth and Environmental Science, 250</w:t>
      </w:r>
      <w:r w:rsidRPr="001F2042">
        <w:rPr>
          <w:rFonts w:ascii="Helvetica" w:eastAsia="Times New Roman" w:hAnsi="Helvetica" w:cs="Helvetica"/>
          <w:color w:val="auto"/>
          <w:szCs w:val="20"/>
          <w:lang w:val="en-US" w:eastAsia="en-US"/>
        </w:rPr>
        <w:t>(1), 012001.</w:t>
      </w:r>
    </w:p>
    <w:p w14:paraId="42580803"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Salam, M. A., Siddique, M. A., Rahim, M. A., Rahman, M. A., &amp; Saha, M. G. (2010). Quality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Mill.) as influenced by boron and zinc under different levels of NPK fertilizers. </w:t>
      </w:r>
      <w:r w:rsidRPr="001F2042">
        <w:rPr>
          <w:rFonts w:ascii="Helvetica" w:eastAsia="Times New Roman" w:hAnsi="Helvetica" w:cs="Helvetica"/>
          <w:i/>
          <w:iCs/>
          <w:color w:val="auto"/>
          <w:szCs w:val="20"/>
          <w:lang w:val="en-US" w:eastAsia="en-US"/>
        </w:rPr>
        <w:t>Bangladesh Journal of Agricultural Research, 35</w:t>
      </w:r>
      <w:r w:rsidRPr="001F2042">
        <w:rPr>
          <w:rFonts w:ascii="Helvetica" w:eastAsia="Times New Roman" w:hAnsi="Helvetica" w:cs="Helvetica"/>
          <w:color w:val="auto"/>
          <w:szCs w:val="20"/>
          <w:lang w:val="en-US" w:eastAsia="en-US"/>
        </w:rPr>
        <w:t>(3), 475–488.</w:t>
      </w:r>
    </w:p>
    <w:p w14:paraId="463845F0"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Shukla, A. K. (2011). Effect of foliar application of calcium and boron on growth, productivity and quality of Indian gooseberry (</w:t>
      </w:r>
      <w:proofErr w:type="spellStart"/>
      <w:r w:rsidRPr="001F2042">
        <w:rPr>
          <w:rFonts w:ascii="Helvetica" w:eastAsia="Times New Roman" w:hAnsi="Helvetica" w:cs="Helvetica"/>
          <w:i/>
          <w:iCs/>
          <w:color w:val="auto"/>
          <w:szCs w:val="20"/>
          <w:lang w:val="en-US" w:eastAsia="en-US"/>
        </w:rPr>
        <w:t>Emblica</w:t>
      </w:r>
      <w:proofErr w:type="spellEnd"/>
      <w:r w:rsidRPr="001F2042">
        <w:rPr>
          <w:rFonts w:ascii="Helvetica" w:eastAsia="Times New Roman" w:hAnsi="Helvetica" w:cs="Helvetica"/>
          <w:i/>
          <w:iCs/>
          <w:color w:val="auto"/>
          <w:szCs w:val="20"/>
          <w:lang w:val="en-US" w:eastAsia="en-US"/>
        </w:rPr>
        <w:t xml:space="preserve"> officinalis</w:t>
      </w:r>
      <w:r w:rsidRPr="001F2042">
        <w:rPr>
          <w:rFonts w:ascii="Helvetica" w:eastAsia="Times New Roman" w:hAnsi="Helvetica" w:cs="Helvetica"/>
          <w:color w:val="auto"/>
          <w:szCs w:val="20"/>
          <w:lang w:val="en-US" w:eastAsia="en-US"/>
        </w:rPr>
        <w:t xml:space="preserve">). </w:t>
      </w:r>
      <w:r w:rsidRPr="001F2042">
        <w:rPr>
          <w:rFonts w:ascii="Helvetica" w:eastAsia="Times New Roman" w:hAnsi="Helvetica" w:cs="Helvetica"/>
          <w:i/>
          <w:iCs/>
          <w:color w:val="auto"/>
          <w:szCs w:val="20"/>
          <w:lang w:val="en-US" w:eastAsia="en-US"/>
        </w:rPr>
        <w:t>Indian Journal of Agricultural Sciences, 81</w:t>
      </w:r>
      <w:r w:rsidRPr="001F2042">
        <w:rPr>
          <w:rFonts w:ascii="Helvetica" w:eastAsia="Times New Roman" w:hAnsi="Helvetica" w:cs="Helvetica"/>
          <w:color w:val="auto"/>
          <w:szCs w:val="20"/>
          <w:lang w:val="en-US" w:eastAsia="en-US"/>
        </w:rPr>
        <w:t>(7), 628–632.</w:t>
      </w:r>
    </w:p>
    <w:p w14:paraId="77DFEE3D"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Singh, H. M., &amp; Tiwari, J. K. (2013). Impact of micronutrient spray on growth, yield and quality of tomato (</w:t>
      </w:r>
      <w:r w:rsidRPr="001F2042">
        <w:rPr>
          <w:rFonts w:ascii="Helvetica" w:eastAsia="Times New Roman" w:hAnsi="Helvetica" w:cs="Helvetica"/>
          <w:i/>
          <w:iCs/>
          <w:color w:val="auto"/>
          <w:szCs w:val="20"/>
          <w:lang w:val="en-US" w:eastAsia="en-US"/>
        </w:rPr>
        <w:t>Lycopersicon esculentum</w:t>
      </w:r>
      <w:r w:rsidRPr="001F2042">
        <w:rPr>
          <w:rFonts w:ascii="Helvetica" w:eastAsia="Times New Roman" w:hAnsi="Helvetica" w:cs="Helvetica"/>
          <w:color w:val="auto"/>
          <w:szCs w:val="20"/>
          <w:lang w:val="en-US" w:eastAsia="en-US"/>
        </w:rPr>
        <w:t xml:space="preserve"> Mill.). </w:t>
      </w:r>
      <w:r w:rsidRPr="001F2042">
        <w:rPr>
          <w:rFonts w:ascii="Helvetica" w:eastAsia="Times New Roman" w:hAnsi="Helvetica" w:cs="Helvetica"/>
          <w:i/>
          <w:iCs/>
          <w:color w:val="auto"/>
          <w:szCs w:val="20"/>
          <w:lang w:val="en-US" w:eastAsia="en-US"/>
        </w:rPr>
        <w:t>Horticultural Flora Research Spectrum, 2</w:t>
      </w:r>
      <w:r w:rsidRPr="001F2042">
        <w:rPr>
          <w:rFonts w:ascii="Helvetica" w:eastAsia="Times New Roman" w:hAnsi="Helvetica" w:cs="Helvetica"/>
          <w:color w:val="auto"/>
          <w:szCs w:val="20"/>
          <w:lang w:val="en-US" w:eastAsia="en-US"/>
        </w:rPr>
        <w:t>(1), 87–89.</w:t>
      </w:r>
    </w:p>
    <w:p w14:paraId="64C38322"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Smit, J. N., &amp; Combrink, J. (2005). Pollination and yield of winter-grown greenhouse tomatoes as affected by boron nutrition, cluster vibration and relative humidity. </w:t>
      </w:r>
      <w:r w:rsidRPr="001F2042">
        <w:rPr>
          <w:rFonts w:ascii="Helvetica" w:eastAsia="Times New Roman" w:hAnsi="Helvetica" w:cs="Helvetica"/>
          <w:i/>
          <w:iCs/>
          <w:color w:val="auto"/>
          <w:szCs w:val="20"/>
          <w:lang w:val="en-US" w:eastAsia="en-US"/>
        </w:rPr>
        <w:t>South African Journal of Plant and Soil, 22</w:t>
      </w:r>
      <w:r w:rsidRPr="001F2042">
        <w:rPr>
          <w:rFonts w:ascii="Helvetica" w:eastAsia="Times New Roman" w:hAnsi="Helvetica" w:cs="Helvetica"/>
          <w:color w:val="auto"/>
          <w:szCs w:val="20"/>
          <w:lang w:val="en-US" w:eastAsia="en-US"/>
        </w:rPr>
        <w:t>(2), 110–115.</w:t>
      </w:r>
    </w:p>
    <w:p w14:paraId="3B8A9BA0"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Sulaiman, S. M., &amp; Sadiq, S. Q. (2020). Influence of greenhouse shading and different nutrient management practices on alleviating heat stress, improving plant nutrient status, flowering, growth and yield of tomato. </w:t>
      </w:r>
      <w:r w:rsidRPr="001F2042">
        <w:rPr>
          <w:rFonts w:ascii="Helvetica" w:eastAsia="Times New Roman" w:hAnsi="Helvetica" w:cs="Helvetica"/>
          <w:i/>
          <w:iCs/>
          <w:color w:val="auto"/>
          <w:szCs w:val="20"/>
          <w:lang w:val="en-US" w:eastAsia="en-US"/>
        </w:rPr>
        <w:t>Iraqi Journal of Agricultural Sciences, 51</w:t>
      </w:r>
      <w:r w:rsidRPr="001F2042">
        <w:rPr>
          <w:rFonts w:ascii="Helvetica" w:eastAsia="Times New Roman" w:hAnsi="Helvetica" w:cs="Helvetica"/>
          <w:color w:val="auto"/>
          <w:szCs w:val="20"/>
          <w:lang w:val="en-US" w:eastAsia="en-US"/>
        </w:rPr>
        <w:t>(4), 1001–1014.</w:t>
      </w:r>
    </w:p>
    <w:p w14:paraId="4F810EA8"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 xml:space="preserve">Thalooth, A. T., Tawfik, M. M., &amp; Mohamed, H. M. (2006). A comparative study on the effect of foliar application of zinc, potassium and magnesium on growth, yield and some chemical constituents of </w:t>
      </w:r>
      <w:proofErr w:type="spellStart"/>
      <w:r w:rsidRPr="001F2042">
        <w:rPr>
          <w:rFonts w:ascii="Helvetica" w:eastAsia="Times New Roman" w:hAnsi="Helvetica" w:cs="Helvetica"/>
          <w:color w:val="auto"/>
          <w:szCs w:val="20"/>
          <w:lang w:val="en-US" w:eastAsia="en-US"/>
        </w:rPr>
        <w:t>mungbean</w:t>
      </w:r>
      <w:proofErr w:type="spellEnd"/>
      <w:r w:rsidRPr="001F2042">
        <w:rPr>
          <w:rFonts w:ascii="Helvetica" w:eastAsia="Times New Roman" w:hAnsi="Helvetica" w:cs="Helvetica"/>
          <w:color w:val="auto"/>
          <w:szCs w:val="20"/>
          <w:lang w:val="en-US" w:eastAsia="en-US"/>
        </w:rPr>
        <w:t xml:space="preserve"> plants grown under water stress conditions. </w:t>
      </w:r>
      <w:r w:rsidRPr="001F2042">
        <w:rPr>
          <w:rFonts w:ascii="Helvetica" w:eastAsia="Times New Roman" w:hAnsi="Helvetica" w:cs="Helvetica"/>
          <w:i/>
          <w:iCs/>
          <w:color w:val="auto"/>
          <w:szCs w:val="20"/>
          <w:lang w:val="en-US" w:eastAsia="en-US"/>
        </w:rPr>
        <w:t>World Journal of Agricultural Sciences, 2</w:t>
      </w:r>
      <w:r w:rsidRPr="001F2042">
        <w:rPr>
          <w:rFonts w:ascii="Helvetica" w:eastAsia="Times New Roman" w:hAnsi="Helvetica" w:cs="Helvetica"/>
          <w:color w:val="auto"/>
          <w:szCs w:val="20"/>
          <w:lang w:val="en-US" w:eastAsia="en-US"/>
        </w:rPr>
        <w:t>(1), 37–46.</w:t>
      </w:r>
    </w:p>
    <w:p w14:paraId="251C3274" w14:textId="77777777" w:rsidR="00236849" w:rsidRPr="00354195"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t>Verma, V. K., Jha, A. K., Verma, B. C., Babu, S., Patel, R. K., et al. (2018). Response of tomato (</w:t>
      </w:r>
      <w:r w:rsidRPr="001F2042">
        <w:rPr>
          <w:rFonts w:ascii="Helvetica" w:eastAsia="Times New Roman" w:hAnsi="Helvetica" w:cs="Helvetica"/>
          <w:i/>
          <w:iCs/>
          <w:color w:val="auto"/>
          <w:szCs w:val="20"/>
          <w:lang w:val="en-US" w:eastAsia="en-US"/>
        </w:rPr>
        <w:t xml:space="preserve">Solanum </w:t>
      </w:r>
      <w:proofErr w:type="spellStart"/>
      <w:r w:rsidRPr="001F2042">
        <w:rPr>
          <w:rFonts w:ascii="Helvetica" w:eastAsia="Times New Roman" w:hAnsi="Helvetica" w:cs="Helvetica"/>
          <w:i/>
          <w:iCs/>
          <w:color w:val="auto"/>
          <w:szCs w:val="20"/>
          <w:lang w:val="en-US" w:eastAsia="en-US"/>
        </w:rPr>
        <w:t>lycopersicum</w:t>
      </w:r>
      <w:proofErr w:type="spellEnd"/>
      <w:r w:rsidRPr="001F2042">
        <w:rPr>
          <w:rFonts w:ascii="Helvetica" w:eastAsia="Times New Roman" w:hAnsi="Helvetica" w:cs="Helvetica"/>
          <w:color w:val="auto"/>
          <w:szCs w:val="20"/>
          <w:lang w:val="en-US" w:eastAsia="en-US"/>
        </w:rPr>
        <w:t xml:space="preserve">) to foliar application of micronutrients under low-cost protected structure in acidic soil of Meghalaya. </w:t>
      </w:r>
      <w:r w:rsidRPr="001F2042">
        <w:rPr>
          <w:rFonts w:ascii="Helvetica" w:eastAsia="Times New Roman" w:hAnsi="Helvetica" w:cs="Helvetica"/>
          <w:i/>
          <w:iCs/>
          <w:color w:val="auto"/>
          <w:szCs w:val="20"/>
          <w:lang w:val="en-US" w:eastAsia="en-US"/>
        </w:rPr>
        <w:t>Indian Journal of Agricultural Sciences, 88</w:t>
      </w:r>
      <w:r w:rsidRPr="001F2042">
        <w:rPr>
          <w:rFonts w:ascii="Helvetica" w:eastAsia="Times New Roman" w:hAnsi="Helvetica" w:cs="Helvetica"/>
          <w:color w:val="auto"/>
          <w:szCs w:val="20"/>
          <w:lang w:val="en-US" w:eastAsia="en-US"/>
        </w:rPr>
        <w:t>(7), 998–1003.</w:t>
      </w:r>
    </w:p>
    <w:p w14:paraId="45C84370" w14:textId="77777777" w:rsidR="001F2042" w:rsidRPr="001F2042" w:rsidRDefault="001F2042" w:rsidP="00354195">
      <w:pPr>
        <w:widowControl w:val="0"/>
        <w:tabs>
          <w:tab w:val="left" w:pos="3686"/>
        </w:tabs>
        <w:autoSpaceDE w:val="0"/>
        <w:autoSpaceDN w:val="0"/>
        <w:adjustRightInd w:val="0"/>
        <w:spacing w:after="200" w:line="360" w:lineRule="auto"/>
        <w:ind w:left="-180" w:right="0" w:firstLine="0"/>
        <w:rPr>
          <w:rFonts w:ascii="Helvetica" w:eastAsia="Times New Roman" w:hAnsi="Helvetica" w:cs="Helvetica"/>
          <w:bCs/>
          <w:noProof/>
          <w:color w:val="auto"/>
          <w:szCs w:val="20"/>
          <w:lang w:val="en-US"/>
        </w:rPr>
      </w:pPr>
      <w:r w:rsidRPr="001F2042">
        <w:rPr>
          <w:rFonts w:ascii="Helvetica" w:eastAsia="Times New Roman" w:hAnsi="Helvetica" w:cs="Helvetica"/>
          <w:color w:val="auto"/>
          <w:szCs w:val="20"/>
          <w:lang w:val="en-US" w:eastAsia="en-US"/>
        </w:rPr>
        <w:lastRenderedPageBreak/>
        <w:t xml:space="preserve">Wojcik, P., &amp; Wojcik, M. (2003). Effects of boron fertilization on ‘Conference’ pear tree vigor, nutrition, and fruit yield and storability. </w:t>
      </w:r>
      <w:r w:rsidRPr="001F2042">
        <w:rPr>
          <w:rFonts w:ascii="Helvetica" w:eastAsia="Times New Roman" w:hAnsi="Helvetica" w:cs="Helvetica"/>
          <w:i/>
          <w:iCs/>
          <w:color w:val="auto"/>
          <w:szCs w:val="20"/>
          <w:lang w:val="en-US" w:eastAsia="en-US"/>
        </w:rPr>
        <w:t>Plant and Soil, 256</w:t>
      </w:r>
      <w:r w:rsidRPr="001F2042">
        <w:rPr>
          <w:rFonts w:ascii="Helvetica" w:eastAsia="Times New Roman" w:hAnsi="Helvetica" w:cs="Helvetica"/>
          <w:color w:val="auto"/>
          <w:szCs w:val="20"/>
          <w:lang w:val="en-US" w:eastAsia="en-US"/>
        </w:rPr>
        <w:t>(2), 413–421.</w:t>
      </w:r>
    </w:p>
    <w:p w14:paraId="2ECFFB7A" w14:textId="77777777" w:rsidR="00CF73F5" w:rsidRPr="00CF73F5" w:rsidRDefault="00CF73F5" w:rsidP="00023C33">
      <w:pPr>
        <w:rPr>
          <w:rFonts w:ascii="Times New Roman" w:hAnsi="Times New Roman" w:cs="Times New Roman"/>
          <w:b/>
          <w:bCs/>
          <w:sz w:val="24"/>
          <w:szCs w:val="28"/>
        </w:rPr>
      </w:pPr>
    </w:p>
    <w:sectPr w:rsidR="00CF73F5" w:rsidRPr="00CF73F5" w:rsidSect="004B3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BAF1A" w14:textId="77777777" w:rsidR="008B34C1" w:rsidRDefault="008B34C1" w:rsidP="001C51E5">
      <w:pPr>
        <w:spacing w:after="0" w:line="240" w:lineRule="auto"/>
      </w:pPr>
      <w:r>
        <w:separator/>
      </w:r>
    </w:p>
  </w:endnote>
  <w:endnote w:type="continuationSeparator" w:id="0">
    <w:p w14:paraId="127868E8" w14:textId="77777777" w:rsidR="008B34C1" w:rsidRDefault="008B34C1" w:rsidP="001C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aavi">
    <w:altName w:val="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02502" w14:textId="77777777" w:rsidR="006A7C35" w:rsidRDefault="006A7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F792" w14:textId="77777777" w:rsidR="006A7C35" w:rsidRDefault="006A7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4CFF" w14:textId="77777777" w:rsidR="006A7C35" w:rsidRDefault="006A7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C4D5A" w14:textId="77777777" w:rsidR="008B34C1" w:rsidRDefault="008B34C1" w:rsidP="001C51E5">
      <w:pPr>
        <w:spacing w:after="0" w:line="240" w:lineRule="auto"/>
      </w:pPr>
      <w:r>
        <w:separator/>
      </w:r>
    </w:p>
  </w:footnote>
  <w:footnote w:type="continuationSeparator" w:id="0">
    <w:p w14:paraId="16829F79" w14:textId="77777777" w:rsidR="008B34C1" w:rsidRDefault="008B34C1" w:rsidP="001C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9F72" w14:textId="397663E9" w:rsidR="006A7C35" w:rsidRDefault="006A7C35">
    <w:pPr>
      <w:pStyle w:val="Header"/>
    </w:pPr>
    <w:r>
      <w:rPr>
        <w:noProof/>
      </w:rPr>
      <w:pict w14:anchorId="40DEA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B6C2" w14:textId="51C9C5A5" w:rsidR="006A7C35" w:rsidRDefault="006A7C35">
    <w:pPr>
      <w:pStyle w:val="Header"/>
    </w:pPr>
    <w:r>
      <w:rPr>
        <w:noProof/>
      </w:rPr>
      <w:pict w14:anchorId="0FA1E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CE59" w14:textId="65DFADB7" w:rsidR="006A7C35" w:rsidRDefault="006A7C35">
    <w:pPr>
      <w:pStyle w:val="Header"/>
    </w:pPr>
    <w:r>
      <w:rPr>
        <w:noProof/>
      </w:rPr>
      <w:pict w14:anchorId="4446A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73414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6FDA"/>
    <w:multiLevelType w:val="multilevel"/>
    <w:tmpl w:val="8592B8E0"/>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4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CC6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481235"/>
    <w:multiLevelType w:val="hybridMultilevel"/>
    <w:tmpl w:val="77C4393A"/>
    <w:lvl w:ilvl="0" w:tplc="C690085C">
      <w:start w:val="1"/>
      <w:numFmt w:val="lowerLetter"/>
      <w:lvlText w:val="%1"/>
      <w:lvlJc w:val="left"/>
      <w:pPr>
        <w:ind w:left="170"/>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1C5EA384">
      <w:start w:val="1"/>
      <w:numFmt w:val="lowerLetter"/>
      <w:lvlText w:val="%2"/>
      <w:lvlJc w:val="left"/>
      <w:pPr>
        <w:ind w:left="24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78BC22EC">
      <w:start w:val="1"/>
      <w:numFmt w:val="lowerRoman"/>
      <w:lvlText w:val="%3"/>
      <w:lvlJc w:val="left"/>
      <w:pPr>
        <w:ind w:left="32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3CC255C4">
      <w:start w:val="1"/>
      <w:numFmt w:val="decimal"/>
      <w:lvlText w:val="%4"/>
      <w:lvlJc w:val="left"/>
      <w:pPr>
        <w:ind w:left="39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9DF0AA9C">
      <w:start w:val="1"/>
      <w:numFmt w:val="lowerLetter"/>
      <w:lvlText w:val="%5"/>
      <w:lvlJc w:val="left"/>
      <w:pPr>
        <w:ind w:left="465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B0C061F4">
      <w:start w:val="1"/>
      <w:numFmt w:val="lowerRoman"/>
      <w:lvlText w:val="%6"/>
      <w:lvlJc w:val="left"/>
      <w:pPr>
        <w:ind w:left="537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2242C504">
      <w:start w:val="1"/>
      <w:numFmt w:val="decimal"/>
      <w:lvlText w:val="%7"/>
      <w:lvlJc w:val="left"/>
      <w:pPr>
        <w:ind w:left="609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E162FB2C">
      <w:start w:val="1"/>
      <w:numFmt w:val="lowerLetter"/>
      <w:lvlText w:val="%8"/>
      <w:lvlJc w:val="left"/>
      <w:pPr>
        <w:ind w:left="681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637E3FDA">
      <w:start w:val="1"/>
      <w:numFmt w:val="lowerRoman"/>
      <w:lvlText w:val="%9"/>
      <w:lvlJc w:val="left"/>
      <w:pPr>
        <w:ind w:left="7531"/>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3" w15:restartNumberingAfterBreak="0">
    <w:nsid w:val="742A3A3B"/>
    <w:multiLevelType w:val="hybridMultilevel"/>
    <w:tmpl w:val="FB1E4B4A"/>
    <w:lvl w:ilvl="0" w:tplc="E410E08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97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4145"/>
    <w:rsid w:val="00023C33"/>
    <w:rsid w:val="000308BD"/>
    <w:rsid w:val="00037557"/>
    <w:rsid w:val="00051783"/>
    <w:rsid w:val="00070206"/>
    <w:rsid w:val="00081009"/>
    <w:rsid w:val="00090BA7"/>
    <w:rsid w:val="000B6C0F"/>
    <w:rsid w:val="000C5B55"/>
    <w:rsid w:val="000C6BBD"/>
    <w:rsid w:val="00101838"/>
    <w:rsid w:val="00106695"/>
    <w:rsid w:val="00111D46"/>
    <w:rsid w:val="0011338C"/>
    <w:rsid w:val="001242CD"/>
    <w:rsid w:val="00124DCB"/>
    <w:rsid w:val="0016276C"/>
    <w:rsid w:val="0018277C"/>
    <w:rsid w:val="001A2EE1"/>
    <w:rsid w:val="001B63C6"/>
    <w:rsid w:val="001C51E5"/>
    <w:rsid w:val="001E616B"/>
    <w:rsid w:val="001F2042"/>
    <w:rsid w:val="001F3752"/>
    <w:rsid w:val="002049D7"/>
    <w:rsid w:val="0020544B"/>
    <w:rsid w:val="00230226"/>
    <w:rsid w:val="00230CDD"/>
    <w:rsid w:val="00236849"/>
    <w:rsid w:val="00263E73"/>
    <w:rsid w:val="002671D2"/>
    <w:rsid w:val="002A2FB4"/>
    <w:rsid w:val="002A41FD"/>
    <w:rsid w:val="002C4133"/>
    <w:rsid w:val="002C6E7D"/>
    <w:rsid w:val="0031580F"/>
    <w:rsid w:val="0033017C"/>
    <w:rsid w:val="003366AE"/>
    <w:rsid w:val="00347AE4"/>
    <w:rsid w:val="003505A0"/>
    <w:rsid w:val="00354195"/>
    <w:rsid w:val="003560EE"/>
    <w:rsid w:val="00367280"/>
    <w:rsid w:val="00386706"/>
    <w:rsid w:val="00391A93"/>
    <w:rsid w:val="003A1AE8"/>
    <w:rsid w:val="003D63CB"/>
    <w:rsid w:val="003F7A74"/>
    <w:rsid w:val="00417C12"/>
    <w:rsid w:val="00424C31"/>
    <w:rsid w:val="004546BA"/>
    <w:rsid w:val="004708C9"/>
    <w:rsid w:val="00473D45"/>
    <w:rsid w:val="004B39B9"/>
    <w:rsid w:val="004B3B8D"/>
    <w:rsid w:val="004B4B85"/>
    <w:rsid w:val="004C532B"/>
    <w:rsid w:val="004D50BE"/>
    <w:rsid w:val="005017D5"/>
    <w:rsid w:val="00506CD3"/>
    <w:rsid w:val="00511DAD"/>
    <w:rsid w:val="00515187"/>
    <w:rsid w:val="00523C8C"/>
    <w:rsid w:val="00543CEE"/>
    <w:rsid w:val="00551034"/>
    <w:rsid w:val="005545C9"/>
    <w:rsid w:val="005A6F36"/>
    <w:rsid w:val="005F1DD6"/>
    <w:rsid w:val="005F264F"/>
    <w:rsid w:val="005F77A0"/>
    <w:rsid w:val="00614990"/>
    <w:rsid w:val="00623574"/>
    <w:rsid w:val="00630CFA"/>
    <w:rsid w:val="006400B0"/>
    <w:rsid w:val="00641EE2"/>
    <w:rsid w:val="006735E6"/>
    <w:rsid w:val="006845F9"/>
    <w:rsid w:val="006A7C35"/>
    <w:rsid w:val="006B7AF8"/>
    <w:rsid w:val="006E06A2"/>
    <w:rsid w:val="006E7C63"/>
    <w:rsid w:val="00703E79"/>
    <w:rsid w:val="007277F0"/>
    <w:rsid w:val="00772418"/>
    <w:rsid w:val="00774531"/>
    <w:rsid w:val="00783253"/>
    <w:rsid w:val="007B6AC0"/>
    <w:rsid w:val="007C2670"/>
    <w:rsid w:val="007C67A0"/>
    <w:rsid w:val="007F6591"/>
    <w:rsid w:val="00805DBE"/>
    <w:rsid w:val="00806B6A"/>
    <w:rsid w:val="008574D6"/>
    <w:rsid w:val="0086646E"/>
    <w:rsid w:val="00887BE0"/>
    <w:rsid w:val="00896637"/>
    <w:rsid w:val="008B34C1"/>
    <w:rsid w:val="008B570F"/>
    <w:rsid w:val="008C08FA"/>
    <w:rsid w:val="008C5110"/>
    <w:rsid w:val="0091208F"/>
    <w:rsid w:val="00914A59"/>
    <w:rsid w:val="009163D6"/>
    <w:rsid w:val="00924A6A"/>
    <w:rsid w:val="009431C1"/>
    <w:rsid w:val="009645C5"/>
    <w:rsid w:val="009747B8"/>
    <w:rsid w:val="009A291B"/>
    <w:rsid w:val="009B5C34"/>
    <w:rsid w:val="009E1D0A"/>
    <w:rsid w:val="00A0257A"/>
    <w:rsid w:val="00A21A63"/>
    <w:rsid w:val="00A22756"/>
    <w:rsid w:val="00A26E20"/>
    <w:rsid w:val="00A40355"/>
    <w:rsid w:val="00A450C2"/>
    <w:rsid w:val="00A65775"/>
    <w:rsid w:val="00A83F8E"/>
    <w:rsid w:val="00A910D1"/>
    <w:rsid w:val="00AB38B4"/>
    <w:rsid w:val="00AC1435"/>
    <w:rsid w:val="00AD25A8"/>
    <w:rsid w:val="00AE1C4B"/>
    <w:rsid w:val="00B00E53"/>
    <w:rsid w:val="00B130FE"/>
    <w:rsid w:val="00B514B0"/>
    <w:rsid w:val="00B647BD"/>
    <w:rsid w:val="00B73A68"/>
    <w:rsid w:val="00B91DEB"/>
    <w:rsid w:val="00BC7BD4"/>
    <w:rsid w:val="00BE2B2A"/>
    <w:rsid w:val="00BE3E53"/>
    <w:rsid w:val="00BE48B6"/>
    <w:rsid w:val="00BF3616"/>
    <w:rsid w:val="00C47C47"/>
    <w:rsid w:val="00C65653"/>
    <w:rsid w:val="00C70F90"/>
    <w:rsid w:val="00C810B3"/>
    <w:rsid w:val="00C859A4"/>
    <w:rsid w:val="00CA5432"/>
    <w:rsid w:val="00CA5F15"/>
    <w:rsid w:val="00CC4286"/>
    <w:rsid w:val="00CC5D3F"/>
    <w:rsid w:val="00CE7BCE"/>
    <w:rsid w:val="00CF73F5"/>
    <w:rsid w:val="00D1219B"/>
    <w:rsid w:val="00D136CD"/>
    <w:rsid w:val="00D4424E"/>
    <w:rsid w:val="00D462DB"/>
    <w:rsid w:val="00D47EBD"/>
    <w:rsid w:val="00D7585F"/>
    <w:rsid w:val="00D8669C"/>
    <w:rsid w:val="00DC4013"/>
    <w:rsid w:val="00DC4F15"/>
    <w:rsid w:val="00DC5763"/>
    <w:rsid w:val="00DE3F3D"/>
    <w:rsid w:val="00DF01C6"/>
    <w:rsid w:val="00DF6312"/>
    <w:rsid w:val="00DF741A"/>
    <w:rsid w:val="00E21BFC"/>
    <w:rsid w:val="00E2244C"/>
    <w:rsid w:val="00E2607C"/>
    <w:rsid w:val="00E42896"/>
    <w:rsid w:val="00E46EBB"/>
    <w:rsid w:val="00E50D50"/>
    <w:rsid w:val="00E5635D"/>
    <w:rsid w:val="00E74E4E"/>
    <w:rsid w:val="00EB63D4"/>
    <w:rsid w:val="00F04ACC"/>
    <w:rsid w:val="00F058FD"/>
    <w:rsid w:val="00F12D0F"/>
    <w:rsid w:val="00F17C4A"/>
    <w:rsid w:val="00F23A67"/>
    <w:rsid w:val="00F26337"/>
    <w:rsid w:val="00F34145"/>
    <w:rsid w:val="00F46CB4"/>
    <w:rsid w:val="00F81960"/>
    <w:rsid w:val="00FD4180"/>
    <w:rsid w:val="00FF4436"/>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273A93"/>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752"/>
    <w:pPr>
      <w:spacing w:after="5" w:line="249" w:lineRule="auto"/>
      <w:ind w:left="10" w:right="56" w:hanging="10"/>
      <w:jc w:val="both"/>
    </w:pPr>
    <w:rPr>
      <w:rFonts w:ascii="Arial" w:eastAsia="Arial" w:hAnsi="Arial" w:cs="Arial"/>
      <w:color w:val="000000"/>
      <w:sz w:val="20"/>
      <w:lang w:val="en-IN" w:eastAsia="en-IN"/>
    </w:rPr>
  </w:style>
  <w:style w:type="paragraph" w:styleId="Heading1">
    <w:name w:val="heading 1"/>
    <w:next w:val="Normal"/>
    <w:link w:val="Heading1Char"/>
    <w:uiPriority w:val="9"/>
    <w:unhideWhenUsed/>
    <w:qFormat/>
    <w:rsid w:val="00023C33"/>
    <w:pPr>
      <w:keepNext/>
      <w:keepLines/>
      <w:numPr>
        <w:numId w:val="1"/>
      </w:numPr>
      <w:spacing w:after="0"/>
      <w:ind w:left="10" w:hanging="10"/>
      <w:outlineLvl w:val="0"/>
    </w:pPr>
    <w:rPr>
      <w:rFonts w:ascii="Arial" w:eastAsia="Arial" w:hAnsi="Arial" w:cs="Arial"/>
      <w:b/>
      <w:color w:val="000000"/>
      <w:lang w:val="en-IN" w:eastAsia="en-IN"/>
    </w:rPr>
  </w:style>
  <w:style w:type="paragraph" w:styleId="Heading2">
    <w:name w:val="heading 2"/>
    <w:next w:val="Normal"/>
    <w:link w:val="Heading2Char"/>
    <w:uiPriority w:val="9"/>
    <w:unhideWhenUsed/>
    <w:qFormat/>
    <w:rsid w:val="00023C33"/>
    <w:pPr>
      <w:keepNext/>
      <w:keepLines/>
      <w:numPr>
        <w:ilvl w:val="1"/>
        <w:numId w:val="1"/>
      </w:numPr>
      <w:spacing w:after="0"/>
      <w:ind w:left="10" w:hanging="10"/>
      <w:outlineLvl w:val="1"/>
    </w:pPr>
    <w:rPr>
      <w:rFonts w:ascii="Arial" w:eastAsia="Arial" w:hAnsi="Arial" w:cs="Arial"/>
      <w:b/>
      <w:color w:val="00000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8FA"/>
    <w:rPr>
      <w:color w:val="0563C1" w:themeColor="hyperlink"/>
      <w:u w:val="single"/>
    </w:rPr>
  </w:style>
  <w:style w:type="character" w:customStyle="1" w:styleId="UnresolvedMention1">
    <w:name w:val="Unresolved Mention1"/>
    <w:basedOn w:val="DefaultParagraphFont"/>
    <w:uiPriority w:val="99"/>
    <w:semiHidden/>
    <w:unhideWhenUsed/>
    <w:rsid w:val="008C08FA"/>
    <w:rPr>
      <w:color w:val="605E5C"/>
      <w:shd w:val="clear" w:color="auto" w:fill="E1DFDD"/>
    </w:rPr>
  </w:style>
  <w:style w:type="character" w:customStyle="1" w:styleId="Heading1Char">
    <w:name w:val="Heading 1 Char"/>
    <w:basedOn w:val="DefaultParagraphFont"/>
    <w:link w:val="Heading1"/>
    <w:rsid w:val="00023C33"/>
    <w:rPr>
      <w:rFonts w:ascii="Arial" w:eastAsia="Arial" w:hAnsi="Arial" w:cs="Arial"/>
      <w:b/>
      <w:color w:val="000000"/>
      <w:lang w:val="en-IN" w:eastAsia="en-IN"/>
    </w:rPr>
  </w:style>
  <w:style w:type="character" w:customStyle="1" w:styleId="Heading2Char">
    <w:name w:val="Heading 2 Char"/>
    <w:basedOn w:val="DefaultParagraphFont"/>
    <w:link w:val="Heading2"/>
    <w:rsid w:val="00023C33"/>
    <w:rPr>
      <w:rFonts w:ascii="Arial" w:eastAsia="Arial" w:hAnsi="Arial" w:cs="Arial"/>
      <w:b/>
      <w:color w:val="000000"/>
      <w:lang w:val="en-IN" w:eastAsia="en-IN"/>
    </w:rPr>
  </w:style>
  <w:style w:type="paragraph" w:styleId="Caption">
    <w:name w:val="caption"/>
    <w:basedOn w:val="Normal"/>
    <w:next w:val="Normal"/>
    <w:uiPriority w:val="35"/>
    <w:unhideWhenUsed/>
    <w:qFormat/>
    <w:rsid w:val="00515187"/>
    <w:pPr>
      <w:spacing w:after="200" w:line="240" w:lineRule="auto"/>
    </w:pPr>
    <w:rPr>
      <w:i/>
      <w:iCs/>
      <w:color w:val="44546A" w:themeColor="text2"/>
      <w:sz w:val="18"/>
      <w:szCs w:val="18"/>
    </w:rPr>
  </w:style>
  <w:style w:type="table" w:styleId="TableGrid">
    <w:name w:val="Table Grid"/>
    <w:basedOn w:val="TableNormal"/>
    <w:uiPriority w:val="39"/>
    <w:rsid w:val="001C5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E5"/>
    <w:rPr>
      <w:rFonts w:ascii="Arial" w:eastAsia="Arial" w:hAnsi="Arial" w:cs="Arial"/>
      <w:color w:val="000000"/>
      <w:sz w:val="20"/>
      <w:lang w:val="en-IN" w:eastAsia="en-IN"/>
    </w:rPr>
  </w:style>
  <w:style w:type="paragraph" w:styleId="Footer">
    <w:name w:val="footer"/>
    <w:basedOn w:val="Normal"/>
    <w:link w:val="FooterChar"/>
    <w:uiPriority w:val="99"/>
    <w:unhideWhenUsed/>
    <w:rsid w:val="001C5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E5"/>
    <w:rPr>
      <w:rFonts w:ascii="Arial" w:eastAsia="Arial" w:hAnsi="Arial" w:cs="Arial"/>
      <w:color w:val="000000"/>
      <w:sz w:val="20"/>
      <w:lang w:val="en-IN" w:eastAsia="en-IN"/>
    </w:rPr>
  </w:style>
  <w:style w:type="paragraph" w:styleId="ListParagraph">
    <w:name w:val="List Paragraph"/>
    <w:basedOn w:val="Normal"/>
    <w:uiPriority w:val="34"/>
    <w:qFormat/>
    <w:rsid w:val="00B130FE"/>
    <w:pPr>
      <w:ind w:left="720"/>
      <w:contextualSpacing/>
    </w:pPr>
  </w:style>
  <w:style w:type="paragraph" w:styleId="NormalWeb">
    <w:name w:val="Normal (Web)"/>
    <w:basedOn w:val="Normal"/>
    <w:uiPriority w:val="99"/>
    <w:semiHidden/>
    <w:unhideWhenUsed/>
    <w:rsid w:val="00081009"/>
    <w:rPr>
      <w:rFonts w:ascii="Times New Roman" w:hAnsi="Times New Roman" w:cs="Times New Roman"/>
      <w:sz w:val="24"/>
      <w:szCs w:val="24"/>
    </w:rPr>
  </w:style>
  <w:style w:type="character" w:styleId="Emphasis">
    <w:name w:val="Emphasis"/>
    <w:basedOn w:val="DefaultParagraphFont"/>
    <w:uiPriority w:val="20"/>
    <w:qFormat/>
    <w:rsid w:val="001F2042"/>
    <w:rPr>
      <w:i/>
      <w:iCs/>
    </w:rPr>
  </w:style>
  <w:style w:type="paragraph" w:styleId="BalloonText">
    <w:name w:val="Balloon Text"/>
    <w:basedOn w:val="Normal"/>
    <w:link w:val="BalloonTextChar"/>
    <w:uiPriority w:val="99"/>
    <w:semiHidden/>
    <w:unhideWhenUsed/>
    <w:rsid w:val="006E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C63"/>
    <w:rPr>
      <w:rFonts w:ascii="Tahoma" w:eastAsia="Arial" w:hAnsi="Tahoma" w:cs="Tahoma"/>
      <w:color w:val="000000"/>
      <w:sz w:val="16"/>
      <w:szCs w:val="16"/>
      <w:lang w:val="en-IN" w:eastAsia="en-IN"/>
    </w:rPr>
  </w:style>
  <w:style w:type="character" w:styleId="UnresolvedMention">
    <w:name w:val="Unresolved Mention"/>
    <w:basedOn w:val="DefaultParagraphFont"/>
    <w:uiPriority w:val="99"/>
    <w:semiHidden/>
    <w:unhideWhenUsed/>
    <w:rsid w:val="00CA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4597">
      <w:bodyDiv w:val="1"/>
      <w:marLeft w:val="0"/>
      <w:marRight w:val="0"/>
      <w:marTop w:val="0"/>
      <w:marBottom w:val="0"/>
      <w:divBdr>
        <w:top w:val="none" w:sz="0" w:space="0" w:color="auto"/>
        <w:left w:val="none" w:sz="0" w:space="0" w:color="auto"/>
        <w:bottom w:val="none" w:sz="0" w:space="0" w:color="auto"/>
        <w:right w:val="none" w:sz="0" w:space="0" w:color="auto"/>
      </w:divBdr>
    </w:div>
    <w:div w:id="800853725">
      <w:bodyDiv w:val="1"/>
      <w:marLeft w:val="0"/>
      <w:marRight w:val="0"/>
      <w:marTop w:val="0"/>
      <w:marBottom w:val="0"/>
      <w:divBdr>
        <w:top w:val="none" w:sz="0" w:space="0" w:color="auto"/>
        <w:left w:val="none" w:sz="0" w:space="0" w:color="auto"/>
        <w:bottom w:val="none" w:sz="0" w:space="0" w:color="auto"/>
        <w:right w:val="none" w:sz="0" w:space="0" w:color="auto"/>
      </w:divBdr>
    </w:div>
    <w:div w:id="1000735923">
      <w:bodyDiv w:val="1"/>
      <w:marLeft w:val="0"/>
      <w:marRight w:val="0"/>
      <w:marTop w:val="0"/>
      <w:marBottom w:val="0"/>
      <w:divBdr>
        <w:top w:val="none" w:sz="0" w:space="0" w:color="auto"/>
        <w:left w:val="none" w:sz="0" w:space="0" w:color="auto"/>
        <w:bottom w:val="none" w:sz="0" w:space="0" w:color="auto"/>
        <w:right w:val="none" w:sz="0" w:space="0" w:color="auto"/>
      </w:divBdr>
    </w:div>
    <w:div w:id="1803189261">
      <w:bodyDiv w:val="1"/>
      <w:marLeft w:val="0"/>
      <w:marRight w:val="0"/>
      <w:marTop w:val="0"/>
      <w:marBottom w:val="0"/>
      <w:divBdr>
        <w:top w:val="none" w:sz="0" w:space="0" w:color="auto"/>
        <w:left w:val="none" w:sz="0" w:space="0" w:color="auto"/>
        <w:bottom w:val="none" w:sz="0" w:space="0" w:color="auto"/>
        <w:right w:val="none" w:sz="0" w:space="0" w:color="auto"/>
      </w:divBdr>
    </w:div>
    <w:div w:id="18582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2/jsfa.431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agriwelfare.gov.in/en/StatHortEs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OneDrive\Desktop\MSC%20Stude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c:f>
              <c:strCache>
                <c:ptCount val="1"/>
                <c:pt idx="0">
                  <c:v>Number of leaves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Sheet2!$C$2:$C$8</c:f>
              <c:numCache>
                <c:formatCode>General</c:formatCode>
                <c:ptCount val="7"/>
                <c:pt idx="0">
                  <c:v>18.329999999999991</c:v>
                </c:pt>
                <c:pt idx="1">
                  <c:v>23.419999999999995</c:v>
                </c:pt>
                <c:pt idx="2">
                  <c:v>25.43</c:v>
                </c:pt>
                <c:pt idx="3">
                  <c:v>27.330000000000005</c:v>
                </c:pt>
                <c:pt idx="4">
                  <c:v>29.23</c:v>
                </c:pt>
                <c:pt idx="5">
                  <c:v>30.35</c:v>
                </c:pt>
                <c:pt idx="6">
                  <c:v>31.47</c:v>
                </c:pt>
              </c:numCache>
            </c:numRef>
          </c:val>
          <c:extLst>
            <c:ext xmlns:c16="http://schemas.microsoft.com/office/drawing/2014/chart" uri="{C3380CC4-5D6E-409C-BE32-E72D297353CC}">
              <c16:uniqueId val="{00000000-4434-4750-8FFB-412D9440BC06}"/>
            </c:ext>
          </c:extLst>
        </c:ser>
        <c:dLbls>
          <c:showLegendKey val="0"/>
          <c:showVal val="0"/>
          <c:showCatName val="0"/>
          <c:showSerName val="0"/>
          <c:showPercent val="0"/>
          <c:showBubbleSize val="0"/>
        </c:dLbls>
        <c:gapWidth val="219"/>
        <c:overlap val="-27"/>
        <c:axId val="71706496"/>
        <c:axId val="71780992"/>
      </c:barChart>
      <c:barChart>
        <c:barDir val="col"/>
        <c:grouping val="clustered"/>
        <c:varyColors val="0"/>
        <c:ser>
          <c:idx val="0"/>
          <c:order val="0"/>
          <c:tx>
            <c:strRef>
              <c:f>Sheet2!$B$1</c:f>
              <c:strCache>
                <c:ptCount val="1"/>
                <c:pt idx="0">
                  <c:v>Plant height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Sheet2!$A$2:$A$8</c:f>
              <c:strCache>
                <c:ptCount val="7"/>
                <c:pt idx="0">
                  <c:v>T1</c:v>
                </c:pt>
                <c:pt idx="1">
                  <c:v>T2</c:v>
                </c:pt>
                <c:pt idx="2">
                  <c:v>T3</c:v>
                </c:pt>
                <c:pt idx="3">
                  <c:v>T4</c:v>
                </c:pt>
                <c:pt idx="4">
                  <c:v>T5</c:v>
                </c:pt>
                <c:pt idx="5">
                  <c:v>T6</c:v>
                </c:pt>
                <c:pt idx="6">
                  <c:v>T7</c:v>
                </c:pt>
              </c:strCache>
            </c:strRef>
          </c:cat>
          <c:val>
            <c:numRef>
              <c:f>Sheet2!$B$2:$B$8</c:f>
              <c:numCache>
                <c:formatCode>General</c:formatCode>
                <c:ptCount val="7"/>
                <c:pt idx="0">
                  <c:v>142.33000000000001</c:v>
                </c:pt>
                <c:pt idx="1">
                  <c:v>150</c:v>
                </c:pt>
                <c:pt idx="2">
                  <c:v>157.66999999999999</c:v>
                </c:pt>
                <c:pt idx="3">
                  <c:v>166.67</c:v>
                </c:pt>
                <c:pt idx="4">
                  <c:v>207.67</c:v>
                </c:pt>
                <c:pt idx="5">
                  <c:v>176.56</c:v>
                </c:pt>
                <c:pt idx="6">
                  <c:v>216.22</c:v>
                </c:pt>
              </c:numCache>
            </c:numRef>
          </c:val>
          <c:extLst>
            <c:ext xmlns:c16="http://schemas.microsoft.com/office/drawing/2014/chart" uri="{C3380CC4-5D6E-409C-BE32-E72D297353CC}">
              <c16:uniqueId val="{00000001-4434-4750-8FFB-412D9440BC06}"/>
            </c:ext>
          </c:extLst>
        </c:ser>
        <c:dLbls>
          <c:showLegendKey val="0"/>
          <c:showVal val="0"/>
          <c:showCatName val="0"/>
          <c:showSerName val="0"/>
          <c:showPercent val="0"/>
          <c:showBubbleSize val="0"/>
        </c:dLbls>
        <c:gapWidth val="219"/>
        <c:overlap val="-27"/>
        <c:axId val="71932160"/>
        <c:axId val="71930240"/>
      </c:barChart>
      <c:lineChart>
        <c:grouping val="stacked"/>
        <c:varyColors val="0"/>
        <c:ser>
          <c:idx val="2"/>
          <c:order val="2"/>
          <c:tx>
            <c:strRef>
              <c:f>Sheet2!$D$1</c:f>
              <c:strCache>
                <c:ptCount val="1"/>
                <c:pt idx="0">
                  <c:v>Number of flowers per plant</c:v>
                </c:pt>
              </c:strCache>
            </c:strRef>
          </c:tx>
          <c:spPr>
            <a:ln w="28575" cap="rnd">
              <a:solidFill>
                <a:schemeClr val="accent3"/>
              </a:solidFill>
              <a:round/>
            </a:ln>
            <a:effectLst/>
          </c:spPr>
          <c:marker>
            <c:symbol val="none"/>
          </c:marker>
          <c:cat>
            <c:strRef>
              <c:f>Sheet2!$A$2:$A$8</c:f>
              <c:strCache>
                <c:ptCount val="7"/>
                <c:pt idx="0">
                  <c:v>T1</c:v>
                </c:pt>
                <c:pt idx="1">
                  <c:v>T2</c:v>
                </c:pt>
                <c:pt idx="2">
                  <c:v>T3</c:v>
                </c:pt>
                <c:pt idx="3">
                  <c:v>T4</c:v>
                </c:pt>
                <c:pt idx="4">
                  <c:v>T5</c:v>
                </c:pt>
                <c:pt idx="5">
                  <c:v>T6</c:v>
                </c:pt>
                <c:pt idx="6">
                  <c:v>T7</c:v>
                </c:pt>
              </c:strCache>
            </c:strRef>
          </c:cat>
          <c:val>
            <c:numRef>
              <c:f>Sheet2!$D$2:$D$8</c:f>
              <c:numCache>
                <c:formatCode>General</c:formatCode>
                <c:ptCount val="7"/>
                <c:pt idx="0">
                  <c:v>20</c:v>
                </c:pt>
                <c:pt idx="1">
                  <c:v>25.34</c:v>
                </c:pt>
                <c:pt idx="2">
                  <c:v>34.700000000000003</c:v>
                </c:pt>
                <c:pt idx="3">
                  <c:v>39.630000000000003</c:v>
                </c:pt>
                <c:pt idx="4">
                  <c:v>45.99</c:v>
                </c:pt>
                <c:pt idx="5">
                  <c:v>50.92</c:v>
                </c:pt>
                <c:pt idx="6">
                  <c:v>55.85</c:v>
                </c:pt>
              </c:numCache>
            </c:numRef>
          </c:val>
          <c:smooth val="0"/>
          <c:extLst>
            <c:ext xmlns:c16="http://schemas.microsoft.com/office/drawing/2014/chart" uri="{C3380CC4-5D6E-409C-BE32-E72D297353CC}">
              <c16:uniqueId val="{00000002-4434-4750-8FFB-412D9440BC06}"/>
            </c:ext>
          </c:extLst>
        </c:ser>
        <c:ser>
          <c:idx val="3"/>
          <c:order val="3"/>
          <c:tx>
            <c:strRef>
              <c:f>Sheet2!$E$1</c:f>
              <c:strCache>
                <c:ptCount val="1"/>
                <c:pt idx="0">
                  <c:v>Days to 50% flowering</c:v>
                </c:pt>
              </c:strCache>
            </c:strRef>
          </c:tx>
          <c:spPr>
            <a:ln w="28575" cap="rnd">
              <a:solidFill>
                <a:schemeClr val="accent4"/>
              </a:solidFill>
              <a:round/>
            </a:ln>
            <a:effectLst/>
          </c:spPr>
          <c:marker>
            <c:symbol val="circle"/>
            <c:size val="6"/>
            <c:spPr>
              <a:solidFill>
                <a:schemeClr val="accent4"/>
              </a:solidFill>
              <a:ln>
                <a:noFill/>
              </a:ln>
              <a:effectLst/>
            </c:spPr>
          </c:marker>
          <c:cat>
            <c:strRef>
              <c:f>Sheet2!$A$2:$A$8</c:f>
              <c:strCache>
                <c:ptCount val="7"/>
                <c:pt idx="0">
                  <c:v>T1</c:v>
                </c:pt>
                <c:pt idx="1">
                  <c:v>T2</c:v>
                </c:pt>
                <c:pt idx="2">
                  <c:v>T3</c:v>
                </c:pt>
                <c:pt idx="3">
                  <c:v>T4</c:v>
                </c:pt>
                <c:pt idx="4">
                  <c:v>T5</c:v>
                </c:pt>
                <c:pt idx="5">
                  <c:v>T6</c:v>
                </c:pt>
                <c:pt idx="6">
                  <c:v>T7</c:v>
                </c:pt>
              </c:strCache>
            </c:strRef>
          </c:cat>
          <c:val>
            <c:numRef>
              <c:f>Sheet2!$E$2:$E$8</c:f>
              <c:numCache>
                <c:formatCode>General</c:formatCode>
                <c:ptCount val="7"/>
                <c:pt idx="0">
                  <c:v>47.18</c:v>
                </c:pt>
                <c:pt idx="1">
                  <c:v>46.08</c:v>
                </c:pt>
                <c:pt idx="2">
                  <c:v>44.99</c:v>
                </c:pt>
                <c:pt idx="3">
                  <c:v>43.86</c:v>
                </c:pt>
                <c:pt idx="4">
                  <c:v>42.77</c:v>
                </c:pt>
                <c:pt idx="5">
                  <c:v>41.65</c:v>
                </c:pt>
                <c:pt idx="6">
                  <c:v>40.58</c:v>
                </c:pt>
              </c:numCache>
            </c:numRef>
          </c:val>
          <c:smooth val="0"/>
          <c:extLst>
            <c:ext xmlns:c16="http://schemas.microsoft.com/office/drawing/2014/chart" uri="{C3380CC4-5D6E-409C-BE32-E72D297353CC}">
              <c16:uniqueId val="{00000003-4434-4750-8FFB-412D9440BC06}"/>
            </c:ext>
          </c:extLst>
        </c:ser>
        <c:dLbls>
          <c:showLegendKey val="0"/>
          <c:showVal val="0"/>
          <c:showCatName val="0"/>
          <c:showSerName val="0"/>
          <c:showPercent val="0"/>
          <c:showBubbleSize val="0"/>
        </c:dLbls>
        <c:marker val="1"/>
        <c:smooth val="0"/>
        <c:axId val="71932160"/>
        <c:axId val="71930240"/>
      </c:lineChart>
      <c:catAx>
        <c:axId val="717064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80992"/>
        <c:crosses val="autoZero"/>
        <c:auto val="1"/>
        <c:lblAlgn val="ctr"/>
        <c:lblOffset val="100"/>
        <c:noMultiLvlLbl val="0"/>
      </c:catAx>
      <c:valAx>
        <c:axId val="7178099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06496"/>
        <c:crosses val="autoZero"/>
        <c:crossBetween val="between"/>
      </c:valAx>
      <c:valAx>
        <c:axId val="7193024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32160"/>
        <c:crosses val="max"/>
        <c:crossBetween val="between"/>
      </c:valAx>
      <c:catAx>
        <c:axId val="71932160"/>
        <c:scaling>
          <c:orientation val="minMax"/>
        </c:scaling>
        <c:delete val="1"/>
        <c:axPos val="b"/>
        <c:numFmt formatCode="General" sourceLinked="1"/>
        <c:majorTickMark val="none"/>
        <c:minorTickMark val="none"/>
        <c:tickLblPos val="nextTo"/>
        <c:crossAx val="7193024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Sheet2!$C$12</c:f>
              <c:strCache>
                <c:ptCount val="1"/>
                <c:pt idx="0">
                  <c:v>Number of fruits per plant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Sheet2!$C$13:$C$19</c:f>
              <c:numCache>
                <c:formatCode>General</c:formatCode>
                <c:ptCount val="7"/>
                <c:pt idx="0">
                  <c:v>25.36</c:v>
                </c:pt>
                <c:pt idx="1">
                  <c:v>36.340000000000003</c:v>
                </c:pt>
                <c:pt idx="2">
                  <c:v>38.21</c:v>
                </c:pt>
                <c:pt idx="3">
                  <c:v>38.450000000000003</c:v>
                </c:pt>
                <c:pt idx="4">
                  <c:v>40.25</c:v>
                </c:pt>
                <c:pt idx="5">
                  <c:v>42.15</c:v>
                </c:pt>
                <c:pt idx="6">
                  <c:v>42.36</c:v>
                </c:pt>
              </c:numCache>
            </c:numRef>
          </c:val>
          <c:extLst>
            <c:ext xmlns:c16="http://schemas.microsoft.com/office/drawing/2014/chart" uri="{C3380CC4-5D6E-409C-BE32-E72D297353CC}">
              <c16:uniqueId val="{00000000-FBA6-4B85-B9BD-A2EB34276FF4}"/>
            </c:ext>
          </c:extLst>
        </c:ser>
        <c:dLbls>
          <c:showLegendKey val="0"/>
          <c:showVal val="0"/>
          <c:showCatName val="0"/>
          <c:showSerName val="0"/>
          <c:showPercent val="0"/>
          <c:showBubbleSize val="0"/>
        </c:dLbls>
        <c:gapWidth val="219"/>
        <c:overlap val="-27"/>
        <c:axId val="72655616"/>
        <c:axId val="72657152"/>
      </c:barChart>
      <c:barChart>
        <c:barDir val="col"/>
        <c:grouping val="clustered"/>
        <c:varyColors val="0"/>
        <c:ser>
          <c:idx val="0"/>
          <c:order val="0"/>
          <c:tx>
            <c:strRef>
              <c:f>Sheet2!$B$12</c:f>
              <c:strCache>
                <c:ptCount val="1"/>
                <c:pt idx="0">
                  <c:v>Number of fruits per cluster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Sheet2!$A$13:$A$19</c:f>
              <c:strCache>
                <c:ptCount val="7"/>
                <c:pt idx="0">
                  <c:v>T1</c:v>
                </c:pt>
                <c:pt idx="1">
                  <c:v>T2</c:v>
                </c:pt>
                <c:pt idx="2">
                  <c:v>T3</c:v>
                </c:pt>
                <c:pt idx="3">
                  <c:v>T4</c:v>
                </c:pt>
                <c:pt idx="4">
                  <c:v>T5</c:v>
                </c:pt>
                <c:pt idx="5">
                  <c:v>T6</c:v>
                </c:pt>
                <c:pt idx="6">
                  <c:v>T7</c:v>
                </c:pt>
              </c:strCache>
            </c:strRef>
          </c:cat>
          <c:val>
            <c:numRef>
              <c:f>Sheet2!$B$13:$B$19</c:f>
              <c:numCache>
                <c:formatCode>General</c:formatCode>
                <c:ptCount val="7"/>
                <c:pt idx="0">
                  <c:v>3.8</c:v>
                </c:pt>
                <c:pt idx="1">
                  <c:v>5.2</c:v>
                </c:pt>
                <c:pt idx="2">
                  <c:v>6.37</c:v>
                </c:pt>
                <c:pt idx="3">
                  <c:v>7.2700000000000014</c:v>
                </c:pt>
                <c:pt idx="4">
                  <c:v>7.37</c:v>
                </c:pt>
                <c:pt idx="5">
                  <c:v>7.56</c:v>
                </c:pt>
                <c:pt idx="6">
                  <c:v>8.2200000000000024</c:v>
                </c:pt>
              </c:numCache>
            </c:numRef>
          </c:val>
          <c:extLst>
            <c:ext xmlns:c16="http://schemas.microsoft.com/office/drawing/2014/chart" uri="{C3380CC4-5D6E-409C-BE32-E72D297353CC}">
              <c16:uniqueId val="{00000001-FBA6-4B85-B9BD-A2EB34276FF4}"/>
            </c:ext>
          </c:extLst>
        </c:ser>
        <c:dLbls>
          <c:showLegendKey val="0"/>
          <c:showVal val="0"/>
          <c:showCatName val="0"/>
          <c:showSerName val="0"/>
          <c:showPercent val="0"/>
          <c:showBubbleSize val="0"/>
        </c:dLbls>
        <c:gapWidth val="219"/>
        <c:overlap val="-27"/>
        <c:axId val="69464064"/>
        <c:axId val="73573120"/>
      </c:barChart>
      <c:lineChart>
        <c:grouping val="stacked"/>
        <c:varyColors val="0"/>
        <c:ser>
          <c:idx val="2"/>
          <c:order val="2"/>
          <c:tx>
            <c:strRef>
              <c:f>Sheet2!$D$12</c:f>
              <c:strCache>
                <c:ptCount val="1"/>
                <c:pt idx="0">
                  <c:v>Fruit length (cm)</c:v>
                </c:pt>
              </c:strCache>
            </c:strRef>
          </c:tx>
          <c:spPr>
            <a:ln w="28575" cap="rnd">
              <a:solidFill>
                <a:schemeClr val="accent3"/>
              </a:solidFill>
              <a:round/>
            </a:ln>
            <a:effectLst/>
          </c:spPr>
          <c:marker>
            <c:symbol val="none"/>
          </c:marker>
          <c:cat>
            <c:strRef>
              <c:f>Sheet2!$A$13:$A$19</c:f>
              <c:strCache>
                <c:ptCount val="7"/>
                <c:pt idx="0">
                  <c:v>T1</c:v>
                </c:pt>
                <c:pt idx="1">
                  <c:v>T2</c:v>
                </c:pt>
                <c:pt idx="2">
                  <c:v>T3</c:v>
                </c:pt>
                <c:pt idx="3">
                  <c:v>T4</c:v>
                </c:pt>
                <c:pt idx="4">
                  <c:v>T5</c:v>
                </c:pt>
                <c:pt idx="5">
                  <c:v>T6</c:v>
                </c:pt>
                <c:pt idx="6">
                  <c:v>T7</c:v>
                </c:pt>
              </c:strCache>
            </c:strRef>
          </c:cat>
          <c:val>
            <c:numRef>
              <c:f>Sheet2!$D$13:$D$19</c:f>
              <c:numCache>
                <c:formatCode>General</c:formatCode>
                <c:ptCount val="7"/>
                <c:pt idx="0">
                  <c:v>3.32</c:v>
                </c:pt>
                <c:pt idx="1">
                  <c:v>3.6</c:v>
                </c:pt>
                <c:pt idx="2">
                  <c:v>3.64</c:v>
                </c:pt>
                <c:pt idx="3">
                  <c:v>4.05</c:v>
                </c:pt>
                <c:pt idx="4">
                  <c:v>4.1499999999999995</c:v>
                </c:pt>
                <c:pt idx="5">
                  <c:v>4.25</c:v>
                </c:pt>
                <c:pt idx="6">
                  <c:v>4.42</c:v>
                </c:pt>
              </c:numCache>
            </c:numRef>
          </c:val>
          <c:smooth val="0"/>
          <c:extLst>
            <c:ext xmlns:c16="http://schemas.microsoft.com/office/drawing/2014/chart" uri="{C3380CC4-5D6E-409C-BE32-E72D297353CC}">
              <c16:uniqueId val="{00000002-FBA6-4B85-B9BD-A2EB34276FF4}"/>
            </c:ext>
          </c:extLst>
        </c:ser>
        <c:ser>
          <c:idx val="3"/>
          <c:order val="3"/>
          <c:tx>
            <c:strRef>
              <c:f>Sheet2!$E$12</c:f>
              <c:strCache>
                <c:ptCount val="1"/>
                <c:pt idx="0">
                  <c:v>Fruit diameter (cm)</c:v>
                </c:pt>
              </c:strCache>
            </c:strRef>
          </c:tx>
          <c:spPr>
            <a:ln w="28575" cap="rnd">
              <a:solidFill>
                <a:schemeClr val="accent4"/>
              </a:solidFill>
              <a:round/>
            </a:ln>
            <a:effectLst/>
          </c:spPr>
          <c:marker>
            <c:symbol val="circle"/>
            <c:size val="6"/>
            <c:spPr>
              <a:solidFill>
                <a:schemeClr val="accent4"/>
              </a:solidFill>
              <a:ln>
                <a:noFill/>
              </a:ln>
              <a:effectLst/>
            </c:spPr>
          </c:marker>
          <c:cat>
            <c:strRef>
              <c:f>Sheet2!$A$13:$A$19</c:f>
              <c:strCache>
                <c:ptCount val="7"/>
                <c:pt idx="0">
                  <c:v>T1</c:v>
                </c:pt>
                <c:pt idx="1">
                  <c:v>T2</c:v>
                </c:pt>
                <c:pt idx="2">
                  <c:v>T3</c:v>
                </c:pt>
                <c:pt idx="3">
                  <c:v>T4</c:v>
                </c:pt>
                <c:pt idx="4">
                  <c:v>T5</c:v>
                </c:pt>
                <c:pt idx="5">
                  <c:v>T6</c:v>
                </c:pt>
                <c:pt idx="6">
                  <c:v>T7</c:v>
                </c:pt>
              </c:strCache>
            </c:strRef>
          </c:cat>
          <c:val>
            <c:numRef>
              <c:f>Sheet2!$E$13:$E$19</c:f>
              <c:numCache>
                <c:formatCode>General</c:formatCode>
                <c:ptCount val="7"/>
                <c:pt idx="0">
                  <c:v>3.1</c:v>
                </c:pt>
                <c:pt idx="1">
                  <c:v>3.63</c:v>
                </c:pt>
                <c:pt idx="2">
                  <c:v>4.17</c:v>
                </c:pt>
                <c:pt idx="3">
                  <c:v>4.37</c:v>
                </c:pt>
                <c:pt idx="4">
                  <c:v>4.63</c:v>
                </c:pt>
                <c:pt idx="5">
                  <c:v>4.9300000000000015</c:v>
                </c:pt>
                <c:pt idx="6">
                  <c:v>5.4</c:v>
                </c:pt>
              </c:numCache>
            </c:numRef>
          </c:val>
          <c:smooth val="0"/>
          <c:extLst>
            <c:ext xmlns:c16="http://schemas.microsoft.com/office/drawing/2014/chart" uri="{C3380CC4-5D6E-409C-BE32-E72D297353CC}">
              <c16:uniqueId val="{00000003-FBA6-4B85-B9BD-A2EB34276FF4}"/>
            </c:ext>
          </c:extLst>
        </c:ser>
        <c:dLbls>
          <c:showLegendKey val="0"/>
          <c:showVal val="0"/>
          <c:showCatName val="0"/>
          <c:showSerName val="0"/>
          <c:showPercent val="0"/>
          <c:showBubbleSize val="0"/>
        </c:dLbls>
        <c:marker val="1"/>
        <c:smooth val="0"/>
        <c:axId val="69464064"/>
        <c:axId val="73573120"/>
      </c:lineChart>
      <c:catAx>
        <c:axId val="7265561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7152"/>
        <c:crosses val="autoZero"/>
        <c:auto val="1"/>
        <c:lblAlgn val="ctr"/>
        <c:lblOffset val="100"/>
        <c:noMultiLvlLbl val="0"/>
      </c:catAx>
      <c:valAx>
        <c:axId val="72657152"/>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55616"/>
        <c:crosses val="autoZero"/>
        <c:crossBetween val="between"/>
      </c:valAx>
      <c:valAx>
        <c:axId val="73573120"/>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464064"/>
        <c:crosses val="max"/>
        <c:crossBetween val="between"/>
      </c:valAx>
      <c:catAx>
        <c:axId val="69464064"/>
        <c:scaling>
          <c:orientation val="minMax"/>
        </c:scaling>
        <c:delete val="1"/>
        <c:axPos val="b"/>
        <c:numFmt formatCode="General" sourceLinked="1"/>
        <c:majorTickMark val="none"/>
        <c:minorTickMark val="none"/>
        <c:tickLblPos val="nextTo"/>
        <c:crossAx val="73573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c:f>
              <c:strCache>
                <c:ptCount val="1"/>
                <c:pt idx="0">
                  <c:v>Fruit yield per plant (kg)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Sheet5!$C$2:$C$8</c:f>
              <c:numCache>
                <c:formatCode>General</c:formatCode>
                <c:ptCount val="7"/>
                <c:pt idx="0">
                  <c:v>1.26</c:v>
                </c:pt>
                <c:pt idx="1">
                  <c:v>1.31</c:v>
                </c:pt>
                <c:pt idx="2">
                  <c:v>1.6700000000000004</c:v>
                </c:pt>
                <c:pt idx="3">
                  <c:v>1.85</c:v>
                </c:pt>
                <c:pt idx="4">
                  <c:v>1.9700000000000004</c:v>
                </c:pt>
                <c:pt idx="5">
                  <c:v>2.2599999999999998</c:v>
                </c:pt>
                <c:pt idx="6">
                  <c:v>2.4099999999999997</c:v>
                </c:pt>
              </c:numCache>
            </c:numRef>
          </c:val>
          <c:extLst>
            <c:ext xmlns:c16="http://schemas.microsoft.com/office/drawing/2014/chart" uri="{C3380CC4-5D6E-409C-BE32-E72D297353CC}">
              <c16:uniqueId val="{00000000-484B-4DA4-B3FB-413892F8C420}"/>
            </c:ext>
          </c:extLst>
        </c:ser>
        <c:dLbls>
          <c:showLegendKey val="0"/>
          <c:showVal val="0"/>
          <c:showCatName val="0"/>
          <c:showSerName val="0"/>
          <c:showPercent val="0"/>
          <c:showBubbleSize val="0"/>
        </c:dLbls>
        <c:gapWidth val="219"/>
        <c:overlap val="-27"/>
        <c:axId val="70001408"/>
        <c:axId val="70002944"/>
      </c:barChart>
      <c:barChart>
        <c:barDir val="col"/>
        <c:grouping val="clustered"/>
        <c:varyColors val="0"/>
        <c:ser>
          <c:idx val="0"/>
          <c:order val="0"/>
          <c:tx>
            <c:strRef>
              <c:f>Sheet5!$B$1</c:f>
              <c:strCache>
                <c:ptCount val="1"/>
                <c:pt idx="0">
                  <c:v>Average fruit weight (g)</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Sheet5!$A$2:$A$8</c:f>
              <c:strCache>
                <c:ptCount val="7"/>
                <c:pt idx="0">
                  <c:v>T1</c:v>
                </c:pt>
                <c:pt idx="1">
                  <c:v>T2</c:v>
                </c:pt>
                <c:pt idx="2">
                  <c:v>T3</c:v>
                </c:pt>
                <c:pt idx="3">
                  <c:v>T4</c:v>
                </c:pt>
                <c:pt idx="4">
                  <c:v>T5</c:v>
                </c:pt>
                <c:pt idx="5">
                  <c:v>T6</c:v>
                </c:pt>
                <c:pt idx="6">
                  <c:v>T7</c:v>
                </c:pt>
              </c:strCache>
            </c:strRef>
          </c:cat>
          <c:val>
            <c:numRef>
              <c:f>Sheet5!$B$2:$B$8</c:f>
              <c:numCache>
                <c:formatCode>General</c:formatCode>
                <c:ptCount val="7"/>
                <c:pt idx="0">
                  <c:v>50.24</c:v>
                </c:pt>
                <c:pt idx="1">
                  <c:v>52.36</c:v>
                </c:pt>
                <c:pt idx="2">
                  <c:v>55.28</c:v>
                </c:pt>
                <c:pt idx="3">
                  <c:v>59.74</c:v>
                </c:pt>
                <c:pt idx="4">
                  <c:v>62.290000000000013</c:v>
                </c:pt>
                <c:pt idx="5">
                  <c:v>63.14</c:v>
                </c:pt>
                <c:pt idx="6">
                  <c:v>67.38</c:v>
                </c:pt>
              </c:numCache>
            </c:numRef>
          </c:val>
          <c:extLst>
            <c:ext xmlns:c16="http://schemas.microsoft.com/office/drawing/2014/chart" uri="{C3380CC4-5D6E-409C-BE32-E72D297353CC}">
              <c16:uniqueId val="{00000001-484B-4DA4-B3FB-413892F8C420}"/>
            </c:ext>
          </c:extLst>
        </c:ser>
        <c:dLbls>
          <c:showLegendKey val="0"/>
          <c:showVal val="0"/>
          <c:showCatName val="0"/>
          <c:showSerName val="0"/>
          <c:showPercent val="0"/>
          <c:showBubbleSize val="0"/>
        </c:dLbls>
        <c:gapWidth val="219"/>
        <c:overlap val="-27"/>
        <c:axId val="70039040"/>
        <c:axId val="70037504"/>
      </c:barChart>
      <c:lineChart>
        <c:grouping val="stacked"/>
        <c:varyColors val="0"/>
        <c:ser>
          <c:idx val="2"/>
          <c:order val="2"/>
          <c:tx>
            <c:strRef>
              <c:f>Sheet5!$D$1</c:f>
              <c:strCache>
                <c:ptCount val="1"/>
                <c:pt idx="0">
                  <c:v>Fruit yield per plot (kg)</c:v>
                </c:pt>
              </c:strCache>
            </c:strRef>
          </c:tx>
          <c:spPr>
            <a:ln w="28575" cap="rnd">
              <a:solidFill>
                <a:schemeClr val="accent3"/>
              </a:solidFill>
              <a:round/>
            </a:ln>
            <a:effectLst/>
          </c:spPr>
          <c:marker>
            <c:symbol val="none"/>
          </c:marker>
          <c:cat>
            <c:strRef>
              <c:f>Sheet5!$A$2:$A$8</c:f>
              <c:strCache>
                <c:ptCount val="7"/>
                <c:pt idx="0">
                  <c:v>T1</c:v>
                </c:pt>
                <c:pt idx="1">
                  <c:v>T2</c:v>
                </c:pt>
                <c:pt idx="2">
                  <c:v>T3</c:v>
                </c:pt>
                <c:pt idx="3">
                  <c:v>T4</c:v>
                </c:pt>
                <c:pt idx="4">
                  <c:v>T5</c:v>
                </c:pt>
                <c:pt idx="5">
                  <c:v>T6</c:v>
                </c:pt>
                <c:pt idx="6">
                  <c:v>T7</c:v>
                </c:pt>
              </c:strCache>
            </c:strRef>
          </c:cat>
          <c:val>
            <c:numRef>
              <c:f>Sheet5!$D$2:$D$8</c:f>
              <c:numCache>
                <c:formatCode>General</c:formatCode>
                <c:ptCount val="7"/>
                <c:pt idx="0">
                  <c:v>12.6</c:v>
                </c:pt>
                <c:pt idx="1">
                  <c:v>13.1</c:v>
                </c:pt>
                <c:pt idx="2">
                  <c:v>16.7</c:v>
                </c:pt>
                <c:pt idx="3">
                  <c:v>18.5</c:v>
                </c:pt>
                <c:pt idx="4">
                  <c:v>19.7</c:v>
                </c:pt>
                <c:pt idx="5">
                  <c:v>22.6</c:v>
                </c:pt>
                <c:pt idx="6">
                  <c:v>24.1</c:v>
                </c:pt>
              </c:numCache>
            </c:numRef>
          </c:val>
          <c:smooth val="0"/>
          <c:extLst>
            <c:ext xmlns:c16="http://schemas.microsoft.com/office/drawing/2014/chart" uri="{C3380CC4-5D6E-409C-BE32-E72D297353CC}">
              <c16:uniqueId val="{00000002-484B-4DA4-B3FB-413892F8C420}"/>
            </c:ext>
          </c:extLst>
        </c:ser>
        <c:ser>
          <c:idx val="3"/>
          <c:order val="3"/>
          <c:tx>
            <c:strRef>
              <c:f>Sheet5!$E$1</c:f>
              <c:strCache>
                <c:ptCount val="1"/>
                <c:pt idx="0">
                  <c:v>Fruit yield per hectare (q)</c:v>
                </c:pt>
              </c:strCache>
            </c:strRef>
          </c:tx>
          <c:spPr>
            <a:ln w="28575" cap="rnd">
              <a:solidFill>
                <a:schemeClr val="accent4"/>
              </a:solidFill>
              <a:round/>
            </a:ln>
            <a:effectLst/>
          </c:spPr>
          <c:marker>
            <c:symbol val="circle"/>
            <c:size val="6"/>
            <c:spPr>
              <a:solidFill>
                <a:schemeClr val="accent4"/>
              </a:solidFill>
              <a:ln>
                <a:noFill/>
              </a:ln>
              <a:effectLst/>
            </c:spPr>
          </c:marker>
          <c:cat>
            <c:strRef>
              <c:f>Sheet5!$A$2:$A$8</c:f>
              <c:strCache>
                <c:ptCount val="7"/>
                <c:pt idx="0">
                  <c:v>T1</c:v>
                </c:pt>
                <c:pt idx="1">
                  <c:v>T2</c:v>
                </c:pt>
                <c:pt idx="2">
                  <c:v>T3</c:v>
                </c:pt>
                <c:pt idx="3">
                  <c:v>T4</c:v>
                </c:pt>
                <c:pt idx="4">
                  <c:v>T5</c:v>
                </c:pt>
                <c:pt idx="5">
                  <c:v>T6</c:v>
                </c:pt>
                <c:pt idx="6">
                  <c:v>T7</c:v>
                </c:pt>
              </c:strCache>
            </c:strRef>
          </c:cat>
          <c:val>
            <c:numRef>
              <c:f>Sheet5!$E$2:$E$8</c:f>
              <c:numCache>
                <c:formatCode>General</c:formatCode>
                <c:ptCount val="7"/>
                <c:pt idx="0">
                  <c:v>154.97999999999999</c:v>
                </c:pt>
                <c:pt idx="1">
                  <c:v>161.13</c:v>
                </c:pt>
                <c:pt idx="2">
                  <c:v>205.41</c:v>
                </c:pt>
                <c:pt idx="3">
                  <c:v>227.55</c:v>
                </c:pt>
                <c:pt idx="4">
                  <c:v>242.31</c:v>
                </c:pt>
                <c:pt idx="5">
                  <c:v>277.9799999999999</c:v>
                </c:pt>
                <c:pt idx="6">
                  <c:v>296.42999999999989</c:v>
                </c:pt>
              </c:numCache>
            </c:numRef>
          </c:val>
          <c:smooth val="0"/>
          <c:extLst>
            <c:ext xmlns:c16="http://schemas.microsoft.com/office/drawing/2014/chart" uri="{C3380CC4-5D6E-409C-BE32-E72D297353CC}">
              <c16:uniqueId val="{00000003-484B-4DA4-B3FB-413892F8C420}"/>
            </c:ext>
          </c:extLst>
        </c:ser>
        <c:dLbls>
          <c:showLegendKey val="0"/>
          <c:showVal val="0"/>
          <c:showCatName val="0"/>
          <c:showSerName val="0"/>
          <c:showPercent val="0"/>
          <c:showBubbleSize val="0"/>
        </c:dLbls>
        <c:marker val="1"/>
        <c:smooth val="0"/>
        <c:axId val="70039040"/>
        <c:axId val="70037504"/>
      </c:lineChart>
      <c:catAx>
        <c:axId val="7000140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2944"/>
        <c:crosses val="autoZero"/>
        <c:auto val="1"/>
        <c:lblAlgn val="ctr"/>
        <c:lblOffset val="100"/>
        <c:noMultiLvlLbl val="0"/>
      </c:catAx>
      <c:valAx>
        <c:axId val="7000294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01408"/>
        <c:crosses val="autoZero"/>
        <c:crossBetween val="between"/>
      </c:valAx>
      <c:valAx>
        <c:axId val="7003750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9040"/>
        <c:crosses val="max"/>
        <c:crossBetween val="between"/>
      </c:valAx>
      <c:catAx>
        <c:axId val="70039040"/>
        <c:scaling>
          <c:orientation val="minMax"/>
        </c:scaling>
        <c:delete val="1"/>
        <c:axPos val="b"/>
        <c:numFmt formatCode="General" sourceLinked="1"/>
        <c:majorTickMark val="none"/>
        <c:minorTickMark val="none"/>
        <c:tickLblPos val="nextTo"/>
        <c:crossAx val="70037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Sheet5!$C$12</c:f>
              <c:strCache>
                <c:ptCount val="1"/>
                <c:pt idx="0">
                  <c:v>pH</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val>
            <c:numRef>
              <c:f>Sheet5!$C$13:$C$19</c:f>
              <c:numCache>
                <c:formatCode>General</c:formatCode>
                <c:ptCount val="7"/>
                <c:pt idx="0">
                  <c:v>4.03</c:v>
                </c:pt>
                <c:pt idx="1">
                  <c:v>4.05</c:v>
                </c:pt>
                <c:pt idx="2">
                  <c:v>4.07</c:v>
                </c:pt>
                <c:pt idx="3">
                  <c:v>4.09</c:v>
                </c:pt>
                <c:pt idx="4">
                  <c:v>4.1099999999999985</c:v>
                </c:pt>
                <c:pt idx="5">
                  <c:v>4.13</c:v>
                </c:pt>
                <c:pt idx="6">
                  <c:v>4.1499999999999995</c:v>
                </c:pt>
              </c:numCache>
            </c:numRef>
          </c:val>
          <c:extLst>
            <c:ext xmlns:c16="http://schemas.microsoft.com/office/drawing/2014/chart" uri="{C3380CC4-5D6E-409C-BE32-E72D297353CC}">
              <c16:uniqueId val="{00000000-1AD8-4ACB-B44E-D247FA9FC733}"/>
            </c:ext>
          </c:extLst>
        </c:ser>
        <c:dLbls>
          <c:showLegendKey val="0"/>
          <c:showVal val="0"/>
          <c:showCatName val="0"/>
          <c:showSerName val="0"/>
          <c:showPercent val="0"/>
          <c:showBubbleSize val="0"/>
        </c:dLbls>
        <c:gapWidth val="219"/>
        <c:overlap val="-27"/>
        <c:axId val="70351104"/>
        <c:axId val="70361088"/>
      </c:barChart>
      <c:barChart>
        <c:barDir val="col"/>
        <c:grouping val="clustered"/>
        <c:varyColors val="0"/>
        <c:ser>
          <c:idx val="0"/>
          <c:order val="0"/>
          <c:tx>
            <c:strRef>
              <c:f>Sheet5!$B$12</c:f>
              <c:strCache>
                <c:ptCount val="1"/>
                <c:pt idx="0">
                  <c:v>Total soluble solids (°Brix)</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val>
            <c:numRef>
              <c:f>Sheet5!$B$13:$B$19</c:f>
              <c:numCache>
                <c:formatCode>General</c:formatCode>
                <c:ptCount val="7"/>
                <c:pt idx="0">
                  <c:v>1.1700000000000004</c:v>
                </c:pt>
                <c:pt idx="1">
                  <c:v>2.1</c:v>
                </c:pt>
                <c:pt idx="2">
                  <c:v>2.67</c:v>
                </c:pt>
                <c:pt idx="3">
                  <c:v>3.13</c:v>
                </c:pt>
                <c:pt idx="4">
                  <c:v>3.53</c:v>
                </c:pt>
                <c:pt idx="5">
                  <c:v>4.07</c:v>
                </c:pt>
                <c:pt idx="6">
                  <c:v>4.57</c:v>
                </c:pt>
              </c:numCache>
            </c:numRef>
          </c:val>
          <c:extLst>
            <c:ext xmlns:c16="http://schemas.microsoft.com/office/drawing/2014/chart" uri="{C3380CC4-5D6E-409C-BE32-E72D297353CC}">
              <c16:uniqueId val="{00000001-1AD8-4ACB-B44E-D247FA9FC733}"/>
            </c:ext>
          </c:extLst>
        </c:ser>
        <c:dLbls>
          <c:showLegendKey val="0"/>
          <c:showVal val="0"/>
          <c:showCatName val="0"/>
          <c:showSerName val="0"/>
          <c:showPercent val="0"/>
          <c:showBubbleSize val="0"/>
        </c:dLbls>
        <c:gapWidth val="219"/>
        <c:overlap val="-27"/>
        <c:axId val="70364160"/>
        <c:axId val="70362624"/>
      </c:barChart>
      <c:lineChart>
        <c:grouping val="stacked"/>
        <c:varyColors val="0"/>
        <c:ser>
          <c:idx val="2"/>
          <c:order val="2"/>
          <c:tx>
            <c:strRef>
              <c:f>Sheet5!$D$12</c:f>
              <c:strCache>
                <c:ptCount val="1"/>
                <c:pt idx="0">
                  <c:v>Fruit firmness (kg/cm2)</c:v>
                </c:pt>
              </c:strCache>
            </c:strRef>
          </c:tx>
          <c:spPr>
            <a:ln w="28575" cap="rnd">
              <a:solidFill>
                <a:schemeClr val="accent3"/>
              </a:solidFill>
              <a:round/>
            </a:ln>
            <a:effectLst/>
          </c:spPr>
          <c:marker>
            <c:symbol val="none"/>
          </c:marker>
          <c:val>
            <c:numRef>
              <c:f>Sheet5!$D$13:$D$19</c:f>
              <c:numCache>
                <c:formatCode>General</c:formatCode>
                <c:ptCount val="7"/>
                <c:pt idx="0">
                  <c:v>2.0099999999999998</c:v>
                </c:pt>
                <c:pt idx="1">
                  <c:v>3.2600000000000002</c:v>
                </c:pt>
                <c:pt idx="2">
                  <c:v>3.3299999999999992</c:v>
                </c:pt>
                <c:pt idx="3">
                  <c:v>3.52</c:v>
                </c:pt>
                <c:pt idx="4">
                  <c:v>3.68</c:v>
                </c:pt>
                <c:pt idx="5">
                  <c:v>4</c:v>
                </c:pt>
                <c:pt idx="6">
                  <c:v>4.13</c:v>
                </c:pt>
              </c:numCache>
            </c:numRef>
          </c:val>
          <c:smooth val="0"/>
          <c:extLst>
            <c:ext xmlns:c16="http://schemas.microsoft.com/office/drawing/2014/chart" uri="{C3380CC4-5D6E-409C-BE32-E72D297353CC}">
              <c16:uniqueId val="{00000002-1AD8-4ACB-B44E-D247FA9FC733}"/>
            </c:ext>
          </c:extLst>
        </c:ser>
        <c:ser>
          <c:idx val="3"/>
          <c:order val="3"/>
          <c:tx>
            <c:strRef>
              <c:f>Sheet5!$E$12</c:f>
              <c:strCache>
                <c:ptCount val="1"/>
                <c:pt idx="0">
                  <c:v>Dry matter (%)</c:v>
                </c:pt>
              </c:strCache>
            </c:strRef>
          </c:tx>
          <c:spPr>
            <a:ln w="28575" cap="rnd">
              <a:solidFill>
                <a:schemeClr val="accent4"/>
              </a:solidFill>
              <a:round/>
            </a:ln>
            <a:effectLst/>
          </c:spPr>
          <c:marker>
            <c:symbol val="circle"/>
            <c:size val="6"/>
            <c:spPr>
              <a:solidFill>
                <a:schemeClr val="accent4"/>
              </a:solidFill>
              <a:ln>
                <a:noFill/>
              </a:ln>
              <a:effectLst/>
            </c:spPr>
          </c:marker>
          <c:val>
            <c:numRef>
              <c:f>Sheet5!$E$13:$E$19</c:f>
              <c:numCache>
                <c:formatCode>General</c:formatCode>
                <c:ptCount val="7"/>
                <c:pt idx="0">
                  <c:v>4.07</c:v>
                </c:pt>
                <c:pt idx="1">
                  <c:v>4.7</c:v>
                </c:pt>
                <c:pt idx="2">
                  <c:v>4.84</c:v>
                </c:pt>
                <c:pt idx="3">
                  <c:v>5.1599999999999984</c:v>
                </c:pt>
                <c:pt idx="4">
                  <c:v>5.28</c:v>
                </c:pt>
                <c:pt idx="5">
                  <c:v>5.68</c:v>
                </c:pt>
                <c:pt idx="6">
                  <c:v>5.71</c:v>
                </c:pt>
              </c:numCache>
            </c:numRef>
          </c:val>
          <c:smooth val="0"/>
          <c:extLst>
            <c:ext xmlns:c16="http://schemas.microsoft.com/office/drawing/2014/chart" uri="{C3380CC4-5D6E-409C-BE32-E72D297353CC}">
              <c16:uniqueId val="{00000003-1AD8-4ACB-B44E-D247FA9FC733}"/>
            </c:ext>
          </c:extLst>
        </c:ser>
        <c:dLbls>
          <c:showLegendKey val="0"/>
          <c:showVal val="0"/>
          <c:showCatName val="0"/>
          <c:showSerName val="0"/>
          <c:showPercent val="0"/>
          <c:showBubbleSize val="0"/>
        </c:dLbls>
        <c:marker val="1"/>
        <c:smooth val="0"/>
        <c:axId val="70364160"/>
        <c:axId val="70362624"/>
      </c:lineChart>
      <c:catAx>
        <c:axId val="70351104"/>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1088"/>
        <c:crosses val="autoZero"/>
        <c:auto val="1"/>
        <c:lblAlgn val="ctr"/>
        <c:lblOffset val="100"/>
        <c:noMultiLvlLbl val="0"/>
      </c:catAx>
      <c:valAx>
        <c:axId val="7036108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51104"/>
        <c:crosses val="autoZero"/>
        <c:crossBetween val="between"/>
      </c:valAx>
      <c:valAx>
        <c:axId val="70362624"/>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64160"/>
        <c:crosses val="max"/>
        <c:crossBetween val="between"/>
      </c:valAx>
      <c:catAx>
        <c:axId val="70364160"/>
        <c:scaling>
          <c:orientation val="minMax"/>
        </c:scaling>
        <c:delete val="1"/>
        <c:axPos val="b"/>
        <c:majorTickMark val="none"/>
        <c:minorTickMark val="none"/>
        <c:tickLblPos val="nextTo"/>
        <c:crossAx val="70362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1AFC-F02A-4B0A-9F88-619FEA39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13</Pages>
  <Words>4848</Words>
  <Characters>27638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jayeshgarg63@gmail.com</dc:creator>
  <cp:keywords/>
  <dc:description/>
  <cp:lastModifiedBy>SDI 1084</cp:lastModifiedBy>
  <cp:revision>146</cp:revision>
  <dcterms:created xsi:type="dcterms:W3CDTF">2025-09-17T09:45:00Z</dcterms:created>
  <dcterms:modified xsi:type="dcterms:W3CDTF">2025-09-25T09:34:00Z</dcterms:modified>
</cp:coreProperties>
</file>