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979A7" w14:textId="77777777" w:rsidR="0062180F" w:rsidRDefault="0062180F" w:rsidP="0062180F">
      <w:pPr>
        <w:spacing w:after="0" w:line="240" w:lineRule="auto"/>
        <w:jc w:val="center"/>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Customers purchase perceptions in E-commerce transactions in Cameroon: Mirroring the Trust Factor</w:t>
      </w:r>
    </w:p>
    <w:p w14:paraId="77BAB02E" w14:textId="77777777" w:rsidR="007F2F79" w:rsidRPr="0062180F" w:rsidRDefault="007F2F79" w:rsidP="0062180F">
      <w:pPr>
        <w:spacing w:after="0" w:line="240" w:lineRule="auto"/>
        <w:jc w:val="center"/>
        <w:rPr>
          <w:rFonts w:ascii="Times New Roman" w:eastAsia="Times New Roman" w:hAnsi="Times New Roman" w:cs="Times New Roman"/>
          <w:b/>
          <w:sz w:val="20"/>
          <w:szCs w:val="20"/>
        </w:rPr>
      </w:pPr>
    </w:p>
    <w:p w14:paraId="09057AEF" w14:textId="10C1D02B" w:rsidR="007F2F79" w:rsidRDefault="007F2F79" w:rsidP="0062180F">
      <w:pPr>
        <w:spacing w:after="0" w:line="240" w:lineRule="auto"/>
        <w:jc w:val="both"/>
        <w:rPr>
          <w:rFonts w:ascii="Times New Roman" w:eastAsia="Times New Roman" w:hAnsi="Times New Roman" w:cs="Times New Roman"/>
          <w:i/>
          <w:sz w:val="20"/>
          <w:szCs w:val="20"/>
        </w:rPr>
      </w:pPr>
    </w:p>
    <w:p w14:paraId="765BA9A1" w14:textId="77777777" w:rsidR="00734273" w:rsidRPr="0062180F" w:rsidRDefault="00734273" w:rsidP="0062180F">
      <w:pPr>
        <w:spacing w:after="0" w:line="240" w:lineRule="auto"/>
        <w:jc w:val="both"/>
        <w:rPr>
          <w:rFonts w:ascii="Times New Roman" w:eastAsia="Times New Roman" w:hAnsi="Times New Roman" w:cs="Times New Roman"/>
          <w:i/>
          <w:sz w:val="20"/>
          <w:szCs w:val="20"/>
        </w:rPr>
      </w:pPr>
    </w:p>
    <w:p w14:paraId="5823588F" w14:textId="77777777" w:rsidR="000F1B43" w:rsidRPr="0062180F" w:rsidRDefault="000F1B43" w:rsidP="0062180F">
      <w:pPr>
        <w:spacing w:after="0" w:line="240" w:lineRule="auto"/>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Abstract</w:t>
      </w:r>
    </w:p>
    <w:p w14:paraId="5F093E5D"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b/>
          <w:sz w:val="20"/>
          <w:szCs w:val="20"/>
        </w:rPr>
        <w:t>Purpose:</w:t>
      </w:r>
      <w:r w:rsidRPr="0062180F">
        <w:rPr>
          <w:rFonts w:ascii="Times New Roman" w:eastAsia="Times New Roman" w:hAnsi="Times New Roman" w:cs="Times New Roman"/>
          <w:sz w:val="20"/>
          <w:szCs w:val="20"/>
        </w:rPr>
        <w:t xml:space="preserve"> Despite the growth of Electronic commerce over the past decades, a significant concern for the successful proliferation of e-commerce is the issue of consumers’ trust in Internet vendors. This study examines the customer perception factors on customer purchase decisions relative to e-commerce platforms, mirroring on the trust factor. </w:t>
      </w:r>
    </w:p>
    <w:p w14:paraId="00AA5C84"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b/>
          <w:sz w:val="20"/>
          <w:szCs w:val="20"/>
        </w:rPr>
        <w:t>Methodology:</w:t>
      </w:r>
      <w:r w:rsidRPr="0062180F">
        <w:rPr>
          <w:rFonts w:ascii="Times New Roman" w:eastAsia="Times New Roman" w:hAnsi="Times New Roman" w:cs="Times New Roman"/>
          <w:sz w:val="20"/>
          <w:szCs w:val="20"/>
        </w:rPr>
        <w:t xml:space="preserve"> The study adopted a survey research approach. Primary data was collected with the use of questionnaires administered to 234 participants. Ordinary least square (OLS) and Ordered Probit linear regression analyses were conducted to test the hypotheses of the study. Since the condition for OLS to be used is that the data variables should be continuous we used the Multiple Correspondence Analysis (MCA) to compute indexes for the data collected and it was converted into continuous variables. </w:t>
      </w:r>
    </w:p>
    <w:p w14:paraId="22ABE88E" w14:textId="77777777" w:rsidR="004224EF"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b/>
          <w:sz w:val="20"/>
          <w:szCs w:val="20"/>
        </w:rPr>
        <w:t>Findings:</w:t>
      </w:r>
      <w:r w:rsidRPr="0062180F">
        <w:rPr>
          <w:rFonts w:ascii="Times New Roman" w:eastAsia="Times New Roman" w:hAnsi="Times New Roman" w:cs="Times New Roman"/>
          <w:sz w:val="20"/>
          <w:szCs w:val="20"/>
        </w:rPr>
        <w:t xml:space="preserve"> The findings show that the way customers assess the security, the risk involved in purchasing online and the privacy or confidentiality policy of the e-commerce platforms significantly influence their purchase habits. Customers turn to purchase less regularly if they have negative perceptions of the platforms.  Further, results revealed that there is a significant partial mediation effect of customer trust as it diminishes the negative effect of customer and potential customer's perceived security and perceived risk on customer purchase decisions. In effect, customer perception influences customer trust positively or negatively and depending on the effect of perceptions on customer trust, customers are likely to modify their purchase decisions.  The researchers found that out of the factors studied, perceived security, perceived privacy, and perceived risk have a negative but significant effect on the purchase decisions of e-commerce customers when controlling for the mediator. The study recommends that despite the aforementioned factors which play a great part in determining how and why consumers buy on their platforms they should not under look at the infrastructure (internet, logistics, shipping) which hosts those platforms and how these products get to their customers.</w:t>
      </w:r>
    </w:p>
    <w:p w14:paraId="380556B2" w14:textId="77777777" w:rsidR="000F1B43" w:rsidRPr="0062180F" w:rsidRDefault="000F1B43" w:rsidP="0062180F">
      <w:pPr>
        <w:spacing w:after="0" w:line="240" w:lineRule="auto"/>
        <w:jc w:val="both"/>
        <w:rPr>
          <w:rFonts w:ascii="Times New Roman" w:hAnsi="Times New Roman" w:cs="Times New Roman"/>
          <w:sz w:val="20"/>
          <w:szCs w:val="20"/>
        </w:rPr>
      </w:pPr>
      <w:r w:rsidRPr="0062180F">
        <w:rPr>
          <w:rFonts w:ascii="Times New Roman" w:hAnsi="Times New Roman" w:cs="Times New Roman"/>
          <w:sz w:val="20"/>
          <w:szCs w:val="20"/>
        </w:rPr>
        <w:t>Originality/value: This study contributes to the body on knowledge on e-commerce and is of great value given the growing nature of digital transactions across the world</w:t>
      </w:r>
    </w:p>
    <w:p w14:paraId="3FDBB81A"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hAnsi="Times New Roman" w:cs="Times New Roman"/>
          <w:sz w:val="20"/>
          <w:szCs w:val="20"/>
        </w:rPr>
        <w:t xml:space="preserve">Key Words: </w:t>
      </w:r>
      <w:r w:rsidRPr="0062180F">
        <w:rPr>
          <w:rFonts w:ascii="Times New Roman" w:eastAsia="Times New Roman" w:hAnsi="Times New Roman" w:cs="Times New Roman"/>
          <w:sz w:val="20"/>
          <w:szCs w:val="20"/>
        </w:rPr>
        <w:t>Electronic commerce, consumers’ trust</w:t>
      </w:r>
    </w:p>
    <w:p w14:paraId="6B329FE6" w14:textId="77777777" w:rsidR="000F1B43" w:rsidRPr="0062180F" w:rsidRDefault="00FD5D96" w:rsidP="0062180F">
      <w:pPr>
        <w:pStyle w:val="Heading1"/>
        <w:spacing w:line="240" w:lineRule="auto"/>
        <w:jc w:val="both"/>
        <w:rPr>
          <w:rFonts w:ascii="Times New Roman" w:hAnsi="Times New Roman" w:cs="Times New Roman"/>
          <w:b/>
          <w:color w:val="auto"/>
          <w:sz w:val="20"/>
          <w:szCs w:val="20"/>
        </w:rPr>
      </w:pPr>
      <w:r w:rsidRPr="0062180F">
        <w:rPr>
          <w:rFonts w:ascii="Times New Roman" w:eastAsia="Verdana-Bold" w:hAnsi="Times New Roman" w:cs="Times New Roman"/>
          <w:b/>
          <w:bCs/>
          <w:color w:val="auto"/>
          <w:sz w:val="20"/>
          <w:szCs w:val="20"/>
        </w:rPr>
        <w:t>JEL Classification:</w:t>
      </w:r>
      <w:r w:rsidRPr="0062180F">
        <w:rPr>
          <w:rFonts w:ascii="Times New Roman" w:hAnsi="Times New Roman" w:cs="Times New Roman"/>
          <w:b/>
          <w:color w:val="auto"/>
          <w:sz w:val="20"/>
          <w:szCs w:val="20"/>
        </w:rPr>
        <w:t xml:space="preserve"> </w:t>
      </w:r>
      <w:r w:rsidRPr="0062180F">
        <w:rPr>
          <w:rFonts w:ascii="Times New Roman" w:hAnsi="Times New Roman" w:cs="Times New Roman"/>
          <w:b/>
          <w:bCs/>
          <w:color w:val="auto"/>
          <w:sz w:val="20"/>
          <w:szCs w:val="20"/>
          <w:bdr w:val="none" w:sz="0" w:space="0" w:color="auto" w:frame="1"/>
        </w:rPr>
        <w:t>M310, M150</w:t>
      </w:r>
      <w:r w:rsidRPr="0062180F">
        <w:rPr>
          <w:rFonts w:ascii="Times New Roman" w:hAnsi="Times New Roman" w:cs="Times New Roman"/>
          <w:color w:val="auto"/>
          <w:sz w:val="20"/>
          <w:szCs w:val="20"/>
          <w:shd w:val="clear" w:color="auto" w:fill="FFFFFF"/>
        </w:rPr>
        <w:t> </w:t>
      </w:r>
    </w:p>
    <w:p w14:paraId="102D2E52" w14:textId="77777777" w:rsidR="000F1B43" w:rsidRPr="0062180F" w:rsidRDefault="000F1B43" w:rsidP="0062180F">
      <w:pPr>
        <w:pStyle w:val="Heading1"/>
        <w:numPr>
          <w:ilvl w:val="0"/>
          <w:numId w:val="1"/>
        </w:numPr>
        <w:spacing w:line="240" w:lineRule="auto"/>
        <w:jc w:val="both"/>
        <w:rPr>
          <w:rFonts w:ascii="Times New Roman" w:hAnsi="Times New Roman" w:cs="Times New Roman"/>
          <w:b/>
          <w:color w:val="auto"/>
          <w:sz w:val="20"/>
          <w:szCs w:val="20"/>
        </w:rPr>
      </w:pPr>
      <w:r w:rsidRPr="0062180F">
        <w:rPr>
          <w:rFonts w:ascii="Times New Roman" w:hAnsi="Times New Roman" w:cs="Times New Roman"/>
          <w:b/>
          <w:color w:val="auto"/>
          <w:sz w:val="20"/>
          <w:szCs w:val="20"/>
        </w:rPr>
        <w:t>Introduction</w:t>
      </w:r>
    </w:p>
    <w:p w14:paraId="3056CBB1"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bookmarkStart w:id="0" w:name="_heading=h.26in1rg"/>
      <w:bookmarkEnd w:id="0"/>
      <w:r w:rsidRPr="0062180F">
        <w:rPr>
          <w:rFonts w:ascii="Times New Roman" w:eastAsia="Times New Roman" w:hAnsi="Times New Roman" w:cs="Times New Roman"/>
          <w:sz w:val="20"/>
          <w:szCs w:val="20"/>
        </w:rPr>
        <w:t xml:space="preserve">Globalization has ushered digital technologies with online market spaces becoming more and more important for business growth and competitiveness. For example, the World Bank Group &amp; Alibaba Group, (2019) reported that for the period 2016–2017, online retail business witnessed varied growth with the Asia and Pacific leading with a record of about 31%, followed by the Middle East, Africa, and Central Eastern Europe with 25%.  Further, in 2017, the e-commerce retail business global revenue generated stood at $2.3 trillion, with 59% of this revenue generated from the online retail business in the Asia and Pacific region while the Middle East and Africa accounted for just   1% of the revenue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&lt;EndNote&gt;&lt;Cite&gt;&lt;Author&gt;World Bank Group&lt;/Author&gt;&lt;Year&gt;2019&lt;/Year&gt;&lt;RecNum&gt;57&lt;/RecNum&gt;&lt;DisplayText&gt;(World Bank Group &amp;amp; Alibaba Group, 2019)&lt;/DisplayText&gt;&lt;record&gt;&lt;rec-number&gt;57&lt;/rec-number&gt;&lt;foreign-keys&gt;&lt;key app="EN" db-id="5sp2aea9gd29wrez25sprrstdte5wtztewfx" timestamp="1679032898"&gt;57&lt;/key&gt;&lt;/foreign-keys&gt;&lt;ref-type name="Book"&gt;6&lt;/ref-type&gt;&lt;contributors&gt;&lt;authors&gt;&lt;author&gt;World Bank Group,&lt;/author&gt;&lt;author&gt;Alibaba Group,&lt;/author&gt;&lt;/authors&gt;&lt;/contributors&gt;&lt;titles&gt;&lt;title&gt;E-commerce development experience from China overview&lt;/title&gt;&lt;/titles&gt;&lt;dates&gt;&lt;year&gt;2019&lt;/year&gt;&lt;/dates&gt;&lt;publisher&gt;Washington, D.C: World Bank Group&lt;/publisher&gt;&lt;urls&gt;&lt;related-urls&gt;&lt;url&gt;http://documents.worldbank.org/curated/en/823771574361853775/Overview&lt;/url&gt;&lt;/related-urls&gt;&lt;/urls&gt;&lt;/record&gt;&lt;/Cite&gt;&lt;/EndNote&gt;</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(World Bank Group &amp; Alibaba Group, 2019)</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 xml:space="preserve">. Apparently, the global retail market share value may be an indication of the extent to which e-commerce trade has been embraced in the Middle East and Africa.  </w:t>
      </w:r>
    </w:p>
    <w:p w14:paraId="0CD11F38"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In Africa, as of 2017, Nigeria, South Africa, and Kenya accounted for more than half of e-commerce shopping with Nigeria leading in terms of the number of shoppers and revenue generated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&lt;EndNote&gt;&lt;Cite&gt;&lt;Author&gt;The Asian Banker&lt;/Author&gt;&lt;Year&gt;2020&lt;/Year&gt;&lt;RecNum&gt;58&lt;/RecNum&gt;&lt;DisplayText&gt;(The Asian Banker, 2020)&lt;/DisplayText&gt;&lt;record&gt;&lt;rec-number&gt;58&lt;/rec-number&gt;&lt;foreign-keys&gt;&lt;key app="EN" db-id="5sp2aea9gd29wrez25sprrstdte5wtztewfx" timestamp="1679033405"&gt;58&lt;/key&gt;&lt;/foreign-keys&gt;&lt;ref-type name="Web Page"&gt;12&lt;/ref-type&gt;&lt;contributors&gt;&lt;authors&gt;&lt;author&gt;The Asian Banker,&lt;/author&gt;&lt;/authors&gt;&lt;/contributors&gt;&lt;titles&gt;&lt;title&gt;Nigeria, South Africa &amp;amp; Kenya dominate the e-commerce industry in Sub-Saharan Africa&lt;/title&gt;&lt;/titles&gt;&lt;volume&gt;2021&lt;/volume&gt;&lt;number&gt;August 15th&lt;/number&gt;&lt;dates&gt;&lt;year&gt;2020&lt;/year&gt;&lt;/dates&gt;&lt;urls&gt;&lt;related-urls&gt;&lt;url&gt;https://www.theasianbanker.com-nigeria-south-africa-kenya-dominate-the-e-commerce-industry-in-sub-saharan-africa&lt;/url&gt;&lt;/related-urls&gt;&lt;/urls&gt;&lt;/record&gt;&lt;/Cite&gt;&lt;/EndNote&gt;</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(The Asian Banker, 2020)</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 xml:space="preserve">. As noted by Alyoubi, (2015), African countries need to embrace e-commerce as it enhances economic integration, opens businesses to international markets and reduces operating costs for businesses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&lt;EndNote&gt;&lt;Cite&gt;&lt;Author&gt;Alyoubi&lt;/Author&gt;&lt;Year&gt;2015&lt;/Year&gt;&lt;RecNum&gt;55&lt;/RecNum&gt;&lt;DisplayText&gt;(Alyoubi, 2015)&lt;/DisplayText&gt;&lt;record&gt;&lt;rec-number&gt;55&lt;/rec-number&gt;&lt;foreign-keys&gt;&lt;key app="EN" db-id="5sp2aea9gd29wrez25sprrstdte5wtztewfx" timestamp="1679031824"&gt;55&lt;/key&gt;&lt;/foreign-keys&gt;&lt;ref-type name="Conference Paper"&gt;47&lt;/ref-type&gt;&lt;contributors&gt;&lt;authors&gt;&lt;author&gt;Alyoubi, A. A.&lt;/author&gt;&lt;/authors&gt;&lt;/contributors&gt;&lt;titles&gt;&lt;title&gt;E-commerce in Developing Countries and How to develop them During the Introduction of Modern Systems.&lt;/title&gt;&lt;secondary-title&gt;International Conference on Communication, Management and Information Technology (ICCMIT 2015)&lt;/secondary-title&gt;&lt;/titles&gt;&lt;pages&gt;479-483&lt;/pages&gt;&lt;dates&gt;&lt;year&gt;2015&lt;/year&gt;&lt;/dates&gt;&lt;urls&gt;&lt;related-urls&gt;&lt;url&gt;www.sciencedirect.com.&lt;/url&gt;&lt;/related-urls&gt;&lt;/urls&gt;&lt;/record&gt;&lt;/Cite&gt;&lt;/EndNote&gt;</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(Alyoubi, 2015)</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 xml:space="preserve">. Therefore, it may be argued that with the recent drives toward economic digitalization across Africa, e-commerce transactions may experience significant growth in Africa by 2030.  </w:t>
      </w:r>
    </w:p>
    <w:p w14:paraId="4DA7599F"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In Cameroon, the announcement of the emergence vision of the country by 2035 seems to have been a booster for e-commerce as more and more people are engaging in the use of the internet. For example, the number of internet users in Cameroon was reported to have increased from 10% in 2017 to 23% in 2017 and to 23.2% in 2019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&lt;EndNote&gt;&lt;Cite&gt;&lt;Author&gt;World Bank Group&lt;/Author&gt;&lt;Year&gt;2020&lt;/Year&gt;&lt;RecNum&gt;59&lt;/RecNum&gt;&lt;DisplayText&gt;(World Bank Group, 2020)&lt;/DisplayText&gt;&lt;record&gt;&lt;rec-number&gt;59&lt;/rec-number&gt;&lt;foreign-keys&gt;&lt;key app="EN" db-id="5sp2aea9gd29wrez25sprrstdte5wtztewfx" timestamp="1679034751"&gt;59&lt;/key&gt;&lt;/foreign-keys&gt;&lt;ref-type name="Book"&gt;6&lt;/ref-type&gt;&lt;contributors&gt;&lt;authors&gt;&lt;author&gt;World Bank Group,&lt;/author&gt;&lt;/authors&gt;&lt;/contributors&gt;&lt;titles&gt;&lt;title&gt;Cameroon Digital Economy Assessment. Digital Economy for Africa&lt;/title&gt;&lt;/titles&gt;&lt;dates&gt;&lt;year&gt;2020&lt;/year&gt;&lt;/dates&gt;&lt;publisher&gt;Washington, DC: World Bank Group&lt;/publisher&gt;&lt;urls&gt;&lt;related-urls&gt;&lt;url&gt;www.worldbankgroup.org &lt;/url&gt;&lt;/related-urls&gt;&lt;/urls&gt;&lt;/record&gt;&lt;/Cite&gt;&lt;/EndNote&gt;</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(World Bank Group, 2020)</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 xml:space="preserve">.  However, the low reported percentages of internet usage in Cameroon suggest that the rate of e-commerce transactions in Cameroon is still very low. Thus, this study mirrors the trust factor to examine customer purchase perceptions of e-commerce transactions in Cameroon. </w:t>
      </w:r>
    </w:p>
    <w:p w14:paraId="2825FE08"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As highlighted by</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&lt;EndNote&gt;&lt;Cite&gt;&lt;Author&gt;World Bank Group&lt;/Author&gt;&lt;Year&gt;2020&lt;/Year&gt;&lt;RecNum&gt;59&lt;/RecNum&gt;&lt;DisplayText&gt;(World Bank Group, 2020)&lt;/DisplayText&gt;&lt;record&gt;&lt;rec-number&gt;59&lt;/rec-number&gt;&lt;foreign-keys&gt;&lt;key app="EN" db-id="5sp2aea9gd29wrez25sprrstdte5wtztewfx" timestamp="1679034751"&gt;59&lt;/key&gt;&lt;/foreign-keys&gt;&lt;ref-type name="Book"&gt;6&lt;/ref-type&gt;&lt;contributors&gt;&lt;authors&gt;&lt;author&gt;World Bank Group,&lt;/author&gt;&lt;/authors&gt;&lt;/contributors&gt;&lt;titles&gt;&lt;title&gt;Cameroon Digital Economy Assessment. Digital Economy for Africa&lt;/title&gt;&lt;/titles&gt;&lt;dates&gt;&lt;year&gt;2020&lt;/year&gt;&lt;/dates&gt;&lt;publisher&gt;Washington, DC: World Bank Group&lt;/publisher&gt;&lt;urls&gt;&lt;related-urls&gt;&lt;url&gt;www.worldbankgroup.org &lt;/url&gt;&lt;/related-urls&gt;&lt;/urls&gt;&lt;/record&gt;&lt;/Cite&gt;&lt;/EndNote&gt;</w:instrText>
      </w:r>
      <w:r w:rsidRPr="0062180F">
        <w:rPr>
          <w:rFonts w:ascii="Times New Roman" w:eastAsia="Times New Roman" w:hAnsi="Times New Roman" w:cs="Times New Roman"/>
          <w:sz w:val="20"/>
          <w:szCs w:val="20"/>
        </w:rPr>
        <w:fldChar w:fldCharType="separate"/>
      </w:r>
      <w:r w:rsidRPr="0062180F">
        <w:rPr>
          <w:rFonts w:ascii="Times New Roman" w:hAnsi="Times New Roman" w:cs="Times New Roman"/>
          <w:sz w:val="20"/>
          <w:szCs w:val="20"/>
        </w:rPr>
        <w:t xml:space="preserve"> Reinartz et al.</w:t>
      </w:r>
      <w:r w:rsidRPr="0062180F">
        <w:rPr>
          <w:rFonts w:ascii="Times New Roman" w:eastAsia="Times New Roman" w:hAnsi="Times New Roman" w:cs="Times New Roman"/>
          <w:sz w:val="20"/>
          <w:szCs w:val="20"/>
        </w:rPr>
        <w:t>, (2019)</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 xml:space="preserve">. consumers have traditionally in the past made purchase decisions at the store shelves. These forced retailers to make efforts to physical convincing to influence the </w:t>
      </w:r>
      <w:proofErr w:type="spellStart"/>
      <w:r w:rsidRPr="0062180F">
        <w:rPr>
          <w:rFonts w:ascii="Times New Roman" w:eastAsia="Times New Roman" w:hAnsi="Times New Roman" w:cs="Times New Roman"/>
          <w:sz w:val="20"/>
          <w:szCs w:val="20"/>
        </w:rPr>
        <w:t>behaviors</w:t>
      </w:r>
      <w:proofErr w:type="spellEnd"/>
      <w:r w:rsidRPr="0062180F">
        <w:rPr>
          <w:rFonts w:ascii="Times New Roman" w:eastAsia="Times New Roman" w:hAnsi="Times New Roman" w:cs="Times New Roman"/>
          <w:sz w:val="20"/>
          <w:szCs w:val="20"/>
        </w:rPr>
        <w:t xml:space="preserve"> and preferences of buyers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&lt;EndNote&gt;&lt;Cite&gt;&lt;Author&gt;Reinartz&lt;/Author&gt;&lt;Year&gt;2019&lt;/Year&gt;&lt;RecNum&gt;60&lt;/RecNum&gt;&lt;DisplayText&gt;(Reinartz et al., 2019)&lt;/DisplayText&gt;&lt;record&gt;&lt;rec-number&gt;60&lt;/rec-number&gt;&lt;foreign-keys&gt;&lt;key app="EN" db-id="5sp2aea9gd29wrez25sprrstdte5wtztewfx" timestamp="1679035552"&gt;60&lt;/key&gt;&lt;/foreign-keys&gt;&lt;ref-type name="Journal Article"&gt;17&lt;/ref-type&gt;&lt;contributors&gt;&lt;authors&gt;&lt;author&gt;Reinartz, W.&lt;/author&gt;&lt;author&gt;Wiegand, N.&lt;/author&gt;&lt;author&gt;Imschloss, M.&lt;/author&gt;&lt;/authors&gt;&lt;/contributors&gt;&lt;titles&gt;&lt;title&gt;The impact of digital transformation on the retailing value chain&lt;/title&gt;&lt;secondary-title&gt;International Journal of Research in Marketing&lt;/secondary-title&gt;&lt;/titles&gt;&lt;periodical&gt;&lt;full-title&gt;International Journal of Research in Marketing&lt;/full-title&gt;&lt;/periodical&gt;&lt;pages&gt;350-366&lt;/pages&gt;&lt;volume&gt;36&lt;/volume&gt;&lt;number&gt;3&lt;/number&gt;&lt;dates&gt;&lt;year&gt;2019&lt;/year&gt;&lt;/dates&gt;&lt;urls&gt;&lt;/urls&gt;&lt;/record&gt;&lt;/Cite&gt;&lt;/EndNote&gt;</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(Reinartz et al., 2019)</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 xml:space="preserve">. Given that the advert of e-commerce eliminated physical presence and introduced video effects that influence customer involvement, preferences, and buying </w:t>
      </w:r>
      <w:proofErr w:type="spellStart"/>
      <w:r w:rsidRPr="0062180F">
        <w:rPr>
          <w:rFonts w:ascii="Times New Roman" w:eastAsia="Times New Roman" w:hAnsi="Times New Roman" w:cs="Times New Roman"/>
          <w:sz w:val="20"/>
          <w:szCs w:val="20"/>
        </w:rPr>
        <w:t>behaviors</w:t>
      </w:r>
      <w:proofErr w:type="spellEnd"/>
      <w:r w:rsidRPr="0062180F">
        <w:rPr>
          <w:rFonts w:ascii="Times New Roman" w:eastAsia="Times New Roman" w:hAnsi="Times New Roman" w:cs="Times New Roman"/>
          <w:sz w:val="20"/>
          <w:szCs w:val="20"/>
        </w:rPr>
        <w:t xml:space="preserve">, the new challenge </w:t>
      </w:r>
      <w:r w:rsidRPr="0062180F">
        <w:rPr>
          <w:rFonts w:ascii="Times New Roman" w:eastAsia="Times New Roman" w:hAnsi="Times New Roman" w:cs="Times New Roman"/>
          <w:sz w:val="20"/>
          <w:szCs w:val="20"/>
        </w:rPr>
        <w:lastRenderedPageBreak/>
        <w:t xml:space="preserve">that surfaced was that which was associated with having trust in what was displaced in the online shops and the authenticity of the shops. In Cameroon, there have been reported cases of fraud in online business which has scared many from embracing online shopping in Cameroon. Further, imaginary virtual products have been created to deceive buyers; many online e-commerce schemes have disappeared with the resources of many buyers and have never delivered products purchased, as issues of tractability remain a challenge; at the same time some online transactions have been associated with the product quality inconsistency when comparisons are made between what was advertised and what consumers received at the purchase completion stage after payment had long been done. </w:t>
      </w:r>
      <w:bookmarkStart w:id="1" w:name="_Toc76101073"/>
    </w:p>
    <w:bookmarkEnd w:id="1"/>
    <w:p w14:paraId="548F4781"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Against this background,</w:t>
      </w:r>
      <w:r w:rsidRPr="0062180F">
        <w:rPr>
          <w:rFonts w:ascii="Times New Roman" w:eastAsia="Times New Roman" w:hAnsi="Times New Roman" w:cs="Times New Roman"/>
          <w:b/>
          <w:sz w:val="20"/>
          <w:szCs w:val="20"/>
        </w:rPr>
        <w:t xml:space="preserve"> </w:t>
      </w:r>
      <w:r w:rsidRPr="0062180F">
        <w:rPr>
          <w:rFonts w:ascii="Times New Roman" w:eastAsia="Times New Roman" w:hAnsi="Times New Roman" w:cs="Times New Roman"/>
          <w:sz w:val="20"/>
          <w:szCs w:val="20"/>
        </w:rPr>
        <w:t xml:space="preserve">this study aims to evaluate the </w:t>
      </w:r>
      <w:r w:rsidRPr="0062180F">
        <w:rPr>
          <w:rFonts w:ascii="Times New Roman" w:hAnsi="Times New Roman" w:cs="Times New Roman"/>
          <w:sz w:val="20"/>
          <w:szCs w:val="20"/>
        </w:rPr>
        <w:t>role of the trust factor on customers' purchase perceptions in e-commerce transactions</w:t>
      </w:r>
      <w:r w:rsidRPr="0062180F">
        <w:rPr>
          <w:rFonts w:ascii="Times New Roman" w:eastAsia="Times New Roman" w:hAnsi="Times New Roman" w:cs="Times New Roman"/>
          <w:sz w:val="20"/>
          <w:szCs w:val="20"/>
        </w:rPr>
        <w:t xml:space="preserve"> </w:t>
      </w:r>
      <w:bookmarkStart w:id="2" w:name="_Toc76101074"/>
      <w:r w:rsidRPr="0062180F">
        <w:rPr>
          <w:rFonts w:ascii="Times New Roman" w:eastAsia="Times New Roman" w:hAnsi="Times New Roman" w:cs="Times New Roman"/>
          <w:sz w:val="20"/>
          <w:szCs w:val="20"/>
        </w:rPr>
        <w:t>in Cameroon, building on empirical evidence from</w:t>
      </w:r>
      <w:r w:rsidRPr="0062180F">
        <w:rPr>
          <w:rFonts w:ascii="Times New Roman" w:hAnsi="Times New Roman" w:cs="Times New Roman"/>
          <w:sz w:val="20"/>
          <w:szCs w:val="20"/>
        </w:rPr>
        <w:t xml:space="preserve"> data collected from </w:t>
      </w:r>
      <w:r w:rsidRPr="0062180F">
        <w:rPr>
          <w:rFonts w:ascii="Times New Roman" w:eastAsia="Times New Roman" w:hAnsi="Times New Roman" w:cs="Times New Roman"/>
          <w:sz w:val="20"/>
          <w:szCs w:val="20"/>
        </w:rPr>
        <w:t xml:space="preserve">Bamenda, Douala, and Yaoundé, leading cities in Cameroon. This study focuses on the trust factor to examine customers' purchase perceptions in e-commerce transactions in Cameroon, given the recent advances in technological development recorded in Cameroon. </w:t>
      </w:r>
    </w:p>
    <w:p w14:paraId="17B70E76"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bookmarkEnd w:id="2"/>
    <w:p w14:paraId="64B27C3D" w14:textId="77777777" w:rsidR="000F1B43" w:rsidRPr="0062180F" w:rsidRDefault="000F1B43" w:rsidP="0062180F">
      <w:pPr>
        <w:spacing w:after="0" w:line="240" w:lineRule="auto"/>
        <w:rPr>
          <w:rFonts w:ascii="Times New Roman" w:hAnsi="Times New Roman" w:cs="Times New Roman"/>
          <w:b/>
          <w:sz w:val="20"/>
          <w:szCs w:val="20"/>
        </w:rPr>
      </w:pPr>
      <w:r w:rsidRPr="0062180F">
        <w:rPr>
          <w:rFonts w:ascii="Times New Roman" w:hAnsi="Times New Roman" w:cs="Times New Roman"/>
          <w:b/>
          <w:sz w:val="20"/>
          <w:szCs w:val="20"/>
        </w:rPr>
        <w:t>2.Literature Review</w:t>
      </w:r>
    </w:p>
    <w:p w14:paraId="2E5512EB"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sz w:val="20"/>
          <w:szCs w:val="20"/>
        </w:rPr>
        <w:t>Advances in technology have resulted in mobile devices which when linked to the internet provide the opportunity for mobile commerce transactions to be conducted. Social media has become an important driver of e-commerce. For example, reports show that as of 2014, 85 percent of social media-originating sales recorded on the Shopify e-commerce platform according to </w:t>
      </w:r>
      <w:proofErr w:type="spellStart"/>
      <w:r w:rsidRPr="0062180F">
        <w:rPr>
          <w:rFonts w:ascii="Times New Roman" w:hAnsi="Times New Roman" w:cs="Times New Roman"/>
          <w:sz w:val="20"/>
          <w:szCs w:val="20"/>
        </w:rPr>
        <w:fldChar w:fldCharType="begin"/>
      </w:r>
      <w:r w:rsidRPr="0062180F">
        <w:rPr>
          <w:rFonts w:ascii="Times New Roman" w:hAnsi="Times New Roman" w:cs="Times New Roman"/>
          <w:sz w:val="20"/>
          <w:szCs w:val="20"/>
        </w:rPr>
        <w:instrText xml:space="preserve"> HYPERLINK "https://blog.paymill.com/social-media-ecommerce/" \h </w:instrText>
      </w:r>
      <w:r w:rsidRPr="0062180F">
        <w:rPr>
          <w:rFonts w:ascii="Times New Roman" w:hAnsi="Times New Roman" w:cs="Times New Roman"/>
          <w:sz w:val="20"/>
          <w:szCs w:val="20"/>
        </w:rPr>
        <w:fldChar w:fldCharType="separate"/>
      </w:r>
      <w:r w:rsidRPr="0062180F">
        <w:rPr>
          <w:rFonts w:ascii="Times New Roman" w:eastAsia="Times New Roman" w:hAnsi="Times New Roman" w:cs="Times New Roman"/>
          <w:sz w:val="20"/>
          <w:szCs w:val="20"/>
        </w:rPr>
        <w:t>Paymill</w:t>
      </w:r>
      <w:proofErr w:type="spellEnd"/>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 xml:space="preserve"> were driven by Facebook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&lt;EndNote&gt;&lt;Cite&gt;&lt;Author&gt;Njilah&lt;/Author&gt;&lt;Year&gt;2016&lt;/Year&gt;&lt;RecNum&gt;63&lt;/RecNum&gt;&lt;DisplayText&gt;(Njilah, 2016)&lt;/DisplayText&gt;&lt;record&gt;&lt;rec-number&gt;63&lt;/rec-number&gt;&lt;foreign-keys&gt;&lt;key app="EN" db-id="5sp2aea9gd29wrez25sprrstdte5wtztewfx" timestamp="1679037846"&gt;63&lt;/key&gt;&lt;/foreign-keys&gt;&lt;ref-type name="Web Page"&gt;12&lt;/ref-type&gt;&lt;contributors&gt;&lt;authors&gt;&lt;author&gt;Njilah, D.&lt;/author&gt;&lt;/authors&gt;&lt;/contributors&gt;&lt;titles&gt;&lt;title&gt;Prospects and Challenges of E-commerce in Cameroon&lt;/title&gt;&lt;/titles&gt;&lt;volume&gt;2021&lt;/volume&gt;&lt;number&gt;August 12th&lt;/number&gt;&lt;dates&gt;&lt;year&gt;2016&lt;/year&gt;&lt;/dates&gt;&lt;urls&gt;&lt;related-urls&gt;&lt;url&gt;https://www.academia.edu/23163513/Prospects_and_challenges_of_Ecommerce_in_Cameroon&lt;/url&gt;&lt;/related-urls&gt;&lt;/urls&gt;&lt;/record&gt;&lt;/Cite&gt;&lt;/EndNote&gt;</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(Njilah, 2016)</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w:t>
      </w:r>
    </w:p>
    <w:p w14:paraId="10C38449"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 xml:space="preserve">2.1 Electronic commerce and the adoption of electronic commerce </w:t>
      </w:r>
    </w:p>
    <w:p w14:paraId="37B69FDD"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Electronic commerce (E-commerce) is basically about conducting business transactions by making use of telecommunications networks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&lt;EndNote&gt;&lt;Cite&gt;&lt;Author&gt;Zwass&lt;/Author&gt;&lt;Year&gt;1996&lt;/Year&gt;&lt;RecNum&gt;61&lt;/RecNum&gt;&lt;DisplayText&gt;(Zwass, 1996)&lt;/DisplayText&gt;&lt;record&gt;&lt;rec-number&gt;61&lt;/rec-number&gt;&lt;foreign-keys&gt;&lt;key app="EN" db-id="5sp2aea9gd29wrez25sprrstdte5wtztewfx" timestamp="1679035782"&gt;61&lt;/key&gt;&lt;/foreign-keys&gt;&lt;ref-type name="Journal Article"&gt;17&lt;/ref-type&gt;&lt;contributors&gt;&lt;authors&gt;&lt;author&gt;Zwass, V.&lt;/author&gt;&lt;/authors&gt;&lt;/contributors&gt;&lt;titles&gt;&lt;title&gt;Electronic Commerce: Structures and Issues&lt;/title&gt;&lt;secondary-title&gt;International Journal of Electronic Commerce&lt;/secondary-title&gt;&lt;/titles&gt;&lt;periodical&gt;&lt;full-title&gt;International Journal of Electronic Commerce&lt;/full-title&gt;&lt;/periodical&gt;&lt;pages&gt;3-23&lt;/pages&gt;&lt;volume&gt;1&lt;/volume&gt;&lt;dates&gt;&lt;year&gt;1996&lt;/year&gt;&lt;/dates&gt;&lt;urls&gt;&lt;/urls&gt;&lt;/record&gt;&lt;/Cite&gt;&lt;/EndNote&gt;</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(Zwass, 1996)</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 xml:space="preserve">. At the </w:t>
      </w:r>
      <w:proofErr w:type="spellStart"/>
      <w:r w:rsidRPr="0062180F">
        <w:rPr>
          <w:rFonts w:ascii="Times New Roman" w:eastAsia="Times New Roman" w:hAnsi="Times New Roman" w:cs="Times New Roman"/>
          <w:sz w:val="20"/>
          <w:szCs w:val="20"/>
        </w:rPr>
        <w:t>center</w:t>
      </w:r>
      <w:proofErr w:type="spellEnd"/>
      <w:r w:rsidRPr="0062180F">
        <w:rPr>
          <w:rFonts w:ascii="Times New Roman" w:eastAsia="Times New Roman" w:hAnsi="Times New Roman" w:cs="Times New Roman"/>
          <w:sz w:val="20"/>
          <w:szCs w:val="20"/>
        </w:rPr>
        <w:t xml:space="preserve"> of e-commerce transactions is the exchange of value be it money for goods and/or services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&lt;EndNote&gt;&lt;Cite&gt;&lt;Author&gt;Laudon&lt;/Author&gt;&lt;Year&gt;2014&lt;/Year&gt;&lt;RecNum&gt;62&lt;/RecNum&gt;&lt;DisplayText&gt;(Laudon, 2014)&lt;/DisplayText&gt;&lt;record&gt;&lt;rec-number&gt;62&lt;/rec-number&gt;&lt;foreign-keys&gt;&lt;key app="EN" db-id="5sp2aea9gd29wrez25sprrstdte5wtztewfx" timestamp="1679037718"&gt;62&lt;/key&gt;&lt;/foreign-keys&gt;&lt;ref-type name="Book"&gt;6&lt;/ref-type&gt;&lt;contributors&gt;&lt;authors&gt;&lt;author&gt;Laudon, K. C.&lt;/author&gt;&lt;/authors&gt;&lt;/contributors&gt;&lt;titles&gt;&lt;title&gt; E-commerce: Business, technology, society global&lt;/title&gt;&lt;/titles&gt;&lt;edition&gt;10th&lt;/edition&gt;&lt;dates&gt;&lt;year&gt;2014&lt;/year&gt;&lt;/dates&gt;&lt;publisher&gt;New Jersey: Pearson Education, Inc.&lt;/publisher&gt;&lt;urls&gt;&lt;/urls&gt;&lt;electronic-resource-num&gt;10987654321&lt;/electronic-resource-num&gt;&lt;/record&gt;&lt;/Cite&gt;&lt;/EndNote&gt;</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(Laudon, 2014)</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 xml:space="preserve">. Consumer’s perceptions of security, especially their personal information shared during e-commerce transactions remains a key factor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&lt;EndNote&gt;&lt;Cite&gt;&lt;Author&gt;Chellappa&lt;/Author&gt;&lt;Year&gt;2002&lt;/Year&gt;&lt;RecNum&gt;64&lt;/RecNum&gt;&lt;DisplayText&gt;(Chellappa &amp;amp; Pavlou, 2002)&lt;/DisplayText&gt;&lt;record&gt;&lt;rec-number&gt;64&lt;/rec-number&gt;&lt;foreign-keys&gt;&lt;key app="EN" db-id="5sp2aea9gd29wrez25sprrstdte5wtztewfx" timestamp="1679038053"&gt;64&lt;/key&gt;&lt;/foreign-keys&gt;&lt;ref-type name="Journal Article"&gt;17&lt;/ref-type&gt;&lt;contributors&gt;&lt;authors&gt;&lt;author&gt;Chellappa, R. K.&lt;/author&gt;&lt;author&gt;Pavlou, P. A.&lt;/author&gt;&lt;/authors&gt;&lt;/contributors&gt;&lt;titles&gt;&lt;title&gt;Perceived information security, financial liability, and consumer trust in electronic commerce transactions&lt;/title&gt;&lt;secondary-title&gt; Logistics Information Management&lt;/secondary-title&gt;&lt;/titles&gt;&lt;pages&gt;358–368&lt;/pages&gt;&lt;volume&gt;15&lt;/volume&gt;&lt;number&gt;5/6&lt;/number&gt;&lt;dates&gt;&lt;year&gt;2002&lt;/year&gt;&lt;/dates&gt;&lt;urls&gt;&lt;/urls&gt;&lt;/record&gt;&lt;/Cite&gt;&lt;/EndNote&gt;</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(Chellappa &amp; Pavlou, 2002)</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 xml:space="preserve">, especially as the internet space has in some situations been viewed as a highly unsecured environment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&lt;EndNote&gt;&lt;Cite&gt;&lt;Author&gt;Raman&lt;/Author&gt;&lt;Year&gt;2011&lt;/Year&gt;&lt;RecNum&gt;65&lt;/RecNum&gt;&lt;DisplayText&gt;(Raman &amp;amp; Annamalai, 2011)&lt;/DisplayText&gt;&lt;record&gt;&lt;rec-number&gt;65&lt;/rec-number&gt;&lt;foreign-keys&gt;&lt;key app="EN" db-id="5sp2aea9gd29wrez25sprrstdte5wtztewfx" timestamp="1679038225"&gt;65&lt;/key&gt;&lt;/foreign-keys&gt;&lt;ref-type name="Conference Paper"&gt;47&lt;/ref-type&gt;&lt;contributors&gt;&lt;authors&gt;&lt;author&gt;Raman, A.&lt;/author&gt;&lt;author&gt;Annamalai, V.&lt;/author&gt;&lt;/authors&gt;&lt;/contributors&gt;&lt;titles&gt;&lt;title&gt;Web Services and e-Shopping Decisions: A Study on Malaysian e-Consumer&lt;/title&gt;&lt;secondary-title&gt;3rd International Conference on Wireless Information Networks &amp;amp; Business Information System (WINBIS-2011)&lt;/secondary-title&gt;&lt;/titles&gt;&lt;pages&gt;8– 13&lt;/pages&gt;&lt;dates&gt;&lt;year&gt;2011&lt;/year&gt;&lt;/dates&gt;&lt;pub-location&gt;Putra Nilai, Malaysia&lt;/pub-location&gt;&lt;publisher&gt;International Journal of Computer Applications® (IJCA)&lt;/publisher&gt;&lt;urls&gt;&lt;/urls&gt;&lt;/record&gt;&lt;/Cite&gt;&lt;/EndNote&gt;</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(Raman &amp; Annamalai, 2011)</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 xml:space="preserve">. Therefore, customers will more likely have trust when they have a feeling that an e-commerce site has the potential to secure their data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&lt;EndNote&gt;&lt;Cite&gt;&lt;Author&gt;Guinaliu&lt;/Author&gt;&lt;Year&gt;2006&lt;/Year&gt;&lt;RecNum&gt;67&lt;/RecNum&gt;&lt;DisplayText&gt;(Guinaliu, 2006; Teltzrow &amp;amp; Kobsa, 2003)&lt;/DisplayText&gt;&lt;record&gt;&lt;rec-number&gt;67&lt;/rec-number&gt;&lt;foreign-keys&gt;&lt;key app="EN" db-id="5sp2aea9gd29wrez25sprrstdte5wtztewfx" timestamp="1679038749"&gt;67&lt;/key&gt;&lt;/foreign-keys&gt;&lt;ref-type name="Journal Article"&gt;17&lt;/ref-type&gt;&lt;contributors&gt;&lt;authors&gt;&lt;author&gt;Guinaliu, F. A.&lt;/author&gt;&lt;/authors&gt;&lt;/contributors&gt;&lt;titles&gt;&lt;title&gt;Consumer trust, perceived security, and privacy policy: Three basic elements of loyalty to a website&lt;/title&gt;&lt;secondary-title&gt;Industrial Management &amp;amp; Data Systems&lt;/secondary-title&gt;&lt;/titles&gt;&lt;periodical&gt;&lt;full-title&gt;Industrial Management &amp;amp; Data Systems&lt;/full-title&gt;&lt;/periodical&gt;&lt;pages&gt;601-620&lt;/pages&gt;&lt;volume&gt;106&lt;/volume&gt;&lt;number&gt;5&lt;/number&gt;&lt;dates&gt;&lt;year&gt;2006&lt;/year&gt;&lt;/dates&gt;&lt;urls&gt;&lt;/urls&gt;&lt;/record&gt;&lt;/Cite&gt;&lt;Cite&gt;&lt;Author&gt;Teltzrow&lt;/Author&gt;&lt;Year&gt;2003&lt;/Year&gt;&lt;RecNum&gt;86&lt;/RecNum&gt;&lt;record&gt;&lt;rec-number&gt;86&lt;/rec-number&gt;&lt;foreign-keys&gt;&lt;key app="EN" db-id="5sp2aea9gd29wrez25sprrstdte5wtztewfx" timestamp="1679047770"&gt;86&lt;/key&gt;&lt;/foreign-keys&gt;&lt;ref-type name="Journal Article"&gt;17&lt;/ref-type&gt;&lt;contributors&gt;&lt;authors&gt;&lt;author&gt;Teltzrow, Maximilian&lt;/author&gt;&lt;author&gt;Kobsa, Alfred&lt;/author&gt;&lt;/authors&gt;&lt;/contributors&gt;&lt;titles&gt;&lt;title&gt;Impacts of User Privacy Preferences on Personalized Systems - a Comparative Study&lt;/title&gt;&lt;/titles&gt;&lt;dates&gt;&lt;year&gt;2003&lt;/year&gt;&lt;pub-dates&gt;&lt;date&gt;04/12&lt;/date&gt;&lt;/pub-dates&gt;&lt;/dates&gt;&lt;isbn&gt;978-1-4020-2147-3&lt;/isbn&gt;&lt;urls&gt;&lt;/urls&gt;&lt;electronic-resource-num&gt;10.1007/1-4020-2148-8_17&lt;/electronic-resource-num&gt;&lt;/record&gt;&lt;/Cite&gt;&lt;/EndNote&gt;</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(Guinaliu, 2006; Teltzrow &amp; Kobsa, 2003)</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 xml:space="preserve">, and such trust contributes significantly to the extent to which shoppers’ complete online purchases transactions once initiated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EN.CITE.DATA </w:instrTex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(Belanger et al., 2002; Dai et al., 2014; Sahney et al., 2013)</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 xml:space="preserve">.  As observed by Tsao, (2016), website design and quality significantly influence customer trust and hence online loyalty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&lt;EndNote&gt;&lt;Cite&gt;&lt;Author&gt;Tsao&lt;/Author&gt;&lt;Year&gt;2016&lt;/Year&gt;&lt;RecNum&gt;68&lt;/RecNum&gt;&lt;DisplayText&gt;(Tsao, 2016)&lt;/DisplayText&gt;&lt;record&gt;&lt;rec-number&gt;68&lt;/rec-number&gt;&lt;foreign-keys&gt;&lt;key app="EN" db-id="5sp2aea9gd29wrez25sprrstdte5wtztewfx" timestamp="1679039296"&gt;68&lt;/key&gt;&lt;/foreign-keys&gt;&lt;ref-type name="Journal Article"&gt;17&lt;/ref-type&gt;&lt;contributors&gt;&lt;authors&gt;&lt;author&gt;Tsao, W. C.&lt;/author&gt;&lt;/authors&gt;&lt;/contributors&gt;&lt;titles&gt;&lt;title&gt;Intensifying online loyalty! The power of website quality and perceived value of the consumer/seller relationship&lt;/title&gt;&lt;secondary-title&gt;Industrial Management &amp;amp; Data Systems&lt;/secondary-title&gt;&lt;/titles&gt;&lt;periodical&gt;&lt;full-title&gt;Industrial Management &amp;amp; Data Systems&lt;/full-title&gt;&lt;/periodical&gt;&lt;pages&gt;116&lt;/pages&gt;&lt;dates&gt;&lt;year&gt;2016&lt;/year&gt;&lt;/dates&gt;&lt;urls&gt;&lt;/urls&gt;&lt;electronic-resource-num&gt;10.1108/IMDS-07-2015-0293&lt;/electronic-resource-num&gt;&lt;/record&gt;&lt;/Cite&gt;&lt;/EndNote&gt;</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(Tsao, 2016)</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 xml:space="preserve">. Thus web designed websites perceived to be of quality by customers are more likely to be highly trusted and as such more online purchase transactions are likely to be completed on such platforms.  Furthermore, Akram, (2018) adds that online buying decisions go beyond website quality to include the entire experience which begins with clicking on the different links on the website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&lt;EndNote&gt;&lt;Cite&gt;&lt;Author&gt;Akram&lt;/Author&gt;&lt;Year&gt;2018&lt;/Year&gt;&lt;RecNum&gt;53&lt;/RecNum&gt;&lt;DisplayText&gt;(Akram, 2018)&lt;/DisplayText&gt;&lt;record&gt;&lt;rec-number&gt;53&lt;/rec-number&gt;&lt;foreign-keys&gt;&lt;key app="EN" db-id="5sp2aea9gd29wrez25sprrstdte5wtztewfx" timestamp="1679031044"&gt;53&lt;/key&gt;&lt;/foreign-keys&gt;&lt;ref-type name="Journal Article"&gt;17&lt;/ref-type&gt;&lt;contributors&gt;&lt;authors&gt;&lt;author&gt;Akram, U. A. &lt;/author&gt;&lt;/authors&gt;&lt;/contributors&gt;&lt;titles&gt;&lt;title&gt;Factors Affecting Online Impulse Buying: Evidence from Chinese Social Commerce Environment&lt;/title&gt;&lt;secondary-title&gt;Sustainability&lt;/secondary-title&gt;&lt;/titles&gt;&lt;periodical&gt;&lt;full-title&gt;Sustainability&lt;/full-title&gt;&lt;/periodical&gt;&lt;pages&gt;352&lt;/pages&gt;&lt;volume&gt;10&lt;/volume&gt;&lt;dates&gt;&lt;year&gt;2018&lt;/year&gt;&lt;/dates&gt;&lt;urls&gt;&lt;/urls&gt;&lt;electronic-resource-num&gt;10.3390/su10020352&lt;/electronic-resource-num&gt;&lt;/record&gt;&lt;/Cite&gt;&lt;/EndNote&gt;</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(Akram, 2018)</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 xml:space="preserve">. Therefore, it may be argued that website design, service quality provided and all the in-build service features provided significantly influence the development of trust by customers to maintain a relationship with an e-commerce platform. The building of trust on an e-commerce platform goes beyond just website design to include the personal instincts of customers that make them develop a perception of potential risk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&lt;EndNote&gt;&lt;Cite&gt;&lt;Author&gt;Dowling&lt;/Author&gt;&lt;Year&gt;1994&lt;/Year&gt;&lt;RecNum&gt;69&lt;/RecNum&gt;&lt;DisplayText&gt;(Dowling, 1994; Miyazaki &amp;amp; Fernandez, 2001)&lt;/DisplayText&gt;&lt;record&gt;&lt;rec-number&gt;69&lt;/rec-number&gt;&lt;foreign-keys&gt;&lt;key app="EN" db-id="5sp2aea9gd29wrez25sprrstdte5wtztewfx" timestamp="1679039543"&gt;69&lt;/key&gt;&lt;/foreign-keys&gt;&lt;ref-type name="Journal Article"&gt;17&lt;/ref-type&gt;&lt;contributors&gt;&lt;authors&gt;&lt;author&gt;Dowling, G. A.&lt;/author&gt;&lt;/authors&gt;&lt;/contributors&gt;&lt;titles&gt;&lt;title&gt;A Model of Perceived Risk and Intended Risk-Handling Activity&lt;/title&gt;&lt;secondary-title&gt; Journal of Consumer Research&lt;/secondary-title&gt;&lt;/titles&gt;&lt;pages&gt;119-34&lt;/pages&gt;&lt;volume&gt;21&lt;/volume&gt;&lt;dates&gt;&lt;year&gt;1994&lt;/year&gt;&lt;/dates&gt;&lt;urls&gt;&lt;/urls&gt;&lt;electronic-resource-num&gt;10.1086/209386&lt;/electronic-resource-num&gt;&lt;/record&gt;&lt;/Cite&gt;&lt;Cite&gt;&lt;Author&gt;Miyazaki&lt;/Author&gt;&lt;Year&gt;2001&lt;/Year&gt;&lt;RecNum&gt;70&lt;/RecNum&gt;&lt;record&gt;&lt;rec-number&gt;70&lt;/rec-number&gt;&lt;foreign-keys&gt;&lt;key app="EN" db-id="5sp2aea9gd29wrez25sprrstdte5wtztewfx" timestamp="1679039713"&gt;70&lt;/key&gt;&lt;/foreign-keys&gt;&lt;ref-type name="Journal Article"&gt;17&lt;/ref-type&gt;&lt;contributors&gt;&lt;authors&gt;&lt;author&gt;Miyazaki, A.&lt;/author&gt;&lt;author&gt;Fernandez, A. N. A.&lt;/author&gt;&lt;/authors&gt;&lt;/contributors&gt;&lt;titles&gt;&lt;title&gt; Consumer Perceptions of Privacy and Security Risks for Online Shopping&lt;/title&gt;&lt;secondary-title&gt;Journal of Consumer Affairs&lt;/secondary-title&gt;&lt;/titles&gt;&lt;periodical&gt;&lt;full-title&gt;Journal of Consumer Affairs&lt;/full-title&gt;&lt;/periodical&gt;&lt;pages&gt;27-44&lt;/pages&gt;&lt;volume&gt; 35&lt;/volume&gt;&lt;dates&gt;&lt;year&gt;2001&lt;/year&gt;&lt;/dates&gt;&lt;urls&gt;&lt;/urls&gt;&lt;electronic-resource-num&gt;10.1111/j.1745-6606.2001.tb00101&lt;/electronic-resource-num&gt;&lt;/record&gt;&lt;/Cite&gt;&lt;/EndNote&gt;</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(Dowling, 1994; Miyazaki &amp; Fernandez, 2001)</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 xml:space="preserve">. </w:t>
      </w:r>
      <w:bookmarkStart w:id="3" w:name="_Toc76179896"/>
    </w:p>
    <w:p w14:paraId="741FB5BA"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p w14:paraId="7F8B959B" w14:textId="77777777" w:rsidR="000F1B43" w:rsidRPr="0062180F" w:rsidRDefault="000F1B43" w:rsidP="0062180F">
      <w:pPr>
        <w:spacing w:after="0" w:line="240" w:lineRule="auto"/>
        <w:jc w:val="both"/>
        <w:rPr>
          <w:rFonts w:ascii="Times New Roman" w:hAnsi="Times New Roman" w:cs="Times New Roman"/>
          <w:b/>
          <w:sz w:val="20"/>
          <w:szCs w:val="20"/>
        </w:rPr>
      </w:pPr>
      <w:r w:rsidRPr="0062180F">
        <w:rPr>
          <w:rFonts w:ascii="Times New Roman" w:hAnsi="Times New Roman" w:cs="Times New Roman"/>
          <w:b/>
          <w:sz w:val="20"/>
          <w:szCs w:val="20"/>
        </w:rPr>
        <w:t xml:space="preserve">2.2 Customer trust and Electronic commerce </w:t>
      </w:r>
    </w:p>
    <w:p w14:paraId="28F75106"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hAnsi="Times New Roman" w:cs="Times New Roman"/>
          <w:sz w:val="20"/>
          <w:szCs w:val="20"/>
        </w:rPr>
        <w:t>Many online customers have been hindered by several factors to adopt electronic commerce. Some customers do not trust the actors which they consider as major barrier to the adoption of electronic commerce. Many author have come to several conclusions on the factor of trust. Trust can be considered as the intention to take some risk while considering the characteristics of the online seller (Cheung and Lee, 2006 and Pavlou, 2003). Considering the characteristics of the online business can also impact the decision to adopt electronic commerce (Mayer et al., 1995). Trust is key in determining the decision of a customer to adopt online transactions (</w:t>
      </w:r>
      <w:proofErr w:type="spellStart"/>
      <w:r w:rsidRPr="0062180F">
        <w:rPr>
          <w:rFonts w:ascii="Times New Roman" w:eastAsia="Times New Roman" w:hAnsi="Times New Roman" w:cs="Times New Roman"/>
          <w:sz w:val="20"/>
          <w:szCs w:val="20"/>
        </w:rPr>
        <w:t>Jarvenpaa</w:t>
      </w:r>
      <w:proofErr w:type="spellEnd"/>
      <w:r w:rsidRPr="0062180F">
        <w:rPr>
          <w:rFonts w:ascii="Times New Roman" w:eastAsia="Times New Roman" w:hAnsi="Times New Roman" w:cs="Times New Roman"/>
          <w:sz w:val="20"/>
          <w:szCs w:val="20"/>
        </w:rPr>
        <w:t xml:space="preserve"> et al., 1998). According to their research, perceived trustworthiness, perceived security and perceived risk are the dimensions that explain the decision to adopt electronic commerce.</w:t>
      </w:r>
      <w:r w:rsidRPr="0062180F">
        <w:rPr>
          <w:rFonts w:ascii="Times New Roman" w:hAnsi="Times New Roman" w:cs="Times New Roman"/>
          <w:sz w:val="20"/>
          <w:szCs w:val="20"/>
        </w:rPr>
        <w:t xml:space="preserve"> </w:t>
      </w:r>
      <w:proofErr w:type="spellStart"/>
      <w:r w:rsidRPr="0062180F">
        <w:rPr>
          <w:rFonts w:ascii="Times New Roman" w:hAnsi="Times New Roman" w:cs="Times New Roman"/>
          <w:sz w:val="20"/>
          <w:szCs w:val="20"/>
        </w:rPr>
        <w:t>Nikhashem</w:t>
      </w:r>
      <w:proofErr w:type="spellEnd"/>
      <w:r w:rsidRPr="0062180F">
        <w:rPr>
          <w:rFonts w:ascii="Times New Roman" w:hAnsi="Times New Roman" w:cs="Times New Roman"/>
          <w:sz w:val="20"/>
          <w:szCs w:val="20"/>
        </w:rPr>
        <w:t xml:space="preserve"> et al. (2011) on online ticketing in Malaysia suggested that customer trustfulness has positive impact on consumer perception about e-ticketing. Studies have indicated that trust is essential for the success of e-commerce activities (Crowell, 2011, Hoffman et al., 1999) and trust in online shopping malls is central to e-commerce (Reichheld and Schefter, 2000). Customers intention can also be explained </w:t>
      </w:r>
      <w:r w:rsidRPr="0062180F">
        <w:rPr>
          <w:rFonts w:ascii="Times New Roman" w:eastAsia="Times New Roman" w:hAnsi="Times New Roman" w:cs="Times New Roman"/>
          <w:sz w:val="20"/>
          <w:szCs w:val="20"/>
        </w:rPr>
        <w:t xml:space="preserve">Once some consumers build trust in specific online platforms, they tend to recommend such sites as trustworthy to others increasing traffic on such sites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&lt;EndNote&gt;&lt;Cite&gt;&lt;Author&gt;Hong&lt;/Author&gt;&lt;Year&gt;2015&lt;/Year&gt;&lt;RecNum&gt;71&lt;/RecNum&gt;&lt;DisplayText&gt;(Hong, 2015)&lt;/DisplayText&gt;&lt;record&gt;&lt;rec-number&gt;71&lt;/rec-number&gt;&lt;foreign-keys&gt;&lt;key app="EN" db-id="5sp2aea9gd29wrez25sprrstdte5wtztewfx" timestamp="1679039925"&gt;71&lt;/key&gt;&lt;/foreign-keys&gt;&lt;ref-type name="Book"&gt;6&lt;/ref-type&gt;&lt;contributors&gt;&lt;authors&gt;&lt;author&gt;Hong, I. B.&lt;/author&gt;&lt;/authors&gt;&lt;/contributors&gt;&lt;titles&gt;&lt;title&gt;Understanding the Consumer’s Online Merchant Selection Process: The Roles of Product Involvement, Perceived Risk, and Trust Expectation&lt;/title&gt;&lt;/titles&gt;&lt;dates&gt;&lt;year&gt;2015&lt;/year&gt;&lt;/dates&gt;&lt;publisher&gt;Chung-Ang University, College of Business and Economics, Seoul&lt;/publisher&gt;&lt;urls&gt;&lt;/urls&gt;&lt;/record&gt;&lt;/Cite&gt;&lt;/EndNote&gt;</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(Hong, 2015)</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 xml:space="preserve">. Thus the lower the perceived risk, the higher the consumers' trust in the seller and the higher the chances of engagement in online transactions as the trust factor remains key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&lt;EndNote&gt;&lt;Cite&gt;&lt;Author&gt;Dae-Young&lt;/Author&gt;&lt;Year&gt;2008&lt;/Year&gt;&lt;RecNum&gt;72&lt;/RecNum&gt;&lt;DisplayText&gt;(Dae-Young, 2008; Putra et al., 2017)&lt;/DisplayText&gt;&lt;record&gt;&lt;rec-number&gt;72&lt;/rec-number&gt;&lt;foreign-keys&gt;&lt;key app="EN" db-id="5sp2aea9gd29wrez25sprrstdte5wtztewfx" timestamp="1679040114"&gt;72&lt;/key&gt;&lt;/foreign-keys&gt;&lt;ref-type name="Journal Article"&gt;17&lt;/ref-type&gt;&lt;contributors&gt;&lt;authors&gt;&lt;author&gt;Dae-Young, J. P.&lt;/author&gt;&lt;/authors&gt;&lt;/contributors&gt;&lt;titles&gt;&lt;title&gt;A Model of Traveler Acceptance of Mobile Technology&lt;/title&gt;&lt;secondary-title&gt;International Journal of Tourism Research&lt;/secondary-title&gt;&lt;/titles&gt;&lt;periodical&gt;&lt;full-title&gt;International Journal of Tourism Research&lt;/full-title&gt;&lt;/periodical&gt;&lt;pages&gt;393–407&lt;/pages&gt;&lt;dates&gt;&lt;year&gt;2008&lt;/year&gt;&lt;/dates&gt;&lt;urls&gt;&lt;/urls&gt;&lt;electronic-resource-num&gt;10.1002/jtr.669&lt;/electronic-resource-num&gt;&lt;/record&gt;&lt;/Cite&gt;&lt;Cite&gt;&lt;Author&gt;Putra&lt;/Author&gt;&lt;Year&gt;2017&lt;/Year&gt;&lt;RecNum&gt;73&lt;/RecNum&gt;&lt;record&gt;&lt;rec-number&gt;73&lt;/rec-number&gt;&lt;foreign-keys&gt;&lt;key app="EN" db-id="5sp2aea9gd29wrez25sprrstdte5wtztewfx" timestamp="1679040255"&gt;73&lt;/key&gt;&lt;/foreign-keys&gt;&lt;ref-type name="Journal Article"&gt;17&lt;/ref-type&gt;&lt;contributors&gt;&lt;authors&gt;&lt;author&gt;Putra, Eka&lt;/author&gt;&lt;author&gt;Cho, Seonghee&lt;/author&gt;&lt;author&gt;Liu, Juan&lt;/author&gt;&lt;/authors&gt;&lt;/contributors&gt;&lt;titles&gt;&lt;title&gt;Extrinsic and intrinsic motivation on work engagement in the hospitality industry: Test of motivation crowding theory&lt;/title&gt;&lt;secondary-title&gt;Tourism and Hospitality Research&lt;/secondary-title&gt;&lt;/titles&gt;&lt;periodical&gt;&lt;full-title&gt;Tourism and Hospitality Research&lt;/full-title&gt;&lt;/periodical&gt;&lt;pages&gt;228-241&lt;/pages&gt;&lt;volume&gt;17&lt;/volume&gt;&lt;dates&gt;&lt;year&gt;2017&lt;/year&gt;&lt;/dates&gt;&lt;urls&gt;&lt;/urls&gt;&lt;electronic-resource-num&gt;10.1177/1467358415613393&lt;/electronic-resource-num&gt;&lt;/record&gt;&lt;/Cite&gt;&lt;/EndNote&gt;</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(Dae-Young, 2008; Putra et al., 2017)</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 xml:space="preserve">.As highlighted by David, (2003), trust is an expectation of customers towards sellers in relation to sellers maintaining appropriate </w:t>
      </w:r>
      <w:proofErr w:type="spellStart"/>
      <w:r w:rsidRPr="0062180F">
        <w:rPr>
          <w:rFonts w:ascii="Times New Roman" w:eastAsia="Times New Roman" w:hAnsi="Times New Roman" w:cs="Times New Roman"/>
          <w:sz w:val="20"/>
          <w:szCs w:val="20"/>
        </w:rPr>
        <w:t>behaviors</w:t>
      </w:r>
      <w:proofErr w:type="spellEnd"/>
      <w:r w:rsidRPr="0062180F">
        <w:rPr>
          <w:rFonts w:ascii="Times New Roman" w:eastAsia="Times New Roman" w:hAnsi="Times New Roman" w:cs="Times New Roman"/>
          <w:sz w:val="20"/>
          <w:szCs w:val="20"/>
        </w:rPr>
        <w:t xml:space="preserve"> as concerns fulfilling commitments made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&lt;EndNote&gt;&lt;Cite&gt;&lt;Author&gt;David&lt;/Author&gt;&lt;Year&gt;2003&lt;/Year&gt;&lt;RecNum&gt;74&lt;/RecNum&gt;&lt;DisplayText&gt;(David, 2003)&lt;/DisplayText&gt;&lt;record&gt;&lt;rec-number&gt;74&lt;/rec-number&gt;&lt;foreign-keys&gt;&lt;key app="EN" db-id="5sp2aea9gd29wrez25sprrstdte5wtztewfx" timestamp="1679040784"&gt;74&lt;/key&gt;&lt;/foreign-keys&gt;&lt;ref-type name="Book"&gt;6&lt;/ref-type&gt;&lt;contributors&gt;&lt;authors&gt;&lt;author&gt;David, E. K.&lt;/author&gt;&lt;/authors&gt;&lt;/contributors&gt;&lt;titles&gt;&lt;title&gt;Trust and TAM in Online Shopping: An Integrated Model&lt;/title&gt;&lt;/titles&gt;&lt;dates&gt;&lt;year&gt;2003&lt;/year&gt;&lt;/dates&gt;&lt;publisher&gt;McGraw-Hill: Interamericana de España, S.L.&lt;/publisher&gt;&lt;urls&gt;&lt;/urls&gt;&lt;electronic-resource-num&gt;10.2307/3003651&lt;/electronic-resource-num&gt;&lt;/record&gt;&lt;/Cite&gt;&lt;/EndNote&gt;</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(David, 2003)</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w:t>
      </w:r>
    </w:p>
    <w:p w14:paraId="32EC1471" w14:textId="77777777" w:rsidR="000F1B43" w:rsidRPr="0062180F" w:rsidRDefault="000F1B43" w:rsidP="0062180F">
      <w:pPr>
        <w:spacing w:after="0" w:line="240" w:lineRule="auto"/>
        <w:jc w:val="both"/>
        <w:rPr>
          <w:rFonts w:ascii="Times New Roman" w:hAnsi="Times New Roman" w:cs="Times New Roman"/>
          <w:sz w:val="20"/>
          <w:szCs w:val="20"/>
        </w:rPr>
      </w:pPr>
      <w:r w:rsidRPr="0062180F">
        <w:rPr>
          <w:rFonts w:ascii="Times New Roman" w:hAnsi="Times New Roman" w:cs="Times New Roman"/>
          <w:sz w:val="20"/>
          <w:szCs w:val="20"/>
        </w:rPr>
        <w:lastRenderedPageBreak/>
        <w:t xml:space="preserve">Research McKnight and </w:t>
      </w:r>
      <w:proofErr w:type="spellStart"/>
      <w:r w:rsidRPr="0062180F">
        <w:rPr>
          <w:rFonts w:ascii="Times New Roman" w:hAnsi="Times New Roman" w:cs="Times New Roman"/>
          <w:sz w:val="20"/>
          <w:szCs w:val="20"/>
        </w:rPr>
        <w:t>Chervany</w:t>
      </w:r>
      <w:proofErr w:type="spellEnd"/>
      <w:r w:rsidRPr="0062180F">
        <w:rPr>
          <w:rFonts w:ascii="Times New Roman" w:hAnsi="Times New Roman" w:cs="Times New Roman"/>
          <w:sz w:val="20"/>
          <w:szCs w:val="20"/>
        </w:rPr>
        <w:t xml:space="preserve"> (2002) reveal that when customers have a high level of trust, they are more likely to make online purchases. According to Lee et al. (2011) showed that when the trust in shopping mediums is low, there would be no significant difference in consumers’ purchase intentions whereas when the trust level is high”, information provided on the website is meaningful and influences consumers’ decision making and purchase intention. P</w:t>
      </w:r>
      <w:r w:rsidRPr="0062180F">
        <w:rPr>
          <w:rFonts w:ascii="Times New Roman" w:eastAsia="Times New Roman" w:hAnsi="Times New Roman" w:cs="Times New Roman"/>
          <w:sz w:val="20"/>
          <w:szCs w:val="20"/>
        </w:rPr>
        <w:t xml:space="preserve">urchase decisions are made easier when sellers demonstrate essential </w:t>
      </w:r>
      <w:proofErr w:type="spellStart"/>
      <w:r w:rsidRPr="0062180F">
        <w:rPr>
          <w:rFonts w:ascii="Times New Roman" w:eastAsia="Times New Roman" w:hAnsi="Times New Roman" w:cs="Times New Roman"/>
          <w:sz w:val="20"/>
          <w:szCs w:val="20"/>
        </w:rPr>
        <w:t>behaviors</w:t>
      </w:r>
      <w:proofErr w:type="spellEnd"/>
      <w:r w:rsidRPr="0062180F">
        <w:rPr>
          <w:rFonts w:ascii="Times New Roman" w:eastAsia="Times New Roman" w:hAnsi="Times New Roman" w:cs="Times New Roman"/>
          <w:sz w:val="20"/>
          <w:szCs w:val="20"/>
        </w:rPr>
        <w:t xml:space="preserve"> to gain the trust of customers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EN.CITE.DATA </w:instrTex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(Hayuningtyas &amp; Widiyanto, 2015; Murwatiningsih &amp; Apriliani, 2013; Rahmawati &amp; Widiyanto, 2013)</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 xml:space="preserve">. </w:t>
      </w:r>
      <w:r w:rsidRPr="0062180F">
        <w:rPr>
          <w:rFonts w:ascii="Times New Roman" w:hAnsi="Times New Roman" w:cs="Times New Roman"/>
          <w:sz w:val="20"/>
          <w:szCs w:val="20"/>
        </w:rPr>
        <w:t xml:space="preserve">Research also show that </w:t>
      </w:r>
      <w:proofErr w:type="spellStart"/>
      <w:r w:rsidRPr="0062180F">
        <w:rPr>
          <w:rFonts w:ascii="Times New Roman" w:hAnsi="Times New Roman" w:cs="Times New Roman"/>
          <w:sz w:val="20"/>
          <w:szCs w:val="20"/>
        </w:rPr>
        <w:t>behavioral</w:t>
      </w:r>
      <w:proofErr w:type="spellEnd"/>
      <w:r w:rsidRPr="0062180F">
        <w:rPr>
          <w:rFonts w:ascii="Times New Roman" w:hAnsi="Times New Roman" w:cs="Times New Roman"/>
          <w:sz w:val="20"/>
          <w:szCs w:val="20"/>
        </w:rPr>
        <w:t xml:space="preserve"> dimensions’ which results from trust influences Consumers’ purchase intention (Boulding et al., 1993). </w:t>
      </w:r>
      <w:r w:rsidRPr="0062180F">
        <w:rPr>
          <w:rFonts w:ascii="Times New Roman" w:eastAsia="Times New Roman" w:hAnsi="Times New Roman" w:cs="Times New Roman"/>
          <w:sz w:val="20"/>
          <w:szCs w:val="20"/>
        </w:rPr>
        <w:t xml:space="preserve">E-commerce as an emerging form of commercial activity goes with a lot of uncertainty and risk when compared with the traditional commercial approach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&lt;EndNote&gt;&lt;Cite&gt;&lt;Author&gt;Lee&lt;/Author&gt;&lt;Year&gt;2001&lt;/Year&gt;&lt;RecNum&gt;78&lt;/RecNum&gt;&lt;DisplayText&gt;(Lee &amp;amp; Turban, 2001)&lt;/DisplayText&gt;&lt;record&gt;&lt;rec-number&gt;78&lt;/rec-number&gt;&lt;foreign-keys&gt;&lt;key app="EN" db-id="5sp2aea9gd29wrez25sprrstdte5wtztewfx" timestamp="1679042474"&gt;78&lt;/key&gt;&lt;/foreign-keys&gt;&lt;ref-type name="Journal Article"&gt;17&lt;/ref-type&gt;&lt;contributors&gt;&lt;authors&gt;&lt;author&gt;Lee, M.&lt;/author&gt;&lt;author&gt;Turban, E.&lt;/author&gt;&lt;/authors&gt;&lt;/contributors&gt;&lt;titles&gt;&lt;title&gt;A Trust Model for Consumer Internet Shopping&lt;/title&gt;&lt;secondary-title&gt;International Journal of Electronic Commerce/Fall&lt;/secondary-title&gt;&lt;/titles&gt;&lt;periodical&gt;&lt;full-title&gt;International Journal of Electronic Commerce/Fall&lt;/full-title&gt;&lt;/periodical&gt;&lt;pages&gt;75-91&lt;/pages&gt;&lt;volume&gt;6&lt;/volume&gt;&lt;dates&gt;&lt;year&gt;2001&lt;/year&gt;&lt;/dates&gt;&lt;urls&gt;&lt;/urls&gt;&lt;/record&gt;&lt;/Cite&gt;&lt;/EndNote&gt;</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(Lee &amp; Turban, 2001)</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 xml:space="preserve">, thus necessitating the existence of the trust factor in building loyalty between customers and e-vendors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&lt;EndNote&gt;&lt;Cite&gt;&lt;Author&gt;Fung&lt;/Author&gt;&lt;Year&gt;1999&lt;/Year&gt;&lt;RecNum&gt;79&lt;/RecNum&gt;&lt;DisplayText&gt;(Fung &amp;amp; Lee, 1999)&lt;/DisplayText&gt;&lt;record&gt;&lt;rec-number&gt;79&lt;/rec-number&gt;&lt;foreign-keys&gt;&lt;key app="EN" db-id="5sp2aea9gd29wrez25sprrstdte5wtztewfx" timestamp="1679042637"&gt;79&lt;/key&gt;&lt;/foreign-keys&gt;&lt;ref-type name="Conference Proceedings"&gt;10&lt;/ref-type&gt;&lt;contributors&gt;&lt;authors&gt;&lt;author&gt;Fung, R.&lt;/author&gt;&lt;author&gt;Lee, M.&lt;/author&gt;&lt;/authors&gt;&lt;/contributors&gt;&lt;titles&gt;&lt;title&gt;EC-trust (trust in electronic commerce): exploring the antecedent factors&lt;/title&gt;&lt;secondary-title&gt;Americas Conference On Information Systems (AMCIS)&lt;/secondary-title&gt;&lt;/titles&gt;&lt;edition&gt;179&lt;/edition&gt;&lt;dates&gt;&lt;year&gt;1999&lt;/year&gt;&lt;/dates&gt;&lt;pub-location&gt;Hong Kong&lt;/pub-location&gt;&lt;urls&gt;&lt;related-urls&gt;&lt;url&gt;https://aisel.aisnet.org/amcis1999/179&lt;/url&gt;&lt;/related-urls&gt;&lt;/urls&gt;&lt;custom3&gt;AMCIS&lt;/custom3&gt;&lt;/record&gt;&lt;/Cite&gt;&lt;/EndNote&gt;</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(Fung &amp; Lee, 1999)</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 xml:space="preserve">. Though the trust factor in e-commerce transactions may be more associated with the e-vendors, it is important to note that the customer's characteristics also enhance trust from the end of the vendor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&lt;EndNote&gt;&lt;Cite&gt;&lt;Author&gt;Teo&lt;/Author&gt;&lt;Year&gt;2007&lt;/Year&gt;&lt;RecNum&gt;80&lt;/RecNum&gt;&lt;DisplayText&gt;(Teo &amp;amp; Liu, 2007)&lt;/DisplayText&gt;&lt;record&gt;&lt;rec-number&gt;80&lt;/rec-number&gt;&lt;foreign-keys&gt;&lt;key app="EN" db-id="5sp2aea9gd29wrez25sprrstdte5wtztewfx" timestamp="1679042842"&gt;80&lt;/key&gt;&lt;/foreign-keys&gt;&lt;ref-type name="Journal Article"&gt;17&lt;/ref-type&gt;&lt;contributors&gt;&lt;authors&gt;&lt;author&gt;Teo, T. S.&lt;/author&gt;&lt;author&gt;Liu, J.&lt;/author&gt;&lt;/authors&gt;&lt;/contributors&gt;&lt;titles&gt;&lt;title&gt;Consumer Trust in E-Commerce in the United States, Singapore, and China&lt;/title&gt;&lt;secondary-title&gt;Omega&lt;/secondary-title&gt;&lt;/titles&gt;&lt;periodical&gt;&lt;full-title&gt;Omega&lt;/full-title&gt;&lt;/periodical&gt;&lt;volume&gt;35&lt;/volume&gt;&lt;number&gt;22-38&lt;/number&gt;&lt;dates&gt;&lt;year&gt;2007&lt;/year&gt;&lt;/dates&gt;&lt;urls&gt;&lt;/urls&gt;&lt;electronic-resource-num&gt;10.1016/j.omega.2005.02.001&lt;/electronic-resource-num&gt;&lt;/record&gt;&lt;/Cite&gt;&lt;/EndNote&gt;</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(Teo &amp; Liu, 2007)</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 xml:space="preserve">. Although e-commerce is gaining more popularity, many people with access to the internet still reluctantly engage in online transactions due to trust associated with issues such as privacy, and security, this accounts for why many people prefer to buy products they can physically test by touching and examining its characteristics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&lt;EndNote&gt;&lt;Cite&gt;&lt;Author&gt;Yu&lt;/Author&gt;&lt;Year&gt;2018&lt;/Year&gt;&lt;RecNum&gt;81&lt;/RecNum&gt;&lt;DisplayText&gt;(Yu et al., 2018)&lt;/DisplayText&gt;&lt;record&gt;&lt;rec-number&gt;81&lt;/rec-number&gt;&lt;foreign-keys&gt;&lt;key app="EN" db-id="5sp2aea9gd29wrez25sprrstdte5wtztewfx" timestamp="1679043258"&gt;81&lt;/key&gt;&lt;/foreign-keys&gt;&lt;ref-type name="Web Page"&gt;12&lt;/ref-type&gt;&lt;contributors&gt;&lt;authors&gt;&lt;author&gt;Yu, W.&lt;/author&gt;&lt;author&gt;Sun, Z.&lt;/author&gt;&lt;author&gt;Liu, H.&lt;/author&gt;&lt;author&gt;Li, Z.&lt;/author&gt;&lt;author&gt;Zheng, Z.&lt;/author&gt;&lt;/authors&gt;&lt;/contributors&gt;&lt;titles&gt;&lt;title&gt;Multi-level Deep Learning based e-Commerce Product Categorization&lt;/title&gt;&lt;secondary-title&gt; In eCOM@ SIGIR&lt;/secondary-title&gt;&lt;/titles&gt;&lt;volume&gt;2021&lt;/volume&gt;&lt;number&gt;August 8th&lt;/number&gt;&lt;dates&gt;&lt;year&gt;2018&lt;/year&gt;&lt;/dates&gt;&lt;urls&gt;&lt;related-urls&gt;&lt;url&gt;https://sigir-ecom.github.io/ecom2018/ecom18DCPapers/ecom18DC_paper_2.pdf&lt;/url&gt;&lt;/related-urls&gt;&lt;/urls&gt;&lt;/record&gt;&lt;/Cite&gt;&lt;/EndNote&gt;</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(Yu et al., 2018)</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w:t>
      </w:r>
    </w:p>
    <w:p w14:paraId="25D914E9"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hAnsi="Times New Roman" w:cs="Times New Roman"/>
          <w:b/>
          <w:sz w:val="20"/>
          <w:szCs w:val="20"/>
        </w:rPr>
        <w:t>Method</w:t>
      </w:r>
      <w:bookmarkEnd w:id="3"/>
      <w:r w:rsidRPr="0062180F">
        <w:rPr>
          <w:rFonts w:ascii="Times New Roman" w:hAnsi="Times New Roman" w:cs="Times New Roman"/>
          <w:b/>
          <w:sz w:val="20"/>
          <w:szCs w:val="20"/>
        </w:rPr>
        <w:t>ology</w:t>
      </w:r>
    </w:p>
    <w:p w14:paraId="1403EAAA"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The study was carried out in three key regions in Cameroon namely Bamenda, Douala, and Yaoundé. The choice of these areas was because they are the leading cities in Cameroon with huge potential for e-businesses.  The survey research design was employed, with a questionnaire used to collect both qualitative and quantitative data. Using the convenience sampling technique, 234 respondents were retained for the study.  Both qualitative and quantitative data was collected with the use of questionnaires to learn how different consumers' perception variables influence customer purchase decisions. This data collected helped in testing if all the proposed hypotheses are supported and to what extent each variable influences customer trust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&lt;EndNote&gt;&lt;Cite&gt;&lt;Author&gt;Saunders&lt;/Author&gt;&lt;Year&gt;2016&lt;/Year&gt;&lt;RecNum&gt;82&lt;/RecNum&gt;&lt;DisplayText&gt;(Saunders et al., 2016)&lt;/DisplayText&gt;&lt;record&gt;&lt;rec-number&gt;82&lt;/rec-number&gt;&lt;foreign-keys&gt;&lt;key app="EN" db-id="5sp2aea9gd29wrez25sprrstdte5wtztewfx" timestamp="1679043662"&gt;82&lt;/key&gt;&lt;/foreign-keys&gt;&lt;ref-type name="Book"&gt;6&lt;/ref-type&gt;&lt;contributors&gt;&lt;authors&gt;&lt;author&gt;Saunders, M.&lt;/author&gt;&lt;author&gt;Lewis, P.&lt;/author&gt;&lt;author&gt;Thornhill, A.&lt;/author&gt;&lt;/authors&gt;&lt;/contributors&gt;&lt;titles&gt;&lt;title&gt;Research Methods for Business Students&lt;/title&gt;&lt;/titles&gt;&lt;dates&gt;&lt;year&gt;2016&lt;/year&gt;&lt;/dates&gt;&lt;publisher&gt;Essex: Pearson Education Limited&lt;/publisher&gt;&lt;urls&gt;&lt;/urls&gt;&lt;/record&gt;&lt;/Cite&gt;&lt;/EndNote&gt;</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(Saunders et al., 2016)</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 The questions were closed-ended to guide the respondents to help the researcher achieve the aim of the study.</w:t>
      </w:r>
    </w:p>
    <w:p w14:paraId="754E4230"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The Multiple Correspondence Analysis (MCA) was used to mirror the trust factor-related variables that influence customer perceptions in e-commerce transactions and indexes were thus constructed for security, privacy, web quality, perceived risk, and guarantee (in terms of money backed and/or provision for a while within which if product performance is not as written the client could return the product) given. </w:t>
      </w:r>
    </w:p>
    <w:p w14:paraId="564E21C0" w14:textId="77777777" w:rsidR="000F1B43" w:rsidRPr="0062180F" w:rsidRDefault="000F1B43" w:rsidP="0062180F">
      <w:pPr>
        <w:pStyle w:val="Heading2"/>
        <w:spacing w:line="240" w:lineRule="auto"/>
        <w:jc w:val="both"/>
        <w:rPr>
          <w:rFonts w:ascii="Times New Roman" w:eastAsia="Times New Roman" w:hAnsi="Times New Roman" w:cs="Times New Roman"/>
          <w:color w:val="auto"/>
          <w:sz w:val="20"/>
          <w:szCs w:val="20"/>
        </w:rPr>
      </w:pPr>
      <w:bookmarkStart w:id="4" w:name="_Toc76101110"/>
      <w:r w:rsidRPr="0062180F">
        <w:rPr>
          <w:rFonts w:ascii="Times New Roman" w:eastAsia="Times New Roman" w:hAnsi="Times New Roman" w:cs="Times New Roman"/>
          <w:color w:val="auto"/>
          <w:sz w:val="20"/>
          <w:szCs w:val="20"/>
        </w:rPr>
        <w:t>The estimation framework</w:t>
      </w:r>
      <w:bookmarkEnd w:id="4"/>
      <w:r w:rsidRPr="0062180F">
        <w:rPr>
          <w:rFonts w:ascii="Times New Roman" w:eastAsia="Times New Roman" w:hAnsi="Times New Roman" w:cs="Times New Roman"/>
          <w:b/>
          <w:color w:val="auto"/>
          <w:sz w:val="20"/>
          <w:szCs w:val="20"/>
        </w:rPr>
        <w:t xml:space="preserve"> </w:t>
      </w:r>
      <w:r w:rsidRPr="0062180F">
        <w:rPr>
          <w:rFonts w:ascii="Times New Roman" w:eastAsia="Times New Roman" w:hAnsi="Times New Roman" w:cs="Times New Roman"/>
          <w:color w:val="auto"/>
          <w:sz w:val="20"/>
          <w:szCs w:val="20"/>
        </w:rPr>
        <w:t xml:space="preserve">employed the OLS method to </w:t>
      </w:r>
      <w:proofErr w:type="gramStart"/>
      <w:r w:rsidRPr="0062180F">
        <w:rPr>
          <w:rFonts w:ascii="Times New Roman" w:eastAsia="Times New Roman" w:hAnsi="Times New Roman" w:cs="Times New Roman"/>
          <w:color w:val="auto"/>
          <w:sz w:val="20"/>
          <w:szCs w:val="20"/>
        </w:rPr>
        <w:t>approximate  and</w:t>
      </w:r>
      <w:proofErr w:type="gramEnd"/>
      <w:r w:rsidRPr="0062180F">
        <w:rPr>
          <w:rFonts w:ascii="Times New Roman" w:eastAsia="Times New Roman" w:hAnsi="Times New Roman" w:cs="Times New Roman"/>
          <w:color w:val="auto"/>
          <w:sz w:val="20"/>
          <w:szCs w:val="20"/>
        </w:rPr>
        <w:t xml:space="preserve"> β values. The OLS was utilized because of its unique advantage of minimizing the sum of squared residuals and thus providing for the calculation of good means that are more reliable for conclusions on perceptions-based research. Building on this, the study established four regression equations to test relations as seen below.</w:t>
      </w:r>
    </w:p>
    <w:p w14:paraId="0E719566"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Eq. 1 studies the relationship between Customers’ perceptions and customers’ trust</w:t>
      </w:r>
    </w:p>
    <w:p w14:paraId="367D2AF2"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Eq. 2 studies the relationship between customers' perceptions and customers' purchase decisions.</w:t>
      </w:r>
    </w:p>
    <w:p w14:paraId="7AE544ED"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Eq. 3 studies the relationship between customers’ trust and customers’ purchase decisions.</w:t>
      </w:r>
    </w:p>
    <w:p w14:paraId="48922F15"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Eq. 4 studies the relationship between customers' perceptions and customers' purchase decisions mediated by customers’ trust.</w:t>
      </w:r>
    </w:p>
    <w:p w14:paraId="2B25238E"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Where: intercept and β1: slope (unknown constant)</w:t>
      </w:r>
    </w:p>
    <w:p w14:paraId="4AD1B9C7"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Random error component</w:t>
      </w:r>
      <w:bookmarkStart w:id="5" w:name="_heading=h.2dlolyb"/>
      <w:bookmarkEnd w:id="5"/>
    </w:p>
    <w:p w14:paraId="6AD0F429"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hAnsi="Times New Roman" w:cs="Times New Roman"/>
          <w:b/>
          <w:sz w:val="20"/>
          <w:szCs w:val="20"/>
        </w:rPr>
        <w:t>Results and Discussions</w:t>
      </w:r>
    </w:p>
    <w:p w14:paraId="6D33C62C" w14:textId="77777777" w:rsidR="000F1B43" w:rsidRPr="0062180F" w:rsidRDefault="000F1B43" w:rsidP="0062180F">
      <w:pPr>
        <w:pStyle w:val="Heading2"/>
        <w:spacing w:line="240" w:lineRule="auto"/>
        <w:jc w:val="both"/>
        <w:rPr>
          <w:rFonts w:ascii="Times New Roman" w:eastAsia="Times New Roman" w:hAnsi="Times New Roman" w:cs="Times New Roman"/>
          <w:b/>
          <w:color w:val="auto"/>
          <w:sz w:val="20"/>
          <w:szCs w:val="20"/>
        </w:rPr>
      </w:pPr>
      <w:r w:rsidRPr="0062180F">
        <w:rPr>
          <w:rFonts w:ascii="Times New Roman" w:eastAsia="Times New Roman" w:hAnsi="Times New Roman" w:cs="Times New Roman"/>
          <w:b/>
          <w:color w:val="auto"/>
          <w:sz w:val="20"/>
          <w:szCs w:val="20"/>
        </w:rPr>
        <w:t>Socio-demographic characteristics of participants</w:t>
      </w:r>
    </w:p>
    <w:p w14:paraId="76467ACB"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Data was collected on socio-demographic issues like age, educational qualifications, employment, and occupational status, place of residence, knowledge of e-commerce, and e-commerce sites utilized by study participants. Using simple frequency tables, the collected table was summarized as seen in table 1 below.</w:t>
      </w:r>
    </w:p>
    <w:p w14:paraId="08E1C4D8" w14:textId="77777777" w:rsidR="000F1B43" w:rsidRPr="0062180F" w:rsidRDefault="000F1B43" w:rsidP="0062180F">
      <w:pPr>
        <w:pStyle w:val="Caption"/>
        <w:spacing w:after="0"/>
        <w:rPr>
          <w:rFonts w:ascii="Times New Roman" w:hAnsi="Times New Roman" w:cs="Times New Roman"/>
          <w:color w:val="auto"/>
          <w:sz w:val="20"/>
          <w:szCs w:val="20"/>
        </w:rPr>
      </w:pPr>
      <w:r w:rsidRPr="0062180F">
        <w:rPr>
          <w:rFonts w:ascii="Times New Roman" w:hAnsi="Times New Roman" w:cs="Times New Roman"/>
          <w:color w:val="auto"/>
          <w:sz w:val="20"/>
          <w:szCs w:val="20"/>
        </w:rPr>
        <w:t xml:space="preserve">Table </w:t>
      </w:r>
      <w:r w:rsidRPr="0062180F">
        <w:rPr>
          <w:rFonts w:ascii="Times New Roman" w:hAnsi="Times New Roman" w:cs="Times New Roman"/>
          <w:color w:val="auto"/>
          <w:sz w:val="20"/>
          <w:szCs w:val="20"/>
        </w:rPr>
        <w:fldChar w:fldCharType="begin"/>
      </w:r>
      <w:r w:rsidRPr="0062180F">
        <w:rPr>
          <w:rFonts w:ascii="Times New Roman" w:hAnsi="Times New Roman" w:cs="Times New Roman"/>
          <w:color w:val="auto"/>
          <w:sz w:val="20"/>
          <w:szCs w:val="20"/>
        </w:rPr>
        <w:instrText xml:space="preserve"> SEQ Table \* ARABIC </w:instrText>
      </w:r>
      <w:r w:rsidRPr="0062180F">
        <w:rPr>
          <w:rFonts w:ascii="Times New Roman" w:hAnsi="Times New Roman" w:cs="Times New Roman"/>
          <w:color w:val="auto"/>
          <w:sz w:val="20"/>
          <w:szCs w:val="20"/>
        </w:rPr>
        <w:fldChar w:fldCharType="separate"/>
      </w:r>
      <w:r w:rsidRPr="0062180F">
        <w:rPr>
          <w:rFonts w:ascii="Times New Roman" w:hAnsi="Times New Roman" w:cs="Times New Roman"/>
          <w:color w:val="auto"/>
          <w:sz w:val="20"/>
          <w:szCs w:val="20"/>
        </w:rPr>
        <w:t>1</w:t>
      </w:r>
      <w:r w:rsidRPr="0062180F">
        <w:rPr>
          <w:rFonts w:ascii="Times New Roman" w:hAnsi="Times New Roman" w:cs="Times New Roman"/>
          <w:color w:val="auto"/>
          <w:sz w:val="20"/>
          <w:szCs w:val="20"/>
        </w:rPr>
        <w:fldChar w:fldCharType="end"/>
      </w:r>
      <w:r w:rsidRPr="0062180F">
        <w:rPr>
          <w:rFonts w:ascii="Times New Roman" w:hAnsi="Times New Roman" w:cs="Times New Roman"/>
          <w:color w:val="auto"/>
          <w:sz w:val="20"/>
          <w:szCs w:val="20"/>
        </w:rPr>
        <w:t>: Socio-demographic characteristics of study participants</w:t>
      </w:r>
    </w:p>
    <w:tbl>
      <w:tblPr>
        <w:tblW w:w="9375" w:type="dxa"/>
        <w:tblInd w:w="93" w:type="dxa"/>
        <w:tblLook w:val="04A0" w:firstRow="1" w:lastRow="0" w:firstColumn="1" w:lastColumn="0" w:noHBand="0" w:noVBand="1"/>
      </w:tblPr>
      <w:tblGrid>
        <w:gridCol w:w="3075"/>
        <w:gridCol w:w="1440"/>
        <w:gridCol w:w="540"/>
        <w:gridCol w:w="2798"/>
        <w:gridCol w:w="1522"/>
      </w:tblGrid>
      <w:tr w:rsidR="00B42D5A" w:rsidRPr="0062180F" w14:paraId="1906DD3D" w14:textId="77777777" w:rsidTr="005C0D5A">
        <w:trPr>
          <w:trHeight w:val="300"/>
        </w:trPr>
        <w:tc>
          <w:tcPr>
            <w:tcW w:w="4515" w:type="dxa"/>
            <w:gridSpan w:val="2"/>
            <w:tcBorders>
              <w:bottom w:val="single" w:sz="4" w:space="0" w:color="auto"/>
            </w:tcBorders>
            <w:vAlign w:val="bottom"/>
          </w:tcPr>
          <w:p w14:paraId="58495920"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 xml:space="preserve">Age distribution </w:t>
            </w:r>
          </w:p>
        </w:tc>
        <w:tc>
          <w:tcPr>
            <w:tcW w:w="540" w:type="dxa"/>
            <w:tcBorders>
              <w:bottom w:val="single" w:sz="4" w:space="0" w:color="auto"/>
            </w:tcBorders>
            <w:vAlign w:val="bottom"/>
          </w:tcPr>
          <w:p w14:paraId="10ED057B"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 </w:t>
            </w:r>
          </w:p>
        </w:tc>
        <w:tc>
          <w:tcPr>
            <w:tcW w:w="4320" w:type="dxa"/>
            <w:gridSpan w:val="2"/>
            <w:tcBorders>
              <w:bottom w:val="single" w:sz="4" w:space="0" w:color="auto"/>
            </w:tcBorders>
            <w:vAlign w:val="bottom"/>
          </w:tcPr>
          <w:p w14:paraId="6FF805E4"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 xml:space="preserve">Educational Qualification </w:t>
            </w:r>
          </w:p>
        </w:tc>
      </w:tr>
      <w:tr w:rsidR="00B42D5A" w:rsidRPr="0062180F" w14:paraId="001FA5A0" w14:textId="77777777" w:rsidTr="005C0D5A">
        <w:trPr>
          <w:trHeight w:val="315"/>
        </w:trPr>
        <w:tc>
          <w:tcPr>
            <w:tcW w:w="3075" w:type="dxa"/>
            <w:tcBorders>
              <w:top w:val="single" w:sz="4" w:space="0" w:color="auto"/>
            </w:tcBorders>
            <w:vAlign w:val="bottom"/>
          </w:tcPr>
          <w:p w14:paraId="376225BB"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Less than  or equal to 25years</w:t>
            </w:r>
          </w:p>
        </w:tc>
        <w:tc>
          <w:tcPr>
            <w:tcW w:w="1440" w:type="dxa"/>
            <w:tcBorders>
              <w:top w:val="single" w:sz="4" w:space="0" w:color="auto"/>
            </w:tcBorders>
            <w:vAlign w:val="bottom"/>
          </w:tcPr>
          <w:p w14:paraId="4B4E5618"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34.2% (80)</w:t>
            </w:r>
          </w:p>
        </w:tc>
        <w:tc>
          <w:tcPr>
            <w:tcW w:w="540" w:type="dxa"/>
            <w:tcBorders>
              <w:top w:val="single" w:sz="4" w:space="0" w:color="auto"/>
              <w:right w:val="single" w:sz="4" w:space="0" w:color="auto"/>
            </w:tcBorders>
            <w:vAlign w:val="bottom"/>
          </w:tcPr>
          <w:p w14:paraId="1749A46C"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2798" w:type="dxa"/>
            <w:tcBorders>
              <w:top w:val="single" w:sz="4" w:space="0" w:color="auto"/>
              <w:left w:val="single" w:sz="4" w:space="0" w:color="auto"/>
            </w:tcBorders>
            <w:vAlign w:val="bottom"/>
          </w:tcPr>
          <w:p w14:paraId="7F358491"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Less than or equal to Diploma holders </w:t>
            </w:r>
          </w:p>
        </w:tc>
        <w:tc>
          <w:tcPr>
            <w:tcW w:w="1522" w:type="dxa"/>
            <w:tcBorders>
              <w:top w:val="single" w:sz="4" w:space="0" w:color="auto"/>
            </w:tcBorders>
            <w:vAlign w:val="bottom"/>
          </w:tcPr>
          <w:p w14:paraId="432BBDDD"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10.3% (24) </w:t>
            </w:r>
          </w:p>
        </w:tc>
      </w:tr>
      <w:tr w:rsidR="00B42D5A" w:rsidRPr="0062180F" w14:paraId="698CF491" w14:textId="77777777" w:rsidTr="005C0D5A">
        <w:trPr>
          <w:trHeight w:val="315"/>
        </w:trPr>
        <w:tc>
          <w:tcPr>
            <w:tcW w:w="3075" w:type="dxa"/>
            <w:vAlign w:val="bottom"/>
          </w:tcPr>
          <w:p w14:paraId="59219289"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Greater than 25 but less than or equal to 35years</w:t>
            </w:r>
          </w:p>
        </w:tc>
        <w:tc>
          <w:tcPr>
            <w:tcW w:w="1440" w:type="dxa"/>
            <w:vAlign w:val="bottom"/>
          </w:tcPr>
          <w:p w14:paraId="77FF8070"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62.4% (146) </w:t>
            </w:r>
          </w:p>
        </w:tc>
        <w:tc>
          <w:tcPr>
            <w:tcW w:w="540" w:type="dxa"/>
            <w:tcBorders>
              <w:right w:val="single" w:sz="4" w:space="0" w:color="auto"/>
            </w:tcBorders>
            <w:vAlign w:val="bottom"/>
          </w:tcPr>
          <w:p w14:paraId="1FEF3BC8"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2798" w:type="dxa"/>
            <w:tcBorders>
              <w:left w:val="single" w:sz="4" w:space="0" w:color="auto"/>
            </w:tcBorders>
            <w:vAlign w:val="bottom"/>
          </w:tcPr>
          <w:p w14:paraId="37D51B22"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Bachelor’s degree holders </w:t>
            </w:r>
          </w:p>
        </w:tc>
        <w:tc>
          <w:tcPr>
            <w:tcW w:w="1522" w:type="dxa"/>
            <w:vAlign w:val="bottom"/>
          </w:tcPr>
          <w:p w14:paraId="057EB907"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59% (138) </w:t>
            </w:r>
          </w:p>
        </w:tc>
      </w:tr>
      <w:tr w:rsidR="00B42D5A" w:rsidRPr="0062180F" w14:paraId="66C784CE" w14:textId="77777777" w:rsidTr="005C0D5A">
        <w:trPr>
          <w:trHeight w:val="315"/>
        </w:trPr>
        <w:tc>
          <w:tcPr>
            <w:tcW w:w="3075" w:type="dxa"/>
            <w:tcBorders>
              <w:bottom w:val="single" w:sz="4" w:space="0" w:color="auto"/>
            </w:tcBorders>
            <w:vAlign w:val="bottom"/>
          </w:tcPr>
          <w:p w14:paraId="5F8F5343"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Greater than 35 but less than or equal to 45 years</w:t>
            </w:r>
          </w:p>
        </w:tc>
        <w:tc>
          <w:tcPr>
            <w:tcW w:w="1440" w:type="dxa"/>
            <w:tcBorders>
              <w:bottom w:val="single" w:sz="4" w:space="0" w:color="auto"/>
            </w:tcBorders>
            <w:vAlign w:val="bottom"/>
          </w:tcPr>
          <w:p w14:paraId="187A2375"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3.4% (8) </w:t>
            </w:r>
          </w:p>
        </w:tc>
        <w:tc>
          <w:tcPr>
            <w:tcW w:w="540" w:type="dxa"/>
            <w:tcBorders>
              <w:bottom w:val="single" w:sz="4" w:space="0" w:color="auto"/>
              <w:right w:val="single" w:sz="4" w:space="0" w:color="auto"/>
            </w:tcBorders>
            <w:vAlign w:val="bottom"/>
          </w:tcPr>
          <w:p w14:paraId="20AF0B7C"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2798" w:type="dxa"/>
            <w:tcBorders>
              <w:left w:val="single" w:sz="4" w:space="0" w:color="auto"/>
              <w:bottom w:val="single" w:sz="4" w:space="0" w:color="auto"/>
            </w:tcBorders>
            <w:vAlign w:val="bottom"/>
          </w:tcPr>
          <w:p w14:paraId="76584E90"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Postgraduate degree holders</w:t>
            </w:r>
          </w:p>
        </w:tc>
        <w:tc>
          <w:tcPr>
            <w:tcW w:w="1522" w:type="dxa"/>
            <w:tcBorders>
              <w:bottom w:val="single" w:sz="4" w:space="0" w:color="auto"/>
            </w:tcBorders>
            <w:vAlign w:val="bottom"/>
          </w:tcPr>
          <w:p w14:paraId="34CAE532"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30.8% (72) </w:t>
            </w:r>
          </w:p>
        </w:tc>
      </w:tr>
      <w:tr w:rsidR="00B42D5A" w:rsidRPr="0062180F" w14:paraId="619E1090" w14:textId="77777777" w:rsidTr="005C0D5A">
        <w:trPr>
          <w:trHeight w:val="300"/>
        </w:trPr>
        <w:tc>
          <w:tcPr>
            <w:tcW w:w="3075" w:type="dxa"/>
            <w:tcBorders>
              <w:top w:val="single" w:sz="4" w:space="0" w:color="auto"/>
            </w:tcBorders>
            <w:vAlign w:val="bottom"/>
          </w:tcPr>
          <w:p w14:paraId="0F3EC448"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1440" w:type="dxa"/>
            <w:tcBorders>
              <w:top w:val="single" w:sz="4" w:space="0" w:color="auto"/>
            </w:tcBorders>
            <w:vAlign w:val="bottom"/>
          </w:tcPr>
          <w:p w14:paraId="75FCB1C7"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540" w:type="dxa"/>
            <w:tcBorders>
              <w:top w:val="single" w:sz="4" w:space="0" w:color="auto"/>
            </w:tcBorders>
            <w:vAlign w:val="bottom"/>
          </w:tcPr>
          <w:p w14:paraId="7A3D2543"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2798" w:type="dxa"/>
            <w:tcBorders>
              <w:top w:val="single" w:sz="4" w:space="0" w:color="auto"/>
            </w:tcBorders>
            <w:vAlign w:val="bottom"/>
          </w:tcPr>
          <w:p w14:paraId="16CB72DA"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1522" w:type="dxa"/>
            <w:tcBorders>
              <w:top w:val="single" w:sz="4" w:space="0" w:color="auto"/>
            </w:tcBorders>
            <w:vAlign w:val="bottom"/>
          </w:tcPr>
          <w:p w14:paraId="1601E43F"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r>
      <w:tr w:rsidR="00B42D5A" w:rsidRPr="0062180F" w14:paraId="304939CF" w14:textId="77777777" w:rsidTr="005C0D5A">
        <w:trPr>
          <w:trHeight w:val="315"/>
        </w:trPr>
        <w:tc>
          <w:tcPr>
            <w:tcW w:w="4515" w:type="dxa"/>
            <w:gridSpan w:val="2"/>
            <w:tcBorders>
              <w:bottom w:val="single" w:sz="4" w:space="0" w:color="auto"/>
            </w:tcBorders>
            <w:vAlign w:val="bottom"/>
          </w:tcPr>
          <w:p w14:paraId="07EE4FB0"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Employment and occupational situation</w:t>
            </w:r>
          </w:p>
        </w:tc>
        <w:tc>
          <w:tcPr>
            <w:tcW w:w="540" w:type="dxa"/>
            <w:tcBorders>
              <w:bottom w:val="single" w:sz="4" w:space="0" w:color="auto"/>
            </w:tcBorders>
            <w:vAlign w:val="bottom"/>
          </w:tcPr>
          <w:p w14:paraId="5C73D193"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 </w:t>
            </w:r>
          </w:p>
        </w:tc>
        <w:tc>
          <w:tcPr>
            <w:tcW w:w="4320" w:type="dxa"/>
            <w:gridSpan w:val="2"/>
            <w:tcBorders>
              <w:bottom w:val="single" w:sz="4" w:space="0" w:color="auto"/>
            </w:tcBorders>
            <w:vAlign w:val="bottom"/>
          </w:tcPr>
          <w:p w14:paraId="623BEEE9"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Source of knowledge on e-commerce</w:t>
            </w:r>
          </w:p>
        </w:tc>
      </w:tr>
      <w:tr w:rsidR="00B42D5A" w:rsidRPr="0062180F" w14:paraId="2F762702" w14:textId="77777777" w:rsidTr="005C0D5A">
        <w:trPr>
          <w:trHeight w:val="315"/>
        </w:trPr>
        <w:tc>
          <w:tcPr>
            <w:tcW w:w="3075" w:type="dxa"/>
            <w:tcBorders>
              <w:top w:val="single" w:sz="4" w:space="0" w:color="auto"/>
            </w:tcBorders>
            <w:vAlign w:val="bottom"/>
          </w:tcPr>
          <w:p w14:paraId="043B99E3"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lastRenderedPageBreak/>
              <w:t>Student</w:t>
            </w:r>
          </w:p>
        </w:tc>
        <w:tc>
          <w:tcPr>
            <w:tcW w:w="1440" w:type="dxa"/>
            <w:tcBorders>
              <w:top w:val="single" w:sz="4" w:space="0" w:color="auto"/>
            </w:tcBorders>
            <w:vAlign w:val="bottom"/>
          </w:tcPr>
          <w:p w14:paraId="7D8B4B37"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53% (124) </w:t>
            </w:r>
          </w:p>
        </w:tc>
        <w:tc>
          <w:tcPr>
            <w:tcW w:w="540" w:type="dxa"/>
            <w:tcBorders>
              <w:top w:val="single" w:sz="4" w:space="0" w:color="auto"/>
              <w:right w:val="single" w:sz="4" w:space="0" w:color="auto"/>
            </w:tcBorders>
            <w:vAlign w:val="bottom"/>
          </w:tcPr>
          <w:p w14:paraId="63D16E32"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2798" w:type="dxa"/>
            <w:tcBorders>
              <w:top w:val="single" w:sz="4" w:space="0" w:color="auto"/>
              <w:left w:val="single" w:sz="4" w:space="0" w:color="auto"/>
            </w:tcBorders>
            <w:vAlign w:val="bottom"/>
          </w:tcPr>
          <w:p w14:paraId="747D5FAF"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Friend/ family/ colleague</w:t>
            </w:r>
          </w:p>
        </w:tc>
        <w:tc>
          <w:tcPr>
            <w:tcW w:w="1522" w:type="dxa"/>
            <w:tcBorders>
              <w:top w:val="single" w:sz="4" w:space="0" w:color="auto"/>
            </w:tcBorders>
            <w:vAlign w:val="bottom"/>
          </w:tcPr>
          <w:p w14:paraId="08CCAF85"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64.1% (150) </w:t>
            </w:r>
          </w:p>
        </w:tc>
      </w:tr>
      <w:tr w:rsidR="00B42D5A" w:rsidRPr="0062180F" w14:paraId="13D003A7" w14:textId="77777777" w:rsidTr="005C0D5A">
        <w:trPr>
          <w:trHeight w:val="315"/>
        </w:trPr>
        <w:tc>
          <w:tcPr>
            <w:tcW w:w="3075" w:type="dxa"/>
            <w:vAlign w:val="bottom"/>
          </w:tcPr>
          <w:p w14:paraId="62C33936"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Unemployed</w:t>
            </w:r>
          </w:p>
        </w:tc>
        <w:tc>
          <w:tcPr>
            <w:tcW w:w="1440" w:type="dxa"/>
            <w:vAlign w:val="bottom"/>
          </w:tcPr>
          <w:p w14:paraId="7676C360"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18.8% (44) </w:t>
            </w:r>
          </w:p>
        </w:tc>
        <w:tc>
          <w:tcPr>
            <w:tcW w:w="540" w:type="dxa"/>
            <w:tcBorders>
              <w:right w:val="single" w:sz="4" w:space="0" w:color="auto"/>
            </w:tcBorders>
            <w:vAlign w:val="bottom"/>
          </w:tcPr>
          <w:p w14:paraId="45323642"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2798" w:type="dxa"/>
            <w:tcBorders>
              <w:left w:val="single" w:sz="4" w:space="0" w:color="auto"/>
            </w:tcBorders>
            <w:vAlign w:val="bottom"/>
          </w:tcPr>
          <w:p w14:paraId="32584989"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Television</w:t>
            </w:r>
          </w:p>
        </w:tc>
        <w:tc>
          <w:tcPr>
            <w:tcW w:w="1522" w:type="dxa"/>
            <w:vAlign w:val="bottom"/>
          </w:tcPr>
          <w:p w14:paraId="0009D228"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5.1% (12) </w:t>
            </w:r>
          </w:p>
        </w:tc>
      </w:tr>
      <w:tr w:rsidR="00B42D5A" w:rsidRPr="0062180F" w14:paraId="6CA77D08" w14:textId="77777777" w:rsidTr="005C0D5A">
        <w:trPr>
          <w:trHeight w:val="315"/>
        </w:trPr>
        <w:tc>
          <w:tcPr>
            <w:tcW w:w="3075" w:type="dxa"/>
            <w:vAlign w:val="bottom"/>
          </w:tcPr>
          <w:p w14:paraId="2E28DD36"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Skilled </w:t>
            </w:r>
            <w:proofErr w:type="spellStart"/>
            <w:r w:rsidRPr="0062180F">
              <w:rPr>
                <w:rFonts w:ascii="Times New Roman" w:eastAsia="Times New Roman" w:hAnsi="Times New Roman" w:cs="Times New Roman"/>
                <w:sz w:val="20"/>
                <w:szCs w:val="20"/>
              </w:rPr>
              <w:t>laborer</w:t>
            </w:r>
            <w:proofErr w:type="spellEnd"/>
            <w:r w:rsidRPr="0062180F">
              <w:rPr>
                <w:rFonts w:ascii="Times New Roman" w:eastAsia="Times New Roman" w:hAnsi="Times New Roman" w:cs="Times New Roman"/>
                <w:sz w:val="20"/>
                <w:szCs w:val="20"/>
              </w:rPr>
              <w:t xml:space="preserve"> </w:t>
            </w:r>
          </w:p>
        </w:tc>
        <w:tc>
          <w:tcPr>
            <w:tcW w:w="1440" w:type="dxa"/>
            <w:vAlign w:val="bottom"/>
          </w:tcPr>
          <w:p w14:paraId="70BB22F2"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27.4% (64) </w:t>
            </w:r>
          </w:p>
        </w:tc>
        <w:tc>
          <w:tcPr>
            <w:tcW w:w="540" w:type="dxa"/>
            <w:tcBorders>
              <w:right w:val="single" w:sz="4" w:space="0" w:color="auto"/>
            </w:tcBorders>
            <w:vAlign w:val="bottom"/>
          </w:tcPr>
          <w:p w14:paraId="56388CBB"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2798" w:type="dxa"/>
            <w:tcBorders>
              <w:left w:val="single" w:sz="4" w:space="0" w:color="auto"/>
            </w:tcBorders>
            <w:vAlign w:val="bottom"/>
          </w:tcPr>
          <w:p w14:paraId="527BD4A6"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Social media </w:t>
            </w:r>
          </w:p>
        </w:tc>
        <w:tc>
          <w:tcPr>
            <w:tcW w:w="1522" w:type="dxa"/>
            <w:vAlign w:val="bottom"/>
          </w:tcPr>
          <w:p w14:paraId="7399C1AA"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29.1% (68) </w:t>
            </w:r>
          </w:p>
        </w:tc>
      </w:tr>
      <w:tr w:rsidR="00B42D5A" w:rsidRPr="0062180F" w14:paraId="60EE5B4E" w14:textId="77777777" w:rsidTr="005C0D5A">
        <w:trPr>
          <w:trHeight w:val="315"/>
        </w:trPr>
        <w:tc>
          <w:tcPr>
            <w:tcW w:w="3075" w:type="dxa"/>
            <w:tcBorders>
              <w:bottom w:val="single" w:sz="4" w:space="0" w:color="auto"/>
            </w:tcBorders>
            <w:vAlign w:val="bottom"/>
          </w:tcPr>
          <w:p w14:paraId="707499DC"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CEO/ Director</w:t>
            </w:r>
          </w:p>
        </w:tc>
        <w:tc>
          <w:tcPr>
            <w:tcW w:w="1440" w:type="dxa"/>
            <w:tcBorders>
              <w:bottom w:val="single" w:sz="4" w:space="0" w:color="auto"/>
            </w:tcBorders>
            <w:vAlign w:val="bottom"/>
          </w:tcPr>
          <w:p w14:paraId="443F73CC"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0.9% (2)</w:t>
            </w:r>
          </w:p>
        </w:tc>
        <w:tc>
          <w:tcPr>
            <w:tcW w:w="540" w:type="dxa"/>
            <w:tcBorders>
              <w:bottom w:val="single" w:sz="4" w:space="0" w:color="auto"/>
              <w:right w:val="single" w:sz="4" w:space="0" w:color="auto"/>
            </w:tcBorders>
            <w:vAlign w:val="bottom"/>
          </w:tcPr>
          <w:p w14:paraId="514A4215"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2798" w:type="dxa"/>
            <w:tcBorders>
              <w:left w:val="single" w:sz="4" w:space="0" w:color="auto"/>
              <w:bottom w:val="single" w:sz="4" w:space="0" w:color="auto"/>
            </w:tcBorders>
            <w:vAlign w:val="bottom"/>
          </w:tcPr>
          <w:p w14:paraId="28D60BD4"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Company’s websites</w:t>
            </w:r>
          </w:p>
        </w:tc>
        <w:tc>
          <w:tcPr>
            <w:tcW w:w="1522" w:type="dxa"/>
            <w:tcBorders>
              <w:bottom w:val="single" w:sz="4" w:space="0" w:color="auto"/>
            </w:tcBorders>
            <w:vAlign w:val="bottom"/>
          </w:tcPr>
          <w:p w14:paraId="36908295"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1.7% (40) </w:t>
            </w:r>
          </w:p>
        </w:tc>
      </w:tr>
      <w:tr w:rsidR="00B42D5A" w:rsidRPr="0062180F" w14:paraId="3AB9D55D" w14:textId="77777777" w:rsidTr="005C0D5A">
        <w:trPr>
          <w:trHeight w:val="300"/>
        </w:trPr>
        <w:tc>
          <w:tcPr>
            <w:tcW w:w="3075" w:type="dxa"/>
            <w:tcBorders>
              <w:top w:val="single" w:sz="4" w:space="0" w:color="auto"/>
            </w:tcBorders>
            <w:vAlign w:val="bottom"/>
          </w:tcPr>
          <w:p w14:paraId="33319C9F"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1440" w:type="dxa"/>
            <w:tcBorders>
              <w:top w:val="single" w:sz="4" w:space="0" w:color="auto"/>
            </w:tcBorders>
            <w:vAlign w:val="bottom"/>
          </w:tcPr>
          <w:p w14:paraId="11525F13"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540" w:type="dxa"/>
            <w:tcBorders>
              <w:top w:val="single" w:sz="4" w:space="0" w:color="auto"/>
            </w:tcBorders>
            <w:vAlign w:val="bottom"/>
          </w:tcPr>
          <w:p w14:paraId="2016112E"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2798" w:type="dxa"/>
            <w:tcBorders>
              <w:top w:val="single" w:sz="4" w:space="0" w:color="auto"/>
            </w:tcBorders>
            <w:vAlign w:val="bottom"/>
          </w:tcPr>
          <w:p w14:paraId="099DCACF"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1522" w:type="dxa"/>
            <w:tcBorders>
              <w:top w:val="single" w:sz="4" w:space="0" w:color="auto"/>
            </w:tcBorders>
            <w:vAlign w:val="bottom"/>
          </w:tcPr>
          <w:p w14:paraId="057A2A6A"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r>
      <w:tr w:rsidR="00B42D5A" w:rsidRPr="0062180F" w14:paraId="0D769585" w14:textId="77777777" w:rsidTr="005C0D5A">
        <w:trPr>
          <w:trHeight w:val="315"/>
        </w:trPr>
        <w:tc>
          <w:tcPr>
            <w:tcW w:w="4515" w:type="dxa"/>
            <w:gridSpan w:val="2"/>
            <w:tcBorders>
              <w:bottom w:val="single" w:sz="4" w:space="0" w:color="auto"/>
            </w:tcBorders>
            <w:vAlign w:val="bottom"/>
          </w:tcPr>
          <w:p w14:paraId="063B14C0"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E-commerce platforms utilized</w:t>
            </w:r>
          </w:p>
        </w:tc>
        <w:tc>
          <w:tcPr>
            <w:tcW w:w="540" w:type="dxa"/>
            <w:tcBorders>
              <w:bottom w:val="single" w:sz="4" w:space="0" w:color="auto"/>
            </w:tcBorders>
            <w:vAlign w:val="bottom"/>
          </w:tcPr>
          <w:p w14:paraId="2397B390"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 </w:t>
            </w:r>
          </w:p>
        </w:tc>
        <w:tc>
          <w:tcPr>
            <w:tcW w:w="4320" w:type="dxa"/>
            <w:gridSpan w:val="2"/>
            <w:tcBorders>
              <w:bottom w:val="single" w:sz="4" w:space="0" w:color="auto"/>
            </w:tcBorders>
            <w:vAlign w:val="bottom"/>
          </w:tcPr>
          <w:p w14:paraId="0DD05C6E"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Place of residence</w:t>
            </w:r>
          </w:p>
        </w:tc>
      </w:tr>
      <w:tr w:rsidR="00B42D5A" w:rsidRPr="0062180F" w14:paraId="607BEA0E" w14:textId="77777777" w:rsidTr="005C0D5A">
        <w:trPr>
          <w:trHeight w:val="315"/>
        </w:trPr>
        <w:tc>
          <w:tcPr>
            <w:tcW w:w="3075" w:type="dxa"/>
            <w:tcBorders>
              <w:top w:val="single" w:sz="4" w:space="0" w:color="auto"/>
            </w:tcBorders>
            <w:vAlign w:val="bottom"/>
          </w:tcPr>
          <w:p w14:paraId="1952D394"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Jumia platform</w:t>
            </w:r>
          </w:p>
        </w:tc>
        <w:tc>
          <w:tcPr>
            <w:tcW w:w="1440" w:type="dxa"/>
            <w:tcBorders>
              <w:top w:val="single" w:sz="4" w:space="0" w:color="auto"/>
            </w:tcBorders>
            <w:vAlign w:val="bottom"/>
          </w:tcPr>
          <w:p w14:paraId="198B9A74"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35% (82) </w:t>
            </w:r>
          </w:p>
        </w:tc>
        <w:tc>
          <w:tcPr>
            <w:tcW w:w="540" w:type="dxa"/>
            <w:tcBorders>
              <w:top w:val="single" w:sz="4" w:space="0" w:color="auto"/>
              <w:right w:val="single" w:sz="4" w:space="0" w:color="auto"/>
            </w:tcBorders>
            <w:vAlign w:val="bottom"/>
          </w:tcPr>
          <w:p w14:paraId="1BB104C6"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2798" w:type="dxa"/>
            <w:tcBorders>
              <w:top w:val="single" w:sz="4" w:space="0" w:color="auto"/>
              <w:left w:val="single" w:sz="4" w:space="0" w:color="auto"/>
            </w:tcBorders>
            <w:vAlign w:val="bottom"/>
          </w:tcPr>
          <w:p w14:paraId="7110CEFB"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Douala</w:t>
            </w:r>
          </w:p>
        </w:tc>
        <w:tc>
          <w:tcPr>
            <w:tcW w:w="1522" w:type="dxa"/>
            <w:tcBorders>
              <w:top w:val="single" w:sz="4" w:space="0" w:color="auto"/>
            </w:tcBorders>
            <w:vAlign w:val="bottom"/>
          </w:tcPr>
          <w:p w14:paraId="2CE17616"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27% (40) </w:t>
            </w:r>
          </w:p>
        </w:tc>
      </w:tr>
      <w:tr w:rsidR="00B42D5A" w:rsidRPr="0062180F" w14:paraId="30D342EA" w14:textId="77777777" w:rsidTr="005C0D5A">
        <w:trPr>
          <w:trHeight w:val="315"/>
        </w:trPr>
        <w:tc>
          <w:tcPr>
            <w:tcW w:w="3075" w:type="dxa"/>
            <w:vAlign w:val="bottom"/>
          </w:tcPr>
          <w:p w14:paraId="0CCF008B"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roofErr w:type="spellStart"/>
            <w:r w:rsidRPr="0062180F">
              <w:rPr>
                <w:rFonts w:ascii="Times New Roman" w:eastAsia="Times New Roman" w:hAnsi="Times New Roman" w:cs="Times New Roman"/>
                <w:sz w:val="20"/>
                <w:szCs w:val="20"/>
              </w:rPr>
              <w:t>Kaymu</w:t>
            </w:r>
            <w:proofErr w:type="spellEnd"/>
          </w:p>
        </w:tc>
        <w:tc>
          <w:tcPr>
            <w:tcW w:w="1440" w:type="dxa"/>
            <w:vAlign w:val="bottom"/>
          </w:tcPr>
          <w:p w14:paraId="7C5485B8"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11.1% (26) </w:t>
            </w:r>
          </w:p>
        </w:tc>
        <w:tc>
          <w:tcPr>
            <w:tcW w:w="540" w:type="dxa"/>
            <w:tcBorders>
              <w:right w:val="single" w:sz="4" w:space="0" w:color="auto"/>
            </w:tcBorders>
            <w:vAlign w:val="bottom"/>
          </w:tcPr>
          <w:p w14:paraId="519AF102"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2798" w:type="dxa"/>
            <w:tcBorders>
              <w:left w:val="single" w:sz="4" w:space="0" w:color="auto"/>
            </w:tcBorders>
            <w:vAlign w:val="bottom"/>
          </w:tcPr>
          <w:p w14:paraId="401CBBA8"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Yaoundé </w:t>
            </w:r>
          </w:p>
        </w:tc>
        <w:tc>
          <w:tcPr>
            <w:tcW w:w="1522" w:type="dxa"/>
            <w:vAlign w:val="bottom"/>
          </w:tcPr>
          <w:p w14:paraId="29580562"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18% (42) </w:t>
            </w:r>
          </w:p>
        </w:tc>
      </w:tr>
      <w:tr w:rsidR="00B42D5A" w:rsidRPr="0062180F" w14:paraId="3B33FCC8" w14:textId="77777777" w:rsidTr="005C0D5A">
        <w:trPr>
          <w:trHeight w:val="315"/>
        </w:trPr>
        <w:tc>
          <w:tcPr>
            <w:tcW w:w="3075" w:type="dxa"/>
            <w:vAlign w:val="bottom"/>
          </w:tcPr>
          <w:p w14:paraId="33BADB55"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roofErr w:type="spellStart"/>
            <w:r w:rsidRPr="0062180F">
              <w:rPr>
                <w:rFonts w:ascii="Times New Roman" w:eastAsia="Times New Roman" w:hAnsi="Times New Roman" w:cs="Times New Roman"/>
                <w:sz w:val="20"/>
                <w:szCs w:val="20"/>
              </w:rPr>
              <w:t>Sellamquick</w:t>
            </w:r>
            <w:proofErr w:type="spellEnd"/>
            <w:r w:rsidRPr="0062180F">
              <w:rPr>
                <w:rFonts w:ascii="Times New Roman" w:eastAsia="Times New Roman" w:hAnsi="Times New Roman" w:cs="Times New Roman"/>
                <w:sz w:val="20"/>
                <w:szCs w:val="20"/>
              </w:rPr>
              <w:t>,</w:t>
            </w:r>
          </w:p>
        </w:tc>
        <w:tc>
          <w:tcPr>
            <w:tcW w:w="1440" w:type="dxa"/>
            <w:vAlign w:val="bottom"/>
          </w:tcPr>
          <w:p w14:paraId="227D1AEE"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12% (28) </w:t>
            </w:r>
          </w:p>
        </w:tc>
        <w:tc>
          <w:tcPr>
            <w:tcW w:w="540" w:type="dxa"/>
            <w:tcBorders>
              <w:right w:val="single" w:sz="4" w:space="0" w:color="auto"/>
            </w:tcBorders>
            <w:vAlign w:val="bottom"/>
          </w:tcPr>
          <w:p w14:paraId="347EE824"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2798" w:type="dxa"/>
            <w:tcBorders>
              <w:left w:val="single" w:sz="4" w:space="0" w:color="auto"/>
            </w:tcBorders>
            <w:vAlign w:val="bottom"/>
          </w:tcPr>
          <w:p w14:paraId="039C7217"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Bamenda</w:t>
            </w:r>
          </w:p>
        </w:tc>
        <w:tc>
          <w:tcPr>
            <w:tcW w:w="1522" w:type="dxa"/>
            <w:vAlign w:val="bottom"/>
          </w:tcPr>
          <w:p w14:paraId="23D19AFF"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65% (152) </w:t>
            </w:r>
          </w:p>
        </w:tc>
      </w:tr>
      <w:tr w:rsidR="00B42D5A" w:rsidRPr="0062180F" w14:paraId="2D235A6C" w14:textId="77777777" w:rsidTr="005C0D5A">
        <w:trPr>
          <w:trHeight w:val="315"/>
        </w:trPr>
        <w:tc>
          <w:tcPr>
            <w:tcW w:w="3075" w:type="dxa"/>
            <w:vAlign w:val="bottom"/>
          </w:tcPr>
          <w:p w14:paraId="54755DD2"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roofErr w:type="spellStart"/>
            <w:r w:rsidRPr="0062180F">
              <w:rPr>
                <w:rFonts w:ascii="Times New Roman" w:eastAsia="Times New Roman" w:hAnsi="Times New Roman" w:cs="Times New Roman"/>
                <w:sz w:val="20"/>
                <w:szCs w:val="20"/>
              </w:rPr>
              <w:t>Afrimarket</w:t>
            </w:r>
            <w:proofErr w:type="spellEnd"/>
            <w:r w:rsidRPr="0062180F">
              <w:rPr>
                <w:rFonts w:ascii="Times New Roman" w:eastAsia="Times New Roman" w:hAnsi="Times New Roman" w:cs="Times New Roman"/>
                <w:sz w:val="20"/>
                <w:szCs w:val="20"/>
              </w:rPr>
              <w:t xml:space="preserve"> platform</w:t>
            </w:r>
          </w:p>
        </w:tc>
        <w:tc>
          <w:tcPr>
            <w:tcW w:w="1440" w:type="dxa"/>
            <w:vAlign w:val="bottom"/>
          </w:tcPr>
          <w:p w14:paraId="359D20F9"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6% (14) </w:t>
            </w:r>
          </w:p>
        </w:tc>
        <w:tc>
          <w:tcPr>
            <w:tcW w:w="540" w:type="dxa"/>
            <w:tcBorders>
              <w:right w:val="single" w:sz="4" w:space="0" w:color="auto"/>
            </w:tcBorders>
            <w:vAlign w:val="bottom"/>
          </w:tcPr>
          <w:p w14:paraId="6806C892"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2798" w:type="dxa"/>
            <w:tcBorders>
              <w:left w:val="single" w:sz="4" w:space="0" w:color="auto"/>
            </w:tcBorders>
            <w:vAlign w:val="bottom"/>
          </w:tcPr>
          <w:p w14:paraId="67497A41"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1522" w:type="dxa"/>
            <w:vAlign w:val="bottom"/>
          </w:tcPr>
          <w:p w14:paraId="08E3FB10"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r>
      <w:tr w:rsidR="00B42D5A" w:rsidRPr="0062180F" w14:paraId="6D1938AF" w14:textId="77777777" w:rsidTr="005C0D5A">
        <w:trPr>
          <w:trHeight w:val="315"/>
        </w:trPr>
        <w:tc>
          <w:tcPr>
            <w:tcW w:w="3075" w:type="dxa"/>
            <w:vAlign w:val="bottom"/>
          </w:tcPr>
          <w:p w14:paraId="4050B142"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roofErr w:type="spellStart"/>
            <w:r w:rsidRPr="0062180F">
              <w:rPr>
                <w:rFonts w:ascii="Times New Roman" w:eastAsia="Times New Roman" w:hAnsi="Times New Roman" w:cs="Times New Roman"/>
                <w:sz w:val="20"/>
                <w:szCs w:val="20"/>
              </w:rPr>
              <w:t>Kikuu</w:t>
            </w:r>
            <w:proofErr w:type="spellEnd"/>
          </w:p>
        </w:tc>
        <w:tc>
          <w:tcPr>
            <w:tcW w:w="1440" w:type="dxa"/>
            <w:vAlign w:val="bottom"/>
          </w:tcPr>
          <w:p w14:paraId="72AD0A83"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11.1% (26)  </w:t>
            </w:r>
          </w:p>
        </w:tc>
        <w:tc>
          <w:tcPr>
            <w:tcW w:w="540" w:type="dxa"/>
            <w:tcBorders>
              <w:right w:val="single" w:sz="4" w:space="0" w:color="auto"/>
            </w:tcBorders>
            <w:vAlign w:val="bottom"/>
          </w:tcPr>
          <w:p w14:paraId="7379461D"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4320" w:type="dxa"/>
            <w:gridSpan w:val="2"/>
            <w:tcBorders>
              <w:left w:val="single" w:sz="4" w:space="0" w:color="auto"/>
            </w:tcBorders>
            <w:vAlign w:val="bottom"/>
          </w:tcPr>
          <w:p w14:paraId="0E83B090"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Types of items purchased online</w:t>
            </w:r>
          </w:p>
        </w:tc>
      </w:tr>
      <w:tr w:rsidR="00B42D5A" w:rsidRPr="0062180F" w14:paraId="1A169BC5" w14:textId="77777777" w:rsidTr="005C0D5A">
        <w:trPr>
          <w:trHeight w:val="315"/>
        </w:trPr>
        <w:tc>
          <w:tcPr>
            <w:tcW w:w="3075" w:type="dxa"/>
            <w:vAlign w:val="bottom"/>
          </w:tcPr>
          <w:p w14:paraId="7BA09080"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roofErr w:type="spellStart"/>
            <w:r w:rsidRPr="0062180F">
              <w:rPr>
                <w:rFonts w:ascii="Times New Roman" w:eastAsia="Times New Roman" w:hAnsi="Times New Roman" w:cs="Times New Roman"/>
                <w:sz w:val="20"/>
                <w:szCs w:val="20"/>
              </w:rPr>
              <w:t>Glotelho</w:t>
            </w:r>
            <w:proofErr w:type="spellEnd"/>
          </w:p>
        </w:tc>
        <w:tc>
          <w:tcPr>
            <w:tcW w:w="1440" w:type="dxa"/>
            <w:vAlign w:val="bottom"/>
          </w:tcPr>
          <w:p w14:paraId="59D47350"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6% (14) </w:t>
            </w:r>
          </w:p>
        </w:tc>
        <w:tc>
          <w:tcPr>
            <w:tcW w:w="540" w:type="dxa"/>
            <w:tcBorders>
              <w:right w:val="single" w:sz="4" w:space="0" w:color="auto"/>
            </w:tcBorders>
            <w:vAlign w:val="bottom"/>
          </w:tcPr>
          <w:p w14:paraId="4658A4CB"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2798" w:type="dxa"/>
            <w:tcBorders>
              <w:left w:val="single" w:sz="4" w:space="0" w:color="auto"/>
            </w:tcBorders>
            <w:vAlign w:val="bottom"/>
          </w:tcPr>
          <w:p w14:paraId="51B6ECB1"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Fashion gadgets</w:t>
            </w:r>
          </w:p>
        </w:tc>
        <w:tc>
          <w:tcPr>
            <w:tcW w:w="1522" w:type="dxa"/>
            <w:vAlign w:val="bottom"/>
          </w:tcPr>
          <w:p w14:paraId="71A3202F"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40% (93)</w:t>
            </w:r>
          </w:p>
        </w:tc>
      </w:tr>
      <w:tr w:rsidR="00B42D5A" w:rsidRPr="0062180F" w14:paraId="33E7B29D" w14:textId="77777777" w:rsidTr="005C0D5A">
        <w:trPr>
          <w:trHeight w:val="315"/>
        </w:trPr>
        <w:tc>
          <w:tcPr>
            <w:tcW w:w="3075" w:type="dxa"/>
            <w:vAlign w:val="bottom"/>
          </w:tcPr>
          <w:p w14:paraId="70628F3C"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Alibaba</w:t>
            </w:r>
          </w:p>
        </w:tc>
        <w:tc>
          <w:tcPr>
            <w:tcW w:w="1440" w:type="dxa"/>
            <w:vAlign w:val="bottom"/>
          </w:tcPr>
          <w:p w14:paraId="101DD342"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15.4% (36) </w:t>
            </w:r>
          </w:p>
        </w:tc>
        <w:tc>
          <w:tcPr>
            <w:tcW w:w="540" w:type="dxa"/>
            <w:tcBorders>
              <w:right w:val="single" w:sz="4" w:space="0" w:color="auto"/>
            </w:tcBorders>
            <w:vAlign w:val="bottom"/>
          </w:tcPr>
          <w:p w14:paraId="633E322A"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2798" w:type="dxa"/>
            <w:tcBorders>
              <w:left w:val="single" w:sz="4" w:space="0" w:color="auto"/>
            </w:tcBorders>
            <w:vAlign w:val="bottom"/>
          </w:tcPr>
          <w:p w14:paraId="64174F05"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Household appliances</w:t>
            </w:r>
          </w:p>
        </w:tc>
        <w:tc>
          <w:tcPr>
            <w:tcW w:w="1522" w:type="dxa"/>
            <w:vAlign w:val="bottom"/>
          </w:tcPr>
          <w:p w14:paraId="6D3F63E1"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12% (28)</w:t>
            </w:r>
          </w:p>
        </w:tc>
      </w:tr>
      <w:tr w:rsidR="00B42D5A" w:rsidRPr="0062180F" w14:paraId="680DFF2F" w14:textId="77777777" w:rsidTr="005C0D5A">
        <w:trPr>
          <w:trHeight w:val="315"/>
        </w:trPr>
        <w:tc>
          <w:tcPr>
            <w:tcW w:w="3075" w:type="dxa"/>
            <w:vAlign w:val="bottom"/>
          </w:tcPr>
          <w:p w14:paraId="5ABBFEE2"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Amazon</w:t>
            </w:r>
          </w:p>
        </w:tc>
        <w:tc>
          <w:tcPr>
            <w:tcW w:w="1440" w:type="dxa"/>
            <w:vAlign w:val="bottom"/>
          </w:tcPr>
          <w:p w14:paraId="792E19BC"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3.4% (8) </w:t>
            </w:r>
          </w:p>
        </w:tc>
        <w:tc>
          <w:tcPr>
            <w:tcW w:w="540" w:type="dxa"/>
            <w:tcBorders>
              <w:right w:val="single" w:sz="4" w:space="0" w:color="auto"/>
            </w:tcBorders>
            <w:vAlign w:val="bottom"/>
          </w:tcPr>
          <w:p w14:paraId="789E483D"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2798" w:type="dxa"/>
            <w:tcBorders>
              <w:left w:val="single" w:sz="4" w:space="0" w:color="auto"/>
            </w:tcBorders>
            <w:vAlign w:val="bottom"/>
          </w:tcPr>
          <w:p w14:paraId="6B46519B"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Foodstuff</w:t>
            </w:r>
          </w:p>
        </w:tc>
        <w:tc>
          <w:tcPr>
            <w:tcW w:w="1522" w:type="dxa"/>
            <w:vAlign w:val="bottom"/>
          </w:tcPr>
          <w:p w14:paraId="03B5947C"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12% (28)</w:t>
            </w:r>
          </w:p>
        </w:tc>
      </w:tr>
      <w:tr w:rsidR="00B42D5A" w:rsidRPr="0062180F" w14:paraId="77DBD60A" w14:textId="77777777" w:rsidTr="005C0D5A">
        <w:trPr>
          <w:trHeight w:val="315"/>
        </w:trPr>
        <w:tc>
          <w:tcPr>
            <w:tcW w:w="3075" w:type="dxa"/>
            <w:tcBorders>
              <w:bottom w:val="single" w:sz="4" w:space="0" w:color="auto"/>
            </w:tcBorders>
            <w:vAlign w:val="bottom"/>
          </w:tcPr>
          <w:p w14:paraId="7C03995E"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1440" w:type="dxa"/>
            <w:tcBorders>
              <w:bottom w:val="single" w:sz="4" w:space="0" w:color="auto"/>
            </w:tcBorders>
            <w:vAlign w:val="bottom"/>
          </w:tcPr>
          <w:p w14:paraId="311FAF8C"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540" w:type="dxa"/>
            <w:tcBorders>
              <w:bottom w:val="single" w:sz="4" w:space="0" w:color="auto"/>
              <w:right w:val="single" w:sz="4" w:space="0" w:color="auto"/>
            </w:tcBorders>
            <w:vAlign w:val="bottom"/>
          </w:tcPr>
          <w:p w14:paraId="279E6634"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2798" w:type="dxa"/>
            <w:tcBorders>
              <w:left w:val="single" w:sz="4" w:space="0" w:color="auto"/>
              <w:bottom w:val="single" w:sz="4" w:space="0" w:color="auto"/>
            </w:tcBorders>
            <w:vAlign w:val="bottom"/>
          </w:tcPr>
          <w:p w14:paraId="02C3924A"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Electronic gadgets </w:t>
            </w:r>
          </w:p>
        </w:tc>
        <w:tc>
          <w:tcPr>
            <w:tcW w:w="1522" w:type="dxa"/>
            <w:tcBorders>
              <w:bottom w:val="single" w:sz="4" w:space="0" w:color="auto"/>
            </w:tcBorders>
            <w:vAlign w:val="bottom"/>
          </w:tcPr>
          <w:p w14:paraId="23CFD99B"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36% (85)</w:t>
            </w:r>
          </w:p>
        </w:tc>
      </w:tr>
    </w:tbl>
    <w:p w14:paraId="47AF4075" w14:textId="77777777" w:rsidR="000F1B43" w:rsidRPr="0062180F" w:rsidRDefault="000F1B43" w:rsidP="0062180F">
      <w:pPr>
        <w:spacing w:after="0" w:line="240" w:lineRule="auto"/>
        <w:jc w:val="both"/>
        <w:rPr>
          <w:rFonts w:ascii="Times New Roman" w:hAnsi="Times New Roman" w:cs="Times New Roman"/>
          <w:sz w:val="20"/>
          <w:szCs w:val="20"/>
        </w:rPr>
      </w:pPr>
      <w:r w:rsidRPr="0062180F">
        <w:rPr>
          <w:rFonts w:ascii="Times New Roman" w:hAnsi="Times New Roman" w:cs="Times New Roman"/>
          <w:sz w:val="20"/>
          <w:szCs w:val="20"/>
        </w:rPr>
        <w:t>N=234</w:t>
      </w:r>
    </w:p>
    <w:p w14:paraId="2948A80A"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From table 1 above, 34.2% (80) respondents were less than the age of 25 years, 62.4% (146) respondents were between the age of 25 and less than 35 years while 3.4% (8) respondents were between 35 and less than 45 years. The age distribution suggests that all the participants are more likely to engage in online buying and have also developed the </w:t>
      </w:r>
      <w:proofErr w:type="spellStart"/>
      <w:r w:rsidRPr="0062180F">
        <w:rPr>
          <w:rFonts w:ascii="Times New Roman" w:eastAsia="Times New Roman" w:hAnsi="Times New Roman" w:cs="Times New Roman"/>
          <w:sz w:val="20"/>
          <w:szCs w:val="20"/>
        </w:rPr>
        <w:t>behavior</w:t>
      </w:r>
      <w:proofErr w:type="spellEnd"/>
      <w:r w:rsidRPr="0062180F">
        <w:rPr>
          <w:rFonts w:ascii="Times New Roman" w:eastAsia="Times New Roman" w:hAnsi="Times New Roman" w:cs="Times New Roman"/>
          <w:sz w:val="20"/>
          <w:szCs w:val="20"/>
        </w:rPr>
        <w:t xml:space="preserve"> of doing so.  Regarding educational qualification, 10.3% (24) respondents were Diploma holders and below, 59% (138) respondents of the sampled respondents were Bachelor’s degree holders and 30.8% (72) respondents were Post graduate degree holders.  Concerning employment and occupational situation, 53% (124) of the sampled respondents were students, 18.8% (44) respondents were unemployed, 27.4% (64) respondents were skilled laborers and 0.9% (2) respondents were CEO/ Directors. </w:t>
      </w:r>
    </w:p>
    <w:p w14:paraId="636351CF"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Concerning the place of residence, 27% (40) of the sampled respondents were resident in Douala, 18% (42) of respondents were resident in Yaoundé and 65% (152) of respondents were resident in Bamenda.  Concerning knowledge of e-commerce, 64.1% (150) respondents indicated that their source of knowledge about e-commerce platforms was a friend/ family/ colleague. 5.1% (12) respondents heard about e-commerce platforms from television, 29.1% (68) respondents heard about e-commerce platforms from social media, and 1.7% (40) respondents heard of the e-commerce platform from the company's websites. </w:t>
      </w:r>
    </w:p>
    <w:p w14:paraId="74466BA8"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Interestingly, 40% of the sampled respondents indicated that they mostly purchased fashion gadgets online, 12% of respondents purchased household appliances, 12% of respondents purchased foodstuff and 36% of respondents purchased electronic gadgets online. Concerning the e-commerce platforms utilized for transactions, 35% (82) respondents indicated that they do purchase from the Jumia platform, 11.1% (26) respondents purchase from </w:t>
      </w:r>
      <w:proofErr w:type="spellStart"/>
      <w:r w:rsidRPr="0062180F">
        <w:rPr>
          <w:rFonts w:ascii="Times New Roman" w:eastAsia="Times New Roman" w:hAnsi="Times New Roman" w:cs="Times New Roman"/>
          <w:sz w:val="20"/>
          <w:szCs w:val="20"/>
        </w:rPr>
        <w:t>Kaymu</w:t>
      </w:r>
      <w:proofErr w:type="spellEnd"/>
      <w:r w:rsidRPr="0062180F">
        <w:rPr>
          <w:rFonts w:ascii="Times New Roman" w:eastAsia="Times New Roman" w:hAnsi="Times New Roman" w:cs="Times New Roman"/>
          <w:sz w:val="20"/>
          <w:szCs w:val="20"/>
        </w:rPr>
        <w:t xml:space="preserve">, 12% (28) respondents purchase from </w:t>
      </w:r>
      <w:proofErr w:type="spellStart"/>
      <w:r w:rsidRPr="0062180F">
        <w:rPr>
          <w:rFonts w:ascii="Times New Roman" w:eastAsia="Times New Roman" w:hAnsi="Times New Roman" w:cs="Times New Roman"/>
          <w:sz w:val="20"/>
          <w:szCs w:val="20"/>
        </w:rPr>
        <w:t>Sellamquick</w:t>
      </w:r>
      <w:proofErr w:type="spellEnd"/>
      <w:r w:rsidRPr="0062180F">
        <w:rPr>
          <w:rFonts w:ascii="Times New Roman" w:eastAsia="Times New Roman" w:hAnsi="Times New Roman" w:cs="Times New Roman"/>
          <w:sz w:val="20"/>
          <w:szCs w:val="20"/>
        </w:rPr>
        <w:t xml:space="preserve">, 6% (14) respondents do purchase from </w:t>
      </w:r>
      <w:proofErr w:type="spellStart"/>
      <w:r w:rsidRPr="0062180F">
        <w:rPr>
          <w:rFonts w:ascii="Times New Roman" w:eastAsia="Times New Roman" w:hAnsi="Times New Roman" w:cs="Times New Roman"/>
          <w:sz w:val="20"/>
          <w:szCs w:val="20"/>
        </w:rPr>
        <w:t>Afrimarket</w:t>
      </w:r>
      <w:proofErr w:type="spellEnd"/>
      <w:r w:rsidRPr="0062180F">
        <w:rPr>
          <w:rFonts w:ascii="Times New Roman" w:eastAsia="Times New Roman" w:hAnsi="Times New Roman" w:cs="Times New Roman"/>
          <w:sz w:val="20"/>
          <w:szCs w:val="20"/>
        </w:rPr>
        <w:t xml:space="preserve"> platform, 11.1% (26)  respondents purchase from </w:t>
      </w:r>
      <w:proofErr w:type="spellStart"/>
      <w:r w:rsidRPr="0062180F">
        <w:rPr>
          <w:rFonts w:ascii="Times New Roman" w:eastAsia="Times New Roman" w:hAnsi="Times New Roman" w:cs="Times New Roman"/>
          <w:sz w:val="20"/>
          <w:szCs w:val="20"/>
        </w:rPr>
        <w:t>Kikuu</w:t>
      </w:r>
      <w:proofErr w:type="spellEnd"/>
      <w:r w:rsidRPr="0062180F">
        <w:rPr>
          <w:rFonts w:ascii="Times New Roman" w:eastAsia="Times New Roman" w:hAnsi="Times New Roman" w:cs="Times New Roman"/>
          <w:sz w:val="20"/>
          <w:szCs w:val="20"/>
        </w:rPr>
        <w:t xml:space="preserve">, 6% (14) respondents indicated that they purchase from </w:t>
      </w:r>
      <w:proofErr w:type="spellStart"/>
      <w:r w:rsidRPr="0062180F">
        <w:rPr>
          <w:rFonts w:ascii="Times New Roman" w:eastAsia="Times New Roman" w:hAnsi="Times New Roman" w:cs="Times New Roman"/>
          <w:sz w:val="20"/>
          <w:szCs w:val="20"/>
        </w:rPr>
        <w:t>Glotelho</w:t>
      </w:r>
      <w:proofErr w:type="spellEnd"/>
      <w:r w:rsidRPr="0062180F">
        <w:rPr>
          <w:rFonts w:ascii="Times New Roman" w:eastAsia="Times New Roman" w:hAnsi="Times New Roman" w:cs="Times New Roman"/>
          <w:sz w:val="20"/>
          <w:szCs w:val="20"/>
        </w:rPr>
        <w:t xml:space="preserve">, 15.4% (36) respondents purchased from Alibaba while 3.4% (8) respondents purchase from Amazon and 5.1% (12) respondents indicated that they never purchase online, 48.7% (114) respondents indicated that they purchase online occasionally, 33.3% (78) respondents indicated that they sometimes purchase online, 9.4% (22) respondents indicated that they often purchase online and 3.4% (8) respondents indicated that they always purchase online. </w:t>
      </w:r>
    </w:p>
    <w:p w14:paraId="4C9CF6BB" w14:textId="77777777" w:rsidR="000F1B43" w:rsidRPr="0062180F" w:rsidRDefault="000F1B43" w:rsidP="0062180F">
      <w:pPr>
        <w:pStyle w:val="Heading3"/>
        <w:spacing w:line="240" w:lineRule="auto"/>
        <w:jc w:val="both"/>
        <w:rPr>
          <w:rFonts w:ascii="Times New Roman" w:eastAsia="Times New Roman" w:hAnsi="Times New Roman" w:cs="Times New Roman"/>
          <w:b w:val="0"/>
          <w:color w:val="auto"/>
          <w:sz w:val="20"/>
          <w:szCs w:val="20"/>
        </w:rPr>
      </w:pPr>
      <w:bookmarkStart w:id="6" w:name="_Toc76101116"/>
      <w:r w:rsidRPr="0062180F">
        <w:rPr>
          <w:rFonts w:ascii="Times New Roman" w:eastAsia="Times New Roman" w:hAnsi="Times New Roman" w:cs="Times New Roman"/>
          <w:b w:val="0"/>
          <w:color w:val="auto"/>
          <w:sz w:val="20"/>
          <w:szCs w:val="20"/>
        </w:rPr>
        <w:t>Customers' Perception of e-commerce platform</w:t>
      </w:r>
      <w:bookmarkEnd w:id="6"/>
    </w:p>
    <w:p w14:paraId="3CB23096"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According to the study, 5.1% (12) respondents indicated that they never prefer to purchase from an e-commerce platform because it has no secure and reliable payment options. 48.7% (114) respondents indicated that they occasionally purchase from e-commerce platforms while 33.3% (78) respondents indicated that they sometimes prefer to purchase from an e-commerce platform because it has secured and reliable payment options. 9.4% (22) respondents indicated that they often purchase from an e-commerce platform because it has secured and reliable payment options and 3.4% (8) respondents indicated that they always purchase from an e-commerce platform because it has secured and reliable payment options. 6.8% (16) of respondents indicated that they never choose an e-</w:t>
      </w:r>
      <w:r w:rsidRPr="0062180F">
        <w:rPr>
          <w:rFonts w:ascii="Times New Roman" w:eastAsia="Times New Roman" w:hAnsi="Times New Roman" w:cs="Times New Roman"/>
          <w:sz w:val="20"/>
          <w:szCs w:val="20"/>
        </w:rPr>
        <w:lastRenderedPageBreak/>
        <w:t>commerce platform because they do not have information about it and how secured solutions work. 23.9% (56) respondents indicated that they occasionally choose an e-commerce platform because they have information about it and how secured solutions work while 38.5% (90) respondents indicated that they sometimes choose an e-commerce platform because they have information on it and how solutions work. 13.7% (32) respondents indicated that they often choose an e-commerce platform because they have information on it while 17.1% (40) respondents indicated that they always choose an e-commerce platform because they have information on it and how solutions work.</w:t>
      </w:r>
    </w:p>
    <w:p w14:paraId="1AFEBD5E" w14:textId="77777777" w:rsidR="000F1B43" w:rsidRPr="0062180F" w:rsidRDefault="000F1B43" w:rsidP="0062180F">
      <w:pPr>
        <w:pStyle w:val="Caption"/>
        <w:spacing w:after="0"/>
        <w:rPr>
          <w:rFonts w:ascii="Times New Roman" w:eastAsia="Times New Roman" w:hAnsi="Times New Roman" w:cs="Times New Roman"/>
          <w:b/>
          <w:i w:val="0"/>
          <w:color w:val="auto"/>
          <w:sz w:val="20"/>
          <w:szCs w:val="20"/>
        </w:rPr>
      </w:pPr>
      <w:bookmarkStart w:id="7" w:name="_Toc76097255"/>
      <w:r w:rsidRPr="0062180F">
        <w:rPr>
          <w:rFonts w:ascii="Times New Roman" w:eastAsia="Times New Roman" w:hAnsi="Times New Roman" w:cs="Times New Roman"/>
          <w:b/>
          <w:i w:val="0"/>
          <w:color w:val="auto"/>
          <w:sz w:val="20"/>
          <w:szCs w:val="20"/>
        </w:rPr>
        <w:t>Risk perception with online business platforms</w:t>
      </w:r>
      <w:bookmarkEnd w:id="7"/>
    </w:p>
    <w:p w14:paraId="39B36E94"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Respondents were asked to indicate their perception as concerns risk concerns in online business platforms. From the analysis, 23.1% (54) respondents indicated that they never perceive financial fraud in making online payments when they want to make a purchase. Further, 10.3% (24) respondents indicated that they occasionally perceive financial fraud in making online payments when they want to make a purchase. Also, 36.8% (86) of respondents indicated that they sometimes perceive financial fraud in making online payments when they want to make a purchase. While 15.4% (36) respondents indicated that they often perceive financial fraud in making online payments while 14.5% (34) respondents indicated that they always perceive financial fraud in making online payments when they want to make a purchase.</w:t>
      </w:r>
    </w:p>
    <w:p w14:paraId="33A5FCC8"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Concerning physical risk, 17.9% (42) respondents indicated that they never perceive any form of physical risk, 14.1% (33) indicated that they occasionally perceive a form of physical risk, 37.2% (87) respondents indicated that they sometimes perceive a form of physical risk, 17.1% (40) respondents indicated that they often perceive physical risk, 13.7% (32) respondents indicated that they always perceive a physical risk as to why they should not purchase on an e-commerce platform. Interestingly, 17.1% (40) respondents indicated that they never doubted the electronic system handling the transactions, 12% (28) respondents indicated that they occasionally doubt the electronic system handling the transactions, 43.6% (102) respondents indicated that they sometimes doubt the electronic system handling the transactions and 13.7% (32) respondents indicated that they often doubt the electronic system handling the transactions while 13.7% (32) respondents indicated that they always doubt the electronic system handling the transactions.</w:t>
      </w:r>
    </w:p>
    <w:p w14:paraId="01DF5668"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Concerning the IT system, 15.4% (36) respondents indicated that the IT system was never reliable enough for them not to fear the risk of fraud. Again, 12.8% (30) respondents indicated that the IT system was occasionally reliable enough for them not to fear a risk of fraud. 41.9% (98) of respondents indicated that the IT system was sometimes reliable enough for them not to fear a risk of fraud. 21.4% (50) respondents indicated that the IT system was often reliable enough for them not to fear the risk of fraud and 8.5% (20) respondents indicated that the IT system was always reliable enough for them not to fear the risk of fraud.</w:t>
      </w:r>
    </w:p>
    <w:p w14:paraId="70028DC6" w14:textId="77777777" w:rsidR="000F1B43" w:rsidRPr="0062180F" w:rsidRDefault="000F1B43" w:rsidP="0062180F">
      <w:pPr>
        <w:pStyle w:val="Caption"/>
        <w:spacing w:after="0"/>
        <w:rPr>
          <w:rFonts w:ascii="Times New Roman" w:eastAsia="Times New Roman" w:hAnsi="Times New Roman" w:cs="Times New Roman"/>
          <w:b/>
          <w:i w:val="0"/>
          <w:color w:val="auto"/>
          <w:sz w:val="20"/>
          <w:szCs w:val="20"/>
        </w:rPr>
      </w:pPr>
      <w:bookmarkStart w:id="8" w:name="_Toc76097256"/>
      <w:r w:rsidRPr="0062180F">
        <w:rPr>
          <w:rFonts w:ascii="Times New Roman" w:eastAsia="Times New Roman" w:hAnsi="Times New Roman" w:cs="Times New Roman"/>
          <w:b/>
          <w:i w:val="0"/>
          <w:color w:val="auto"/>
          <w:sz w:val="20"/>
          <w:szCs w:val="20"/>
        </w:rPr>
        <w:t>Perception of guarantees offered by online business platforms</w:t>
      </w:r>
      <w:bookmarkEnd w:id="8"/>
    </w:p>
    <w:p w14:paraId="2D05D567"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From the analysis</w:t>
      </w:r>
      <w:r w:rsidRPr="0062180F">
        <w:rPr>
          <w:rFonts w:ascii="Times New Roman" w:eastAsia="Times New Roman" w:hAnsi="Times New Roman" w:cs="Times New Roman"/>
          <w:i/>
          <w:sz w:val="20"/>
          <w:szCs w:val="20"/>
        </w:rPr>
        <w:t xml:space="preserve">, </w:t>
      </w:r>
      <w:r w:rsidRPr="0062180F">
        <w:rPr>
          <w:rFonts w:ascii="Times New Roman" w:eastAsia="Times New Roman" w:hAnsi="Times New Roman" w:cs="Times New Roman"/>
          <w:sz w:val="20"/>
          <w:szCs w:val="20"/>
        </w:rPr>
        <w:t xml:space="preserve">1.7% (4) respondents indicated that a well-defined return policy will never enable them to buy from a platform. 5.1% (12) respondents indicated that a well-defined return policy will occasionally enable them to buy from a platform. 21.4% (50) of respondents indicated that a well-defined return policy will sometimes enable them to buy from a platform. 22.2% (52) respondents indicated that a well-defined return policy often enabled them to buy from a platform while 49.6% (116) respondents indicated that a well-defined return policy always enabled them to buy from a platform. Based on the choice of platform to buy, 3.4% (8) of respondents indicated that they never choose to buy on a particular platform when they offer periods of warranties for defective products. 6.8% (16) of respondents indicated that they occasionally choose to buy from a particular platform when they offer periods of warranties for defective products. 29.1% (68) respondents indicated that they sometimes choose to buy from a particular platform when they offer periods of warranties for defective products. 21.4% (50) respondents indicated that they often buy from a particular platform when they offer periods of warranties for defective products and 39.3% (82) respondents indicated that they always buy from a particular platform when they offer periods of warranties for defective products. </w:t>
      </w:r>
      <w:bookmarkStart w:id="9" w:name="_heading=h.3vac5uf"/>
      <w:bookmarkEnd w:id="9"/>
    </w:p>
    <w:p w14:paraId="53D88D2F"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Cumulative customers trust perception</w:t>
      </w:r>
    </w:p>
    <w:p w14:paraId="35AD29D4"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According to analysis, 3.4% (8) respondents indicated that they never prefer to purchase or not to purchase based on the honesty in the transactions of their platform. 13.7% (32) respondents indicated that they occasionally prefer to purchase or not to purchase based on the honesty in the transactions of their platform. 33.3% (78) of respondents indicated that they sometimes prefer to purchase or not to purchase based on the honesty in the transactions of their platform. 21.4% (50) respondents indicated that they often prefer to purchase or not based on the honesty in the transactions of their platform while 28.2% (66) respondents indicated that they always prefer to purchase or not to purchase based on the honesty in the transactions of their platform. </w:t>
      </w:r>
    </w:p>
    <w:p w14:paraId="4F2A771E"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3.4% (8) respondents indicated that they will never be comfortable buying on a platform if the company undertakes corporate responsibilities towards them and the environment. 8.5% (20) respondents indicated that they will occasionally be comfortable buying on a platform if the company undertakes corporate responsibilities towards them </w:t>
      </w:r>
      <w:r w:rsidRPr="0062180F">
        <w:rPr>
          <w:rFonts w:ascii="Times New Roman" w:eastAsia="Times New Roman" w:hAnsi="Times New Roman" w:cs="Times New Roman"/>
          <w:sz w:val="20"/>
          <w:szCs w:val="20"/>
        </w:rPr>
        <w:lastRenderedPageBreak/>
        <w:t>and the environment. 13.7% (32) respondents indicated that they will be sometimes comfortable buying on a platform if the company undertakes corporate responsibilities towards them and the environment. 28.2% (66) respondents indicated that they will often be comfortable buying on a platform if the company undertakes corporate responsibilities towards them and the environment while 46.2% (108) respondents indicated that they will always be comfortable buying on a platform if the company undertakes corporate responsibilities towards them and the environment.</w:t>
      </w:r>
    </w:p>
    <w:p w14:paraId="2B289038"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It could be seen that 27.4% (64) of respondents never trusted a platform because they are familiar with their brand. 13.7% (32) of respondents indicated that they occasionally trust a platform because they are familiar with their brand.  29.9% (70) of respondents indicated that they sometimes trust a platform because they are familiar with their brand. 15.4% (36) respondents indicated that they often trust a platform because they are familiar with their brand and 13.7% (32) respondents indicated that they always trust a platform because they are familiar with their brand. </w:t>
      </w:r>
    </w:p>
    <w:p w14:paraId="4E317169"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Further, 10.3% (24) respondents indicated that it is never an important aspect for them to trust an e-commerce market because of its rating online and the reputation/ recommendations from friends and family members. 12% (28) of the respondents indicated that it is occasionally an important aspect for them to trust an e-commerce market because of its rating online and the reputation/ recommendations from friends and family members. 36.8% (86) of the respondents indicated that it is sometimes an important aspect for them to trust an e-commerce market because of its rating online and the reputation/ recommendations from friends and family members. 20.5% (48) of the respondents indicated that it is often an important aspect for them to trust an e-commerce market because of its rating online and the reputation/ recommendations from friends and family members while 20.5% (48) of the respondents indicated that it is always an important aspect for them to trust an e-commerce market because of its rating online and the reputation/ recommendations from friends and family members</w:t>
      </w:r>
    </w:p>
    <w:p w14:paraId="59D8A468" w14:textId="77777777" w:rsidR="000F1B43" w:rsidRPr="0062180F" w:rsidRDefault="000F1B43" w:rsidP="0062180F">
      <w:pPr>
        <w:pStyle w:val="Heading2"/>
        <w:spacing w:line="240" w:lineRule="auto"/>
        <w:jc w:val="both"/>
        <w:rPr>
          <w:rFonts w:ascii="Times New Roman" w:eastAsia="Times New Roman" w:hAnsi="Times New Roman" w:cs="Times New Roman"/>
          <w:b/>
          <w:color w:val="auto"/>
          <w:sz w:val="20"/>
          <w:szCs w:val="20"/>
        </w:rPr>
      </w:pPr>
      <w:bookmarkStart w:id="10" w:name="_Toc76101118"/>
      <w:r w:rsidRPr="0062180F">
        <w:rPr>
          <w:rFonts w:ascii="Times New Roman" w:eastAsia="Times New Roman" w:hAnsi="Times New Roman" w:cs="Times New Roman"/>
          <w:b/>
          <w:color w:val="auto"/>
          <w:sz w:val="20"/>
          <w:szCs w:val="20"/>
        </w:rPr>
        <w:t>Correlation Analysis</w:t>
      </w:r>
      <w:bookmarkEnd w:id="10"/>
    </w:p>
    <w:p w14:paraId="67280CC2"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In order to examine the effect of customers' and potentials customers' perception of e-commerce on trust, we employed the ordinary least squares (OLS) and the results are presented in equation 1 of table 2. later </w:t>
      </w:r>
      <w:proofErr w:type="gramStart"/>
      <w:r w:rsidRPr="0062180F">
        <w:rPr>
          <w:rFonts w:ascii="Times New Roman" w:eastAsia="Times New Roman" w:hAnsi="Times New Roman" w:cs="Times New Roman"/>
          <w:sz w:val="20"/>
          <w:szCs w:val="20"/>
        </w:rPr>
        <w:t>on</w:t>
      </w:r>
      <w:proofErr w:type="gramEnd"/>
      <w:r w:rsidRPr="0062180F">
        <w:rPr>
          <w:rFonts w:ascii="Times New Roman" w:eastAsia="Times New Roman" w:hAnsi="Times New Roman" w:cs="Times New Roman"/>
          <w:sz w:val="20"/>
          <w:szCs w:val="20"/>
        </w:rPr>
        <w:t xml:space="preserve"> we examine the effect of customers' perception on customer purchase decision (PURD) and the results are presented in equation 2 of table 2. In addition, we examine the effect of customers trust on customers purchase decision (equation 3) and finally we examine the influence of customers’ trust (mediating effect) on the effect of customers’ perception on customers purchase decision (equation 4).</w:t>
      </w:r>
    </w:p>
    <w:p w14:paraId="067E6CA9"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p w14:paraId="3B1B3E60" w14:textId="77777777" w:rsidR="000F1B43" w:rsidRPr="0062180F" w:rsidRDefault="000F1B43" w:rsidP="0062180F">
      <w:pPr>
        <w:pStyle w:val="Caption"/>
        <w:spacing w:after="0"/>
        <w:rPr>
          <w:rFonts w:ascii="Times New Roman" w:hAnsi="Times New Roman" w:cs="Times New Roman"/>
          <w:color w:val="auto"/>
          <w:sz w:val="20"/>
          <w:szCs w:val="20"/>
        </w:rPr>
      </w:pPr>
      <w:r w:rsidRPr="0062180F">
        <w:rPr>
          <w:rFonts w:ascii="Times New Roman" w:hAnsi="Times New Roman" w:cs="Times New Roman"/>
          <w:color w:val="auto"/>
          <w:sz w:val="20"/>
          <w:szCs w:val="20"/>
        </w:rPr>
        <w:t xml:space="preserve">Table </w:t>
      </w:r>
      <w:r w:rsidRPr="0062180F">
        <w:rPr>
          <w:rFonts w:ascii="Times New Roman" w:hAnsi="Times New Roman" w:cs="Times New Roman"/>
          <w:color w:val="auto"/>
          <w:sz w:val="20"/>
          <w:szCs w:val="20"/>
        </w:rPr>
        <w:fldChar w:fldCharType="begin"/>
      </w:r>
      <w:r w:rsidRPr="0062180F">
        <w:rPr>
          <w:rFonts w:ascii="Times New Roman" w:hAnsi="Times New Roman" w:cs="Times New Roman"/>
          <w:color w:val="auto"/>
          <w:sz w:val="20"/>
          <w:szCs w:val="20"/>
        </w:rPr>
        <w:instrText xml:space="preserve"> SEQ Table \* ARABIC </w:instrText>
      </w:r>
      <w:r w:rsidRPr="0062180F">
        <w:rPr>
          <w:rFonts w:ascii="Times New Roman" w:hAnsi="Times New Roman" w:cs="Times New Roman"/>
          <w:color w:val="auto"/>
          <w:sz w:val="20"/>
          <w:szCs w:val="20"/>
        </w:rPr>
        <w:fldChar w:fldCharType="separate"/>
      </w:r>
      <w:r w:rsidRPr="0062180F">
        <w:rPr>
          <w:rFonts w:ascii="Times New Roman" w:hAnsi="Times New Roman" w:cs="Times New Roman"/>
          <w:color w:val="auto"/>
          <w:sz w:val="20"/>
          <w:szCs w:val="20"/>
        </w:rPr>
        <w:t>2</w:t>
      </w:r>
      <w:r w:rsidRPr="0062180F">
        <w:rPr>
          <w:rFonts w:ascii="Times New Roman" w:hAnsi="Times New Roman" w:cs="Times New Roman"/>
          <w:color w:val="auto"/>
          <w:sz w:val="20"/>
          <w:szCs w:val="20"/>
        </w:rPr>
        <w:fldChar w:fldCharType="end"/>
      </w:r>
      <w:r w:rsidRPr="0062180F">
        <w:rPr>
          <w:rFonts w:ascii="Times New Roman" w:hAnsi="Times New Roman" w:cs="Times New Roman"/>
          <w:color w:val="auto"/>
          <w:sz w:val="20"/>
          <w:szCs w:val="20"/>
        </w:rPr>
        <w:t>: Regression Results</w:t>
      </w:r>
    </w:p>
    <w:tbl>
      <w:tblPr>
        <w:tblW w:w="9214" w:type="dxa"/>
        <w:tblInd w:w="170" w:type="dxa"/>
        <w:tblLayout w:type="fixed"/>
        <w:tblLook w:val="0000" w:firstRow="0" w:lastRow="0" w:firstColumn="0" w:lastColumn="0" w:noHBand="0" w:noVBand="0"/>
      </w:tblPr>
      <w:tblGrid>
        <w:gridCol w:w="2126"/>
        <w:gridCol w:w="1701"/>
        <w:gridCol w:w="1701"/>
        <w:gridCol w:w="1701"/>
        <w:gridCol w:w="1985"/>
      </w:tblGrid>
      <w:tr w:rsidR="00B42D5A" w:rsidRPr="0062180F" w14:paraId="30CFB6E8" w14:textId="77777777" w:rsidTr="005C0D5A">
        <w:trPr>
          <w:trHeight w:val="284"/>
        </w:trPr>
        <w:tc>
          <w:tcPr>
            <w:tcW w:w="2126" w:type="dxa"/>
            <w:tcBorders>
              <w:top w:val="single" w:sz="4" w:space="0" w:color="auto"/>
            </w:tcBorders>
          </w:tcPr>
          <w:p w14:paraId="1F34BE72"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p>
        </w:tc>
        <w:tc>
          <w:tcPr>
            <w:tcW w:w="1701" w:type="dxa"/>
            <w:tcBorders>
              <w:top w:val="single" w:sz="4" w:space="0" w:color="auto"/>
            </w:tcBorders>
          </w:tcPr>
          <w:p w14:paraId="457ADF86"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w:t>
            </w:r>
            <w:proofErr w:type="spellStart"/>
            <w:r w:rsidRPr="0062180F">
              <w:rPr>
                <w:rFonts w:ascii="Times New Roman" w:eastAsia="Times New Roman" w:hAnsi="Times New Roman" w:cs="Times New Roman"/>
                <w:b/>
                <w:sz w:val="20"/>
                <w:szCs w:val="20"/>
              </w:rPr>
              <w:t>eqn</w:t>
            </w:r>
            <w:proofErr w:type="spellEnd"/>
            <w:r w:rsidRPr="0062180F">
              <w:rPr>
                <w:rFonts w:ascii="Times New Roman" w:eastAsia="Times New Roman" w:hAnsi="Times New Roman" w:cs="Times New Roman"/>
                <w:b/>
                <w:sz w:val="20"/>
                <w:szCs w:val="20"/>
              </w:rPr>
              <w:t xml:space="preserve"> 1)</w:t>
            </w:r>
          </w:p>
        </w:tc>
        <w:tc>
          <w:tcPr>
            <w:tcW w:w="1701" w:type="dxa"/>
            <w:tcBorders>
              <w:top w:val="single" w:sz="4" w:space="0" w:color="auto"/>
            </w:tcBorders>
          </w:tcPr>
          <w:p w14:paraId="15DDF5CB"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w:t>
            </w:r>
            <w:proofErr w:type="spellStart"/>
            <w:r w:rsidRPr="0062180F">
              <w:rPr>
                <w:rFonts w:ascii="Times New Roman" w:eastAsia="Times New Roman" w:hAnsi="Times New Roman" w:cs="Times New Roman"/>
                <w:b/>
                <w:sz w:val="20"/>
                <w:szCs w:val="20"/>
              </w:rPr>
              <w:t>eqn</w:t>
            </w:r>
            <w:proofErr w:type="spellEnd"/>
            <w:r w:rsidRPr="0062180F">
              <w:rPr>
                <w:rFonts w:ascii="Times New Roman" w:eastAsia="Times New Roman" w:hAnsi="Times New Roman" w:cs="Times New Roman"/>
                <w:b/>
                <w:sz w:val="20"/>
                <w:szCs w:val="20"/>
              </w:rPr>
              <w:t xml:space="preserve"> 2)</w:t>
            </w:r>
          </w:p>
        </w:tc>
        <w:tc>
          <w:tcPr>
            <w:tcW w:w="1701" w:type="dxa"/>
            <w:tcBorders>
              <w:top w:val="single" w:sz="4" w:space="0" w:color="auto"/>
            </w:tcBorders>
          </w:tcPr>
          <w:p w14:paraId="7F2B259D"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w:t>
            </w:r>
            <w:proofErr w:type="spellStart"/>
            <w:r w:rsidRPr="0062180F">
              <w:rPr>
                <w:rFonts w:ascii="Times New Roman" w:eastAsia="Times New Roman" w:hAnsi="Times New Roman" w:cs="Times New Roman"/>
                <w:b/>
                <w:sz w:val="20"/>
                <w:szCs w:val="20"/>
              </w:rPr>
              <w:t>eqn</w:t>
            </w:r>
            <w:proofErr w:type="spellEnd"/>
            <w:r w:rsidRPr="0062180F">
              <w:rPr>
                <w:rFonts w:ascii="Times New Roman" w:eastAsia="Times New Roman" w:hAnsi="Times New Roman" w:cs="Times New Roman"/>
                <w:b/>
                <w:sz w:val="20"/>
                <w:szCs w:val="20"/>
              </w:rPr>
              <w:t xml:space="preserve"> 3)</w:t>
            </w:r>
          </w:p>
        </w:tc>
        <w:tc>
          <w:tcPr>
            <w:tcW w:w="1985" w:type="dxa"/>
            <w:tcBorders>
              <w:top w:val="single" w:sz="4" w:space="0" w:color="auto"/>
            </w:tcBorders>
          </w:tcPr>
          <w:p w14:paraId="354EF312"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w:t>
            </w:r>
            <w:proofErr w:type="spellStart"/>
            <w:r w:rsidRPr="0062180F">
              <w:rPr>
                <w:rFonts w:ascii="Times New Roman" w:eastAsia="Times New Roman" w:hAnsi="Times New Roman" w:cs="Times New Roman"/>
                <w:b/>
                <w:sz w:val="20"/>
                <w:szCs w:val="20"/>
              </w:rPr>
              <w:t>eqn</w:t>
            </w:r>
            <w:proofErr w:type="spellEnd"/>
            <w:r w:rsidRPr="0062180F">
              <w:rPr>
                <w:rFonts w:ascii="Times New Roman" w:eastAsia="Times New Roman" w:hAnsi="Times New Roman" w:cs="Times New Roman"/>
                <w:b/>
                <w:sz w:val="20"/>
                <w:szCs w:val="20"/>
              </w:rPr>
              <w:t xml:space="preserve"> 4)</w:t>
            </w:r>
          </w:p>
        </w:tc>
      </w:tr>
      <w:tr w:rsidR="00B42D5A" w:rsidRPr="0062180F" w14:paraId="39E75E63" w14:textId="77777777" w:rsidTr="005C0D5A">
        <w:trPr>
          <w:trHeight w:val="284"/>
        </w:trPr>
        <w:tc>
          <w:tcPr>
            <w:tcW w:w="2126" w:type="dxa"/>
            <w:tcBorders>
              <w:bottom w:val="single" w:sz="4" w:space="0" w:color="auto"/>
            </w:tcBorders>
          </w:tcPr>
          <w:p w14:paraId="2BA8B30E"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VARIABLES</w:t>
            </w:r>
          </w:p>
        </w:tc>
        <w:tc>
          <w:tcPr>
            <w:tcW w:w="1701" w:type="dxa"/>
            <w:tcBorders>
              <w:bottom w:val="single" w:sz="4" w:space="0" w:color="auto"/>
            </w:tcBorders>
          </w:tcPr>
          <w:p w14:paraId="01E9F296"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TRUST</w:t>
            </w:r>
          </w:p>
        </w:tc>
        <w:tc>
          <w:tcPr>
            <w:tcW w:w="1701" w:type="dxa"/>
            <w:tcBorders>
              <w:bottom w:val="single" w:sz="4" w:space="0" w:color="auto"/>
            </w:tcBorders>
          </w:tcPr>
          <w:p w14:paraId="070C1772"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PURD</w:t>
            </w:r>
          </w:p>
        </w:tc>
        <w:tc>
          <w:tcPr>
            <w:tcW w:w="1701" w:type="dxa"/>
            <w:tcBorders>
              <w:bottom w:val="single" w:sz="4" w:space="0" w:color="auto"/>
            </w:tcBorders>
          </w:tcPr>
          <w:p w14:paraId="75EC37AC"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PURD</w:t>
            </w:r>
          </w:p>
        </w:tc>
        <w:tc>
          <w:tcPr>
            <w:tcW w:w="1985" w:type="dxa"/>
            <w:tcBorders>
              <w:bottom w:val="single" w:sz="4" w:space="0" w:color="auto"/>
            </w:tcBorders>
          </w:tcPr>
          <w:p w14:paraId="0220A85B"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PURD</w:t>
            </w:r>
          </w:p>
        </w:tc>
      </w:tr>
      <w:tr w:rsidR="00B42D5A" w:rsidRPr="0062180F" w14:paraId="0AFF63E6" w14:textId="77777777" w:rsidTr="005C0D5A">
        <w:trPr>
          <w:trHeight w:val="284"/>
        </w:trPr>
        <w:tc>
          <w:tcPr>
            <w:tcW w:w="2126" w:type="dxa"/>
            <w:tcBorders>
              <w:top w:val="single" w:sz="4" w:space="0" w:color="auto"/>
            </w:tcBorders>
          </w:tcPr>
          <w:p w14:paraId="7C1CBFB3"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Security</w:t>
            </w:r>
          </w:p>
        </w:tc>
        <w:tc>
          <w:tcPr>
            <w:tcW w:w="1701" w:type="dxa"/>
            <w:tcBorders>
              <w:top w:val="single" w:sz="4" w:space="0" w:color="auto"/>
            </w:tcBorders>
          </w:tcPr>
          <w:p w14:paraId="75F32EA9"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0.126*</w:t>
            </w:r>
          </w:p>
        </w:tc>
        <w:tc>
          <w:tcPr>
            <w:tcW w:w="1701" w:type="dxa"/>
            <w:tcBorders>
              <w:top w:val="single" w:sz="4" w:space="0" w:color="auto"/>
            </w:tcBorders>
          </w:tcPr>
          <w:p w14:paraId="0D51F452"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-0.173**</w:t>
            </w:r>
          </w:p>
        </w:tc>
        <w:tc>
          <w:tcPr>
            <w:tcW w:w="1701" w:type="dxa"/>
            <w:tcBorders>
              <w:top w:val="single" w:sz="4" w:space="0" w:color="auto"/>
            </w:tcBorders>
          </w:tcPr>
          <w:p w14:paraId="1C16A90F"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985" w:type="dxa"/>
            <w:tcBorders>
              <w:top w:val="single" w:sz="4" w:space="0" w:color="auto"/>
            </w:tcBorders>
          </w:tcPr>
          <w:p w14:paraId="2C6071ED"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-0.146*</w:t>
            </w:r>
          </w:p>
        </w:tc>
      </w:tr>
      <w:tr w:rsidR="00B42D5A" w:rsidRPr="0062180F" w14:paraId="1360066A" w14:textId="77777777" w:rsidTr="005C0D5A">
        <w:trPr>
          <w:trHeight w:val="284"/>
        </w:trPr>
        <w:tc>
          <w:tcPr>
            <w:tcW w:w="2126" w:type="dxa"/>
          </w:tcPr>
          <w:p w14:paraId="02A81705"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701" w:type="dxa"/>
          </w:tcPr>
          <w:p w14:paraId="0587D198"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(0.0742)</w:t>
            </w:r>
          </w:p>
        </w:tc>
        <w:tc>
          <w:tcPr>
            <w:tcW w:w="1701" w:type="dxa"/>
          </w:tcPr>
          <w:p w14:paraId="46805F3B"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(0.0812)</w:t>
            </w:r>
          </w:p>
        </w:tc>
        <w:tc>
          <w:tcPr>
            <w:tcW w:w="1701" w:type="dxa"/>
          </w:tcPr>
          <w:p w14:paraId="45D22EF1"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985" w:type="dxa"/>
          </w:tcPr>
          <w:p w14:paraId="2B5FC046"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(0.0820)</w:t>
            </w:r>
          </w:p>
        </w:tc>
      </w:tr>
      <w:tr w:rsidR="00B42D5A" w:rsidRPr="0062180F" w14:paraId="08B97B3C" w14:textId="77777777" w:rsidTr="005C0D5A">
        <w:trPr>
          <w:trHeight w:val="990"/>
        </w:trPr>
        <w:tc>
          <w:tcPr>
            <w:tcW w:w="2126" w:type="dxa"/>
          </w:tcPr>
          <w:p w14:paraId="65E2C0D6"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Privacy</w:t>
            </w:r>
          </w:p>
        </w:tc>
        <w:tc>
          <w:tcPr>
            <w:tcW w:w="1701" w:type="dxa"/>
          </w:tcPr>
          <w:p w14:paraId="470CB1A6"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0.102</w:t>
            </w:r>
          </w:p>
        </w:tc>
        <w:tc>
          <w:tcPr>
            <w:tcW w:w="1701" w:type="dxa"/>
          </w:tcPr>
          <w:p w14:paraId="4D081A53"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-0.128*</w:t>
            </w:r>
          </w:p>
        </w:tc>
        <w:tc>
          <w:tcPr>
            <w:tcW w:w="1701" w:type="dxa"/>
          </w:tcPr>
          <w:p w14:paraId="4AE6C701"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985" w:type="dxa"/>
          </w:tcPr>
          <w:p w14:paraId="126D5DF0"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-0.103</w:t>
            </w:r>
          </w:p>
        </w:tc>
      </w:tr>
      <w:tr w:rsidR="00B42D5A" w:rsidRPr="0062180F" w14:paraId="526B4372" w14:textId="77777777" w:rsidTr="005C0D5A">
        <w:trPr>
          <w:trHeight w:val="284"/>
        </w:trPr>
        <w:tc>
          <w:tcPr>
            <w:tcW w:w="2126" w:type="dxa"/>
          </w:tcPr>
          <w:p w14:paraId="4EB9655E"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701" w:type="dxa"/>
          </w:tcPr>
          <w:p w14:paraId="3972A64F"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(0.0660)</w:t>
            </w:r>
          </w:p>
        </w:tc>
        <w:tc>
          <w:tcPr>
            <w:tcW w:w="1701" w:type="dxa"/>
          </w:tcPr>
          <w:p w14:paraId="7E62F265"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(0.0714)</w:t>
            </w:r>
          </w:p>
        </w:tc>
        <w:tc>
          <w:tcPr>
            <w:tcW w:w="1701" w:type="dxa"/>
          </w:tcPr>
          <w:p w14:paraId="34FA1AC2"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985" w:type="dxa"/>
          </w:tcPr>
          <w:p w14:paraId="79E146EF"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(0.0719)</w:t>
            </w:r>
          </w:p>
        </w:tc>
      </w:tr>
      <w:tr w:rsidR="00B42D5A" w:rsidRPr="0062180F" w14:paraId="23524F43" w14:textId="77777777" w:rsidTr="005C0D5A">
        <w:trPr>
          <w:trHeight w:val="284"/>
        </w:trPr>
        <w:tc>
          <w:tcPr>
            <w:tcW w:w="2126" w:type="dxa"/>
          </w:tcPr>
          <w:p w14:paraId="780759BB"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Web quality</w:t>
            </w:r>
          </w:p>
        </w:tc>
        <w:tc>
          <w:tcPr>
            <w:tcW w:w="1701" w:type="dxa"/>
          </w:tcPr>
          <w:p w14:paraId="4D0A5BA9"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0.00115</w:t>
            </w:r>
          </w:p>
        </w:tc>
        <w:tc>
          <w:tcPr>
            <w:tcW w:w="1701" w:type="dxa"/>
          </w:tcPr>
          <w:p w14:paraId="216B3EA2"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-0.0655</w:t>
            </w:r>
          </w:p>
        </w:tc>
        <w:tc>
          <w:tcPr>
            <w:tcW w:w="1701" w:type="dxa"/>
          </w:tcPr>
          <w:p w14:paraId="2A4E9755"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985" w:type="dxa"/>
          </w:tcPr>
          <w:p w14:paraId="2410607D"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-0.0705</w:t>
            </w:r>
          </w:p>
        </w:tc>
      </w:tr>
      <w:tr w:rsidR="00B42D5A" w:rsidRPr="0062180F" w14:paraId="464BED30" w14:textId="77777777" w:rsidTr="005C0D5A">
        <w:trPr>
          <w:trHeight w:val="284"/>
        </w:trPr>
        <w:tc>
          <w:tcPr>
            <w:tcW w:w="2126" w:type="dxa"/>
          </w:tcPr>
          <w:p w14:paraId="27B78B7E"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701" w:type="dxa"/>
          </w:tcPr>
          <w:p w14:paraId="476F258F"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(0.0782)</w:t>
            </w:r>
          </w:p>
        </w:tc>
        <w:tc>
          <w:tcPr>
            <w:tcW w:w="1701" w:type="dxa"/>
          </w:tcPr>
          <w:p w14:paraId="0E00AF0D"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(0.0870)</w:t>
            </w:r>
          </w:p>
        </w:tc>
        <w:tc>
          <w:tcPr>
            <w:tcW w:w="1701" w:type="dxa"/>
          </w:tcPr>
          <w:p w14:paraId="4B483FDE"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985" w:type="dxa"/>
          </w:tcPr>
          <w:p w14:paraId="2DC6FFB1"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(0.0873)</w:t>
            </w:r>
          </w:p>
        </w:tc>
      </w:tr>
      <w:tr w:rsidR="00B42D5A" w:rsidRPr="0062180F" w14:paraId="2D071366" w14:textId="77777777" w:rsidTr="005C0D5A">
        <w:trPr>
          <w:trHeight w:val="284"/>
        </w:trPr>
        <w:tc>
          <w:tcPr>
            <w:tcW w:w="2126" w:type="dxa"/>
          </w:tcPr>
          <w:p w14:paraId="69D713A4"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Perceived risk</w:t>
            </w:r>
          </w:p>
        </w:tc>
        <w:tc>
          <w:tcPr>
            <w:tcW w:w="1701" w:type="dxa"/>
          </w:tcPr>
          <w:p w14:paraId="7B19662C"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0.123*</w:t>
            </w:r>
          </w:p>
        </w:tc>
        <w:tc>
          <w:tcPr>
            <w:tcW w:w="1701" w:type="dxa"/>
          </w:tcPr>
          <w:p w14:paraId="18719FE5"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-0.182**</w:t>
            </w:r>
          </w:p>
        </w:tc>
        <w:tc>
          <w:tcPr>
            <w:tcW w:w="1701" w:type="dxa"/>
          </w:tcPr>
          <w:p w14:paraId="5A0FDC0C"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985" w:type="dxa"/>
          </w:tcPr>
          <w:p w14:paraId="2D79999E"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-0.161**</w:t>
            </w:r>
          </w:p>
        </w:tc>
      </w:tr>
      <w:tr w:rsidR="00B42D5A" w:rsidRPr="0062180F" w14:paraId="6496C7FA" w14:textId="77777777" w:rsidTr="005C0D5A">
        <w:trPr>
          <w:trHeight w:val="284"/>
        </w:trPr>
        <w:tc>
          <w:tcPr>
            <w:tcW w:w="2126" w:type="dxa"/>
          </w:tcPr>
          <w:p w14:paraId="037FF119"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701" w:type="dxa"/>
          </w:tcPr>
          <w:p w14:paraId="5E50F2AB"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(0.0654)</w:t>
            </w:r>
          </w:p>
        </w:tc>
        <w:tc>
          <w:tcPr>
            <w:tcW w:w="1701" w:type="dxa"/>
          </w:tcPr>
          <w:p w14:paraId="627A78DD"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(0.0728)</w:t>
            </w:r>
          </w:p>
        </w:tc>
        <w:tc>
          <w:tcPr>
            <w:tcW w:w="1701" w:type="dxa"/>
          </w:tcPr>
          <w:p w14:paraId="0F7BA1F6"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985" w:type="dxa"/>
          </w:tcPr>
          <w:p w14:paraId="15010E85"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(0.0739)</w:t>
            </w:r>
          </w:p>
        </w:tc>
      </w:tr>
      <w:tr w:rsidR="00B42D5A" w:rsidRPr="0062180F" w14:paraId="0DD90C70" w14:textId="77777777" w:rsidTr="005C0D5A">
        <w:trPr>
          <w:trHeight w:val="284"/>
        </w:trPr>
        <w:tc>
          <w:tcPr>
            <w:tcW w:w="2126" w:type="dxa"/>
          </w:tcPr>
          <w:p w14:paraId="07829C7D"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Guarantee </w:t>
            </w:r>
          </w:p>
        </w:tc>
        <w:tc>
          <w:tcPr>
            <w:tcW w:w="1701" w:type="dxa"/>
          </w:tcPr>
          <w:p w14:paraId="38BA12A5"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0.115</w:t>
            </w:r>
          </w:p>
        </w:tc>
        <w:tc>
          <w:tcPr>
            <w:tcW w:w="1701" w:type="dxa"/>
          </w:tcPr>
          <w:p w14:paraId="556A165D"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0.00160</w:t>
            </w:r>
          </w:p>
        </w:tc>
        <w:tc>
          <w:tcPr>
            <w:tcW w:w="1701" w:type="dxa"/>
          </w:tcPr>
          <w:p w14:paraId="61E8C021"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985" w:type="dxa"/>
          </w:tcPr>
          <w:p w14:paraId="391FA3BB"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0.0339</w:t>
            </w:r>
          </w:p>
        </w:tc>
      </w:tr>
      <w:tr w:rsidR="00B42D5A" w:rsidRPr="0062180F" w14:paraId="2C386C37" w14:textId="77777777" w:rsidTr="005C0D5A">
        <w:trPr>
          <w:trHeight w:val="284"/>
        </w:trPr>
        <w:tc>
          <w:tcPr>
            <w:tcW w:w="2126" w:type="dxa"/>
          </w:tcPr>
          <w:p w14:paraId="5ABECD72"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701" w:type="dxa"/>
          </w:tcPr>
          <w:p w14:paraId="64DC876C"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(0.0797)</w:t>
            </w:r>
          </w:p>
        </w:tc>
        <w:tc>
          <w:tcPr>
            <w:tcW w:w="1701" w:type="dxa"/>
          </w:tcPr>
          <w:p w14:paraId="7B44217B"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(0.0867)</w:t>
            </w:r>
          </w:p>
        </w:tc>
        <w:tc>
          <w:tcPr>
            <w:tcW w:w="1701" w:type="dxa"/>
          </w:tcPr>
          <w:p w14:paraId="7FC5776C"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985" w:type="dxa"/>
          </w:tcPr>
          <w:p w14:paraId="5583614B"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(0.0873)</w:t>
            </w:r>
          </w:p>
        </w:tc>
      </w:tr>
      <w:tr w:rsidR="00B42D5A" w:rsidRPr="0062180F" w14:paraId="4C9F486D" w14:textId="77777777" w:rsidTr="005C0D5A">
        <w:trPr>
          <w:trHeight w:val="284"/>
        </w:trPr>
        <w:tc>
          <w:tcPr>
            <w:tcW w:w="2126" w:type="dxa"/>
          </w:tcPr>
          <w:p w14:paraId="0B9C3806"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Trust</w:t>
            </w:r>
          </w:p>
        </w:tc>
        <w:tc>
          <w:tcPr>
            <w:tcW w:w="1701" w:type="dxa"/>
          </w:tcPr>
          <w:p w14:paraId="031E00F2"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701" w:type="dxa"/>
          </w:tcPr>
          <w:p w14:paraId="3116F152"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701" w:type="dxa"/>
          </w:tcPr>
          <w:p w14:paraId="5834B37A"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-0.316***</w:t>
            </w:r>
          </w:p>
        </w:tc>
        <w:tc>
          <w:tcPr>
            <w:tcW w:w="1985" w:type="dxa"/>
          </w:tcPr>
          <w:p w14:paraId="78D6343F"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-0.264***</w:t>
            </w:r>
          </w:p>
        </w:tc>
      </w:tr>
      <w:tr w:rsidR="00B42D5A" w:rsidRPr="0062180F" w14:paraId="7591B333" w14:textId="77777777" w:rsidTr="005C0D5A">
        <w:trPr>
          <w:trHeight w:val="284"/>
        </w:trPr>
        <w:tc>
          <w:tcPr>
            <w:tcW w:w="2126" w:type="dxa"/>
          </w:tcPr>
          <w:p w14:paraId="15AA5B09"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701" w:type="dxa"/>
          </w:tcPr>
          <w:p w14:paraId="43732F27"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701" w:type="dxa"/>
          </w:tcPr>
          <w:p w14:paraId="34E4BE90"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701" w:type="dxa"/>
          </w:tcPr>
          <w:p w14:paraId="466F7A85"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(0.0711)</w:t>
            </w:r>
          </w:p>
        </w:tc>
        <w:tc>
          <w:tcPr>
            <w:tcW w:w="1985" w:type="dxa"/>
          </w:tcPr>
          <w:p w14:paraId="3DBC22D9"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(0.0737)</w:t>
            </w:r>
          </w:p>
        </w:tc>
      </w:tr>
      <w:tr w:rsidR="00B42D5A" w:rsidRPr="0062180F" w14:paraId="6DBE973A" w14:textId="77777777" w:rsidTr="005C0D5A">
        <w:trPr>
          <w:trHeight w:val="284"/>
        </w:trPr>
        <w:tc>
          <w:tcPr>
            <w:tcW w:w="2126" w:type="dxa"/>
          </w:tcPr>
          <w:p w14:paraId="71949998"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Constant cut1</w:t>
            </w:r>
          </w:p>
        </w:tc>
        <w:tc>
          <w:tcPr>
            <w:tcW w:w="1701" w:type="dxa"/>
          </w:tcPr>
          <w:p w14:paraId="6CD555FA"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701" w:type="dxa"/>
          </w:tcPr>
          <w:p w14:paraId="4F50381A"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-1.273***</w:t>
            </w:r>
          </w:p>
        </w:tc>
        <w:tc>
          <w:tcPr>
            <w:tcW w:w="1701" w:type="dxa"/>
          </w:tcPr>
          <w:p w14:paraId="53852705"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-1.256***</w:t>
            </w:r>
          </w:p>
        </w:tc>
        <w:tc>
          <w:tcPr>
            <w:tcW w:w="1985" w:type="dxa"/>
          </w:tcPr>
          <w:p w14:paraId="3636C209"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-1.293***</w:t>
            </w:r>
          </w:p>
        </w:tc>
      </w:tr>
      <w:tr w:rsidR="00B42D5A" w:rsidRPr="0062180F" w14:paraId="393B319E" w14:textId="77777777" w:rsidTr="005C0D5A">
        <w:trPr>
          <w:trHeight w:val="284"/>
        </w:trPr>
        <w:tc>
          <w:tcPr>
            <w:tcW w:w="2126" w:type="dxa"/>
          </w:tcPr>
          <w:p w14:paraId="43BC829B"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701" w:type="dxa"/>
          </w:tcPr>
          <w:p w14:paraId="31EB5BF0"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701" w:type="dxa"/>
          </w:tcPr>
          <w:p w14:paraId="2D32C1AF"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(0.112)</w:t>
            </w:r>
          </w:p>
        </w:tc>
        <w:tc>
          <w:tcPr>
            <w:tcW w:w="1701" w:type="dxa"/>
          </w:tcPr>
          <w:p w14:paraId="0F3D1298"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(0.109)</w:t>
            </w:r>
          </w:p>
        </w:tc>
        <w:tc>
          <w:tcPr>
            <w:tcW w:w="1985" w:type="dxa"/>
          </w:tcPr>
          <w:p w14:paraId="34FF17A7"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(0.112)</w:t>
            </w:r>
          </w:p>
        </w:tc>
      </w:tr>
      <w:tr w:rsidR="00B42D5A" w:rsidRPr="0062180F" w14:paraId="6ECC638D" w14:textId="77777777" w:rsidTr="005C0D5A">
        <w:trPr>
          <w:trHeight w:val="284"/>
        </w:trPr>
        <w:tc>
          <w:tcPr>
            <w:tcW w:w="2126" w:type="dxa"/>
          </w:tcPr>
          <w:p w14:paraId="2EEB4CF9"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Constant cut2</w:t>
            </w:r>
          </w:p>
        </w:tc>
        <w:tc>
          <w:tcPr>
            <w:tcW w:w="1701" w:type="dxa"/>
          </w:tcPr>
          <w:p w14:paraId="13F4A661"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701" w:type="dxa"/>
          </w:tcPr>
          <w:p w14:paraId="2B9F9A60"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-0.518***</w:t>
            </w:r>
          </w:p>
        </w:tc>
        <w:tc>
          <w:tcPr>
            <w:tcW w:w="1701" w:type="dxa"/>
          </w:tcPr>
          <w:p w14:paraId="24F22520"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-0.542***</w:t>
            </w:r>
          </w:p>
        </w:tc>
        <w:tc>
          <w:tcPr>
            <w:tcW w:w="1985" w:type="dxa"/>
          </w:tcPr>
          <w:p w14:paraId="788704B4"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-0.551***</w:t>
            </w:r>
          </w:p>
        </w:tc>
      </w:tr>
      <w:tr w:rsidR="00B42D5A" w:rsidRPr="0062180F" w14:paraId="08F7C1AC" w14:textId="77777777" w:rsidTr="005C0D5A">
        <w:trPr>
          <w:trHeight w:val="284"/>
        </w:trPr>
        <w:tc>
          <w:tcPr>
            <w:tcW w:w="2126" w:type="dxa"/>
          </w:tcPr>
          <w:p w14:paraId="3214034C"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701" w:type="dxa"/>
          </w:tcPr>
          <w:p w14:paraId="44CF43D0"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701" w:type="dxa"/>
          </w:tcPr>
          <w:p w14:paraId="5E696E28"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(0.0872)</w:t>
            </w:r>
          </w:p>
        </w:tc>
        <w:tc>
          <w:tcPr>
            <w:tcW w:w="1701" w:type="dxa"/>
          </w:tcPr>
          <w:p w14:paraId="0DB3EE71"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(0.0869)</w:t>
            </w:r>
          </w:p>
        </w:tc>
        <w:tc>
          <w:tcPr>
            <w:tcW w:w="1985" w:type="dxa"/>
          </w:tcPr>
          <w:p w14:paraId="4ACF2CD5"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(0.0881)</w:t>
            </w:r>
          </w:p>
        </w:tc>
      </w:tr>
      <w:tr w:rsidR="00B42D5A" w:rsidRPr="0062180F" w14:paraId="3D96E7A4" w14:textId="77777777" w:rsidTr="005C0D5A">
        <w:trPr>
          <w:trHeight w:val="284"/>
        </w:trPr>
        <w:tc>
          <w:tcPr>
            <w:tcW w:w="2126" w:type="dxa"/>
          </w:tcPr>
          <w:p w14:paraId="23CD923E"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lastRenderedPageBreak/>
              <w:t>Constant cut3</w:t>
            </w:r>
          </w:p>
        </w:tc>
        <w:tc>
          <w:tcPr>
            <w:tcW w:w="1701" w:type="dxa"/>
          </w:tcPr>
          <w:p w14:paraId="20701530"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701" w:type="dxa"/>
          </w:tcPr>
          <w:p w14:paraId="06E9A2EA"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0.331***</w:t>
            </w:r>
          </w:p>
        </w:tc>
        <w:tc>
          <w:tcPr>
            <w:tcW w:w="1701" w:type="dxa"/>
          </w:tcPr>
          <w:p w14:paraId="4C1BA1A1"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0.300***</w:t>
            </w:r>
          </w:p>
        </w:tc>
        <w:tc>
          <w:tcPr>
            <w:tcW w:w="1985" w:type="dxa"/>
          </w:tcPr>
          <w:p w14:paraId="5B148749"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0.315***</w:t>
            </w:r>
          </w:p>
        </w:tc>
      </w:tr>
      <w:tr w:rsidR="00B42D5A" w:rsidRPr="0062180F" w14:paraId="357BC3EB" w14:textId="77777777" w:rsidTr="005C0D5A">
        <w:trPr>
          <w:trHeight w:val="284"/>
        </w:trPr>
        <w:tc>
          <w:tcPr>
            <w:tcW w:w="2126" w:type="dxa"/>
          </w:tcPr>
          <w:p w14:paraId="61415C89"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701" w:type="dxa"/>
          </w:tcPr>
          <w:p w14:paraId="2387EB6F"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701" w:type="dxa"/>
          </w:tcPr>
          <w:p w14:paraId="305FB7E0"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(0.0848)</w:t>
            </w:r>
          </w:p>
        </w:tc>
        <w:tc>
          <w:tcPr>
            <w:tcW w:w="1701" w:type="dxa"/>
          </w:tcPr>
          <w:p w14:paraId="631DC8D7"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(0.0852)</w:t>
            </w:r>
          </w:p>
        </w:tc>
        <w:tc>
          <w:tcPr>
            <w:tcW w:w="1985" w:type="dxa"/>
          </w:tcPr>
          <w:p w14:paraId="08AED05A"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(0.0862)</w:t>
            </w:r>
          </w:p>
        </w:tc>
      </w:tr>
      <w:tr w:rsidR="00B42D5A" w:rsidRPr="0062180F" w14:paraId="3E82E80C" w14:textId="77777777" w:rsidTr="005C0D5A">
        <w:trPr>
          <w:trHeight w:val="284"/>
        </w:trPr>
        <w:tc>
          <w:tcPr>
            <w:tcW w:w="2126" w:type="dxa"/>
          </w:tcPr>
          <w:p w14:paraId="6817E330"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Constant cut4</w:t>
            </w:r>
          </w:p>
        </w:tc>
        <w:tc>
          <w:tcPr>
            <w:tcW w:w="1701" w:type="dxa"/>
          </w:tcPr>
          <w:p w14:paraId="777399F3"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701" w:type="dxa"/>
          </w:tcPr>
          <w:p w14:paraId="28E60699"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0.862***</w:t>
            </w:r>
          </w:p>
        </w:tc>
        <w:tc>
          <w:tcPr>
            <w:tcW w:w="1701" w:type="dxa"/>
          </w:tcPr>
          <w:p w14:paraId="1B97F739"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0.860***</w:t>
            </w:r>
          </w:p>
        </w:tc>
        <w:tc>
          <w:tcPr>
            <w:tcW w:w="1985" w:type="dxa"/>
          </w:tcPr>
          <w:p w14:paraId="2FF3FECE"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0.887***</w:t>
            </w:r>
          </w:p>
        </w:tc>
      </w:tr>
      <w:tr w:rsidR="00B42D5A" w:rsidRPr="0062180F" w14:paraId="0B7D9C6E" w14:textId="77777777" w:rsidTr="005C0D5A">
        <w:trPr>
          <w:trHeight w:val="284"/>
        </w:trPr>
        <w:tc>
          <w:tcPr>
            <w:tcW w:w="2126" w:type="dxa"/>
          </w:tcPr>
          <w:p w14:paraId="3F0CEB94"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701" w:type="dxa"/>
          </w:tcPr>
          <w:p w14:paraId="6DB650B9"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701" w:type="dxa"/>
          </w:tcPr>
          <w:p w14:paraId="0643BFBF"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(0.0950)</w:t>
            </w:r>
          </w:p>
        </w:tc>
        <w:tc>
          <w:tcPr>
            <w:tcW w:w="1701" w:type="dxa"/>
          </w:tcPr>
          <w:p w14:paraId="701FC3A6"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(0.0968)</w:t>
            </w:r>
          </w:p>
        </w:tc>
        <w:tc>
          <w:tcPr>
            <w:tcW w:w="1985" w:type="dxa"/>
          </w:tcPr>
          <w:p w14:paraId="0DA1992A"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(0.0981)</w:t>
            </w:r>
          </w:p>
        </w:tc>
      </w:tr>
      <w:tr w:rsidR="00B42D5A" w:rsidRPr="0062180F" w14:paraId="1AC5019E" w14:textId="77777777" w:rsidTr="005C0D5A">
        <w:trPr>
          <w:trHeight w:val="284"/>
        </w:trPr>
        <w:tc>
          <w:tcPr>
            <w:tcW w:w="2126" w:type="dxa"/>
          </w:tcPr>
          <w:p w14:paraId="6CE6D5F7"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Constant</w:t>
            </w:r>
          </w:p>
        </w:tc>
        <w:tc>
          <w:tcPr>
            <w:tcW w:w="1701" w:type="dxa"/>
          </w:tcPr>
          <w:p w14:paraId="6EAB52CC"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0.000788</w:t>
            </w:r>
          </w:p>
        </w:tc>
        <w:tc>
          <w:tcPr>
            <w:tcW w:w="1701" w:type="dxa"/>
          </w:tcPr>
          <w:p w14:paraId="3D9455DE"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701" w:type="dxa"/>
          </w:tcPr>
          <w:p w14:paraId="7EAF05EE"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985" w:type="dxa"/>
          </w:tcPr>
          <w:p w14:paraId="1B8364F6"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r>
      <w:tr w:rsidR="00B42D5A" w:rsidRPr="0062180F" w14:paraId="66551CCC" w14:textId="77777777" w:rsidTr="005C0D5A">
        <w:trPr>
          <w:trHeight w:val="284"/>
        </w:trPr>
        <w:tc>
          <w:tcPr>
            <w:tcW w:w="2126" w:type="dxa"/>
            <w:tcBorders>
              <w:bottom w:val="single" w:sz="4" w:space="0" w:color="auto"/>
            </w:tcBorders>
          </w:tcPr>
          <w:p w14:paraId="12DBD27C"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701" w:type="dxa"/>
            <w:tcBorders>
              <w:bottom w:val="single" w:sz="4" w:space="0" w:color="auto"/>
            </w:tcBorders>
          </w:tcPr>
          <w:p w14:paraId="1626887C"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(0.0636)</w:t>
            </w:r>
          </w:p>
        </w:tc>
        <w:tc>
          <w:tcPr>
            <w:tcW w:w="1701" w:type="dxa"/>
            <w:tcBorders>
              <w:bottom w:val="single" w:sz="4" w:space="0" w:color="auto"/>
            </w:tcBorders>
          </w:tcPr>
          <w:p w14:paraId="5F4EC1AE"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701" w:type="dxa"/>
            <w:tcBorders>
              <w:bottom w:val="single" w:sz="4" w:space="0" w:color="auto"/>
            </w:tcBorders>
          </w:tcPr>
          <w:p w14:paraId="6B6918BC"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985" w:type="dxa"/>
            <w:tcBorders>
              <w:bottom w:val="single" w:sz="4" w:space="0" w:color="auto"/>
            </w:tcBorders>
          </w:tcPr>
          <w:p w14:paraId="39E6CD0C"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r>
      <w:tr w:rsidR="00B42D5A" w:rsidRPr="0062180F" w14:paraId="4A637F48" w14:textId="77777777" w:rsidTr="005C0D5A">
        <w:trPr>
          <w:trHeight w:val="284"/>
        </w:trPr>
        <w:tc>
          <w:tcPr>
            <w:tcW w:w="2126" w:type="dxa"/>
            <w:tcBorders>
              <w:top w:val="single" w:sz="4" w:space="0" w:color="auto"/>
            </w:tcBorders>
          </w:tcPr>
          <w:p w14:paraId="6A3EBD56"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Observations</w:t>
            </w:r>
          </w:p>
        </w:tc>
        <w:tc>
          <w:tcPr>
            <w:tcW w:w="1701" w:type="dxa"/>
            <w:tcBorders>
              <w:top w:val="single" w:sz="4" w:space="0" w:color="auto"/>
            </w:tcBorders>
          </w:tcPr>
          <w:p w14:paraId="03F2766B"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234</w:t>
            </w:r>
          </w:p>
        </w:tc>
        <w:tc>
          <w:tcPr>
            <w:tcW w:w="1701" w:type="dxa"/>
            <w:tcBorders>
              <w:top w:val="single" w:sz="4" w:space="0" w:color="auto"/>
            </w:tcBorders>
          </w:tcPr>
          <w:p w14:paraId="07B5A91D"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234</w:t>
            </w:r>
          </w:p>
        </w:tc>
        <w:tc>
          <w:tcPr>
            <w:tcW w:w="1701" w:type="dxa"/>
            <w:tcBorders>
              <w:top w:val="single" w:sz="4" w:space="0" w:color="auto"/>
            </w:tcBorders>
          </w:tcPr>
          <w:p w14:paraId="5F256086"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234</w:t>
            </w:r>
          </w:p>
        </w:tc>
        <w:tc>
          <w:tcPr>
            <w:tcW w:w="1985" w:type="dxa"/>
            <w:tcBorders>
              <w:top w:val="single" w:sz="4" w:space="0" w:color="auto"/>
            </w:tcBorders>
          </w:tcPr>
          <w:p w14:paraId="37F4EE37"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234</w:t>
            </w:r>
          </w:p>
        </w:tc>
      </w:tr>
      <w:tr w:rsidR="00B42D5A" w:rsidRPr="0062180F" w14:paraId="1326E3CB" w14:textId="77777777" w:rsidTr="005C0D5A">
        <w:trPr>
          <w:trHeight w:val="284"/>
        </w:trPr>
        <w:tc>
          <w:tcPr>
            <w:tcW w:w="2126" w:type="dxa"/>
            <w:tcBorders>
              <w:bottom w:val="single" w:sz="4" w:space="0" w:color="auto"/>
            </w:tcBorders>
          </w:tcPr>
          <w:p w14:paraId="6616DC0C"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R-squared</w:t>
            </w:r>
          </w:p>
        </w:tc>
        <w:tc>
          <w:tcPr>
            <w:tcW w:w="1701" w:type="dxa"/>
            <w:tcBorders>
              <w:bottom w:val="single" w:sz="4" w:space="0" w:color="auto"/>
            </w:tcBorders>
          </w:tcPr>
          <w:p w14:paraId="1604B1F9"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0.078</w:t>
            </w:r>
          </w:p>
        </w:tc>
        <w:tc>
          <w:tcPr>
            <w:tcW w:w="1701" w:type="dxa"/>
            <w:tcBorders>
              <w:bottom w:val="single" w:sz="4" w:space="0" w:color="auto"/>
            </w:tcBorders>
          </w:tcPr>
          <w:p w14:paraId="4D2C495D"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p>
        </w:tc>
        <w:tc>
          <w:tcPr>
            <w:tcW w:w="1701" w:type="dxa"/>
            <w:tcBorders>
              <w:bottom w:val="single" w:sz="4" w:space="0" w:color="auto"/>
            </w:tcBorders>
          </w:tcPr>
          <w:p w14:paraId="37075F8F"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p>
        </w:tc>
        <w:tc>
          <w:tcPr>
            <w:tcW w:w="1985" w:type="dxa"/>
            <w:tcBorders>
              <w:bottom w:val="single" w:sz="4" w:space="0" w:color="auto"/>
            </w:tcBorders>
          </w:tcPr>
          <w:p w14:paraId="30E9C492"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p>
        </w:tc>
      </w:tr>
    </w:tbl>
    <w:p w14:paraId="55FD928D" w14:textId="77777777" w:rsidR="000F1B43" w:rsidRPr="0062180F" w:rsidRDefault="000F1B43" w:rsidP="0062180F">
      <w:pPr>
        <w:spacing w:before="120" w:after="0" w:line="240" w:lineRule="auto"/>
        <w:jc w:val="both"/>
        <w:rPr>
          <w:rFonts w:ascii="Times New Roman" w:eastAsia="Times New Roman" w:hAnsi="Times New Roman" w:cs="Times New Roman"/>
          <w:sz w:val="20"/>
          <w:szCs w:val="20"/>
        </w:rPr>
      </w:pPr>
      <w:bookmarkStart w:id="11" w:name="_heading=h.3mzq4wv"/>
      <w:bookmarkEnd w:id="11"/>
      <w:r w:rsidRPr="0062180F">
        <w:rPr>
          <w:rFonts w:ascii="Times New Roman" w:eastAsia="Times New Roman" w:hAnsi="Times New Roman" w:cs="Times New Roman"/>
          <w:b/>
          <w:sz w:val="20"/>
          <w:szCs w:val="20"/>
        </w:rPr>
        <w:t>Note</w:t>
      </w:r>
      <w:r w:rsidRPr="0062180F">
        <w:rPr>
          <w:rFonts w:ascii="Times New Roman" w:eastAsia="Times New Roman" w:hAnsi="Times New Roman" w:cs="Times New Roman"/>
          <w:sz w:val="20"/>
          <w:szCs w:val="20"/>
        </w:rPr>
        <w:t>: Standard errors in parentheses, *** p&lt;0.01, ** p&lt;0.05, * p&lt;0.1</w:t>
      </w:r>
    </w:p>
    <w:p w14:paraId="7BEC00B6" w14:textId="77777777" w:rsidR="000F1B43" w:rsidRPr="0062180F" w:rsidRDefault="000F1B43" w:rsidP="0062180F">
      <w:pPr>
        <w:spacing w:after="0" w:line="240" w:lineRule="auto"/>
        <w:jc w:val="both"/>
        <w:rPr>
          <w:rFonts w:ascii="Times New Roman" w:eastAsia="Times New Roman" w:hAnsi="Times New Roman" w:cs="Times New Roman"/>
          <w:i/>
          <w:sz w:val="20"/>
          <w:szCs w:val="20"/>
        </w:rPr>
      </w:pPr>
      <w:r w:rsidRPr="0062180F">
        <w:rPr>
          <w:rFonts w:ascii="Times New Roman" w:eastAsia="Times New Roman" w:hAnsi="Times New Roman" w:cs="Times New Roman"/>
          <w:i/>
          <w:sz w:val="20"/>
          <w:szCs w:val="20"/>
        </w:rPr>
        <w:t>Source: Author from field data (2022)</w:t>
      </w:r>
    </w:p>
    <w:p w14:paraId="27E44FFD" w14:textId="77777777" w:rsidR="000F1B43" w:rsidRPr="0062180F" w:rsidRDefault="000F1B43" w:rsidP="0062180F">
      <w:pPr>
        <w:spacing w:after="0" w:line="240" w:lineRule="auto"/>
        <w:jc w:val="both"/>
        <w:rPr>
          <w:rFonts w:ascii="Times New Roman" w:eastAsia="Times New Roman" w:hAnsi="Times New Roman" w:cs="Times New Roman"/>
          <w:i/>
          <w:sz w:val="20"/>
          <w:szCs w:val="20"/>
        </w:rPr>
      </w:pPr>
    </w:p>
    <w:p w14:paraId="7CDD58C6" w14:textId="77777777" w:rsidR="000F1B43" w:rsidRPr="0062180F" w:rsidRDefault="000F1B43" w:rsidP="0062180F">
      <w:pPr>
        <w:pStyle w:val="Heading2"/>
        <w:spacing w:line="240" w:lineRule="auto"/>
        <w:jc w:val="both"/>
        <w:rPr>
          <w:rFonts w:ascii="Times New Roman" w:eastAsia="Times New Roman" w:hAnsi="Times New Roman" w:cs="Times New Roman"/>
          <w:b/>
          <w:color w:val="auto"/>
          <w:sz w:val="20"/>
          <w:szCs w:val="20"/>
        </w:rPr>
      </w:pPr>
      <w:bookmarkStart w:id="12" w:name="_Toc76101120"/>
      <w:r w:rsidRPr="0062180F">
        <w:rPr>
          <w:rFonts w:ascii="Times New Roman" w:eastAsia="Times New Roman" w:hAnsi="Times New Roman" w:cs="Times New Roman"/>
          <w:b/>
          <w:i/>
          <w:color w:val="auto"/>
          <w:sz w:val="20"/>
          <w:szCs w:val="20"/>
        </w:rPr>
        <w:t>Equation 1: The effect of customers' perceptions on customers' trust</w:t>
      </w:r>
      <w:bookmarkEnd w:id="12"/>
    </w:p>
    <w:p w14:paraId="52A3A927"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Results from table 1 indicate that the coefficient of the security index in the trust equation is positive (0.126) which implies that there is a positive effect of customers' perceived security of the online platform increasing customer trust. In other words, an increase in customers'/potential customers' perceived security index by one point will lead to an increase in their trust index by 0.13 points, everything being equal. It should also be noted that this result is significant at the 10% level. Thus, there is a significant positive effect on customers' perceived security and customers’ trust. </w:t>
      </w:r>
    </w:p>
    <w:p w14:paraId="6B9D1582"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Similarly, the coefficients of privacy and web quality are positive (0.102 and 0.00115 respectively). This means that both the privacy policy of the platform and the web quality stimulate customers' trust. An increase in the privacy index of the platform by one point will lead to an increase in customer trust by 0.10 points while an increase in the web quality index by one point will generate about a 0.001-point increase in the customer trust index. However, it should be noted that both coefficients are statistically insignificant. Thus, there is no significant effect of customers' perceived privacy and web quality on e-commerce customers' trust.</w:t>
      </w:r>
    </w:p>
    <w:p w14:paraId="044EFBFD"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Further results from the trust model (equation 1) show that perceived risk positively relates to customers' trust given that the coefficient of perceived risk is positive (0.123). An increase of the perceived risk by one point will lead to an increase in customer trust by 0.12 points ceteris paribus. It should also be highlighted that this result is significant at the 10% level. Therefore, customer-perceived risk significantly increases customer trust. </w:t>
      </w:r>
    </w:p>
    <w:p w14:paraId="6525D1C7"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In the same vein, the coefficient of customer perceived guarantee is positive (0.115) which implies that there is a positive effect of customer perceived guarantee on customer trust. Said otherwise, the more the customers or potential customers are confident about the guarantees offered by the platform for e-commerce, the more they trust the platform. In effect, an increase of the perceived guarantee index by one point will lead to an about 0.11-point increase in the customer trust index. This result is however statistically insignificant. </w:t>
      </w:r>
    </w:p>
    <w:p w14:paraId="76EDBA52" w14:textId="77777777" w:rsidR="000F1B43" w:rsidRPr="0062180F" w:rsidRDefault="000F1B43" w:rsidP="0062180F">
      <w:pPr>
        <w:pStyle w:val="Heading2"/>
        <w:spacing w:line="240" w:lineRule="auto"/>
        <w:jc w:val="both"/>
        <w:rPr>
          <w:rFonts w:ascii="Times New Roman" w:eastAsia="Times New Roman" w:hAnsi="Times New Roman" w:cs="Times New Roman"/>
          <w:b/>
          <w:i/>
          <w:color w:val="auto"/>
          <w:sz w:val="20"/>
          <w:szCs w:val="20"/>
        </w:rPr>
      </w:pPr>
      <w:bookmarkStart w:id="13" w:name="_Toc76101121"/>
      <w:r w:rsidRPr="0062180F">
        <w:rPr>
          <w:rFonts w:ascii="Times New Roman" w:eastAsia="Times New Roman" w:hAnsi="Times New Roman" w:cs="Times New Roman"/>
          <w:b/>
          <w:i/>
          <w:color w:val="auto"/>
          <w:sz w:val="20"/>
          <w:szCs w:val="20"/>
        </w:rPr>
        <w:t>Equation 2: Direct effect of customer perceptions on customer purchase decision</w:t>
      </w:r>
      <w:bookmarkEnd w:id="13"/>
    </w:p>
    <w:p w14:paraId="1911E5BC"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Results from equation 2 reveal that the coefficient of customer-perceived security is negative (-0.173) which means that customer-perceived security reduces the likelihood in </w:t>
      </w:r>
      <w:proofErr w:type="spellStart"/>
      <w:r w:rsidRPr="0062180F">
        <w:rPr>
          <w:rFonts w:ascii="Times New Roman" w:eastAsia="Times New Roman" w:hAnsi="Times New Roman" w:cs="Times New Roman"/>
          <w:sz w:val="20"/>
          <w:szCs w:val="20"/>
        </w:rPr>
        <w:t>favor</w:t>
      </w:r>
      <w:proofErr w:type="spellEnd"/>
      <w:r w:rsidRPr="0062180F">
        <w:rPr>
          <w:rFonts w:ascii="Times New Roman" w:eastAsia="Times New Roman" w:hAnsi="Times New Roman" w:cs="Times New Roman"/>
          <w:sz w:val="20"/>
          <w:szCs w:val="20"/>
        </w:rPr>
        <w:t xml:space="preserve"> of regular purchases on e-commerce websites. This result is significant at the 5% level. Thus, there is a negative significant effect on the probability of constant purchases or repurchases on e-commerce platforms. </w:t>
      </w:r>
    </w:p>
    <w:p w14:paraId="5EA72035"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Similarly, the coefficient of the perceived privacy policy is also negative (-0.128) which indicates that perceived privacy policy relates negatively to customer probability of increasing purchase decisions. Put differently, how online business customers and potential customers perceive the privacy policy of e-commerce platforms is likely to compromise their online purchase decision. It should further be noted that this outcome is significant at the 10% level. Therefore, privacy policy significantly reduces the likelihood of regular online purchases. </w:t>
      </w:r>
    </w:p>
    <w:p w14:paraId="4C8B72F6"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Additional results from equation 2 indicate that there is a negative effect of the web quality index on purchase decisions as the coefficient of web quality is negative (-0.0655). In effect, the perception customers have about Cameroon's online market platform quality reduces their likelihood of regular online purchases of articles. However, this result is not significant.</w:t>
      </w:r>
    </w:p>
    <w:p w14:paraId="1CC61BD0"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Consistently with previous results, the coefficient of perceived risk was found to have a negative coefficient (-0.182) which means that customer perceived risk reduces the chances of purchasing often from e-commerce platforms. In other words, customer perception of the risk involved in purchasing on e-commerce platforms reduces the probability of regular online purchases. It should also be noted that this finding is significant at the 5% level. Thus, customer-perceived risk reduces significantly the likelihood of regular online purchases.</w:t>
      </w:r>
    </w:p>
    <w:p w14:paraId="7725C93C"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lastRenderedPageBreak/>
        <w:t xml:space="preserve">Unlike the previous findings from equation 2, the coefficient of customer-perceived guarantees is positive (0.00160) which implies that the perception of customers about the guarantees offered by online business platforms increases the likelihood of constant customers' online purchases. However, this outcome is statistically insignificant. Thus, there is a positive but insignificant effect of perceived guarantees on the decision of regular online purchases. </w:t>
      </w:r>
    </w:p>
    <w:p w14:paraId="7FA5F85B" w14:textId="77777777" w:rsidR="000F1B43" w:rsidRPr="0062180F" w:rsidRDefault="000F1B43" w:rsidP="0062180F">
      <w:pPr>
        <w:pStyle w:val="Heading2"/>
        <w:spacing w:line="240" w:lineRule="auto"/>
        <w:jc w:val="both"/>
        <w:rPr>
          <w:rFonts w:ascii="Times New Roman" w:eastAsia="Times New Roman" w:hAnsi="Times New Roman" w:cs="Times New Roman"/>
          <w:b/>
          <w:color w:val="auto"/>
          <w:sz w:val="20"/>
          <w:szCs w:val="20"/>
        </w:rPr>
      </w:pPr>
      <w:bookmarkStart w:id="14" w:name="_Toc76101123"/>
      <w:r w:rsidRPr="0062180F">
        <w:rPr>
          <w:rFonts w:ascii="Times New Roman" w:eastAsia="Times New Roman" w:hAnsi="Times New Roman" w:cs="Times New Roman"/>
          <w:b/>
          <w:color w:val="auto"/>
          <w:sz w:val="20"/>
          <w:szCs w:val="20"/>
        </w:rPr>
        <w:t>Discussion of Results</w:t>
      </w:r>
      <w:bookmarkEnd w:id="14"/>
    </w:p>
    <w:p w14:paraId="1D35BB1D"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The first objective of this study was to examine the effect of customer perceptions on customers' purchase decisions. Results from equation 2 indicate that there is a significant negative effect of customers' perceived security, perceived risk, and perceived privacy on the likelihood of customers' regular online purchases. Thus, we reject the first hypothesis of the study which states that there is no significant effect of customers' perceptions on customer purchase decisions on e-commerce platforms. The way customers assess the security, the risk involved in purchasing online, and the privacy or confidentiality policy of the e-commerce platforms significantly influence their purchase habits. If they have negative perceptions of the above-mentioned factors, they turn to purchasing less regularly on the platforms.  Customers want to be sure that the product advertised is the product they will receive, that when payment is made the delivery will follow and be effective, and that their private information and payment method will not be hacked. In Cameroon, online business is a new phenomenon that is still to be regulated to reduce moral hazard in the sector. Many customers and potential customers sometimes fail to repurchase or simply purchase because of poor initial experience or information from relatives or friends that had been through a poor experience. This turns to discourage many customers from purchasing online. This result supports the technology acceptance model which views customers' online purchase </w:t>
      </w:r>
      <w:proofErr w:type="spellStart"/>
      <w:r w:rsidRPr="0062180F">
        <w:rPr>
          <w:rFonts w:ascii="Times New Roman" w:eastAsia="Times New Roman" w:hAnsi="Times New Roman" w:cs="Times New Roman"/>
          <w:sz w:val="20"/>
          <w:szCs w:val="20"/>
        </w:rPr>
        <w:t>behavior</w:t>
      </w:r>
      <w:proofErr w:type="spellEnd"/>
      <w:r w:rsidRPr="0062180F">
        <w:rPr>
          <w:rFonts w:ascii="Times New Roman" w:eastAsia="Times New Roman" w:hAnsi="Times New Roman" w:cs="Times New Roman"/>
          <w:sz w:val="20"/>
          <w:szCs w:val="20"/>
        </w:rPr>
        <w:t xml:space="preserve"> as resulting from two main beliefs namely </w:t>
      </w:r>
      <w:proofErr w:type="spellStart"/>
      <w:r w:rsidRPr="0062180F">
        <w:rPr>
          <w:rFonts w:ascii="Times New Roman" w:eastAsia="Times New Roman" w:hAnsi="Times New Roman" w:cs="Times New Roman"/>
          <w:sz w:val="20"/>
          <w:szCs w:val="20"/>
        </w:rPr>
        <w:t>behavioral</w:t>
      </w:r>
      <w:proofErr w:type="spellEnd"/>
      <w:r w:rsidRPr="0062180F">
        <w:rPr>
          <w:rFonts w:ascii="Times New Roman" w:eastAsia="Times New Roman" w:hAnsi="Times New Roman" w:cs="Times New Roman"/>
          <w:sz w:val="20"/>
          <w:szCs w:val="20"/>
        </w:rPr>
        <w:t xml:space="preserve"> beliefs (positive or negative reactions to certain </w:t>
      </w:r>
      <w:proofErr w:type="spellStart"/>
      <w:r w:rsidRPr="0062180F">
        <w:rPr>
          <w:rFonts w:ascii="Times New Roman" w:eastAsia="Times New Roman" w:hAnsi="Times New Roman" w:cs="Times New Roman"/>
          <w:sz w:val="20"/>
          <w:szCs w:val="20"/>
        </w:rPr>
        <w:t>behaviors</w:t>
      </w:r>
      <w:proofErr w:type="spellEnd"/>
      <w:r w:rsidRPr="0062180F">
        <w:rPr>
          <w:rFonts w:ascii="Times New Roman" w:eastAsia="Times New Roman" w:hAnsi="Times New Roman" w:cs="Times New Roman"/>
          <w:sz w:val="20"/>
          <w:szCs w:val="20"/>
        </w:rPr>
        <w:t xml:space="preserve">) and normative beliefs (influence of peers or society). This result partially conforms to the finding of Gustavsson and Johansson (2006) who found that e-companies can stimulate their customer purchase habit by providing an enabling environment characterized by privacy and security which will boost their trust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&lt;EndNote&gt;&lt;Cite&gt;&lt;Author&gt;Gustavsson&lt;/Author&gt;&lt;Year&gt;2006&lt;/Year&gt;&lt;RecNum&gt;83&lt;/RecNum&gt;&lt;DisplayText&gt;(Gustavsson &amp;amp; Johansson, 2006)&lt;/DisplayText&gt;&lt;record&gt;&lt;rec-number&gt;83&lt;/rec-number&gt;&lt;foreign-keys&gt;&lt;key app="EN" db-id="5sp2aea9gd29wrez25sprrstdte5wtztewfx" timestamp="1679043968"&gt;83&lt;/key&gt;&lt;/foreign-keys&gt;&lt;ref-type name="Thesis"&gt;32&lt;/ref-type&gt;&lt;contributors&gt;&lt;authors&gt;&lt;author&gt;Gustavsson, M.&lt;/author&gt;&lt;author&gt;Johansson, A.-M.&lt;/author&gt;&lt;/authors&gt;&lt;/contributors&gt;&lt;titles&gt;&lt;title&gt;Consumer Trust in E-commerce&lt;/title&gt;&lt;/titles&gt;&lt;dates&gt;&lt;year&gt;2006&lt;/year&gt;&lt;/dates&gt;&lt;pub-location&gt;Kristianstad University&lt;/pub-location&gt;&lt;publisher&gt;Bachelor Dessertation Kristianstad University&lt;/publisher&gt;&lt;urls&gt;&lt;/urls&gt;&lt;/record&gt;&lt;/Cite&gt;&lt;/EndNote&gt;</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(Gustavsson &amp; Johansson, 2006)</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w:t>
      </w:r>
    </w:p>
    <w:p w14:paraId="31580B59"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The second objective of the study was to determine the effect of customer perception factors on customer trust. According to the result from equation 1, there is a positive significant effect of perceived security and perceived risk on customer e-trust. This result permits us to reject the second hypothesis of the study claiming that customers’ perceptions factors exert no significant effect on customer trust. When customers feel that the e-commerce platform is secure enough they turn to be loyal to the platform as they are certain that the service provider is reliable. This result is in line with the findings of </w:t>
      </w:r>
      <w:proofErr w:type="spellStart"/>
      <w:r w:rsidRPr="0062180F">
        <w:rPr>
          <w:rFonts w:ascii="Times New Roman" w:eastAsia="Times New Roman" w:hAnsi="Times New Roman" w:cs="Times New Roman"/>
          <w:sz w:val="20"/>
          <w:szCs w:val="20"/>
        </w:rPr>
        <w:t>Akroush</w:t>
      </w:r>
      <w:proofErr w:type="spellEnd"/>
      <w:r w:rsidRPr="0062180F">
        <w:rPr>
          <w:rFonts w:ascii="Times New Roman" w:eastAsia="Times New Roman" w:hAnsi="Times New Roman" w:cs="Times New Roman"/>
          <w:sz w:val="20"/>
          <w:szCs w:val="20"/>
        </w:rPr>
        <w:t xml:space="preserve"> and Al-</w:t>
      </w:r>
      <w:proofErr w:type="spellStart"/>
      <w:r w:rsidRPr="0062180F">
        <w:rPr>
          <w:rFonts w:ascii="Times New Roman" w:eastAsia="Times New Roman" w:hAnsi="Times New Roman" w:cs="Times New Roman"/>
          <w:sz w:val="20"/>
          <w:szCs w:val="20"/>
        </w:rPr>
        <w:t>Debei</w:t>
      </w:r>
      <w:proofErr w:type="spellEnd"/>
      <w:r w:rsidRPr="0062180F">
        <w:rPr>
          <w:rFonts w:ascii="Times New Roman" w:eastAsia="Times New Roman" w:hAnsi="Times New Roman" w:cs="Times New Roman"/>
          <w:sz w:val="20"/>
          <w:szCs w:val="20"/>
        </w:rPr>
        <w:t xml:space="preserve"> (2015) who found a positive effect of customer-perceived security of e-commerce on customer trust and loyalty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&lt;EndNote&gt;&lt;Cite&gt;&lt;Author&gt;Akroush&lt;/Author&gt;&lt;Year&gt;2015&lt;/Year&gt;&lt;RecNum&gt;54&lt;/RecNum&gt;&lt;DisplayText&gt;(Akroush &amp;amp; Al-Debei, 2015)&lt;/DisplayText&gt;&lt;record&gt;&lt;rec-number&gt;54&lt;/rec-number&gt;&lt;foreign-keys&gt;&lt;key app="EN" db-id="5sp2aea9gd29wrez25sprrstdte5wtztewfx" timestamp="1679031369"&gt;54&lt;/key&gt;&lt;/foreign-keys&gt;&lt;ref-type name="Journal Article"&gt;17&lt;/ref-type&gt;&lt;contributors&gt;&lt;authors&gt;&lt;author&gt;Akroush, Mamoun&lt;/author&gt;&lt;author&gt;Al-Debei, Mutaz&lt;/author&gt;&lt;/authors&gt;&lt;/contributors&gt;&lt;titles&gt;&lt;title&gt;An integrated model of factors affecting consumer attitudes towards online shopping&lt;/title&gt;&lt;secondary-title&gt;Business Process Management Journal&lt;/secondary-title&gt;&lt;/titles&gt;&lt;periodical&gt;&lt;full-title&gt;Business Process Management Journal&lt;/full-title&gt;&lt;/periodical&gt;&lt;pages&gt;1353-1376&lt;/pages&gt;&lt;volume&gt;21 &lt;/volume&gt;&lt;dates&gt;&lt;year&gt;2015&lt;/year&gt;&lt;/dates&gt;&lt;urls&gt;&lt;/urls&gt;&lt;electronic-resource-num&gt;10.1108/BPMJ-02-2015-0022&lt;/electronic-resource-num&gt;&lt;/record&gt;&lt;/Cite&gt;&lt;/EndNote&gt;</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(Akroush &amp; Al-Debei, 2015)</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 xml:space="preserve">. </w:t>
      </w:r>
    </w:p>
    <w:p w14:paraId="19B81792"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bookmarkStart w:id="15" w:name="_heading=h.3ep43zb"/>
      <w:bookmarkEnd w:id="15"/>
      <w:r w:rsidRPr="0062180F">
        <w:rPr>
          <w:rFonts w:ascii="Times New Roman" w:eastAsia="Times New Roman" w:hAnsi="Times New Roman" w:cs="Times New Roman"/>
          <w:b/>
          <w:sz w:val="20"/>
          <w:szCs w:val="20"/>
        </w:rPr>
        <w:t xml:space="preserve">Conclusion </w:t>
      </w:r>
    </w:p>
    <w:p w14:paraId="466D0565"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One of the key issues with buying products online is that the consumers do not feel comfortable providing their personal information such as credit card details, mobile payment passwords, telephone numbers, and even addresses to the sellers. This is mostly linked to the fear of losing private information or even getting scammed. In the study, a question of privacy concerns was asked if e-commerce users will prefer a platform if it provides details of their information collected during transactions and how it is used 47% (110 of the 234 respondents) responded to always meaning if the platforms can provide what they collect and how they use it most of their clients will be able to adopt e-commerce. Another issue is that products displayed cannot be physically seen or touched making the clients perceive the trade as unsafe. Purchasing online with this problem is perceived as unsafe as compared to traditional shopping. An issue of a well-defined return policy on the products if they do not meet their initial description was raised in the study and 49.6% of the total population answered to always meaning if companies can make policies on how their products that do not meet with their specifications can be returned consumers will perceive guarantee and will choose e-commerce over traditional commerce. Issues of inconsistencies in the products ordered and the products gotten from e-commerce transactions were also identified. Out of a population of 234 respondents, 50.4% which is 118 respondents answered always to a situation if the products they order in terms of quantity, quality, </w:t>
      </w:r>
      <w:proofErr w:type="spellStart"/>
      <w:r w:rsidRPr="0062180F">
        <w:rPr>
          <w:rFonts w:ascii="Times New Roman" w:eastAsia="Times New Roman" w:hAnsi="Times New Roman" w:cs="Times New Roman"/>
          <w:sz w:val="20"/>
          <w:szCs w:val="20"/>
        </w:rPr>
        <w:t>color</w:t>
      </w:r>
      <w:proofErr w:type="spellEnd"/>
      <w:r w:rsidRPr="0062180F">
        <w:rPr>
          <w:rFonts w:ascii="Times New Roman" w:eastAsia="Times New Roman" w:hAnsi="Times New Roman" w:cs="Times New Roman"/>
          <w:sz w:val="20"/>
          <w:szCs w:val="20"/>
        </w:rPr>
        <w:t>, and aesthetics are exactly what was advertised.</w:t>
      </w:r>
    </w:p>
    <w:p w14:paraId="5F74C6DC" w14:textId="77777777" w:rsidR="000F1B43" w:rsidRPr="0062180F" w:rsidRDefault="000F1B43" w:rsidP="0062180F">
      <w:pPr>
        <w:spacing w:before="40"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This study intended to reveal the scale in which the following variables - security, privacy, website quality, perceived risk, and guarantees - affect the dependent variable purchase decision. The model developed for this study was tested using regression and correlation analysis. The results of this study confirmed that security, privacy, website quality, perceived risk, and guarantees presented significant predictors of trust and purchase decisions. These variables have a significant positive effect on purchase decisions. Likewise, the results demonstrated that perceived security, perceived risk, and perceived privacy are the most powerful predictors of purchase decisions mediated by trust.</w:t>
      </w:r>
    </w:p>
    <w:p w14:paraId="1DFDD797" w14:textId="77777777" w:rsidR="000F1B43" w:rsidRPr="0062180F" w:rsidRDefault="000F1B43" w:rsidP="0062180F">
      <w:pPr>
        <w:spacing w:before="40"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As trust is a multidimensional concept and it is difficult to define or measure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&lt;EndNote&gt;&lt;Cite&gt;&lt;Author&gt;Rousseau&lt;/Author&gt;&lt;Year&gt;1998&lt;/Year&gt;&lt;RecNum&gt;84&lt;/RecNum&gt;&lt;DisplayText&gt;(Rousseau et al., 1998)&lt;/DisplayText&gt;&lt;record&gt;&lt;rec-number&gt;84&lt;/rec-number&gt;&lt;foreign-keys&gt;&lt;key app="EN" db-id="5sp2aea9gd29wrez25sprrstdte5wtztewfx" timestamp="1679044352"&gt;84&lt;/key&gt;&lt;/foreign-keys&gt;&lt;ref-type name="Journal Article"&gt;17&lt;/ref-type&gt;&lt;contributors&gt;&lt;authors&gt;&lt;author&gt;Rousseau, D. M.&lt;/author&gt;&lt;author&gt;Sitkin, S. B.&lt;/author&gt;&lt;author&gt;Burt, R. S.&lt;/author&gt;&lt;author&gt;Camerer, C.&lt;/author&gt;&lt;/authors&gt;&lt;/contributors&gt;&lt;titles&gt;&lt;title&gt;Not so different after all: A cross-discipline view of trust&lt;/title&gt;&lt;secondary-title&gt;Academy of management review&lt;/secondary-title&gt;&lt;/titles&gt;&lt;periodical&gt;&lt;full-title&gt;Academy of management review&lt;/full-title&gt;&lt;/periodical&gt;&lt;pages&gt;393-404&lt;/pages&gt;&lt;volume&gt;23&lt;/volume&gt;&lt;number&gt;3&lt;/number&gt;&lt;dates&gt;&lt;year&gt;1998&lt;/year&gt;&lt;/dates&gt;&lt;urls&gt;&lt;/urls&gt;&lt;/record&gt;&lt;/Cite&gt;&lt;/EndNote&gt;</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(Rousseau et al., 1998)</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 xml:space="preserve"> online vendors should have an understanding of the </w:t>
      </w:r>
      <w:proofErr w:type="spellStart"/>
      <w:r w:rsidRPr="0062180F">
        <w:rPr>
          <w:rFonts w:ascii="Times New Roman" w:eastAsia="Times New Roman" w:hAnsi="Times New Roman" w:cs="Times New Roman"/>
          <w:sz w:val="20"/>
          <w:szCs w:val="20"/>
        </w:rPr>
        <w:t>behavior</w:t>
      </w:r>
      <w:proofErr w:type="spellEnd"/>
      <w:r w:rsidRPr="0062180F">
        <w:rPr>
          <w:rFonts w:ascii="Times New Roman" w:eastAsia="Times New Roman" w:hAnsi="Times New Roman" w:cs="Times New Roman"/>
          <w:sz w:val="20"/>
          <w:szCs w:val="20"/>
        </w:rPr>
        <w:t xml:space="preserve"> of consumers concerning trust in the virtual environment. Meanwhile, </w:t>
      </w:r>
      <w:r w:rsidRPr="0062180F">
        <w:rPr>
          <w:rFonts w:ascii="Times New Roman" w:eastAsia="Times New Roman" w:hAnsi="Times New Roman" w:cs="Times New Roman"/>
          <w:sz w:val="20"/>
          <w:szCs w:val="20"/>
        </w:rPr>
        <w:lastRenderedPageBreak/>
        <w:t xml:space="preserve">the findings of this empirical study indicate that perceived security, perceived risk, and perceived privacy are critical factors that significantly influence online trust in B2C e-commerce in Bamenda, Douala, and Yaoundé, Cameroon. Other factors such as perceived guarantees and perceived website quality also have a close association with online trust. In light of this, online retailers need to develop robust security solutions and strong firewalls to protect consumers' personal information from the looming threats of cyber fraud and scams. This further implies that retailers should create websites that model simplicity yet incorporate strong security mechanisms and slick designs that would engender consumer trust and by extension promote confidence in online transactions.  </w:t>
      </w:r>
    </w:p>
    <w:p w14:paraId="2E448463" w14:textId="77777777" w:rsidR="000F1B43" w:rsidRPr="0062180F" w:rsidRDefault="000F1B43" w:rsidP="0062180F">
      <w:pPr>
        <w:pStyle w:val="SBRH2"/>
        <w:spacing w:after="0"/>
        <w:jc w:val="both"/>
        <w:rPr>
          <w:rFonts w:ascii="Times New Roman" w:hAnsi="Times New Roman" w:cs="Times New Roman"/>
          <w:color w:val="auto"/>
          <w:sz w:val="20"/>
          <w:szCs w:val="20"/>
        </w:rPr>
      </w:pPr>
      <w:bookmarkStart w:id="16" w:name="_Toc76101133"/>
      <w:r w:rsidRPr="0062180F">
        <w:rPr>
          <w:rFonts w:ascii="Times New Roman" w:hAnsi="Times New Roman" w:cs="Times New Roman"/>
          <w:color w:val="auto"/>
          <w:sz w:val="20"/>
          <w:szCs w:val="20"/>
        </w:rPr>
        <w:t xml:space="preserve">Limitation and Future Direction  </w:t>
      </w:r>
    </w:p>
    <w:p w14:paraId="15979D37" w14:textId="77777777" w:rsidR="000F1B43" w:rsidRDefault="000F1B43" w:rsidP="0062180F">
      <w:pPr>
        <w:pStyle w:val="Heading1"/>
        <w:spacing w:line="240" w:lineRule="auto"/>
        <w:jc w:val="both"/>
        <w:rPr>
          <w:rFonts w:ascii="Times New Roman" w:eastAsia="Times New Roman" w:hAnsi="Times New Roman" w:cs="Times New Roman"/>
          <w:color w:val="auto"/>
          <w:sz w:val="20"/>
          <w:szCs w:val="20"/>
        </w:rPr>
      </w:pPr>
      <w:r w:rsidRPr="0062180F">
        <w:rPr>
          <w:rFonts w:ascii="Times New Roman" w:eastAsia="Times New Roman" w:hAnsi="Times New Roman" w:cs="Times New Roman"/>
          <w:color w:val="auto"/>
          <w:sz w:val="20"/>
          <w:szCs w:val="20"/>
        </w:rPr>
        <w:t xml:space="preserve">The limitations of this study may be viewed mainly on its scope which covers only the three leading cities of the Country. It is possible that should this study had been opened to all the regional headquarters, the results may be different. Future research may be conducted focused on doing a comparative analysis using both local e-commerce sites and international e-commerce sites. This may provide more insights on the extent of trust in using either the local ecommerce sites of international e-commerce sites.  </w:t>
      </w:r>
    </w:p>
    <w:p w14:paraId="22C839CC" w14:textId="3587858B" w:rsidR="009657CE" w:rsidRDefault="009657CE" w:rsidP="009657CE">
      <w:pPr>
        <w:rPr>
          <w:lang w:val="en-US"/>
        </w:rPr>
      </w:pPr>
    </w:p>
    <w:p w14:paraId="2B1AE94F" w14:textId="77777777" w:rsidR="00734273" w:rsidRPr="009657CE" w:rsidRDefault="00734273" w:rsidP="009657CE">
      <w:pPr>
        <w:rPr>
          <w:lang w:val="en-US"/>
        </w:rPr>
      </w:pPr>
      <w:bookmarkStart w:id="17" w:name="_GoBack"/>
      <w:bookmarkEnd w:id="17"/>
    </w:p>
    <w:bookmarkEnd w:id="16"/>
    <w:p w14:paraId="7476F2E3"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p w14:paraId="1250D93E"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hAnsi="Times New Roman" w:cs="Times New Roman"/>
          <w:b/>
          <w:sz w:val="20"/>
          <w:szCs w:val="20"/>
        </w:rPr>
        <w:t>References</w:t>
      </w:r>
    </w:p>
    <w:p w14:paraId="42AACCDB"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eastAsiaTheme="minorHAnsi" w:hAnsi="Times New Roman" w:cs="Times New Roman"/>
          <w:b/>
          <w:sz w:val="20"/>
          <w:szCs w:val="20"/>
        </w:rPr>
        <w:fldChar w:fldCharType="begin"/>
      </w:r>
      <w:r w:rsidRPr="0062180F">
        <w:rPr>
          <w:rFonts w:ascii="Times New Roman" w:eastAsiaTheme="minorHAnsi" w:hAnsi="Times New Roman" w:cs="Times New Roman"/>
          <w:b/>
          <w:sz w:val="20"/>
          <w:szCs w:val="20"/>
        </w:rPr>
        <w:instrText xml:space="preserve"> ADDIN EN.REFLIST </w:instrText>
      </w:r>
      <w:r w:rsidRPr="0062180F">
        <w:rPr>
          <w:rFonts w:ascii="Times New Roman" w:eastAsiaTheme="minorHAnsi" w:hAnsi="Times New Roman" w:cs="Times New Roman"/>
          <w:b/>
          <w:sz w:val="20"/>
          <w:szCs w:val="20"/>
        </w:rPr>
        <w:fldChar w:fldCharType="separate"/>
      </w:r>
      <w:r w:rsidRPr="0062180F">
        <w:rPr>
          <w:rFonts w:ascii="Times New Roman" w:hAnsi="Times New Roman" w:cs="Times New Roman"/>
          <w:sz w:val="20"/>
          <w:szCs w:val="20"/>
        </w:rPr>
        <w:t xml:space="preserve">Akram, U. A. (2018). Factors Affecting Online Impulse Buying: Evidence from Chinese Social Commerce Environment. </w:t>
      </w:r>
      <w:r w:rsidRPr="0062180F">
        <w:rPr>
          <w:rFonts w:ascii="Times New Roman" w:hAnsi="Times New Roman" w:cs="Times New Roman"/>
          <w:i/>
          <w:sz w:val="20"/>
          <w:szCs w:val="20"/>
        </w:rPr>
        <w:t>Sustainability</w:t>
      </w:r>
      <w:r w:rsidRPr="0062180F">
        <w:rPr>
          <w:rFonts w:ascii="Times New Roman" w:hAnsi="Times New Roman" w:cs="Times New Roman"/>
          <w:sz w:val="20"/>
          <w:szCs w:val="20"/>
        </w:rPr>
        <w:t>,</w:t>
      </w:r>
      <w:r w:rsidRPr="0062180F">
        <w:rPr>
          <w:rFonts w:ascii="Times New Roman" w:hAnsi="Times New Roman" w:cs="Times New Roman"/>
          <w:i/>
          <w:sz w:val="20"/>
          <w:szCs w:val="20"/>
        </w:rPr>
        <w:t xml:space="preserve"> 10</w:t>
      </w:r>
      <w:r w:rsidRPr="0062180F">
        <w:rPr>
          <w:rFonts w:ascii="Times New Roman" w:hAnsi="Times New Roman" w:cs="Times New Roman"/>
          <w:sz w:val="20"/>
          <w:szCs w:val="20"/>
        </w:rPr>
        <w:t xml:space="preserve">, 352. </w:t>
      </w:r>
      <w:hyperlink r:id="rId7">
        <w:r w:rsidRPr="0062180F">
          <w:rPr>
            <w:rStyle w:val="Hyperlink"/>
            <w:rFonts w:ascii="Times New Roman" w:hAnsi="Times New Roman" w:cs="Times New Roman"/>
            <w:color w:val="auto"/>
            <w:sz w:val="20"/>
            <w:szCs w:val="20"/>
          </w:rPr>
          <w:t>https://doi.org/10.3390/su10020352</w:t>
        </w:r>
      </w:hyperlink>
      <w:r w:rsidRPr="0062180F">
        <w:rPr>
          <w:rFonts w:ascii="Times New Roman" w:hAnsi="Times New Roman" w:cs="Times New Roman"/>
          <w:sz w:val="20"/>
          <w:szCs w:val="20"/>
        </w:rPr>
        <w:t xml:space="preserve"> </w:t>
      </w:r>
    </w:p>
    <w:p w14:paraId="2D81C347"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Akroush, M., &amp; Al-Debei, M. (2015). An integrated model of factors affecting consumer attitudes towards online shopping. </w:t>
      </w:r>
      <w:r w:rsidRPr="0062180F">
        <w:rPr>
          <w:rFonts w:ascii="Times New Roman" w:hAnsi="Times New Roman" w:cs="Times New Roman"/>
          <w:i/>
          <w:sz w:val="20"/>
          <w:szCs w:val="20"/>
        </w:rPr>
        <w:t>Business Process Management Journal</w:t>
      </w:r>
      <w:r w:rsidRPr="0062180F">
        <w:rPr>
          <w:rFonts w:ascii="Times New Roman" w:hAnsi="Times New Roman" w:cs="Times New Roman"/>
          <w:sz w:val="20"/>
          <w:szCs w:val="20"/>
        </w:rPr>
        <w:t>,</w:t>
      </w:r>
      <w:r w:rsidRPr="0062180F">
        <w:rPr>
          <w:rFonts w:ascii="Times New Roman" w:hAnsi="Times New Roman" w:cs="Times New Roman"/>
          <w:i/>
          <w:sz w:val="20"/>
          <w:szCs w:val="20"/>
        </w:rPr>
        <w:t xml:space="preserve"> 21 </w:t>
      </w:r>
      <w:r w:rsidRPr="0062180F">
        <w:rPr>
          <w:rFonts w:ascii="Times New Roman" w:hAnsi="Times New Roman" w:cs="Times New Roman"/>
          <w:sz w:val="20"/>
          <w:szCs w:val="20"/>
        </w:rPr>
        <w:t xml:space="preserve">1353-1376. </w:t>
      </w:r>
      <w:hyperlink r:id="rId8">
        <w:r w:rsidRPr="0062180F">
          <w:rPr>
            <w:rStyle w:val="Hyperlink"/>
            <w:rFonts w:ascii="Times New Roman" w:hAnsi="Times New Roman" w:cs="Times New Roman"/>
            <w:color w:val="auto"/>
            <w:sz w:val="20"/>
            <w:szCs w:val="20"/>
          </w:rPr>
          <w:t>https://doi.org/10.1108/BPMJ-02-2015-0022</w:t>
        </w:r>
      </w:hyperlink>
      <w:r w:rsidRPr="0062180F">
        <w:rPr>
          <w:rFonts w:ascii="Times New Roman" w:hAnsi="Times New Roman" w:cs="Times New Roman"/>
          <w:sz w:val="20"/>
          <w:szCs w:val="20"/>
        </w:rPr>
        <w:t xml:space="preserve"> </w:t>
      </w:r>
    </w:p>
    <w:p w14:paraId="662D4CD6"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Alyoubi, A. A. (2015). </w:t>
      </w:r>
      <w:r w:rsidRPr="0062180F">
        <w:rPr>
          <w:rFonts w:ascii="Times New Roman" w:hAnsi="Times New Roman" w:cs="Times New Roman"/>
          <w:i/>
          <w:sz w:val="20"/>
          <w:szCs w:val="20"/>
        </w:rPr>
        <w:t>E-commerce in Developing Countries and How to develop them During the Introduction of Modern Systems.</w:t>
      </w:r>
      <w:r w:rsidRPr="0062180F">
        <w:rPr>
          <w:rFonts w:ascii="Times New Roman" w:hAnsi="Times New Roman" w:cs="Times New Roman"/>
          <w:sz w:val="20"/>
          <w:szCs w:val="20"/>
        </w:rPr>
        <w:t xml:space="preserve"> International Conference on Communication, Management and Information Technology (ICCMIT 2015),  </w:t>
      </w:r>
      <w:hyperlink r:id="rId9">
        <w:r w:rsidRPr="0062180F">
          <w:rPr>
            <w:rStyle w:val="Hyperlink"/>
            <w:rFonts w:ascii="Times New Roman" w:hAnsi="Times New Roman" w:cs="Times New Roman"/>
            <w:color w:val="auto"/>
            <w:sz w:val="20"/>
            <w:szCs w:val="20"/>
          </w:rPr>
          <w:t>www.sciencedirect.com</w:t>
        </w:r>
      </w:hyperlink>
      <w:r w:rsidRPr="0062180F">
        <w:rPr>
          <w:rFonts w:ascii="Times New Roman" w:hAnsi="Times New Roman" w:cs="Times New Roman"/>
          <w:sz w:val="20"/>
          <w:szCs w:val="20"/>
        </w:rPr>
        <w:t>.</w:t>
      </w:r>
    </w:p>
    <w:p w14:paraId="72E9A9F8"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Belanger, F., Hiller, J. S., &amp; Smith, W. J. (2002). Trustworthiness in Electronic Commerce: The Role of Privacy, Security, and Site Attributes. </w:t>
      </w:r>
      <w:r w:rsidRPr="0062180F">
        <w:rPr>
          <w:rFonts w:ascii="Times New Roman" w:hAnsi="Times New Roman" w:cs="Times New Roman"/>
          <w:i/>
          <w:sz w:val="20"/>
          <w:szCs w:val="20"/>
        </w:rPr>
        <w:t>Journal of Strategic Information Systems</w:t>
      </w:r>
      <w:r w:rsidRPr="0062180F">
        <w:rPr>
          <w:rFonts w:ascii="Times New Roman" w:hAnsi="Times New Roman" w:cs="Times New Roman"/>
          <w:sz w:val="20"/>
          <w:szCs w:val="20"/>
        </w:rPr>
        <w:t>,</w:t>
      </w:r>
      <w:r w:rsidRPr="0062180F">
        <w:rPr>
          <w:rFonts w:ascii="Times New Roman" w:hAnsi="Times New Roman" w:cs="Times New Roman"/>
          <w:i/>
          <w:sz w:val="20"/>
          <w:szCs w:val="20"/>
        </w:rPr>
        <w:t xml:space="preserve"> 11</w:t>
      </w:r>
      <w:r w:rsidRPr="0062180F">
        <w:rPr>
          <w:rFonts w:ascii="Times New Roman" w:hAnsi="Times New Roman" w:cs="Times New Roman"/>
          <w:sz w:val="20"/>
          <w:szCs w:val="20"/>
        </w:rPr>
        <w:t xml:space="preserve">(3–4), 245–270. </w:t>
      </w:r>
    </w:p>
    <w:p w14:paraId="092A9572"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Chellappa, R. K., &amp; Pavlou, P. A. (2002). Perceived information security, financial liability, and consumer trust in electronic commerce transactions.</w:t>
      </w:r>
      <w:r w:rsidRPr="0062180F">
        <w:rPr>
          <w:rFonts w:ascii="Times New Roman" w:hAnsi="Times New Roman" w:cs="Times New Roman"/>
          <w:i/>
          <w:sz w:val="20"/>
          <w:szCs w:val="20"/>
        </w:rPr>
        <w:t xml:space="preserve"> Logistics Information Management</w:t>
      </w:r>
      <w:r w:rsidRPr="0062180F">
        <w:rPr>
          <w:rFonts w:ascii="Times New Roman" w:hAnsi="Times New Roman" w:cs="Times New Roman"/>
          <w:sz w:val="20"/>
          <w:szCs w:val="20"/>
        </w:rPr>
        <w:t>,</w:t>
      </w:r>
      <w:r w:rsidRPr="0062180F">
        <w:rPr>
          <w:rFonts w:ascii="Times New Roman" w:hAnsi="Times New Roman" w:cs="Times New Roman"/>
          <w:i/>
          <w:sz w:val="20"/>
          <w:szCs w:val="20"/>
        </w:rPr>
        <w:t xml:space="preserve"> 15</w:t>
      </w:r>
      <w:r w:rsidRPr="0062180F">
        <w:rPr>
          <w:rFonts w:ascii="Times New Roman" w:hAnsi="Times New Roman" w:cs="Times New Roman"/>
          <w:sz w:val="20"/>
          <w:szCs w:val="20"/>
        </w:rPr>
        <w:t xml:space="preserve">(5/6), 358–368. </w:t>
      </w:r>
    </w:p>
    <w:p w14:paraId="41B3DDC0"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Dae-Young, J. P. (2008). A Model of Traveler Acceptance of Mobile Technology. </w:t>
      </w:r>
      <w:r w:rsidRPr="0062180F">
        <w:rPr>
          <w:rFonts w:ascii="Times New Roman" w:hAnsi="Times New Roman" w:cs="Times New Roman"/>
          <w:i/>
          <w:sz w:val="20"/>
          <w:szCs w:val="20"/>
        </w:rPr>
        <w:t>International Journal of Tourism Research</w:t>
      </w:r>
      <w:r w:rsidRPr="0062180F">
        <w:rPr>
          <w:rFonts w:ascii="Times New Roman" w:hAnsi="Times New Roman" w:cs="Times New Roman"/>
          <w:sz w:val="20"/>
          <w:szCs w:val="20"/>
        </w:rPr>
        <w:t xml:space="preserve">, 393–407. </w:t>
      </w:r>
      <w:hyperlink r:id="rId10">
        <w:r w:rsidRPr="0062180F">
          <w:rPr>
            <w:rStyle w:val="Hyperlink"/>
            <w:rFonts w:ascii="Times New Roman" w:hAnsi="Times New Roman" w:cs="Times New Roman"/>
            <w:color w:val="auto"/>
            <w:sz w:val="20"/>
            <w:szCs w:val="20"/>
          </w:rPr>
          <w:t>https://doi.org/10.1002/jtr.669</w:t>
        </w:r>
      </w:hyperlink>
      <w:r w:rsidRPr="0062180F">
        <w:rPr>
          <w:rFonts w:ascii="Times New Roman" w:hAnsi="Times New Roman" w:cs="Times New Roman"/>
          <w:sz w:val="20"/>
          <w:szCs w:val="20"/>
        </w:rPr>
        <w:t xml:space="preserve"> </w:t>
      </w:r>
    </w:p>
    <w:p w14:paraId="2C4EF674"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Dai, B., Forsythe, S., &amp; Kwon, W.-S. (2014). The Impact Of Online Shopping Experience On Risk Perceptions And Online Purchase Intentions: Does Product Category Matter? </w:t>
      </w:r>
      <w:r w:rsidRPr="0062180F">
        <w:rPr>
          <w:rFonts w:ascii="Times New Roman" w:hAnsi="Times New Roman" w:cs="Times New Roman"/>
          <w:i/>
          <w:sz w:val="20"/>
          <w:szCs w:val="20"/>
        </w:rPr>
        <w:t>Journal of Electronic Commerce Research</w:t>
      </w:r>
      <w:r w:rsidRPr="0062180F">
        <w:rPr>
          <w:rFonts w:ascii="Times New Roman" w:hAnsi="Times New Roman" w:cs="Times New Roman"/>
          <w:sz w:val="20"/>
          <w:szCs w:val="20"/>
        </w:rPr>
        <w:t>,</w:t>
      </w:r>
      <w:r w:rsidRPr="0062180F">
        <w:rPr>
          <w:rFonts w:ascii="Times New Roman" w:hAnsi="Times New Roman" w:cs="Times New Roman"/>
          <w:i/>
          <w:sz w:val="20"/>
          <w:szCs w:val="20"/>
        </w:rPr>
        <w:t xml:space="preserve"> 15</w:t>
      </w:r>
      <w:r w:rsidRPr="0062180F">
        <w:rPr>
          <w:rFonts w:ascii="Times New Roman" w:hAnsi="Times New Roman" w:cs="Times New Roman"/>
          <w:sz w:val="20"/>
          <w:szCs w:val="20"/>
        </w:rPr>
        <w:t xml:space="preserve">(1), 13. </w:t>
      </w:r>
    </w:p>
    <w:p w14:paraId="6C51829A"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David, E. K. (2003). </w:t>
      </w:r>
      <w:r w:rsidRPr="0062180F">
        <w:rPr>
          <w:rFonts w:ascii="Times New Roman" w:hAnsi="Times New Roman" w:cs="Times New Roman"/>
          <w:i/>
          <w:sz w:val="20"/>
          <w:szCs w:val="20"/>
        </w:rPr>
        <w:t>Trust and TAM in Online Shopping: An Integrated Model</w:t>
      </w:r>
      <w:r w:rsidRPr="0062180F">
        <w:rPr>
          <w:rFonts w:ascii="Times New Roman" w:hAnsi="Times New Roman" w:cs="Times New Roman"/>
          <w:sz w:val="20"/>
          <w:szCs w:val="20"/>
        </w:rPr>
        <w:t xml:space="preserve">. McGraw-Hill: Interamericana de España, S.L. </w:t>
      </w:r>
      <w:hyperlink r:id="rId11">
        <w:r w:rsidRPr="0062180F">
          <w:rPr>
            <w:rStyle w:val="Hyperlink"/>
            <w:rFonts w:ascii="Times New Roman" w:hAnsi="Times New Roman" w:cs="Times New Roman"/>
            <w:color w:val="auto"/>
            <w:sz w:val="20"/>
            <w:szCs w:val="20"/>
          </w:rPr>
          <w:t>https://doi.org/10.2307/3003651</w:t>
        </w:r>
      </w:hyperlink>
      <w:r w:rsidRPr="0062180F">
        <w:rPr>
          <w:rFonts w:ascii="Times New Roman" w:hAnsi="Times New Roman" w:cs="Times New Roman"/>
          <w:sz w:val="20"/>
          <w:szCs w:val="20"/>
        </w:rPr>
        <w:t xml:space="preserve"> </w:t>
      </w:r>
    </w:p>
    <w:p w14:paraId="0E0C2C35"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Dowling, G. A. (1994). A Model of Perceived Risk and Intended Risk-Handling Activity.</w:t>
      </w:r>
      <w:r w:rsidRPr="0062180F">
        <w:rPr>
          <w:rFonts w:ascii="Times New Roman" w:hAnsi="Times New Roman" w:cs="Times New Roman"/>
          <w:i/>
          <w:sz w:val="20"/>
          <w:szCs w:val="20"/>
        </w:rPr>
        <w:t xml:space="preserve"> Journal of Consumer Research</w:t>
      </w:r>
      <w:r w:rsidRPr="0062180F">
        <w:rPr>
          <w:rFonts w:ascii="Times New Roman" w:hAnsi="Times New Roman" w:cs="Times New Roman"/>
          <w:sz w:val="20"/>
          <w:szCs w:val="20"/>
        </w:rPr>
        <w:t>,</w:t>
      </w:r>
      <w:r w:rsidRPr="0062180F">
        <w:rPr>
          <w:rFonts w:ascii="Times New Roman" w:hAnsi="Times New Roman" w:cs="Times New Roman"/>
          <w:i/>
          <w:sz w:val="20"/>
          <w:szCs w:val="20"/>
        </w:rPr>
        <w:t xml:space="preserve"> 21</w:t>
      </w:r>
      <w:r w:rsidRPr="0062180F">
        <w:rPr>
          <w:rFonts w:ascii="Times New Roman" w:hAnsi="Times New Roman" w:cs="Times New Roman"/>
          <w:sz w:val="20"/>
          <w:szCs w:val="20"/>
        </w:rPr>
        <w:t xml:space="preserve">, 119-134. </w:t>
      </w:r>
      <w:hyperlink r:id="rId12">
        <w:r w:rsidRPr="0062180F">
          <w:rPr>
            <w:rStyle w:val="Hyperlink"/>
            <w:rFonts w:ascii="Times New Roman" w:hAnsi="Times New Roman" w:cs="Times New Roman"/>
            <w:color w:val="auto"/>
            <w:sz w:val="20"/>
            <w:szCs w:val="20"/>
          </w:rPr>
          <w:t>https://doi.org/10.1086/209386</w:t>
        </w:r>
      </w:hyperlink>
      <w:r w:rsidRPr="0062180F">
        <w:rPr>
          <w:rFonts w:ascii="Times New Roman" w:hAnsi="Times New Roman" w:cs="Times New Roman"/>
          <w:sz w:val="20"/>
          <w:szCs w:val="20"/>
        </w:rPr>
        <w:t xml:space="preserve"> </w:t>
      </w:r>
    </w:p>
    <w:p w14:paraId="0408B437"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Fung, R., &amp; Lee, M. (1999). EC-trust (trust in electronic commerce): exploring the antecedent factors. Americas Conference On Information Systems (AMCIS), Hong Kong.</w:t>
      </w:r>
    </w:p>
    <w:p w14:paraId="5CF655FB"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lastRenderedPageBreak/>
        <w:t xml:space="preserve">Guinaliu, F. A. (2006). Consumer trust, perceived security, and privacy policy: Three basic elements of loyalty to a website. </w:t>
      </w:r>
      <w:r w:rsidRPr="0062180F">
        <w:rPr>
          <w:rFonts w:ascii="Times New Roman" w:hAnsi="Times New Roman" w:cs="Times New Roman"/>
          <w:i/>
          <w:sz w:val="20"/>
          <w:szCs w:val="20"/>
        </w:rPr>
        <w:t>Industrial Management &amp; Data Systems</w:t>
      </w:r>
      <w:r w:rsidRPr="0062180F">
        <w:rPr>
          <w:rFonts w:ascii="Times New Roman" w:hAnsi="Times New Roman" w:cs="Times New Roman"/>
          <w:sz w:val="20"/>
          <w:szCs w:val="20"/>
        </w:rPr>
        <w:t>,</w:t>
      </w:r>
      <w:r w:rsidRPr="0062180F">
        <w:rPr>
          <w:rFonts w:ascii="Times New Roman" w:hAnsi="Times New Roman" w:cs="Times New Roman"/>
          <w:i/>
          <w:sz w:val="20"/>
          <w:szCs w:val="20"/>
        </w:rPr>
        <w:t xml:space="preserve"> 106</w:t>
      </w:r>
      <w:r w:rsidRPr="0062180F">
        <w:rPr>
          <w:rFonts w:ascii="Times New Roman" w:hAnsi="Times New Roman" w:cs="Times New Roman"/>
          <w:sz w:val="20"/>
          <w:szCs w:val="20"/>
        </w:rPr>
        <w:t xml:space="preserve">(5), 601-620. </w:t>
      </w:r>
    </w:p>
    <w:p w14:paraId="714D5A45"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Gustavsson, M., &amp; Johansson, A.-M. (2006). </w:t>
      </w:r>
      <w:r w:rsidRPr="0062180F">
        <w:rPr>
          <w:rFonts w:ascii="Times New Roman" w:hAnsi="Times New Roman" w:cs="Times New Roman"/>
          <w:i/>
          <w:sz w:val="20"/>
          <w:szCs w:val="20"/>
        </w:rPr>
        <w:t>Consumer Trust in E-commerce</w:t>
      </w:r>
      <w:r w:rsidRPr="0062180F">
        <w:rPr>
          <w:rFonts w:ascii="Times New Roman" w:hAnsi="Times New Roman" w:cs="Times New Roman"/>
          <w:sz w:val="20"/>
          <w:szCs w:val="20"/>
        </w:rPr>
        <w:t xml:space="preserve"> Bachelor Dessertation Kristianstad University]. Kristianstad University. </w:t>
      </w:r>
    </w:p>
    <w:p w14:paraId="3F8CEBF9"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Hayuningtyas, W. H., &amp; Widiyanto, I. (2015). Antecedent kepercayaan dan keputusan pembelian. </w:t>
      </w:r>
      <w:r w:rsidRPr="0062180F">
        <w:rPr>
          <w:rFonts w:ascii="Times New Roman" w:hAnsi="Times New Roman" w:cs="Times New Roman"/>
          <w:i/>
          <w:sz w:val="20"/>
          <w:szCs w:val="20"/>
        </w:rPr>
        <w:t>Diponegoro Journal of Management</w:t>
      </w:r>
      <w:r w:rsidRPr="0062180F">
        <w:rPr>
          <w:rFonts w:ascii="Times New Roman" w:hAnsi="Times New Roman" w:cs="Times New Roman"/>
          <w:sz w:val="20"/>
          <w:szCs w:val="20"/>
        </w:rPr>
        <w:t>,</w:t>
      </w:r>
      <w:r w:rsidRPr="0062180F">
        <w:rPr>
          <w:rFonts w:ascii="Times New Roman" w:hAnsi="Times New Roman" w:cs="Times New Roman"/>
          <w:i/>
          <w:sz w:val="20"/>
          <w:szCs w:val="20"/>
        </w:rPr>
        <w:t xml:space="preserve"> 4</w:t>
      </w:r>
      <w:r w:rsidRPr="0062180F">
        <w:rPr>
          <w:rFonts w:ascii="Times New Roman" w:hAnsi="Times New Roman" w:cs="Times New Roman"/>
          <w:sz w:val="20"/>
          <w:szCs w:val="20"/>
        </w:rPr>
        <w:t xml:space="preserve">(4), 1–11. </w:t>
      </w:r>
    </w:p>
    <w:p w14:paraId="1C45804F"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Hong, I. B. (2015). </w:t>
      </w:r>
      <w:r w:rsidRPr="0062180F">
        <w:rPr>
          <w:rFonts w:ascii="Times New Roman" w:hAnsi="Times New Roman" w:cs="Times New Roman"/>
          <w:i/>
          <w:sz w:val="20"/>
          <w:szCs w:val="20"/>
        </w:rPr>
        <w:t>Understanding the Consumer’s Online Merchant Selection Process: The Roles of Product Involvement, Perceived Risk, and Trust Expectation</w:t>
      </w:r>
      <w:r w:rsidRPr="0062180F">
        <w:rPr>
          <w:rFonts w:ascii="Times New Roman" w:hAnsi="Times New Roman" w:cs="Times New Roman"/>
          <w:sz w:val="20"/>
          <w:szCs w:val="20"/>
        </w:rPr>
        <w:t xml:space="preserve">. Chung-Ang University, College of Business and Economics, Seoul. </w:t>
      </w:r>
    </w:p>
    <w:p w14:paraId="315809CD"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Laudon, K. C. (2014).</w:t>
      </w:r>
      <w:r w:rsidRPr="0062180F">
        <w:rPr>
          <w:rFonts w:ascii="Times New Roman" w:hAnsi="Times New Roman" w:cs="Times New Roman"/>
          <w:i/>
          <w:sz w:val="20"/>
          <w:szCs w:val="20"/>
        </w:rPr>
        <w:t xml:space="preserve"> E-commerce: Business, technology, society global</w:t>
      </w:r>
      <w:r w:rsidRPr="0062180F">
        <w:rPr>
          <w:rFonts w:ascii="Times New Roman" w:hAnsi="Times New Roman" w:cs="Times New Roman"/>
          <w:sz w:val="20"/>
          <w:szCs w:val="20"/>
        </w:rPr>
        <w:t xml:space="preserve"> (10th ed.). New Jersey: Pearson Education, Inc. </w:t>
      </w:r>
      <w:hyperlink r:id="rId13">
        <w:r w:rsidRPr="0062180F">
          <w:rPr>
            <w:rStyle w:val="Hyperlink"/>
            <w:rFonts w:ascii="Times New Roman" w:hAnsi="Times New Roman" w:cs="Times New Roman"/>
            <w:color w:val="auto"/>
            <w:sz w:val="20"/>
            <w:szCs w:val="20"/>
          </w:rPr>
          <w:t>https://doi.org/10987654321</w:t>
        </w:r>
      </w:hyperlink>
      <w:r w:rsidRPr="0062180F">
        <w:rPr>
          <w:rFonts w:ascii="Times New Roman" w:hAnsi="Times New Roman" w:cs="Times New Roman"/>
          <w:sz w:val="20"/>
          <w:szCs w:val="20"/>
        </w:rPr>
        <w:t xml:space="preserve"> </w:t>
      </w:r>
    </w:p>
    <w:p w14:paraId="197CD2AB"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Lee, M., &amp; Turban, E. (2001). A Trust Model for Consumer Internet Shopping. </w:t>
      </w:r>
      <w:r w:rsidRPr="0062180F">
        <w:rPr>
          <w:rFonts w:ascii="Times New Roman" w:hAnsi="Times New Roman" w:cs="Times New Roman"/>
          <w:i/>
          <w:sz w:val="20"/>
          <w:szCs w:val="20"/>
        </w:rPr>
        <w:t>International Journal of Electronic Commerce/Fall</w:t>
      </w:r>
      <w:r w:rsidRPr="0062180F">
        <w:rPr>
          <w:rFonts w:ascii="Times New Roman" w:hAnsi="Times New Roman" w:cs="Times New Roman"/>
          <w:sz w:val="20"/>
          <w:szCs w:val="20"/>
        </w:rPr>
        <w:t>,</w:t>
      </w:r>
      <w:r w:rsidRPr="0062180F">
        <w:rPr>
          <w:rFonts w:ascii="Times New Roman" w:hAnsi="Times New Roman" w:cs="Times New Roman"/>
          <w:i/>
          <w:sz w:val="20"/>
          <w:szCs w:val="20"/>
        </w:rPr>
        <w:t xml:space="preserve"> 6</w:t>
      </w:r>
      <w:r w:rsidRPr="0062180F">
        <w:rPr>
          <w:rFonts w:ascii="Times New Roman" w:hAnsi="Times New Roman" w:cs="Times New Roman"/>
          <w:sz w:val="20"/>
          <w:szCs w:val="20"/>
        </w:rPr>
        <w:t xml:space="preserve">, 75-91. </w:t>
      </w:r>
    </w:p>
    <w:p w14:paraId="64AAB1C0"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Miyazaki, A., &amp; Fernandez, A. N. A. (2001). Consumer Perceptions of Privacy and Security Risks for Online Shopping. </w:t>
      </w:r>
      <w:r w:rsidRPr="0062180F">
        <w:rPr>
          <w:rFonts w:ascii="Times New Roman" w:hAnsi="Times New Roman" w:cs="Times New Roman"/>
          <w:i/>
          <w:sz w:val="20"/>
          <w:szCs w:val="20"/>
        </w:rPr>
        <w:t>Journal of Consumer Affairs</w:t>
      </w:r>
      <w:r w:rsidRPr="0062180F">
        <w:rPr>
          <w:rFonts w:ascii="Times New Roman" w:hAnsi="Times New Roman" w:cs="Times New Roman"/>
          <w:sz w:val="20"/>
          <w:szCs w:val="20"/>
        </w:rPr>
        <w:t>,</w:t>
      </w:r>
      <w:r w:rsidRPr="0062180F">
        <w:rPr>
          <w:rFonts w:ascii="Times New Roman" w:hAnsi="Times New Roman" w:cs="Times New Roman"/>
          <w:i/>
          <w:sz w:val="20"/>
          <w:szCs w:val="20"/>
        </w:rPr>
        <w:t xml:space="preserve"> 35</w:t>
      </w:r>
      <w:r w:rsidRPr="0062180F">
        <w:rPr>
          <w:rFonts w:ascii="Times New Roman" w:hAnsi="Times New Roman" w:cs="Times New Roman"/>
          <w:sz w:val="20"/>
          <w:szCs w:val="20"/>
        </w:rPr>
        <w:t xml:space="preserve">, 27-44. </w:t>
      </w:r>
      <w:hyperlink r:id="rId14">
        <w:r w:rsidRPr="0062180F">
          <w:rPr>
            <w:rStyle w:val="Hyperlink"/>
            <w:rFonts w:ascii="Times New Roman" w:hAnsi="Times New Roman" w:cs="Times New Roman"/>
            <w:color w:val="auto"/>
            <w:sz w:val="20"/>
            <w:szCs w:val="20"/>
          </w:rPr>
          <w:t>https://doi.org/10.1111/j.1745-6606.2001.tb00101</w:t>
        </w:r>
      </w:hyperlink>
      <w:r w:rsidRPr="0062180F">
        <w:rPr>
          <w:rFonts w:ascii="Times New Roman" w:hAnsi="Times New Roman" w:cs="Times New Roman"/>
          <w:sz w:val="20"/>
          <w:szCs w:val="20"/>
        </w:rPr>
        <w:t xml:space="preserve"> </w:t>
      </w:r>
    </w:p>
    <w:p w14:paraId="03720578"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Murwatiningsih, &amp; Apriliani, E. (2013). The Effect of Risk and Price on Purchase Decisions through Consumer Trust. </w:t>
      </w:r>
      <w:r w:rsidRPr="0062180F">
        <w:rPr>
          <w:rFonts w:ascii="Times New Roman" w:hAnsi="Times New Roman" w:cs="Times New Roman"/>
          <w:i/>
          <w:sz w:val="20"/>
          <w:szCs w:val="20"/>
        </w:rPr>
        <w:t>Journal of Management Dynamics</w:t>
      </w:r>
      <w:r w:rsidRPr="0062180F">
        <w:rPr>
          <w:rFonts w:ascii="Times New Roman" w:hAnsi="Times New Roman" w:cs="Times New Roman"/>
          <w:sz w:val="20"/>
          <w:szCs w:val="20"/>
        </w:rPr>
        <w:t xml:space="preserve">, 4. </w:t>
      </w:r>
      <w:hyperlink r:id="rId15">
        <w:r w:rsidRPr="0062180F">
          <w:rPr>
            <w:rStyle w:val="Hyperlink"/>
            <w:rFonts w:ascii="Times New Roman" w:hAnsi="Times New Roman" w:cs="Times New Roman"/>
            <w:color w:val="auto"/>
            <w:sz w:val="20"/>
            <w:szCs w:val="20"/>
          </w:rPr>
          <w:t>https://doi.org/10.15294/jdm.v4i2.2761</w:t>
        </w:r>
      </w:hyperlink>
      <w:r w:rsidRPr="0062180F">
        <w:rPr>
          <w:rFonts w:ascii="Times New Roman" w:hAnsi="Times New Roman" w:cs="Times New Roman"/>
          <w:sz w:val="20"/>
          <w:szCs w:val="20"/>
        </w:rPr>
        <w:t xml:space="preserve"> </w:t>
      </w:r>
    </w:p>
    <w:p w14:paraId="48488397"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Njilah, D. (2016). </w:t>
      </w:r>
      <w:r w:rsidRPr="0062180F">
        <w:rPr>
          <w:rFonts w:ascii="Times New Roman" w:hAnsi="Times New Roman" w:cs="Times New Roman"/>
          <w:i/>
          <w:sz w:val="20"/>
          <w:szCs w:val="20"/>
        </w:rPr>
        <w:t>Prospects and Challenges of E-commerce in Cameroon</w:t>
      </w:r>
      <w:r w:rsidRPr="0062180F">
        <w:rPr>
          <w:rFonts w:ascii="Times New Roman" w:hAnsi="Times New Roman" w:cs="Times New Roman"/>
          <w:sz w:val="20"/>
          <w:szCs w:val="20"/>
        </w:rPr>
        <w:t xml:space="preserve">. Retrieved August 12th from </w:t>
      </w:r>
      <w:hyperlink r:id="rId16">
        <w:r w:rsidRPr="0062180F">
          <w:rPr>
            <w:rStyle w:val="Hyperlink"/>
            <w:rFonts w:ascii="Times New Roman" w:hAnsi="Times New Roman" w:cs="Times New Roman"/>
            <w:color w:val="auto"/>
            <w:sz w:val="20"/>
            <w:szCs w:val="20"/>
          </w:rPr>
          <w:t>https://www.academia.edu/23163513/Prospects_and_challenges_of_Ecommerce_in_Cameroon</w:t>
        </w:r>
      </w:hyperlink>
    </w:p>
    <w:p w14:paraId="20ED1E23"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Putra, E., Cho, S., &amp; Liu, J. (2017). Extrinsic and intrinsic motivation on work engagement in the hospitality industry: Test of motivation crowding theory. </w:t>
      </w:r>
      <w:r w:rsidRPr="0062180F">
        <w:rPr>
          <w:rFonts w:ascii="Times New Roman" w:hAnsi="Times New Roman" w:cs="Times New Roman"/>
          <w:i/>
          <w:sz w:val="20"/>
          <w:szCs w:val="20"/>
        </w:rPr>
        <w:t>Tourism and Hospitality Research</w:t>
      </w:r>
      <w:r w:rsidRPr="0062180F">
        <w:rPr>
          <w:rFonts w:ascii="Times New Roman" w:hAnsi="Times New Roman" w:cs="Times New Roman"/>
          <w:sz w:val="20"/>
          <w:szCs w:val="20"/>
        </w:rPr>
        <w:t>,</w:t>
      </w:r>
      <w:r w:rsidRPr="0062180F">
        <w:rPr>
          <w:rFonts w:ascii="Times New Roman" w:hAnsi="Times New Roman" w:cs="Times New Roman"/>
          <w:i/>
          <w:sz w:val="20"/>
          <w:szCs w:val="20"/>
        </w:rPr>
        <w:t xml:space="preserve"> 17</w:t>
      </w:r>
      <w:r w:rsidRPr="0062180F">
        <w:rPr>
          <w:rFonts w:ascii="Times New Roman" w:hAnsi="Times New Roman" w:cs="Times New Roman"/>
          <w:sz w:val="20"/>
          <w:szCs w:val="20"/>
        </w:rPr>
        <w:t xml:space="preserve">, 228-241. </w:t>
      </w:r>
      <w:hyperlink r:id="rId17">
        <w:r w:rsidRPr="0062180F">
          <w:rPr>
            <w:rStyle w:val="Hyperlink"/>
            <w:rFonts w:ascii="Times New Roman" w:hAnsi="Times New Roman" w:cs="Times New Roman"/>
            <w:color w:val="auto"/>
            <w:sz w:val="20"/>
            <w:szCs w:val="20"/>
          </w:rPr>
          <w:t>https://doi.org/10.1177/1467358415613393</w:t>
        </w:r>
      </w:hyperlink>
      <w:r w:rsidRPr="0062180F">
        <w:rPr>
          <w:rFonts w:ascii="Times New Roman" w:hAnsi="Times New Roman" w:cs="Times New Roman"/>
          <w:sz w:val="20"/>
          <w:szCs w:val="20"/>
        </w:rPr>
        <w:t xml:space="preserve"> </w:t>
      </w:r>
    </w:p>
    <w:p w14:paraId="43A9D5DE"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Rahmawati, S. A., &amp; Widiyanto, I. (2013). Antecedent Keputusan Pembelian Online. </w:t>
      </w:r>
      <w:r w:rsidRPr="0062180F">
        <w:rPr>
          <w:rFonts w:ascii="Times New Roman" w:hAnsi="Times New Roman" w:cs="Times New Roman"/>
          <w:i/>
          <w:sz w:val="20"/>
          <w:szCs w:val="20"/>
        </w:rPr>
        <w:t>Diponegoro Journal of Management</w:t>
      </w:r>
      <w:r w:rsidRPr="0062180F">
        <w:rPr>
          <w:rFonts w:ascii="Times New Roman" w:hAnsi="Times New Roman" w:cs="Times New Roman"/>
          <w:sz w:val="20"/>
          <w:szCs w:val="20"/>
        </w:rPr>
        <w:t>,</w:t>
      </w:r>
      <w:r w:rsidRPr="0062180F">
        <w:rPr>
          <w:rFonts w:ascii="Times New Roman" w:hAnsi="Times New Roman" w:cs="Times New Roman"/>
          <w:i/>
          <w:sz w:val="20"/>
          <w:szCs w:val="20"/>
        </w:rPr>
        <w:t xml:space="preserve"> 2</w:t>
      </w:r>
      <w:r w:rsidRPr="0062180F">
        <w:rPr>
          <w:rFonts w:ascii="Times New Roman" w:hAnsi="Times New Roman" w:cs="Times New Roman"/>
          <w:sz w:val="20"/>
          <w:szCs w:val="20"/>
        </w:rPr>
        <w:t xml:space="preserve">(2009), 1–11. </w:t>
      </w:r>
    </w:p>
    <w:p w14:paraId="657E857B"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Raman, A., &amp; Annamalai, V. (2011). </w:t>
      </w:r>
      <w:r w:rsidRPr="0062180F">
        <w:rPr>
          <w:rFonts w:ascii="Times New Roman" w:hAnsi="Times New Roman" w:cs="Times New Roman"/>
          <w:i/>
          <w:sz w:val="20"/>
          <w:szCs w:val="20"/>
        </w:rPr>
        <w:t>Web Services and e-Shopping Decisions: A Study on Malaysian e-Consumer</w:t>
      </w:r>
      <w:r w:rsidRPr="0062180F">
        <w:rPr>
          <w:rFonts w:ascii="Times New Roman" w:hAnsi="Times New Roman" w:cs="Times New Roman"/>
          <w:sz w:val="20"/>
          <w:szCs w:val="20"/>
        </w:rPr>
        <w:t xml:space="preserve"> 3rd International Conference on Wireless Information Networks &amp; Business Information System (WINBIS-2011), Putra Nilai, Malaysia. </w:t>
      </w:r>
    </w:p>
    <w:p w14:paraId="41D3A5BC"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Reinartz, W., Wiegand, N., &amp; Imschloss, M. (2019). The impact of digital transformation on the retailing value chain. </w:t>
      </w:r>
      <w:r w:rsidRPr="0062180F">
        <w:rPr>
          <w:rFonts w:ascii="Times New Roman" w:hAnsi="Times New Roman" w:cs="Times New Roman"/>
          <w:i/>
          <w:sz w:val="20"/>
          <w:szCs w:val="20"/>
        </w:rPr>
        <w:t>International Journal of Research in Marketing</w:t>
      </w:r>
      <w:r w:rsidRPr="0062180F">
        <w:rPr>
          <w:rFonts w:ascii="Times New Roman" w:hAnsi="Times New Roman" w:cs="Times New Roman"/>
          <w:sz w:val="20"/>
          <w:szCs w:val="20"/>
        </w:rPr>
        <w:t>,</w:t>
      </w:r>
      <w:r w:rsidRPr="0062180F">
        <w:rPr>
          <w:rFonts w:ascii="Times New Roman" w:hAnsi="Times New Roman" w:cs="Times New Roman"/>
          <w:i/>
          <w:sz w:val="20"/>
          <w:szCs w:val="20"/>
        </w:rPr>
        <w:t xml:space="preserve"> 36</w:t>
      </w:r>
      <w:r w:rsidRPr="0062180F">
        <w:rPr>
          <w:rFonts w:ascii="Times New Roman" w:hAnsi="Times New Roman" w:cs="Times New Roman"/>
          <w:sz w:val="20"/>
          <w:szCs w:val="20"/>
        </w:rPr>
        <w:t xml:space="preserve">(3), 350-366. </w:t>
      </w:r>
    </w:p>
    <w:p w14:paraId="6F8A0645"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Rousseau, D. M., Sitkin, S. B., Burt, R. S., &amp; Camerer, C. (1998). Not so different after all: A cross-discipline view of trust. </w:t>
      </w:r>
      <w:r w:rsidRPr="0062180F">
        <w:rPr>
          <w:rFonts w:ascii="Times New Roman" w:hAnsi="Times New Roman" w:cs="Times New Roman"/>
          <w:i/>
          <w:sz w:val="20"/>
          <w:szCs w:val="20"/>
        </w:rPr>
        <w:t>Academy of management review</w:t>
      </w:r>
      <w:r w:rsidRPr="0062180F">
        <w:rPr>
          <w:rFonts w:ascii="Times New Roman" w:hAnsi="Times New Roman" w:cs="Times New Roman"/>
          <w:sz w:val="20"/>
          <w:szCs w:val="20"/>
        </w:rPr>
        <w:t>,</w:t>
      </w:r>
      <w:r w:rsidRPr="0062180F">
        <w:rPr>
          <w:rFonts w:ascii="Times New Roman" w:hAnsi="Times New Roman" w:cs="Times New Roman"/>
          <w:i/>
          <w:sz w:val="20"/>
          <w:szCs w:val="20"/>
        </w:rPr>
        <w:t xml:space="preserve"> 23</w:t>
      </w:r>
      <w:r w:rsidRPr="0062180F">
        <w:rPr>
          <w:rFonts w:ascii="Times New Roman" w:hAnsi="Times New Roman" w:cs="Times New Roman"/>
          <w:sz w:val="20"/>
          <w:szCs w:val="20"/>
        </w:rPr>
        <w:t xml:space="preserve">(3), 393-404. </w:t>
      </w:r>
    </w:p>
    <w:p w14:paraId="1D1F7144"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Sahney, S., Ghosh, K., &amp; Shrivastava, A. (2013). Conceptualizing consumer “trust” in online buying behaviour: An empirical inquiry and model development in Indian context. </w:t>
      </w:r>
      <w:r w:rsidRPr="0062180F">
        <w:rPr>
          <w:rFonts w:ascii="Times New Roman" w:hAnsi="Times New Roman" w:cs="Times New Roman"/>
          <w:i/>
          <w:sz w:val="20"/>
          <w:szCs w:val="20"/>
        </w:rPr>
        <w:t>Journal of Asia Business Studies</w:t>
      </w:r>
      <w:r w:rsidRPr="0062180F">
        <w:rPr>
          <w:rFonts w:ascii="Times New Roman" w:hAnsi="Times New Roman" w:cs="Times New Roman"/>
          <w:sz w:val="20"/>
          <w:szCs w:val="20"/>
        </w:rPr>
        <w:t>,</w:t>
      </w:r>
      <w:r w:rsidRPr="0062180F">
        <w:rPr>
          <w:rFonts w:ascii="Times New Roman" w:hAnsi="Times New Roman" w:cs="Times New Roman"/>
          <w:i/>
          <w:sz w:val="20"/>
          <w:szCs w:val="20"/>
        </w:rPr>
        <w:t xml:space="preserve"> 7</w:t>
      </w:r>
      <w:r w:rsidRPr="0062180F">
        <w:rPr>
          <w:rFonts w:ascii="Times New Roman" w:hAnsi="Times New Roman" w:cs="Times New Roman"/>
          <w:sz w:val="20"/>
          <w:szCs w:val="20"/>
        </w:rPr>
        <w:t xml:space="preserve">. </w:t>
      </w:r>
      <w:hyperlink r:id="rId18">
        <w:r w:rsidRPr="0062180F">
          <w:rPr>
            <w:rStyle w:val="Hyperlink"/>
            <w:rFonts w:ascii="Times New Roman" w:hAnsi="Times New Roman" w:cs="Times New Roman"/>
            <w:color w:val="auto"/>
            <w:sz w:val="20"/>
            <w:szCs w:val="20"/>
          </w:rPr>
          <w:t>https://doi.org/10.1108/JABS-Jul-2011-0038</w:t>
        </w:r>
      </w:hyperlink>
      <w:r w:rsidRPr="0062180F">
        <w:rPr>
          <w:rFonts w:ascii="Times New Roman" w:hAnsi="Times New Roman" w:cs="Times New Roman"/>
          <w:sz w:val="20"/>
          <w:szCs w:val="20"/>
        </w:rPr>
        <w:t xml:space="preserve"> </w:t>
      </w:r>
    </w:p>
    <w:p w14:paraId="5A48FC44"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Saunders, M., Lewis, P., &amp; Thornhill, A. (2016). </w:t>
      </w:r>
      <w:r w:rsidRPr="0062180F">
        <w:rPr>
          <w:rFonts w:ascii="Times New Roman" w:hAnsi="Times New Roman" w:cs="Times New Roman"/>
          <w:i/>
          <w:sz w:val="20"/>
          <w:szCs w:val="20"/>
        </w:rPr>
        <w:t>Research Methods for Business Students</w:t>
      </w:r>
      <w:r w:rsidRPr="0062180F">
        <w:rPr>
          <w:rFonts w:ascii="Times New Roman" w:hAnsi="Times New Roman" w:cs="Times New Roman"/>
          <w:sz w:val="20"/>
          <w:szCs w:val="20"/>
        </w:rPr>
        <w:t xml:space="preserve">. Essex: Pearson Education Limited. </w:t>
      </w:r>
    </w:p>
    <w:p w14:paraId="3D02B03E"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Teltzrow, M., &amp; Kobsa, A. (2003). Impacts of User Privacy Preferences on Personalized Systems - a Comparative Study. </w:t>
      </w:r>
      <w:hyperlink r:id="rId19">
        <w:r w:rsidRPr="0062180F">
          <w:rPr>
            <w:rStyle w:val="Hyperlink"/>
            <w:rFonts w:ascii="Times New Roman" w:hAnsi="Times New Roman" w:cs="Times New Roman"/>
            <w:color w:val="auto"/>
            <w:sz w:val="20"/>
            <w:szCs w:val="20"/>
          </w:rPr>
          <w:t>https://doi.org/10.1007/1-4020-2148-8_17</w:t>
        </w:r>
      </w:hyperlink>
      <w:r w:rsidRPr="0062180F">
        <w:rPr>
          <w:rFonts w:ascii="Times New Roman" w:hAnsi="Times New Roman" w:cs="Times New Roman"/>
          <w:sz w:val="20"/>
          <w:szCs w:val="20"/>
        </w:rPr>
        <w:t xml:space="preserve"> </w:t>
      </w:r>
    </w:p>
    <w:p w14:paraId="2B3017D0"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lastRenderedPageBreak/>
        <w:t xml:space="preserve">Teo, T. S., &amp; Liu, J. (2007). Consumer Trust in E-Commerce in the United States, Singapore, and China. </w:t>
      </w:r>
      <w:r w:rsidRPr="0062180F">
        <w:rPr>
          <w:rFonts w:ascii="Times New Roman" w:hAnsi="Times New Roman" w:cs="Times New Roman"/>
          <w:i/>
          <w:sz w:val="20"/>
          <w:szCs w:val="20"/>
        </w:rPr>
        <w:t>Omega</w:t>
      </w:r>
      <w:r w:rsidRPr="0062180F">
        <w:rPr>
          <w:rFonts w:ascii="Times New Roman" w:hAnsi="Times New Roman" w:cs="Times New Roman"/>
          <w:sz w:val="20"/>
          <w:szCs w:val="20"/>
        </w:rPr>
        <w:t>,</w:t>
      </w:r>
      <w:r w:rsidRPr="0062180F">
        <w:rPr>
          <w:rFonts w:ascii="Times New Roman" w:hAnsi="Times New Roman" w:cs="Times New Roman"/>
          <w:i/>
          <w:sz w:val="20"/>
          <w:szCs w:val="20"/>
        </w:rPr>
        <w:t xml:space="preserve"> 35</w:t>
      </w:r>
      <w:r w:rsidRPr="0062180F">
        <w:rPr>
          <w:rFonts w:ascii="Times New Roman" w:hAnsi="Times New Roman" w:cs="Times New Roman"/>
          <w:sz w:val="20"/>
          <w:szCs w:val="20"/>
        </w:rPr>
        <w:t xml:space="preserve">(22-38). </w:t>
      </w:r>
      <w:hyperlink r:id="rId20">
        <w:r w:rsidRPr="0062180F">
          <w:rPr>
            <w:rStyle w:val="Hyperlink"/>
            <w:rFonts w:ascii="Times New Roman" w:hAnsi="Times New Roman" w:cs="Times New Roman"/>
            <w:color w:val="auto"/>
            <w:sz w:val="20"/>
            <w:szCs w:val="20"/>
          </w:rPr>
          <w:t>https://doi.org/10.1016/j.omega.2005.02.001</w:t>
        </w:r>
      </w:hyperlink>
      <w:r w:rsidRPr="0062180F">
        <w:rPr>
          <w:rFonts w:ascii="Times New Roman" w:hAnsi="Times New Roman" w:cs="Times New Roman"/>
          <w:sz w:val="20"/>
          <w:szCs w:val="20"/>
        </w:rPr>
        <w:t xml:space="preserve"> </w:t>
      </w:r>
    </w:p>
    <w:p w14:paraId="6F0E3F81"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The Asian Banker. (2020). </w:t>
      </w:r>
      <w:r w:rsidRPr="0062180F">
        <w:rPr>
          <w:rFonts w:ascii="Times New Roman" w:hAnsi="Times New Roman" w:cs="Times New Roman"/>
          <w:i/>
          <w:sz w:val="20"/>
          <w:szCs w:val="20"/>
        </w:rPr>
        <w:t>Nigeria, South Africa &amp; Kenya dominate the e-commerce industry in Sub-Saharan Africa</w:t>
      </w:r>
      <w:r w:rsidRPr="0062180F">
        <w:rPr>
          <w:rFonts w:ascii="Times New Roman" w:hAnsi="Times New Roman" w:cs="Times New Roman"/>
          <w:sz w:val="20"/>
          <w:szCs w:val="20"/>
        </w:rPr>
        <w:t xml:space="preserve">. Retrieved August 15th from </w:t>
      </w:r>
      <w:hyperlink r:id="rId21">
        <w:r w:rsidRPr="0062180F">
          <w:rPr>
            <w:rStyle w:val="Hyperlink"/>
            <w:rFonts w:ascii="Times New Roman" w:hAnsi="Times New Roman" w:cs="Times New Roman"/>
            <w:color w:val="auto"/>
            <w:sz w:val="20"/>
            <w:szCs w:val="20"/>
          </w:rPr>
          <w:t>https://www.theasianbanker.com-nigeria-south-africa-kenya-dominate-the-e-commerce-industry-in-sub-saharan-africa</w:t>
        </w:r>
      </w:hyperlink>
    </w:p>
    <w:p w14:paraId="10A739DE"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Tsao, W. C. (2016). Intensifying online loyalty! The power of website quality and perceived value of the consumer/seller relationship. </w:t>
      </w:r>
      <w:r w:rsidRPr="0062180F">
        <w:rPr>
          <w:rFonts w:ascii="Times New Roman" w:hAnsi="Times New Roman" w:cs="Times New Roman"/>
          <w:i/>
          <w:sz w:val="20"/>
          <w:szCs w:val="20"/>
        </w:rPr>
        <w:t>Industrial Management &amp; Data Systems</w:t>
      </w:r>
      <w:r w:rsidRPr="0062180F">
        <w:rPr>
          <w:rFonts w:ascii="Times New Roman" w:hAnsi="Times New Roman" w:cs="Times New Roman"/>
          <w:sz w:val="20"/>
          <w:szCs w:val="20"/>
        </w:rPr>
        <w:t xml:space="preserve">, 116. </w:t>
      </w:r>
      <w:hyperlink r:id="rId22">
        <w:r w:rsidRPr="0062180F">
          <w:rPr>
            <w:rStyle w:val="Hyperlink"/>
            <w:rFonts w:ascii="Times New Roman" w:hAnsi="Times New Roman" w:cs="Times New Roman"/>
            <w:color w:val="auto"/>
            <w:sz w:val="20"/>
            <w:szCs w:val="20"/>
          </w:rPr>
          <w:t>https://doi.org/10.1108/IMDS-07-2015-0293</w:t>
        </w:r>
      </w:hyperlink>
      <w:r w:rsidRPr="0062180F">
        <w:rPr>
          <w:rFonts w:ascii="Times New Roman" w:hAnsi="Times New Roman" w:cs="Times New Roman"/>
          <w:sz w:val="20"/>
          <w:szCs w:val="20"/>
        </w:rPr>
        <w:t xml:space="preserve"> </w:t>
      </w:r>
    </w:p>
    <w:p w14:paraId="7A63B2D1"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World Bank Group. (2020). </w:t>
      </w:r>
      <w:r w:rsidRPr="0062180F">
        <w:rPr>
          <w:rFonts w:ascii="Times New Roman" w:hAnsi="Times New Roman" w:cs="Times New Roman"/>
          <w:i/>
          <w:sz w:val="20"/>
          <w:szCs w:val="20"/>
        </w:rPr>
        <w:t>Cameroon Digital Economy Assessment. Digital Economy for Africa</w:t>
      </w:r>
      <w:r w:rsidRPr="0062180F">
        <w:rPr>
          <w:rFonts w:ascii="Times New Roman" w:hAnsi="Times New Roman" w:cs="Times New Roman"/>
          <w:sz w:val="20"/>
          <w:szCs w:val="20"/>
        </w:rPr>
        <w:t xml:space="preserve">. Washington, DC: World Bank Group. </w:t>
      </w:r>
      <w:hyperlink r:id="rId23">
        <w:r w:rsidRPr="0062180F">
          <w:rPr>
            <w:rStyle w:val="Hyperlink"/>
            <w:rFonts w:ascii="Times New Roman" w:hAnsi="Times New Roman" w:cs="Times New Roman"/>
            <w:color w:val="auto"/>
            <w:sz w:val="20"/>
            <w:szCs w:val="20"/>
          </w:rPr>
          <w:t>www.worldbankgroup.org</w:t>
        </w:r>
      </w:hyperlink>
      <w:r w:rsidRPr="0062180F">
        <w:rPr>
          <w:rFonts w:ascii="Times New Roman" w:hAnsi="Times New Roman" w:cs="Times New Roman"/>
          <w:sz w:val="20"/>
          <w:szCs w:val="20"/>
        </w:rPr>
        <w:t xml:space="preserve"> </w:t>
      </w:r>
    </w:p>
    <w:p w14:paraId="5DCFEC77"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World Bank Group, &amp; Alibaba Group. (2019). </w:t>
      </w:r>
      <w:r w:rsidRPr="0062180F">
        <w:rPr>
          <w:rFonts w:ascii="Times New Roman" w:hAnsi="Times New Roman" w:cs="Times New Roman"/>
          <w:i/>
          <w:sz w:val="20"/>
          <w:szCs w:val="20"/>
        </w:rPr>
        <w:t>E-commerce development experience from China overview</w:t>
      </w:r>
      <w:r w:rsidRPr="0062180F">
        <w:rPr>
          <w:rFonts w:ascii="Times New Roman" w:hAnsi="Times New Roman" w:cs="Times New Roman"/>
          <w:sz w:val="20"/>
          <w:szCs w:val="20"/>
        </w:rPr>
        <w:t xml:space="preserve">. Washington, D.C: World Bank Group. </w:t>
      </w:r>
      <w:hyperlink r:id="rId24">
        <w:r w:rsidRPr="0062180F">
          <w:rPr>
            <w:rStyle w:val="Hyperlink"/>
            <w:rFonts w:ascii="Times New Roman" w:hAnsi="Times New Roman" w:cs="Times New Roman"/>
            <w:color w:val="auto"/>
            <w:sz w:val="20"/>
            <w:szCs w:val="20"/>
          </w:rPr>
          <w:t>http://documents.worldbank.org/curated/en/823771574361853775/Overview</w:t>
        </w:r>
      </w:hyperlink>
      <w:r w:rsidRPr="0062180F">
        <w:rPr>
          <w:rFonts w:ascii="Times New Roman" w:hAnsi="Times New Roman" w:cs="Times New Roman"/>
          <w:sz w:val="20"/>
          <w:szCs w:val="20"/>
        </w:rPr>
        <w:t xml:space="preserve"> </w:t>
      </w:r>
    </w:p>
    <w:p w14:paraId="0CAF8AD8"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Yu, W., Sun, Z., Liu, H., Li, Z., &amp; Zheng, Z. (2018). </w:t>
      </w:r>
      <w:r w:rsidRPr="0062180F">
        <w:rPr>
          <w:rFonts w:ascii="Times New Roman" w:hAnsi="Times New Roman" w:cs="Times New Roman"/>
          <w:i/>
          <w:sz w:val="20"/>
          <w:szCs w:val="20"/>
        </w:rPr>
        <w:t>Multi-level Deep Learning based e-Commerce Product Categorization</w:t>
      </w:r>
      <w:r w:rsidRPr="0062180F">
        <w:rPr>
          <w:rFonts w:ascii="Times New Roman" w:hAnsi="Times New Roman" w:cs="Times New Roman"/>
          <w:sz w:val="20"/>
          <w:szCs w:val="20"/>
        </w:rPr>
        <w:t xml:space="preserve">. Retrieved August 8th from </w:t>
      </w:r>
      <w:hyperlink r:id="rId25">
        <w:r w:rsidRPr="0062180F">
          <w:rPr>
            <w:rStyle w:val="Hyperlink"/>
            <w:rFonts w:ascii="Times New Roman" w:hAnsi="Times New Roman" w:cs="Times New Roman"/>
            <w:color w:val="auto"/>
            <w:sz w:val="20"/>
            <w:szCs w:val="20"/>
          </w:rPr>
          <w:t>https://sigir-ecom.github.io/ecom2018/ecom18DCPapers/ecom18DC_paper_2.pdf</w:t>
        </w:r>
      </w:hyperlink>
    </w:p>
    <w:p w14:paraId="456E2C60"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Zwass, V. (1996). Electronic Commerce: Structures and Issues. </w:t>
      </w:r>
      <w:r w:rsidRPr="0062180F">
        <w:rPr>
          <w:rFonts w:ascii="Times New Roman" w:hAnsi="Times New Roman" w:cs="Times New Roman"/>
          <w:i/>
          <w:sz w:val="20"/>
          <w:szCs w:val="20"/>
        </w:rPr>
        <w:t>International Journal of Electronic Commerce</w:t>
      </w:r>
      <w:r w:rsidRPr="0062180F">
        <w:rPr>
          <w:rFonts w:ascii="Times New Roman" w:hAnsi="Times New Roman" w:cs="Times New Roman"/>
          <w:sz w:val="20"/>
          <w:szCs w:val="20"/>
        </w:rPr>
        <w:t>,</w:t>
      </w:r>
      <w:r w:rsidRPr="0062180F">
        <w:rPr>
          <w:rFonts w:ascii="Times New Roman" w:hAnsi="Times New Roman" w:cs="Times New Roman"/>
          <w:i/>
          <w:sz w:val="20"/>
          <w:szCs w:val="20"/>
        </w:rPr>
        <w:t xml:space="preserve"> 1</w:t>
      </w:r>
      <w:r w:rsidRPr="0062180F">
        <w:rPr>
          <w:rFonts w:ascii="Times New Roman" w:hAnsi="Times New Roman" w:cs="Times New Roman"/>
          <w:sz w:val="20"/>
          <w:szCs w:val="20"/>
        </w:rPr>
        <w:t xml:space="preserve">, 3-23. </w:t>
      </w:r>
    </w:p>
    <w:p w14:paraId="2EA949A6" w14:textId="77777777" w:rsidR="000F1B43" w:rsidRPr="0062180F" w:rsidRDefault="000F1B43" w:rsidP="0062180F">
      <w:pPr>
        <w:pStyle w:val="SBRBodyText"/>
        <w:ind w:firstLine="0"/>
        <w:rPr>
          <w:rFonts w:ascii="Times New Roman" w:hAnsi="Times New Roman" w:cs="Times New Roman"/>
          <w:b/>
          <w:sz w:val="20"/>
          <w:szCs w:val="20"/>
        </w:rPr>
      </w:pPr>
      <w:r w:rsidRPr="0062180F">
        <w:rPr>
          <w:rFonts w:ascii="Times New Roman" w:hAnsi="Times New Roman" w:cs="Times New Roman"/>
          <w:b/>
          <w:sz w:val="20"/>
          <w:szCs w:val="20"/>
        </w:rPr>
        <w:fldChar w:fldCharType="end"/>
      </w:r>
    </w:p>
    <w:p w14:paraId="42AB5E7E" w14:textId="77777777" w:rsidR="000F1B43" w:rsidRPr="0062180F" w:rsidRDefault="000F1B43" w:rsidP="0062180F">
      <w:pPr>
        <w:spacing w:after="0" w:line="240" w:lineRule="auto"/>
        <w:rPr>
          <w:rFonts w:ascii="Times New Roman" w:eastAsia="Times New Roman" w:hAnsi="Times New Roman" w:cs="Times New Roman"/>
          <w:b/>
          <w:sz w:val="20"/>
          <w:szCs w:val="20"/>
        </w:rPr>
      </w:pPr>
    </w:p>
    <w:p w14:paraId="4354EB47" w14:textId="77777777" w:rsidR="000F1B43" w:rsidRPr="0062180F" w:rsidRDefault="000F1B43" w:rsidP="0062180F">
      <w:pPr>
        <w:pStyle w:val="SBRH1"/>
        <w:spacing w:after="0"/>
        <w:jc w:val="both"/>
        <w:rPr>
          <w:rFonts w:ascii="Times New Roman" w:hAnsi="Times New Roman" w:cs="Times New Roman"/>
          <w:color w:val="auto"/>
          <w:sz w:val="20"/>
          <w:szCs w:val="20"/>
        </w:rPr>
      </w:pPr>
    </w:p>
    <w:p w14:paraId="2BD2E507" w14:textId="77777777" w:rsidR="000F1B43" w:rsidRPr="0062180F" w:rsidRDefault="000F1B43" w:rsidP="0062180F">
      <w:pPr>
        <w:spacing w:after="0" w:line="240" w:lineRule="auto"/>
        <w:jc w:val="both"/>
        <w:rPr>
          <w:rFonts w:ascii="Times New Roman" w:hAnsi="Times New Roman" w:cs="Times New Roman"/>
          <w:sz w:val="20"/>
          <w:szCs w:val="20"/>
        </w:rPr>
      </w:pPr>
    </w:p>
    <w:p w14:paraId="54A8F60A" w14:textId="77777777" w:rsidR="000F1B43" w:rsidRPr="0062180F" w:rsidRDefault="000F1B43" w:rsidP="0062180F">
      <w:pPr>
        <w:spacing w:after="0" w:line="240" w:lineRule="auto"/>
        <w:jc w:val="both"/>
        <w:rPr>
          <w:rFonts w:ascii="Times New Roman" w:hAnsi="Times New Roman" w:cs="Times New Roman"/>
          <w:sz w:val="20"/>
          <w:szCs w:val="20"/>
        </w:rPr>
      </w:pPr>
    </w:p>
    <w:sectPr w:rsidR="000F1B43" w:rsidRPr="0062180F">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48932" w14:textId="77777777" w:rsidR="005918DD" w:rsidRDefault="005918DD" w:rsidP="00734273">
      <w:pPr>
        <w:spacing w:after="0" w:line="240" w:lineRule="auto"/>
      </w:pPr>
      <w:r>
        <w:separator/>
      </w:r>
    </w:p>
  </w:endnote>
  <w:endnote w:type="continuationSeparator" w:id="0">
    <w:p w14:paraId="2C530CFE" w14:textId="77777777" w:rsidR="005918DD" w:rsidRDefault="005918DD" w:rsidP="00734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Verdana-Bold">
    <w:altName w:val="Verdana"/>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1A900" w14:textId="77777777" w:rsidR="00734273" w:rsidRDefault="007342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739A0" w14:textId="77777777" w:rsidR="00734273" w:rsidRDefault="007342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2AA6A" w14:textId="77777777" w:rsidR="00734273" w:rsidRDefault="00734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6953A" w14:textId="77777777" w:rsidR="005918DD" w:rsidRDefault="005918DD" w:rsidP="00734273">
      <w:pPr>
        <w:spacing w:after="0" w:line="240" w:lineRule="auto"/>
      </w:pPr>
      <w:r>
        <w:separator/>
      </w:r>
    </w:p>
  </w:footnote>
  <w:footnote w:type="continuationSeparator" w:id="0">
    <w:p w14:paraId="268B27F0" w14:textId="77777777" w:rsidR="005918DD" w:rsidRDefault="005918DD" w:rsidP="00734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8863E" w14:textId="103E663D" w:rsidR="00734273" w:rsidRDefault="00734273">
    <w:pPr>
      <w:pStyle w:val="Header"/>
    </w:pPr>
    <w:r>
      <w:rPr>
        <w:noProof/>
      </w:rPr>
      <w:pict w14:anchorId="39B5D8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60943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FFA0E" w14:textId="13433E51" w:rsidR="00734273" w:rsidRDefault="00734273">
    <w:pPr>
      <w:pStyle w:val="Header"/>
    </w:pPr>
    <w:r>
      <w:rPr>
        <w:noProof/>
      </w:rPr>
      <w:pict w14:anchorId="74B65E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60943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58A04" w14:textId="3D290CCA" w:rsidR="00734273" w:rsidRDefault="00734273">
    <w:pPr>
      <w:pStyle w:val="Header"/>
    </w:pPr>
    <w:r>
      <w:rPr>
        <w:noProof/>
      </w:rPr>
      <w:pict w14:anchorId="1B8E4C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60943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E966E1"/>
    <w:multiLevelType w:val="hybridMultilevel"/>
    <w:tmpl w:val="4956B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1B43"/>
    <w:rsid w:val="000F1B43"/>
    <w:rsid w:val="001A3E25"/>
    <w:rsid w:val="004224EF"/>
    <w:rsid w:val="005918DD"/>
    <w:rsid w:val="0062180F"/>
    <w:rsid w:val="00734273"/>
    <w:rsid w:val="007F2F79"/>
    <w:rsid w:val="009657CE"/>
    <w:rsid w:val="00B42D5A"/>
    <w:rsid w:val="00BE4084"/>
    <w:rsid w:val="00FD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727482"/>
  <w15:docId w15:val="{2D620652-3C80-414B-870E-C3A764F22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0F1B43"/>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unhideWhenUsed/>
    <w:qFormat/>
    <w:rsid w:val="000F1B43"/>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n-US"/>
    </w:rPr>
  </w:style>
  <w:style w:type="paragraph" w:styleId="Heading3">
    <w:name w:val="heading 3"/>
    <w:basedOn w:val="Normal"/>
    <w:next w:val="Normal"/>
    <w:link w:val="Heading3Char"/>
    <w:unhideWhenUsed/>
    <w:qFormat/>
    <w:rsid w:val="000F1B43"/>
    <w:pPr>
      <w:keepNext/>
      <w:keepLines/>
      <w:spacing w:before="200" w:after="0" w:line="259" w:lineRule="auto"/>
      <w:outlineLvl w:val="2"/>
    </w:pPr>
    <w:rPr>
      <w:rFonts w:asciiTheme="majorHAnsi" w:eastAsiaTheme="majorEastAsia" w:hAnsiTheme="majorHAnsi" w:cstheme="majorBidi"/>
      <w:b/>
      <w:b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B4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0F1B4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0F1B43"/>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qFormat/>
    <w:rsid w:val="000F1B43"/>
    <w:rPr>
      <w:color w:val="0000FF" w:themeColor="hyperlink"/>
      <w:u w:val="single"/>
    </w:rPr>
  </w:style>
  <w:style w:type="paragraph" w:customStyle="1" w:styleId="SBRH1">
    <w:name w:val="SBR H1"/>
    <w:basedOn w:val="Normal"/>
    <w:next w:val="SBRBodyText"/>
    <w:qFormat/>
    <w:rsid w:val="000F1B43"/>
    <w:pPr>
      <w:spacing w:before="240" w:after="160" w:line="240" w:lineRule="auto"/>
    </w:pPr>
    <w:rPr>
      <w:rFonts w:ascii="Garamond" w:hAnsi="Garamond"/>
      <w:b/>
      <w:bCs/>
      <w:color w:val="9E0000"/>
      <w:sz w:val="32"/>
      <w:szCs w:val="32"/>
      <w:lang w:val="en-US"/>
    </w:rPr>
  </w:style>
  <w:style w:type="paragraph" w:customStyle="1" w:styleId="SBRH2">
    <w:name w:val="SBR H2"/>
    <w:basedOn w:val="SBRH1"/>
    <w:next w:val="SBRBodyText"/>
    <w:qFormat/>
    <w:rsid w:val="000F1B43"/>
    <w:rPr>
      <w:sz w:val="26"/>
    </w:rPr>
  </w:style>
  <w:style w:type="paragraph" w:customStyle="1" w:styleId="SBRBodyText">
    <w:name w:val="SBR Body Text"/>
    <w:basedOn w:val="Normal"/>
    <w:next w:val="Normal"/>
    <w:qFormat/>
    <w:rsid w:val="000F1B43"/>
    <w:pPr>
      <w:spacing w:before="120" w:after="0" w:line="240" w:lineRule="auto"/>
      <w:ind w:firstLine="720"/>
      <w:jc w:val="both"/>
    </w:pPr>
    <w:rPr>
      <w:rFonts w:ascii="Garamond" w:hAnsi="Garamond"/>
      <w:sz w:val="24"/>
      <w:lang w:val="en-US"/>
    </w:rPr>
  </w:style>
  <w:style w:type="paragraph" w:styleId="Caption">
    <w:name w:val="caption"/>
    <w:basedOn w:val="Normal"/>
    <w:next w:val="Normal"/>
    <w:uiPriority w:val="35"/>
    <w:unhideWhenUsed/>
    <w:qFormat/>
    <w:rsid w:val="000F1B43"/>
    <w:pPr>
      <w:spacing w:line="240" w:lineRule="auto"/>
      <w:jc w:val="both"/>
    </w:pPr>
    <w:rPr>
      <w:rFonts w:ascii="Calibri" w:eastAsia="Calibri" w:hAnsi="Calibri" w:cs="Calibri"/>
      <w:i/>
      <w:iCs/>
      <w:color w:val="1F497D" w:themeColor="text2"/>
      <w:sz w:val="18"/>
      <w:szCs w:val="18"/>
      <w:lang w:val="en-US" w:eastAsia="en-GB"/>
    </w:rPr>
  </w:style>
  <w:style w:type="paragraph" w:customStyle="1" w:styleId="EndNoteBibliography">
    <w:name w:val="EndNote Bibliography"/>
    <w:basedOn w:val="Normal"/>
    <w:link w:val="EndNoteBibliographyChar"/>
    <w:rsid w:val="000F1B43"/>
    <w:pPr>
      <w:spacing w:before="240" w:after="160" w:line="240" w:lineRule="auto"/>
    </w:pPr>
    <w:rPr>
      <w:rFonts w:ascii="Calibri" w:eastAsia="Calibri" w:hAnsi="Calibri" w:cs="Calibri"/>
      <w:noProof/>
      <w:lang w:eastAsia="en-GB"/>
    </w:rPr>
  </w:style>
  <w:style w:type="character" w:customStyle="1" w:styleId="EndNoteBibliographyChar">
    <w:name w:val="EndNote Bibliography Char"/>
    <w:basedOn w:val="DefaultParagraphFont"/>
    <w:link w:val="EndNoteBibliography"/>
    <w:rsid w:val="000F1B43"/>
    <w:rPr>
      <w:rFonts w:ascii="Calibri" w:eastAsia="Calibri" w:hAnsi="Calibri" w:cs="Calibri"/>
      <w:noProof/>
      <w:lang w:val="en-GB" w:eastAsia="en-GB"/>
    </w:rPr>
  </w:style>
  <w:style w:type="character" w:styleId="Emphasis">
    <w:name w:val="Emphasis"/>
    <w:basedOn w:val="DefaultParagraphFont"/>
    <w:uiPriority w:val="20"/>
    <w:qFormat/>
    <w:rsid w:val="0062180F"/>
    <w:rPr>
      <w:i/>
      <w:iCs/>
    </w:rPr>
  </w:style>
  <w:style w:type="character" w:styleId="UnresolvedMention">
    <w:name w:val="Unresolved Mention"/>
    <w:basedOn w:val="DefaultParagraphFont"/>
    <w:uiPriority w:val="99"/>
    <w:semiHidden/>
    <w:unhideWhenUsed/>
    <w:rsid w:val="007F2F79"/>
    <w:rPr>
      <w:color w:val="605E5C"/>
      <w:shd w:val="clear" w:color="auto" w:fill="E1DFDD"/>
    </w:rPr>
  </w:style>
  <w:style w:type="paragraph" w:styleId="Header">
    <w:name w:val="header"/>
    <w:basedOn w:val="Normal"/>
    <w:link w:val="HeaderChar"/>
    <w:uiPriority w:val="99"/>
    <w:unhideWhenUsed/>
    <w:rsid w:val="00734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273"/>
    <w:rPr>
      <w:lang w:val="en-GB"/>
    </w:rPr>
  </w:style>
  <w:style w:type="paragraph" w:styleId="Footer">
    <w:name w:val="footer"/>
    <w:basedOn w:val="Normal"/>
    <w:link w:val="FooterChar"/>
    <w:uiPriority w:val="99"/>
    <w:unhideWhenUsed/>
    <w:rsid w:val="00734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27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987654321" TargetMode="External"/><Relationship Id="rId18" Type="http://schemas.openxmlformats.org/officeDocument/2006/relationships/hyperlink" Target="https://doi.org/10.1108/JABS-Jul-2011-0038"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theasianbanker.com-nigeria-south-africa-kenya-dominate-the-e-commerce-industry-in-sub-saharan-africa" TargetMode="External"/><Relationship Id="rId7" Type="http://schemas.openxmlformats.org/officeDocument/2006/relationships/hyperlink" Target="https://doi.org/10.3390/su10020352" TargetMode="External"/><Relationship Id="rId12" Type="http://schemas.openxmlformats.org/officeDocument/2006/relationships/hyperlink" Target="https://doi.org/10.1086/209386" TargetMode="External"/><Relationship Id="rId17" Type="http://schemas.openxmlformats.org/officeDocument/2006/relationships/hyperlink" Target="https://doi.org/10.1177/1467358415613393" TargetMode="External"/><Relationship Id="rId25" Type="http://schemas.openxmlformats.org/officeDocument/2006/relationships/hyperlink" Target="https://sigir-ecom.github.io/ecom2018/ecom18DCPapers/ecom18DC_paper_2.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cademia.edu/23163513/Prospects_and_challenges_of_Ecommerce_in_Cameroon" TargetMode="External"/><Relationship Id="rId20" Type="http://schemas.openxmlformats.org/officeDocument/2006/relationships/hyperlink" Target="https://doi.org/10.1016/j.omega.2005.02.001"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307/3003651" TargetMode="External"/><Relationship Id="rId24" Type="http://schemas.openxmlformats.org/officeDocument/2006/relationships/hyperlink" Target="http://documents.worldbank.org/curated/en/823771574361853775/Overview"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5294/jdm.v4i2.2761" TargetMode="External"/><Relationship Id="rId23" Type="http://schemas.openxmlformats.org/officeDocument/2006/relationships/hyperlink" Target="file:///C:\Users\pc\Downloads\www.worldbankgroup.org" TargetMode="External"/><Relationship Id="rId28" Type="http://schemas.openxmlformats.org/officeDocument/2006/relationships/footer" Target="footer1.xml"/><Relationship Id="rId10" Type="http://schemas.openxmlformats.org/officeDocument/2006/relationships/hyperlink" Target="https://doi.org/10.1002/jtr.669" TargetMode="External"/><Relationship Id="rId19" Type="http://schemas.openxmlformats.org/officeDocument/2006/relationships/hyperlink" Target="https://doi.org/10.1007/1-4020-2148-8_17"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file:///C:\Users\pc\Downloads\www.sciencedirect.com" TargetMode="External"/><Relationship Id="rId14" Type="http://schemas.openxmlformats.org/officeDocument/2006/relationships/hyperlink" Target="https://doi.org/10.1111/j.1745-6606.2001.tb00101" TargetMode="External"/><Relationship Id="rId22" Type="http://schemas.openxmlformats.org/officeDocument/2006/relationships/hyperlink" Target="https://doi.org/10.1108/IMDS-07-2015-0293"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1108/BPMJ-02-2015-0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10681</Words>
  <Characters>60883</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1084</cp:lastModifiedBy>
  <cp:revision>8</cp:revision>
  <dcterms:created xsi:type="dcterms:W3CDTF">2024-04-10T09:24:00Z</dcterms:created>
  <dcterms:modified xsi:type="dcterms:W3CDTF">2025-09-06T06:04:00Z</dcterms:modified>
</cp:coreProperties>
</file>