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A1196" w:rsidRDefault="001A1196">
      <w:pPr>
        <w:widowControl w:val="0"/>
        <w:pBdr>
          <w:top w:val="nil"/>
          <w:left w:val="nil"/>
          <w:bottom w:val="nil"/>
          <w:right w:val="nil"/>
          <w:between w:val="nil"/>
        </w:pBdr>
        <w:spacing w:line="276" w:lineRule="auto"/>
        <w:rPr>
          <w:rFonts w:ascii="Arial" w:eastAsia="Arial" w:hAnsi="Arial" w:cs="Arial"/>
          <w:color w:val="000000"/>
          <w:sz w:val="22"/>
          <w:szCs w:val="22"/>
        </w:rPr>
      </w:pPr>
    </w:p>
    <w:tbl>
      <w:tblPr>
        <w:tblStyle w:val="a"/>
        <w:tblW w:w="2093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1A1196">
        <w:trPr>
          <w:trHeight w:val="290"/>
        </w:trPr>
        <w:tc>
          <w:tcPr>
            <w:tcW w:w="20934" w:type="dxa"/>
            <w:gridSpan w:val="2"/>
            <w:tcBorders>
              <w:top w:val="nil"/>
              <w:left w:val="nil"/>
              <w:right w:val="nil"/>
            </w:tcBorders>
          </w:tcPr>
          <w:p w:rsidR="001A1196" w:rsidRDefault="001A1196">
            <w:pPr>
              <w:pStyle w:val="Heading2"/>
              <w:jc w:val="left"/>
              <w:rPr>
                <w:rFonts w:ascii="Arial" w:eastAsia="Arial" w:hAnsi="Arial" w:cs="Arial"/>
                <w:b w:val="0"/>
                <w:sz w:val="28"/>
                <w:szCs w:val="28"/>
              </w:rPr>
            </w:pPr>
          </w:p>
        </w:tc>
      </w:tr>
      <w:tr w:rsidR="001A1196">
        <w:trPr>
          <w:trHeight w:val="290"/>
        </w:trPr>
        <w:tc>
          <w:tcPr>
            <w:tcW w:w="5167" w:type="dxa"/>
          </w:tcPr>
          <w:p w:rsidR="001A1196" w:rsidRDefault="00A64B78">
            <w:pPr>
              <w:pBdr>
                <w:top w:val="nil"/>
                <w:left w:val="nil"/>
                <w:bottom w:val="nil"/>
                <w:right w:val="nil"/>
                <w:between w:val="nil"/>
              </w:pBdr>
              <w:ind w:left="90"/>
              <w:rPr>
                <w:rFonts w:ascii="Arial" w:eastAsia="Arial" w:hAnsi="Arial" w:cs="Arial"/>
                <w:color w:val="000000"/>
                <w:sz w:val="20"/>
                <w:szCs w:val="20"/>
              </w:rPr>
            </w:pPr>
            <w:r>
              <w:rPr>
                <w:rFonts w:ascii="Arial" w:eastAsia="Arial" w:hAnsi="Arial" w:cs="Arial"/>
                <w:color w:val="000000"/>
                <w:sz w:val="20"/>
                <w:szCs w:val="20"/>
              </w:rPr>
              <w:t>Journal Name:</w:t>
            </w:r>
          </w:p>
        </w:tc>
        <w:tc>
          <w:tcPr>
            <w:tcW w:w="15767" w:type="dxa"/>
            <w:tcMar>
              <w:top w:w="0" w:type="dxa"/>
              <w:left w:w="108" w:type="dxa"/>
              <w:bottom w:w="0" w:type="dxa"/>
              <w:right w:w="108" w:type="dxa"/>
            </w:tcMar>
            <w:vAlign w:val="center"/>
          </w:tcPr>
          <w:p w:rsidR="001A1196" w:rsidRDefault="00A64B78">
            <w:pPr>
              <w:rPr>
                <w:rFonts w:ascii="Arial" w:eastAsia="Arial" w:hAnsi="Arial" w:cs="Arial"/>
                <w:color w:val="0000FF"/>
                <w:sz w:val="20"/>
                <w:szCs w:val="20"/>
              </w:rPr>
            </w:pPr>
            <w:hyperlink r:id="rId7">
              <w:r>
                <w:rPr>
                  <w:rFonts w:ascii="Arial" w:eastAsia="Arial" w:hAnsi="Arial" w:cs="Arial"/>
                  <w:b/>
                  <w:color w:val="0000FF"/>
                  <w:sz w:val="20"/>
                  <w:szCs w:val="20"/>
                  <w:u w:val="single"/>
                </w:rPr>
                <w:t>Ophthalmology Research: An International Journal</w:t>
              </w:r>
            </w:hyperlink>
            <w:r>
              <w:rPr>
                <w:rFonts w:ascii="Arial" w:eastAsia="Arial" w:hAnsi="Arial" w:cs="Arial"/>
                <w:b/>
                <w:color w:val="0000FF"/>
                <w:sz w:val="20"/>
                <w:szCs w:val="20"/>
              </w:rPr>
              <w:t xml:space="preserve"> </w:t>
            </w:r>
          </w:p>
        </w:tc>
      </w:tr>
      <w:tr w:rsidR="001A1196">
        <w:trPr>
          <w:trHeight w:val="290"/>
        </w:trPr>
        <w:tc>
          <w:tcPr>
            <w:tcW w:w="5167" w:type="dxa"/>
          </w:tcPr>
          <w:p w:rsidR="001A1196" w:rsidRDefault="00A64B78">
            <w:pPr>
              <w:pBdr>
                <w:top w:val="nil"/>
                <w:left w:val="nil"/>
                <w:bottom w:val="nil"/>
                <w:right w:val="nil"/>
                <w:between w:val="nil"/>
              </w:pBdr>
              <w:ind w:left="90"/>
              <w:rPr>
                <w:rFonts w:ascii="Arial" w:eastAsia="Arial" w:hAnsi="Arial" w:cs="Arial"/>
                <w:color w:val="000000"/>
                <w:sz w:val="20"/>
                <w:szCs w:val="20"/>
              </w:rPr>
            </w:pPr>
            <w:r>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rsidR="001A1196" w:rsidRDefault="00A64B78">
            <w:pPr>
              <w:pBdr>
                <w:top w:val="nil"/>
                <w:left w:val="nil"/>
                <w:bottom w:val="nil"/>
                <w:right w:val="nil"/>
                <w:between w:val="nil"/>
              </w:pBdr>
              <w:rPr>
                <w:rFonts w:ascii="Arial" w:eastAsia="Arial" w:hAnsi="Arial" w:cs="Arial"/>
                <w:color w:val="000000"/>
                <w:sz w:val="20"/>
                <w:szCs w:val="20"/>
              </w:rPr>
            </w:pPr>
            <w:r>
              <w:rPr>
                <w:rFonts w:ascii="Arial" w:eastAsia="Arial" w:hAnsi="Arial" w:cs="Arial"/>
                <w:b/>
                <w:color w:val="000000"/>
                <w:sz w:val="20"/>
                <w:szCs w:val="20"/>
              </w:rPr>
              <w:t>Ms_OR_145567</w:t>
            </w:r>
          </w:p>
        </w:tc>
      </w:tr>
      <w:tr w:rsidR="001A1196">
        <w:trPr>
          <w:trHeight w:val="650"/>
        </w:trPr>
        <w:tc>
          <w:tcPr>
            <w:tcW w:w="5167" w:type="dxa"/>
          </w:tcPr>
          <w:p w:rsidR="001A1196" w:rsidRDefault="00A64B78">
            <w:pPr>
              <w:pBdr>
                <w:top w:val="nil"/>
                <w:left w:val="nil"/>
                <w:bottom w:val="nil"/>
                <w:right w:val="nil"/>
                <w:between w:val="nil"/>
              </w:pBdr>
              <w:ind w:left="90"/>
              <w:rPr>
                <w:rFonts w:ascii="Arial" w:eastAsia="Arial" w:hAnsi="Arial" w:cs="Arial"/>
                <w:color w:val="000000"/>
                <w:sz w:val="20"/>
                <w:szCs w:val="20"/>
              </w:rPr>
            </w:pPr>
            <w:r>
              <w:rPr>
                <w:rFonts w:ascii="Arial" w:eastAsia="Arial"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rsidR="001A1196" w:rsidRDefault="00A64B78">
            <w:pPr>
              <w:pBdr>
                <w:top w:val="nil"/>
                <w:left w:val="nil"/>
                <w:bottom w:val="nil"/>
                <w:right w:val="nil"/>
                <w:between w:val="nil"/>
              </w:pBdr>
              <w:rPr>
                <w:rFonts w:ascii="Arial" w:eastAsia="Arial" w:hAnsi="Arial" w:cs="Arial"/>
                <w:color w:val="000000"/>
                <w:sz w:val="20"/>
                <w:szCs w:val="20"/>
              </w:rPr>
            </w:pPr>
            <w:r>
              <w:rPr>
                <w:rFonts w:ascii="Arial" w:eastAsia="Arial" w:hAnsi="Arial" w:cs="Arial"/>
                <w:b/>
                <w:color w:val="000000"/>
                <w:sz w:val="20"/>
                <w:szCs w:val="20"/>
              </w:rPr>
              <w:t xml:space="preserve">Trauma to Transplant: </w:t>
            </w:r>
            <w:proofErr w:type="spellStart"/>
            <w:r>
              <w:rPr>
                <w:rFonts w:ascii="Arial" w:eastAsia="Arial" w:hAnsi="Arial" w:cs="Arial"/>
                <w:b/>
                <w:color w:val="000000"/>
                <w:sz w:val="20"/>
                <w:szCs w:val="20"/>
              </w:rPr>
              <w:t>Pediatric</w:t>
            </w:r>
            <w:proofErr w:type="spellEnd"/>
            <w:r>
              <w:rPr>
                <w:rFonts w:ascii="Arial" w:eastAsia="Arial" w:hAnsi="Arial" w:cs="Arial"/>
                <w:b/>
                <w:color w:val="000000"/>
                <w:sz w:val="20"/>
                <w:szCs w:val="20"/>
              </w:rPr>
              <w:t xml:space="preserve"> Pythium Keratitis Advancing to Anterior Staphyloma</w:t>
            </w:r>
          </w:p>
        </w:tc>
      </w:tr>
      <w:tr w:rsidR="001A1196">
        <w:trPr>
          <w:trHeight w:val="332"/>
        </w:trPr>
        <w:tc>
          <w:tcPr>
            <w:tcW w:w="5167" w:type="dxa"/>
          </w:tcPr>
          <w:p w:rsidR="001A1196" w:rsidRDefault="00A64B78">
            <w:pPr>
              <w:pBdr>
                <w:top w:val="nil"/>
                <w:left w:val="nil"/>
                <w:bottom w:val="nil"/>
                <w:right w:val="nil"/>
                <w:between w:val="nil"/>
              </w:pBdr>
              <w:ind w:left="90"/>
              <w:rPr>
                <w:rFonts w:ascii="Arial" w:eastAsia="Arial" w:hAnsi="Arial" w:cs="Arial"/>
                <w:color w:val="000000"/>
                <w:sz w:val="20"/>
                <w:szCs w:val="20"/>
              </w:rPr>
            </w:pPr>
            <w:r>
              <w:rPr>
                <w:rFonts w:ascii="Arial" w:eastAsia="Arial" w:hAnsi="Arial" w:cs="Arial"/>
                <w:color w:val="000000"/>
                <w:sz w:val="20"/>
                <w:szCs w:val="20"/>
              </w:rPr>
              <w:t>Type of the Article</w:t>
            </w:r>
          </w:p>
        </w:tc>
        <w:tc>
          <w:tcPr>
            <w:tcW w:w="15767" w:type="dxa"/>
            <w:tcMar>
              <w:top w:w="0" w:type="dxa"/>
              <w:left w:w="108" w:type="dxa"/>
              <w:bottom w:w="0" w:type="dxa"/>
              <w:right w:w="108" w:type="dxa"/>
            </w:tcMar>
            <w:vAlign w:val="center"/>
          </w:tcPr>
          <w:p w:rsidR="001A1196" w:rsidRDefault="00A64B78">
            <w:pPr>
              <w:pBdr>
                <w:top w:val="nil"/>
                <w:left w:val="nil"/>
                <w:bottom w:val="nil"/>
                <w:right w:val="nil"/>
                <w:between w:val="nil"/>
              </w:pBdr>
              <w:rPr>
                <w:rFonts w:ascii="Arial" w:eastAsia="Arial" w:hAnsi="Arial" w:cs="Arial"/>
                <w:color w:val="000000"/>
                <w:sz w:val="20"/>
                <w:szCs w:val="20"/>
              </w:rPr>
            </w:pPr>
            <w:r>
              <w:rPr>
                <w:rFonts w:ascii="Arial" w:eastAsia="Arial" w:hAnsi="Arial" w:cs="Arial"/>
                <w:b/>
                <w:color w:val="000000"/>
                <w:sz w:val="20"/>
                <w:szCs w:val="20"/>
              </w:rPr>
              <w:t>Case report</w:t>
            </w:r>
          </w:p>
        </w:tc>
      </w:tr>
    </w:tbl>
    <w:p w:rsidR="001A1196" w:rsidRDefault="001A1196">
      <w:pPr>
        <w:pBdr>
          <w:top w:val="nil"/>
          <w:left w:val="nil"/>
          <w:bottom w:val="nil"/>
          <w:right w:val="nil"/>
          <w:between w:val="nil"/>
        </w:pBdr>
        <w:jc w:val="both"/>
        <w:rPr>
          <w:rFonts w:ascii="Arial" w:eastAsia="Arial" w:hAnsi="Arial" w:cs="Arial"/>
          <w:color w:val="000000"/>
          <w:sz w:val="20"/>
          <w:szCs w:val="20"/>
          <w:u w:val="single"/>
        </w:rPr>
      </w:pPr>
      <w:bookmarkStart w:id="0" w:name="_vwg2754ydbc" w:colFirst="0" w:colLast="0"/>
      <w:bookmarkEnd w:id="0"/>
    </w:p>
    <w:p w:rsidR="001A1196" w:rsidRDefault="001A1196">
      <w:pPr>
        <w:rPr>
          <w:sz w:val="20"/>
          <w:szCs w:val="20"/>
        </w:rPr>
      </w:pPr>
    </w:p>
    <w:tbl>
      <w:tblPr>
        <w:tblStyle w:val="a0"/>
        <w:tblW w:w="2104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43"/>
        <w:gridCol w:w="9357"/>
        <w:gridCol w:w="6442"/>
      </w:tblGrid>
      <w:tr w:rsidR="001A1196" w:rsidTr="00076C24">
        <w:tc>
          <w:tcPr>
            <w:tcW w:w="21042" w:type="dxa"/>
            <w:gridSpan w:val="3"/>
            <w:tcBorders>
              <w:top w:val="nil"/>
              <w:left w:val="nil"/>
              <w:right w:val="nil"/>
            </w:tcBorders>
          </w:tcPr>
          <w:p w:rsidR="001A1196" w:rsidRDefault="00A64B78">
            <w:pPr>
              <w:pStyle w:val="Heading2"/>
              <w:jc w:val="left"/>
              <w:rPr>
                <w:rFonts w:ascii="Times New Roman" w:eastAsia="Times New Roman" w:hAnsi="Times New Roman" w:cs="Times New Roman"/>
              </w:rPr>
            </w:pPr>
            <w:r>
              <w:rPr>
                <w:rFonts w:ascii="Times New Roman" w:eastAsia="Times New Roman" w:hAnsi="Times New Roman" w:cs="Times New Roman"/>
                <w:highlight w:val="yellow"/>
              </w:rPr>
              <w:t>PART  1:</w:t>
            </w:r>
            <w:r>
              <w:rPr>
                <w:rFonts w:ascii="Times New Roman" w:eastAsia="Times New Roman" w:hAnsi="Times New Roman" w:cs="Times New Roman"/>
              </w:rPr>
              <w:t xml:space="preserve"> Comments</w:t>
            </w:r>
          </w:p>
          <w:p w:rsidR="001A1196" w:rsidRDefault="001A1196">
            <w:pPr>
              <w:rPr>
                <w:sz w:val="20"/>
                <w:szCs w:val="20"/>
              </w:rPr>
            </w:pPr>
          </w:p>
        </w:tc>
      </w:tr>
      <w:tr w:rsidR="001A1196" w:rsidTr="00076C24">
        <w:tc>
          <w:tcPr>
            <w:tcW w:w="5243" w:type="dxa"/>
          </w:tcPr>
          <w:p w:rsidR="001A1196" w:rsidRDefault="001A1196">
            <w:pPr>
              <w:pStyle w:val="Heading2"/>
              <w:jc w:val="left"/>
              <w:rPr>
                <w:rFonts w:ascii="Times New Roman" w:eastAsia="Times New Roman" w:hAnsi="Times New Roman" w:cs="Times New Roman"/>
              </w:rPr>
            </w:pPr>
          </w:p>
        </w:tc>
        <w:tc>
          <w:tcPr>
            <w:tcW w:w="9357" w:type="dxa"/>
          </w:tcPr>
          <w:p w:rsidR="001A1196" w:rsidRDefault="00A64B78">
            <w:pPr>
              <w:pStyle w:val="Heading2"/>
              <w:jc w:val="left"/>
              <w:rPr>
                <w:rFonts w:ascii="Times New Roman" w:eastAsia="Times New Roman" w:hAnsi="Times New Roman" w:cs="Times New Roman"/>
              </w:rPr>
            </w:pPr>
            <w:r>
              <w:rPr>
                <w:rFonts w:ascii="Times New Roman" w:eastAsia="Times New Roman" w:hAnsi="Times New Roman" w:cs="Times New Roman"/>
              </w:rPr>
              <w:t>Reviewer’s comment</w:t>
            </w:r>
          </w:p>
          <w:p w:rsidR="001A1196" w:rsidRDefault="00A64B78">
            <w:pPr>
              <w:rPr>
                <w:sz w:val="20"/>
                <w:szCs w:val="20"/>
              </w:rPr>
            </w:pPr>
            <w:r>
              <w:rPr>
                <w:b/>
                <w:sz w:val="20"/>
                <w:szCs w:val="20"/>
                <w:highlight w:val="yellow"/>
              </w:rPr>
              <w:t>Artificial Intelligence (AI) generated or assisted review comments are strictly prohibited during peer review.</w:t>
            </w:r>
          </w:p>
          <w:p w:rsidR="001A1196" w:rsidRDefault="001A1196"/>
        </w:tc>
        <w:tc>
          <w:tcPr>
            <w:tcW w:w="6442" w:type="dxa"/>
          </w:tcPr>
          <w:p w:rsidR="001A1196" w:rsidRDefault="00A64B78">
            <w:pPr>
              <w:spacing w:after="160" w:line="254" w:lineRule="auto"/>
              <w:rPr>
                <w:sz w:val="20"/>
                <w:szCs w:val="20"/>
              </w:rPr>
            </w:pPr>
            <w:r>
              <w:rPr>
                <w:b/>
                <w:sz w:val="20"/>
                <w:szCs w:val="20"/>
              </w:rPr>
              <w:t>Author’s Feedback</w:t>
            </w:r>
            <w:r>
              <w:rPr>
                <w:sz w:val="20"/>
                <w:szCs w:val="20"/>
              </w:rPr>
              <w:t xml:space="preserve"> (It is mandatory that authors should write his/her feedback here)</w:t>
            </w:r>
          </w:p>
          <w:p w:rsidR="001A1196" w:rsidRDefault="001A1196">
            <w:pPr>
              <w:pStyle w:val="Heading2"/>
              <w:jc w:val="left"/>
              <w:rPr>
                <w:rFonts w:ascii="Times New Roman" w:eastAsia="Times New Roman" w:hAnsi="Times New Roman" w:cs="Times New Roman"/>
                <w:b w:val="0"/>
              </w:rPr>
            </w:pPr>
          </w:p>
        </w:tc>
      </w:tr>
      <w:tr w:rsidR="001A1196" w:rsidTr="00076C24">
        <w:trPr>
          <w:trHeight w:val="1264"/>
        </w:trPr>
        <w:tc>
          <w:tcPr>
            <w:tcW w:w="5243" w:type="dxa"/>
          </w:tcPr>
          <w:p w:rsidR="001A1196" w:rsidRDefault="00A64B78">
            <w:pPr>
              <w:ind w:left="360"/>
              <w:rPr>
                <w:sz w:val="20"/>
                <w:szCs w:val="20"/>
              </w:rPr>
            </w:pPr>
            <w:r>
              <w:rPr>
                <w:b/>
                <w:sz w:val="20"/>
                <w:szCs w:val="20"/>
              </w:rPr>
              <w:t>Please write a few sentences regarding the importance of this manuscript for the scientific community. A minimum of 3-4 sentences may be required for this part.</w:t>
            </w:r>
          </w:p>
          <w:p w:rsidR="001A1196" w:rsidRDefault="001A1196">
            <w:pPr>
              <w:ind w:left="360"/>
              <w:rPr>
                <w:sz w:val="20"/>
                <w:szCs w:val="20"/>
              </w:rPr>
            </w:pPr>
          </w:p>
        </w:tc>
        <w:tc>
          <w:tcPr>
            <w:tcW w:w="9357" w:type="dxa"/>
          </w:tcPr>
          <w:p w:rsidR="001A1196" w:rsidRDefault="00A64B78">
            <w:pPr>
              <w:pBdr>
                <w:top w:val="nil"/>
                <w:left w:val="nil"/>
                <w:bottom w:val="nil"/>
                <w:right w:val="nil"/>
                <w:between w:val="nil"/>
              </w:pBdr>
              <w:rPr>
                <w:color w:val="000000"/>
                <w:sz w:val="20"/>
                <w:szCs w:val="20"/>
              </w:rPr>
            </w:pPr>
            <w:r>
              <w:rPr>
                <w:b/>
                <w:color w:val="000000"/>
                <w:sz w:val="20"/>
                <w:szCs w:val="20"/>
              </w:rPr>
              <w:t>Pythium keratitis is a very rare disease in children. The disease is often misdiagnosed as fungal keratitis and can cause complications such as anterior Staphyloma leading to blindness and affecting the quality of life of children. The author reported that</w:t>
            </w:r>
            <w:r>
              <w:rPr>
                <w:b/>
                <w:color w:val="000000"/>
                <w:sz w:val="20"/>
                <w:szCs w:val="20"/>
              </w:rPr>
              <w:t xml:space="preserve"> the case of an 11-year-old child with Pythium keratitis after 3 years of ocular trauma to the right eye</w:t>
            </w:r>
            <w:r>
              <w:rPr>
                <w:color w:val="000000"/>
              </w:rPr>
              <w:t xml:space="preserve"> </w:t>
            </w:r>
            <w:r>
              <w:rPr>
                <w:b/>
                <w:color w:val="000000"/>
                <w:sz w:val="20"/>
                <w:szCs w:val="20"/>
              </w:rPr>
              <w:t>due to a cow horn was successfully. He had been treated with corneal transplant with therapeutic penetrating keratoplasty (PKP). The manuscript is very</w:t>
            </w:r>
            <w:r>
              <w:rPr>
                <w:b/>
                <w:color w:val="000000"/>
                <w:sz w:val="20"/>
                <w:szCs w:val="20"/>
              </w:rPr>
              <w:t xml:space="preserve"> importance for scientific community.</w:t>
            </w:r>
          </w:p>
        </w:tc>
        <w:tc>
          <w:tcPr>
            <w:tcW w:w="6442" w:type="dxa"/>
          </w:tcPr>
          <w:p w:rsidR="001A1196" w:rsidRDefault="00A64B78">
            <w:pPr>
              <w:pStyle w:val="Heading2"/>
              <w:jc w:val="left"/>
              <w:rPr>
                <w:rFonts w:ascii="Times New Roman" w:eastAsia="Times New Roman" w:hAnsi="Times New Roman" w:cs="Times New Roman"/>
                <w:b w:val="0"/>
              </w:rPr>
            </w:pPr>
            <w:bookmarkStart w:id="1" w:name="_rjfmt1l6gpxu" w:colFirst="0" w:colLast="0"/>
            <w:bookmarkEnd w:id="1"/>
            <w:r>
              <w:rPr>
                <w:rFonts w:ascii="Times New Roman" w:eastAsia="Times New Roman" w:hAnsi="Times New Roman" w:cs="Times New Roman"/>
                <w:b w:val="0"/>
              </w:rPr>
              <w:t>Early diagnosis and prompt treatment with penetrating keratoplasty surgery, improving the visual outcomes and preserving the globe in case of Pythium keratitis.</w:t>
            </w:r>
          </w:p>
        </w:tc>
      </w:tr>
      <w:tr w:rsidR="001A1196" w:rsidTr="00076C24">
        <w:trPr>
          <w:trHeight w:val="1262"/>
        </w:trPr>
        <w:tc>
          <w:tcPr>
            <w:tcW w:w="5243" w:type="dxa"/>
          </w:tcPr>
          <w:p w:rsidR="001A1196" w:rsidRDefault="00A64B78">
            <w:pPr>
              <w:ind w:left="360"/>
              <w:rPr>
                <w:sz w:val="20"/>
                <w:szCs w:val="20"/>
              </w:rPr>
            </w:pPr>
            <w:r>
              <w:rPr>
                <w:b/>
                <w:sz w:val="20"/>
                <w:szCs w:val="20"/>
              </w:rPr>
              <w:t>Is the title of the article suitable?</w:t>
            </w:r>
          </w:p>
          <w:p w:rsidR="001A1196" w:rsidRDefault="00A64B78">
            <w:pPr>
              <w:ind w:left="360"/>
              <w:rPr>
                <w:sz w:val="20"/>
                <w:szCs w:val="20"/>
              </w:rPr>
            </w:pPr>
            <w:r>
              <w:rPr>
                <w:b/>
                <w:sz w:val="20"/>
                <w:szCs w:val="20"/>
              </w:rPr>
              <w:t>(If not please sug</w:t>
            </w:r>
            <w:r>
              <w:rPr>
                <w:b/>
                <w:sz w:val="20"/>
                <w:szCs w:val="20"/>
              </w:rPr>
              <w:t>gest an alternative title)</w:t>
            </w:r>
          </w:p>
          <w:p w:rsidR="001A1196" w:rsidRDefault="001A1196">
            <w:pPr>
              <w:pStyle w:val="Heading2"/>
              <w:jc w:val="left"/>
              <w:rPr>
                <w:rFonts w:ascii="Times New Roman" w:eastAsia="Times New Roman" w:hAnsi="Times New Roman" w:cs="Times New Roman"/>
                <w:u w:val="single"/>
              </w:rPr>
            </w:pPr>
          </w:p>
        </w:tc>
        <w:tc>
          <w:tcPr>
            <w:tcW w:w="9357" w:type="dxa"/>
          </w:tcPr>
          <w:p w:rsidR="001A1196" w:rsidRDefault="00A64B78">
            <w:pPr>
              <w:rPr>
                <w:sz w:val="20"/>
                <w:szCs w:val="20"/>
              </w:rPr>
            </w:pPr>
            <w:r>
              <w:rPr>
                <w:b/>
                <w:sz w:val="20"/>
                <w:szCs w:val="20"/>
              </w:rPr>
              <w:t>The title of the article is entirely suitable</w:t>
            </w:r>
          </w:p>
        </w:tc>
        <w:tc>
          <w:tcPr>
            <w:tcW w:w="6442" w:type="dxa"/>
          </w:tcPr>
          <w:p w:rsidR="001A1196" w:rsidRDefault="00A64B78">
            <w:pPr>
              <w:pStyle w:val="Heading2"/>
              <w:jc w:val="left"/>
              <w:rPr>
                <w:rFonts w:ascii="Times New Roman" w:eastAsia="Times New Roman" w:hAnsi="Times New Roman" w:cs="Times New Roman"/>
                <w:b w:val="0"/>
              </w:rPr>
            </w:pPr>
            <w:r>
              <w:rPr>
                <w:rFonts w:ascii="Times New Roman" w:eastAsia="Times New Roman" w:hAnsi="Times New Roman" w:cs="Times New Roman"/>
                <w:b w:val="0"/>
              </w:rPr>
              <w:t>Yes</w:t>
            </w:r>
          </w:p>
        </w:tc>
      </w:tr>
      <w:tr w:rsidR="001A1196" w:rsidTr="00076C24">
        <w:trPr>
          <w:trHeight w:val="1262"/>
        </w:trPr>
        <w:tc>
          <w:tcPr>
            <w:tcW w:w="5243" w:type="dxa"/>
          </w:tcPr>
          <w:p w:rsidR="001A1196" w:rsidRDefault="00A64B78">
            <w:pPr>
              <w:pStyle w:val="Heading2"/>
              <w:ind w:left="360"/>
              <w:jc w:val="left"/>
              <w:rPr>
                <w:rFonts w:ascii="Times New Roman" w:eastAsia="Times New Roman" w:hAnsi="Times New Roman" w:cs="Times New Roman"/>
              </w:rPr>
            </w:pPr>
            <w:r>
              <w:rPr>
                <w:rFonts w:ascii="Times New Roman" w:eastAsia="Times New Roman" w:hAnsi="Times New Roman" w:cs="Times New Roman"/>
              </w:rPr>
              <w:t>Is the abstract of the article comprehensive? Do you suggest the addition (or deletion) of some points in this section? Please write your suggestions here.</w:t>
            </w:r>
          </w:p>
          <w:p w:rsidR="001A1196" w:rsidRDefault="001A1196">
            <w:pPr>
              <w:pStyle w:val="Heading2"/>
              <w:jc w:val="left"/>
              <w:rPr>
                <w:rFonts w:ascii="Times New Roman" w:eastAsia="Times New Roman" w:hAnsi="Times New Roman" w:cs="Times New Roman"/>
                <w:u w:val="single"/>
              </w:rPr>
            </w:pPr>
          </w:p>
        </w:tc>
        <w:tc>
          <w:tcPr>
            <w:tcW w:w="9357" w:type="dxa"/>
          </w:tcPr>
          <w:p w:rsidR="001A1196" w:rsidRDefault="00A64B78">
            <w:pPr>
              <w:rPr>
                <w:sz w:val="20"/>
                <w:szCs w:val="20"/>
              </w:rPr>
            </w:pPr>
            <w:r>
              <w:rPr>
                <w:b/>
                <w:sz w:val="20"/>
                <w:szCs w:val="20"/>
              </w:rPr>
              <w:t>The abstract of the article is comprehensive</w:t>
            </w:r>
          </w:p>
        </w:tc>
        <w:tc>
          <w:tcPr>
            <w:tcW w:w="6442" w:type="dxa"/>
          </w:tcPr>
          <w:p w:rsidR="001A1196" w:rsidRDefault="00A64B78">
            <w:pPr>
              <w:pStyle w:val="Heading2"/>
              <w:jc w:val="left"/>
              <w:rPr>
                <w:rFonts w:ascii="Times New Roman" w:eastAsia="Times New Roman" w:hAnsi="Times New Roman" w:cs="Times New Roman"/>
                <w:b w:val="0"/>
              </w:rPr>
            </w:pPr>
            <w:r>
              <w:rPr>
                <w:rFonts w:ascii="Times New Roman" w:eastAsia="Times New Roman" w:hAnsi="Times New Roman" w:cs="Times New Roman"/>
                <w:b w:val="0"/>
              </w:rPr>
              <w:t>Yes</w:t>
            </w:r>
          </w:p>
        </w:tc>
      </w:tr>
      <w:tr w:rsidR="001A1196" w:rsidTr="00076C24">
        <w:trPr>
          <w:trHeight w:val="704"/>
        </w:trPr>
        <w:tc>
          <w:tcPr>
            <w:tcW w:w="5243" w:type="dxa"/>
          </w:tcPr>
          <w:p w:rsidR="001A1196" w:rsidRDefault="00A64B78">
            <w:pPr>
              <w:pStyle w:val="Heading2"/>
              <w:ind w:left="360"/>
              <w:jc w:val="left"/>
              <w:rPr>
                <w:b w:val="0"/>
                <w:u w:val="single"/>
              </w:rPr>
            </w:pPr>
            <w:r>
              <w:rPr>
                <w:rFonts w:ascii="Times New Roman" w:eastAsia="Times New Roman" w:hAnsi="Times New Roman" w:cs="Times New Roman"/>
              </w:rPr>
              <w:t>Is the manuscript scientifically, correct? Please write here.</w:t>
            </w:r>
          </w:p>
        </w:tc>
        <w:tc>
          <w:tcPr>
            <w:tcW w:w="9357" w:type="dxa"/>
          </w:tcPr>
          <w:p w:rsidR="001A1196" w:rsidRDefault="00A64B78">
            <w:pPr>
              <w:pBdr>
                <w:top w:val="nil"/>
                <w:left w:val="nil"/>
                <w:bottom w:val="nil"/>
                <w:right w:val="nil"/>
                <w:between w:val="nil"/>
              </w:pBdr>
              <w:rPr>
                <w:color w:val="000000"/>
                <w:sz w:val="20"/>
                <w:szCs w:val="20"/>
              </w:rPr>
            </w:pPr>
            <w:r>
              <w:rPr>
                <w:b/>
                <w:color w:val="000000"/>
                <w:sz w:val="20"/>
                <w:szCs w:val="20"/>
              </w:rPr>
              <w:t>The manuscript is scientific and correct</w:t>
            </w:r>
          </w:p>
        </w:tc>
        <w:tc>
          <w:tcPr>
            <w:tcW w:w="6442" w:type="dxa"/>
          </w:tcPr>
          <w:p w:rsidR="001A1196" w:rsidRDefault="00A64B78">
            <w:pPr>
              <w:pStyle w:val="Heading2"/>
              <w:jc w:val="left"/>
              <w:rPr>
                <w:rFonts w:ascii="Times New Roman" w:eastAsia="Times New Roman" w:hAnsi="Times New Roman" w:cs="Times New Roman"/>
                <w:b w:val="0"/>
              </w:rPr>
            </w:pPr>
            <w:r>
              <w:rPr>
                <w:rFonts w:ascii="Times New Roman" w:eastAsia="Times New Roman" w:hAnsi="Times New Roman" w:cs="Times New Roman"/>
                <w:b w:val="0"/>
              </w:rPr>
              <w:t>Yes</w:t>
            </w:r>
          </w:p>
        </w:tc>
      </w:tr>
      <w:tr w:rsidR="001A1196" w:rsidTr="00076C24">
        <w:trPr>
          <w:trHeight w:val="703"/>
        </w:trPr>
        <w:tc>
          <w:tcPr>
            <w:tcW w:w="5243" w:type="dxa"/>
          </w:tcPr>
          <w:p w:rsidR="001A1196" w:rsidRDefault="00A64B78">
            <w:pPr>
              <w:ind w:left="360"/>
              <w:rPr>
                <w:sz w:val="20"/>
                <w:szCs w:val="20"/>
              </w:rPr>
            </w:pPr>
            <w:r>
              <w:rPr>
                <w:b/>
                <w:sz w:val="20"/>
                <w:szCs w:val="20"/>
              </w:rPr>
              <w:t>Are the references sufficient and recent? If you have suggestions of additional references, please mention them in the review form.</w:t>
            </w:r>
          </w:p>
        </w:tc>
        <w:tc>
          <w:tcPr>
            <w:tcW w:w="9357" w:type="dxa"/>
          </w:tcPr>
          <w:p w:rsidR="001A1196" w:rsidRDefault="00A64B78">
            <w:pPr>
              <w:pBdr>
                <w:top w:val="nil"/>
                <w:left w:val="nil"/>
                <w:bottom w:val="nil"/>
                <w:right w:val="nil"/>
                <w:between w:val="nil"/>
              </w:pBdr>
              <w:rPr>
                <w:color w:val="000000"/>
                <w:sz w:val="20"/>
                <w:szCs w:val="20"/>
              </w:rPr>
            </w:pPr>
            <w:r>
              <w:rPr>
                <w:b/>
                <w:color w:val="000000"/>
                <w:sz w:val="20"/>
                <w:szCs w:val="20"/>
              </w:rPr>
              <w:t>The references are not sufficient and recent. I suggest some references as follows</w:t>
            </w:r>
          </w:p>
          <w:p w:rsidR="001A1196" w:rsidRDefault="00A64B78">
            <w:pPr>
              <w:numPr>
                <w:ilvl w:val="0"/>
                <w:numId w:val="1"/>
              </w:numPr>
              <w:rPr>
                <w:sz w:val="20"/>
                <w:szCs w:val="20"/>
              </w:rPr>
            </w:pPr>
            <w:hyperlink r:id="rId8">
              <w:r>
                <w:rPr>
                  <w:b/>
                  <w:sz w:val="20"/>
                  <w:szCs w:val="20"/>
                </w:rPr>
                <w:t>Vishwakarma</w:t>
              </w:r>
            </w:hyperlink>
            <w:r>
              <w:rPr>
                <w:b/>
                <w:sz w:val="20"/>
                <w:szCs w:val="20"/>
              </w:rPr>
              <w:t> P, </w:t>
            </w:r>
            <w:hyperlink r:id="rId9">
              <w:r>
                <w:rPr>
                  <w:b/>
                  <w:sz w:val="20"/>
                  <w:szCs w:val="20"/>
                </w:rPr>
                <w:t>Mohanty</w:t>
              </w:r>
            </w:hyperlink>
            <w:r>
              <w:rPr>
                <w:b/>
                <w:sz w:val="20"/>
                <w:szCs w:val="20"/>
              </w:rPr>
              <w:t> A, </w:t>
            </w:r>
            <w:hyperlink r:id="rId10">
              <w:r>
                <w:rPr>
                  <w:b/>
                  <w:sz w:val="20"/>
                  <w:szCs w:val="20"/>
                </w:rPr>
                <w:t>Kaur</w:t>
              </w:r>
            </w:hyperlink>
            <w:r>
              <w:rPr>
                <w:b/>
                <w:sz w:val="20"/>
                <w:szCs w:val="20"/>
              </w:rPr>
              <w:t> A, </w:t>
            </w:r>
            <w:hyperlink r:id="rId11">
              <w:r>
                <w:rPr>
                  <w:b/>
                  <w:sz w:val="20"/>
                  <w:szCs w:val="20"/>
                </w:rPr>
                <w:t>Das</w:t>
              </w:r>
            </w:hyperlink>
            <w:r>
              <w:rPr>
                <w:b/>
                <w:sz w:val="20"/>
                <w:szCs w:val="20"/>
              </w:rPr>
              <w:t> S, </w:t>
            </w:r>
            <w:hyperlink r:id="rId12">
              <w:r>
                <w:rPr>
                  <w:b/>
                  <w:sz w:val="20"/>
                  <w:szCs w:val="20"/>
                </w:rPr>
                <w:t>Priyadarshini</w:t>
              </w:r>
            </w:hyperlink>
            <w:r>
              <w:rPr>
                <w:b/>
                <w:sz w:val="20"/>
                <w:szCs w:val="20"/>
              </w:rPr>
              <w:t> SR, </w:t>
            </w:r>
            <w:hyperlink r:id="rId13">
              <w:r>
                <w:rPr>
                  <w:b/>
                  <w:sz w:val="20"/>
                  <w:szCs w:val="20"/>
                </w:rPr>
                <w:t>Mitra</w:t>
              </w:r>
            </w:hyperlink>
            <w:r>
              <w:rPr>
                <w:b/>
                <w:sz w:val="20"/>
                <w:szCs w:val="20"/>
              </w:rPr>
              <w:t> S, </w:t>
            </w:r>
            <w:hyperlink r:id="rId14">
              <w:r>
                <w:rPr>
                  <w:b/>
                  <w:sz w:val="20"/>
                  <w:szCs w:val="20"/>
                </w:rPr>
                <w:t>Mittal</w:t>
              </w:r>
            </w:hyperlink>
            <w:r>
              <w:rPr>
                <w:b/>
                <w:sz w:val="20"/>
                <w:szCs w:val="20"/>
              </w:rPr>
              <w:t> R, </w:t>
            </w:r>
            <w:hyperlink r:id="rId15">
              <w:r>
                <w:rPr>
                  <w:b/>
                  <w:sz w:val="20"/>
                  <w:szCs w:val="20"/>
                </w:rPr>
                <w:t>Sahu</w:t>
              </w:r>
            </w:hyperlink>
            <w:r>
              <w:rPr>
                <w:b/>
                <w:sz w:val="20"/>
                <w:szCs w:val="20"/>
              </w:rPr>
              <w:t xml:space="preserve"> SK. </w:t>
            </w:r>
            <w:r>
              <w:rPr>
                <w:b/>
                <w:i/>
                <w:sz w:val="20"/>
                <w:szCs w:val="20"/>
              </w:rPr>
              <w:t>Pythium</w:t>
            </w:r>
            <w:r>
              <w:rPr>
                <w:b/>
                <w:sz w:val="20"/>
                <w:szCs w:val="20"/>
              </w:rPr>
              <w:t> keratitis: Clinical</w:t>
            </w:r>
            <w:r>
              <w:rPr>
                <w:b/>
                <w:sz w:val="20"/>
                <w:szCs w:val="20"/>
              </w:rPr>
              <w:t xml:space="preserve"> profile, laboratory diagnosis, treatment, and histopathology features post-treatment at a tertiary eye care </w:t>
            </w:r>
            <w:proofErr w:type="spellStart"/>
            <w:r>
              <w:rPr>
                <w:b/>
                <w:sz w:val="20"/>
                <w:szCs w:val="20"/>
              </w:rPr>
              <w:t>center</w:t>
            </w:r>
            <w:proofErr w:type="spellEnd"/>
            <w:r>
              <w:rPr>
                <w:b/>
                <w:sz w:val="20"/>
                <w:szCs w:val="20"/>
              </w:rPr>
              <w:t xml:space="preserve"> in Eastern India. Indian J </w:t>
            </w:r>
            <w:proofErr w:type="spellStart"/>
            <w:r>
              <w:rPr>
                <w:b/>
                <w:sz w:val="20"/>
                <w:szCs w:val="20"/>
              </w:rPr>
              <w:t>Ophthalmol</w:t>
            </w:r>
            <w:proofErr w:type="spellEnd"/>
            <w:r>
              <w:rPr>
                <w:b/>
                <w:sz w:val="20"/>
                <w:szCs w:val="20"/>
              </w:rPr>
              <w:t>. 2021 May 21;69(6):1544–1552.</w:t>
            </w:r>
          </w:p>
          <w:p w:rsidR="001A1196" w:rsidRDefault="00A64B78">
            <w:pPr>
              <w:numPr>
                <w:ilvl w:val="0"/>
                <w:numId w:val="1"/>
              </w:numPr>
              <w:rPr>
                <w:sz w:val="20"/>
                <w:szCs w:val="20"/>
              </w:rPr>
            </w:pPr>
            <w:hyperlink r:id="rId16">
              <w:r>
                <w:rPr>
                  <w:b/>
                  <w:sz w:val="20"/>
                  <w:szCs w:val="20"/>
                </w:rPr>
                <w:t>Kate</w:t>
              </w:r>
            </w:hyperlink>
            <w:r>
              <w:rPr>
                <w:b/>
                <w:sz w:val="20"/>
                <w:szCs w:val="20"/>
              </w:rPr>
              <w:t> A, </w:t>
            </w:r>
            <w:hyperlink r:id="rId17">
              <w:r>
                <w:rPr>
                  <w:b/>
                  <w:sz w:val="20"/>
                  <w:szCs w:val="20"/>
                </w:rPr>
                <w:t>Thigale</w:t>
              </w:r>
            </w:hyperlink>
            <w:r>
              <w:rPr>
                <w:b/>
                <w:sz w:val="20"/>
                <w:szCs w:val="20"/>
              </w:rPr>
              <w:t> U, </w:t>
            </w:r>
            <w:hyperlink r:id="rId18">
              <w:r>
                <w:rPr>
                  <w:b/>
                  <w:sz w:val="20"/>
                  <w:szCs w:val="20"/>
                </w:rPr>
                <w:t>Ponnapati</w:t>
              </w:r>
            </w:hyperlink>
            <w:r>
              <w:rPr>
                <w:b/>
                <w:sz w:val="20"/>
                <w:szCs w:val="20"/>
              </w:rPr>
              <w:t> LP, </w:t>
            </w:r>
            <w:hyperlink r:id="rId19">
              <w:r>
                <w:rPr>
                  <w:b/>
                  <w:sz w:val="20"/>
                  <w:szCs w:val="20"/>
                </w:rPr>
                <w:t>Chaudhary</w:t>
              </w:r>
            </w:hyperlink>
            <w:r>
              <w:rPr>
                <w:b/>
                <w:sz w:val="20"/>
                <w:szCs w:val="20"/>
              </w:rPr>
              <w:t> S, </w:t>
            </w:r>
            <w:hyperlink r:id="rId20">
              <w:r>
                <w:rPr>
                  <w:b/>
                  <w:sz w:val="20"/>
                  <w:szCs w:val="20"/>
                </w:rPr>
                <w:t>Vishwakarma</w:t>
              </w:r>
            </w:hyperlink>
            <w:r>
              <w:rPr>
                <w:b/>
                <w:sz w:val="20"/>
                <w:szCs w:val="20"/>
              </w:rPr>
              <w:t> P, </w:t>
            </w:r>
            <w:hyperlink r:id="rId21">
              <w:r>
                <w:rPr>
                  <w:b/>
                  <w:sz w:val="20"/>
                  <w:szCs w:val="20"/>
                </w:rPr>
                <w:t>Sharma</w:t>
              </w:r>
            </w:hyperlink>
            <w:r>
              <w:rPr>
                <w:b/>
                <w:sz w:val="20"/>
                <w:szCs w:val="20"/>
              </w:rPr>
              <w:t> S, </w:t>
            </w:r>
            <w:hyperlink r:id="rId22">
              <w:r>
                <w:rPr>
                  <w:b/>
                  <w:sz w:val="20"/>
                  <w:szCs w:val="20"/>
                </w:rPr>
                <w:t>Bagga</w:t>
              </w:r>
            </w:hyperlink>
            <w:r>
              <w:rPr>
                <w:b/>
                <w:sz w:val="20"/>
                <w:szCs w:val="20"/>
              </w:rPr>
              <w:t> </w:t>
            </w:r>
            <w:hyperlink r:id="rId23" w:anchor="full-view-affiliation-4">
              <w:r>
                <w:rPr>
                  <w:b/>
                  <w:sz w:val="20"/>
                  <w:szCs w:val="20"/>
                </w:rPr>
                <w:t>B</w:t>
              </w:r>
            </w:hyperlink>
            <w:r>
              <w:rPr>
                <w:b/>
                <w:sz w:val="20"/>
                <w:szCs w:val="20"/>
              </w:rPr>
              <w:t xml:space="preserve"> . Outcomes of therapeutic penetrating keratoplasty in Pythium </w:t>
            </w:r>
            <w:proofErr w:type="spellStart"/>
            <w:r>
              <w:rPr>
                <w:b/>
                <w:sz w:val="20"/>
                <w:szCs w:val="20"/>
              </w:rPr>
              <w:t>insidiosum</w:t>
            </w:r>
            <w:proofErr w:type="spellEnd"/>
            <w:r>
              <w:rPr>
                <w:b/>
                <w:sz w:val="20"/>
                <w:szCs w:val="20"/>
              </w:rPr>
              <w:t xml:space="preserve"> keratitis managed with a combination of antibiotics. Indian J </w:t>
            </w:r>
            <w:proofErr w:type="spellStart"/>
            <w:r>
              <w:rPr>
                <w:b/>
                <w:sz w:val="20"/>
                <w:szCs w:val="20"/>
              </w:rPr>
              <w:t>Ophthalmol</w:t>
            </w:r>
            <w:proofErr w:type="spellEnd"/>
            <w:r>
              <w:rPr>
                <w:b/>
                <w:sz w:val="20"/>
                <w:szCs w:val="20"/>
              </w:rPr>
              <w:t>. 2023 May;71(5):1868-1874.</w:t>
            </w:r>
          </w:p>
          <w:p w:rsidR="001A1196" w:rsidRDefault="00A64B78">
            <w:pPr>
              <w:rPr>
                <w:sz w:val="20"/>
                <w:szCs w:val="20"/>
              </w:rPr>
            </w:pPr>
            <w:r>
              <w:rPr>
                <w:b/>
                <w:sz w:val="20"/>
                <w:szCs w:val="20"/>
              </w:rPr>
              <w:t xml:space="preserve">These references help the manuscript author write more deeply </w:t>
            </w:r>
            <w:r>
              <w:rPr>
                <w:b/>
                <w:sz w:val="20"/>
                <w:szCs w:val="20"/>
              </w:rPr>
              <w:t>in the discussion section</w:t>
            </w:r>
          </w:p>
        </w:tc>
        <w:tc>
          <w:tcPr>
            <w:tcW w:w="6442" w:type="dxa"/>
          </w:tcPr>
          <w:p w:rsidR="001A1196" w:rsidRDefault="00A64B78">
            <w:pPr>
              <w:pStyle w:val="Heading2"/>
              <w:jc w:val="left"/>
              <w:rPr>
                <w:rFonts w:ascii="Times New Roman" w:eastAsia="Times New Roman" w:hAnsi="Times New Roman" w:cs="Times New Roman"/>
                <w:b w:val="0"/>
              </w:rPr>
            </w:pPr>
            <w:r>
              <w:rPr>
                <w:rFonts w:ascii="Times New Roman" w:eastAsia="Times New Roman" w:hAnsi="Times New Roman" w:cs="Times New Roman"/>
                <w:b w:val="0"/>
              </w:rPr>
              <w:t>Will make the changes</w:t>
            </w:r>
          </w:p>
        </w:tc>
      </w:tr>
      <w:tr w:rsidR="001A1196" w:rsidTr="00076C24">
        <w:trPr>
          <w:trHeight w:val="386"/>
        </w:trPr>
        <w:tc>
          <w:tcPr>
            <w:tcW w:w="5243" w:type="dxa"/>
          </w:tcPr>
          <w:p w:rsidR="001A1196" w:rsidRDefault="00A64B78">
            <w:pPr>
              <w:pStyle w:val="Heading2"/>
              <w:ind w:left="360"/>
              <w:jc w:val="left"/>
              <w:rPr>
                <w:rFonts w:ascii="Times New Roman" w:eastAsia="Times New Roman" w:hAnsi="Times New Roman" w:cs="Times New Roman"/>
              </w:rPr>
            </w:pPr>
            <w:r>
              <w:rPr>
                <w:rFonts w:ascii="Times New Roman" w:eastAsia="Times New Roman" w:hAnsi="Times New Roman" w:cs="Times New Roman"/>
              </w:rPr>
              <w:t>Is the language/English quality of the article suitable for scholarly communications?</w:t>
            </w:r>
          </w:p>
          <w:p w:rsidR="001A1196" w:rsidRDefault="001A1196">
            <w:pPr>
              <w:rPr>
                <w:sz w:val="20"/>
                <w:szCs w:val="20"/>
              </w:rPr>
            </w:pPr>
          </w:p>
        </w:tc>
        <w:tc>
          <w:tcPr>
            <w:tcW w:w="9357" w:type="dxa"/>
          </w:tcPr>
          <w:p w:rsidR="001A1196" w:rsidRDefault="00A64B78">
            <w:pPr>
              <w:rPr>
                <w:sz w:val="20"/>
                <w:szCs w:val="20"/>
              </w:rPr>
            </w:pPr>
            <w:r>
              <w:rPr>
                <w:b/>
                <w:sz w:val="20"/>
                <w:szCs w:val="20"/>
              </w:rPr>
              <w:t>English quality of the article is suitable for scholarly communications</w:t>
            </w:r>
          </w:p>
        </w:tc>
        <w:tc>
          <w:tcPr>
            <w:tcW w:w="6442" w:type="dxa"/>
          </w:tcPr>
          <w:p w:rsidR="001A1196" w:rsidRDefault="00A64B78">
            <w:pPr>
              <w:rPr>
                <w:sz w:val="20"/>
                <w:szCs w:val="20"/>
              </w:rPr>
            </w:pPr>
            <w:r>
              <w:rPr>
                <w:sz w:val="20"/>
                <w:szCs w:val="20"/>
              </w:rPr>
              <w:t>Yes</w:t>
            </w:r>
          </w:p>
        </w:tc>
      </w:tr>
      <w:tr w:rsidR="001A1196" w:rsidTr="00076C24">
        <w:trPr>
          <w:trHeight w:val="1178"/>
        </w:trPr>
        <w:tc>
          <w:tcPr>
            <w:tcW w:w="5243" w:type="dxa"/>
          </w:tcPr>
          <w:p w:rsidR="001A1196" w:rsidRDefault="00A64B78">
            <w:pPr>
              <w:pStyle w:val="Heading2"/>
              <w:jc w:val="left"/>
              <w:rPr>
                <w:rFonts w:ascii="Times New Roman" w:eastAsia="Times New Roman" w:hAnsi="Times New Roman" w:cs="Times New Roman"/>
                <w:b w:val="0"/>
              </w:rPr>
            </w:pPr>
            <w:r>
              <w:rPr>
                <w:rFonts w:ascii="Times New Roman" w:eastAsia="Times New Roman" w:hAnsi="Times New Roman" w:cs="Times New Roman"/>
                <w:u w:val="single"/>
              </w:rPr>
              <w:t>Optional/General</w:t>
            </w:r>
            <w:r>
              <w:rPr>
                <w:rFonts w:ascii="Times New Roman" w:eastAsia="Times New Roman" w:hAnsi="Times New Roman" w:cs="Times New Roman"/>
              </w:rPr>
              <w:t xml:space="preserve"> </w:t>
            </w:r>
            <w:r>
              <w:rPr>
                <w:rFonts w:ascii="Times New Roman" w:eastAsia="Times New Roman" w:hAnsi="Times New Roman" w:cs="Times New Roman"/>
                <w:b w:val="0"/>
              </w:rPr>
              <w:t>comments</w:t>
            </w:r>
          </w:p>
          <w:p w:rsidR="001A1196" w:rsidRDefault="001A1196">
            <w:pPr>
              <w:pStyle w:val="Heading2"/>
              <w:jc w:val="left"/>
              <w:rPr>
                <w:rFonts w:ascii="Times New Roman" w:eastAsia="Times New Roman" w:hAnsi="Times New Roman" w:cs="Times New Roman"/>
                <w:b w:val="0"/>
              </w:rPr>
            </w:pPr>
          </w:p>
        </w:tc>
        <w:tc>
          <w:tcPr>
            <w:tcW w:w="9357" w:type="dxa"/>
          </w:tcPr>
          <w:p w:rsidR="001A1196" w:rsidRDefault="00A64B78">
            <w:pPr>
              <w:pBdr>
                <w:top w:val="nil"/>
                <w:left w:val="nil"/>
                <w:bottom w:val="nil"/>
                <w:right w:val="nil"/>
                <w:between w:val="nil"/>
              </w:pBdr>
              <w:rPr>
                <w:color w:val="000000"/>
                <w:sz w:val="20"/>
                <w:szCs w:val="20"/>
              </w:rPr>
            </w:pPr>
            <w:r>
              <w:rPr>
                <w:b/>
                <w:color w:val="000000"/>
                <w:sz w:val="20"/>
                <w:szCs w:val="20"/>
              </w:rPr>
              <w:t>The article can be published after the author has made additions as requested</w:t>
            </w:r>
          </w:p>
        </w:tc>
        <w:tc>
          <w:tcPr>
            <w:tcW w:w="6442" w:type="dxa"/>
          </w:tcPr>
          <w:p w:rsidR="001A1196" w:rsidRDefault="00A64B78">
            <w:pPr>
              <w:rPr>
                <w:sz w:val="20"/>
                <w:szCs w:val="20"/>
              </w:rPr>
            </w:pPr>
            <w:r>
              <w:rPr>
                <w:sz w:val="20"/>
                <w:szCs w:val="20"/>
              </w:rPr>
              <w:t>Yes</w:t>
            </w:r>
          </w:p>
        </w:tc>
      </w:tr>
    </w:tbl>
    <w:p w:rsidR="001A1196" w:rsidRDefault="001A1196">
      <w:pPr>
        <w:pBdr>
          <w:top w:val="nil"/>
          <w:left w:val="nil"/>
          <w:bottom w:val="nil"/>
          <w:right w:val="nil"/>
          <w:between w:val="nil"/>
        </w:pBdr>
        <w:jc w:val="both"/>
        <w:rPr>
          <w:color w:val="000000"/>
          <w:sz w:val="20"/>
          <w:szCs w:val="20"/>
          <w:u w:val="single"/>
        </w:rPr>
      </w:pPr>
    </w:p>
    <w:p w:rsidR="001A1196" w:rsidRDefault="001A1196">
      <w:pPr>
        <w:pBdr>
          <w:top w:val="nil"/>
          <w:left w:val="nil"/>
          <w:bottom w:val="nil"/>
          <w:right w:val="nil"/>
          <w:between w:val="nil"/>
        </w:pBdr>
        <w:jc w:val="both"/>
        <w:rPr>
          <w:color w:val="000000"/>
          <w:sz w:val="20"/>
          <w:szCs w:val="20"/>
          <w:u w:val="single"/>
        </w:rPr>
      </w:pPr>
    </w:p>
    <w:p w:rsidR="001A1196" w:rsidRDefault="001A1196">
      <w:pPr>
        <w:pBdr>
          <w:top w:val="nil"/>
          <w:left w:val="nil"/>
          <w:bottom w:val="nil"/>
          <w:right w:val="nil"/>
          <w:between w:val="nil"/>
        </w:pBdr>
        <w:jc w:val="both"/>
        <w:rPr>
          <w:color w:val="000000"/>
          <w:sz w:val="20"/>
          <w:szCs w:val="20"/>
          <w:u w:val="single"/>
        </w:rPr>
      </w:pPr>
    </w:p>
    <w:p w:rsidR="001A1196" w:rsidRDefault="001A1196">
      <w:pPr>
        <w:pBdr>
          <w:top w:val="nil"/>
          <w:left w:val="nil"/>
          <w:bottom w:val="nil"/>
          <w:right w:val="nil"/>
          <w:between w:val="nil"/>
        </w:pBdr>
        <w:jc w:val="both"/>
        <w:rPr>
          <w:color w:val="000000"/>
          <w:sz w:val="20"/>
          <w:szCs w:val="20"/>
          <w:u w:val="single"/>
        </w:rPr>
      </w:pPr>
    </w:p>
    <w:p w:rsidR="001A1196" w:rsidRDefault="001A1196">
      <w:pPr>
        <w:pBdr>
          <w:top w:val="nil"/>
          <w:left w:val="nil"/>
          <w:bottom w:val="nil"/>
          <w:right w:val="nil"/>
          <w:between w:val="nil"/>
        </w:pBdr>
        <w:jc w:val="both"/>
        <w:rPr>
          <w:color w:val="000000"/>
          <w:sz w:val="20"/>
          <w:szCs w:val="20"/>
          <w:u w:val="single"/>
        </w:rPr>
      </w:pPr>
    </w:p>
    <w:p w:rsidR="001A1196" w:rsidRDefault="001A1196">
      <w:pPr>
        <w:pBdr>
          <w:top w:val="nil"/>
          <w:left w:val="nil"/>
          <w:bottom w:val="nil"/>
          <w:right w:val="nil"/>
          <w:between w:val="nil"/>
        </w:pBdr>
        <w:jc w:val="both"/>
        <w:rPr>
          <w:color w:val="000000"/>
          <w:sz w:val="20"/>
          <w:szCs w:val="20"/>
          <w:u w:val="single"/>
        </w:rPr>
      </w:pPr>
      <w:bookmarkStart w:id="2" w:name="_GoBack"/>
      <w:bookmarkEnd w:id="2"/>
    </w:p>
    <w:tbl>
      <w:tblPr>
        <w:tblStyle w:val="a1"/>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31"/>
        <w:gridCol w:w="8642"/>
        <w:gridCol w:w="5677"/>
      </w:tblGrid>
      <w:tr w:rsidR="001A1196">
        <w:trPr>
          <w:trHeight w:val="237"/>
        </w:trPr>
        <w:tc>
          <w:tcPr>
            <w:tcW w:w="21150" w:type="dxa"/>
            <w:gridSpan w:val="3"/>
            <w:tcBorders>
              <w:top w:val="nil"/>
              <w:left w:val="nil"/>
              <w:right w:val="nil"/>
            </w:tcBorders>
            <w:tcMar>
              <w:top w:w="0" w:type="dxa"/>
              <w:left w:w="108" w:type="dxa"/>
              <w:bottom w:w="0" w:type="dxa"/>
              <w:right w:w="108" w:type="dxa"/>
            </w:tcMar>
            <w:vAlign w:val="center"/>
          </w:tcPr>
          <w:p w:rsidR="001A1196" w:rsidRDefault="00A64B78">
            <w:pPr>
              <w:pBdr>
                <w:top w:val="nil"/>
                <w:left w:val="nil"/>
                <w:bottom w:val="nil"/>
                <w:right w:val="nil"/>
                <w:between w:val="nil"/>
              </w:pBdr>
              <w:rPr>
                <w:color w:val="000000"/>
                <w:sz w:val="20"/>
                <w:szCs w:val="20"/>
                <w:u w:val="single"/>
              </w:rPr>
            </w:pPr>
            <w:r>
              <w:rPr>
                <w:b/>
                <w:color w:val="000000"/>
                <w:sz w:val="20"/>
                <w:szCs w:val="20"/>
                <w:highlight w:val="yellow"/>
                <w:u w:val="single"/>
              </w:rPr>
              <w:t>PART  2:</w:t>
            </w:r>
            <w:r>
              <w:rPr>
                <w:b/>
                <w:color w:val="000000"/>
                <w:sz w:val="20"/>
                <w:szCs w:val="20"/>
                <w:u w:val="single"/>
              </w:rPr>
              <w:t xml:space="preserve"> </w:t>
            </w:r>
          </w:p>
          <w:p w:rsidR="001A1196" w:rsidRDefault="001A1196">
            <w:pPr>
              <w:pBdr>
                <w:top w:val="nil"/>
                <w:left w:val="nil"/>
                <w:bottom w:val="nil"/>
                <w:right w:val="nil"/>
                <w:between w:val="nil"/>
              </w:pBdr>
              <w:rPr>
                <w:color w:val="000000"/>
                <w:sz w:val="20"/>
                <w:szCs w:val="20"/>
                <w:u w:val="single"/>
              </w:rPr>
            </w:pPr>
          </w:p>
        </w:tc>
      </w:tr>
      <w:tr w:rsidR="001A1196">
        <w:trPr>
          <w:trHeight w:val="935"/>
        </w:trPr>
        <w:tc>
          <w:tcPr>
            <w:tcW w:w="6831" w:type="dxa"/>
            <w:tcMar>
              <w:top w:w="0" w:type="dxa"/>
              <w:left w:w="108" w:type="dxa"/>
              <w:bottom w:w="0" w:type="dxa"/>
              <w:right w:w="108" w:type="dxa"/>
            </w:tcMar>
            <w:vAlign w:val="center"/>
          </w:tcPr>
          <w:p w:rsidR="001A1196" w:rsidRDefault="001A1196">
            <w:pPr>
              <w:pBdr>
                <w:top w:val="nil"/>
                <w:left w:val="nil"/>
                <w:bottom w:val="nil"/>
                <w:right w:val="nil"/>
                <w:between w:val="nil"/>
              </w:pBdr>
              <w:rPr>
                <w:color w:val="000000"/>
                <w:sz w:val="20"/>
                <w:szCs w:val="20"/>
              </w:rPr>
            </w:pPr>
          </w:p>
        </w:tc>
        <w:tc>
          <w:tcPr>
            <w:tcW w:w="8642" w:type="dxa"/>
            <w:tcMar>
              <w:top w:w="0" w:type="dxa"/>
              <w:left w:w="108" w:type="dxa"/>
              <w:bottom w:w="0" w:type="dxa"/>
              <w:right w:w="108" w:type="dxa"/>
            </w:tcMar>
          </w:tcPr>
          <w:p w:rsidR="001A1196" w:rsidRDefault="00A64B78">
            <w:pPr>
              <w:pStyle w:val="Heading2"/>
              <w:jc w:val="left"/>
              <w:rPr>
                <w:rFonts w:ascii="Times New Roman" w:eastAsia="Times New Roman" w:hAnsi="Times New Roman" w:cs="Times New Roman"/>
              </w:rPr>
            </w:pPr>
            <w:r>
              <w:rPr>
                <w:rFonts w:ascii="Times New Roman" w:eastAsia="Times New Roman" w:hAnsi="Times New Roman" w:cs="Times New Roman"/>
              </w:rPr>
              <w:t>Reviewer’s comment</w:t>
            </w:r>
          </w:p>
        </w:tc>
        <w:tc>
          <w:tcPr>
            <w:tcW w:w="5677" w:type="dxa"/>
          </w:tcPr>
          <w:p w:rsidR="001A1196" w:rsidRDefault="00A64B78">
            <w:pPr>
              <w:spacing w:after="160" w:line="254" w:lineRule="auto"/>
              <w:rPr>
                <w:sz w:val="20"/>
                <w:szCs w:val="20"/>
              </w:rPr>
            </w:pPr>
            <w:r>
              <w:rPr>
                <w:b/>
                <w:sz w:val="20"/>
                <w:szCs w:val="20"/>
              </w:rPr>
              <w:t>Author’s Feedback</w:t>
            </w:r>
            <w:r>
              <w:rPr>
                <w:sz w:val="20"/>
                <w:szCs w:val="20"/>
              </w:rPr>
              <w:t xml:space="preserve"> (It is mandatory that authors should write his/her feedback here)</w:t>
            </w:r>
          </w:p>
          <w:p w:rsidR="001A1196" w:rsidRDefault="001A1196">
            <w:pPr>
              <w:pStyle w:val="Heading2"/>
              <w:jc w:val="left"/>
              <w:rPr>
                <w:rFonts w:ascii="Times New Roman" w:eastAsia="Times New Roman" w:hAnsi="Times New Roman" w:cs="Times New Roman"/>
                <w:b w:val="0"/>
              </w:rPr>
            </w:pPr>
          </w:p>
        </w:tc>
      </w:tr>
      <w:tr w:rsidR="001A1196">
        <w:trPr>
          <w:trHeight w:val="697"/>
        </w:trPr>
        <w:tc>
          <w:tcPr>
            <w:tcW w:w="6831" w:type="dxa"/>
            <w:tcMar>
              <w:top w:w="0" w:type="dxa"/>
              <w:left w:w="108" w:type="dxa"/>
              <w:bottom w:w="0" w:type="dxa"/>
              <w:right w:w="108" w:type="dxa"/>
            </w:tcMar>
            <w:vAlign w:val="center"/>
          </w:tcPr>
          <w:p w:rsidR="001A1196" w:rsidRDefault="00A64B78">
            <w:pPr>
              <w:pBdr>
                <w:top w:val="nil"/>
                <w:left w:val="nil"/>
                <w:bottom w:val="nil"/>
                <w:right w:val="nil"/>
                <w:between w:val="nil"/>
              </w:pBdr>
              <w:rPr>
                <w:color w:val="000000"/>
                <w:sz w:val="20"/>
                <w:szCs w:val="20"/>
              </w:rPr>
            </w:pPr>
            <w:r>
              <w:rPr>
                <w:b/>
                <w:color w:val="000000"/>
                <w:sz w:val="20"/>
                <w:szCs w:val="20"/>
              </w:rPr>
              <w:t xml:space="preserve">Are there ethical issues in this manuscript? </w:t>
            </w:r>
          </w:p>
          <w:p w:rsidR="001A1196" w:rsidRDefault="001A1196">
            <w:pPr>
              <w:pBdr>
                <w:top w:val="nil"/>
                <w:left w:val="nil"/>
                <w:bottom w:val="nil"/>
                <w:right w:val="nil"/>
                <w:between w:val="nil"/>
              </w:pBdr>
              <w:rPr>
                <w:color w:val="000000"/>
                <w:sz w:val="20"/>
                <w:szCs w:val="20"/>
              </w:rPr>
            </w:pPr>
          </w:p>
        </w:tc>
        <w:tc>
          <w:tcPr>
            <w:tcW w:w="8642" w:type="dxa"/>
            <w:tcMar>
              <w:top w:w="0" w:type="dxa"/>
              <w:left w:w="108" w:type="dxa"/>
              <w:bottom w:w="0" w:type="dxa"/>
              <w:right w:w="108" w:type="dxa"/>
            </w:tcMar>
            <w:vAlign w:val="center"/>
          </w:tcPr>
          <w:p w:rsidR="001A1196" w:rsidRDefault="00A64B78">
            <w:pPr>
              <w:pBdr>
                <w:top w:val="nil"/>
                <w:left w:val="nil"/>
                <w:bottom w:val="nil"/>
                <w:right w:val="nil"/>
                <w:between w:val="nil"/>
              </w:pBdr>
              <w:rPr>
                <w:color w:val="000000"/>
                <w:sz w:val="20"/>
                <w:szCs w:val="20"/>
                <w:u w:val="single"/>
              </w:rPr>
            </w:pPr>
            <w:r>
              <w:rPr>
                <w:i/>
                <w:color w:val="000000"/>
                <w:sz w:val="20"/>
                <w:szCs w:val="20"/>
                <w:u w:val="single"/>
              </w:rPr>
              <w:t xml:space="preserve">(If yes, </w:t>
            </w:r>
            <w:proofErr w:type="gramStart"/>
            <w:r>
              <w:rPr>
                <w:i/>
                <w:color w:val="000000"/>
                <w:sz w:val="20"/>
                <w:szCs w:val="20"/>
                <w:u w:val="single"/>
              </w:rPr>
              <w:t>Kindly</w:t>
            </w:r>
            <w:proofErr w:type="gramEnd"/>
            <w:r>
              <w:rPr>
                <w:i/>
                <w:color w:val="000000"/>
                <w:sz w:val="20"/>
                <w:szCs w:val="20"/>
                <w:u w:val="single"/>
              </w:rPr>
              <w:t xml:space="preserve"> please write down the ethical issues here in detail)</w:t>
            </w:r>
          </w:p>
          <w:p w:rsidR="001A1196" w:rsidRDefault="001A1196">
            <w:pPr>
              <w:pBdr>
                <w:top w:val="nil"/>
                <w:left w:val="nil"/>
                <w:bottom w:val="nil"/>
                <w:right w:val="nil"/>
                <w:between w:val="nil"/>
              </w:pBdr>
              <w:rPr>
                <w:color w:val="000000"/>
                <w:sz w:val="20"/>
                <w:szCs w:val="20"/>
              </w:rPr>
            </w:pPr>
          </w:p>
          <w:p w:rsidR="001A1196" w:rsidRDefault="00A64B78">
            <w:pPr>
              <w:pBdr>
                <w:top w:val="nil"/>
                <w:left w:val="nil"/>
                <w:bottom w:val="nil"/>
                <w:right w:val="nil"/>
                <w:between w:val="nil"/>
              </w:pBdr>
              <w:rPr>
                <w:color w:val="000000"/>
                <w:sz w:val="20"/>
                <w:szCs w:val="20"/>
              </w:rPr>
            </w:pPr>
            <w:r>
              <w:rPr>
                <w:color w:val="000000"/>
                <w:sz w:val="20"/>
                <w:szCs w:val="20"/>
              </w:rPr>
              <w:t>No</w:t>
            </w:r>
          </w:p>
        </w:tc>
        <w:tc>
          <w:tcPr>
            <w:tcW w:w="5677" w:type="dxa"/>
            <w:vAlign w:val="center"/>
          </w:tcPr>
          <w:p w:rsidR="001A1196" w:rsidRDefault="001A1196">
            <w:pPr>
              <w:rPr>
                <w:sz w:val="20"/>
                <w:szCs w:val="20"/>
              </w:rPr>
            </w:pPr>
          </w:p>
          <w:p w:rsidR="001A1196" w:rsidRDefault="001A1196">
            <w:pPr>
              <w:rPr>
                <w:sz w:val="20"/>
                <w:szCs w:val="20"/>
              </w:rPr>
            </w:pPr>
          </w:p>
          <w:p w:rsidR="001A1196" w:rsidRDefault="00A64B78">
            <w:pPr>
              <w:rPr>
                <w:sz w:val="20"/>
                <w:szCs w:val="20"/>
              </w:rPr>
            </w:pPr>
            <w:r>
              <w:rPr>
                <w:sz w:val="20"/>
                <w:szCs w:val="20"/>
              </w:rPr>
              <w:t>No</w:t>
            </w:r>
          </w:p>
          <w:p w:rsidR="001A1196" w:rsidRDefault="001A1196">
            <w:pPr>
              <w:pBdr>
                <w:top w:val="nil"/>
                <w:left w:val="nil"/>
                <w:bottom w:val="nil"/>
                <w:right w:val="nil"/>
                <w:between w:val="nil"/>
              </w:pBdr>
              <w:rPr>
                <w:color w:val="000000"/>
                <w:sz w:val="20"/>
                <w:szCs w:val="20"/>
              </w:rPr>
            </w:pPr>
          </w:p>
        </w:tc>
      </w:tr>
    </w:tbl>
    <w:p w:rsidR="001A1196" w:rsidRDefault="001A1196">
      <w:pPr>
        <w:pBdr>
          <w:top w:val="nil"/>
          <w:left w:val="nil"/>
          <w:bottom w:val="nil"/>
          <w:right w:val="nil"/>
          <w:between w:val="nil"/>
        </w:pBdr>
        <w:jc w:val="both"/>
        <w:rPr>
          <w:rFonts w:ascii="Arial" w:eastAsia="Arial" w:hAnsi="Arial" w:cs="Arial"/>
          <w:color w:val="000000"/>
          <w:sz w:val="20"/>
          <w:szCs w:val="20"/>
        </w:rPr>
      </w:pPr>
    </w:p>
    <w:sectPr w:rsidR="001A1196">
      <w:headerReference w:type="default" r:id="rId24"/>
      <w:footerReference w:type="default" r:id="rId25"/>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64B78" w:rsidRDefault="00A64B78">
      <w:r>
        <w:separator/>
      </w:r>
    </w:p>
  </w:endnote>
  <w:endnote w:type="continuationSeparator" w:id="0">
    <w:p w:rsidR="00A64B78" w:rsidRDefault="00A64B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Neue">
    <w:altName w:val="Arial"/>
    <w:charset w:val="00"/>
    <w:family w:val="auto"/>
    <w:pitch w:val="default"/>
  </w:font>
  <w:font w:name="Arimo">
    <w:charset w:val="00"/>
    <w:family w:val="auto"/>
    <w:pitch w:val="default"/>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1196" w:rsidRDefault="00A64B78">
    <w:pPr>
      <w:pBdr>
        <w:top w:val="nil"/>
        <w:left w:val="nil"/>
        <w:bottom w:val="nil"/>
        <w:right w:val="nil"/>
        <w:between w:val="nil"/>
      </w:pBdr>
      <w:rPr>
        <w:color w:val="000000"/>
        <w:sz w:val="16"/>
        <w:szCs w:val="16"/>
      </w:rPr>
    </w:pPr>
    <w:r>
      <w:rPr>
        <w:color w:val="000000"/>
        <w:sz w:val="16"/>
        <w:szCs w:val="16"/>
      </w:rPr>
      <w:t>Created by: DR</w:t>
    </w:r>
    <w:r>
      <w:rPr>
        <w:color w:val="000000"/>
        <w:sz w:val="16"/>
        <w:szCs w:val="16"/>
      </w:rPr>
      <w:tab/>
    </w:r>
    <w:r>
      <w:rPr>
        <w:color w:val="000000"/>
        <w:sz w:val="16"/>
        <w:szCs w:val="16"/>
      </w:rPr>
      <w:t xml:space="preserve">              Checked by: PM                                           Approved by: MBM</w:t>
    </w:r>
    <w:r>
      <w:rPr>
        <w:color w:val="000000"/>
        <w:sz w:val="16"/>
        <w:szCs w:val="16"/>
      </w:rPr>
      <w:tab/>
      <w:t xml:space="preserve">   </w:t>
    </w:r>
    <w:r>
      <w:rPr>
        <w:color w:val="000000"/>
        <w:sz w:val="16"/>
        <w:szCs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64B78" w:rsidRDefault="00A64B78">
      <w:r>
        <w:separator/>
      </w:r>
    </w:p>
  </w:footnote>
  <w:footnote w:type="continuationSeparator" w:id="0">
    <w:p w:rsidR="00A64B78" w:rsidRDefault="00A64B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1196" w:rsidRDefault="001A1196">
    <w:pPr>
      <w:spacing w:after="280"/>
      <w:jc w:val="center"/>
      <w:rPr>
        <w:rFonts w:ascii="Arial" w:eastAsia="Arial" w:hAnsi="Arial" w:cs="Arial"/>
        <w:color w:val="003399"/>
        <w:u w:val="single"/>
      </w:rPr>
    </w:pPr>
  </w:p>
  <w:p w:rsidR="001A1196" w:rsidRDefault="00A64B78">
    <w:pPr>
      <w:spacing w:before="280"/>
    </w:pPr>
    <w:r>
      <w:rPr>
        <w:rFonts w:ascii="Arial" w:eastAsia="Arial" w:hAnsi="Arial" w:cs="Arial"/>
        <w:b/>
        <w:color w:val="003399"/>
        <w:u w:val="single"/>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EBB282D"/>
    <w:multiLevelType w:val="multilevel"/>
    <w:tmpl w:val="000050FC"/>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1196"/>
    <w:rsid w:val="00076C24"/>
    <w:rsid w:val="001A1196"/>
    <w:rsid w:val="00A64B7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E018E87-BD04-46A2-BBD2-96B250373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60"/>
      <w:outlineLvl w:val="0"/>
    </w:pPr>
    <w:rPr>
      <w:rFonts w:ascii="Calibri" w:eastAsia="Calibri" w:hAnsi="Calibri" w:cs="Calibri"/>
      <w:b/>
      <w:sz w:val="32"/>
      <w:szCs w:val="32"/>
    </w:rPr>
  </w:style>
  <w:style w:type="paragraph" w:styleId="Heading2">
    <w:name w:val="heading 2"/>
    <w:basedOn w:val="Normal"/>
    <w:next w:val="Normal"/>
    <w:uiPriority w:val="9"/>
    <w:unhideWhenUsed/>
    <w:qFormat/>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outlineLvl w:val="3"/>
    </w:pPr>
    <w:rPr>
      <w:rFonts w:ascii="Arimo" w:eastAsia="Arimo" w:hAnsi="Arimo" w:cs="Arimo"/>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0" w:type="dxa"/>
        <w:left w:w="0" w:type="dxa"/>
        <w:bottom w:w="0" w:type="dxa"/>
        <w:right w:w="0" w:type="dxa"/>
      </w:tblCellMar>
    </w:tblPr>
  </w:style>
  <w:style w:type="table" w:customStyle="1" w:styleId="a0">
    <w:basedOn w:val="TableNormal0"/>
    <w:tblPr>
      <w:tblStyleRowBandSize w:val="1"/>
      <w:tblStyleColBandSize w:val="1"/>
      <w:tblCellMar>
        <w:top w:w="0" w:type="dxa"/>
        <w:left w:w="108" w:type="dxa"/>
        <w:bottom w:w="0" w:type="dxa"/>
        <w:right w:w="108" w:type="dxa"/>
      </w:tblCellMar>
    </w:tblPr>
  </w:style>
  <w:style w:type="table" w:customStyle="1" w:styleId="a1">
    <w:basedOn w:val="TableNormal0"/>
    <w:tblPr>
      <w:tblStyleRowBandSize w:val="1"/>
      <w:tblStyleColBandSize w:val="1"/>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pubmed.ncbi.nlm.nih.gov/?term=%22Vishwakarma%20P%22%5BAuthor%5D" TargetMode="External"/><Relationship Id="rId13" Type="http://schemas.openxmlformats.org/officeDocument/2006/relationships/hyperlink" Target="https://pubmed.ncbi.nlm.nih.gov/?term=%22Mitra%20S%22%5BAuthor%5D" TargetMode="External"/><Relationship Id="rId18" Type="http://schemas.openxmlformats.org/officeDocument/2006/relationships/hyperlink" Target="https://pubmed.ncbi.nlm.nih.gov/?term=Ponnapati+LP&amp;cauthor_id=37203046"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s://pubmed.ncbi.nlm.nih.gov/?term=Sharma+S&amp;cauthor_id=37203046" TargetMode="External"/><Relationship Id="rId7" Type="http://schemas.openxmlformats.org/officeDocument/2006/relationships/hyperlink" Target="https://journalor.com/index.php/OR" TargetMode="External"/><Relationship Id="rId12" Type="http://schemas.openxmlformats.org/officeDocument/2006/relationships/hyperlink" Target="https://pubmed.ncbi.nlm.nih.gov/?term=%22Priyadarshini%20SR%22%5BAuthor%5D" TargetMode="External"/><Relationship Id="rId17" Type="http://schemas.openxmlformats.org/officeDocument/2006/relationships/hyperlink" Target="https://pubmed.ncbi.nlm.nih.gov/?term=Thigale+U&amp;cauthor_id=37203046"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pubmed.ncbi.nlm.nih.gov/?term=Kate+A&amp;cauthor_id=37203046" TargetMode="External"/><Relationship Id="rId20" Type="http://schemas.openxmlformats.org/officeDocument/2006/relationships/hyperlink" Target="https://pubmed.ncbi.nlm.nih.gov/?term=Vishwakarma+P&amp;cauthor_id=37203046"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ubmed.ncbi.nlm.nih.gov/?term=%22Das%20S%22%5BAuthor%5D" TargetMode="External"/><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https://pubmed.ncbi.nlm.nih.gov/?term=%22Sahu%20SK%22%5BAuthor%5D" TargetMode="External"/><Relationship Id="rId23" Type="http://schemas.openxmlformats.org/officeDocument/2006/relationships/hyperlink" Target="https://pubmed.ncbi.nlm.nih.gov/37203046/" TargetMode="External"/><Relationship Id="rId10" Type="http://schemas.openxmlformats.org/officeDocument/2006/relationships/hyperlink" Target="https://pubmed.ncbi.nlm.nih.gov/?term=%22Kaur%20A%22%5BAuthor%5D" TargetMode="External"/><Relationship Id="rId19" Type="http://schemas.openxmlformats.org/officeDocument/2006/relationships/hyperlink" Target="https://pubmed.ncbi.nlm.nih.gov/?term=Chaudhary+S&amp;cauthor_id=37203046" TargetMode="External"/><Relationship Id="rId4" Type="http://schemas.openxmlformats.org/officeDocument/2006/relationships/webSettings" Target="webSettings.xml"/><Relationship Id="rId9" Type="http://schemas.openxmlformats.org/officeDocument/2006/relationships/hyperlink" Target="https://pubmed.ncbi.nlm.nih.gov/?term=%22Mohanty%20A%22%5BAuthor%5D" TargetMode="External"/><Relationship Id="rId14" Type="http://schemas.openxmlformats.org/officeDocument/2006/relationships/hyperlink" Target="https://pubmed.ncbi.nlm.nih.gov/?term=%22Mittal%20R%22%5BAuthor%5D" TargetMode="External"/><Relationship Id="rId22" Type="http://schemas.openxmlformats.org/officeDocument/2006/relationships/hyperlink" Target="https://pubmed.ncbi.nlm.nih.gov/?term=Bagga+B&amp;cauthor_id=37203046"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695</Words>
  <Characters>3966</Characters>
  <Application>Microsoft Office Word</Application>
  <DocSecurity>0</DocSecurity>
  <Lines>33</Lines>
  <Paragraphs>9</Paragraphs>
  <ScaleCrop>false</ScaleCrop>
  <Company/>
  <LinksUpToDate>false</LinksUpToDate>
  <CharactersWithSpaces>4652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SDI 1186</cp:lastModifiedBy>
  <cp:revision>2</cp:revision>
  <dcterms:created xsi:type="dcterms:W3CDTF">2025-10-08T07:19:00Z</dcterms:created>
  <dcterms:modified xsi:type="dcterms:W3CDTF">2025-10-08T07:23:00Z</dcterms:modified>
</cp:coreProperties>
</file>