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6262E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16262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</w:p>
        </w:tc>
      </w:tr>
      <w:tr w:rsidR="0000007A" w:rsidRPr="0016262E" w:rsidTr="002643B3">
        <w:trPr>
          <w:trHeight w:val="290"/>
        </w:trPr>
        <w:tc>
          <w:tcPr>
            <w:tcW w:w="1234" w:type="pct"/>
          </w:tcPr>
          <w:p w:rsidR="0000007A" w:rsidRPr="001626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62E" w:rsidRDefault="00B1632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647B6" w:rsidRPr="0016262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="000647B6" w:rsidRPr="0016262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6262E" w:rsidTr="002643B3">
        <w:trPr>
          <w:trHeight w:val="290"/>
        </w:trPr>
        <w:tc>
          <w:tcPr>
            <w:tcW w:w="1234" w:type="pct"/>
          </w:tcPr>
          <w:p w:rsidR="0000007A" w:rsidRPr="001626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62E" w:rsidRDefault="000E147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Ms_JPRI_145405</w:t>
            </w:r>
          </w:p>
        </w:tc>
      </w:tr>
      <w:tr w:rsidR="0000007A" w:rsidRPr="0016262E" w:rsidTr="002643B3">
        <w:trPr>
          <w:trHeight w:val="650"/>
        </w:trPr>
        <w:tc>
          <w:tcPr>
            <w:tcW w:w="1234" w:type="pct"/>
          </w:tcPr>
          <w:p w:rsidR="0000007A" w:rsidRPr="0016262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6262E" w:rsidRDefault="000E147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>Coprocessed</w:t>
            </w:r>
            <w:proofErr w:type="spellEnd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terbinafine by solid dispersion in </w:t>
            </w:r>
            <w:proofErr w:type="gramStart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  <w:proofErr w:type="gramEnd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HME: an enhanced solubility </w:t>
            </w:r>
            <w:proofErr w:type="spellStart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>QbD</w:t>
            </w:r>
            <w:proofErr w:type="spellEnd"/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approach</w:t>
            </w:r>
          </w:p>
        </w:tc>
      </w:tr>
      <w:tr w:rsidR="00CF0BBB" w:rsidRPr="0016262E" w:rsidTr="002643B3">
        <w:trPr>
          <w:trHeight w:val="332"/>
        </w:trPr>
        <w:tc>
          <w:tcPr>
            <w:tcW w:w="1234" w:type="pct"/>
          </w:tcPr>
          <w:p w:rsidR="00CF0BBB" w:rsidRPr="0016262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 w:eastAsia="en-US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16262E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F75C9" w:rsidRPr="0016262E" w:rsidRDefault="006F75C9" w:rsidP="006F75C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F75C9" w:rsidRPr="001626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16262E">
              <w:rPr>
                <w:rFonts w:ascii="Arial" w:hAnsi="Arial" w:cs="Arial"/>
                <w:highlight w:val="yellow"/>
                <w:lang w:val="en-GB" w:eastAsia="en-US" w:bidi="ar-SA"/>
              </w:rPr>
              <w:t>PART  1:</w:t>
            </w:r>
            <w:r w:rsidRPr="0016262E">
              <w:rPr>
                <w:rFonts w:ascii="Arial" w:hAnsi="Arial" w:cs="Arial"/>
                <w:lang w:val="en-GB" w:eastAsia="en-US" w:bidi="ar-SA"/>
              </w:rPr>
              <w:t xml:space="preserve"> Comments</w:t>
            </w:r>
          </w:p>
          <w:p w:rsidR="006F75C9" w:rsidRPr="0016262E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16262E">
        <w:tc>
          <w:tcPr>
            <w:tcW w:w="1265" w:type="pct"/>
            <w:noWrap/>
          </w:tcPr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</w:p>
        </w:tc>
        <w:tc>
          <w:tcPr>
            <w:tcW w:w="2212" w:type="pct"/>
          </w:tcPr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lang w:val="en-GB" w:eastAsia="en-US" w:bidi="ar-SA"/>
              </w:rPr>
            </w:pPr>
            <w:r w:rsidRPr="0016262E">
              <w:rPr>
                <w:rFonts w:ascii="Arial" w:hAnsi="Arial" w:cs="Arial"/>
                <w:lang w:val="en-GB" w:eastAsia="en-US" w:bidi="ar-SA"/>
              </w:rPr>
              <w:t>Reviewer’s comment</w:t>
            </w:r>
          </w:p>
          <w:p w:rsidR="003071BF" w:rsidRPr="0016262E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071BF" w:rsidRPr="0016262E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C3BAC" w:rsidRPr="0016262E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26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26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</w:tr>
      <w:tr w:rsidR="006F75C9" w:rsidRPr="0016262E">
        <w:trPr>
          <w:trHeight w:val="1264"/>
        </w:trPr>
        <w:tc>
          <w:tcPr>
            <w:tcW w:w="1265" w:type="pct"/>
            <w:noWrap/>
          </w:tcPr>
          <w:p w:rsidR="006F75C9" w:rsidRPr="0016262E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F75C9" w:rsidRPr="0016262E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F75C9" w:rsidRPr="0016262E" w:rsidRDefault="003F179A" w:rsidP="0016262E">
            <w:pPr>
              <w:pStyle w:val="Body"/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16262E">
              <w:rPr>
                <w:rFonts w:ascii="Arial" w:hAnsi="Arial" w:cs="Arial"/>
              </w:rPr>
              <w:t>Hydrophobic drugs, such as terbinafine hydrochloride (</w:t>
            </w:r>
            <w:proofErr w:type="spellStart"/>
            <w:r w:rsidRPr="0016262E">
              <w:rPr>
                <w:rFonts w:ascii="Arial" w:hAnsi="Arial" w:cs="Arial"/>
              </w:rPr>
              <w:t>TbHCl</w:t>
            </w:r>
            <w:proofErr w:type="spellEnd"/>
            <w:r w:rsidRPr="0016262E">
              <w:rPr>
                <w:rFonts w:ascii="Arial" w:hAnsi="Arial" w:cs="Arial"/>
              </w:rPr>
              <w:t xml:space="preserve">), suffer from poor aqueous solubility, leading to low oral bioavailability. HME proved effective in enhancing </w:t>
            </w:r>
            <w:proofErr w:type="spellStart"/>
            <w:r w:rsidRPr="0016262E">
              <w:rPr>
                <w:rFonts w:ascii="Arial" w:hAnsi="Arial" w:cs="Arial"/>
              </w:rPr>
              <w:t>TbHCl</w:t>
            </w:r>
            <w:proofErr w:type="spellEnd"/>
            <w:r w:rsidRPr="0016262E">
              <w:rPr>
                <w:rFonts w:ascii="Arial" w:hAnsi="Arial" w:cs="Arial"/>
              </w:rPr>
              <w:t xml:space="preserve"> dissolution and solubility. This work demonstrates HME as a promising strategy for co-processing poorly water-soluble drugs, supporting improved oral bioavailability. The study provides a systematic foundation for scale-up and further optimization, though additional work is required to translate these findings into final dosage form performance.</w:t>
            </w:r>
          </w:p>
        </w:tc>
        <w:tc>
          <w:tcPr>
            <w:tcW w:w="1523" w:type="pct"/>
          </w:tcPr>
          <w:p w:rsidR="006F75C9" w:rsidRPr="0016262E" w:rsidRDefault="006F75C9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</w:p>
          <w:p w:rsidR="00C54971" w:rsidRPr="0016262E" w:rsidRDefault="00F31A11" w:rsidP="00C54971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We</w:t>
            </w:r>
            <w:r w:rsidR="005104D3"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 xml:space="preserve"> agree and consider the comments correspond to the objective set out in this work.</w:t>
            </w:r>
          </w:p>
        </w:tc>
      </w:tr>
      <w:tr w:rsidR="006F75C9" w:rsidRPr="0016262E" w:rsidTr="0016262E">
        <w:trPr>
          <w:trHeight w:val="278"/>
        </w:trPr>
        <w:tc>
          <w:tcPr>
            <w:tcW w:w="1265" w:type="pct"/>
            <w:noWrap/>
          </w:tcPr>
          <w:p w:rsidR="006F75C9" w:rsidRPr="0016262E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F75C9" w:rsidRPr="0016262E" w:rsidRDefault="006F75C9" w:rsidP="0016262E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:rsidR="006F75C9" w:rsidRPr="0016262E" w:rsidRDefault="003F17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F75C9" w:rsidRPr="0016262E" w:rsidRDefault="00F31A11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We</w:t>
            </w:r>
            <w:r w:rsidR="00C54971"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 xml:space="preserve"> agree</w:t>
            </w:r>
          </w:p>
        </w:tc>
      </w:tr>
      <w:tr w:rsidR="006F75C9" w:rsidRPr="0016262E" w:rsidTr="0016262E">
        <w:trPr>
          <w:trHeight w:val="85"/>
        </w:trPr>
        <w:tc>
          <w:tcPr>
            <w:tcW w:w="1265" w:type="pct"/>
            <w:noWrap/>
          </w:tcPr>
          <w:p w:rsidR="006F75C9" w:rsidRPr="0016262E" w:rsidRDefault="006F75C9" w:rsidP="0016262E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 w:eastAsia="en-US" w:bidi="ar-SA"/>
              </w:rPr>
            </w:pPr>
            <w:r w:rsidRPr="0016262E">
              <w:rPr>
                <w:rFonts w:ascii="Arial" w:hAnsi="Arial" w:cs="Arial"/>
                <w:lang w:val="en-GB" w:eastAsia="en-US" w:bidi="ar-SA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:rsidR="006F75C9" w:rsidRPr="0016262E" w:rsidRDefault="003F17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:rsidR="006F75C9" w:rsidRPr="0016262E" w:rsidRDefault="00F31A11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We</w:t>
            </w:r>
            <w:r w:rsidR="00C54971"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 xml:space="preserve"> agree</w:t>
            </w:r>
          </w:p>
        </w:tc>
      </w:tr>
      <w:tr w:rsidR="006F75C9" w:rsidRPr="0016262E">
        <w:trPr>
          <w:trHeight w:val="704"/>
        </w:trPr>
        <w:tc>
          <w:tcPr>
            <w:tcW w:w="1265" w:type="pct"/>
            <w:noWrap/>
          </w:tcPr>
          <w:p w:rsidR="006F75C9" w:rsidRPr="0016262E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 w:bidi="ar-SA"/>
              </w:rPr>
            </w:pPr>
            <w:r w:rsidRPr="0016262E">
              <w:rPr>
                <w:rFonts w:ascii="Arial" w:hAnsi="Arial" w:cs="Arial"/>
                <w:lang w:val="en-GB" w:eastAsia="en-US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F75C9" w:rsidRPr="0016262E" w:rsidRDefault="003F17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16262E">
              <w:rPr>
                <w:rFonts w:ascii="Arial" w:hAnsi="Arial" w:cs="Arial"/>
                <w:sz w:val="20"/>
                <w:szCs w:val="20"/>
              </w:rPr>
              <w:t xml:space="preserve">the present study followed </w:t>
            </w:r>
            <w:proofErr w:type="spellStart"/>
            <w:r w:rsidRPr="0016262E">
              <w:rPr>
                <w:rFonts w:ascii="Arial" w:hAnsi="Arial" w:cs="Arial"/>
                <w:sz w:val="20"/>
                <w:szCs w:val="20"/>
              </w:rPr>
              <w:t>QbD</w:t>
            </w:r>
            <w:proofErr w:type="spellEnd"/>
            <w:r w:rsidRPr="0016262E">
              <w:rPr>
                <w:rFonts w:ascii="Arial" w:hAnsi="Arial" w:cs="Arial"/>
                <w:sz w:val="20"/>
                <w:szCs w:val="20"/>
              </w:rPr>
              <w:t xml:space="preserve"> principles by linking CMAs and CPPs to dissolution performance through risk assessment and DoE, the mechanistic understanding of crystallinity changes and particle size reduction could be expanded.</w:t>
            </w:r>
          </w:p>
        </w:tc>
        <w:tc>
          <w:tcPr>
            <w:tcW w:w="1523" w:type="pct"/>
          </w:tcPr>
          <w:p w:rsidR="006F75C9" w:rsidRPr="0016262E" w:rsidRDefault="00F31A11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We</w:t>
            </w:r>
            <w:r w:rsidR="00C54971"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 xml:space="preserve"> agree</w:t>
            </w:r>
          </w:p>
        </w:tc>
      </w:tr>
      <w:tr w:rsidR="006F75C9" w:rsidRPr="0016262E">
        <w:trPr>
          <w:trHeight w:val="703"/>
        </w:trPr>
        <w:tc>
          <w:tcPr>
            <w:tcW w:w="1265" w:type="pct"/>
            <w:noWrap/>
          </w:tcPr>
          <w:p w:rsidR="006F75C9" w:rsidRPr="0016262E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F75C9" w:rsidRPr="0016262E" w:rsidRDefault="003F17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but need changes in few reference</w:t>
            </w:r>
          </w:p>
        </w:tc>
        <w:tc>
          <w:tcPr>
            <w:tcW w:w="1523" w:type="pct"/>
          </w:tcPr>
          <w:p w:rsidR="006F75C9" w:rsidRPr="0016262E" w:rsidRDefault="00C54971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The requested corrections have been made</w:t>
            </w:r>
            <w:r w:rsidR="00BA3C20" w:rsidRPr="0016262E">
              <w:rPr>
                <w:rFonts w:ascii="Arial" w:eastAsia="Times New Roman" w:hAnsi="Arial" w:cs="Arial"/>
                <w:b w:val="0"/>
                <w:bCs w:val="0"/>
                <w:lang w:val="en-GB" w:eastAsia="en-US" w:bidi="ar-SA"/>
              </w:rPr>
              <w:t>, in the references section</w:t>
            </w:r>
          </w:p>
        </w:tc>
      </w:tr>
      <w:tr w:rsidR="006F75C9" w:rsidRPr="0016262E">
        <w:trPr>
          <w:trHeight w:val="386"/>
        </w:trPr>
        <w:tc>
          <w:tcPr>
            <w:tcW w:w="1265" w:type="pct"/>
            <w:noWrap/>
          </w:tcPr>
          <w:p w:rsidR="006F75C9" w:rsidRPr="0016262E" w:rsidRDefault="006F75C9" w:rsidP="0016262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6262E">
              <w:rPr>
                <w:rFonts w:ascii="Arial" w:hAnsi="Arial" w:cs="Arial"/>
                <w:bCs w:val="0"/>
                <w:lang w:val="en-GB" w:eastAsia="en-US" w:bidi="ar-SA"/>
              </w:rPr>
              <w:t>Is the language/English quality of the article suitable for scholarly communications?</w:t>
            </w:r>
          </w:p>
        </w:tc>
        <w:tc>
          <w:tcPr>
            <w:tcW w:w="2212" w:type="pct"/>
          </w:tcPr>
          <w:p w:rsidR="006F75C9" w:rsidRPr="0016262E" w:rsidRDefault="003F17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:rsidR="006F75C9" w:rsidRPr="0016262E" w:rsidRDefault="00F31A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sz w:val="20"/>
                <w:szCs w:val="20"/>
                <w:lang w:val="en-GB"/>
              </w:rPr>
              <w:t>We</w:t>
            </w:r>
            <w:r w:rsidR="00C54971" w:rsidRPr="0016262E">
              <w:rPr>
                <w:rFonts w:ascii="Arial" w:hAnsi="Arial" w:cs="Arial"/>
                <w:sz w:val="20"/>
                <w:szCs w:val="20"/>
                <w:lang w:val="en-GB"/>
              </w:rPr>
              <w:t xml:space="preserve"> agree</w:t>
            </w:r>
          </w:p>
        </w:tc>
      </w:tr>
      <w:tr w:rsidR="006F75C9" w:rsidRPr="0016262E">
        <w:trPr>
          <w:trHeight w:val="1178"/>
        </w:trPr>
        <w:tc>
          <w:tcPr>
            <w:tcW w:w="1265" w:type="pct"/>
            <w:noWrap/>
          </w:tcPr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 w:bidi="ar-SA"/>
              </w:rPr>
            </w:pPr>
            <w:r w:rsidRPr="0016262E">
              <w:rPr>
                <w:rFonts w:ascii="Arial" w:hAnsi="Arial" w:cs="Arial"/>
                <w:bCs w:val="0"/>
                <w:u w:val="single"/>
                <w:lang w:val="en-GB" w:eastAsia="en-US" w:bidi="ar-SA"/>
              </w:rPr>
              <w:t>Optional/General</w:t>
            </w:r>
            <w:r w:rsidRPr="0016262E">
              <w:rPr>
                <w:rFonts w:ascii="Arial" w:hAnsi="Arial" w:cs="Arial"/>
                <w:bCs w:val="0"/>
                <w:lang w:val="en-GB" w:eastAsia="en-US" w:bidi="ar-SA"/>
              </w:rPr>
              <w:t xml:space="preserve"> </w:t>
            </w:r>
            <w:r w:rsidRPr="0016262E">
              <w:rPr>
                <w:rFonts w:ascii="Arial" w:hAnsi="Arial" w:cs="Arial"/>
                <w:b w:val="0"/>
                <w:bCs w:val="0"/>
                <w:lang w:val="en-GB" w:eastAsia="en-US" w:bidi="ar-SA"/>
              </w:rPr>
              <w:t>comments</w:t>
            </w:r>
          </w:p>
          <w:p w:rsidR="006F75C9" w:rsidRPr="0016262E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ar-SA"/>
              </w:rPr>
            </w:pPr>
          </w:p>
        </w:tc>
        <w:tc>
          <w:tcPr>
            <w:tcW w:w="2212" w:type="pct"/>
          </w:tcPr>
          <w:p w:rsidR="006F75C9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>Two reference is required to correct.</w:t>
            </w:r>
          </w:p>
          <w:p w:rsidR="003F179A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b/>
                <w:sz w:val="20"/>
                <w:szCs w:val="20"/>
                <w:lang w:val="en-GB"/>
              </w:rPr>
              <w:t>Ref. No. 32.  Correct reference is below.</w:t>
            </w:r>
          </w:p>
          <w:p w:rsidR="003F179A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6262E">
              <w:rPr>
                <w:rFonts w:ascii="Arial" w:hAnsi="Arial" w:cs="Arial"/>
                <w:color w:val="333333"/>
                <w:sz w:val="20"/>
                <w:szCs w:val="20"/>
              </w:rPr>
              <w:t>Baker N. 2018. Quality risk management (QRM). In: </w:t>
            </w:r>
            <w:r w:rsidRPr="0016262E">
              <w:rPr>
                <w:rStyle w:val="citationsource-book"/>
                <w:rFonts w:ascii="Arial" w:hAnsi="Arial" w:cs="Arial"/>
                <w:color w:val="333333"/>
                <w:sz w:val="20"/>
                <w:szCs w:val="20"/>
              </w:rPr>
              <w:t>Pharm Qual by Des</w:t>
            </w:r>
            <w:r w:rsidRPr="0016262E">
              <w:rPr>
                <w:rFonts w:ascii="Arial" w:hAnsi="Arial" w:cs="Arial"/>
                <w:color w:val="333333"/>
                <w:sz w:val="20"/>
                <w:szCs w:val="20"/>
              </w:rPr>
              <w:t>. Chichester: John Wiley &amp; Sons, Ltd. p. 11–45. http://doi.wiley.com/</w:t>
            </w:r>
            <w:hyperlink r:id="rId9" w:tgtFrame="_blank" w:history="1">
              <w:r w:rsidRPr="0016262E">
                <w:rPr>
                  <w:rStyle w:val="Hyperlink"/>
                  <w:rFonts w:ascii="Arial" w:hAnsi="Arial" w:cs="Arial"/>
                  <w:color w:val="10147E"/>
                  <w:sz w:val="20"/>
                  <w:szCs w:val="20"/>
                </w:rPr>
                <w:t>https://doi.org/10.1002/9781118895238.ch2</w:t>
              </w:r>
              <w:r w:rsidRPr="0016262E">
                <w:rPr>
                  <w:rStyle w:val="off-screen"/>
                  <w:rFonts w:ascii="Arial" w:hAnsi="Arial" w:cs="Arial"/>
                  <w:color w:val="10147E"/>
                  <w:sz w:val="20"/>
                  <w:szCs w:val="20"/>
                </w:rPr>
                <w:t>(open in a new window)</w:t>
              </w:r>
            </w:hyperlink>
          </w:p>
          <w:p w:rsidR="003F179A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3F179A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6262E">
              <w:rPr>
                <w:rFonts w:ascii="Arial" w:hAnsi="Arial" w:cs="Arial"/>
                <w:sz w:val="20"/>
                <w:szCs w:val="20"/>
              </w:rPr>
              <w:t xml:space="preserve">Ref NO. 38 is Spanish </w:t>
            </w:r>
            <w:proofErr w:type="spellStart"/>
            <w:r w:rsidRPr="0016262E">
              <w:rPr>
                <w:rFonts w:ascii="Arial" w:hAnsi="Arial" w:cs="Arial"/>
                <w:sz w:val="20"/>
                <w:szCs w:val="20"/>
              </w:rPr>
              <w:t>langaulage</w:t>
            </w:r>
            <w:proofErr w:type="spellEnd"/>
            <w:r w:rsidRPr="0016262E">
              <w:rPr>
                <w:rFonts w:ascii="Arial" w:hAnsi="Arial" w:cs="Arial"/>
                <w:sz w:val="20"/>
                <w:szCs w:val="20"/>
              </w:rPr>
              <w:t>. The English version is below.</w:t>
            </w:r>
          </w:p>
          <w:p w:rsidR="003F179A" w:rsidRPr="0016262E" w:rsidRDefault="003F17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sz w:val="20"/>
                <w:szCs w:val="20"/>
              </w:rPr>
              <w:t xml:space="preserve">Alcantara-Fierro ET, Ortiz-Reynoso M. Solid dispersions: characteristics, manufacturing, and the status of scientific publications in 2020. </w:t>
            </w:r>
            <w:r w:rsidRPr="0016262E">
              <w:rPr>
                <w:rStyle w:val="Emphasis"/>
                <w:rFonts w:ascii="Arial" w:hAnsi="Arial" w:cs="Arial"/>
                <w:sz w:val="20"/>
                <w:szCs w:val="20"/>
              </w:rPr>
              <w:t>Pharmacy in the 21st Century, Series: Selected Topics in Pharmaceutical Science and Technology</w:t>
            </w:r>
            <w:r w:rsidRPr="0016262E">
              <w:rPr>
                <w:rFonts w:ascii="Arial" w:hAnsi="Arial" w:cs="Arial"/>
                <w:sz w:val="20"/>
                <w:szCs w:val="20"/>
              </w:rPr>
              <w:t>, 2022.</w:t>
            </w:r>
          </w:p>
        </w:tc>
        <w:tc>
          <w:tcPr>
            <w:tcW w:w="1523" w:type="pct"/>
          </w:tcPr>
          <w:p w:rsidR="006F75C9" w:rsidRPr="0016262E" w:rsidRDefault="00C549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262E">
              <w:rPr>
                <w:rFonts w:ascii="Arial" w:hAnsi="Arial" w:cs="Arial"/>
                <w:sz w:val="20"/>
                <w:szCs w:val="20"/>
                <w:lang w:val="en-GB"/>
              </w:rPr>
              <w:t>The requested corrections have been made</w:t>
            </w:r>
            <w:r w:rsidR="00BA3C20" w:rsidRPr="0016262E"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references section</w:t>
            </w:r>
          </w:p>
        </w:tc>
      </w:tr>
    </w:tbl>
    <w:p w:rsidR="006F75C9" w:rsidRPr="0016262E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D7F70" w:rsidRPr="0016262E" w:rsidTr="003D7F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626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26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D7F70" w:rsidRPr="0016262E" w:rsidTr="003D7F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F70" w:rsidRPr="0016262E" w:rsidRDefault="003D7F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26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70" w:rsidRPr="0016262E" w:rsidRDefault="003D7F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26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26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D7F70" w:rsidRPr="0016262E" w:rsidRDefault="003D7F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7F70" w:rsidRPr="0016262E" w:rsidTr="003D7F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26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26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26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26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D7F70" w:rsidRPr="0016262E" w:rsidRDefault="00C549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6262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aren´t ethical issues in this manuscript</w:t>
            </w:r>
          </w:p>
          <w:p w:rsidR="003D7F70" w:rsidRPr="0016262E" w:rsidRDefault="003D7F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3D7F70" w:rsidRPr="0016262E" w:rsidRDefault="003D7F70" w:rsidP="0016262E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3D7F70" w:rsidRPr="0016262E" w:rsidSect="001330CE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326" w:rsidRPr="0000007A" w:rsidRDefault="00B16326" w:rsidP="0099583E">
      <w:r>
        <w:separator/>
      </w:r>
    </w:p>
  </w:endnote>
  <w:endnote w:type="continuationSeparator" w:id="0">
    <w:p w:rsidR="00B16326" w:rsidRPr="0000007A" w:rsidRDefault="00B1632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326" w:rsidRPr="0000007A" w:rsidRDefault="00B16326" w:rsidP="0099583E">
      <w:r>
        <w:separator/>
      </w:r>
    </w:p>
  </w:footnote>
  <w:footnote w:type="continuationSeparator" w:id="0">
    <w:p w:rsidR="00B16326" w:rsidRPr="0000007A" w:rsidRDefault="00B1632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1474"/>
    <w:rsid w:val="00100577"/>
    <w:rsid w:val="00101322"/>
    <w:rsid w:val="001330CE"/>
    <w:rsid w:val="00136984"/>
    <w:rsid w:val="00144521"/>
    <w:rsid w:val="00150304"/>
    <w:rsid w:val="0015296D"/>
    <w:rsid w:val="0016262E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853AF"/>
    <w:rsid w:val="00291D08"/>
    <w:rsid w:val="00293482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92447"/>
    <w:rsid w:val="003A04E7"/>
    <w:rsid w:val="003A4991"/>
    <w:rsid w:val="003A6E1A"/>
    <w:rsid w:val="003B2172"/>
    <w:rsid w:val="003C4526"/>
    <w:rsid w:val="003D7F70"/>
    <w:rsid w:val="003E746A"/>
    <w:rsid w:val="003F179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4D3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4684"/>
    <w:rsid w:val="005C25A0"/>
    <w:rsid w:val="005D230D"/>
    <w:rsid w:val="005F2D07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3C53"/>
    <w:rsid w:val="006E7D6E"/>
    <w:rsid w:val="006F6F2F"/>
    <w:rsid w:val="006F75C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6C95"/>
    <w:rsid w:val="00A372B5"/>
    <w:rsid w:val="00A37DE3"/>
    <w:rsid w:val="00A519D1"/>
    <w:rsid w:val="00A6343B"/>
    <w:rsid w:val="00A65C50"/>
    <w:rsid w:val="00A66DD2"/>
    <w:rsid w:val="00A858B9"/>
    <w:rsid w:val="00AA41B3"/>
    <w:rsid w:val="00AA6670"/>
    <w:rsid w:val="00AB1ED6"/>
    <w:rsid w:val="00AB397D"/>
    <w:rsid w:val="00AB638A"/>
    <w:rsid w:val="00AB6E43"/>
    <w:rsid w:val="00AC1349"/>
    <w:rsid w:val="00AC493D"/>
    <w:rsid w:val="00AD3C91"/>
    <w:rsid w:val="00AD6C51"/>
    <w:rsid w:val="00AE23E6"/>
    <w:rsid w:val="00AE3DEE"/>
    <w:rsid w:val="00AF3016"/>
    <w:rsid w:val="00B03A45"/>
    <w:rsid w:val="00B16326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C20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4971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1FE7"/>
    <w:rsid w:val="00E63889"/>
    <w:rsid w:val="00E65EB7"/>
    <w:rsid w:val="00E71C8D"/>
    <w:rsid w:val="00E72360"/>
    <w:rsid w:val="00E749C4"/>
    <w:rsid w:val="00E93385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45A7"/>
    <w:rsid w:val="00F2643C"/>
    <w:rsid w:val="00F31A11"/>
    <w:rsid w:val="00F3295A"/>
    <w:rsid w:val="00F34D8E"/>
    <w:rsid w:val="00F3669D"/>
    <w:rsid w:val="00F36B8B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25B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D640A0-E9D0-4E62-86E4-BB9CCE88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eastAsia="x-none" w:bidi="hi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eastAsia="x-none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eastAsia="x-none" w:bidi="hi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eastAsia="x-none" w:bidi="hi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eastAsia="x-none" w:bidi="hi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4526"/>
    <w:rPr>
      <w:color w:val="605E5C"/>
      <w:shd w:val="clear" w:color="auto" w:fill="E1DFDD"/>
    </w:rPr>
  </w:style>
  <w:style w:type="paragraph" w:customStyle="1" w:styleId="Body">
    <w:name w:val="Body"/>
    <w:basedOn w:val="Normal"/>
    <w:rsid w:val="003F179A"/>
    <w:pPr>
      <w:spacing w:after="240"/>
      <w:jc w:val="both"/>
    </w:pPr>
    <w:rPr>
      <w:rFonts w:ascii="Helvetica" w:hAnsi="Helvetica"/>
      <w:sz w:val="20"/>
      <w:szCs w:val="20"/>
    </w:rPr>
  </w:style>
  <w:style w:type="character" w:customStyle="1" w:styleId="citationsource-book">
    <w:name w:val="citation_source-book"/>
    <w:basedOn w:val="DefaultParagraphFont"/>
    <w:rsid w:val="003F179A"/>
  </w:style>
  <w:style w:type="character" w:customStyle="1" w:styleId="off-screen">
    <w:name w:val="off-screen"/>
    <w:basedOn w:val="DefaultParagraphFont"/>
    <w:rsid w:val="003F179A"/>
  </w:style>
  <w:style w:type="character" w:styleId="Emphasis">
    <w:name w:val="Emphasis"/>
    <w:uiPriority w:val="20"/>
    <w:qFormat/>
    <w:rsid w:val="003F17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1002/9781118895238.ch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E0E2-CEBF-4C28-9D39-1D724782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</CharactersWithSpaces>
  <SharedDoc>false</SharedDoc>
  <HLinks>
    <vt:vector size="12" baseType="variant">
      <vt:variant>
        <vt:i4>6029312</vt:i4>
      </vt:variant>
      <vt:variant>
        <vt:i4>3</vt:i4>
      </vt:variant>
      <vt:variant>
        <vt:i4>0</vt:i4>
      </vt:variant>
      <vt:variant>
        <vt:i4>5</vt:i4>
      </vt:variant>
      <vt:variant>
        <vt:lpwstr>https://doi.org/10.1002/9781118895238.ch2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2025-10-07T22:29:00Z</dcterms:created>
  <dcterms:modified xsi:type="dcterms:W3CDTF">2025-10-08T08:49:00Z</dcterms:modified>
</cp:coreProperties>
</file>