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7053A4" w14:textId="77777777" w:rsidR="00122E51" w:rsidRDefault="00122E51">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22E51" w14:paraId="56AF264D" w14:textId="77777777">
        <w:trPr>
          <w:trHeight w:val="290"/>
        </w:trPr>
        <w:tc>
          <w:tcPr>
            <w:tcW w:w="20934" w:type="dxa"/>
            <w:gridSpan w:val="2"/>
            <w:tcBorders>
              <w:top w:val="nil"/>
              <w:left w:val="nil"/>
              <w:right w:val="nil"/>
            </w:tcBorders>
          </w:tcPr>
          <w:p w14:paraId="1B458FED" w14:textId="77777777" w:rsidR="00122E51" w:rsidRDefault="00122E51">
            <w:pPr>
              <w:pStyle w:val="Heading2"/>
              <w:jc w:val="left"/>
              <w:rPr>
                <w:rFonts w:ascii="Arial" w:eastAsia="Arial" w:hAnsi="Arial" w:cs="Arial"/>
                <w:b w:val="0"/>
                <w:sz w:val="28"/>
                <w:szCs w:val="28"/>
              </w:rPr>
            </w:pPr>
          </w:p>
        </w:tc>
      </w:tr>
      <w:tr w:rsidR="00122E51" w14:paraId="20070CEA" w14:textId="77777777">
        <w:trPr>
          <w:trHeight w:val="290"/>
        </w:trPr>
        <w:tc>
          <w:tcPr>
            <w:tcW w:w="5167" w:type="dxa"/>
          </w:tcPr>
          <w:p w14:paraId="185D4273" w14:textId="77777777" w:rsidR="00122E51" w:rsidRDefault="0018097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CCAED86" w14:textId="77777777" w:rsidR="00122E51" w:rsidRDefault="0018097D">
            <w:pPr>
              <w:rPr>
                <w:rFonts w:ascii="Arial" w:eastAsia="Arial" w:hAnsi="Arial" w:cs="Arial"/>
                <w:color w:val="0000FF"/>
                <w:sz w:val="20"/>
                <w:szCs w:val="20"/>
              </w:rPr>
            </w:pPr>
            <w:hyperlink r:id="rId7">
              <w:r w:rsidR="00122E51">
                <w:rPr>
                  <w:rFonts w:ascii="Arial" w:eastAsia="Arial" w:hAnsi="Arial" w:cs="Arial"/>
                  <w:b/>
                  <w:color w:val="0000FF"/>
                  <w:sz w:val="20"/>
                  <w:szCs w:val="20"/>
                  <w:u w:val="single"/>
                </w:rPr>
                <w:t>Journal of Geography, Environment and Earth Science International</w:t>
              </w:r>
            </w:hyperlink>
            <w:r w:rsidR="00122E51">
              <w:rPr>
                <w:rFonts w:ascii="Arial" w:eastAsia="Arial" w:hAnsi="Arial" w:cs="Arial"/>
                <w:b/>
                <w:color w:val="0000FF"/>
                <w:sz w:val="20"/>
                <w:szCs w:val="20"/>
              </w:rPr>
              <w:t xml:space="preserve"> </w:t>
            </w:r>
          </w:p>
        </w:tc>
      </w:tr>
      <w:tr w:rsidR="00122E51" w14:paraId="5045D7CC" w14:textId="77777777">
        <w:trPr>
          <w:trHeight w:val="290"/>
        </w:trPr>
        <w:tc>
          <w:tcPr>
            <w:tcW w:w="5167" w:type="dxa"/>
          </w:tcPr>
          <w:p w14:paraId="498741AD" w14:textId="77777777" w:rsidR="00122E51" w:rsidRDefault="0018097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4EF6D6D" w14:textId="77777777" w:rsidR="00122E51" w:rsidRDefault="0018097D">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Ms_JGEESI_145396</w:t>
            </w:r>
          </w:p>
        </w:tc>
      </w:tr>
      <w:tr w:rsidR="00122E51" w14:paraId="048DDF5C" w14:textId="77777777">
        <w:trPr>
          <w:trHeight w:val="650"/>
        </w:trPr>
        <w:tc>
          <w:tcPr>
            <w:tcW w:w="5167" w:type="dxa"/>
          </w:tcPr>
          <w:p w14:paraId="227487DA" w14:textId="77777777" w:rsidR="00122E51" w:rsidRDefault="0018097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B8C6865" w14:textId="77777777" w:rsidR="00122E51" w:rsidRDefault="0018097D">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 xml:space="preserve">Carbon Sequestration in Litter, Herbaceous </w:t>
            </w:r>
            <w:r>
              <w:rPr>
                <w:rFonts w:ascii="Arial" w:eastAsia="Arial" w:hAnsi="Arial" w:cs="Arial"/>
                <w:b/>
                <w:color w:val="000000"/>
                <w:sz w:val="20"/>
                <w:szCs w:val="20"/>
              </w:rPr>
              <w:t>Vegetation, and Soil Across Polavaram Range’s Eight Beats, Andhra Pradesh: Influence of Tree Species Height, DBH, and Density</w:t>
            </w:r>
          </w:p>
        </w:tc>
      </w:tr>
      <w:tr w:rsidR="00122E51" w14:paraId="1592E4BE" w14:textId="77777777">
        <w:trPr>
          <w:trHeight w:val="332"/>
        </w:trPr>
        <w:tc>
          <w:tcPr>
            <w:tcW w:w="5167" w:type="dxa"/>
          </w:tcPr>
          <w:p w14:paraId="51BE78DB" w14:textId="77777777" w:rsidR="00122E51" w:rsidRDefault="0018097D">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32F3863" w14:textId="77777777" w:rsidR="00122E51" w:rsidRDefault="00122E51">
            <w:pPr>
              <w:pBdr>
                <w:top w:val="nil"/>
                <w:left w:val="nil"/>
                <w:bottom w:val="nil"/>
                <w:right w:val="nil"/>
                <w:between w:val="nil"/>
              </w:pBdr>
              <w:rPr>
                <w:rFonts w:ascii="Arial" w:eastAsia="Arial" w:hAnsi="Arial" w:cs="Arial"/>
                <w:color w:val="000000"/>
                <w:sz w:val="20"/>
                <w:szCs w:val="20"/>
              </w:rPr>
            </w:pPr>
          </w:p>
        </w:tc>
      </w:tr>
    </w:tbl>
    <w:p w14:paraId="2F6CB3BB" w14:textId="77777777" w:rsidR="00122E51" w:rsidRDefault="00122E51">
      <w:pPr>
        <w:rPr>
          <w:sz w:val="20"/>
          <w:szCs w:val="20"/>
        </w:rPr>
      </w:pPr>
      <w:bookmarkStart w:id="0" w:name="_z4isgthhx9ys" w:colFirst="0" w:colLast="0"/>
      <w:bookmarkEnd w:id="0"/>
    </w:p>
    <w:tbl>
      <w:tblPr>
        <w:tblStyle w:val="a0"/>
        <w:tblW w:w="2104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442"/>
      </w:tblGrid>
      <w:tr w:rsidR="00122E51" w14:paraId="719CE339" w14:textId="77777777" w:rsidTr="008537D3">
        <w:tc>
          <w:tcPr>
            <w:tcW w:w="21042" w:type="dxa"/>
            <w:gridSpan w:val="3"/>
            <w:tcBorders>
              <w:top w:val="nil"/>
              <w:left w:val="nil"/>
              <w:right w:val="nil"/>
            </w:tcBorders>
          </w:tcPr>
          <w:p w14:paraId="7837D72F" w14:textId="77777777" w:rsidR="00122E51" w:rsidRDefault="0018097D">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11472681" w14:textId="77777777" w:rsidR="00122E51" w:rsidRDefault="00122E51">
            <w:pPr>
              <w:rPr>
                <w:sz w:val="20"/>
                <w:szCs w:val="20"/>
              </w:rPr>
            </w:pPr>
          </w:p>
        </w:tc>
      </w:tr>
      <w:tr w:rsidR="00122E51" w14:paraId="2BC75021" w14:textId="77777777" w:rsidTr="008537D3">
        <w:tc>
          <w:tcPr>
            <w:tcW w:w="5243" w:type="dxa"/>
          </w:tcPr>
          <w:p w14:paraId="2AC60309" w14:textId="77777777" w:rsidR="00122E51" w:rsidRDefault="00122E51">
            <w:pPr>
              <w:pStyle w:val="Heading2"/>
              <w:jc w:val="left"/>
              <w:rPr>
                <w:rFonts w:ascii="Times New Roman" w:eastAsia="Times New Roman" w:hAnsi="Times New Roman" w:cs="Times New Roman"/>
              </w:rPr>
            </w:pPr>
          </w:p>
        </w:tc>
        <w:tc>
          <w:tcPr>
            <w:tcW w:w="9357" w:type="dxa"/>
          </w:tcPr>
          <w:p w14:paraId="096F3788" w14:textId="77777777" w:rsidR="00122E51" w:rsidRDefault="0018097D">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0AB205EC" w14:textId="77777777" w:rsidR="00122E51" w:rsidRDefault="0018097D">
            <w:pPr>
              <w:rPr>
                <w:sz w:val="20"/>
                <w:szCs w:val="20"/>
              </w:rPr>
            </w:pPr>
            <w:r>
              <w:rPr>
                <w:b/>
                <w:sz w:val="20"/>
                <w:szCs w:val="20"/>
                <w:highlight w:val="yellow"/>
              </w:rPr>
              <w:t xml:space="preserve">Artificial Intelligence (AI) generated or assisted review </w:t>
            </w:r>
            <w:r>
              <w:rPr>
                <w:b/>
                <w:sz w:val="20"/>
                <w:szCs w:val="20"/>
                <w:highlight w:val="yellow"/>
              </w:rPr>
              <w:t>comments are strictly prohibited during peer review.</w:t>
            </w:r>
          </w:p>
          <w:p w14:paraId="6A99D3F9" w14:textId="77777777" w:rsidR="00122E51" w:rsidRDefault="00122E51"/>
        </w:tc>
        <w:tc>
          <w:tcPr>
            <w:tcW w:w="6442" w:type="dxa"/>
          </w:tcPr>
          <w:p w14:paraId="2A65DBDD" w14:textId="77777777" w:rsidR="00122E51" w:rsidRDefault="0018097D">
            <w:pPr>
              <w:spacing w:after="160" w:line="256" w:lineRule="auto"/>
              <w:rPr>
                <w:sz w:val="20"/>
                <w:szCs w:val="20"/>
              </w:rPr>
            </w:pPr>
            <w:r>
              <w:rPr>
                <w:b/>
                <w:sz w:val="20"/>
                <w:szCs w:val="20"/>
              </w:rPr>
              <w:t>Author’s Feedback</w:t>
            </w:r>
            <w:r>
              <w:rPr>
                <w:sz w:val="20"/>
                <w:szCs w:val="20"/>
              </w:rPr>
              <w:t xml:space="preserve"> (It is mandatory that authors should write his/her feedback here)</w:t>
            </w:r>
          </w:p>
          <w:p w14:paraId="20B0700C" w14:textId="77777777" w:rsidR="00122E51" w:rsidRDefault="00122E51">
            <w:pPr>
              <w:pStyle w:val="Heading2"/>
              <w:jc w:val="left"/>
              <w:rPr>
                <w:rFonts w:ascii="Times New Roman" w:eastAsia="Times New Roman" w:hAnsi="Times New Roman" w:cs="Times New Roman"/>
                <w:b w:val="0"/>
              </w:rPr>
            </w:pPr>
          </w:p>
        </w:tc>
      </w:tr>
      <w:tr w:rsidR="00122E51" w14:paraId="16794CE1" w14:textId="77777777" w:rsidTr="008537D3">
        <w:trPr>
          <w:trHeight w:val="1264"/>
        </w:trPr>
        <w:tc>
          <w:tcPr>
            <w:tcW w:w="5243" w:type="dxa"/>
          </w:tcPr>
          <w:p w14:paraId="1859DEAD" w14:textId="77777777" w:rsidR="00122E51" w:rsidRDefault="0018097D">
            <w:pPr>
              <w:ind w:left="360"/>
              <w:rPr>
                <w:sz w:val="20"/>
                <w:szCs w:val="20"/>
              </w:rPr>
            </w:pPr>
            <w:r>
              <w:rPr>
                <w:b/>
                <w:sz w:val="20"/>
                <w:szCs w:val="20"/>
              </w:rPr>
              <w:t xml:space="preserve">Please write a few sentences regarding the importance of this manuscript for the scientific community. A minimum of </w:t>
            </w:r>
            <w:r>
              <w:rPr>
                <w:b/>
                <w:sz w:val="20"/>
                <w:szCs w:val="20"/>
              </w:rPr>
              <w:t>3-4 sentences may be required for this part.</w:t>
            </w:r>
          </w:p>
          <w:p w14:paraId="4AC060C6" w14:textId="77777777" w:rsidR="00122E51" w:rsidRDefault="00122E51">
            <w:pPr>
              <w:ind w:left="360"/>
              <w:rPr>
                <w:sz w:val="20"/>
                <w:szCs w:val="20"/>
              </w:rPr>
            </w:pPr>
          </w:p>
        </w:tc>
        <w:tc>
          <w:tcPr>
            <w:tcW w:w="9357" w:type="dxa"/>
          </w:tcPr>
          <w:p w14:paraId="514D622C" w14:textId="77777777" w:rsidR="00122E51" w:rsidRDefault="0018097D">
            <w:pPr>
              <w:pBdr>
                <w:top w:val="nil"/>
                <w:left w:val="nil"/>
                <w:bottom w:val="nil"/>
                <w:right w:val="nil"/>
                <w:between w:val="nil"/>
              </w:pBdr>
              <w:rPr>
                <w:color w:val="000000"/>
              </w:rPr>
            </w:pPr>
            <w:r>
              <w:rPr>
                <w:color w:val="000000"/>
              </w:rPr>
              <w:t>This study adds important evidence on non-tree carbon pools (litter, herbaceous vegetation, and soil) in dry deciduous forests of Andhra Pradesh, where such information is limited (see p. 2, para 2 of the Intro</w:t>
            </w:r>
            <w:r>
              <w:rPr>
                <w:color w:val="000000"/>
              </w:rPr>
              <w:t xml:space="preserve">duction). </w:t>
            </w:r>
          </w:p>
          <w:p w14:paraId="20BC0E73" w14:textId="77777777" w:rsidR="00122E51" w:rsidRDefault="0018097D">
            <w:pPr>
              <w:pBdr>
                <w:top w:val="nil"/>
                <w:left w:val="nil"/>
                <w:bottom w:val="nil"/>
                <w:right w:val="nil"/>
                <w:between w:val="nil"/>
              </w:pBdr>
              <w:rPr>
                <w:color w:val="000000"/>
              </w:rPr>
            </w:pPr>
            <w:r>
              <w:rPr>
                <w:color w:val="000000"/>
              </w:rPr>
              <w:t xml:space="preserve">By linking carbon stocks with tree structural attributes, it highlights overlooked mechanisms of sequestration beyond woody biomass (see p. 7, para 1 of the Results and Discussion). </w:t>
            </w:r>
          </w:p>
          <w:p w14:paraId="69830ACC" w14:textId="77777777" w:rsidR="00122E51" w:rsidRDefault="0018097D">
            <w:pPr>
              <w:pBdr>
                <w:top w:val="nil"/>
                <w:left w:val="nil"/>
                <w:bottom w:val="nil"/>
                <w:right w:val="nil"/>
                <w:between w:val="nil"/>
              </w:pBdr>
              <w:rPr>
                <w:color w:val="000000"/>
              </w:rPr>
            </w:pPr>
            <w:r>
              <w:rPr>
                <w:color w:val="000000"/>
              </w:rPr>
              <w:t>These findings provide baseline data that can support improved</w:t>
            </w:r>
            <w:r>
              <w:rPr>
                <w:color w:val="000000"/>
              </w:rPr>
              <w:t xml:space="preserve"> carbon accounting, climate mitigation strategies, and future ecological monitoring in under-studied Indian forest ecosystems (see p. 10, para 1 of the Conclusion).</w:t>
            </w:r>
          </w:p>
        </w:tc>
        <w:tc>
          <w:tcPr>
            <w:tcW w:w="6442" w:type="dxa"/>
          </w:tcPr>
          <w:p w14:paraId="634216B7" w14:textId="77777777" w:rsidR="00122E51" w:rsidRDefault="00122E51">
            <w:pPr>
              <w:pStyle w:val="Heading2"/>
              <w:jc w:val="left"/>
              <w:rPr>
                <w:rFonts w:ascii="Times New Roman" w:eastAsia="Times New Roman" w:hAnsi="Times New Roman" w:cs="Times New Roman"/>
                <w:b w:val="0"/>
              </w:rPr>
            </w:pPr>
          </w:p>
          <w:p w14:paraId="796E45D1" w14:textId="77777777"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The study is significant as it addresses overlooked non-tree carbon pools in tropical fore</w:t>
            </w:r>
            <w:r>
              <w:rPr>
                <w:rFonts w:ascii="Times New Roman" w:eastAsia="Times New Roman" w:hAnsi="Times New Roman" w:cs="Times New Roman"/>
                <w:b w:val="0"/>
              </w:rPr>
              <w:t>sts of Andhra Pradesh, where limited information is available. It provides baseline data that can strengthen future ecological monitoring and policy decisions. These findings contribute to better understanding of carbon sequestration potential in under - s</w:t>
            </w:r>
            <w:r>
              <w:rPr>
                <w:rFonts w:ascii="Times New Roman" w:eastAsia="Times New Roman" w:hAnsi="Times New Roman" w:cs="Times New Roman"/>
                <w:b w:val="0"/>
              </w:rPr>
              <w:t xml:space="preserve">tudied ecosystems. Hence, the manuscript adds both scientific and practical value for climate change mitigation research </w:t>
            </w:r>
          </w:p>
        </w:tc>
      </w:tr>
      <w:tr w:rsidR="00122E51" w14:paraId="61F66042" w14:textId="77777777" w:rsidTr="008537D3">
        <w:trPr>
          <w:trHeight w:val="872"/>
        </w:trPr>
        <w:tc>
          <w:tcPr>
            <w:tcW w:w="5243" w:type="dxa"/>
          </w:tcPr>
          <w:p w14:paraId="46870138" w14:textId="77777777" w:rsidR="00122E51" w:rsidRDefault="0018097D">
            <w:pPr>
              <w:ind w:left="360"/>
              <w:rPr>
                <w:sz w:val="20"/>
                <w:szCs w:val="20"/>
              </w:rPr>
            </w:pPr>
            <w:r>
              <w:rPr>
                <w:b/>
                <w:sz w:val="20"/>
                <w:szCs w:val="20"/>
              </w:rPr>
              <w:t>Is the title of the article suitable?</w:t>
            </w:r>
          </w:p>
          <w:p w14:paraId="4446A500" w14:textId="77777777" w:rsidR="00122E51" w:rsidRDefault="0018097D">
            <w:pPr>
              <w:ind w:left="360"/>
              <w:rPr>
                <w:sz w:val="20"/>
                <w:szCs w:val="20"/>
              </w:rPr>
            </w:pPr>
            <w:r>
              <w:rPr>
                <w:b/>
                <w:sz w:val="20"/>
                <w:szCs w:val="20"/>
              </w:rPr>
              <w:t>(If not please suggest an alternative title)</w:t>
            </w:r>
          </w:p>
          <w:p w14:paraId="6534BACD" w14:textId="77777777" w:rsidR="00122E51" w:rsidRDefault="00122E51">
            <w:pPr>
              <w:pStyle w:val="Heading2"/>
              <w:jc w:val="left"/>
              <w:rPr>
                <w:rFonts w:ascii="Times New Roman" w:eastAsia="Times New Roman" w:hAnsi="Times New Roman" w:cs="Times New Roman"/>
                <w:u w:val="single"/>
              </w:rPr>
            </w:pPr>
          </w:p>
        </w:tc>
        <w:tc>
          <w:tcPr>
            <w:tcW w:w="9357" w:type="dxa"/>
          </w:tcPr>
          <w:p w14:paraId="32EF4774" w14:textId="77777777" w:rsidR="00122E51" w:rsidRDefault="0018097D">
            <w:r>
              <w:t xml:space="preserve">Current title is detailed but long. Consider shortening: </w:t>
            </w:r>
            <w:r>
              <w:rPr>
                <w:b/>
                <w:i/>
              </w:rPr>
              <w:t>“Non-tree Carbon Pools and Tree Trait Effects in Polavaram Range, Andhra Pradesh”</w:t>
            </w:r>
            <w:r>
              <w:t xml:space="preserve"> or </w:t>
            </w:r>
            <w:r>
              <w:rPr>
                <w:b/>
                <w:i/>
              </w:rPr>
              <w:t>“Litter, Herbaceous and Soil Carbon in Polavaram Range (Andhra Pradesh): influence of tree height, DBH and density</w:t>
            </w:r>
            <w:r>
              <w:rPr>
                <w:b/>
                <w:i/>
              </w:rPr>
              <w:t>.”</w:t>
            </w:r>
          </w:p>
        </w:tc>
        <w:tc>
          <w:tcPr>
            <w:tcW w:w="6442" w:type="dxa"/>
          </w:tcPr>
          <w:p w14:paraId="20950615" w14:textId="77777777" w:rsidR="00122E51" w:rsidRDefault="00122E51">
            <w:pPr>
              <w:pStyle w:val="Heading2"/>
              <w:jc w:val="left"/>
              <w:rPr>
                <w:rFonts w:ascii="Times New Roman" w:eastAsia="Times New Roman" w:hAnsi="Times New Roman" w:cs="Times New Roman"/>
                <w:b w:val="0"/>
              </w:rPr>
            </w:pPr>
          </w:p>
          <w:p w14:paraId="10171E69" w14:textId="77777777"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We appreciate the suggestion. The title is detailed but long. Considering shortening. ‘Non-tree Carbon Pools and Tree Effects in Polavaram Range, Andhra Pradesh’. </w:t>
            </w:r>
          </w:p>
        </w:tc>
      </w:tr>
      <w:tr w:rsidR="00122E51" w14:paraId="57902AB4" w14:textId="77777777" w:rsidTr="008537D3">
        <w:trPr>
          <w:trHeight w:val="1262"/>
        </w:trPr>
        <w:tc>
          <w:tcPr>
            <w:tcW w:w="5243" w:type="dxa"/>
          </w:tcPr>
          <w:p w14:paraId="43D7B412" w14:textId="77777777" w:rsidR="00122E51" w:rsidRDefault="0018097D">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abstract of the article comprehensive? Do you suggest the addition (or deletion)</w:t>
            </w:r>
            <w:r>
              <w:rPr>
                <w:rFonts w:ascii="Times New Roman" w:eastAsia="Times New Roman" w:hAnsi="Times New Roman" w:cs="Times New Roman"/>
              </w:rPr>
              <w:t xml:space="preserve"> of some points in this section? Please write your suggestions here.</w:t>
            </w:r>
          </w:p>
          <w:p w14:paraId="4523E630" w14:textId="77777777" w:rsidR="00122E51" w:rsidRDefault="00122E51">
            <w:pPr>
              <w:pStyle w:val="Heading2"/>
              <w:jc w:val="left"/>
              <w:rPr>
                <w:rFonts w:ascii="Times New Roman" w:eastAsia="Times New Roman" w:hAnsi="Times New Roman" w:cs="Times New Roman"/>
                <w:u w:val="single"/>
              </w:rPr>
            </w:pPr>
          </w:p>
        </w:tc>
        <w:tc>
          <w:tcPr>
            <w:tcW w:w="9357" w:type="dxa"/>
          </w:tcPr>
          <w:p w14:paraId="0D429C80" w14:textId="77777777" w:rsidR="00122E51" w:rsidRDefault="0018097D">
            <w:pPr>
              <w:ind w:left="46"/>
            </w:pPr>
            <w:r>
              <w:t>Shorten/clarify to 200–250 words; include sample size and main quantitative results succinctly (e.g., range of total C, and that SOC comprises ~80–90%). Avoid exact p-values in the abstr</w:t>
            </w:r>
            <w:r>
              <w:t>act; give main takeaways and one clear management implication.</w:t>
            </w:r>
          </w:p>
        </w:tc>
        <w:tc>
          <w:tcPr>
            <w:tcW w:w="6442" w:type="dxa"/>
          </w:tcPr>
          <w:p w14:paraId="4F7AA4E7" w14:textId="77777777" w:rsidR="00122E51" w:rsidRDefault="00122E51">
            <w:pPr>
              <w:pStyle w:val="Heading2"/>
              <w:jc w:val="left"/>
              <w:rPr>
                <w:rFonts w:ascii="Times New Roman" w:eastAsia="Times New Roman" w:hAnsi="Times New Roman" w:cs="Times New Roman"/>
                <w:b w:val="0"/>
              </w:rPr>
            </w:pPr>
          </w:p>
          <w:p w14:paraId="2F1519EB" w14:textId="49695A21"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Thank you for this suggestion. We have revised to be more concise and have incorporated your </w:t>
            </w:r>
            <w:r w:rsidR="009B1CBA">
              <w:rPr>
                <w:rFonts w:ascii="Times New Roman" w:eastAsia="Times New Roman" w:hAnsi="Times New Roman" w:cs="Times New Roman"/>
                <w:b w:val="0"/>
              </w:rPr>
              <w:t>specific recommendation</w:t>
            </w:r>
            <w:r>
              <w:rPr>
                <w:rFonts w:ascii="Times New Roman" w:eastAsia="Times New Roman" w:hAnsi="Times New Roman" w:cs="Times New Roman"/>
                <w:b w:val="0"/>
              </w:rPr>
              <w:t xml:space="preserve"> We have removed the precise p- values added the sample size include the key quantitative result for the SOC </w:t>
            </w:r>
            <w:r w:rsidR="009B1CBA">
              <w:rPr>
                <w:rFonts w:ascii="Times New Roman" w:eastAsia="Times New Roman" w:hAnsi="Times New Roman" w:cs="Times New Roman"/>
                <w:b w:val="0"/>
              </w:rPr>
              <w:t>dominance,</w:t>
            </w:r>
            <w:r>
              <w:rPr>
                <w:rFonts w:ascii="Times New Roman" w:eastAsia="Times New Roman" w:hAnsi="Times New Roman" w:cs="Times New Roman"/>
                <w:b w:val="0"/>
              </w:rPr>
              <w:t xml:space="preserve"> and ended with a clear management implication </w:t>
            </w:r>
          </w:p>
        </w:tc>
      </w:tr>
      <w:tr w:rsidR="00122E51" w14:paraId="088050D3" w14:textId="77777777" w:rsidTr="008537D3">
        <w:trPr>
          <w:trHeight w:val="704"/>
        </w:trPr>
        <w:tc>
          <w:tcPr>
            <w:tcW w:w="5243" w:type="dxa"/>
          </w:tcPr>
          <w:p w14:paraId="50C32F87" w14:textId="77777777" w:rsidR="00122E51" w:rsidRDefault="0018097D">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6B033CB6" w14:textId="77777777" w:rsidR="00122E51" w:rsidRDefault="0018097D">
            <w:pPr>
              <w:pBdr>
                <w:top w:val="nil"/>
                <w:left w:val="nil"/>
                <w:bottom w:val="nil"/>
                <w:right w:val="nil"/>
                <w:between w:val="nil"/>
              </w:pBdr>
              <w:rPr>
                <w:color w:val="000000"/>
                <w:sz w:val="22"/>
                <w:szCs w:val="22"/>
              </w:rPr>
            </w:pPr>
            <w:r>
              <w:rPr>
                <w:b/>
                <w:color w:val="000000"/>
                <w:sz w:val="22"/>
                <w:szCs w:val="22"/>
              </w:rPr>
              <w:t xml:space="preserve">The fieldwork and </w:t>
            </w:r>
            <w:r>
              <w:rPr>
                <w:b/>
                <w:color w:val="000000"/>
                <w:sz w:val="22"/>
                <w:szCs w:val="22"/>
              </w:rPr>
              <w:t>measurements are scientifically correct</w:t>
            </w:r>
            <w:r>
              <w:rPr>
                <w:color w:val="000000"/>
                <w:sz w:val="22"/>
                <w:szCs w:val="22"/>
              </w:rPr>
              <w:t xml:space="preserve"> and provide valid baseline data.</w:t>
            </w:r>
          </w:p>
          <w:p w14:paraId="763CF6D1" w14:textId="77777777" w:rsidR="00122E51" w:rsidRDefault="0018097D">
            <w:pPr>
              <w:pBdr>
                <w:top w:val="nil"/>
                <w:left w:val="nil"/>
                <w:bottom w:val="nil"/>
                <w:right w:val="nil"/>
                <w:between w:val="nil"/>
              </w:pBdr>
              <w:rPr>
                <w:color w:val="000000"/>
                <w:sz w:val="22"/>
                <w:szCs w:val="22"/>
              </w:rPr>
            </w:pPr>
            <w:r>
              <w:rPr>
                <w:b/>
                <w:color w:val="000000"/>
                <w:sz w:val="22"/>
                <w:szCs w:val="22"/>
              </w:rPr>
              <w:t xml:space="preserve">The analysis and interpretation are scientifically </w:t>
            </w:r>
            <w:r>
              <w:rPr>
                <w:b/>
                <w:i/>
                <w:color w:val="000000"/>
                <w:sz w:val="22"/>
                <w:szCs w:val="22"/>
              </w:rPr>
              <w:t>weak</w:t>
            </w:r>
            <w:r>
              <w:rPr>
                <w:color w:val="000000"/>
                <w:sz w:val="22"/>
                <w:szCs w:val="22"/>
              </w:rPr>
              <w:t xml:space="preserve"> due to small sample size and over-fitted regressions.</w:t>
            </w:r>
          </w:p>
          <w:p w14:paraId="1BD5B4ED" w14:textId="77777777" w:rsidR="00122E51" w:rsidRDefault="0018097D">
            <w:pPr>
              <w:pBdr>
                <w:top w:val="nil"/>
                <w:left w:val="nil"/>
                <w:bottom w:val="nil"/>
                <w:right w:val="nil"/>
                <w:between w:val="nil"/>
              </w:pBdr>
              <w:rPr>
                <w:color w:val="000000"/>
                <w:sz w:val="22"/>
                <w:szCs w:val="22"/>
              </w:rPr>
            </w:pPr>
            <w:r>
              <w:rPr>
                <w:color w:val="000000"/>
                <w:sz w:val="22"/>
                <w:szCs w:val="22"/>
              </w:rPr>
              <w:t xml:space="preserve">If you </w:t>
            </w:r>
            <w:r>
              <w:rPr>
                <w:b/>
                <w:color w:val="000000"/>
                <w:sz w:val="22"/>
                <w:szCs w:val="22"/>
              </w:rPr>
              <w:t>reframe results as exploratory</w:t>
            </w:r>
            <w:r>
              <w:rPr>
                <w:color w:val="000000"/>
                <w:sz w:val="22"/>
                <w:szCs w:val="22"/>
              </w:rPr>
              <w:t xml:space="preserve"> and adjust statistical claims, the </w:t>
            </w:r>
            <w:r>
              <w:rPr>
                <w:color w:val="000000"/>
                <w:sz w:val="22"/>
                <w:szCs w:val="22"/>
              </w:rPr>
              <w:t>manuscript will still be valuable for the scientific community.</w:t>
            </w:r>
          </w:p>
          <w:p w14:paraId="708AAB75" w14:textId="77777777" w:rsidR="00122E51" w:rsidRDefault="0018097D">
            <w:pPr>
              <w:pBdr>
                <w:top w:val="nil"/>
                <w:left w:val="nil"/>
                <w:bottom w:val="nil"/>
                <w:right w:val="nil"/>
                <w:between w:val="nil"/>
              </w:pBdr>
              <w:ind w:left="720"/>
              <w:rPr>
                <w:color w:val="000000"/>
                <w:sz w:val="22"/>
                <w:szCs w:val="22"/>
              </w:rPr>
            </w:pPr>
            <w:r>
              <w:rPr>
                <w:b/>
                <w:color w:val="000000"/>
                <w:sz w:val="22"/>
                <w:szCs w:val="22"/>
              </w:rPr>
              <w:t>Revised Results</w:t>
            </w:r>
          </w:p>
          <w:p w14:paraId="12E08CA9" w14:textId="378ABF4F" w:rsidR="00122E51" w:rsidRDefault="0018097D">
            <w:pPr>
              <w:pBdr>
                <w:top w:val="nil"/>
                <w:left w:val="nil"/>
                <w:bottom w:val="nil"/>
                <w:right w:val="nil"/>
                <w:between w:val="nil"/>
              </w:pBdr>
              <w:ind w:left="720"/>
              <w:rPr>
                <w:color w:val="000000"/>
                <w:sz w:val="22"/>
                <w:szCs w:val="22"/>
              </w:rPr>
            </w:pPr>
            <w:r>
              <w:rPr>
                <w:color w:val="000000"/>
                <w:sz w:val="22"/>
                <w:szCs w:val="22"/>
              </w:rPr>
              <w:t xml:space="preserve">Across the eight beats of Polavaram Range, total carbon storage varied considerably, with soil organic carbon (SOC) contributing the largest share, followed by litter and herbaceous vegetation. Mean SOC values ranged between </w:t>
            </w:r>
            <w:r w:rsidR="00000E6F">
              <w:rPr>
                <w:color w:val="000000"/>
                <w:sz w:val="22"/>
                <w:szCs w:val="22"/>
              </w:rPr>
              <w:t>36.44</w:t>
            </w:r>
            <w:r>
              <w:rPr>
                <w:color w:val="000000"/>
                <w:sz w:val="22"/>
                <w:szCs w:val="22"/>
              </w:rPr>
              <w:t xml:space="preserve"> </w:t>
            </w:r>
            <w:r w:rsidR="00000E6F">
              <w:rPr>
                <w:color w:val="000000"/>
                <w:sz w:val="22"/>
                <w:szCs w:val="22"/>
              </w:rPr>
              <w:t>and 108.37 Mg</w:t>
            </w:r>
            <w:r>
              <w:rPr>
                <w:color w:val="000000"/>
                <w:sz w:val="22"/>
                <w:szCs w:val="22"/>
              </w:rPr>
              <w:t xml:space="preserve"> C ha⁻¹, con</w:t>
            </w:r>
            <w:r>
              <w:rPr>
                <w:color w:val="000000"/>
                <w:sz w:val="22"/>
                <w:szCs w:val="22"/>
              </w:rPr>
              <w:t xml:space="preserve">sistent with dry deciduous forest systems reported elsewhere in India. Litter carbon ranged from </w:t>
            </w:r>
            <w:r w:rsidR="00000E6F">
              <w:rPr>
                <w:color w:val="000000"/>
                <w:sz w:val="22"/>
                <w:szCs w:val="22"/>
              </w:rPr>
              <w:t>1.27</w:t>
            </w:r>
            <w:r>
              <w:rPr>
                <w:color w:val="000000"/>
                <w:sz w:val="22"/>
                <w:szCs w:val="22"/>
              </w:rPr>
              <w:t xml:space="preserve">to </w:t>
            </w:r>
            <w:r w:rsidR="00000E6F">
              <w:rPr>
                <w:color w:val="000000"/>
                <w:sz w:val="22"/>
                <w:szCs w:val="22"/>
              </w:rPr>
              <w:t>2.62</w:t>
            </w:r>
            <w:r>
              <w:rPr>
                <w:color w:val="000000"/>
                <w:sz w:val="22"/>
                <w:szCs w:val="22"/>
              </w:rPr>
              <w:t xml:space="preserve"> Mg C ha⁻¹, while herbaceous carbon contributed relatively smaller but non-negligible amounts.</w:t>
            </w:r>
          </w:p>
          <w:p w14:paraId="4B80EB43" w14:textId="77777777" w:rsidR="00122E51" w:rsidRDefault="0018097D">
            <w:pPr>
              <w:pBdr>
                <w:top w:val="nil"/>
                <w:left w:val="nil"/>
                <w:bottom w:val="nil"/>
                <w:right w:val="nil"/>
                <w:between w:val="nil"/>
              </w:pBdr>
              <w:ind w:left="720"/>
              <w:rPr>
                <w:color w:val="000000"/>
                <w:sz w:val="22"/>
                <w:szCs w:val="22"/>
              </w:rPr>
            </w:pPr>
            <w:r>
              <w:rPr>
                <w:color w:val="000000"/>
                <w:sz w:val="22"/>
                <w:szCs w:val="22"/>
              </w:rPr>
              <w:t>Exploratory regression analyses suggested potential a</w:t>
            </w:r>
            <w:r>
              <w:rPr>
                <w:color w:val="000000"/>
                <w:sz w:val="22"/>
                <w:szCs w:val="22"/>
              </w:rPr>
              <w:t>ssociations between carbon pools and tree structural attributes. For example, beats with higher tree density tended to exhibit greater SOC and litter carbon, while diameter at breast height (DBH) and tree height showed weaker or inconsistent relationships.</w:t>
            </w:r>
            <w:r>
              <w:rPr>
                <w:color w:val="000000"/>
                <w:sz w:val="22"/>
                <w:szCs w:val="22"/>
              </w:rPr>
              <w:t xml:space="preserve"> However, given the limited sample size (n = 8), these statistical relationships should be interpreted with caution. They are presented here as preliminary patterns rather than definitive predictors.</w:t>
            </w:r>
          </w:p>
          <w:p w14:paraId="2BCE4833" w14:textId="77777777" w:rsidR="00122E51" w:rsidRDefault="0018097D">
            <w:pPr>
              <w:pBdr>
                <w:top w:val="nil"/>
                <w:left w:val="nil"/>
                <w:bottom w:val="nil"/>
                <w:right w:val="nil"/>
                <w:between w:val="nil"/>
              </w:pBdr>
              <w:ind w:left="720"/>
              <w:rPr>
                <w:color w:val="000000"/>
                <w:sz w:val="22"/>
                <w:szCs w:val="22"/>
              </w:rPr>
            </w:pPr>
            <w:r>
              <w:rPr>
                <w:b/>
                <w:color w:val="000000"/>
                <w:sz w:val="22"/>
                <w:szCs w:val="22"/>
              </w:rPr>
              <w:t>Revised Discussion</w:t>
            </w:r>
          </w:p>
          <w:p w14:paraId="23B4A4B8" w14:textId="77777777" w:rsidR="00122E51" w:rsidRDefault="0018097D">
            <w:pPr>
              <w:pBdr>
                <w:top w:val="nil"/>
                <w:left w:val="nil"/>
                <w:bottom w:val="nil"/>
                <w:right w:val="nil"/>
                <w:between w:val="nil"/>
              </w:pBdr>
              <w:ind w:left="720"/>
              <w:rPr>
                <w:color w:val="000000"/>
                <w:sz w:val="22"/>
                <w:szCs w:val="22"/>
              </w:rPr>
            </w:pPr>
            <w:r>
              <w:rPr>
                <w:color w:val="000000"/>
                <w:sz w:val="22"/>
                <w:szCs w:val="22"/>
              </w:rPr>
              <w:t>The dominance of SOC across all beats</w:t>
            </w:r>
            <w:r>
              <w:rPr>
                <w:color w:val="000000"/>
                <w:sz w:val="22"/>
                <w:szCs w:val="22"/>
              </w:rPr>
              <w:t xml:space="preserve"> underscores its role as the most stable and substantial carbon reservoir in dry deciduous forests. This finding aligns with studies in other parts of India where soils account for 70–90% of total ecosystem carbon. Litter and herbaceous pools, although sma</w:t>
            </w:r>
            <w:r>
              <w:rPr>
                <w:color w:val="000000"/>
                <w:sz w:val="22"/>
                <w:szCs w:val="22"/>
              </w:rPr>
              <w:t>ller, are ecologically important because they contribute to nutrient cycling and can respond rapidly to seasonal and anthropogenic pressures.</w:t>
            </w:r>
          </w:p>
          <w:p w14:paraId="641FF8AA" w14:textId="77777777" w:rsidR="00122E51" w:rsidRDefault="0018097D">
            <w:pPr>
              <w:pBdr>
                <w:top w:val="nil"/>
                <w:left w:val="nil"/>
                <w:bottom w:val="nil"/>
                <w:right w:val="nil"/>
                <w:between w:val="nil"/>
              </w:pBdr>
              <w:ind w:left="720"/>
              <w:rPr>
                <w:color w:val="000000"/>
                <w:sz w:val="22"/>
                <w:szCs w:val="22"/>
              </w:rPr>
            </w:pPr>
            <w:r>
              <w:rPr>
                <w:color w:val="000000"/>
                <w:sz w:val="22"/>
                <w:szCs w:val="22"/>
              </w:rPr>
              <w:t xml:space="preserve">The exploratory associations between tree density and carbon storage are ecologically plausible, as denser stands </w:t>
            </w:r>
            <w:r>
              <w:rPr>
                <w:color w:val="000000"/>
                <w:sz w:val="22"/>
                <w:szCs w:val="22"/>
              </w:rPr>
              <w:t xml:space="preserve">can enhance organic matter inputs through litterfall and root turnover. However, these findings are based on single 20 × 20 m plots per beat and should not be generalized across the entire 24,000 ha range without additional replication. Seasonal variation </w:t>
            </w:r>
            <w:r>
              <w:rPr>
                <w:color w:val="000000"/>
                <w:sz w:val="22"/>
                <w:szCs w:val="22"/>
              </w:rPr>
              <w:t>is another consideration, since litter and herbaceous carbon stocks fluctuate with monsoon rainfall and decomposition rates. Future studies should therefore include repeated sampling across seasons and multiple plots per beat to improve robustness.</w:t>
            </w:r>
          </w:p>
          <w:p w14:paraId="39937916" w14:textId="77777777" w:rsidR="00122E51" w:rsidRDefault="0018097D">
            <w:pPr>
              <w:pBdr>
                <w:top w:val="nil"/>
                <w:left w:val="nil"/>
                <w:bottom w:val="nil"/>
                <w:right w:val="nil"/>
                <w:between w:val="nil"/>
              </w:pBdr>
              <w:ind w:left="720"/>
              <w:rPr>
                <w:color w:val="000000"/>
                <w:sz w:val="22"/>
                <w:szCs w:val="22"/>
              </w:rPr>
            </w:pPr>
            <w:r>
              <w:rPr>
                <w:color w:val="000000"/>
                <w:sz w:val="22"/>
                <w:szCs w:val="22"/>
              </w:rPr>
              <w:t>Despite</w:t>
            </w:r>
            <w:r>
              <w:rPr>
                <w:color w:val="000000"/>
                <w:sz w:val="22"/>
                <w:szCs w:val="22"/>
              </w:rPr>
              <w:t xml:space="preserve"> these limitations, this study provides a valuable </w:t>
            </w:r>
            <w:r>
              <w:rPr>
                <w:b/>
                <w:color w:val="000000"/>
                <w:sz w:val="22"/>
                <w:szCs w:val="22"/>
              </w:rPr>
              <w:t>baseline dataset</w:t>
            </w:r>
            <w:r>
              <w:rPr>
                <w:color w:val="000000"/>
                <w:sz w:val="22"/>
                <w:szCs w:val="22"/>
              </w:rPr>
              <w:t xml:space="preserve"> for non-tree carbon pools in the Polavaram Range. Such information is scarce in Andhra Pradesh, and these results can inform regional carbon accounting, climate mitigation strategies, and </w:t>
            </w:r>
            <w:r>
              <w:rPr>
                <w:color w:val="000000"/>
                <w:sz w:val="22"/>
                <w:szCs w:val="22"/>
              </w:rPr>
              <w:t>sustainable forest management. They also highlight methodological issues such as the need to supplement Walkley–Black analysis with more accurate techniques that will be useful for other researchers designing similar studies.</w:t>
            </w:r>
          </w:p>
          <w:p w14:paraId="699906F9" w14:textId="77777777" w:rsidR="00122E51" w:rsidRDefault="00122E51">
            <w:pPr>
              <w:pBdr>
                <w:top w:val="nil"/>
                <w:left w:val="nil"/>
                <w:bottom w:val="nil"/>
                <w:right w:val="nil"/>
                <w:between w:val="nil"/>
              </w:pBdr>
              <w:ind w:left="720"/>
              <w:rPr>
                <w:color w:val="000000"/>
                <w:sz w:val="22"/>
                <w:szCs w:val="22"/>
              </w:rPr>
            </w:pPr>
          </w:p>
          <w:p w14:paraId="2EAD7153" w14:textId="77777777" w:rsidR="00122E51" w:rsidRDefault="0018097D">
            <w:pPr>
              <w:pBdr>
                <w:top w:val="nil"/>
                <w:left w:val="nil"/>
                <w:bottom w:val="nil"/>
                <w:right w:val="nil"/>
                <w:between w:val="nil"/>
              </w:pBdr>
              <w:ind w:left="720"/>
              <w:rPr>
                <w:color w:val="000000"/>
                <w:sz w:val="22"/>
                <w:szCs w:val="22"/>
              </w:rPr>
            </w:pPr>
            <w:r>
              <w:rPr>
                <w:b/>
                <w:color w:val="000000"/>
                <w:sz w:val="22"/>
                <w:szCs w:val="22"/>
              </w:rPr>
              <w:t>Scientifically sound aspects</w:t>
            </w:r>
          </w:p>
          <w:p w14:paraId="4EE14216" w14:textId="77777777" w:rsidR="00122E51" w:rsidRDefault="0018097D">
            <w:pPr>
              <w:numPr>
                <w:ilvl w:val="0"/>
                <w:numId w:val="11"/>
              </w:numPr>
              <w:pBdr>
                <w:top w:val="nil"/>
                <w:left w:val="nil"/>
                <w:bottom w:val="nil"/>
                <w:right w:val="nil"/>
                <w:between w:val="nil"/>
              </w:pBdr>
              <w:rPr>
                <w:color w:val="000000"/>
                <w:sz w:val="22"/>
                <w:szCs w:val="22"/>
              </w:rPr>
            </w:pPr>
            <w:r>
              <w:rPr>
                <w:b/>
                <w:color w:val="000000"/>
                <w:sz w:val="22"/>
                <w:szCs w:val="22"/>
              </w:rPr>
              <w:t>Clear objectives</w:t>
            </w:r>
            <w:r>
              <w:rPr>
                <w:color w:val="000000"/>
                <w:sz w:val="22"/>
                <w:szCs w:val="22"/>
              </w:rPr>
              <w:t>: quantifying carbon in litter, herbaceous vegetation, and soils across eight beats, and testing links with tree traits.</w:t>
            </w:r>
          </w:p>
          <w:p w14:paraId="32B12407" w14:textId="77777777" w:rsidR="00122E51" w:rsidRDefault="0018097D">
            <w:pPr>
              <w:numPr>
                <w:ilvl w:val="0"/>
                <w:numId w:val="11"/>
              </w:numPr>
              <w:pBdr>
                <w:top w:val="nil"/>
                <w:left w:val="nil"/>
                <w:bottom w:val="nil"/>
                <w:right w:val="nil"/>
                <w:between w:val="nil"/>
              </w:pBdr>
              <w:rPr>
                <w:color w:val="000000"/>
                <w:sz w:val="22"/>
                <w:szCs w:val="22"/>
              </w:rPr>
            </w:pPr>
            <w:r>
              <w:rPr>
                <w:b/>
                <w:color w:val="000000"/>
                <w:sz w:val="22"/>
                <w:szCs w:val="22"/>
              </w:rPr>
              <w:t>Field and lab methods</w:t>
            </w:r>
            <w:r>
              <w:rPr>
                <w:color w:val="000000"/>
                <w:sz w:val="22"/>
                <w:szCs w:val="22"/>
              </w:rPr>
              <w:t>: standard ecological procedures were used (quadrats, bulk density sampling, Walkley-Black, litter</w:t>
            </w:r>
            <w:r>
              <w:rPr>
                <w:color w:val="000000"/>
                <w:sz w:val="22"/>
                <w:szCs w:val="22"/>
              </w:rPr>
              <w:t>/biomass drying). These are widely accepted in soil and forest ecology.</w:t>
            </w:r>
          </w:p>
          <w:p w14:paraId="50BFF8CF" w14:textId="77777777" w:rsidR="00122E51" w:rsidRDefault="0018097D">
            <w:pPr>
              <w:numPr>
                <w:ilvl w:val="0"/>
                <w:numId w:val="11"/>
              </w:numPr>
              <w:pBdr>
                <w:top w:val="nil"/>
                <w:left w:val="nil"/>
                <w:bottom w:val="nil"/>
                <w:right w:val="nil"/>
                <w:between w:val="nil"/>
              </w:pBdr>
              <w:rPr>
                <w:color w:val="000000"/>
                <w:sz w:val="22"/>
                <w:szCs w:val="22"/>
              </w:rPr>
            </w:pPr>
            <w:r>
              <w:rPr>
                <w:b/>
                <w:color w:val="000000"/>
                <w:sz w:val="22"/>
                <w:szCs w:val="22"/>
              </w:rPr>
              <w:t>Relevance</w:t>
            </w:r>
            <w:r>
              <w:rPr>
                <w:color w:val="000000"/>
                <w:sz w:val="22"/>
                <w:szCs w:val="22"/>
              </w:rPr>
              <w:t>: Non-tree carbon pools are under-reported, and your dataset provides useful baseline values for Andhra Pradesh.</w:t>
            </w:r>
          </w:p>
          <w:p w14:paraId="6FB8F5FD" w14:textId="77777777" w:rsidR="00122E51" w:rsidRDefault="0018097D">
            <w:pPr>
              <w:numPr>
                <w:ilvl w:val="0"/>
                <w:numId w:val="11"/>
              </w:numPr>
              <w:pBdr>
                <w:top w:val="nil"/>
                <w:left w:val="nil"/>
                <w:bottom w:val="nil"/>
                <w:right w:val="nil"/>
                <w:between w:val="nil"/>
              </w:pBdr>
              <w:rPr>
                <w:color w:val="000000"/>
                <w:sz w:val="22"/>
                <w:szCs w:val="22"/>
              </w:rPr>
            </w:pPr>
            <w:r>
              <w:rPr>
                <w:b/>
                <w:color w:val="000000"/>
                <w:sz w:val="22"/>
                <w:szCs w:val="22"/>
              </w:rPr>
              <w:t>Contextualization</w:t>
            </w:r>
            <w:r>
              <w:rPr>
                <w:color w:val="000000"/>
                <w:sz w:val="22"/>
                <w:szCs w:val="22"/>
              </w:rPr>
              <w:t xml:space="preserve">: The Introduction and Discussion link </w:t>
            </w:r>
            <w:r>
              <w:rPr>
                <w:color w:val="000000"/>
                <w:sz w:val="22"/>
                <w:szCs w:val="22"/>
              </w:rPr>
              <w:t>findings to previous literature on carbon storage in Indian forests.</w:t>
            </w:r>
          </w:p>
          <w:p w14:paraId="25C1CE1E" w14:textId="77777777" w:rsidR="00122E51" w:rsidRDefault="00122E51">
            <w:pPr>
              <w:pBdr>
                <w:top w:val="nil"/>
                <w:left w:val="nil"/>
                <w:bottom w:val="nil"/>
                <w:right w:val="nil"/>
                <w:between w:val="nil"/>
              </w:pBdr>
              <w:rPr>
                <w:color w:val="000000"/>
                <w:sz w:val="22"/>
                <w:szCs w:val="22"/>
              </w:rPr>
            </w:pPr>
          </w:p>
          <w:p w14:paraId="170D1B42" w14:textId="77777777" w:rsidR="00122E51" w:rsidRDefault="00122E51">
            <w:pPr>
              <w:pBdr>
                <w:top w:val="nil"/>
                <w:left w:val="nil"/>
                <w:bottom w:val="nil"/>
                <w:right w:val="nil"/>
                <w:between w:val="nil"/>
              </w:pBdr>
              <w:rPr>
                <w:color w:val="000000"/>
                <w:sz w:val="22"/>
                <w:szCs w:val="22"/>
              </w:rPr>
            </w:pPr>
          </w:p>
        </w:tc>
        <w:tc>
          <w:tcPr>
            <w:tcW w:w="6442" w:type="dxa"/>
          </w:tcPr>
          <w:p w14:paraId="6CDB7BF4" w14:textId="77777777"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 </w:t>
            </w:r>
          </w:p>
          <w:p w14:paraId="3B2F3CB2" w14:textId="32889083"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Thank you for the constructive </w:t>
            </w:r>
            <w:r w:rsidR="009B1CBA">
              <w:rPr>
                <w:rFonts w:ascii="Times New Roman" w:eastAsia="Times New Roman" w:hAnsi="Times New Roman" w:cs="Times New Roman"/>
                <w:b w:val="0"/>
              </w:rPr>
              <w:t>Feedback.</w:t>
            </w:r>
            <w:r>
              <w:rPr>
                <w:rFonts w:ascii="Times New Roman" w:eastAsia="Times New Roman" w:hAnsi="Times New Roman" w:cs="Times New Roman"/>
                <w:b w:val="0"/>
              </w:rPr>
              <w:t xml:space="preserve"> We agree with the assessment and have revised the manuscript </w:t>
            </w:r>
            <w:r w:rsidR="009B1CBA">
              <w:rPr>
                <w:rFonts w:ascii="Times New Roman" w:eastAsia="Times New Roman" w:hAnsi="Times New Roman" w:cs="Times New Roman"/>
                <w:b w:val="0"/>
              </w:rPr>
              <w:t>accordingly.</w:t>
            </w:r>
            <w:r>
              <w:rPr>
                <w:rFonts w:ascii="Times New Roman" w:eastAsia="Times New Roman" w:hAnsi="Times New Roman" w:cs="Times New Roman"/>
                <w:b w:val="0"/>
              </w:rPr>
              <w:t xml:space="preserve"> The Results and discussion sections have been reframed to present the findings exploratory and to emphasize the value of the work as a baseline dataset, while appropriately cautioning against over interpretation of the statistical relationships due to the</w:t>
            </w:r>
            <w:r>
              <w:rPr>
                <w:rFonts w:ascii="Times New Roman" w:eastAsia="Times New Roman" w:hAnsi="Times New Roman" w:cs="Times New Roman"/>
                <w:b w:val="0"/>
              </w:rPr>
              <w:t xml:space="preserve"> sample size. We believe those </w:t>
            </w:r>
            <w:r w:rsidR="00A3785B">
              <w:rPr>
                <w:rFonts w:ascii="Times New Roman" w:eastAsia="Times New Roman" w:hAnsi="Times New Roman" w:cs="Times New Roman"/>
                <w:b w:val="0"/>
              </w:rPr>
              <w:t>changes strengthen</w:t>
            </w:r>
            <w:r>
              <w:rPr>
                <w:rFonts w:ascii="Times New Roman" w:eastAsia="Times New Roman" w:hAnsi="Times New Roman" w:cs="Times New Roman"/>
                <w:b w:val="0"/>
              </w:rPr>
              <w:t xml:space="preserve"> the manuscript and accurately present its contribution to the field </w:t>
            </w:r>
          </w:p>
          <w:p w14:paraId="1E3858A6" w14:textId="77777777" w:rsidR="00122E51" w:rsidRDefault="00122E51"/>
          <w:p w14:paraId="72ADA5ED" w14:textId="77777777" w:rsidR="00122E51" w:rsidRDefault="00122E51"/>
          <w:p w14:paraId="0AC37C32" w14:textId="77777777" w:rsidR="00122E51" w:rsidRDefault="00122E51"/>
        </w:tc>
      </w:tr>
      <w:tr w:rsidR="00122E51" w14:paraId="2C361037" w14:textId="77777777" w:rsidTr="008537D3">
        <w:trPr>
          <w:trHeight w:val="703"/>
        </w:trPr>
        <w:tc>
          <w:tcPr>
            <w:tcW w:w="5243" w:type="dxa"/>
          </w:tcPr>
          <w:p w14:paraId="3DA96D25" w14:textId="77777777" w:rsidR="00122E51" w:rsidRDefault="0018097D">
            <w:pPr>
              <w:ind w:left="360"/>
              <w:rPr>
                <w:sz w:val="20"/>
                <w:szCs w:val="20"/>
              </w:rPr>
            </w:pPr>
            <w:r>
              <w:rPr>
                <w:b/>
                <w:sz w:val="20"/>
                <w:szCs w:val="20"/>
              </w:rPr>
              <w:lastRenderedPageBreak/>
              <w:t>Are the references sufficient and recent? If you have suggestions of additional references, please mention them in the review form.</w:t>
            </w:r>
          </w:p>
        </w:tc>
        <w:tc>
          <w:tcPr>
            <w:tcW w:w="9357" w:type="dxa"/>
          </w:tcPr>
          <w:p w14:paraId="27CCEAA7" w14:textId="77777777" w:rsidR="00122E51" w:rsidRDefault="0018097D">
            <w:pPr>
              <w:pBdr>
                <w:top w:val="nil"/>
                <w:left w:val="nil"/>
                <w:bottom w:val="nil"/>
                <w:right w:val="nil"/>
                <w:between w:val="nil"/>
              </w:pBdr>
              <w:rPr>
                <w:color w:val="000000"/>
                <w:sz w:val="20"/>
                <w:szCs w:val="20"/>
              </w:rPr>
            </w:pPr>
            <w:r>
              <w:rPr>
                <w:color w:val="000000"/>
                <w:sz w:val="20"/>
                <w:szCs w:val="20"/>
              </w:rPr>
              <w:t>R</w:t>
            </w:r>
            <w:r>
              <w:rPr>
                <w:color w:val="000000"/>
                <w:sz w:val="20"/>
                <w:szCs w:val="20"/>
              </w:rPr>
              <w:t xml:space="preserve">eferences are not sufficient. It should be between 20 and 30 references and use updated references. </w:t>
            </w:r>
          </w:p>
          <w:p w14:paraId="7B52C3B5" w14:textId="77777777" w:rsidR="00122E51" w:rsidRDefault="0018097D">
            <w:pPr>
              <w:numPr>
                <w:ilvl w:val="0"/>
                <w:numId w:val="1"/>
              </w:numPr>
              <w:pBdr>
                <w:top w:val="nil"/>
                <w:left w:val="nil"/>
                <w:bottom w:val="nil"/>
                <w:right w:val="nil"/>
                <w:between w:val="nil"/>
              </w:pBdr>
              <w:rPr>
                <w:color w:val="000000"/>
                <w:sz w:val="20"/>
                <w:szCs w:val="20"/>
              </w:rPr>
            </w:pPr>
            <w:proofErr w:type="spellStart"/>
            <w:r>
              <w:rPr>
                <w:b/>
                <w:color w:val="000000"/>
                <w:sz w:val="20"/>
                <w:szCs w:val="20"/>
              </w:rPr>
              <w:t>Dabbara</w:t>
            </w:r>
            <w:proofErr w:type="spellEnd"/>
            <w:r>
              <w:rPr>
                <w:b/>
                <w:color w:val="000000"/>
                <w:sz w:val="20"/>
                <w:szCs w:val="20"/>
              </w:rPr>
              <w:t>, R., et al. (2022). "Carbon stocks of scattered category of trees outside forest in Prakasam District, Andhra Pradesh, India"</w:t>
            </w:r>
            <w:r>
              <w:rPr>
                <w:color w:val="000000"/>
                <w:sz w:val="20"/>
                <w:szCs w:val="20"/>
              </w:rPr>
              <w:t>.</w:t>
            </w:r>
          </w:p>
          <w:p w14:paraId="312AFC0D" w14:textId="77777777" w:rsidR="00122E51" w:rsidRDefault="0018097D">
            <w:pPr>
              <w:numPr>
                <w:ilvl w:val="1"/>
                <w:numId w:val="2"/>
              </w:numPr>
              <w:pBdr>
                <w:top w:val="nil"/>
                <w:left w:val="nil"/>
                <w:bottom w:val="nil"/>
                <w:right w:val="nil"/>
                <w:between w:val="nil"/>
              </w:pBdr>
              <w:rPr>
                <w:color w:val="000000"/>
                <w:sz w:val="20"/>
                <w:szCs w:val="20"/>
              </w:rPr>
            </w:pPr>
            <w:r>
              <w:rPr>
                <w:b/>
                <w:color w:val="000000"/>
                <w:sz w:val="20"/>
                <w:szCs w:val="20"/>
              </w:rPr>
              <w:t>Focus:</w:t>
            </w:r>
            <w:r>
              <w:rPr>
                <w:color w:val="000000"/>
                <w:sz w:val="20"/>
                <w:szCs w:val="20"/>
              </w:rPr>
              <w:t xml:space="preserve"> This study </w:t>
            </w:r>
            <w:r>
              <w:rPr>
                <w:color w:val="000000"/>
                <w:sz w:val="20"/>
                <w:szCs w:val="20"/>
              </w:rPr>
              <w:t>estimates the carbon stock of trees outside of forests in a district in Andhra Pradesh. While focused on a different area, the methodologies used for sampling, biomass, and carbon stock assessment could be applicable to a forest range study.</w:t>
            </w:r>
          </w:p>
          <w:p w14:paraId="59145DF5" w14:textId="77777777" w:rsidR="00122E51" w:rsidRDefault="0018097D">
            <w:pPr>
              <w:numPr>
                <w:ilvl w:val="0"/>
                <w:numId w:val="1"/>
              </w:numPr>
              <w:pBdr>
                <w:top w:val="nil"/>
                <w:left w:val="nil"/>
                <w:bottom w:val="nil"/>
                <w:right w:val="nil"/>
                <w:between w:val="nil"/>
              </w:pBdr>
              <w:rPr>
                <w:color w:val="000000"/>
                <w:sz w:val="20"/>
                <w:szCs w:val="20"/>
              </w:rPr>
            </w:pPr>
            <w:r>
              <w:rPr>
                <w:b/>
                <w:color w:val="000000"/>
                <w:sz w:val="20"/>
                <w:szCs w:val="20"/>
              </w:rPr>
              <w:t>Mastan, T., et</w:t>
            </w:r>
            <w:r>
              <w:rPr>
                <w:b/>
                <w:color w:val="000000"/>
                <w:sz w:val="20"/>
                <w:szCs w:val="20"/>
              </w:rPr>
              <w:t xml:space="preserve"> al. (2014). "Assessment of Soil Organic Carbon in Three Different Land Use Patterns in </w:t>
            </w:r>
            <w:proofErr w:type="spellStart"/>
            <w:r>
              <w:rPr>
                <w:b/>
                <w:color w:val="000000"/>
                <w:sz w:val="20"/>
                <w:szCs w:val="20"/>
              </w:rPr>
              <w:t>Semi Arid</w:t>
            </w:r>
            <w:proofErr w:type="spellEnd"/>
            <w:r>
              <w:rPr>
                <w:b/>
                <w:color w:val="000000"/>
                <w:sz w:val="20"/>
                <w:szCs w:val="20"/>
              </w:rPr>
              <w:t xml:space="preserve"> Regions of </w:t>
            </w:r>
            <w:proofErr w:type="spellStart"/>
            <w:r>
              <w:rPr>
                <w:b/>
                <w:color w:val="000000"/>
                <w:sz w:val="20"/>
                <w:szCs w:val="20"/>
              </w:rPr>
              <w:t>Anantapuramu</w:t>
            </w:r>
            <w:proofErr w:type="spellEnd"/>
            <w:r>
              <w:rPr>
                <w:b/>
                <w:color w:val="000000"/>
                <w:sz w:val="20"/>
                <w:szCs w:val="20"/>
              </w:rPr>
              <w:t xml:space="preserve"> District, Andhra Pradesh"</w:t>
            </w:r>
            <w:r>
              <w:rPr>
                <w:color w:val="000000"/>
                <w:sz w:val="20"/>
                <w:szCs w:val="20"/>
              </w:rPr>
              <w:t>.</w:t>
            </w:r>
          </w:p>
          <w:p w14:paraId="7D6554AB" w14:textId="77777777" w:rsidR="00122E51" w:rsidRDefault="0018097D">
            <w:pPr>
              <w:numPr>
                <w:ilvl w:val="1"/>
                <w:numId w:val="3"/>
              </w:numPr>
              <w:pBdr>
                <w:top w:val="nil"/>
                <w:left w:val="nil"/>
                <w:bottom w:val="nil"/>
                <w:right w:val="nil"/>
                <w:between w:val="nil"/>
              </w:pBdr>
              <w:rPr>
                <w:color w:val="000000"/>
                <w:sz w:val="20"/>
                <w:szCs w:val="20"/>
              </w:rPr>
            </w:pPr>
            <w:r>
              <w:rPr>
                <w:b/>
                <w:color w:val="000000"/>
                <w:sz w:val="20"/>
                <w:szCs w:val="20"/>
              </w:rPr>
              <w:t>Focus:</w:t>
            </w:r>
            <w:r>
              <w:rPr>
                <w:color w:val="000000"/>
                <w:sz w:val="20"/>
                <w:szCs w:val="20"/>
              </w:rPr>
              <w:t xml:space="preserve"> This paper compares soil organic carbon (SOC) in different land-use types within Andhra Pradesh. It </w:t>
            </w:r>
            <w:r>
              <w:rPr>
                <w:color w:val="000000"/>
                <w:sz w:val="20"/>
                <w:szCs w:val="20"/>
              </w:rPr>
              <w:t>provides valuable context and data for SOC levels in the region, particularly for how forestland compares to other uses.</w:t>
            </w:r>
          </w:p>
          <w:p w14:paraId="336E2E11" w14:textId="77777777" w:rsidR="00122E51" w:rsidRDefault="0018097D">
            <w:pPr>
              <w:numPr>
                <w:ilvl w:val="0"/>
                <w:numId w:val="1"/>
              </w:numPr>
              <w:pBdr>
                <w:top w:val="nil"/>
                <w:left w:val="nil"/>
                <w:bottom w:val="nil"/>
                <w:right w:val="nil"/>
                <w:between w:val="nil"/>
              </w:pBdr>
              <w:rPr>
                <w:color w:val="000000"/>
                <w:sz w:val="20"/>
                <w:szCs w:val="20"/>
              </w:rPr>
            </w:pPr>
            <w:r>
              <w:rPr>
                <w:b/>
                <w:color w:val="000000"/>
                <w:sz w:val="20"/>
                <w:szCs w:val="20"/>
              </w:rPr>
              <w:t>Ravindranath, N. H., and M. Ostwald (2008). </w:t>
            </w:r>
            <w:r>
              <w:rPr>
                <w:b/>
                <w:i/>
                <w:color w:val="000000"/>
                <w:sz w:val="20"/>
                <w:szCs w:val="20"/>
              </w:rPr>
              <w:t>Carbon Inventory Methods: Handbook for Greenhouse Gas Inventory, Carbon Mitigation and Roun</w:t>
            </w:r>
            <w:r>
              <w:rPr>
                <w:b/>
                <w:i/>
                <w:color w:val="000000"/>
                <w:sz w:val="20"/>
                <w:szCs w:val="20"/>
              </w:rPr>
              <w:t>dwood Production Projects</w:t>
            </w:r>
            <w:r>
              <w:rPr>
                <w:color w:val="000000"/>
                <w:sz w:val="20"/>
                <w:szCs w:val="20"/>
              </w:rPr>
              <w:t>.</w:t>
            </w:r>
          </w:p>
          <w:p w14:paraId="24EA0517" w14:textId="77777777" w:rsidR="00122E51" w:rsidRDefault="0018097D">
            <w:pPr>
              <w:numPr>
                <w:ilvl w:val="1"/>
                <w:numId w:val="4"/>
              </w:numPr>
              <w:pBdr>
                <w:top w:val="nil"/>
                <w:left w:val="nil"/>
                <w:bottom w:val="nil"/>
                <w:right w:val="nil"/>
                <w:between w:val="nil"/>
              </w:pBdr>
              <w:rPr>
                <w:color w:val="000000"/>
                <w:sz w:val="20"/>
                <w:szCs w:val="20"/>
              </w:rPr>
            </w:pPr>
            <w:r>
              <w:rPr>
                <w:b/>
                <w:color w:val="000000"/>
                <w:sz w:val="20"/>
                <w:szCs w:val="20"/>
              </w:rPr>
              <w:t>Focus:</w:t>
            </w:r>
            <w:r>
              <w:rPr>
                <w:color w:val="000000"/>
                <w:sz w:val="20"/>
                <w:szCs w:val="20"/>
              </w:rPr>
              <w:t xml:space="preserve"> This is a comprehensive handbook that outlines the basic methodology for carbon inventory assessments. It aligns with the IPCC guideline methodology and provides a standard framework that would likely be used for a study </w:t>
            </w:r>
            <w:r>
              <w:rPr>
                <w:color w:val="000000"/>
                <w:sz w:val="20"/>
                <w:szCs w:val="20"/>
              </w:rPr>
              <w:t>in the Polavaram range. </w:t>
            </w:r>
          </w:p>
          <w:p w14:paraId="40D1FEB3" w14:textId="77777777" w:rsidR="00122E51" w:rsidRDefault="00122E51">
            <w:pPr>
              <w:pBdr>
                <w:top w:val="nil"/>
                <w:left w:val="nil"/>
                <w:bottom w:val="nil"/>
                <w:right w:val="nil"/>
                <w:between w:val="nil"/>
              </w:pBdr>
              <w:rPr>
                <w:color w:val="000000"/>
                <w:sz w:val="20"/>
                <w:szCs w:val="20"/>
              </w:rPr>
            </w:pPr>
          </w:p>
          <w:p w14:paraId="5324ED78" w14:textId="77777777" w:rsidR="00122E51" w:rsidRDefault="0018097D">
            <w:pPr>
              <w:numPr>
                <w:ilvl w:val="0"/>
                <w:numId w:val="5"/>
              </w:numPr>
              <w:pBdr>
                <w:top w:val="nil"/>
                <w:left w:val="nil"/>
                <w:bottom w:val="nil"/>
                <w:right w:val="nil"/>
                <w:between w:val="nil"/>
              </w:pBdr>
              <w:ind w:hanging="404"/>
              <w:rPr>
                <w:color w:val="000000"/>
                <w:sz w:val="20"/>
                <w:szCs w:val="20"/>
              </w:rPr>
            </w:pPr>
            <w:r>
              <w:rPr>
                <w:b/>
                <w:color w:val="000000"/>
                <w:sz w:val="20"/>
                <w:szCs w:val="20"/>
              </w:rPr>
              <w:t>Singh, A. K., et al. (2020). "Carbon sequestration potential of a teak plantation forest in the Eastern Ghats of India"</w:t>
            </w:r>
            <w:r>
              <w:rPr>
                <w:color w:val="000000"/>
                <w:sz w:val="20"/>
                <w:szCs w:val="20"/>
              </w:rPr>
              <w:t>.</w:t>
            </w:r>
          </w:p>
          <w:p w14:paraId="4AB709A2" w14:textId="77777777" w:rsidR="00122E51" w:rsidRDefault="0018097D">
            <w:pPr>
              <w:numPr>
                <w:ilvl w:val="1"/>
                <w:numId w:val="6"/>
              </w:numPr>
              <w:pBdr>
                <w:top w:val="nil"/>
                <w:left w:val="nil"/>
                <w:bottom w:val="nil"/>
                <w:right w:val="nil"/>
                <w:between w:val="nil"/>
              </w:pBdr>
              <w:ind w:hanging="404"/>
              <w:rPr>
                <w:color w:val="000000"/>
                <w:sz w:val="20"/>
                <w:szCs w:val="20"/>
              </w:rPr>
            </w:pPr>
            <w:r>
              <w:rPr>
                <w:b/>
                <w:color w:val="000000"/>
                <w:sz w:val="20"/>
                <w:szCs w:val="20"/>
              </w:rPr>
              <w:t>Focus:</w:t>
            </w:r>
            <w:r>
              <w:rPr>
                <w:color w:val="000000"/>
                <w:sz w:val="20"/>
                <w:szCs w:val="20"/>
              </w:rPr>
              <w:t xml:space="preserve"> This article details a study on carbon sequestration in a teak plantation in the Eastern Ghats, which </w:t>
            </w:r>
            <w:r>
              <w:rPr>
                <w:color w:val="000000"/>
                <w:sz w:val="20"/>
                <w:szCs w:val="20"/>
              </w:rPr>
              <w:t>is the broader mountain range where the Polavaram forest is located. It includes soil organic carbon (SOC) estimation and provides relevant data and methods for the region.</w:t>
            </w:r>
          </w:p>
          <w:p w14:paraId="6AF95B0C" w14:textId="77777777" w:rsidR="00122E51" w:rsidRDefault="0018097D">
            <w:pPr>
              <w:numPr>
                <w:ilvl w:val="0"/>
                <w:numId w:val="7"/>
              </w:numPr>
              <w:pBdr>
                <w:top w:val="nil"/>
                <w:left w:val="nil"/>
                <w:bottom w:val="nil"/>
                <w:right w:val="nil"/>
                <w:between w:val="nil"/>
              </w:pBdr>
              <w:ind w:hanging="404"/>
              <w:rPr>
                <w:color w:val="000000"/>
                <w:sz w:val="20"/>
                <w:szCs w:val="20"/>
              </w:rPr>
            </w:pPr>
            <w:r>
              <w:rPr>
                <w:b/>
                <w:color w:val="000000"/>
                <w:sz w:val="20"/>
                <w:szCs w:val="20"/>
              </w:rPr>
              <w:t>Rao, K. K., et al. (2000). "Community Forest Management and Joint Forest Management</w:t>
            </w:r>
            <w:r>
              <w:rPr>
                <w:b/>
                <w:color w:val="000000"/>
                <w:sz w:val="20"/>
                <w:szCs w:val="20"/>
              </w:rPr>
              <w:t xml:space="preserve"> in Eastern Ghats, Andhra Pradesh"</w:t>
            </w:r>
            <w:r>
              <w:rPr>
                <w:color w:val="000000"/>
                <w:sz w:val="20"/>
                <w:szCs w:val="20"/>
              </w:rPr>
              <w:t>.</w:t>
            </w:r>
          </w:p>
          <w:p w14:paraId="7B26DB55" w14:textId="77777777" w:rsidR="00122E51" w:rsidRDefault="0018097D">
            <w:pPr>
              <w:numPr>
                <w:ilvl w:val="1"/>
                <w:numId w:val="8"/>
              </w:numPr>
              <w:pBdr>
                <w:top w:val="nil"/>
                <w:left w:val="nil"/>
                <w:bottom w:val="nil"/>
                <w:right w:val="nil"/>
                <w:between w:val="nil"/>
              </w:pBdr>
              <w:ind w:hanging="404"/>
              <w:rPr>
                <w:color w:val="000000"/>
                <w:sz w:val="20"/>
                <w:szCs w:val="20"/>
              </w:rPr>
            </w:pPr>
            <w:r>
              <w:rPr>
                <w:b/>
                <w:color w:val="000000"/>
                <w:sz w:val="20"/>
                <w:szCs w:val="20"/>
              </w:rPr>
              <w:t>Focus:</w:t>
            </w:r>
            <w:r>
              <w:rPr>
                <w:color w:val="000000"/>
                <w:sz w:val="20"/>
                <w:szCs w:val="20"/>
              </w:rPr>
              <w:t> While older, this paper provides valuable background on forest management practices in the Eastern Ghats region of Andhra Pradesh. The insights on land-use history and community involvement can be crucial for inte</w:t>
            </w:r>
            <w:r>
              <w:rPr>
                <w:color w:val="000000"/>
                <w:sz w:val="20"/>
                <w:szCs w:val="20"/>
              </w:rPr>
              <w:t>rpreting carbon stock data.</w:t>
            </w:r>
          </w:p>
          <w:p w14:paraId="1CB95560" w14:textId="77777777" w:rsidR="00122E51" w:rsidRDefault="0018097D">
            <w:pPr>
              <w:numPr>
                <w:ilvl w:val="0"/>
                <w:numId w:val="9"/>
              </w:numPr>
              <w:pBdr>
                <w:top w:val="nil"/>
                <w:left w:val="nil"/>
                <w:bottom w:val="nil"/>
                <w:right w:val="nil"/>
                <w:between w:val="nil"/>
              </w:pBdr>
              <w:ind w:hanging="404"/>
              <w:rPr>
                <w:color w:val="000000"/>
                <w:sz w:val="20"/>
                <w:szCs w:val="20"/>
              </w:rPr>
            </w:pPr>
            <w:proofErr w:type="spellStart"/>
            <w:r>
              <w:rPr>
                <w:b/>
                <w:color w:val="000000"/>
                <w:sz w:val="20"/>
                <w:szCs w:val="20"/>
              </w:rPr>
              <w:t>Unu</w:t>
            </w:r>
            <w:proofErr w:type="spellEnd"/>
            <w:r>
              <w:rPr>
                <w:b/>
                <w:color w:val="000000"/>
                <w:sz w:val="20"/>
                <w:szCs w:val="20"/>
              </w:rPr>
              <w:t>, et al. (2015). "The Carbon sink Decreasing in the Eastern Ghats's of Andhra Pradesh in India"</w:t>
            </w:r>
            <w:r>
              <w:rPr>
                <w:color w:val="000000"/>
                <w:sz w:val="20"/>
                <w:szCs w:val="20"/>
              </w:rPr>
              <w:t>.</w:t>
            </w:r>
          </w:p>
          <w:p w14:paraId="0D0D0358" w14:textId="77777777" w:rsidR="00122E51" w:rsidRDefault="0018097D">
            <w:pPr>
              <w:numPr>
                <w:ilvl w:val="1"/>
                <w:numId w:val="10"/>
              </w:numPr>
              <w:pBdr>
                <w:top w:val="nil"/>
                <w:left w:val="nil"/>
                <w:bottom w:val="nil"/>
                <w:right w:val="nil"/>
                <w:between w:val="nil"/>
              </w:pBdr>
              <w:ind w:hanging="404"/>
              <w:rPr>
                <w:color w:val="000000"/>
                <w:sz w:val="20"/>
                <w:szCs w:val="20"/>
              </w:rPr>
            </w:pPr>
            <w:r>
              <w:rPr>
                <w:b/>
                <w:color w:val="000000"/>
                <w:sz w:val="20"/>
                <w:szCs w:val="20"/>
              </w:rPr>
              <w:t>Focus:</w:t>
            </w:r>
            <w:r>
              <w:rPr>
                <w:color w:val="000000"/>
                <w:sz w:val="20"/>
                <w:szCs w:val="20"/>
              </w:rPr>
              <w:t> This paper discusses the changing carbon sink dynamics in the Eastern Ghats of Andhra Pradesh and attributes the decrease</w:t>
            </w:r>
            <w:r>
              <w:rPr>
                <w:color w:val="000000"/>
                <w:sz w:val="20"/>
                <w:szCs w:val="20"/>
              </w:rPr>
              <w:t xml:space="preserve"> in carbon sequestration to human activities like shifting cultivation and forest fires. This provides important ecological context for any study in the region.</w:t>
            </w:r>
          </w:p>
          <w:p w14:paraId="4745F4AD" w14:textId="77777777" w:rsidR="00122E51" w:rsidRDefault="00122E51">
            <w:pPr>
              <w:pBdr>
                <w:top w:val="nil"/>
                <w:left w:val="nil"/>
                <w:bottom w:val="nil"/>
                <w:right w:val="nil"/>
                <w:between w:val="nil"/>
              </w:pBdr>
              <w:rPr>
                <w:color w:val="000000"/>
                <w:sz w:val="20"/>
                <w:szCs w:val="20"/>
              </w:rPr>
            </w:pPr>
          </w:p>
        </w:tc>
        <w:tc>
          <w:tcPr>
            <w:tcW w:w="6442" w:type="dxa"/>
          </w:tcPr>
          <w:p w14:paraId="61C8630B" w14:textId="77777777" w:rsidR="00122E51" w:rsidRDefault="0018097D">
            <w:pPr>
              <w:pStyle w:val="Heading2"/>
              <w:spacing w:before="240" w:after="240"/>
              <w:rPr>
                <w:rFonts w:ascii="Times New Roman" w:eastAsia="Times New Roman" w:hAnsi="Times New Roman" w:cs="Times New Roman"/>
                <w:b w:val="0"/>
              </w:rPr>
            </w:pPr>
            <w:bookmarkStart w:id="1" w:name="_t05uutz6jn2p" w:colFirst="0" w:colLast="0"/>
            <w:bookmarkEnd w:id="1"/>
            <w:r>
              <w:rPr>
                <w:rFonts w:ascii="Times New Roman" w:eastAsia="Times New Roman" w:hAnsi="Times New Roman" w:cs="Times New Roman"/>
                <w:b w:val="0"/>
              </w:rPr>
              <w:t>Thank you for the suggestion. We agree that the references were insufficient. We have now expa</w:t>
            </w:r>
            <w:r>
              <w:rPr>
                <w:rFonts w:ascii="Times New Roman" w:eastAsia="Times New Roman" w:hAnsi="Times New Roman" w:cs="Times New Roman"/>
                <w:b w:val="0"/>
              </w:rPr>
              <w:t>nded the reference list to include 25 studies, with emphasis on recent literature (2015–2024) relevant to biomass and carbon sequestration in forests of Andhra Pradesh and the Eastern Ghats. These updated references strengthen the methodological and region</w:t>
            </w:r>
            <w:r>
              <w:rPr>
                <w:rFonts w:ascii="Times New Roman" w:eastAsia="Times New Roman" w:hAnsi="Times New Roman" w:cs="Times New Roman"/>
                <w:b w:val="0"/>
              </w:rPr>
              <w:t>al context of our study.</w:t>
            </w:r>
          </w:p>
          <w:p w14:paraId="5F8C80CD" w14:textId="77777777" w:rsidR="00122E51" w:rsidRDefault="00122E51">
            <w:pPr>
              <w:pStyle w:val="Heading2"/>
              <w:jc w:val="left"/>
              <w:rPr>
                <w:rFonts w:ascii="Times New Roman" w:eastAsia="Times New Roman" w:hAnsi="Times New Roman" w:cs="Times New Roman"/>
                <w:b w:val="0"/>
              </w:rPr>
            </w:pPr>
          </w:p>
        </w:tc>
      </w:tr>
      <w:tr w:rsidR="00122E51" w14:paraId="4272F69A" w14:textId="77777777" w:rsidTr="008537D3">
        <w:trPr>
          <w:trHeight w:val="386"/>
        </w:trPr>
        <w:tc>
          <w:tcPr>
            <w:tcW w:w="5243" w:type="dxa"/>
          </w:tcPr>
          <w:p w14:paraId="3118DC5B" w14:textId="77777777" w:rsidR="00122E51" w:rsidRDefault="0018097D">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21CA68C0" w14:textId="77777777" w:rsidR="00122E51" w:rsidRDefault="00122E51">
            <w:pPr>
              <w:rPr>
                <w:sz w:val="20"/>
                <w:szCs w:val="20"/>
              </w:rPr>
            </w:pPr>
          </w:p>
        </w:tc>
        <w:tc>
          <w:tcPr>
            <w:tcW w:w="9357" w:type="dxa"/>
          </w:tcPr>
          <w:p w14:paraId="6D21517C" w14:textId="77777777" w:rsidR="00122E51" w:rsidRDefault="0018097D">
            <w:pPr>
              <w:rPr>
                <w:sz w:val="20"/>
                <w:szCs w:val="20"/>
              </w:rPr>
            </w:pPr>
            <w:r>
              <w:rPr>
                <w:b/>
                <w:sz w:val="20"/>
                <w:szCs w:val="20"/>
              </w:rPr>
              <w:t>English language polishing</w:t>
            </w:r>
          </w:p>
          <w:p w14:paraId="323FE3AE" w14:textId="77777777" w:rsidR="00122E51" w:rsidRDefault="0018097D">
            <w:pPr>
              <w:numPr>
                <w:ilvl w:val="0"/>
                <w:numId w:val="12"/>
              </w:numPr>
              <w:rPr>
                <w:sz w:val="20"/>
                <w:szCs w:val="20"/>
              </w:rPr>
            </w:pPr>
            <w:r>
              <w:rPr>
                <w:sz w:val="20"/>
                <w:szCs w:val="20"/>
              </w:rPr>
              <w:t xml:space="preserve">Several grammatical and typographic errors (e.g., “p = 10” likely should be 0.10). I recommend an English </w:t>
            </w:r>
            <w:r>
              <w:rPr>
                <w:sz w:val="20"/>
                <w:szCs w:val="20"/>
              </w:rPr>
              <w:t>proofreading pass (either native proofreader or professional editing service) before submission.</w:t>
            </w:r>
          </w:p>
          <w:p w14:paraId="580E57C3" w14:textId="77777777" w:rsidR="00122E51" w:rsidRDefault="00122E51">
            <w:pPr>
              <w:rPr>
                <w:sz w:val="20"/>
                <w:szCs w:val="20"/>
              </w:rPr>
            </w:pPr>
          </w:p>
        </w:tc>
        <w:tc>
          <w:tcPr>
            <w:tcW w:w="6442" w:type="dxa"/>
          </w:tcPr>
          <w:p w14:paraId="3949AD9B" w14:textId="77777777" w:rsidR="00122E51" w:rsidRDefault="0018097D">
            <w:pPr>
              <w:spacing w:before="240" w:after="240"/>
              <w:jc w:val="both"/>
              <w:rPr>
                <w:sz w:val="20"/>
                <w:szCs w:val="20"/>
              </w:rPr>
            </w:pPr>
            <w:r>
              <w:rPr>
                <w:sz w:val="20"/>
                <w:szCs w:val="20"/>
              </w:rPr>
              <w:t>Thank you for pointing this out. I acknowledge that the manuscript contains some grammatical and typographic errors (e.g., the “p = 10” notation). I will care</w:t>
            </w:r>
            <w:r>
              <w:rPr>
                <w:sz w:val="20"/>
                <w:szCs w:val="20"/>
              </w:rPr>
              <w:t>fully revise the manuscript for English language clarity and consistency. To ensure quality, I will seek thorough proofreading and editing before resubmission.</w:t>
            </w:r>
          </w:p>
          <w:p w14:paraId="5A95DE03" w14:textId="77777777" w:rsidR="00122E51" w:rsidRDefault="00122E51">
            <w:pPr>
              <w:rPr>
                <w:sz w:val="20"/>
                <w:szCs w:val="20"/>
              </w:rPr>
            </w:pPr>
          </w:p>
        </w:tc>
      </w:tr>
      <w:tr w:rsidR="00122E51" w14:paraId="42FE1742" w14:textId="77777777" w:rsidTr="008537D3">
        <w:trPr>
          <w:trHeight w:val="1178"/>
        </w:trPr>
        <w:tc>
          <w:tcPr>
            <w:tcW w:w="5243" w:type="dxa"/>
          </w:tcPr>
          <w:p w14:paraId="4F6B3FCC" w14:textId="77777777" w:rsidR="00122E51" w:rsidRDefault="0018097D">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607B4462" w14:textId="77777777" w:rsidR="00122E51" w:rsidRDefault="00122E51">
            <w:pPr>
              <w:pStyle w:val="Heading2"/>
              <w:jc w:val="left"/>
              <w:rPr>
                <w:rFonts w:ascii="Times New Roman" w:eastAsia="Times New Roman" w:hAnsi="Times New Roman" w:cs="Times New Roman"/>
                <w:b w:val="0"/>
              </w:rPr>
            </w:pPr>
          </w:p>
        </w:tc>
        <w:tc>
          <w:tcPr>
            <w:tcW w:w="9357" w:type="dxa"/>
          </w:tcPr>
          <w:p w14:paraId="73FB442E" w14:textId="77777777" w:rsidR="00122E51" w:rsidRDefault="0018097D">
            <w:pPr>
              <w:pBdr>
                <w:top w:val="nil"/>
                <w:left w:val="nil"/>
                <w:bottom w:val="nil"/>
                <w:right w:val="nil"/>
                <w:between w:val="nil"/>
              </w:pBdr>
              <w:rPr>
                <w:color w:val="000000"/>
                <w:sz w:val="20"/>
                <w:szCs w:val="20"/>
              </w:rPr>
            </w:pPr>
            <w:r>
              <w:rPr>
                <w:b/>
                <w:color w:val="000000"/>
                <w:sz w:val="20"/>
                <w:szCs w:val="20"/>
              </w:rPr>
              <w:t>Tables &amp; Figures</w:t>
            </w:r>
          </w:p>
          <w:p w14:paraId="09739E16" w14:textId="77777777" w:rsidR="00122E51" w:rsidRDefault="0018097D">
            <w:pPr>
              <w:numPr>
                <w:ilvl w:val="0"/>
                <w:numId w:val="13"/>
              </w:numPr>
              <w:pBdr>
                <w:top w:val="nil"/>
                <w:left w:val="nil"/>
                <w:bottom w:val="nil"/>
                <w:right w:val="nil"/>
                <w:between w:val="nil"/>
              </w:pBdr>
              <w:rPr>
                <w:color w:val="000000"/>
                <w:sz w:val="20"/>
                <w:szCs w:val="20"/>
              </w:rPr>
            </w:pPr>
            <w:r>
              <w:rPr>
                <w:color w:val="000000"/>
                <w:sz w:val="20"/>
                <w:szCs w:val="20"/>
              </w:rPr>
              <w:t>Table 1: add columns for Latitude/Longitude (or at</w:t>
            </w:r>
            <w:r>
              <w:rPr>
                <w:color w:val="000000"/>
                <w:sz w:val="20"/>
                <w:szCs w:val="20"/>
              </w:rPr>
              <w:t xml:space="preserve"> least centroids) and plot elevation; show sample sizes used in computation (number of quadrats, cores).</w:t>
            </w:r>
          </w:p>
          <w:p w14:paraId="338471C2" w14:textId="77777777" w:rsidR="00122E51" w:rsidRDefault="0018097D">
            <w:pPr>
              <w:numPr>
                <w:ilvl w:val="0"/>
                <w:numId w:val="13"/>
              </w:numPr>
              <w:pBdr>
                <w:top w:val="nil"/>
                <w:left w:val="nil"/>
                <w:bottom w:val="nil"/>
                <w:right w:val="nil"/>
                <w:between w:val="nil"/>
              </w:pBdr>
              <w:rPr>
                <w:color w:val="000000"/>
                <w:sz w:val="20"/>
                <w:szCs w:val="20"/>
              </w:rPr>
            </w:pPr>
            <w:r>
              <w:rPr>
                <w:color w:val="000000"/>
                <w:sz w:val="20"/>
                <w:szCs w:val="20"/>
              </w:rPr>
              <w:t xml:space="preserve">Table 2: reformat (see B3). Add standard errors and confidence intervals. Consider moving Figure 1 to show </w:t>
            </w:r>
            <w:proofErr w:type="spellStart"/>
            <w:r>
              <w:rPr>
                <w:color w:val="000000"/>
                <w:sz w:val="20"/>
                <w:szCs w:val="20"/>
              </w:rPr>
              <w:t>barplots</w:t>
            </w:r>
            <w:proofErr w:type="spellEnd"/>
            <w:r>
              <w:rPr>
                <w:color w:val="000000"/>
                <w:sz w:val="20"/>
                <w:szCs w:val="20"/>
              </w:rPr>
              <w:t xml:space="preserve"> of observed totals per beat (SOC, l</w:t>
            </w:r>
            <w:r>
              <w:rPr>
                <w:color w:val="000000"/>
                <w:sz w:val="20"/>
                <w:szCs w:val="20"/>
              </w:rPr>
              <w:t>itter, herbaceous) with error bars (if you have replication).</w:t>
            </w:r>
          </w:p>
          <w:p w14:paraId="7B0CE90E" w14:textId="77777777" w:rsidR="00122E51" w:rsidRDefault="0018097D">
            <w:pPr>
              <w:numPr>
                <w:ilvl w:val="0"/>
                <w:numId w:val="13"/>
              </w:numPr>
              <w:pBdr>
                <w:top w:val="nil"/>
                <w:left w:val="nil"/>
                <w:bottom w:val="nil"/>
                <w:right w:val="nil"/>
                <w:between w:val="nil"/>
              </w:pBdr>
              <w:rPr>
                <w:color w:val="000000"/>
                <w:sz w:val="20"/>
                <w:szCs w:val="20"/>
              </w:rPr>
            </w:pPr>
            <w:r>
              <w:rPr>
                <w:color w:val="000000"/>
                <w:sz w:val="20"/>
                <w:szCs w:val="20"/>
              </w:rPr>
              <w:t>Figures should have readable axis labels and units (Mg C ha⁻¹). Submit high-res TIFF or PNG as separate files per JGEESI.</w:t>
            </w:r>
          </w:p>
          <w:p w14:paraId="3955A629" w14:textId="77777777" w:rsidR="00122E51" w:rsidRDefault="0018097D">
            <w:pPr>
              <w:pBdr>
                <w:top w:val="nil"/>
                <w:left w:val="nil"/>
                <w:bottom w:val="nil"/>
                <w:right w:val="nil"/>
                <w:between w:val="nil"/>
              </w:pBdr>
              <w:rPr>
                <w:color w:val="000000"/>
                <w:sz w:val="20"/>
                <w:szCs w:val="20"/>
              </w:rPr>
            </w:pPr>
            <w:r>
              <w:rPr>
                <w:b/>
                <w:color w:val="000000"/>
                <w:sz w:val="20"/>
                <w:szCs w:val="20"/>
              </w:rPr>
              <w:t>Statistical reporting &amp; interpretation.</w:t>
            </w:r>
          </w:p>
          <w:p w14:paraId="25D45846" w14:textId="77777777" w:rsidR="00122E51" w:rsidRDefault="0018097D">
            <w:pPr>
              <w:numPr>
                <w:ilvl w:val="0"/>
                <w:numId w:val="14"/>
              </w:numPr>
              <w:pBdr>
                <w:top w:val="nil"/>
                <w:left w:val="nil"/>
                <w:bottom w:val="nil"/>
                <w:right w:val="nil"/>
                <w:between w:val="nil"/>
              </w:pBdr>
              <w:rPr>
                <w:color w:val="000000"/>
                <w:sz w:val="20"/>
                <w:szCs w:val="20"/>
              </w:rPr>
            </w:pPr>
            <w:r>
              <w:rPr>
                <w:color w:val="000000"/>
                <w:sz w:val="20"/>
                <w:szCs w:val="20"/>
              </w:rPr>
              <w:t>Some p-values are reported oddly</w:t>
            </w:r>
            <w:r>
              <w:rPr>
                <w:color w:val="000000"/>
                <w:sz w:val="20"/>
                <w:szCs w:val="20"/>
              </w:rPr>
              <w:t xml:space="preserve"> (e.g., “p &gt; .09”, “p = 10” or “r = 62, p = 10”) — these look like typos or formatting errors. Ensure p-values are reported correctly (e.g., p = 0.10). Always include test statistic and degrees of freedom where feasible.</w:t>
            </w:r>
          </w:p>
          <w:p w14:paraId="5E4B460D" w14:textId="77777777" w:rsidR="00122E51" w:rsidRDefault="0018097D">
            <w:pPr>
              <w:numPr>
                <w:ilvl w:val="0"/>
                <w:numId w:val="14"/>
              </w:numPr>
              <w:pBdr>
                <w:top w:val="nil"/>
                <w:left w:val="nil"/>
                <w:bottom w:val="nil"/>
                <w:right w:val="nil"/>
                <w:between w:val="nil"/>
              </w:pBdr>
              <w:rPr>
                <w:color w:val="000000"/>
                <w:sz w:val="20"/>
                <w:szCs w:val="20"/>
              </w:rPr>
            </w:pPr>
            <w:r>
              <w:rPr>
                <w:color w:val="000000"/>
                <w:sz w:val="20"/>
                <w:szCs w:val="20"/>
              </w:rPr>
              <w:t>For regression results, present coe</w:t>
            </w:r>
            <w:r>
              <w:rPr>
                <w:color w:val="000000"/>
                <w:sz w:val="20"/>
                <w:szCs w:val="20"/>
              </w:rPr>
              <w:t>fficients ± standard error, sample size, R², and 95% confidence intervals rather than just p-values. If you keep regressions, check multicollinearity numerically and report VIF values (you mention VIF &lt; 3.5 — list the VIF for each predictor).</w:t>
            </w:r>
          </w:p>
          <w:p w14:paraId="08CB4BA6" w14:textId="77777777" w:rsidR="00122E51" w:rsidRDefault="0018097D">
            <w:pPr>
              <w:numPr>
                <w:ilvl w:val="0"/>
                <w:numId w:val="14"/>
              </w:numPr>
              <w:pBdr>
                <w:top w:val="nil"/>
                <w:left w:val="nil"/>
                <w:bottom w:val="nil"/>
                <w:right w:val="nil"/>
                <w:between w:val="nil"/>
              </w:pBdr>
              <w:rPr>
                <w:color w:val="000000"/>
                <w:sz w:val="20"/>
                <w:szCs w:val="20"/>
              </w:rPr>
            </w:pPr>
            <w:r>
              <w:rPr>
                <w:color w:val="000000"/>
                <w:sz w:val="20"/>
                <w:szCs w:val="20"/>
              </w:rPr>
              <w:t>Action: Recom</w:t>
            </w:r>
            <w:r>
              <w:rPr>
                <w:color w:val="000000"/>
                <w:sz w:val="20"/>
                <w:szCs w:val="20"/>
              </w:rPr>
              <w:t xml:space="preserve">pute / correct p-values and reformat Table 2 with clear columns: Predictor | </w:t>
            </w:r>
            <w:proofErr w:type="spellStart"/>
            <w:r>
              <w:rPr>
                <w:color w:val="000000"/>
                <w:sz w:val="20"/>
                <w:szCs w:val="20"/>
              </w:rPr>
              <w:t>Coef</w:t>
            </w:r>
            <w:proofErr w:type="spellEnd"/>
            <w:r>
              <w:rPr>
                <w:color w:val="000000"/>
                <w:sz w:val="20"/>
                <w:szCs w:val="20"/>
              </w:rPr>
              <w:t xml:space="preserve"> | Std Error | t | p | 95% CI.</w:t>
            </w:r>
          </w:p>
          <w:p w14:paraId="7A21DA7F" w14:textId="77777777" w:rsidR="00122E51" w:rsidRDefault="0018097D">
            <w:pPr>
              <w:pBdr>
                <w:top w:val="nil"/>
                <w:left w:val="nil"/>
                <w:bottom w:val="nil"/>
                <w:right w:val="nil"/>
                <w:between w:val="nil"/>
              </w:pBdr>
              <w:rPr>
                <w:color w:val="000000"/>
                <w:sz w:val="20"/>
                <w:szCs w:val="20"/>
              </w:rPr>
            </w:pPr>
            <w:r>
              <w:rPr>
                <w:b/>
                <w:color w:val="000000"/>
                <w:sz w:val="20"/>
                <w:szCs w:val="20"/>
              </w:rPr>
              <w:t>Walkley-Black method and SOC estimation — accuracy &amp; correction factor.</w:t>
            </w:r>
          </w:p>
          <w:p w14:paraId="7FC82701" w14:textId="77777777" w:rsidR="00122E51" w:rsidRDefault="0018097D">
            <w:pPr>
              <w:numPr>
                <w:ilvl w:val="0"/>
                <w:numId w:val="15"/>
              </w:numPr>
              <w:pBdr>
                <w:top w:val="nil"/>
                <w:left w:val="nil"/>
                <w:bottom w:val="nil"/>
                <w:right w:val="nil"/>
                <w:between w:val="nil"/>
              </w:pBdr>
              <w:rPr>
                <w:color w:val="000000"/>
                <w:sz w:val="20"/>
                <w:szCs w:val="20"/>
              </w:rPr>
            </w:pPr>
            <w:r>
              <w:rPr>
                <w:color w:val="000000"/>
                <w:sz w:val="20"/>
                <w:szCs w:val="20"/>
              </w:rPr>
              <w:t xml:space="preserve">Walkley-Black does not oxidize all organic carbon; it typically </w:t>
            </w:r>
            <w:r>
              <w:rPr>
                <w:color w:val="000000"/>
                <w:sz w:val="20"/>
                <w:szCs w:val="20"/>
              </w:rPr>
              <w:t>underestimates SOC (commonly corrected by a factor, e.g., 1.3 for many mineral soils) — mention this limitation and whether you applied any correction factor. Also report the method details (reagents, normality) clearly and cite Walkley &amp; Black properly.</w:t>
            </w:r>
          </w:p>
          <w:p w14:paraId="3C8D4EB8" w14:textId="77777777" w:rsidR="00122E51" w:rsidRDefault="0018097D">
            <w:pPr>
              <w:numPr>
                <w:ilvl w:val="0"/>
                <w:numId w:val="15"/>
              </w:numPr>
              <w:pBdr>
                <w:top w:val="nil"/>
                <w:left w:val="nil"/>
                <w:bottom w:val="nil"/>
                <w:right w:val="nil"/>
                <w:between w:val="nil"/>
              </w:pBdr>
              <w:rPr>
                <w:color w:val="000000"/>
                <w:sz w:val="20"/>
                <w:szCs w:val="20"/>
              </w:rPr>
            </w:pPr>
            <w:r>
              <w:rPr>
                <w:color w:val="000000"/>
                <w:sz w:val="20"/>
                <w:szCs w:val="20"/>
              </w:rPr>
              <w:t>B</w:t>
            </w:r>
            <w:r>
              <w:rPr>
                <w:color w:val="000000"/>
                <w:sz w:val="20"/>
                <w:szCs w:val="20"/>
              </w:rPr>
              <w:t>ulk density: method description is brief — explain how many core samples per plot, how cores were handled (stones excluded or corrected), and whether cores were taken at each depth separately. Bulk density errors propagate directly into SOC stock — include</w:t>
            </w:r>
            <w:r>
              <w:rPr>
                <w:color w:val="000000"/>
                <w:sz w:val="20"/>
                <w:szCs w:val="20"/>
              </w:rPr>
              <w:t xml:space="preserve"> uncertainty estimates.</w:t>
            </w:r>
          </w:p>
          <w:p w14:paraId="1411BE57" w14:textId="77777777" w:rsidR="00122E51" w:rsidRDefault="0018097D">
            <w:pPr>
              <w:numPr>
                <w:ilvl w:val="0"/>
                <w:numId w:val="15"/>
              </w:numPr>
              <w:pBdr>
                <w:top w:val="nil"/>
                <w:left w:val="nil"/>
                <w:bottom w:val="nil"/>
                <w:right w:val="nil"/>
                <w:between w:val="nil"/>
              </w:pBdr>
              <w:rPr>
                <w:color w:val="000000"/>
                <w:sz w:val="20"/>
                <w:szCs w:val="20"/>
              </w:rPr>
            </w:pPr>
            <w:r>
              <w:rPr>
                <w:b/>
                <w:color w:val="000000"/>
                <w:sz w:val="20"/>
                <w:szCs w:val="20"/>
              </w:rPr>
              <w:t>Action:</w:t>
            </w:r>
            <w:r>
              <w:rPr>
                <w:color w:val="000000"/>
                <w:sz w:val="20"/>
                <w:szCs w:val="20"/>
              </w:rPr>
              <w:t xml:space="preserve"> Add a paragraph in Methods acknowledging Walkley-Black limitations and, if no correction used, discuss its effect on absolute SOC values.</w:t>
            </w:r>
          </w:p>
          <w:p w14:paraId="07BFCCC0" w14:textId="77777777" w:rsidR="00122E51" w:rsidRDefault="0018097D">
            <w:pPr>
              <w:pBdr>
                <w:top w:val="nil"/>
                <w:left w:val="nil"/>
                <w:bottom w:val="nil"/>
                <w:right w:val="nil"/>
                <w:between w:val="nil"/>
              </w:pBdr>
              <w:rPr>
                <w:color w:val="000000"/>
                <w:sz w:val="20"/>
                <w:szCs w:val="20"/>
              </w:rPr>
            </w:pPr>
            <w:r>
              <w:rPr>
                <w:b/>
                <w:color w:val="000000"/>
                <w:sz w:val="20"/>
                <w:szCs w:val="20"/>
              </w:rPr>
              <w:t>Units, conversions &amp; formulas — clarity and correctness.</w:t>
            </w:r>
          </w:p>
          <w:p w14:paraId="641E9D9E" w14:textId="77777777" w:rsidR="00122E51" w:rsidRDefault="0018097D">
            <w:pPr>
              <w:numPr>
                <w:ilvl w:val="0"/>
                <w:numId w:val="16"/>
              </w:numPr>
              <w:pBdr>
                <w:top w:val="nil"/>
                <w:left w:val="nil"/>
                <w:bottom w:val="nil"/>
                <w:right w:val="nil"/>
                <w:between w:val="nil"/>
              </w:pBdr>
              <w:rPr>
                <w:color w:val="000000"/>
                <w:sz w:val="20"/>
                <w:szCs w:val="20"/>
              </w:rPr>
            </w:pPr>
            <w:r>
              <w:rPr>
                <w:color w:val="000000"/>
                <w:sz w:val="20"/>
                <w:szCs w:val="20"/>
              </w:rPr>
              <w:t xml:space="preserve">Several formulas in Methods </w:t>
            </w:r>
            <w:r>
              <w:rPr>
                <w:color w:val="000000"/>
                <w:sz w:val="20"/>
                <w:szCs w:val="20"/>
              </w:rPr>
              <w:t xml:space="preserve">appear truncated or ambiguous (e.g., the dry weight conversion formula, CF% calculation). Provide complete equations with units and a worked example (one sample) or an appendix. Clarify the conversion factors (0.58 carbon fraction) and how ash content was </w:t>
            </w:r>
            <w:r>
              <w:rPr>
                <w:color w:val="000000"/>
                <w:sz w:val="20"/>
                <w:szCs w:val="20"/>
              </w:rPr>
              <w:t>measured.</w:t>
            </w:r>
          </w:p>
          <w:p w14:paraId="05919543" w14:textId="77777777" w:rsidR="00122E51" w:rsidRDefault="0018097D">
            <w:pPr>
              <w:numPr>
                <w:ilvl w:val="0"/>
                <w:numId w:val="16"/>
              </w:numPr>
              <w:pBdr>
                <w:top w:val="nil"/>
                <w:left w:val="nil"/>
                <w:bottom w:val="nil"/>
                <w:right w:val="nil"/>
                <w:between w:val="nil"/>
              </w:pBdr>
              <w:rPr>
                <w:color w:val="000000"/>
                <w:sz w:val="20"/>
                <w:szCs w:val="20"/>
              </w:rPr>
            </w:pPr>
            <w:r>
              <w:rPr>
                <w:b/>
                <w:color w:val="000000"/>
                <w:sz w:val="20"/>
                <w:szCs w:val="20"/>
              </w:rPr>
              <w:t>Action:</w:t>
            </w:r>
            <w:r>
              <w:rPr>
                <w:color w:val="000000"/>
                <w:sz w:val="20"/>
                <w:szCs w:val="20"/>
              </w:rPr>
              <w:t xml:space="preserve"> Rewrite the Methods equations with proper LaTeX-style clarity or plain text but complete; include units for all variables.</w:t>
            </w:r>
          </w:p>
          <w:p w14:paraId="3D17DD2B" w14:textId="77777777" w:rsidR="00122E51" w:rsidRDefault="0018097D">
            <w:pPr>
              <w:pBdr>
                <w:top w:val="nil"/>
                <w:left w:val="nil"/>
                <w:bottom w:val="nil"/>
                <w:right w:val="nil"/>
                <w:between w:val="nil"/>
              </w:pBdr>
              <w:rPr>
                <w:color w:val="000000"/>
                <w:sz w:val="20"/>
                <w:szCs w:val="20"/>
              </w:rPr>
            </w:pPr>
            <w:r>
              <w:rPr>
                <w:color w:val="000000"/>
                <w:sz w:val="20"/>
                <w:szCs w:val="20"/>
              </w:rPr>
              <w:t xml:space="preserve">Keywords: include </w:t>
            </w:r>
            <w:r>
              <w:rPr>
                <w:b/>
                <w:color w:val="000000"/>
                <w:sz w:val="20"/>
                <w:szCs w:val="20"/>
              </w:rPr>
              <w:t>3–8</w:t>
            </w:r>
            <w:r>
              <w:rPr>
                <w:color w:val="000000"/>
                <w:sz w:val="20"/>
                <w:szCs w:val="20"/>
              </w:rPr>
              <w:t xml:space="preserve"> keywords after the abstract (</w:t>
            </w:r>
            <w:r>
              <w:rPr>
                <w:b/>
                <w:color w:val="000000"/>
                <w:sz w:val="20"/>
                <w:szCs w:val="20"/>
              </w:rPr>
              <w:t>avoid repeating the paper title</w:t>
            </w:r>
            <w:r>
              <w:rPr>
                <w:color w:val="000000"/>
                <w:sz w:val="20"/>
                <w:szCs w:val="20"/>
              </w:rPr>
              <w:t>).</w:t>
            </w:r>
          </w:p>
          <w:p w14:paraId="578C8C71" w14:textId="77777777" w:rsidR="00122E51" w:rsidRDefault="00122E51">
            <w:pPr>
              <w:pBdr>
                <w:top w:val="nil"/>
                <w:left w:val="nil"/>
                <w:bottom w:val="nil"/>
                <w:right w:val="nil"/>
                <w:between w:val="nil"/>
              </w:pBdr>
              <w:rPr>
                <w:color w:val="000000"/>
                <w:sz w:val="20"/>
                <w:szCs w:val="20"/>
              </w:rPr>
            </w:pPr>
          </w:p>
          <w:p w14:paraId="45F4B260" w14:textId="77777777" w:rsidR="00122E51" w:rsidRDefault="00122E51">
            <w:pPr>
              <w:pBdr>
                <w:top w:val="nil"/>
                <w:left w:val="nil"/>
                <w:bottom w:val="nil"/>
                <w:right w:val="nil"/>
                <w:between w:val="nil"/>
              </w:pBdr>
              <w:ind w:left="360"/>
              <w:rPr>
                <w:color w:val="000000"/>
                <w:sz w:val="20"/>
                <w:szCs w:val="20"/>
              </w:rPr>
            </w:pPr>
          </w:p>
          <w:p w14:paraId="576BF938" w14:textId="77777777" w:rsidR="00122E51" w:rsidRDefault="00122E51">
            <w:pPr>
              <w:pBdr>
                <w:top w:val="nil"/>
                <w:left w:val="nil"/>
                <w:bottom w:val="nil"/>
                <w:right w:val="nil"/>
                <w:between w:val="nil"/>
              </w:pBdr>
              <w:rPr>
                <w:color w:val="000000"/>
                <w:sz w:val="20"/>
                <w:szCs w:val="20"/>
              </w:rPr>
            </w:pPr>
          </w:p>
        </w:tc>
        <w:tc>
          <w:tcPr>
            <w:tcW w:w="6442" w:type="dxa"/>
          </w:tcPr>
          <w:p w14:paraId="6444CC35" w14:textId="77777777" w:rsidR="00122E51" w:rsidRDefault="00122E51">
            <w:pPr>
              <w:rPr>
                <w:sz w:val="20"/>
                <w:szCs w:val="20"/>
              </w:rPr>
            </w:pPr>
          </w:p>
          <w:p w14:paraId="3E5AF88D" w14:textId="77777777" w:rsidR="00122E51" w:rsidRDefault="0018097D">
            <w:pPr>
              <w:rPr>
                <w:sz w:val="20"/>
                <w:szCs w:val="20"/>
              </w:rPr>
            </w:pPr>
            <w:r>
              <w:rPr>
                <w:sz w:val="20"/>
                <w:szCs w:val="20"/>
              </w:rPr>
              <w:t xml:space="preserve">Thank you very much for </w:t>
            </w:r>
            <w:r>
              <w:rPr>
                <w:sz w:val="20"/>
                <w:szCs w:val="20"/>
              </w:rPr>
              <w:t>your constructive comments and suggestions on my manuscript “Carbon Sequestration in Litter, Herbaceous Vegetation, and Soil Across Polavaram Range’s Eight Beats, Andhra Pradesh: Influence of Tree Species Height, DBH, and Density.” I greatly appreciate the</w:t>
            </w:r>
            <w:r>
              <w:rPr>
                <w:sz w:val="20"/>
                <w:szCs w:val="20"/>
              </w:rPr>
              <w:t xml:space="preserve"> time and effort you have taken to carefully evaluate my work. Your observations have helped me identify areas needing clarity and correction. Below, I provide my detailed responses and the revisions I have made.</w:t>
            </w:r>
          </w:p>
        </w:tc>
      </w:tr>
    </w:tbl>
    <w:p w14:paraId="28CF173E" w14:textId="77777777" w:rsidR="00122E51" w:rsidRDefault="00122E51">
      <w:pPr>
        <w:pBdr>
          <w:top w:val="nil"/>
          <w:left w:val="nil"/>
          <w:bottom w:val="nil"/>
          <w:right w:val="nil"/>
          <w:between w:val="nil"/>
        </w:pBdr>
        <w:jc w:val="both"/>
        <w:rPr>
          <w:color w:val="000000"/>
          <w:sz w:val="20"/>
          <w:szCs w:val="20"/>
          <w:u w:val="single"/>
        </w:rPr>
      </w:pPr>
    </w:p>
    <w:p w14:paraId="2BBB7E51" w14:textId="77777777" w:rsidR="00122E51" w:rsidRDefault="00122E51">
      <w:pPr>
        <w:pBdr>
          <w:top w:val="nil"/>
          <w:left w:val="nil"/>
          <w:bottom w:val="nil"/>
          <w:right w:val="nil"/>
          <w:between w:val="nil"/>
        </w:pBdr>
        <w:jc w:val="both"/>
        <w:rPr>
          <w:color w:val="000000"/>
          <w:sz w:val="20"/>
          <w:szCs w:val="20"/>
          <w:u w:val="single"/>
        </w:rPr>
      </w:pPr>
    </w:p>
    <w:p w14:paraId="52E9A644" w14:textId="4E1AFB1A" w:rsidR="00122E51" w:rsidRDefault="00122E51">
      <w:pPr>
        <w:pBdr>
          <w:top w:val="nil"/>
          <w:left w:val="nil"/>
          <w:bottom w:val="nil"/>
          <w:right w:val="nil"/>
          <w:between w:val="nil"/>
        </w:pBdr>
        <w:jc w:val="both"/>
        <w:rPr>
          <w:color w:val="000000"/>
          <w:sz w:val="20"/>
          <w:szCs w:val="20"/>
          <w:u w:val="single"/>
        </w:rPr>
      </w:pPr>
      <w:bookmarkStart w:id="2" w:name="_adeha7ow4f3t" w:colFirst="0" w:colLast="0"/>
      <w:bookmarkEnd w:id="2"/>
    </w:p>
    <w:p w14:paraId="7C1FFC11" w14:textId="72162065" w:rsidR="008537D3" w:rsidRDefault="008537D3">
      <w:pPr>
        <w:pBdr>
          <w:top w:val="nil"/>
          <w:left w:val="nil"/>
          <w:bottom w:val="nil"/>
          <w:right w:val="nil"/>
          <w:between w:val="nil"/>
        </w:pBdr>
        <w:jc w:val="both"/>
        <w:rPr>
          <w:color w:val="000000"/>
          <w:sz w:val="20"/>
          <w:szCs w:val="20"/>
          <w:u w:val="single"/>
        </w:rPr>
      </w:pPr>
    </w:p>
    <w:p w14:paraId="55E5A539" w14:textId="66005026" w:rsidR="008537D3" w:rsidRDefault="008537D3">
      <w:pPr>
        <w:pBdr>
          <w:top w:val="nil"/>
          <w:left w:val="nil"/>
          <w:bottom w:val="nil"/>
          <w:right w:val="nil"/>
          <w:between w:val="nil"/>
        </w:pBdr>
        <w:jc w:val="both"/>
        <w:rPr>
          <w:color w:val="000000"/>
          <w:sz w:val="20"/>
          <w:szCs w:val="20"/>
          <w:u w:val="single"/>
        </w:rPr>
      </w:pPr>
    </w:p>
    <w:p w14:paraId="350FB6D8" w14:textId="36E64BAB" w:rsidR="008537D3" w:rsidRDefault="008537D3">
      <w:pPr>
        <w:pBdr>
          <w:top w:val="nil"/>
          <w:left w:val="nil"/>
          <w:bottom w:val="nil"/>
          <w:right w:val="nil"/>
          <w:between w:val="nil"/>
        </w:pBdr>
        <w:jc w:val="both"/>
        <w:rPr>
          <w:color w:val="000000"/>
          <w:sz w:val="20"/>
          <w:szCs w:val="20"/>
          <w:u w:val="single"/>
        </w:rPr>
      </w:pPr>
    </w:p>
    <w:p w14:paraId="3BF1B8BC" w14:textId="4348E76D" w:rsidR="008537D3" w:rsidRDefault="008537D3">
      <w:pPr>
        <w:pBdr>
          <w:top w:val="nil"/>
          <w:left w:val="nil"/>
          <w:bottom w:val="nil"/>
          <w:right w:val="nil"/>
          <w:between w:val="nil"/>
        </w:pBdr>
        <w:jc w:val="both"/>
        <w:rPr>
          <w:color w:val="000000"/>
          <w:sz w:val="20"/>
          <w:szCs w:val="20"/>
          <w:u w:val="single"/>
        </w:rPr>
      </w:pPr>
    </w:p>
    <w:p w14:paraId="5EE32659" w14:textId="4B4317CC" w:rsidR="008537D3" w:rsidRDefault="008537D3">
      <w:pPr>
        <w:pBdr>
          <w:top w:val="nil"/>
          <w:left w:val="nil"/>
          <w:bottom w:val="nil"/>
          <w:right w:val="nil"/>
          <w:between w:val="nil"/>
        </w:pBdr>
        <w:jc w:val="both"/>
        <w:rPr>
          <w:color w:val="000000"/>
          <w:sz w:val="20"/>
          <w:szCs w:val="20"/>
          <w:u w:val="single"/>
        </w:rPr>
      </w:pPr>
    </w:p>
    <w:p w14:paraId="67F4C36D" w14:textId="33FA1007" w:rsidR="008537D3" w:rsidRDefault="008537D3">
      <w:pPr>
        <w:pBdr>
          <w:top w:val="nil"/>
          <w:left w:val="nil"/>
          <w:bottom w:val="nil"/>
          <w:right w:val="nil"/>
          <w:between w:val="nil"/>
        </w:pBdr>
        <w:jc w:val="both"/>
        <w:rPr>
          <w:color w:val="000000"/>
          <w:sz w:val="20"/>
          <w:szCs w:val="20"/>
          <w:u w:val="single"/>
        </w:rPr>
      </w:pPr>
    </w:p>
    <w:p w14:paraId="1B45B7CF" w14:textId="5CA93CD1" w:rsidR="008537D3" w:rsidRDefault="008537D3">
      <w:pPr>
        <w:pBdr>
          <w:top w:val="nil"/>
          <w:left w:val="nil"/>
          <w:bottom w:val="nil"/>
          <w:right w:val="nil"/>
          <w:between w:val="nil"/>
        </w:pBdr>
        <w:jc w:val="both"/>
        <w:rPr>
          <w:color w:val="000000"/>
          <w:sz w:val="20"/>
          <w:szCs w:val="20"/>
          <w:u w:val="single"/>
        </w:rPr>
      </w:pPr>
    </w:p>
    <w:p w14:paraId="638EF5BD" w14:textId="7E764F5D" w:rsidR="008537D3" w:rsidRDefault="008537D3">
      <w:pPr>
        <w:pBdr>
          <w:top w:val="nil"/>
          <w:left w:val="nil"/>
          <w:bottom w:val="nil"/>
          <w:right w:val="nil"/>
          <w:between w:val="nil"/>
        </w:pBdr>
        <w:jc w:val="both"/>
        <w:rPr>
          <w:color w:val="000000"/>
          <w:sz w:val="20"/>
          <w:szCs w:val="20"/>
          <w:u w:val="single"/>
        </w:rPr>
      </w:pPr>
    </w:p>
    <w:p w14:paraId="1BCF9EB8" w14:textId="0708BD1B" w:rsidR="008537D3" w:rsidRDefault="008537D3">
      <w:pPr>
        <w:pBdr>
          <w:top w:val="nil"/>
          <w:left w:val="nil"/>
          <w:bottom w:val="nil"/>
          <w:right w:val="nil"/>
          <w:between w:val="nil"/>
        </w:pBdr>
        <w:jc w:val="both"/>
        <w:rPr>
          <w:color w:val="000000"/>
          <w:sz w:val="20"/>
          <w:szCs w:val="20"/>
          <w:u w:val="single"/>
        </w:rPr>
      </w:pPr>
    </w:p>
    <w:p w14:paraId="754B7A7D" w14:textId="6BA70AC3" w:rsidR="008537D3" w:rsidRDefault="008537D3">
      <w:pPr>
        <w:pBdr>
          <w:top w:val="nil"/>
          <w:left w:val="nil"/>
          <w:bottom w:val="nil"/>
          <w:right w:val="nil"/>
          <w:between w:val="nil"/>
        </w:pBdr>
        <w:jc w:val="both"/>
        <w:rPr>
          <w:color w:val="000000"/>
          <w:sz w:val="20"/>
          <w:szCs w:val="20"/>
          <w:u w:val="single"/>
        </w:rPr>
      </w:pPr>
    </w:p>
    <w:p w14:paraId="0254D6B3" w14:textId="77777777" w:rsidR="008537D3" w:rsidRDefault="008537D3">
      <w:pPr>
        <w:pBdr>
          <w:top w:val="nil"/>
          <w:left w:val="nil"/>
          <w:bottom w:val="nil"/>
          <w:right w:val="nil"/>
          <w:between w:val="nil"/>
        </w:pBdr>
        <w:jc w:val="both"/>
        <w:rPr>
          <w:color w:val="000000"/>
          <w:sz w:val="20"/>
          <w:szCs w:val="20"/>
          <w:u w:val="single"/>
        </w:rPr>
      </w:pPr>
      <w:bookmarkStart w:id="3" w:name="_GoBack"/>
      <w:bookmarkEnd w:id="3"/>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122E51" w14:paraId="39F9ED75" w14:textId="77777777">
        <w:tc>
          <w:tcPr>
            <w:tcW w:w="21150" w:type="dxa"/>
            <w:gridSpan w:val="3"/>
            <w:tcBorders>
              <w:top w:val="nil"/>
              <w:left w:val="nil"/>
              <w:right w:val="nil"/>
            </w:tcBorders>
            <w:tcMar>
              <w:top w:w="0" w:type="dxa"/>
              <w:left w:w="108" w:type="dxa"/>
              <w:bottom w:w="0" w:type="dxa"/>
              <w:right w:w="108" w:type="dxa"/>
            </w:tcMar>
            <w:vAlign w:val="center"/>
          </w:tcPr>
          <w:p w14:paraId="689C6B6C" w14:textId="77777777" w:rsidR="00122E51" w:rsidRDefault="0018097D">
            <w:pPr>
              <w:rPr>
                <w:rFonts w:ascii="Arial" w:eastAsia="Arial" w:hAnsi="Arial" w:cs="Arial"/>
                <w:sz w:val="20"/>
                <w:szCs w:val="20"/>
                <w:u w:val="single"/>
              </w:rPr>
            </w:pPr>
            <w:r>
              <w:rPr>
                <w:rFonts w:ascii="Arial" w:eastAsia="Arial" w:hAnsi="Arial" w:cs="Arial"/>
                <w:b/>
                <w:sz w:val="20"/>
                <w:szCs w:val="20"/>
                <w:highlight w:val="yellow"/>
                <w:u w:val="single"/>
              </w:rPr>
              <w:lastRenderedPageBreak/>
              <w:t>PART  2:</w:t>
            </w:r>
          </w:p>
          <w:p w14:paraId="53D1FD94" w14:textId="77777777" w:rsidR="00122E51" w:rsidRDefault="00122E51">
            <w:pPr>
              <w:rPr>
                <w:rFonts w:ascii="Arial" w:eastAsia="Arial" w:hAnsi="Arial" w:cs="Arial"/>
                <w:sz w:val="20"/>
                <w:szCs w:val="20"/>
                <w:u w:val="single"/>
              </w:rPr>
            </w:pPr>
          </w:p>
        </w:tc>
      </w:tr>
      <w:tr w:rsidR="00122E51" w14:paraId="1A048E6F" w14:textId="77777777">
        <w:tc>
          <w:tcPr>
            <w:tcW w:w="6831" w:type="dxa"/>
            <w:tcMar>
              <w:top w:w="0" w:type="dxa"/>
              <w:left w:w="108" w:type="dxa"/>
              <w:bottom w:w="0" w:type="dxa"/>
              <w:right w:w="108" w:type="dxa"/>
            </w:tcMar>
            <w:vAlign w:val="center"/>
          </w:tcPr>
          <w:p w14:paraId="4417816A" w14:textId="77777777" w:rsidR="00122E51" w:rsidRDefault="00122E51">
            <w:pPr>
              <w:rPr>
                <w:rFonts w:ascii="Arial" w:eastAsia="Arial" w:hAnsi="Arial" w:cs="Arial"/>
                <w:sz w:val="20"/>
                <w:szCs w:val="20"/>
              </w:rPr>
            </w:pPr>
          </w:p>
        </w:tc>
        <w:tc>
          <w:tcPr>
            <w:tcW w:w="7166" w:type="dxa"/>
            <w:tcMar>
              <w:top w:w="0" w:type="dxa"/>
              <w:left w:w="108" w:type="dxa"/>
              <w:bottom w:w="0" w:type="dxa"/>
              <w:right w:w="108" w:type="dxa"/>
            </w:tcMar>
          </w:tcPr>
          <w:p w14:paraId="54CC862A" w14:textId="77777777" w:rsidR="00122E51" w:rsidRDefault="0018097D">
            <w:pPr>
              <w:keepNext/>
              <w:rPr>
                <w:rFonts w:ascii="Arial" w:eastAsia="Arial" w:hAnsi="Arial" w:cs="Arial"/>
                <w:sz w:val="20"/>
                <w:szCs w:val="20"/>
              </w:rPr>
            </w:pPr>
            <w:r>
              <w:rPr>
                <w:rFonts w:ascii="Arial" w:eastAsia="Arial" w:hAnsi="Arial" w:cs="Arial"/>
                <w:b/>
                <w:sz w:val="20"/>
                <w:szCs w:val="20"/>
              </w:rPr>
              <w:t>Reviewer’s comment</w:t>
            </w:r>
          </w:p>
        </w:tc>
        <w:tc>
          <w:tcPr>
            <w:tcW w:w="7153" w:type="dxa"/>
          </w:tcPr>
          <w:p w14:paraId="4543DE1C" w14:textId="77777777" w:rsidR="00122E51" w:rsidRDefault="0018097D">
            <w:pPr>
              <w:spacing w:after="160" w:line="252" w:lineRule="auto"/>
              <w:rPr>
                <w:rFonts w:ascii="Arial" w:eastAsia="Arial" w:hAnsi="Arial" w:cs="Arial"/>
                <w:sz w:val="20"/>
                <w:szCs w:val="20"/>
              </w:rPr>
            </w:pPr>
            <w:r>
              <w:rPr>
                <w:rFonts w:ascii="Arial" w:eastAsia="Arial" w:hAnsi="Arial" w:cs="Arial"/>
                <w:b/>
                <w:sz w:val="20"/>
                <w:szCs w:val="20"/>
              </w:rPr>
              <w:t>Author’s</w:t>
            </w:r>
            <w:r>
              <w:rPr>
                <w:rFonts w:ascii="Arial" w:eastAsia="Arial" w:hAnsi="Arial" w:cs="Arial"/>
                <w:b/>
                <w:sz w:val="20"/>
                <w:szCs w:val="20"/>
              </w:rPr>
              <w:t xml:space="preserve"> Feedback</w:t>
            </w:r>
            <w:r>
              <w:rPr>
                <w:rFonts w:ascii="Arial" w:eastAsia="Arial" w:hAnsi="Arial" w:cs="Arial"/>
                <w:sz w:val="20"/>
                <w:szCs w:val="20"/>
              </w:rPr>
              <w:t xml:space="preserve"> (It is mandatory that authors should write his/her feedback here)</w:t>
            </w:r>
          </w:p>
          <w:p w14:paraId="57ACC4BE" w14:textId="77777777" w:rsidR="00122E51" w:rsidRDefault="00122E51">
            <w:pPr>
              <w:keepNext/>
              <w:rPr>
                <w:rFonts w:ascii="Arial" w:eastAsia="Arial" w:hAnsi="Arial" w:cs="Arial"/>
                <w:sz w:val="20"/>
                <w:szCs w:val="20"/>
              </w:rPr>
            </w:pPr>
          </w:p>
        </w:tc>
      </w:tr>
      <w:tr w:rsidR="00122E51" w14:paraId="5E5E129A" w14:textId="77777777">
        <w:trPr>
          <w:trHeight w:val="890"/>
        </w:trPr>
        <w:tc>
          <w:tcPr>
            <w:tcW w:w="6831" w:type="dxa"/>
            <w:tcMar>
              <w:top w:w="0" w:type="dxa"/>
              <w:left w:w="108" w:type="dxa"/>
              <w:bottom w:w="0" w:type="dxa"/>
              <w:right w:w="108" w:type="dxa"/>
            </w:tcMar>
            <w:vAlign w:val="center"/>
          </w:tcPr>
          <w:p w14:paraId="3BD8F0E5" w14:textId="77777777" w:rsidR="00122E51" w:rsidRDefault="0018097D">
            <w:pPr>
              <w:rPr>
                <w:rFonts w:ascii="Arial" w:eastAsia="Arial" w:hAnsi="Arial" w:cs="Arial"/>
                <w:sz w:val="20"/>
                <w:szCs w:val="20"/>
              </w:rPr>
            </w:pPr>
            <w:r>
              <w:rPr>
                <w:rFonts w:ascii="Arial" w:eastAsia="Arial" w:hAnsi="Arial" w:cs="Arial"/>
                <w:b/>
                <w:sz w:val="20"/>
                <w:szCs w:val="20"/>
              </w:rPr>
              <w:t xml:space="preserve">Are there ethical issues in this manuscript? </w:t>
            </w:r>
          </w:p>
          <w:p w14:paraId="0C9E605B" w14:textId="77777777" w:rsidR="00122E51" w:rsidRDefault="00122E51">
            <w:pPr>
              <w:rPr>
                <w:rFonts w:ascii="Arial" w:eastAsia="Arial" w:hAnsi="Arial" w:cs="Arial"/>
                <w:sz w:val="20"/>
                <w:szCs w:val="20"/>
              </w:rPr>
            </w:pPr>
          </w:p>
        </w:tc>
        <w:tc>
          <w:tcPr>
            <w:tcW w:w="7166" w:type="dxa"/>
            <w:tcMar>
              <w:top w:w="0" w:type="dxa"/>
              <w:left w:w="108" w:type="dxa"/>
              <w:bottom w:w="0" w:type="dxa"/>
              <w:right w:w="108" w:type="dxa"/>
            </w:tcMar>
            <w:vAlign w:val="center"/>
          </w:tcPr>
          <w:p w14:paraId="32E32A66" w14:textId="77777777" w:rsidR="00122E51" w:rsidRDefault="0018097D">
            <w:pPr>
              <w:rPr>
                <w:rFonts w:ascii="Arial" w:eastAsia="Arial" w:hAnsi="Arial" w:cs="Arial"/>
                <w:sz w:val="20"/>
                <w:szCs w:val="20"/>
                <w:u w:val="single"/>
              </w:rPr>
            </w:pPr>
            <w:r>
              <w:rPr>
                <w:rFonts w:ascii="Arial" w:eastAsia="Arial" w:hAnsi="Arial" w:cs="Arial"/>
                <w:i/>
                <w:sz w:val="20"/>
                <w:szCs w:val="20"/>
                <w:u w:val="single"/>
              </w:rPr>
              <w:t xml:space="preserve">(If yes, </w:t>
            </w:r>
            <w:proofErr w:type="gramStart"/>
            <w:r>
              <w:rPr>
                <w:rFonts w:ascii="Arial" w:eastAsia="Arial" w:hAnsi="Arial" w:cs="Arial"/>
                <w:i/>
                <w:sz w:val="20"/>
                <w:szCs w:val="20"/>
                <w:u w:val="single"/>
              </w:rPr>
              <w:t>Kindly</w:t>
            </w:r>
            <w:proofErr w:type="gramEnd"/>
            <w:r>
              <w:rPr>
                <w:rFonts w:ascii="Arial" w:eastAsia="Arial" w:hAnsi="Arial" w:cs="Arial"/>
                <w:i/>
                <w:sz w:val="20"/>
                <w:szCs w:val="20"/>
                <w:u w:val="single"/>
              </w:rPr>
              <w:t xml:space="preserve"> please write down the ethical issues here in details)</w:t>
            </w:r>
          </w:p>
          <w:p w14:paraId="4FDE4C64" w14:textId="77777777" w:rsidR="00122E51" w:rsidRDefault="00122E51">
            <w:pPr>
              <w:rPr>
                <w:rFonts w:ascii="Arial" w:eastAsia="Arial" w:hAnsi="Arial" w:cs="Arial"/>
                <w:sz w:val="20"/>
                <w:szCs w:val="20"/>
              </w:rPr>
            </w:pPr>
          </w:p>
        </w:tc>
        <w:tc>
          <w:tcPr>
            <w:tcW w:w="7153" w:type="dxa"/>
            <w:vAlign w:val="center"/>
          </w:tcPr>
          <w:p w14:paraId="1E258128" w14:textId="77777777" w:rsidR="00122E51" w:rsidRDefault="0018097D">
            <w:pPr>
              <w:spacing w:before="240" w:after="240"/>
              <w:jc w:val="both"/>
              <w:rPr>
                <w:sz w:val="20"/>
                <w:szCs w:val="20"/>
              </w:rPr>
            </w:pPr>
            <w:r>
              <w:rPr>
                <w:sz w:val="20"/>
                <w:szCs w:val="20"/>
              </w:rPr>
              <w:t xml:space="preserve">All fieldwork for this study was conducted with the prior </w:t>
            </w:r>
            <w:r>
              <w:rPr>
                <w:sz w:val="20"/>
                <w:szCs w:val="20"/>
              </w:rPr>
              <w:t>written permission of the Principal Chief Conservator of Forests (PCCF), Andhra Pradesh. The research complied with all relevant regulations and aimed to minimize its impact on the forest ecosystem.</w:t>
            </w:r>
          </w:p>
          <w:p w14:paraId="1FD8936E" w14:textId="77777777" w:rsidR="00122E51" w:rsidRDefault="00122E51">
            <w:pPr>
              <w:rPr>
                <w:rFonts w:ascii="Arial" w:eastAsia="Arial" w:hAnsi="Arial" w:cs="Arial"/>
                <w:sz w:val="20"/>
                <w:szCs w:val="20"/>
              </w:rPr>
            </w:pPr>
          </w:p>
          <w:p w14:paraId="529CA9C4" w14:textId="77777777" w:rsidR="00122E51" w:rsidRDefault="00122E51">
            <w:pPr>
              <w:rPr>
                <w:rFonts w:ascii="Arial" w:eastAsia="Arial" w:hAnsi="Arial" w:cs="Arial"/>
                <w:sz w:val="20"/>
                <w:szCs w:val="20"/>
              </w:rPr>
            </w:pPr>
          </w:p>
          <w:p w14:paraId="5F29B6FE" w14:textId="77777777" w:rsidR="00122E51" w:rsidRDefault="00122E51">
            <w:pPr>
              <w:rPr>
                <w:rFonts w:ascii="Arial" w:eastAsia="Arial" w:hAnsi="Arial" w:cs="Arial"/>
                <w:sz w:val="20"/>
                <w:szCs w:val="20"/>
              </w:rPr>
            </w:pPr>
          </w:p>
        </w:tc>
      </w:tr>
    </w:tbl>
    <w:p w14:paraId="59FC801A" w14:textId="77777777" w:rsidR="00122E51" w:rsidRDefault="00122E51"/>
    <w:p w14:paraId="46CB3D56" w14:textId="77777777" w:rsidR="00122E51" w:rsidRDefault="00122E51"/>
    <w:p w14:paraId="7DFCE88D" w14:textId="77777777" w:rsidR="00122E51" w:rsidRDefault="00122E51">
      <w:pPr>
        <w:rPr>
          <w:u w:val="single"/>
        </w:rPr>
      </w:pPr>
    </w:p>
    <w:p w14:paraId="6A726108" w14:textId="77777777" w:rsidR="00122E51" w:rsidRDefault="00122E51"/>
    <w:p w14:paraId="41015AD4" w14:textId="77777777" w:rsidR="00122E51" w:rsidRDefault="00122E51">
      <w:pPr>
        <w:pBdr>
          <w:top w:val="nil"/>
          <w:left w:val="nil"/>
          <w:bottom w:val="nil"/>
          <w:right w:val="nil"/>
          <w:between w:val="nil"/>
        </w:pBdr>
        <w:jc w:val="both"/>
        <w:rPr>
          <w:color w:val="000000"/>
          <w:sz w:val="20"/>
          <w:szCs w:val="20"/>
          <w:u w:val="single"/>
        </w:rPr>
      </w:pPr>
    </w:p>
    <w:sectPr w:rsidR="00122E51">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4597ED" w14:textId="77777777" w:rsidR="0018097D" w:rsidRDefault="0018097D">
      <w:r>
        <w:separator/>
      </w:r>
    </w:p>
  </w:endnote>
  <w:endnote w:type="continuationSeparator" w:id="0">
    <w:p w14:paraId="3C67F222" w14:textId="77777777" w:rsidR="0018097D" w:rsidRDefault="00180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1" w:fontKey="{FA5A8317-F0F7-418C-9E6B-73F25B59DF15}"/>
  </w:font>
  <w:font w:name="Helvetica Neue">
    <w:charset w:val="00"/>
    <w:family w:val="auto"/>
    <w:pitch w:val="default"/>
    <w:embedRegular r:id="rId2" w:fontKey="{C3057F55-7A68-49BB-B988-A3B9BFF03375}"/>
    <w:embedBold r:id="rId3" w:fontKey="{975422DB-5225-4CE7-B430-23084461F656}"/>
  </w:font>
  <w:font w:name="Play">
    <w:charset w:val="00"/>
    <w:family w:val="auto"/>
    <w:pitch w:val="default"/>
    <w:embedRegular r:id="rId4" w:fontKey="{55280000-0C38-4373-80C7-33F733BD7754}"/>
    <w:embedBold r:id="rId5" w:fontKey="{C56198DC-432F-43BE-8DFD-E15D2A405113}"/>
  </w:font>
  <w:font w:name="Arimo">
    <w:charset w:val="00"/>
    <w:family w:val="auto"/>
    <w:pitch w:val="default"/>
    <w:embedRegular r:id="rId6" w:fontKey="{207BCF80-646A-4262-863E-0347EF9C5577}"/>
    <w:embedBold r:id="rId7" w:fontKey="{EB325938-D0B0-4802-A388-365C36656093}"/>
  </w:font>
  <w:font w:name="Georgia">
    <w:panose1 w:val="02040502050405020303"/>
    <w:charset w:val="00"/>
    <w:family w:val="roman"/>
    <w:pitch w:val="variable"/>
    <w:sig w:usb0="00000287" w:usb1="00000000" w:usb2="00000000" w:usb3="00000000" w:csb0="0000009F" w:csb1="00000000"/>
    <w:embedRegular r:id="rId8" w:fontKey="{5A31CAAA-E99B-455B-A248-74405B85BF44}"/>
    <w:embedItalic r:id="rId9" w:fontKey="{49F563B9-9EC8-4693-ABBD-1005F42AAD2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0" w:fontKey="{7EF4AE8B-0CB5-42AF-9992-9A54BEECC237}"/>
  </w:font>
  <w:font w:name="Cambria">
    <w:panose1 w:val="02040503050406030204"/>
    <w:charset w:val="00"/>
    <w:family w:val="roman"/>
    <w:pitch w:val="variable"/>
    <w:sig w:usb0="E00006FF" w:usb1="420024FF" w:usb2="02000000" w:usb3="00000000" w:csb0="0000019F" w:csb1="00000000"/>
    <w:embedRegular r:id="rId11" w:fontKey="{0881CC02-2EEF-46FC-AF00-5C7BB064346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A8D877" w14:textId="77777777" w:rsidR="00122E51" w:rsidRDefault="0018097D">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B6F823" w14:textId="77777777" w:rsidR="0018097D" w:rsidRDefault="0018097D">
      <w:r>
        <w:separator/>
      </w:r>
    </w:p>
  </w:footnote>
  <w:footnote w:type="continuationSeparator" w:id="0">
    <w:p w14:paraId="7BE361D4" w14:textId="77777777" w:rsidR="0018097D" w:rsidRDefault="00180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5DC980" w14:textId="77777777" w:rsidR="00122E51" w:rsidRDefault="00122E51">
    <w:pPr>
      <w:spacing w:after="280"/>
      <w:jc w:val="center"/>
      <w:rPr>
        <w:rFonts w:ascii="Arial" w:eastAsia="Arial" w:hAnsi="Arial" w:cs="Arial"/>
        <w:color w:val="003399"/>
        <w:u w:val="single"/>
      </w:rPr>
    </w:pPr>
  </w:p>
  <w:p w14:paraId="17080B18" w14:textId="77777777" w:rsidR="00122E51" w:rsidRDefault="0018097D">
    <w:pPr>
      <w:spacing w:before="280"/>
    </w:pPr>
    <w:r>
      <w:rPr>
        <w:rFonts w:ascii="Arial" w:eastAsia="Arial" w:hAnsi="Arial" w:cs="Arial"/>
        <w:b/>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1362A7"/>
    <w:multiLevelType w:val="multilevel"/>
    <w:tmpl w:val="CD34D6E8"/>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 w15:restartNumberingAfterBreak="0">
    <w:nsid w:val="10263F9A"/>
    <w:multiLevelType w:val="multilevel"/>
    <w:tmpl w:val="8D8CA442"/>
    <w:lvl w:ilvl="0">
      <w:start w:val="123938944"/>
      <w:numFmt w:val="decimal"/>
      <w:lvlText w:val="%1."/>
      <w:lvlJc w:val="left"/>
      <w:pPr>
        <w:ind w:left="0" w:firstLine="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 w15:restartNumberingAfterBreak="0">
    <w:nsid w:val="16BA0A7A"/>
    <w:multiLevelType w:val="multilevel"/>
    <w:tmpl w:val="575483A6"/>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3" w15:restartNumberingAfterBreak="0">
    <w:nsid w:val="17857A32"/>
    <w:multiLevelType w:val="multilevel"/>
    <w:tmpl w:val="2448442E"/>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4" w15:restartNumberingAfterBreak="0">
    <w:nsid w:val="21033045"/>
    <w:multiLevelType w:val="multilevel"/>
    <w:tmpl w:val="00284264"/>
    <w:lvl w:ilvl="0">
      <w:start w:val="123938856"/>
      <w:numFmt w:val="decimal"/>
      <w:lvlText w:val="%1."/>
      <w:lvlJc w:val="left"/>
      <w:pPr>
        <w:ind w:left="0" w:firstLine="360"/>
      </w:pPr>
      <w:rPr>
        <w:vertAlign w:val="baseline"/>
      </w:rPr>
    </w:lvl>
    <w:lvl w:ilvl="1">
      <w:start w:val="123938768"/>
      <w:numFmt w:val="bullet"/>
      <w:lvlText w:val="●"/>
      <w:lvlJc w:val="left"/>
      <w:pPr>
        <w:ind w:left="1440" w:hanging="360"/>
      </w:pPr>
      <w:rPr>
        <w:rFonts w:ascii="Noto Sans Symbols" w:eastAsia="Noto Sans Symbols" w:hAnsi="Noto Sans Symbols" w:cs="Noto Sans Symbols"/>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5" w15:restartNumberingAfterBreak="0">
    <w:nsid w:val="269905D8"/>
    <w:multiLevelType w:val="multilevel"/>
    <w:tmpl w:val="D1A4F96E"/>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6" w15:restartNumberingAfterBreak="0">
    <w:nsid w:val="2B8E1D22"/>
    <w:multiLevelType w:val="multilevel"/>
    <w:tmpl w:val="BCD6EE16"/>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7" w15:restartNumberingAfterBreak="0">
    <w:nsid w:val="310303E4"/>
    <w:multiLevelType w:val="multilevel"/>
    <w:tmpl w:val="DE923FAC"/>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8" w15:restartNumberingAfterBreak="0">
    <w:nsid w:val="381A06AF"/>
    <w:multiLevelType w:val="multilevel"/>
    <w:tmpl w:val="31D8BCF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9" w15:restartNumberingAfterBreak="0">
    <w:nsid w:val="3D0248D3"/>
    <w:multiLevelType w:val="multilevel"/>
    <w:tmpl w:val="1262834C"/>
    <w:lvl w:ilvl="0">
      <w:start w:val="123940136"/>
      <w:numFmt w:val="decimal"/>
      <w:lvlText w:val="%1."/>
      <w:lvlJc w:val="left"/>
      <w:pPr>
        <w:ind w:left="0" w:firstLine="360"/>
      </w:pPr>
      <w:rPr>
        <w:vertAlign w:val="baseline"/>
      </w:rPr>
    </w:lvl>
    <w:lvl w:ilvl="1">
      <w:start w:val="123940048"/>
      <w:numFmt w:val="bullet"/>
      <w:lvlText w:val="●"/>
      <w:lvlJc w:val="left"/>
      <w:pPr>
        <w:ind w:left="1440" w:hanging="360"/>
      </w:pPr>
      <w:rPr>
        <w:rFonts w:ascii="Noto Sans Symbols" w:eastAsia="Noto Sans Symbols" w:hAnsi="Noto Sans Symbols" w:cs="Noto Sans Symbols"/>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0" w15:restartNumberingAfterBreak="0">
    <w:nsid w:val="668D7A58"/>
    <w:multiLevelType w:val="multilevel"/>
    <w:tmpl w:val="BB2C3890"/>
    <w:lvl w:ilvl="0">
      <w:start w:val="123981992"/>
      <w:numFmt w:val="decimal"/>
      <w:lvlText w:val="%1."/>
      <w:lvlJc w:val="left"/>
      <w:pPr>
        <w:ind w:left="0" w:firstLine="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1" w15:restartNumberingAfterBreak="0">
    <w:nsid w:val="6B421557"/>
    <w:multiLevelType w:val="multilevel"/>
    <w:tmpl w:val="CF6E5724"/>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2" w15:restartNumberingAfterBreak="0">
    <w:nsid w:val="6C2F155B"/>
    <w:multiLevelType w:val="multilevel"/>
    <w:tmpl w:val="FAA41488"/>
    <w:lvl w:ilvl="0">
      <w:start w:val="123982080"/>
      <w:numFmt w:val="decimal"/>
      <w:lvlText w:val="%1."/>
      <w:lvlJc w:val="left"/>
      <w:pPr>
        <w:ind w:left="0" w:firstLine="360"/>
      </w:pPr>
      <w:rPr>
        <w:vertAlign w:val="baseline"/>
      </w:rPr>
    </w:lvl>
    <w:lvl w:ilvl="1">
      <w:start w:val="123982032"/>
      <w:numFmt w:val="bullet"/>
      <w:lvlText w:val="●"/>
      <w:lvlJc w:val="left"/>
      <w:pPr>
        <w:ind w:left="1440" w:hanging="360"/>
      </w:pPr>
      <w:rPr>
        <w:rFonts w:ascii="Noto Sans Symbols" w:eastAsia="Noto Sans Symbols" w:hAnsi="Noto Sans Symbols" w:cs="Noto Sans Symbols"/>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3" w15:restartNumberingAfterBreak="0">
    <w:nsid w:val="750D3639"/>
    <w:multiLevelType w:val="multilevel"/>
    <w:tmpl w:val="C52A90E8"/>
    <w:lvl w:ilvl="0">
      <w:start w:val="123800704"/>
      <w:numFmt w:val="decimal"/>
      <w:lvlText w:val="%1."/>
      <w:lvlJc w:val="left"/>
      <w:pPr>
        <w:ind w:left="0" w:firstLine="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14" w15:restartNumberingAfterBreak="0">
    <w:nsid w:val="758F4F76"/>
    <w:multiLevelType w:val="multilevel"/>
    <w:tmpl w:val="3770262E"/>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bullet"/>
      <w:lvlText w:val="▪"/>
      <w:lvlJc w:val="left"/>
      <w:pPr>
        <w:ind w:left="2160" w:hanging="360"/>
      </w:pPr>
      <w:rPr>
        <w:rFonts w:ascii="Noto Sans Symbols" w:eastAsia="Noto Sans Symbols" w:hAnsi="Noto Sans Symbols" w:cs="Noto Sans Symbols"/>
        <w:sz w:val="20"/>
        <w:szCs w:val="20"/>
        <w:vertAlign w:val="baseline"/>
      </w:rPr>
    </w:lvl>
    <w:lvl w:ilvl="3">
      <w:start w:val="1"/>
      <w:numFmt w:val="bullet"/>
      <w:lvlText w:val="▪"/>
      <w:lvlJc w:val="left"/>
      <w:pPr>
        <w:ind w:left="2880" w:hanging="360"/>
      </w:pPr>
      <w:rPr>
        <w:rFonts w:ascii="Noto Sans Symbols" w:eastAsia="Noto Sans Symbols" w:hAnsi="Noto Sans Symbols" w:cs="Noto Sans Symbols"/>
        <w:sz w:val="20"/>
        <w:szCs w:val="20"/>
        <w:vertAlign w:val="baseline"/>
      </w:rPr>
    </w:lvl>
    <w:lvl w:ilvl="4">
      <w:start w:val="1"/>
      <w:numFmt w:val="bullet"/>
      <w:lvlText w:val="▪"/>
      <w:lvlJc w:val="left"/>
      <w:pPr>
        <w:ind w:left="3600" w:hanging="360"/>
      </w:pPr>
      <w:rPr>
        <w:rFonts w:ascii="Noto Sans Symbols" w:eastAsia="Noto Sans Symbols" w:hAnsi="Noto Sans Symbols" w:cs="Noto Sans Symbols"/>
        <w:sz w:val="20"/>
        <w:szCs w:val="20"/>
        <w:vertAlign w:val="baseline"/>
      </w:rPr>
    </w:lvl>
    <w:lvl w:ilvl="5">
      <w:start w:val="1"/>
      <w:numFmt w:val="bullet"/>
      <w:lvlText w:val="▪"/>
      <w:lvlJc w:val="left"/>
      <w:pPr>
        <w:ind w:left="4320" w:hanging="360"/>
      </w:pPr>
      <w:rPr>
        <w:rFonts w:ascii="Noto Sans Symbols" w:eastAsia="Noto Sans Symbols" w:hAnsi="Noto Sans Symbols" w:cs="Noto Sans Symbols"/>
        <w:sz w:val="20"/>
        <w:szCs w:val="20"/>
        <w:vertAlign w:val="baseline"/>
      </w:rPr>
    </w:lvl>
    <w:lvl w:ilvl="6">
      <w:start w:val="1"/>
      <w:numFmt w:val="bullet"/>
      <w:lvlText w:val="▪"/>
      <w:lvlJc w:val="left"/>
      <w:pPr>
        <w:ind w:left="5040" w:hanging="360"/>
      </w:pPr>
      <w:rPr>
        <w:rFonts w:ascii="Noto Sans Symbols" w:eastAsia="Noto Sans Symbols" w:hAnsi="Noto Sans Symbols" w:cs="Noto Sans Symbols"/>
        <w:sz w:val="20"/>
        <w:szCs w:val="20"/>
        <w:vertAlign w:val="baseline"/>
      </w:rPr>
    </w:lvl>
    <w:lvl w:ilvl="7">
      <w:start w:val="1"/>
      <w:numFmt w:val="bullet"/>
      <w:lvlText w:val="▪"/>
      <w:lvlJc w:val="left"/>
      <w:pPr>
        <w:ind w:left="5760" w:hanging="360"/>
      </w:pPr>
      <w:rPr>
        <w:rFonts w:ascii="Noto Sans Symbols" w:eastAsia="Noto Sans Symbols" w:hAnsi="Noto Sans Symbols" w:cs="Noto Sans Symbols"/>
        <w:sz w:val="20"/>
        <w:szCs w:val="20"/>
        <w:vertAlign w:val="baseline"/>
      </w:rPr>
    </w:lvl>
    <w:lvl w:ilvl="8">
      <w:start w:val="1"/>
      <w:numFmt w:val="bullet"/>
      <w:lvlText w:val="▪"/>
      <w:lvlJc w:val="left"/>
      <w:pPr>
        <w:ind w:left="6480" w:hanging="360"/>
      </w:pPr>
      <w:rPr>
        <w:rFonts w:ascii="Noto Sans Symbols" w:eastAsia="Noto Sans Symbols" w:hAnsi="Noto Sans Symbols" w:cs="Noto Sans Symbols"/>
        <w:sz w:val="20"/>
        <w:szCs w:val="20"/>
        <w:vertAlign w:val="baseline"/>
      </w:rPr>
    </w:lvl>
  </w:abstractNum>
  <w:abstractNum w:abstractNumId="15" w15:restartNumberingAfterBreak="0">
    <w:nsid w:val="7C465A0C"/>
    <w:multiLevelType w:val="multilevel"/>
    <w:tmpl w:val="9D428E16"/>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sz w:val="20"/>
        <w:szCs w:val="20"/>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num w:numId="1">
    <w:abstractNumId w:val="15"/>
  </w:num>
  <w:num w:numId="2">
    <w:abstractNumId w:val="6"/>
  </w:num>
  <w:num w:numId="3">
    <w:abstractNumId w:val="7"/>
  </w:num>
  <w:num w:numId="4">
    <w:abstractNumId w:val="0"/>
  </w:num>
  <w:num w:numId="5">
    <w:abstractNumId w:val="13"/>
  </w:num>
  <w:num w:numId="6">
    <w:abstractNumId w:val="12"/>
  </w:num>
  <w:num w:numId="7">
    <w:abstractNumId w:val="10"/>
  </w:num>
  <w:num w:numId="8">
    <w:abstractNumId w:val="9"/>
  </w:num>
  <w:num w:numId="9">
    <w:abstractNumId w:val="1"/>
  </w:num>
  <w:num w:numId="10">
    <w:abstractNumId w:val="4"/>
  </w:num>
  <w:num w:numId="11">
    <w:abstractNumId w:val="5"/>
  </w:num>
  <w:num w:numId="12">
    <w:abstractNumId w:val="2"/>
  </w:num>
  <w:num w:numId="13">
    <w:abstractNumId w:val="11"/>
  </w:num>
  <w:num w:numId="14">
    <w:abstractNumId w:val="14"/>
  </w:num>
  <w:num w:numId="15">
    <w:abstractNumId w:val="3"/>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E51"/>
    <w:rsid w:val="00000E6F"/>
    <w:rsid w:val="00122E51"/>
    <w:rsid w:val="0018097D"/>
    <w:rsid w:val="002A7536"/>
    <w:rsid w:val="002D4064"/>
    <w:rsid w:val="006006B8"/>
    <w:rsid w:val="006278AD"/>
    <w:rsid w:val="008537D3"/>
    <w:rsid w:val="009B1CBA"/>
    <w:rsid w:val="00A3785B"/>
    <w:rsid w:val="00B72274"/>
    <w:rsid w:val="00D96C88"/>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C37811C"/>
  <w15:docId w15:val="{C2F9D886-6C85-4C2B-8BEB-5490298A3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spacing w:before="240" w:after="60"/>
      <w:outlineLvl w:val="2"/>
    </w:pPr>
    <w:rPr>
      <w:rFonts w:ascii="Play" w:eastAsia="Play" w:hAnsi="Play" w:cs="Play"/>
      <w:b/>
      <w:sz w:val="26"/>
      <w:szCs w:val="26"/>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geesi.com/index.php/JGEESI"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5</Pages>
  <Words>2147</Words>
  <Characters>12244</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latha</dc:creator>
  <cp:lastModifiedBy>SDI 1186</cp:lastModifiedBy>
  <cp:revision>5</cp:revision>
  <dcterms:created xsi:type="dcterms:W3CDTF">2025-10-02T09:10:00Z</dcterms:created>
  <dcterms:modified xsi:type="dcterms:W3CDTF">2025-10-04T08:18:00Z</dcterms:modified>
</cp:coreProperties>
</file>