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C96901" w:rsidRPr="001F2A7D">
        <w:trPr>
          <w:trHeight w:val="290"/>
        </w:trPr>
        <w:tc>
          <w:tcPr>
            <w:tcW w:w="20934" w:type="dxa"/>
            <w:gridSpan w:val="2"/>
            <w:tcBorders>
              <w:top w:val="nil"/>
              <w:left w:val="nil"/>
              <w:right w:val="nil"/>
            </w:tcBorders>
          </w:tcPr>
          <w:p w:rsidR="00C96901" w:rsidRPr="001F2A7D" w:rsidRDefault="00C96901">
            <w:pPr>
              <w:pStyle w:val="Heading2"/>
              <w:jc w:val="left"/>
              <w:rPr>
                <w:rFonts w:ascii="Arial" w:eastAsia="Arial" w:hAnsi="Arial" w:cs="Arial"/>
                <w:b w:val="0"/>
              </w:rPr>
            </w:pPr>
          </w:p>
        </w:tc>
      </w:tr>
      <w:tr w:rsidR="00C96901" w:rsidRPr="001F2A7D">
        <w:trPr>
          <w:trHeight w:val="290"/>
        </w:trPr>
        <w:tc>
          <w:tcPr>
            <w:tcW w:w="5167" w:type="dxa"/>
          </w:tcPr>
          <w:p w:rsidR="00C96901" w:rsidRPr="001F2A7D" w:rsidRDefault="00D73EBC">
            <w:pPr>
              <w:pBdr>
                <w:top w:val="nil"/>
                <w:left w:val="nil"/>
                <w:bottom w:val="nil"/>
                <w:right w:val="nil"/>
                <w:between w:val="nil"/>
              </w:pBdr>
              <w:ind w:left="90"/>
              <w:rPr>
                <w:rFonts w:ascii="Arial" w:eastAsia="Arial" w:hAnsi="Arial" w:cs="Arial"/>
                <w:color w:val="000000"/>
                <w:sz w:val="20"/>
                <w:szCs w:val="20"/>
              </w:rPr>
            </w:pPr>
            <w:r w:rsidRPr="001F2A7D">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C96901" w:rsidRPr="001F2A7D" w:rsidRDefault="00D73EBC">
            <w:pPr>
              <w:rPr>
                <w:rFonts w:ascii="Arial" w:eastAsia="Arial" w:hAnsi="Arial" w:cs="Arial"/>
                <w:color w:val="0000FF"/>
                <w:sz w:val="20"/>
                <w:szCs w:val="20"/>
              </w:rPr>
            </w:pPr>
            <w:hyperlink r:id="rId8">
              <w:r w:rsidRPr="001F2A7D">
                <w:rPr>
                  <w:rFonts w:ascii="Arial" w:eastAsia="Arial" w:hAnsi="Arial" w:cs="Arial"/>
                  <w:b/>
                  <w:color w:val="0000FF"/>
                  <w:sz w:val="20"/>
                  <w:szCs w:val="20"/>
                  <w:u w:val="single"/>
                </w:rPr>
                <w:t>Journal of Advances in Biology &amp; Biotechnology</w:t>
              </w:r>
            </w:hyperlink>
            <w:r w:rsidRPr="001F2A7D">
              <w:rPr>
                <w:rFonts w:ascii="Arial" w:eastAsia="Arial" w:hAnsi="Arial" w:cs="Arial"/>
                <w:b/>
                <w:color w:val="0000FF"/>
                <w:sz w:val="20"/>
                <w:szCs w:val="20"/>
              </w:rPr>
              <w:t xml:space="preserve"> </w:t>
            </w:r>
          </w:p>
        </w:tc>
      </w:tr>
      <w:tr w:rsidR="00C96901" w:rsidRPr="001F2A7D">
        <w:trPr>
          <w:trHeight w:val="290"/>
        </w:trPr>
        <w:tc>
          <w:tcPr>
            <w:tcW w:w="5167" w:type="dxa"/>
          </w:tcPr>
          <w:p w:rsidR="00C96901" w:rsidRPr="001F2A7D" w:rsidRDefault="00D73EBC">
            <w:pPr>
              <w:pBdr>
                <w:top w:val="nil"/>
                <w:left w:val="nil"/>
                <w:bottom w:val="nil"/>
                <w:right w:val="nil"/>
                <w:between w:val="nil"/>
              </w:pBdr>
              <w:ind w:left="90"/>
              <w:rPr>
                <w:rFonts w:ascii="Arial" w:eastAsia="Arial" w:hAnsi="Arial" w:cs="Arial"/>
                <w:color w:val="000000"/>
                <w:sz w:val="20"/>
                <w:szCs w:val="20"/>
              </w:rPr>
            </w:pPr>
            <w:r w:rsidRPr="001F2A7D">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C96901" w:rsidRPr="001F2A7D" w:rsidRDefault="00D73EBC">
            <w:pPr>
              <w:pBdr>
                <w:top w:val="nil"/>
                <w:left w:val="nil"/>
                <w:bottom w:val="nil"/>
                <w:right w:val="nil"/>
                <w:between w:val="nil"/>
              </w:pBdr>
              <w:rPr>
                <w:rFonts w:ascii="Arial" w:eastAsia="Arial" w:hAnsi="Arial" w:cs="Arial"/>
                <w:color w:val="000000"/>
                <w:sz w:val="20"/>
                <w:szCs w:val="20"/>
              </w:rPr>
            </w:pPr>
            <w:r w:rsidRPr="001F2A7D">
              <w:rPr>
                <w:rFonts w:ascii="Arial" w:eastAsia="Arial" w:hAnsi="Arial" w:cs="Arial"/>
                <w:b/>
                <w:color w:val="000000"/>
                <w:sz w:val="20"/>
                <w:szCs w:val="20"/>
              </w:rPr>
              <w:t>Ms_JABB_146283</w:t>
            </w:r>
          </w:p>
        </w:tc>
      </w:tr>
      <w:tr w:rsidR="00C96901" w:rsidRPr="001F2A7D">
        <w:trPr>
          <w:trHeight w:val="650"/>
        </w:trPr>
        <w:tc>
          <w:tcPr>
            <w:tcW w:w="5167" w:type="dxa"/>
          </w:tcPr>
          <w:p w:rsidR="00C96901" w:rsidRPr="001F2A7D" w:rsidRDefault="00D73EBC">
            <w:pPr>
              <w:pBdr>
                <w:top w:val="nil"/>
                <w:left w:val="nil"/>
                <w:bottom w:val="nil"/>
                <w:right w:val="nil"/>
                <w:between w:val="nil"/>
              </w:pBdr>
              <w:ind w:left="90"/>
              <w:rPr>
                <w:rFonts w:ascii="Arial" w:eastAsia="Arial" w:hAnsi="Arial" w:cs="Arial"/>
                <w:color w:val="000000"/>
                <w:sz w:val="20"/>
                <w:szCs w:val="20"/>
              </w:rPr>
            </w:pPr>
            <w:r w:rsidRPr="001F2A7D">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C96901" w:rsidRPr="001F2A7D" w:rsidRDefault="00D73EBC">
            <w:pPr>
              <w:pBdr>
                <w:top w:val="nil"/>
                <w:left w:val="nil"/>
                <w:bottom w:val="nil"/>
                <w:right w:val="nil"/>
                <w:between w:val="nil"/>
              </w:pBdr>
              <w:rPr>
                <w:rFonts w:ascii="Arial" w:eastAsia="Arial" w:hAnsi="Arial" w:cs="Arial"/>
                <w:color w:val="000000"/>
                <w:sz w:val="20"/>
                <w:szCs w:val="20"/>
              </w:rPr>
            </w:pPr>
            <w:r w:rsidRPr="001F2A7D">
              <w:rPr>
                <w:rFonts w:ascii="Arial" w:eastAsia="Arial" w:hAnsi="Arial" w:cs="Arial"/>
                <w:b/>
                <w:color w:val="000000"/>
                <w:sz w:val="20"/>
                <w:szCs w:val="20"/>
              </w:rPr>
              <w:t>Assessment of Genetic Diversity for Grain Iron and Zinc Contents Among 123 Rice Germplasm Lines</w:t>
            </w:r>
          </w:p>
        </w:tc>
      </w:tr>
      <w:tr w:rsidR="00C96901" w:rsidRPr="001F2A7D">
        <w:trPr>
          <w:trHeight w:val="332"/>
        </w:trPr>
        <w:tc>
          <w:tcPr>
            <w:tcW w:w="5167" w:type="dxa"/>
          </w:tcPr>
          <w:p w:rsidR="00C96901" w:rsidRPr="001F2A7D" w:rsidRDefault="00D73EBC">
            <w:pPr>
              <w:pBdr>
                <w:top w:val="nil"/>
                <w:left w:val="nil"/>
                <w:bottom w:val="nil"/>
                <w:right w:val="nil"/>
                <w:between w:val="nil"/>
              </w:pBdr>
              <w:ind w:left="90"/>
              <w:rPr>
                <w:rFonts w:ascii="Arial" w:eastAsia="Arial" w:hAnsi="Arial" w:cs="Arial"/>
                <w:color w:val="000000"/>
                <w:sz w:val="20"/>
                <w:szCs w:val="20"/>
              </w:rPr>
            </w:pPr>
            <w:r w:rsidRPr="001F2A7D">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C96901" w:rsidRPr="001F2A7D" w:rsidRDefault="00D73EBC">
            <w:pPr>
              <w:pBdr>
                <w:top w:val="nil"/>
                <w:left w:val="nil"/>
                <w:bottom w:val="nil"/>
                <w:right w:val="nil"/>
                <w:between w:val="nil"/>
              </w:pBdr>
              <w:rPr>
                <w:rFonts w:ascii="Arial" w:eastAsia="Arial" w:hAnsi="Arial" w:cs="Arial"/>
                <w:color w:val="000000"/>
                <w:sz w:val="20"/>
                <w:szCs w:val="20"/>
              </w:rPr>
            </w:pPr>
            <w:r w:rsidRPr="001F2A7D">
              <w:rPr>
                <w:rFonts w:ascii="Arial" w:eastAsia="Arial" w:hAnsi="Arial" w:cs="Arial"/>
                <w:b/>
                <w:color w:val="000000"/>
                <w:sz w:val="20"/>
                <w:szCs w:val="20"/>
              </w:rPr>
              <w:t>Original Research Article</w:t>
            </w:r>
          </w:p>
        </w:tc>
      </w:tr>
    </w:tbl>
    <w:p w:rsidR="00C96901" w:rsidRPr="001F2A7D" w:rsidRDefault="00C96901">
      <w:pPr>
        <w:rPr>
          <w:rFonts w:ascii="Arial" w:hAnsi="Arial" w:cs="Arial"/>
          <w:sz w:val="20"/>
          <w:szCs w:val="20"/>
        </w:rPr>
      </w:pPr>
      <w:bookmarkStart w:id="0" w:name="_heading=h.7d10l5uuwst"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C96901" w:rsidRPr="001F2A7D">
        <w:tc>
          <w:tcPr>
            <w:tcW w:w="21150" w:type="dxa"/>
            <w:gridSpan w:val="3"/>
            <w:tcBorders>
              <w:top w:val="nil"/>
              <w:left w:val="nil"/>
              <w:right w:val="nil"/>
            </w:tcBorders>
          </w:tcPr>
          <w:p w:rsidR="00C96901" w:rsidRPr="001F2A7D" w:rsidRDefault="00D73EBC">
            <w:pPr>
              <w:pStyle w:val="Heading2"/>
              <w:jc w:val="left"/>
              <w:rPr>
                <w:rFonts w:ascii="Arial" w:eastAsia="Times New Roman" w:hAnsi="Arial" w:cs="Arial"/>
              </w:rPr>
            </w:pPr>
            <w:r w:rsidRPr="001F2A7D">
              <w:rPr>
                <w:rFonts w:ascii="Arial" w:eastAsia="Times New Roman" w:hAnsi="Arial" w:cs="Arial"/>
                <w:highlight w:val="yellow"/>
              </w:rPr>
              <w:t>PART  1:</w:t>
            </w:r>
            <w:r w:rsidRPr="001F2A7D">
              <w:rPr>
                <w:rFonts w:ascii="Arial" w:eastAsia="Times New Roman" w:hAnsi="Arial" w:cs="Arial"/>
              </w:rPr>
              <w:t xml:space="preserve"> Comments</w:t>
            </w:r>
          </w:p>
          <w:p w:rsidR="00C96901" w:rsidRPr="001F2A7D" w:rsidRDefault="00C96901">
            <w:pPr>
              <w:rPr>
                <w:rFonts w:ascii="Arial" w:hAnsi="Arial" w:cs="Arial"/>
                <w:sz w:val="20"/>
                <w:szCs w:val="20"/>
              </w:rPr>
            </w:pPr>
          </w:p>
        </w:tc>
      </w:tr>
      <w:tr w:rsidR="00C96901" w:rsidRPr="001F2A7D">
        <w:tc>
          <w:tcPr>
            <w:tcW w:w="5351" w:type="dxa"/>
          </w:tcPr>
          <w:p w:rsidR="00C96901" w:rsidRPr="001F2A7D" w:rsidRDefault="00C96901">
            <w:pPr>
              <w:pStyle w:val="Heading2"/>
              <w:jc w:val="left"/>
              <w:rPr>
                <w:rFonts w:ascii="Arial" w:eastAsia="Times New Roman" w:hAnsi="Arial" w:cs="Arial"/>
              </w:rPr>
            </w:pPr>
          </w:p>
        </w:tc>
        <w:tc>
          <w:tcPr>
            <w:tcW w:w="9357" w:type="dxa"/>
          </w:tcPr>
          <w:p w:rsidR="00C96901" w:rsidRPr="001F2A7D" w:rsidRDefault="00D73EBC">
            <w:pPr>
              <w:pStyle w:val="Heading2"/>
              <w:jc w:val="left"/>
              <w:rPr>
                <w:rFonts w:ascii="Arial" w:eastAsia="Times New Roman" w:hAnsi="Arial" w:cs="Arial"/>
              </w:rPr>
            </w:pPr>
            <w:r w:rsidRPr="001F2A7D">
              <w:rPr>
                <w:rFonts w:ascii="Arial" w:eastAsia="Times New Roman" w:hAnsi="Arial" w:cs="Arial"/>
              </w:rPr>
              <w:t>Reviewer’s comment</w:t>
            </w:r>
          </w:p>
          <w:p w:rsidR="00C96901" w:rsidRPr="001F2A7D" w:rsidRDefault="00D73EBC">
            <w:pPr>
              <w:rPr>
                <w:rFonts w:ascii="Arial" w:hAnsi="Arial" w:cs="Arial"/>
                <w:sz w:val="20"/>
                <w:szCs w:val="20"/>
              </w:rPr>
            </w:pPr>
            <w:r w:rsidRPr="001F2A7D">
              <w:rPr>
                <w:rFonts w:ascii="Arial" w:hAnsi="Arial" w:cs="Arial"/>
                <w:b/>
                <w:sz w:val="20"/>
                <w:szCs w:val="20"/>
                <w:highlight w:val="yellow"/>
              </w:rPr>
              <w:t>Artificial Intelligence (AI) generated or assisted review comments are strictly prohibited during peer review.</w:t>
            </w:r>
          </w:p>
          <w:p w:rsidR="00C96901" w:rsidRPr="001F2A7D" w:rsidRDefault="00C96901">
            <w:pPr>
              <w:rPr>
                <w:rFonts w:ascii="Arial" w:hAnsi="Arial" w:cs="Arial"/>
                <w:sz w:val="20"/>
                <w:szCs w:val="20"/>
              </w:rPr>
            </w:pPr>
          </w:p>
        </w:tc>
        <w:tc>
          <w:tcPr>
            <w:tcW w:w="6442" w:type="dxa"/>
          </w:tcPr>
          <w:p w:rsidR="00C96901" w:rsidRPr="001F2A7D" w:rsidRDefault="00D73EBC">
            <w:pPr>
              <w:spacing w:after="160" w:line="256" w:lineRule="auto"/>
              <w:rPr>
                <w:rFonts w:ascii="Arial" w:hAnsi="Arial" w:cs="Arial"/>
                <w:sz w:val="20"/>
                <w:szCs w:val="20"/>
              </w:rPr>
            </w:pPr>
            <w:r w:rsidRPr="001F2A7D">
              <w:rPr>
                <w:rFonts w:ascii="Arial" w:hAnsi="Arial" w:cs="Arial"/>
                <w:b/>
                <w:sz w:val="20"/>
                <w:szCs w:val="20"/>
              </w:rPr>
              <w:t>Author’s Feedback</w:t>
            </w:r>
            <w:r w:rsidRPr="001F2A7D">
              <w:rPr>
                <w:rFonts w:ascii="Arial" w:hAnsi="Arial" w:cs="Arial"/>
                <w:sz w:val="20"/>
                <w:szCs w:val="20"/>
              </w:rPr>
              <w:t xml:space="preserve"> (It is mandatory that authors should write his/her feedback here)</w:t>
            </w:r>
          </w:p>
          <w:p w:rsidR="00C96901" w:rsidRPr="001F2A7D" w:rsidRDefault="00C96901">
            <w:pPr>
              <w:pStyle w:val="Heading2"/>
              <w:jc w:val="left"/>
              <w:rPr>
                <w:rFonts w:ascii="Arial" w:eastAsia="Times New Roman" w:hAnsi="Arial" w:cs="Arial"/>
                <w:b w:val="0"/>
              </w:rPr>
            </w:pPr>
          </w:p>
        </w:tc>
      </w:tr>
      <w:tr w:rsidR="00C96901" w:rsidRPr="001F2A7D">
        <w:trPr>
          <w:trHeight w:val="1264"/>
        </w:trPr>
        <w:tc>
          <w:tcPr>
            <w:tcW w:w="5351" w:type="dxa"/>
          </w:tcPr>
          <w:p w:rsidR="00C96901" w:rsidRPr="001F2A7D" w:rsidRDefault="00D73EBC">
            <w:pPr>
              <w:ind w:left="360"/>
              <w:rPr>
                <w:rFonts w:ascii="Arial" w:hAnsi="Arial" w:cs="Arial"/>
                <w:sz w:val="20"/>
                <w:szCs w:val="20"/>
              </w:rPr>
            </w:pPr>
            <w:r w:rsidRPr="001F2A7D">
              <w:rPr>
                <w:rFonts w:ascii="Arial" w:hAnsi="Arial" w:cs="Arial"/>
                <w:b/>
                <w:sz w:val="20"/>
                <w:szCs w:val="20"/>
              </w:rPr>
              <w:t>Please write a few sentences regarding the importance of this manuscript for the scientific community. A minimum of 3-4 sentences may be required for this part.</w:t>
            </w:r>
          </w:p>
          <w:p w:rsidR="00C96901" w:rsidRPr="001F2A7D" w:rsidRDefault="00C96901">
            <w:pPr>
              <w:ind w:left="360"/>
              <w:rPr>
                <w:rFonts w:ascii="Arial" w:hAnsi="Arial" w:cs="Arial"/>
                <w:sz w:val="20"/>
                <w:szCs w:val="20"/>
              </w:rPr>
            </w:pPr>
          </w:p>
        </w:tc>
        <w:tc>
          <w:tcPr>
            <w:tcW w:w="9357" w:type="dxa"/>
          </w:tcPr>
          <w:p w:rsidR="00C96901" w:rsidRPr="001F2A7D" w:rsidRDefault="00D73EBC">
            <w:pPr>
              <w:pBdr>
                <w:top w:val="nil"/>
                <w:left w:val="nil"/>
                <w:bottom w:val="nil"/>
                <w:right w:val="nil"/>
                <w:between w:val="nil"/>
              </w:pBdr>
              <w:jc w:val="both"/>
              <w:rPr>
                <w:rFonts w:ascii="Arial" w:hAnsi="Arial" w:cs="Arial"/>
                <w:color w:val="000000"/>
                <w:sz w:val="20"/>
                <w:szCs w:val="20"/>
              </w:rPr>
            </w:pPr>
            <w:r w:rsidRPr="001F2A7D">
              <w:rPr>
                <w:rFonts w:ascii="Arial" w:hAnsi="Arial" w:cs="Arial"/>
                <w:color w:val="000000"/>
                <w:sz w:val="20"/>
                <w:szCs w:val="20"/>
              </w:rPr>
              <w:t xml:space="preserve">Micronutrient deficiency, or "hidden hunger," is one of the most pressing public health crises, affecting over 2 billion people globally, with India bearing a heavy burden of stunting and </w:t>
            </w:r>
            <w:proofErr w:type="spellStart"/>
            <w:r w:rsidRPr="001F2A7D">
              <w:rPr>
                <w:rFonts w:ascii="Arial" w:hAnsi="Arial" w:cs="Arial"/>
                <w:color w:val="000000"/>
                <w:sz w:val="20"/>
                <w:szCs w:val="20"/>
              </w:rPr>
              <w:t>anemia</w:t>
            </w:r>
            <w:proofErr w:type="spellEnd"/>
            <w:r w:rsidRPr="001F2A7D">
              <w:rPr>
                <w:rFonts w:ascii="Arial" w:hAnsi="Arial" w:cs="Arial"/>
                <w:color w:val="000000"/>
                <w:sz w:val="20"/>
                <w:szCs w:val="20"/>
              </w:rPr>
              <w:t>. Rice, as the staple for over 3.5 billion people, is inherent</w:t>
            </w:r>
            <w:r w:rsidRPr="001F2A7D">
              <w:rPr>
                <w:rFonts w:ascii="Arial" w:hAnsi="Arial" w:cs="Arial"/>
                <w:color w:val="000000"/>
                <w:sz w:val="20"/>
                <w:szCs w:val="20"/>
              </w:rPr>
              <w:t>ly poor in iron and zinc after polishing.</w:t>
            </w:r>
          </w:p>
          <w:p w:rsidR="00C96901" w:rsidRPr="001F2A7D" w:rsidRDefault="00D73EBC">
            <w:pPr>
              <w:pBdr>
                <w:top w:val="nil"/>
                <w:left w:val="nil"/>
                <w:bottom w:val="nil"/>
                <w:right w:val="nil"/>
                <w:between w:val="nil"/>
              </w:pBdr>
              <w:jc w:val="both"/>
              <w:rPr>
                <w:rFonts w:ascii="Arial" w:hAnsi="Arial" w:cs="Arial"/>
                <w:color w:val="000000"/>
                <w:sz w:val="20"/>
                <w:szCs w:val="20"/>
              </w:rPr>
            </w:pPr>
            <w:r w:rsidRPr="001F2A7D">
              <w:rPr>
                <w:rFonts w:ascii="Arial" w:hAnsi="Arial" w:cs="Arial"/>
                <w:color w:val="000000"/>
                <w:sz w:val="20"/>
                <w:szCs w:val="20"/>
              </w:rPr>
              <w:t xml:space="preserve">This manuscript is crucial because it identifies and validates extreme-value donor genotypes that far exceed current international breeding targets for iron and zinc. The discovery that traditional varieties like </w:t>
            </w:r>
            <w:proofErr w:type="spellStart"/>
            <w:r w:rsidRPr="001F2A7D">
              <w:rPr>
                <w:rFonts w:ascii="Arial" w:hAnsi="Arial" w:cs="Arial"/>
                <w:color w:val="000000"/>
                <w:sz w:val="20"/>
                <w:szCs w:val="20"/>
              </w:rPr>
              <w:t>C</w:t>
            </w:r>
            <w:r w:rsidRPr="001F2A7D">
              <w:rPr>
                <w:rFonts w:ascii="Arial" w:hAnsi="Arial" w:cs="Arial"/>
                <w:color w:val="000000"/>
                <w:sz w:val="20"/>
                <w:szCs w:val="20"/>
              </w:rPr>
              <w:t>hittimuthyalu</w:t>
            </w:r>
            <w:proofErr w:type="spellEnd"/>
            <w:r w:rsidRPr="001F2A7D">
              <w:rPr>
                <w:rFonts w:ascii="Arial" w:hAnsi="Arial" w:cs="Arial"/>
                <w:color w:val="000000"/>
                <w:sz w:val="20"/>
                <w:szCs w:val="20"/>
              </w:rPr>
              <w:t xml:space="preserve"> (1694.8 ppm Fe) possess iron levels 100-130 times the </w:t>
            </w:r>
            <w:proofErr w:type="spellStart"/>
            <w:r w:rsidRPr="001F2A7D">
              <w:rPr>
                <w:rFonts w:ascii="Arial" w:hAnsi="Arial" w:cs="Arial"/>
                <w:color w:val="000000"/>
                <w:sz w:val="20"/>
                <w:szCs w:val="20"/>
              </w:rPr>
              <w:t>HarvestPlus</w:t>
            </w:r>
            <w:proofErr w:type="spellEnd"/>
            <w:r w:rsidRPr="001F2A7D">
              <w:rPr>
                <w:rFonts w:ascii="Arial" w:hAnsi="Arial" w:cs="Arial"/>
                <w:color w:val="000000"/>
                <w:sz w:val="20"/>
                <w:szCs w:val="20"/>
              </w:rPr>
              <w:t xml:space="preserve"> target is a powerful argument for the conservation and utilization of landraces. Furthermore, the rigorous correlation and Principal Component Analysis (PCA) showing the indepe</w:t>
            </w:r>
            <w:r w:rsidRPr="001F2A7D">
              <w:rPr>
                <w:rFonts w:ascii="Arial" w:hAnsi="Arial" w:cs="Arial"/>
                <w:color w:val="000000"/>
                <w:sz w:val="20"/>
                <w:szCs w:val="20"/>
              </w:rPr>
              <w:t xml:space="preserve">ndence of these micronutrient traits from major yield components (PC1-PC3) provides the genetic reassurance that breeders need: we can pursue high-iron and high-zinc without compromising grain yield. This moves the biofortification effort from theoretical </w:t>
            </w:r>
            <w:r w:rsidRPr="001F2A7D">
              <w:rPr>
                <w:rFonts w:ascii="Arial" w:hAnsi="Arial" w:cs="Arial"/>
                <w:color w:val="000000"/>
                <w:sz w:val="20"/>
                <w:szCs w:val="20"/>
              </w:rPr>
              <w:t>possibility to practical, data-driven reality.</w:t>
            </w:r>
          </w:p>
        </w:tc>
        <w:tc>
          <w:tcPr>
            <w:tcW w:w="6442" w:type="dxa"/>
          </w:tcPr>
          <w:p w:rsidR="00C96901" w:rsidRPr="001F2A7D" w:rsidRDefault="00D73EBC">
            <w:pPr>
              <w:pStyle w:val="Heading2"/>
              <w:jc w:val="left"/>
              <w:rPr>
                <w:rFonts w:ascii="Arial" w:eastAsia="Times New Roman" w:hAnsi="Arial" w:cs="Arial"/>
                <w:b w:val="0"/>
              </w:rPr>
            </w:pPr>
            <w:r w:rsidRPr="001F2A7D">
              <w:rPr>
                <w:rFonts w:ascii="Arial" w:eastAsia="Times New Roman" w:hAnsi="Arial" w:cs="Arial"/>
                <w:b w:val="0"/>
              </w:rPr>
              <w:t xml:space="preserve"> Noted</w:t>
            </w:r>
          </w:p>
        </w:tc>
      </w:tr>
      <w:tr w:rsidR="00C96901" w:rsidRPr="001F2A7D" w:rsidTr="001F2A7D">
        <w:trPr>
          <w:trHeight w:val="359"/>
        </w:trPr>
        <w:tc>
          <w:tcPr>
            <w:tcW w:w="5351" w:type="dxa"/>
          </w:tcPr>
          <w:p w:rsidR="00C96901" w:rsidRPr="001F2A7D" w:rsidRDefault="00D73EBC">
            <w:pPr>
              <w:ind w:left="360"/>
              <w:rPr>
                <w:rFonts w:ascii="Arial" w:hAnsi="Arial" w:cs="Arial"/>
                <w:sz w:val="20"/>
                <w:szCs w:val="20"/>
              </w:rPr>
            </w:pPr>
            <w:r w:rsidRPr="001F2A7D">
              <w:rPr>
                <w:rFonts w:ascii="Arial" w:hAnsi="Arial" w:cs="Arial"/>
                <w:b/>
                <w:sz w:val="20"/>
                <w:szCs w:val="20"/>
              </w:rPr>
              <w:t>Is the title of the article suitable?</w:t>
            </w:r>
          </w:p>
          <w:p w:rsidR="00C96901" w:rsidRPr="001F2A7D" w:rsidRDefault="00D73EBC">
            <w:pPr>
              <w:ind w:left="360"/>
              <w:rPr>
                <w:rFonts w:ascii="Arial" w:hAnsi="Arial" w:cs="Arial"/>
                <w:sz w:val="20"/>
                <w:szCs w:val="20"/>
              </w:rPr>
            </w:pPr>
            <w:r w:rsidRPr="001F2A7D">
              <w:rPr>
                <w:rFonts w:ascii="Arial" w:hAnsi="Arial" w:cs="Arial"/>
                <w:b/>
                <w:sz w:val="20"/>
                <w:szCs w:val="20"/>
              </w:rPr>
              <w:t>(If not please suggest an alternative title)</w:t>
            </w:r>
          </w:p>
          <w:p w:rsidR="00C96901" w:rsidRPr="001F2A7D" w:rsidRDefault="00C96901">
            <w:pPr>
              <w:pStyle w:val="Heading2"/>
              <w:jc w:val="left"/>
              <w:rPr>
                <w:rFonts w:ascii="Arial" w:eastAsia="Times New Roman" w:hAnsi="Arial" w:cs="Arial"/>
                <w:u w:val="single"/>
              </w:rPr>
            </w:pPr>
          </w:p>
        </w:tc>
        <w:tc>
          <w:tcPr>
            <w:tcW w:w="9357" w:type="dxa"/>
          </w:tcPr>
          <w:p w:rsidR="00C96901" w:rsidRPr="001F2A7D" w:rsidRDefault="00D73EBC">
            <w:pPr>
              <w:jc w:val="both"/>
              <w:rPr>
                <w:rFonts w:ascii="Arial" w:hAnsi="Arial" w:cs="Arial"/>
                <w:sz w:val="20"/>
                <w:szCs w:val="20"/>
              </w:rPr>
            </w:pPr>
            <w:r w:rsidRPr="001F2A7D">
              <w:rPr>
                <w:rFonts w:ascii="Arial" w:hAnsi="Arial" w:cs="Arial"/>
                <w:sz w:val="20"/>
                <w:szCs w:val="20"/>
              </w:rPr>
              <w:t>It is accurate and perfectly suitable for an original research article. It clearly defines the scope and subject.</w:t>
            </w:r>
          </w:p>
        </w:tc>
        <w:tc>
          <w:tcPr>
            <w:tcW w:w="6442" w:type="dxa"/>
          </w:tcPr>
          <w:p w:rsidR="00C96901" w:rsidRPr="001F2A7D" w:rsidRDefault="00D73EBC">
            <w:pPr>
              <w:pStyle w:val="Heading2"/>
              <w:jc w:val="left"/>
              <w:rPr>
                <w:rFonts w:ascii="Arial" w:eastAsia="Times New Roman" w:hAnsi="Arial" w:cs="Arial"/>
                <w:b w:val="0"/>
              </w:rPr>
            </w:pPr>
            <w:r w:rsidRPr="001F2A7D">
              <w:rPr>
                <w:rFonts w:ascii="Arial" w:eastAsia="Times New Roman" w:hAnsi="Arial" w:cs="Arial"/>
                <w:b w:val="0"/>
              </w:rPr>
              <w:t>Not</w:t>
            </w:r>
            <w:r w:rsidRPr="001F2A7D">
              <w:rPr>
                <w:rFonts w:ascii="Arial" w:eastAsia="Times New Roman" w:hAnsi="Arial" w:cs="Arial"/>
                <w:b w:val="0"/>
              </w:rPr>
              <w:t>ed</w:t>
            </w:r>
          </w:p>
        </w:tc>
      </w:tr>
      <w:tr w:rsidR="00C96901" w:rsidRPr="001F2A7D">
        <w:trPr>
          <w:trHeight w:val="1262"/>
        </w:trPr>
        <w:tc>
          <w:tcPr>
            <w:tcW w:w="5351" w:type="dxa"/>
          </w:tcPr>
          <w:p w:rsidR="00C96901" w:rsidRPr="001F2A7D" w:rsidRDefault="00D73EBC">
            <w:pPr>
              <w:pStyle w:val="Heading2"/>
              <w:ind w:left="360"/>
              <w:jc w:val="left"/>
              <w:rPr>
                <w:rFonts w:ascii="Arial" w:eastAsia="Times New Roman" w:hAnsi="Arial" w:cs="Arial"/>
              </w:rPr>
            </w:pPr>
            <w:r w:rsidRPr="001F2A7D">
              <w:rPr>
                <w:rFonts w:ascii="Arial" w:eastAsia="Times New Roman" w:hAnsi="Arial" w:cs="Arial"/>
              </w:rPr>
              <w:t>Is the abstract of the article comprehensive? Do you suggest the addition (or deletion) of some points in this section? Please write your suggestions here.</w:t>
            </w:r>
          </w:p>
          <w:p w:rsidR="00C96901" w:rsidRPr="001F2A7D" w:rsidRDefault="00C96901">
            <w:pPr>
              <w:pStyle w:val="Heading2"/>
              <w:jc w:val="left"/>
              <w:rPr>
                <w:rFonts w:ascii="Arial" w:eastAsia="Times New Roman" w:hAnsi="Arial" w:cs="Arial"/>
                <w:u w:val="single"/>
              </w:rPr>
            </w:pPr>
          </w:p>
        </w:tc>
        <w:tc>
          <w:tcPr>
            <w:tcW w:w="9357" w:type="dxa"/>
          </w:tcPr>
          <w:p w:rsidR="00C96901" w:rsidRPr="001F2A7D" w:rsidRDefault="00D73EBC">
            <w:pPr>
              <w:jc w:val="both"/>
              <w:rPr>
                <w:rFonts w:ascii="Arial" w:hAnsi="Arial" w:cs="Arial"/>
                <w:sz w:val="20"/>
                <w:szCs w:val="20"/>
              </w:rPr>
            </w:pPr>
            <w:r w:rsidRPr="001F2A7D">
              <w:rPr>
                <w:rFonts w:ascii="Arial" w:hAnsi="Arial" w:cs="Arial"/>
                <w:sz w:val="20"/>
                <w:szCs w:val="20"/>
              </w:rPr>
              <w:t>The abstract is excellent and comprehensive. It clearly states the aim, design, methodology, key numerical results (including the remarkable range for GIC and GZC), the identity of superior traditional and advanced lines, the crucial correlation finding (r</w:t>
            </w:r>
            <w:r w:rsidRPr="001F2A7D">
              <w:rPr>
                <w:rFonts w:ascii="Arial" w:hAnsi="Arial" w:cs="Arial"/>
                <w:sz w:val="20"/>
                <w:szCs w:val="20"/>
              </w:rPr>
              <w:t xml:space="preserve"> = 0.175), and the conclusion regarding genetic resource value and breeding feasibility. No deletions are necessary.</w:t>
            </w:r>
          </w:p>
        </w:tc>
        <w:tc>
          <w:tcPr>
            <w:tcW w:w="6442" w:type="dxa"/>
          </w:tcPr>
          <w:p w:rsidR="00C96901" w:rsidRPr="001F2A7D" w:rsidRDefault="00D73EBC">
            <w:pPr>
              <w:pStyle w:val="Heading2"/>
              <w:jc w:val="left"/>
              <w:rPr>
                <w:rFonts w:ascii="Arial" w:eastAsia="Times New Roman" w:hAnsi="Arial" w:cs="Arial"/>
                <w:b w:val="0"/>
              </w:rPr>
            </w:pPr>
            <w:r w:rsidRPr="001F2A7D">
              <w:rPr>
                <w:rFonts w:ascii="Arial" w:eastAsia="Times New Roman" w:hAnsi="Arial" w:cs="Arial"/>
                <w:b w:val="0"/>
              </w:rPr>
              <w:t>Noted</w:t>
            </w:r>
          </w:p>
        </w:tc>
      </w:tr>
      <w:tr w:rsidR="00C96901" w:rsidRPr="001F2A7D">
        <w:trPr>
          <w:trHeight w:val="704"/>
        </w:trPr>
        <w:tc>
          <w:tcPr>
            <w:tcW w:w="5351" w:type="dxa"/>
          </w:tcPr>
          <w:p w:rsidR="00C96901" w:rsidRPr="001F2A7D" w:rsidRDefault="00D73EBC">
            <w:pPr>
              <w:pStyle w:val="Heading2"/>
              <w:ind w:left="360"/>
              <w:jc w:val="left"/>
              <w:rPr>
                <w:rFonts w:ascii="Arial" w:hAnsi="Arial" w:cs="Arial"/>
                <w:b w:val="0"/>
                <w:u w:val="single"/>
              </w:rPr>
            </w:pPr>
            <w:r w:rsidRPr="001F2A7D">
              <w:rPr>
                <w:rFonts w:ascii="Arial" w:eastAsia="Times New Roman" w:hAnsi="Arial" w:cs="Arial"/>
              </w:rPr>
              <w:t>Is the manuscript scientifically, correct? Please write here.</w:t>
            </w:r>
          </w:p>
        </w:tc>
        <w:tc>
          <w:tcPr>
            <w:tcW w:w="9357" w:type="dxa"/>
          </w:tcPr>
          <w:p w:rsidR="00C96901" w:rsidRPr="001F2A7D" w:rsidRDefault="00D73EBC">
            <w:pPr>
              <w:pBdr>
                <w:top w:val="nil"/>
                <w:left w:val="nil"/>
                <w:bottom w:val="nil"/>
                <w:right w:val="nil"/>
                <w:between w:val="nil"/>
              </w:pBdr>
              <w:jc w:val="both"/>
              <w:rPr>
                <w:rFonts w:ascii="Arial" w:hAnsi="Arial" w:cs="Arial"/>
                <w:color w:val="000000"/>
                <w:sz w:val="20"/>
                <w:szCs w:val="20"/>
              </w:rPr>
            </w:pPr>
            <w:r w:rsidRPr="001F2A7D">
              <w:rPr>
                <w:rFonts w:ascii="Arial" w:hAnsi="Arial" w:cs="Arial"/>
                <w:color w:val="000000"/>
                <w:sz w:val="20"/>
                <w:szCs w:val="20"/>
              </w:rPr>
              <w:t>The manuscript is scientifically correct and methodologically sound. T</w:t>
            </w:r>
            <w:r w:rsidRPr="001F2A7D">
              <w:rPr>
                <w:rFonts w:ascii="Arial" w:hAnsi="Arial" w:cs="Arial"/>
                <w:color w:val="000000"/>
                <w:sz w:val="20"/>
                <w:szCs w:val="20"/>
              </w:rPr>
              <w:t xml:space="preserve">he use of a Completely Randomized Design (CRD), Atomic Absorption Spectrophotometer (AAS) for mineral analysis, and appropriate statistical tools (ANOVA, Correlation, PCA) are standard and reliable. The low Coefficient of Variation (CV) and high </w:t>
            </w:r>
            <w:r w:rsidRPr="001F2A7D">
              <w:rPr>
                <w:rFonts w:ascii="Arial" w:hAnsi="Arial" w:cs="Arial"/>
                <w:color w:val="000000"/>
                <w:sz w:val="20"/>
                <w:szCs w:val="20"/>
              </w:rPr>
              <w:br/>
              <w:t xml:space="preserve">F-values </w:t>
            </w:r>
            <w:r w:rsidRPr="001F2A7D">
              <w:rPr>
                <w:rFonts w:ascii="Arial" w:hAnsi="Arial" w:cs="Arial"/>
                <w:color w:val="000000"/>
                <w:sz w:val="20"/>
                <w:szCs w:val="20"/>
              </w:rPr>
              <w:t>in the ANOVA confirm the high precision and genuine genetic differences observed. The interpretation of the correlation and PCA results (especially the independence of micronutrients on PC4) is insightful and correct.</w:t>
            </w:r>
          </w:p>
        </w:tc>
        <w:tc>
          <w:tcPr>
            <w:tcW w:w="6442" w:type="dxa"/>
          </w:tcPr>
          <w:p w:rsidR="00C96901" w:rsidRPr="001F2A7D" w:rsidRDefault="00D73EBC">
            <w:pPr>
              <w:pStyle w:val="Heading2"/>
              <w:jc w:val="left"/>
              <w:rPr>
                <w:rFonts w:ascii="Arial" w:eastAsia="Times New Roman" w:hAnsi="Arial" w:cs="Arial"/>
                <w:b w:val="0"/>
              </w:rPr>
            </w:pPr>
            <w:r w:rsidRPr="001F2A7D">
              <w:rPr>
                <w:rFonts w:ascii="Arial" w:eastAsia="Times New Roman" w:hAnsi="Arial" w:cs="Arial"/>
                <w:b w:val="0"/>
              </w:rPr>
              <w:t>Noted</w:t>
            </w:r>
          </w:p>
        </w:tc>
      </w:tr>
      <w:tr w:rsidR="00C96901" w:rsidRPr="001F2A7D">
        <w:trPr>
          <w:trHeight w:val="703"/>
        </w:trPr>
        <w:tc>
          <w:tcPr>
            <w:tcW w:w="5351" w:type="dxa"/>
          </w:tcPr>
          <w:p w:rsidR="00C96901" w:rsidRPr="001F2A7D" w:rsidRDefault="00D73EBC">
            <w:pPr>
              <w:ind w:left="360"/>
              <w:rPr>
                <w:rFonts w:ascii="Arial" w:hAnsi="Arial" w:cs="Arial"/>
                <w:sz w:val="20"/>
                <w:szCs w:val="20"/>
              </w:rPr>
            </w:pPr>
            <w:r w:rsidRPr="001F2A7D">
              <w:rPr>
                <w:rFonts w:ascii="Arial" w:hAnsi="Arial" w:cs="Arial"/>
                <w:b/>
                <w:sz w:val="20"/>
                <w:szCs w:val="20"/>
              </w:rPr>
              <w:t>Are the references sufficient and recent? If you have suggestions of additional references, please mention them in the review form.</w:t>
            </w:r>
          </w:p>
        </w:tc>
        <w:tc>
          <w:tcPr>
            <w:tcW w:w="9357" w:type="dxa"/>
          </w:tcPr>
          <w:p w:rsidR="00C96901" w:rsidRPr="001F2A7D" w:rsidRDefault="00D73EBC">
            <w:pPr>
              <w:pBdr>
                <w:top w:val="nil"/>
                <w:left w:val="nil"/>
                <w:bottom w:val="nil"/>
                <w:right w:val="nil"/>
                <w:between w:val="nil"/>
              </w:pBdr>
              <w:jc w:val="both"/>
              <w:rPr>
                <w:rFonts w:ascii="Arial" w:hAnsi="Arial" w:cs="Arial"/>
                <w:color w:val="000000"/>
                <w:sz w:val="20"/>
                <w:szCs w:val="20"/>
              </w:rPr>
            </w:pPr>
            <w:r w:rsidRPr="001F2A7D">
              <w:rPr>
                <w:rFonts w:ascii="Arial" w:hAnsi="Arial" w:cs="Arial"/>
                <w:color w:val="000000"/>
                <w:sz w:val="20"/>
                <w:szCs w:val="20"/>
              </w:rPr>
              <w:t>The references are sufficient and recent, demonstrating that the authors have placed their work in the context of the latest</w:t>
            </w:r>
            <w:r w:rsidRPr="001F2A7D">
              <w:rPr>
                <w:rFonts w:ascii="Arial" w:hAnsi="Arial" w:cs="Arial"/>
                <w:color w:val="000000"/>
                <w:sz w:val="20"/>
                <w:szCs w:val="20"/>
              </w:rPr>
              <w:t xml:space="preserve"> biofortification research (e.g., </w:t>
            </w:r>
            <w:proofErr w:type="spellStart"/>
            <w:r w:rsidRPr="001F2A7D">
              <w:rPr>
                <w:rFonts w:ascii="Arial" w:hAnsi="Arial" w:cs="Arial"/>
                <w:color w:val="000000"/>
                <w:sz w:val="20"/>
                <w:szCs w:val="20"/>
              </w:rPr>
              <w:t>Senguttuvel</w:t>
            </w:r>
            <w:proofErr w:type="spellEnd"/>
            <w:r w:rsidRPr="001F2A7D">
              <w:rPr>
                <w:rFonts w:ascii="Arial" w:hAnsi="Arial" w:cs="Arial"/>
                <w:color w:val="000000"/>
                <w:sz w:val="20"/>
                <w:szCs w:val="20"/>
              </w:rPr>
              <w:t xml:space="preserve"> </w:t>
            </w:r>
            <w:r w:rsidRPr="001F2A7D">
              <w:rPr>
                <w:rFonts w:ascii="Arial" w:hAnsi="Arial" w:cs="Arial"/>
                <w:i/>
                <w:color w:val="000000"/>
                <w:sz w:val="20"/>
                <w:szCs w:val="20"/>
              </w:rPr>
              <w:t>et al.</w:t>
            </w:r>
            <w:r w:rsidRPr="001F2A7D">
              <w:rPr>
                <w:rFonts w:ascii="Arial" w:hAnsi="Arial" w:cs="Arial"/>
                <w:color w:val="000000"/>
                <w:sz w:val="20"/>
                <w:szCs w:val="20"/>
              </w:rPr>
              <w:t xml:space="preserve">, 2023; Akhtar </w:t>
            </w:r>
            <w:r w:rsidRPr="001F2A7D">
              <w:rPr>
                <w:rFonts w:ascii="Arial" w:hAnsi="Arial" w:cs="Arial"/>
                <w:i/>
                <w:color w:val="000000"/>
                <w:sz w:val="20"/>
                <w:szCs w:val="20"/>
              </w:rPr>
              <w:t>et al.</w:t>
            </w:r>
            <w:r w:rsidRPr="001F2A7D">
              <w:rPr>
                <w:rFonts w:ascii="Arial" w:hAnsi="Arial" w:cs="Arial"/>
                <w:color w:val="000000"/>
                <w:sz w:val="20"/>
                <w:szCs w:val="20"/>
              </w:rPr>
              <w:t xml:space="preserve">, 2022; </w:t>
            </w:r>
            <w:proofErr w:type="spellStart"/>
            <w:r w:rsidRPr="001F2A7D">
              <w:rPr>
                <w:rFonts w:ascii="Arial" w:hAnsi="Arial" w:cs="Arial"/>
                <w:color w:val="000000"/>
                <w:sz w:val="20"/>
                <w:szCs w:val="20"/>
              </w:rPr>
              <w:t>Sanjeeva</w:t>
            </w:r>
            <w:proofErr w:type="spellEnd"/>
            <w:r w:rsidRPr="001F2A7D">
              <w:rPr>
                <w:rFonts w:ascii="Arial" w:hAnsi="Arial" w:cs="Arial"/>
                <w:color w:val="000000"/>
                <w:sz w:val="20"/>
                <w:szCs w:val="20"/>
              </w:rPr>
              <w:t xml:space="preserve"> Rao </w:t>
            </w:r>
            <w:r w:rsidRPr="001F2A7D">
              <w:rPr>
                <w:rFonts w:ascii="Arial" w:hAnsi="Arial" w:cs="Arial"/>
                <w:i/>
                <w:color w:val="000000"/>
                <w:sz w:val="20"/>
                <w:szCs w:val="20"/>
              </w:rPr>
              <w:t>et al.</w:t>
            </w:r>
            <w:r w:rsidRPr="001F2A7D">
              <w:rPr>
                <w:rFonts w:ascii="Arial" w:hAnsi="Arial" w:cs="Arial"/>
                <w:color w:val="000000"/>
                <w:sz w:val="20"/>
                <w:szCs w:val="20"/>
              </w:rPr>
              <w:t>, 2020) [cite: 342-407]. [</w:t>
            </w:r>
            <w:proofErr w:type="spellStart"/>
            <w:r w:rsidRPr="001F2A7D">
              <w:rPr>
                <w:rFonts w:ascii="Arial" w:hAnsi="Arial" w:cs="Arial"/>
                <w:color w:val="000000"/>
                <w:sz w:val="20"/>
                <w:szCs w:val="20"/>
              </w:rPr>
              <w:t>cite_</w:t>
            </w:r>
            <w:proofErr w:type="gramStart"/>
            <w:r w:rsidRPr="001F2A7D">
              <w:rPr>
                <w:rFonts w:ascii="Arial" w:hAnsi="Arial" w:cs="Arial"/>
                <w:color w:val="000000"/>
                <w:sz w:val="20"/>
                <w:szCs w:val="20"/>
              </w:rPr>
              <w:t>start</w:t>
            </w:r>
            <w:proofErr w:type="spellEnd"/>
            <w:r w:rsidRPr="001F2A7D">
              <w:rPr>
                <w:rFonts w:ascii="Arial" w:hAnsi="Arial" w:cs="Arial"/>
                <w:color w:val="000000"/>
                <w:sz w:val="20"/>
                <w:szCs w:val="20"/>
              </w:rPr>
              <w:t>]The</w:t>
            </w:r>
            <w:proofErr w:type="gramEnd"/>
            <w:r w:rsidRPr="001F2A7D">
              <w:rPr>
                <w:rFonts w:ascii="Arial" w:hAnsi="Arial" w:cs="Arial"/>
                <w:color w:val="000000"/>
                <w:sz w:val="20"/>
                <w:szCs w:val="20"/>
              </w:rPr>
              <w:t xml:space="preserve"> inclusion of foundational work from </w:t>
            </w:r>
            <w:proofErr w:type="spellStart"/>
            <w:r w:rsidRPr="001F2A7D">
              <w:rPr>
                <w:rFonts w:ascii="Arial" w:hAnsi="Arial" w:cs="Arial"/>
                <w:color w:val="000000"/>
                <w:sz w:val="20"/>
                <w:szCs w:val="20"/>
              </w:rPr>
              <w:t>HarvestPlus</w:t>
            </w:r>
            <w:proofErr w:type="spellEnd"/>
            <w:r w:rsidRPr="001F2A7D">
              <w:rPr>
                <w:rFonts w:ascii="Arial" w:hAnsi="Arial" w:cs="Arial"/>
                <w:color w:val="000000"/>
                <w:sz w:val="20"/>
                <w:szCs w:val="20"/>
              </w:rPr>
              <w:t xml:space="preserve"> (</w:t>
            </w:r>
            <w:proofErr w:type="spellStart"/>
            <w:r w:rsidRPr="001F2A7D">
              <w:rPr>
                <w:rFonts w:ascii="Arial" w:hAnsi="Arial" w:cs="Arial"/>
                <w:color w:val="000000"/>
                <w:sz w:val="20"/>
                <w:szCs w:val="20"/>
              </w:rPr>
              <w:t>Trijatmiko</w:t>
            </w:r>
            <w:proofErr w:type="spellEnd"/>
            <w:r w:rsidRPr="001F2A7D">
              <w:rPr>
                <w:rFonts w:ascii="Arial" w:hAnsi="Arial" w:cs="Arial"/>
                <w:color w:val="000000"/>
                <w:sz w:val="20"/>
                <w:szCs w:val="20"/>
              </w:rPr>
              <w:t xml:space="preserve"> </w:t>
            </w:r>
            <w:r w:rsidRPr="001F2A7D">
              <w:rPr>
                <w:rFonts w:ascii="Arial" w:hAnsi="Arial" w:cs="Arial"/>
                <w:i/>
                <w:color w:val="000000"/>
                <w:sz w:val="20"/>
                <w:szCs w:val="20"/>
              </w:rPr>
              <w:t>et al.</w:t>
            </w:r>
            <w:r w:rsidRPr="001F2A7D">
              <w:rPr>
                <w:rFonts w:ascii="Arial" w:hAnsi="Arial" w:cs="Arial"/>
                <w:color w:val="000000"/>
                <w:sz w:val="20"/>
                <w:szCs w:val="20"/>
              </w:rPr>
              <w:t>, 2016) and key literature on micronutrient deficiencies is appropriate.</w:t>
            </w:r>
          </w:p>
        </w:tc>
        <w:tc>
          <w:tcPr>
            <w:tcW w:w="6442" w:type="dxa"/>
          </w:tcPr>
          <w:p w:rsidR="00C96901" w:rsidRPr="001F2A7D" w:rsidRDefault="00D73EBC">
            <w:pPr>
              <w:pStyle w:val="Heading2"/>
              <w:jc w:val="left"/>
              <w:rPr>
                <w:rFonts w:ascii="Arial" w:eastAsia="Times New Roman" w:hAnsi="Arial" w:cs="Arial"/>
                <w:b w:val="0"/>
              </w:rPr>
            </w:pPr>
            <w:r w:rsidRPr="001F2A7D">
              <w:rPr>
                <w:rFonts w:ascii="Arial" w:eastAsia="Times New Roman" w:hAnsi="Arial" w:cs="Arial"/>
                <w:b w:val="0"/>
              </w:rPr>
              <w:t>Noted</w:t>
            </w:r>
          </w:p>
        </w:tc>
      </w:tr>
      <w:tr w:rsidR="00C96901" w:rsidRPr="001F2A7D">
        <w:trPr>
          <w:trHeight w:val="386"/>
        </w:trPr>
        <w:tc>
          <w:tcPr>
            <w:tcW w:w="5351" w:type="dxa"/>
          </w:tcPr>
          <w:p w:rsidR="00C96901" w:rsidRPr="001F2A7D" w:rsidRDefault="00D73EBC">
            <w:pPr>
              <w:pStyle w:val="Heading2"/>
              <w:ind w:left="360"/>
              <w:jc w:val="left"/>
              <w:rPr>
                <w:rFonts w:ascii="Arial" w:eastAsia="Times New Roman" w:hAnsi="Arial" w:cs="Arial"/>
              </w:rPr>
            </w:pPr>
            <w:r w:rsidRPr="001F2A7D">
              <w:rPr>
                <w:rFonts w:ascii="Arial" w:eastAsia="Times New Roman" w:hAnsi="Arial" w:cs="Arial"/>
              </w:rPr>
              <w:lastRenderedPageBreak/>
              <w:t>Is the language/English quality of the article suitable for scholarly communications?</w:t>
            </w:r>
          </w:p>
          <w:p w:rsidR="00C96901" w:rsidRPr="001F2A7D" w:rsidRDefault="00C96901">
            <w:pPr>
              <w:rPr>
                <w:rFonts w:ascii="Arial" w:hAnsi="Arial" w:cs="Arial"/>
                <w:sz w:val="20"/>
                <w:szCs w:val="20"/>
              </w:rPr>
            </w:pPr>
          </w:p>
        </w:tc>
        <w:tc>
          <w:tcPr>
            <w:tcW w:w="9357" w:type="dxa"/>
          </w:tcPr>
          <w:p w:rsidR="00C96901" w:rsidRPr="001F2A7D" w:rsidRDefault="00D73EBC">
            <w:pPr>
              <w:jc w:val="both"/>
              <w:rPr>
                <w:rFonts w:ascii="Arial" w:hAnsi="Arial" w:cs="Arial"/>
                <w:sz w:val="20"/>
                <w:szCs w:val="20"/>
              </w:rPr>
            </w:pPr>
            <w:r w:rsidRPr="001F2A7D">
              <w:rPr>
                <w:rFonts w:ascii="Arial" w:hAnsi="Arial" w:cs="Arial"/>
                <w:sz w:val="20"/>
                <w:szCs w:val="20"/>
              </w:rPr>
              <w:t>The language and English quality are suitable for scholarly communication. The writing is clear, direct, and well-structured.</w:t>
            </w:r>
          </w:p>
        </w:tc>
        <w:tc>
          <w:tcPr>
            <w:tcW w:w="6442" w:type="dxa"/>
          </w:tcPr>
          <w:p w:rsidR="00C96901" w:rsidRPr="001F2A7D" w:rsidRDefault="00D73EBC">
            <w:pPr>
              <w:rPr>
                <w:rFonts w:ascii="Arial" w:hAnsi="Arial" w:cs="Arial"/>
                <w:sz w:val="20"/>
                <w:szCs w:val="20"/>
              </w:rPr>
            </w:pPr>
            <w:r w:rsidRPr="001F2A7D">
              <w:rPr>
                <w:rFonts w:ascii="Arial" w:hAnsi="Arial" w:cs="Arial"/>
                <w:sz w:val="20"/>
                <w:szCs w:val="20"/>
              </w:rPr>
              <w:t>Noted</w:t>
            </w:r>
          </w:p>
        </w:tc>
      </w:tr>
      <w:tr w:rsidR="00C96901" w:rsidRPr="001F2A7D" w:rsidTr="001F2A7D">
        <w:trPr>
          <w:trHeight w:val="962"/>
        </w:trPr>
        <w:tc>
          <w:tcPr>
            <w:tcW w:w="5351" w:type="dxa"/>
          </w:tcPr>
          <w:p w:rsidR="00C96901" w:rsidRPr="001F2A7D" w:rsidRDefault="00D73EBC">
            <w:pPr>
              <w:pStyle w:val="Heading2"/>
              <w:jc w:val="left"/>
              <w:rPr>
                <w:rFonts w:ascii="Arial" w:eastAsia="Times New Roman" w:hAnsi="Arial" w:cs="Arial"/>
                <w:b w:val="0"/>
              </w:rPr>
            </w:pPr>
            <w:r w:rsidRPr="001F2A7D">
              <w:rPr>
                <w:rFonts w:ascii="Arial" w:eastAsia="Times New Roman" w:hAnsi="Arial" w:cs="Arial"/>
                <w:u w:val="single"/>
              </w:rPr>
              <w:lastRenderedPageBreak/>
              <w:t>Optional/General</w:t>
            </w:r>
            <w:r w:rsidRPr="001F2A7D">
              <w:rPr>
                <w:rFonts w:ascii="Arial" w:eastAsia="Times New Roman" w:hAnsi="Arial" w:cs="Arial"/>
              </w:rPr>
              <w:t xml:space="preserve"> </w:t>
            </w:r>
            <w:r w:rsidRPr="001F2A7D">
              <w:rPr>
                <w:rFonts w:ascii="Arial" w:eastAsia="Times New Roman" w:hAnsi="Arial" w:cs="Arial"/>
                <w:b w:val="0"/>
              </w:rPr>
              <w:t>comments</w:t>
            </w:r>
          </w:p>
          <w:p w:rsidR="00C96901" w:rsidRPr="001F2A7D" w:rsidRDefault="00C96901">
            <w:pPr>
              <w:pStyle w:val="Heading2"/>
              <w:jc w:val="left"/>
              <w:rPr>
                <w:rFonts w:ascii="Arial" w:eastAsia="Times New Roman" w:hAnsi="Arial" w:cs="Arial"/>
                <w:b w:val="0"/>
              </w:rPr>
            </w:pPr>
          </w:p>
        </w:tc>
        <w:tc>
          <w:tcPr>
            <w:tcW w:w="9357" w:type="dxa"/>
          </w:tcPr>
          <w:p w:rsidR="00C96901" w:rsidRPr="001F2A7D" w:rsidRDefault="00D73EBC">
            <w:pPr>
              <w:pBdr>
                <w:top w:val="nil"/>
                <w:left w:val="nil"/>
                <w:bottom w:val="nil"/>
                <w:right w:val="nil"/>
                <w:between w:val="nil"/>
              </w:pBdr>
              <w:spacing w:after="280"/>
              <w:jc w:val="both"/>
              <w:rPr>
                <w:rFonts w:ascii="Arial" w:hAnsi="Arial" w:cs="Arial"/>
                <w:color w:val="000000"/>
                <w:sz w:val="20"/>
                <w:szCs w:val="20"/>
              </w:rPr>
            </w:pPr>
            <w:r w:rsidRPr="001F2A7D">
              <w:rPr>
                <w:rFonts w:ascii="Arial" w:hAnsi="Arial" w:cs="Arial"/>
                <w:b/>
                <w:color w:val="000000"/>
                <w:sz w:val="20"/>
                <w:szCs w:val="20"/>
              </w:rPr>
              <w:t>Contextualizing Extreme Values:</w:t>
            </w:r>
            <w:r w:rsidRPr="001F2A7D">
              <w:rPr>
                <w:rFonts w:ascii="Arial" w:hAnsi="Arial" w:cs="Arial"/>
                <w:color w:val="000000"/>
                <w:sz w:val="20"/>
                <w:szCs w:val="20"/>
              </w:rPr>
              <w:t xml:space="preserve"> The iron content recorded for </w:t>
            </w:r>
            <w:proofErr w:type="spellStart"/>
            <w:r w:rsidRPr="001F2A7D">
              <w:rPr>
                <w:rFonts w:ascii="Arial" w:hAnsi="Arial" w:cs="Arial"/>
                <w:color w:val="000000"/>
                <w:sz w:val="20"/>
                <w:szCs w:val="20"/>
              </w:rPr>
              <w:t>Chittimuthyalu</w:t>
            </w:r>
            <w:proofErr w:type="spellEnd"/>
            <w:r w:rsidRPr="001F2A7D">
              <w:rPr>
                <w:rFonts w:ascii="Arial" w:hAnsi="Arial" w:cs="Arial"/>
                <w:color w:val="000000"/>
                <w:sz w:val="20"/>
                <w:szCs w:val="20"/>
              </w:rPr>
              <w:t xml:space="preserve"> (1694.80 ppm) is an unprecedented finding that requires strong contextualization. The authors do mention the extreme nature in the conclusion, but I suggest they explicitly address it earlier in the Results and</w:t>
            </w:r>
            <w:r w:rsidRPr="001F2A7D">
              <w:rPr>
                <w:rFonts w:ascii="Arial" w:hAnsi="Arial" w:cs="Arial"/>
                <w:color w:val="000000"/>
                <w:sz w:val="20"/>
                <w:szCs w:val="20"/>
              </w:rPr>
              <w:t xml:space="preserve"> Discussion as well. Specifically, since the values are expressed on a dry weight basis for brown rice (as digestion was performed after dehulling), this should be reiterated to clarify the basis of comparison, though the authors rightly note that their va</w:t>
            </w:r>
            <w:r w:rsidRPr="001F2A7D">
              <w:rPr>
                <w:rFonts w:ascii="Arial" w:hAnsi="Arial" w:cs="Arial"/>
                <w:color w:val="000000"/>
                <w:sz w:val="20"/>
                <w:szCs w:val="20"/>
              </w:rPr>
              <w:t>lues far exceed reported ranges for both brown and polished rice. It might be useful to briefly speculate on the potential genetic/physiological mechanism—perhaps a unique iron sequestration or transport allele—that allows for such massive accumulation, th</w:t>
            </w:r>
            <w:r w:rsidRPr="001F2A7D">
              <w:rPr>
                <w:rFonts w:ascii="Arial" w:hAnsi="Arial" w:cs="Arial"/>
                <w:color w:val="000000"/>
                <w:sz w:val="20"/>
                <w:szCs w:val="20"/>
              </w:rPr>
              <w:t>ough this is a suggestion for the discussion, not a requirement.</w:t>
            </w:r>
          </w:p>
          <w:p w:rsidR="00C96901" w:rsidRPr="001F2A7D" w:rsidRDefault="00D73EBC">
            <w:pPr>
              <w:pBdr>
                <w:top w:val="nil"/>
                <w:left w:val="nil"/>
                <w:bottom w:val="nil"/>
                <w:right w:val="nil"/>
                <w:between w:val="nil"/>
              </w:pBdr>
              <w:jc w:val="both"/>
              <w:rPr>
                <w:rFonts w:ascii="Arial" w:hAnsi="Arial" w:cs="Arial"/>
                <w:color w:val="000000"/>
                <w:sz w:val="20"/>
                <w:szCs w:val="20"/>
              </w:rPr>
            </w:pPr>
            <w:r w:rsidRPr="001F2A7D">
              <w:rPr>
                <w:rFonts w:ascii="Arial" w:hAnsi="Arial" w:cs="Arial"/>
                <w:color w:val="000000"/>
                <w:sz w:val="20"/>
                <w:szCs w:val="20"/>
              </w:rPr>
              <w:t xml:space="preserve"> </w:t>
            </w:r>
            <w:r w:rsidRPr="001F2A7D">
              <w:rPr>
                <w:rFonts w:ascii="Arial" w:hAnsi="Arial" w:cs="Arial"/>
                <w:b/>
                <w:color w:val="000000"/>
                <w:sz w:val="20"/>
                <w:szCs w:val="20"/>
              </w:rPr>
              <w:t>PCA Biplot Interpretation:</w:t>
            </w:r>
            <w:r w:rsidRPr="001F2A7D">
              <w:rPr>
                <w:rFonts w:ascii="Arial" w:hAnsi="Arial" w:cs="Arial"/>
                <w:color w:val="000000"/>
                <w:sz w:val="20"/>
                <w:szCs w:val="20"/>
              </w:rPr>
              <w:t xml:space="preserve"> Figure 4, the PCA biplot, is informative but a little crowded. Could the authors consider </w:t>
            </w:r>
            <w:proofErr w:type="spellStart"/>
            <w:r w:rsidRPr="001F2A7D">
              <w:rPr>
                <w:rFonts w:ascii="Arial" w:hAnsi="Arial" w:cs="Arial"/>
                <w:color w:val="000000"/>
                <w:sz w:val="20"/>
                <w:szCs w:val="20"/>
              </w:rPr>
              <w:t>labeling</w:t>
            </w:r>
            <w:proofErr w:type="spellEnd"/>
            <w:r w:rsidRPr="001F2A7D">
              <w:rPr>
                <w:rFonts w:ascii="Arial" w:hAnsi="Arial" w:cs="Arial"/>
                <w:color w:val="000000"/>
                <w:sz w:val="20"/>
                <w:szCs w:val="20"/>
              </w:rPr>
              <w:t xml:space="preserve"> only the top 15-20 genotypes (e.g., the top Fe and Zn accumulato</w:t>
            </w:r>
            <w:r w:rsidRPr="001F2A7D">
              <w:rPr>
                <w:rFonts w:ascii="Arial" w:hAnsi="Arial" w:cs="Arial"/>
                <w:color w:val="000000"/>
                <w:sz w:val="20"/>
                <w:szCs w:val="20"/>
              </w:rPr>
              <w:t>rs) for clarity, as the rest of the germplasm cluster around the origin? This is a minor suggestion for graphical improvement. The current figure is still acceptable.</w:t>
            </w:r>
          </w:p>
        </w:tc>
        <w:tc>
          <w:tcPr>
            <w:tcW w:w="6442" w:type="dxa"/>
          </w:tcPr>
          <w:p w:rsidR="00C96901" w:rsidRPr="001F2A7D" w:rsidRDefault="00D73EBC">
            <w:pPr>
              <w:rPr>
                <w:rFonts w:ascii="Arial" w:hAnsi="Arial" w:cs="Arial"/>
                <w:sz w:val="20"/>
                <w:szCs w:val="20"/>
              </w:rPr>
            </w:pPr>
            <w:r w:rsidRPr="001F2A7D">
              <w:rPr>
                <w:rFonts w:ascii="Arial" w:hAnsi="Arial" w:cs="Arial"/>
                <w:sz w:val="20"/>
                <w:szCs w:val="20"/>
              </w:rPr>
              <w:t>The reviewer has provided an insightful observation regarding the exceptionally high iron</w:t>
            </w:r>
            <w:r w:rsidRPr="001F2A7D">
              <w:rPr>
                <w:rFonts w:ascii="Arial" w:hAnsi="Arial" w:cs="Arial"/>
                <w:sz w:val="20"/>
                <w:szCs w:val="20"/>
              </w:rPr>
              <w:t xml:space="preserve"> content (1694.8 ppm) measured in </w:t>
            </w:r>
            <w:proofErr w:type="spellStart"/>
            <w:r w:rsidRPr="001F2A7D">
              <w:rPr>
                <w:rFonts w:ascii="Arial" w:hAnsi="Arial" w:cs="Arial"/>
                <w:i/>
                <w:sz w:val="20"/>
                <w:szCs w:val="20"/>
              </w:rPr>
              <w:t>Chittimuthyalu</w:t>
            </w:r>
            <w:proofErr w:type="spellEnd"/>
            <w:r w:rsidRPr="001F2A7D">
              <w:rPr>
                <w:rFonts w:ascii="Arial" w:hAnsi="Arial" w:cs="Arial"/>
                <w:sz w:val="20"/>
                <w:szCs w:val="20"/>
              </w:rPr>
              <w:t xml:space="preserve">. We fully agree that this unusual value warrants explicit contextualization earlier in the Results and Discussion sections. The recorded value is based on a dry-weight analysis of brown rice post-dehulling, </w:t>
            </w:r>
            <w:r w:rsidRPr="001F2A7D">
              <w:rPr>
                <w:rFonts w:ascii="Arial" w:hAnsi="Arial" w:cs="Arial"/>
                <w:sz w:val="20"/>
                <w:szCs w:val="20"/>
              </w:rPr>
              <w:t>where the aleurone and pericarp—major sites of micronutrient accumulation—remain intact, naturally elevating mineral concentration compared to polished rice (Gregorio et al., 2000</w:t>
            </w:r>
            <w:proofErr w:type="gramStart"/>
            <w:r w:rsidRPr="001F2A7D">
              <w:rPr>
                <w:rFonts w:ascii="Arial" w:hAnsi="Arial" w:cs="Arial"/>
                <w:sz w:val="20"/>
                <w:szCs w:val="20"/>
              </w:rPr>
              <w:t>).Accounting</w:t>
            </w:r>
            <w:proofErr w:type="gramEnd"/>
            <w:r w:rsidRPr="001F2A7D">
              <w:rPr>
                <w:rFonts w:ascii="Arial" w:hAnsi="Arial" w:cs="Arial"/>
                <w:sz w:val="20"/>
                <w:szCs w:val="20"/>
              </w:rPr>
              <w:t xml:space="preserve"> for this basis, the value observed is far beyond typical ranges.</w:t>
            </w:r>
            <w:r w:rsidRPr="001F2A7D">
              <w:rPr>
                <w:rFonts w:ascii="Arial" w:hAnsi="Arial" w:cs="Arial"/>
                <w:sz w:val="20"/>
                <w:szCs w:val="20"/>
              </w:rPr>
              <w:t xml:space="preserve"> Studies on </w:t>
            </w:r>
            <w:proofErr w:type="spellStart"/>
            <w:r w:rsidRPr="001F2A7D">
              <w:rPr>
                <w:rFonts w:ascii="Arial" w:hAnsi="Arial" w:cs="Arial"/>
                <w:sz w:val="20"/>
                <w:szCs w:val="20"/>
              </w:rPr>
              <w:t>Chittimuthyalu’s</w:t>
            </w:r>
            <w:proofErr w:type="spellEnd"/>
            <w:r w:rsidRPr="001F2A7D">
              <w:rPr>
                <w:rFonts w:ascii="Arial" w:hAnsi="Arial" w:cs="Arial"/>
                <w:sz w:val="20"/>
                <w:szCs w:val="20"/>
              </w:rPr>
              <w:t xml:space="preserve"> unique genetic constitution and strong molecular evidence supporting enhanced iron uptake and sequestration mechanisms could provide an insight.</w:t>
            </w:r>
          </w:p>
          <w:p w:rsidR="00C96901" w:rsidRPr="001F2A7D" w:rsidRDefault="00D73EBC">
            <w:pPr>
              <w:rPr>
                <w:rFonts w:ascii="Arial" w:hAnsi="Arial" w:cs="Arial"/>
                <w:sz w:val="20"/>
                <w:szCs w:val="20"/>
              </w:rPr>
            </w:pPr>
            <w:proofErr w:type="spellStart"/>
            <w:r w:rsidRPr="001F2A7D">
              <w:rPr>
                <w:rFonts w:ascii="Arial" w:hAnsi="Arial" w:cs="Arial"/>
                <w:sz w:val="20"/>
                <w:szCs w:val="20"/>
              </w:rPr>
              <w:t>Chittimuthyalu</w:t>
            </w:r>
            <w:proofErr w:type="spellEnd"/>
            <w:r w:rsidRPr="001F2A7D">
              <w:rPr>
                <w:rFonts w:ascii="Arial" w:hAnsi="Arial" w:cs="Arial"/>
                <w:sz w:val="20"/>
                <w:szCs w:val="20"/>
              </w:rPr>
              <w:t xml:space="preserve"> is a genetically distinct landrace recognized as a national check f</w:t>
            </w:r>
            <w:r w:rsidRPr="001F2A7D">
              <w:rPr>
                <w:rFonts w:ascii="Arial" w:hAnsi="Arial" w:cs="Arial"/>
                <w:sz w:val="20"/>
                <w:szCs w:val="20"/>
              </w:rPr>
              <w:t>or micronutrient content under the All India Coordinated Rice Improvement Program (AICRIP) biofortification trials (Anuradha et al., 2018). It consistently demonstrates high Fe-Zn phenotypes and superior micronutrient translocation efficiency. Transcriptom</w:t>
            </w:r>
            <w:r w:rsidRPr="001F2A7D">
              <w:rPr>
                <w:rFonts w:ascii="Arial" w:hAnsi="Arial" w:cs="Arial"/>
                <w:sz w:val="20"/>
                <w:szCs w:val="20"/>
              </w:rPr>
              <w:t xml:space="preserve">e profiling identified over 1,000 differentially expressed transcripts, prominently including </w:t>
            </w:r>
            <w:r w:rsidRPr="001F2A7D">
              <w:rPr>
                <w:rFonts w:ascii="Arial" w:hAnsi="Arial" w:cs="Arial"/>
                <w:i/>
                <w:sz w:val="20"/>
                <w:szCs w:val="20"/>
              </w:rPr>
              <w:t>NRAMP5</w:t>
            </w:r>
            <w:r w:rsidRPr="001F2A7D">
              <w:rPr>
                <w:rFonts w:ascii="Arial" w:hAnsi="Arial" w:cs="Arial"/>
                <w:sz w:val="20"/>
                <w:szCs w:val="20"/>
              </w:rPr>
              <w:t xml:space="preserve"> (Natural Resistance-Associated Macrophage Protein), </w:t>
            </w:r>
            <w:r w:rsidRPr="001F2A7D">
              <w:rPr>
                <w:rFonts w:ascii="Arial" w:hAnsi="Arial" w:cs="Arial"/>
                <w:i/>
                <w:sz w:val="20"/>
                <w:szCs w:val="20"/>
              </w:rPr>
              <w:t>OsVIT5</w:t>
            </w:r>
            <w:r w:rsidRPr="001F2A7D">
              <w:rPr>
                <w:rFonts w:ascii="Arial" w:hAnsi="Arial" w:cs="Arial"/>
                <w:sz w:val="20"/>
                <w:szCs w:val="20"/>
              </w:rPr>
              <w:t xml:space="preserve"> (</w:t>
            </w:r>
            <w:proofErr w:type="spellStart"/>
            <w:r w:rsidRPr="001F2A7D">
              <w:rPr>
                <w:rFonts w:ascii="Arial" w:hAnsi="Arial" w:cs="Arial"/>
                <w:sz w:val="20"/>
                <w:szCs w:val="20"/>
              </w:rPr>
              <w:t>Vacuolar</w:t>
            </w:r>
            <w:proofErr w:type="spellEnd"/>
            <w:r w:rsidRPr="001F2A7D">
              <w:rPr>
                <w:rFonts w:ascii="Arial" w:hAnsi="Arial" w:cs="Arial"/>
                <w:sz w:val="20"/>
                <w:szCs w:val="20"/>
              </w:rPr>
              <w:t xml:space="preserve"> Iron Transporter homolog), and members of the </w:t>
            </w:r>
            <w:r w:rsidRPr="001F2A7D">
              <w:rPr>
                <w:rFonts w:ascii="Arial" w:hAnsi="Arial" w:cs="Arial"/>
                <w:i/>
                <w:sz w:val="20"/>
                <w:szCs w:val="20"/>
              </w:rPr>
              <w:t>ZIP</w:t>
            </w:r>
            <w:r w:rsidRPr="001F2A7D">
              <w:rPr>
                <w:rFonts w:ascii="Arial" w:hAnsi="Arial" w:cs="Arial"/>
                <w:sz w:val="20"/>
                <w:szCs w:val="20"/>
              </w:rPr>
              <w:t xml:space="preserve">, </w:t>
            </w:r>
            <w:r w:rsidRPr="001F2A7D">
              <w:rPr>
                <w:rFonts w:ascii="Arial" w:hAnsi="Arial" w:cs="Arial"/>
                <w:i/>
                <w:sz w:val="20"/>
                <w:szCs w:val="20"/>
              </w:rPr>
              <w:t>POT</w:t>
            </w:r>
            <w:r w:rsidRPr="001F2A7D">
              <w:rPr>
                <w:rFonts w:ascii="Arial" w:hAnsi="Arial" w:cs="Arial"/>
                <w:sz w:val="20"/>
                <w:szCs w:val="20"/>
              </w:rPr>
              <w:t xml:space="preserve">, and </w:t>
            </w:r>
            <w:r w:rsidRPr="001F2A7D">
              <w:rPr>
                <w:rFonts w:ascii="Arial" w:hAnsi="Arial" w:cs="Arial"/>
                <w:i/>
                <w:sz w:val="20"/>
                <w:szCs w:val="20"/>
              </w:rPr>
              <w:t>PHO</w:t>
            </w:r>
            <w:r w:rsidRPr="001F2A7D">
              <w:rPr>
                <w:rFonts w:ascii="Arial" w:hAnsi="Arial" w:cs="Arial"/>
                <w:sz w:val="20"/>
                <w:szCs w:val="20"/>
              </w:rPr>
              <w:t xml:space="preserve"> transporter families t</w:t>
            </w:r>
            <w:r w:rsidRPr="001F2A7D">
              <w:rPr>
                <w:rFonts w:ascii="Arial" w:hAnsi="Arial" w:cs="Arial"/>
                <w:sz w:val="20"/>
                <w:szCs w:val="20"/>
              </w:rPr>
              <w:t xml:space="preserve">hat mediate uptake, long-distance transport, and </w:t>
            </w:r>
            <w:proofErr w:type="spellStart"/>
            <w:r w:rsidRPr="001F2A7D">
              <w:rPr>
                <w:rFonts w:ascii="Arial" w:hAnsi="Arial" w:cs="Arial"/>
                <w:sz w:val="20"/>
                <w:szCs w:val="20"/>
              </w:rPr>
              <w:t>vacuolar</w:t>
            </w:r>
            <w:proofErr w:type="spellEnd"/>
            <w:r w:rsidRPr="001F2A7D">
              <w:rPr>
                <w:rFonts w:ascii="Arial" w:hAnsi="Arial" w:cs="Arial"/>
                <w:sz w:val="20"/>
                <w:szCs w:val="20"/>
              </w:rPr>
              <w:t xml:space="preserve"> sequestration of Fe and Zn (Anuradha et al., 2018). The up-regulation of these gene families underpins a robust source–sink remobilization system driving enhanced micronutrient delivery to developin</w:t>
            </w:r>
            <w:r w:rsidRPr="001F2A7D">
              <w:rPr>
                <w:rFonts w:ascii="Arial" w:hAnsi="Arial" w:cs="Arial"/>
                <w:sz w:val="20"/>
                <w:szCs w:val="20"/>
              </w:rPr>
              <w:t xml:space="preserve">g grains. Importantly, Pradhan et al. (2020) reported significant associations between SSR markers </w:t>
            </w:r>
            <w:r w:rsidRPr="001F2A7D">
              <w:rPr>
                <w:rFonts w:ascii="Arial" w:hAnsi="Arial" w:cs="Arial"/>
                <w:i/>
                <w:sz w:val="20"/>
                <w:szCs w:val="20"/>
              </w:rPr>
              <w:t>RM243 (qFe1.1)</w:t>
            </w:r>
            <w:r w:rsidRPr="001F2A7D">
              <w:rPr>
                <w:rFonts w:ascii="Arial" w:hAnsi="Arial" w:cs="Arial"/>
                <w:sz w:val="20"/>
                <w:szCs w:val="20"/>
              </w:rPr>
              <w:t xml:space="preserve">, </w:t>
            </w:r>
            <w:r w:rsidRPr="001F2A7D">
              <w:rPr>
                <w:rFonts w:ascii="Arial" w:hAnsi="Arial" w:cs="Arial"/>
                <w:i/>
                <w:sz w:val="20"/>
                <w:szCs w:val="20"/>
              </w:rPr>
              <w:t>RM234 (qFe5.1)</w:t>
            </w:r>
            <w:r w:rsidRPr="001F2A7D">
              <w:rPr>
                <w:rFonts w:ascii="Arial" w:hAnsi="Arial" w:cs="Arial"/>
                <w:sz w:val="20"/>
                <w:szCs w:val="20"/>
              </w:rPr>
              <w:t xml:space="preserve">, and </w:t>
            </w:r>
            <w:r w:rsidRPr="001F2A7D">
              <w:rPr>
                <w:rFonts w:ascii="Arial" w:hAnsi="Arial" w:cs="Arial"/>
                <w:i/>
                <w:sz w:val="20"/>
                <w:szCs w:val="20"/>
              </w:rPr>
              <w:t>RM517 (qFe8.1)</w:t>
            </w:r>
            <w:r w:rsidRPr="001F2A7D">
              <w:rPr>
                <w:rFonts w:ascii="Arial" w:hAnsi="Arial" w:cs="Arial"/>
                <w:sz w:val="20"/>
                <w:szCs w:val="20"/>
              </w:rPr>
              <w:t xml:space="preserve"> and loci governing Fe-Zn content. Many of these QTLs co-localize with chromosomal regions </w:t>
            </w:r>
            <w:proofErr w:type="spellStart"/>
            <w:r w:rsidRPr="001F2A7D">
              <w:rPr>
                <w:rFonts w:ascii="Arial" w:hAnsi="Arial" w:cs="Arial"/>
                <w:sz w:val="20"/>
                <w:szCs w:val="20"/>
              </w:rPr>
              <w:t>harboring</w:t>
            </w:r>
            <w:proofErr w:type="spellEnd"/>
            <w:r w:rsidRPr="001F2A7D">
              <w:rPr>
                <w:rFonts w:ascii="Arial" w:hAnsi="Arial" w:cs="Arial"/>
                <w:sz w:val="20"/>
                <w:szCs w:val="20"/>
              </w:rPr>
              <w:t xml:space="preserve"> transp</w:t>
            </w:r>
            <w:r w:rsidRPr="001F2A7D">
              <w:rPr>
                <w:rFonts w:ascii="Arial" w:hAnsi="Arial" w:cs="Arial"/>
                <w:sz w:val="20"/>
                <w:szCs w:val="20"/>
              </w:rPr>
              <w:t xml:space="preserve">orter genes such as </w:t>
            </w:r>
            <w:r w:rsidRPr="001F2A7D">
              <w:rPr>
                <w:rFonts w:ascii="Arial" w:hAnsi="Arial" w:cs="Arial"/>
                <w:i/>
                <w:sz w:val="20"/>
                <w:szCs w:val="20"/>
              </w:rPr>
              <w:t>OsVIT1/2</w:t>
            </w:r>
            <w:r w:rsidRPr="001F2A7D">
              <w:rPr>
                <w:rFonts w:ascii="Arial" w:hAnsi="Arial" w:cs="Arial"/>
                <w:sz w:val="20"/>
                <w:szCs w:val="20"/>
              </w:rPr>
              <w:t xml:space="preserve">, </w:t>
            </w:r>
            <w:r w:rsidRPr="001F2A7D">
              <w:rPr>
                <w:rFonts w:ascii="Arial" w:hAnsi="Arial" w:cs="Arial"/>
                <w:i/>
                <w:sz w:val="20"/>
                <w:szCs w:val="20"/>
              </w:rPr>
              <w:t>NRAMP</w:t>
            </w:r>
            <w:r w:rsidRPr="001F2A7D">
              <w:rPr>
                <w:rFonts w:ascii="Arial" w:hAnsi="Arial" w:cs="Arial"/>
                <w:sz w:val="20"/>
                <w:szCs w:val="20"/>
              </w:rPr>
              <w:t xml:space="preserve">, and </w:t>
            </w:r>
            <w:r w:rsidRPr="001F2A7D">
              <w:rPr>
                <w:rFonts w:ascii="Arial" w:hAnsi="Arial" w:cs="Arial"/>
                <w:i/>
                <w:sz w:val="20"/>
                <w:szCs w:val="20"/>
              </w:rPr>
              <w:t>ZIP</w:t>
            </w:r>
            <w:r w:rsidRPr="001F2A7D">
              <w:rPr>
                <w:rFonts w:ascii="Arial" w:hAnsi="Arial" w:cs="Arial"/>
                <w:sz w:val="20"/>
                <w:szCs w:val="20"/>
              </w:rPr>
              <w:t xml:space="preserve"> (Swamy et al., 2021). Recent comparative genomic studies demonstrated that landraces including </w:t>
            </w:r>
            <w:proofErr w:type="spellStart"/>
            <w:r w:rsidRPr="001F2A7D">
              <w:rPr>
                <w:rFonts w:ascii="Arial" w:hAnsi="Arial" w:cs="Arial"/>
                <w:i/>
                <w:sz w:val="20"/>
                <w:szCs w:val="20"/>
              </w:rPr>
              <w:t>Chittimuthyalu</w:t>
            </w:r>
            <w:proofErr w:type="spellEnd"/>
            <w:r w:rsidRPr="001F2A7D">
              <w:rPr>
                <w:rFonts w:ascii="Arial" w:hAnsi="Arial" w:cs="Arial"/>
                <w:sz w:val="20"/>
                <w:szCs w:val="20"/>
              </w:rPr>
              <w:t xml:space="preserve"> carry </w:t>
            </w:r>
            <w:proofErr w:type="spellStart"/>
            <w:r w:rsidRPr="001F2A7D">
              <w:rPr>
                <w:rFonts w:ascii="Arial" w:hAnsi="Arial" w:cs="Arial"/>
                <w:sz w:val="20"/>
                <w:szCs w:val="20"/>
              </w:rPr>
              <w:t>favorable</w:t>
            </w:r>
            <w:proofErr w:type="spellEnd"/>
            <w:r w:rsidRPr="001F2A7D">
              <w:rPr>
                <w:rFonts w:ascii="Arial" w:hAnsi="Arial" w:cs="Arial"/>
                <w:sz w:val="20"/>
                <w:szCs w:val="20"/>
              </w:rPr>
              <w:t xml:space="preserve"> alleles at these QTLs, conferring enhanced Fe remobilization and </w:t>
            </w:r>
            <w:proofErr w:type="spellStart"/>
            <w:r w:rsidRPr="001F2A7D">
              <w:rPr>
                <w:rFonts w:ascii="Arial" w:hAnsi="Arial" w:cs="Arial"/>
                <w:sz w:val="20"/>
                <w:szCs w:val="20"/>
              </w:rPr>
              <w:t>vacuolar</w:t>
            </w:r>
            <w:proofErr w:type="spellEnd"/>
            <w:r w:rsidRPr="001F2A7D">
              <w:rPr>
                <w:rFonts w:ascii="Arial" w:hAnsi="Arial" w:cs="Arial"/>
                <w:sz w:val="20"/>
                <w:szCs w:val="20"/>
              </w:rPr>
              <w:t xml:space="preserve"> sequestrati</w:t>
            </w:r>
            <w:r w:rsidRPr="001F2A7D">
              <w:rPr>
                <w:rFonts w:ascii="Arial" w:hAnsi="Arial" w:cs="Arial"/>
                <w:sz w:val="20"/>
                <w:szCs w:val="20"/>
              </w:rPr>
              <w:t>on (</w:t>
            </w:r>
            <w:proofErr w:type="spellStart"/>
            <w:r w:rsidRPr="001F2A7D">
              <w:rPr>
                <w:rFonts w:ascii="Arial" w:hAnsi="Arial" w:cs="Arial"/>
                <w:sz w:val="20"/>
                <w:szCs w:val="20"/>
              </w:rPr>
              <w:t>Neeraja</w:t>
            </w:r>
            <w:proofErr w:type="spellEnd"/>
            <w:r w:rsidRPr="001F2A7D">
              <w:rPr>
                <w:rFonts w:ascii="Arial" w:hAnsi="Arial" w:cs="Arial"/>
                <w:sz w:val="20"/>
                <w:szCs w:val="20"/>
              </w:rPr>
              <w:t xml:space="preserve"> et al., 2018; Swamy et al., 2021). The co-expression of </w:t>
            </w:r>
            <w:r w:rsidRPr="001F2A7D">
              <w:rPr>
                <w:rFonts w:ascii="Arial" w:hAnsi="Arial" w:cs="Arial"/>
                <w:i/>
                <w:sz w:val="20"/>
                <w:szCs w:val="20"/>
              </w:rPr>
              <w:t>VIT</w:t>
            </w:r>
            <w:r w:rsidRPr="001F2A7D">
              <w:rPr>
                <w:rFonts w:ascii="Arial" w:hAnsi="Arial" w:cs="Arial"/>
                <w:sz w:val="20"/>
                <w:szCs w:val="20"/>
              </w:rPr>
              <w:t xml:space="preserve"> and </w:t>
            </w:r>
            <w:r w:rsidRPr="001F2A7D">
              <w:rPr>
                <w:rFonts w:ascii="Arial" w:hAnsi="Arial" w:cs="Arial"/>
                <w:i/>
                <w:sz w:val="20"/>
                <w:szCs w:val="20"/>
              </w:rPr>
              <w:t>NRAMP</w:t>
            </w:r>
            <w:r w:rsidRPr="001F2A7D">
              <w:rPr>
                <w:rFonts w:ascii="Arial" w:hAnsi="Arial" w:cs="Arial"/>
                <w:sz w:val="20"/>
                <w:szCs w:val="20"/>
              </w:rPr>
              <w:t xml:space="preserve"> genes at these loci supports their likely functional linkage with the QTL regions identified by Pradhan et al. (2020).</w:t>
            </w:r>
          </w:p>
          <w:p w:rsidR="00C96901" w:rsidRPr="001F2A7D" w:rsidRDefault="00D73EBC">
            <w:pPr>
              <w:spacing w:before="240" w:after="120"/>
              <w:rPr>
                <w:rFonts w:ascii="Arial" w:hAnsi="Arial" w:cs="Arial"/>
                <w:sz w:val="20"/>
                <w:szCs w:val="20"/>
              </w:rPr>
            </w:pPr>
            <w:r w:rsidRPr="001F2A7D">
              <w:rPr>
                <w:rFonts w:ascii="Arial" w:hAnsi="Arial" w:cs="Arial"/>
                <w:sz w:val="20"/>
                <w:szCs w:val="20"/>
              </w:rPr>
              <w:t xml:space="preserve">Functional validations confirm that </w:t>
            </w:r>
            <w:proofErr w:type="spellStart"/>
            <w:r w:rsidRPr="001F2A7D">
              <w:rPr>
                <w:rFonts w:ascii="Arial" w:hAnsi="Arial" w:cs="Arial"/>
                <w:sz w:val="20"/>
                <w:szCs w:val="20"/>
              </w:rPr>
              <w:t>vacuolar</w:t>
            </w:r>
            <w:proofErr w:type="spellEnd"/>
            <w:r w:rsidRPr="001F2A7D">
              <w:rPr>
                <w:rFonts w:ascii="Arial" w:hAnsi="Arial" w:cs="Arial"/>
                <w:sz w:val="20"/>
                <w:szCs w:val="20"/>
              </w:rPr>
              <w:t xml:space="preserve"> iron trans</w:t>
            </w:r>
            <w:r w:rsidRPr="001F2A7D">
              <w:rPr>
                <w:rFonts w:ascii="Arial" w:hAnsi="Arial" w:cs="Arial"/>
                <w:sz w:val="20"/>
                <w:szCs w:val="20"/>
              </w:rPr>
              <w:t>porters (</w:t>
            </w:r>
            <w:r w:rsidRPr="001F2A7D">
              <w:rPr>
                <w:rFonts w:ascii="Arial" w:hAnsi="Arial" w:cs="Arial"/>
                <w:i/>
                <w:sz w:val="20"/>
                <w:szCs w:val="20"/>
              </w:rPr>
              <w:t>OsVIT1/2</w:t>
            </w:r>
            <w:r w:rsidRPr="001F2A7D">
              <w:rPr>
                <w:rFonts w:ascii="Arial" w:hAnsi="Arial" w:cs="Arial"/>
                <w:sz w:val="20"/>
                <w:szCs w:val="20"/>
              </w:rPr>
              <w:t xml:space="preserve">) facilitate sequestration of Fe into vacuoles, preventing cytosolic toxicity and maintaining iron homeostasis in seeds (Zhang et al., 2012). Knockout or altered expression of </w:t>
            </w:r>
            <w:r w:rsidRPr="001F2A7D">
              <w:rPr>
                <w:rFonts w:ascii="Arial" w:hAnsi="Arial" w:cs="Arial"/>
                <w:i/>
                <w:sz w:val="20"/>
                <w:szCs w:val="20"/>
              </w:rPr>
              <w:t>OsVIT2</w:t>
            </w:r>
            <w:r w:rsidRPr="001F2A7D">
              <w:rPr>
                <w:rFonts w:ascii="Arial" w:hAnsi="Arial" w:cs="Arial"/>
                <w:sz w:val="20"/>
                <w:szCs w:val="20"/>
              </w:rPr>
              <w:t xml:space="preserve"> in rice resulted in a 2–3</w:t>
            </w:r>
            <w:r w:rsidRPr="001F2A7D">
              <w:rPr>
                <w:rFonts w:ascii="Cambria Math" w:hAnsi="Cambria Math" w:cs="Cambria Math"/>
                <w:sz w:val="20"/>
                <w:szCs w:val="20"/>
              </w:rPr>
              <w:t>‑</w:t>
            </w:r>
            <w:r w:rsidRPr="001F2A7D">
              <w:rPr>
                <w:rFonts w:ascii="Arial" w:hAnsi="Arial" w:cs="Arial"/>
                <w:sz w:val="20"/>
                <w:szCs w:val="20"/>
              </w:rPr>
              <w:t xml:space="preserve">fold increase in grain Fe and </w:t>
            </w:r>
            <w:r w:rsidRPr="001F2A7D">
              <w:rPr>
                <w:rFonts w:ascii="Arial" w:hAnsi="Arial" w:cs="Arial"/>
                <w:sz w:val="20"/>
                <w:szCs w:val="20"/>
              </w:rPr>
              <w:t>Zn levels due to redistribution from vegetative tissues to seeds (</w:t>
            </w:r>
            <w:proofErr w:type="spellStart"/>
            <w:r w:rsidRPr="001F2A7D">
              <w:rPr>
                <w:rFonts w:ascii="Arial" w:hAnsi="Arial" w:cs="Arial"/>
                <w:sz w:val="20"/>
                <w:szCs w:val="20"/>
              </w:rPr>
              <w:t>Kandwal</w:t>
            </w:r>
            <w:proofErr w:type="spellEnd"/>
            <w:r w:rsidRPr="001F2A7D">
              <w:rPr>
                <w:rFonts w:ascii="Arial" w:hAnsi="Arial" w:cs="Arial"/>
                <w:sz w:val="20"/>
                <w:szCs w:val="20"/>
              </w:rPr>
              <w:t xml:space="preserve"> et al., 2022). Additionally, </w:t>
            </w:r>
            <w:r w:rsidRPr="001F2A7D">
              <w:rPr>
                <w:rFonts w:ascii="Arial" w:hAnsi="Arial" w:cs="Arial"/>
                <w:i/>
                <w:sz w:val="20"/>
                <w:szCs w:val="20"/>
              </w:rPr>
              <w:t>OsNRAMP5</w:t>
            </w:r>
            <w:r w:rsidRPr="001F2A7D">
              <w:rPr>
                <w:rFonts w:ascii="Arial" w:hAnsi="Arial" w:cs="Arial"/>
                <w:sz w:val="20"/>
                <w:szCs w:val="20"/>
              </w:rPr>
              <w:t xml:space="preserve"> enhances Fe²</w:t>
            </w:r>
            <w:r w:rsidRPr="001F2A7D">
              <w:rPr>
                <w:rFonts w:ascii="Cambria Math" w:hAnsi="Cambria Math" w:cs="Cambria Math"/>
                <w:sz w:val="20"/>
                <w:szCs w:val="20"/>
              </w:rPr>
              <w:t>⁺</w:t>
            </w:r>
            <w:r w:rsidRPr="001F2A7D">
              <w:rPr>
                <w:rFonts w:ascii="Arial" w:hAnsi="Arial" w:cs="Arial"/>
                <w:sz w:val="20"/>
                <w:szCs w:val="20"/>
              </w:rPr>
              <w:t xml:space="preserve"> uptake from the rhizosphere and promotes long-distance root</w:t>
            </w:r>
            <w:r w:rsidRPr="001F2A7D">
              <w:rPr>
                <w:rFonts w:ascii="Cambria Math" w:hAnsi="Cambria Math" w:cs="Cambria Math"/>
                <w:sz w:val="20"/>
                <w:szCs w:val="20"/>
              </w:rPr>
              <w:t>‑</w:t>
            </w:r>
            <w:r w:rsidRPr="001F2A7D">
              <w:rPr>
                <w:rFonts w:ascii="Arial" w:hAnsi="Arial" w:cs="Arial"/>
                <w:sz w:val="20"/>
                <w:szCs w:val="20"/>
              </w:rPr>
              <w:t xml:space="preserve">shoot translocation, with stronger expression observed in traditional </w:t>
            </w:r>
            <w:r w:rsidRPr="001F2A7D">
              <w:rPr>
                <w:rFonts w:ascii="Arial" w:hAnsi="Arial" w:cs="Arial"/>
                <w:sz w:val="20"/>
                <w:szCs w:val="20"/>
              </w:rPr>
              <w:t xml:space="preserve">landraces compared to improved lines (Ishimaru et al., 2012). Such allelic upregulation likely operates in </w:t>
            </w:r>
            <w:proofErr w:type="spellStart"/>
            <w:r w:rsidRPr="001F2A7D">
              <w:rPr>
                <w:rFonts w:ascii="Arial" w:hAnsi="Arial" w:cs="Arial"/>
                <w:sz w:val="20"/>
                <w:szCs w:val="20"/>
              </w:rPr>
              <w:t>Chittimuthyalu</w:t>
            </w:r>
            <w:proofErr w:type="spellEnd"/>
            <w:r w:rsidRPr="001F2A7D">
              <w:rPr>
                <w:rFonts w:ascii="Arial" w:hAnsi="Arial" w:cs="Arial"/>
                <w:sz w:val="20"/>
                <w:szCs w:val="20"/>
              </w:rPr>
              <w:t xml:space="preserve">, amplifying transport efficiency under field conditions. Similarly, across landrace backgrounds, </w:t>
            </w:r>
            <w:r w:rsidRPr="001F2A7D">
              <w:rPr>
                <w:rFonts w:ascii="Arial" w:hAnsi="Arial" w:cs="Arial"/>
                <w:i/>
                <w:sz w:val="20"/>
                <w:szCs w:val="20"/>
              </w:rPr>
              <w:t>OsZIP6</w:t>
            </w:r>
            <w:r w:rsidRPr="001F2A7D">
              <w:rPr>
                <w:rFonts w:ascii="Arial" w:hAnsi="Arial" w:cs="Arial"/>
                <w:sz w:val="20"/>
                <w:szCs w:val="20"/>
              </w:rPr>
              <w:t xml:space="preserve"> and </w:t>
            </w:r>
            <w:r w:rsidRPr="001F2A7D">
              <w:rPr>
                <w:rFonts w:ascii="Arial" w:hAnsi="Arial" w:cs="Arial"/>
                <w:i/>
                <w:sz w:val="20"/>
                <w:szCs w:val="20"/>
              </w:rPr>
              <w:t>OsZIP8</w:t>
            </w:r>
            <w:r w:rsidRPr="001F2A7D">
              <w:rPr>
                <w:rFonts w:ascii="Arial" w:hAnsi="Arial" w:cs="Arial"/>
                <w:sz w:val="20"/>
                <w:szCs w:val="20"/>
              </w:rPr>
              <w:t xml:space="preserve"> genes exhibit upreg</w:t>
            </w:r>
            <w:r w:rsidRPr="001F2A7D">
              <w:rPr>
                <w:rFonts w:ascii="Arial" w:hAnsi="Arial" w:cs="Arial"/>
                <w:sz w:val="20"/>
                <w:szCs w:val="20"/>
              </w:rPr>
              <w:t xml:space="preserve">ulation under Fe-Zn-limited conditions, functioning in concert with </w:t>
            </w:r>
            <w:r w:rsidRPr="001F2A7D">
              <w:rPr>
                <w:rFonts w:ascii="Arial" w:hAnsi="Arial" w:cs="Arial"/>
                <w:i/>
                <w:sz w:val="20"/>
                <w:szCs w:val="20"/>
              </w:rPr>
              <w:t>OsPHO1;3</w:t>
            </w:r>
            <w:r w:rsidRPr="001F2A7D">
              <w:rPr>
                <w:rFonts w:ascii="Arial" w:hAnsi="Arial" w:cs="Arial"/>
                <w:sz w:val="20"/>
                <w:szCs w:val="20"/>
              </w:rPr>
              <w:t xml:space="preserve"> to enhance phloem-based translocation (Anuradha et al., 2018).</w:t>
            </w:r>
          </w:p>
          <w:p w:rsidR="00C96901" w:rsidRPr="001F2A7D" w:rsidRDefault="00D73EBC">
            <w:pPr>
              <w:spacing w:before="240" w:after="120"/>
              <w:rPr>
                <w:rFonts w:ascii="Arial" w:hAnsi="Arial" w:cs="Arial"/>
                <w:sz w:val="20"/>
                <w:szCs w:val="20"/>
              </w:rPr>
            </w:pPr>
            <w:r w:rsidRPr="001F2A7D">
              <w:rPr>
                <w:rFonts w:ascii="Arial" w:hAnsi="Arial" w:cs="Arial"/>
                <w:sz w:val="20"/>
                <w:szCs w:val="20"/>
              </w:rPr>
              <w:t>Integration of QTL and transcriptomic data makes it possible that</w:t>
            </w:r>
            <w:r w:rsidRPr="001F2A7D">
              <w:rPr>
                <w:rFonts w:ascii="Arial" w:hAnsi="Arial" w:cs="Arial"/>
                <w:i/>
                <w:sz w:val="20"/>
                <w:szCs w:val="20"/>
              </w:rPr>
              <w:t xml:space="preserve"> </w:t>
            </w:r>
            <w:proofErr w:type="spellStart"/>
            <w:r w:rsidRPr="001F2A7D">
              <w:rPr>
                <w:rFonts w:ascii="Arial" w:hAnsi="Arial" w:cs="Arial"/>
                <w:i/>
                <w:sz w:val="20"/>
                <w:szCs w:val="20"/>
              </w:rPr>
              <w:t>Chittimuthyalu’s</w:t>
            </w:r>
            <w:proofErr w:type="spellEnd"/>
            <w:r w:rsidRPr="001F2A7D">
              <w:rPr>
                <w:rFonts w:ascii="Arial" w:hAnsi="Arial" w:cs="Arial"/>
                <w:sz w:val="20"/>
                <w:szCs w:val="20"/>
              </w:rPr>
              <w:t xml:space="preserve"> extreme grain iron concentration </w:t>
            </w:r>
            <w:r w:rsidRPr="001F2A7D">
              <w:rPr>
                <w:rFonts w:ascii="Arial" w:hAnsi="Arial" w:cs="Arial"/>
                <w:sz w:val="20"/>
                <w:szCs w:val="20"/>
              </w:rPr>
              <w:t>results from the presence of multiple Fe</w:t>
            </w:r>
            <w:r w:rsidRPr="001F2A7D">
              <w:rPr>
                <w:rFonts w:ascii="Cambria Math" w:hAnsi="Cambria Math" w:cs="Cambria Math"/>
                <w:sz w:val="20"/>
                <w:szCs w:val="20"/>
              </w:rPr>
              <w:t>‑</w:t>
            </w:r>
            <w:r w:rsidRPr="001F2A7D">
              <w:rPr>
                <w:rFonts w:ascii="Arial" w:hAnsi="Arial" w:cs="Arial"/>
                <w:sz w:val="20"/>
                <w:szCs w:val="20"/>
              </w:rPr>
              <w:t xml:space="preserve">enhancing alleles, especially in genomic regions associated with </w:t>
            </w:r>
            <w:proofErr w:type="spellStart"/>
            <w:r w:rsidRPr="001F2A7D">
              <w:rPr>
                <w:rFonts w:ascii="Arial" w:hAnsi="Arial" w:cs="Arial"/>
                <w:i/>
                <w:sz w:val="20"/>
                <w:szCs w:val="20"/>
              </w:rPr>
              <w:t>OsVIT</w:t>
            </w:r>
            <w:proofErr w:type="spellEnd"/>
            <w:r w:rsidRPr="001F2A7D">
              <w:rPr>
                <w:rFonts w:ascii="Arial" w:hAnsi="Arial" w:cs="Arial"/>
                <w:sz w:val="20"/>
                <w:szCs w:val="20"/>
              </w:rPr>
              <w:t xml:space="preserve">, </w:t>
            </w:r>
            <w:r w:rsidRPr="001F2A7D">
              <w:rPr>
                <w:rFonts w:ascii="Arial" w:hAnsi="Arial" w:cs="Arial"/>
                <w:i/>
                <w:sz w:val="20"/>
                <w:szCs w:val="20"/>
              </w:rPr>
              <w:t>NRAMP</w:t>
            </w:r>
            <w:r w:rsidRPr="001F2A7D">
              <w:rPr>
                <w:rFonts w:ascii="Arial" w:hAnsi="Arial" w:cs="Arial"/>
                <w:sz w:val="20"/>
                <w:szCs w:val="20"/>
              </w:rPr>
              <w:t xml:space="preserve">, and </w:t>
            </w:r>
            <w:r w:rsidRPr="001F2A7D">
              <w:rPr>
                <w:rFonts w:ascii="Arial" w:hAnsi="Arial" w:cs="Arial"/>
                <w:i/>
                <w:sz w:val="20"/>
                <w:szCs w:val="20"/>
              </w:rPr>
              <w:t>ZIP</w:t>
            </w:r>
            <w:r w:rsidRPr="001F2A7D">
              <w:rPr>
                <w:rFonts w:ascii="Arial" w:hAnsi="Arial" w:cs="Arial"/>
                <w:sz w:val="20"/>
                <w:szCs w:val="20"/>
              </w:rPr>
              <w:t xml:space="preserve"> genes. These loci confer higher root uptake, systemic remobilization, and secure storage in grain vacuoles via the </w:t>
            </w:r>
            <w:r w:rsidRPr="001F2A7D">
              <w:rPr>
                <w:rFonts w:ascii="Arial" w:hAnsi="Arial" w:cs="Arial"/>
                <w:i/>
                <w:sz w:val="20"/>
                <w:szCs w:val="20"/>
              </w:rPr>
              <w:t>VIT</w:t>
            </w:r>
            <w:r w:rsidRPr="001F2A7D">
              <w:rPr>
                <w:rFonts w:ascii="Arial" w:hAnsi="Arial" w:cs="Arial"/>
                <w:sz w:val="20"/>
                <w:szCs w:val="20"/>
              </w:rPr>
              <w:t xml:space="preserve">-mediated pathway. The combined effect </w:t>
            </w:r>
            <w:r w:rsidRPr="001F2A7D">
              <w:rPr>
                <w:rFonts w:ascii="Arial" w:hAnsi="Arial" w:cs="Arial"/>
                <w:sz w:val="20"/>
                <w:szCs w:val="20"/>
              </w:rPr>
              <w:lastRenderedPageBreak/>
              <w:t xml:space="preserve">of these transporter systems effectively transforms the physiological iron accumulation, resulting in the extraordinary Fe concentration reported here. Furthermore, </w:t>
            </w:r>
            <w:proofErr w:type="spellStart"/>
            <w:r w:rsidRPr="001F2A7D">
              <w:rPr>
                <w:rFonts w:ascii="Arial" w:hAnsi="Arial" w:cs="Arial"/>
                <w:sz w:val="20"/>
                <w:szCs w:val="20"/>
              </w:rPr>
              <w:t>Chittimuthyalu’s</w:t>
            </w:r>
            <w:proofErr w:type="spellEnd"/>
            <w:r w:rsidRPr="001F2A7D">
              <w:rPr>
                <w:rFonts w:ascii="Arial" w:hAnsi="Arial" w:cs="Arial"/>
                <w:sz w:val="20"/>
                <w:szCs w:val="20"/>
              </w:rPr>
              <w:t xml:space="preserve"> demonstrated efficiency in nutrient</w:t>
            </w:r>
            <w:r w:rsidRPr="001F2A7D">
              <w:rPr>
                <w:rFonts w:ascii="Arial" w:hAnsi="Arial" w:cs="Arial"/>
                <w:sz w:val="20"/>
                <w:szCs w:val="20"/>
              </w:rPr>
              <w:t xml:space="preserve"> remobilization from flag leaves and culm to panicles (Anuradha et al., 2018) reinforces the possibility of such unprecedented Fe values.</w:t>
            </w:r>
          </w:p>
          <w:p w:rsidR="00C96901" w:rsidRPr="001F2A7D" w:rsidRDefault="00D73EBC">
            <w:pPr>
              <w:spacing w:before="240" w:after="120"/>
              <w:rPr>
                <w:rFonts w:ascii="Arial" w:hAnsi="Arial" w:cs="Arial"/>
                <w:sz w:val="20"/>
                <w:szCs w:val="20"/>
              </w:rPr>
            </w:pPr>
            <w:r w:rsidRPr="001F2A7D">
              <w:rPr>
                <w:rFonts w:ascii="Arial" w:hAnsi="Arial" w:cs="Arial"/>
                <w:sz w:val="20"/>
                <w:szCs w:val="20"/>
              </w:rPr>
              <w:t>We will include a possible reasoning and reiteration of our measurement basis (dry-weight brown rice) in the revised R</w:t>
            </w:r>
            <w:r w:rsidRPr="001F2A7D">
              <w:rPr>
                <w:rFonts w:ascii="Arial" w:hAnsi="Arial" w:cs="Arial"/>
                <w:sz w:val="20"/>
                <w:szCs w:val="20"/>
              </w:rPr>
              <w:t>esults and Discussion to clarify the biological validity of the values observed.</w:t>
            </w:r>
          </w:p>
          <w:p w:rsidR="00C96901" w:rsidRPr="001F2A7D" w:rsidRDefault="00D73EBC">
            <w:pPr>
              <w:numPr>
                <w:ilvl w:val="0"/>
                <w:numId w:val="1"/>
              </w:numPr>
              <w:rPr>
                <w:rFonts w:ascii="Arial" w:hAnsi="Arial" w:cs="Arial"/>
                <w:sz w:val="20"/>
                <w:szCs w:val="20"/>
              </w:rPr>
            </w:pPr>
            <w:r w:rsidRPr="001F2A7D">
              <w:rPr>
                <w:rFonts w:ascii="Arial" w:hAnsi="Arial" w:cs="Arial"/>
                <w:sz w:val="20"/>
                <w:szCs w:val="20"/>
              </w:rPr>
              <w:t xml:space="preserve">Anuradha K, Agarwal S, </w:t>
            </w:r>
            <w:proofErr w:type="spellStart"/>
            <w:r w:rsidRPr="001F2A7D">
              <w:rPr>
                <w:rFonts w:ascii="Arial" w:hAnsi="Arial" w:cs="Arial"/>
                <w:sz w:val="20"/>
                <w:szCs w:val="20"/>
              </w:rPr>
              <w:t>Batchu</w:t>
            </w:r>
            <w:proofErr w:type="spellEnd"/>
            <w:r w:rsidRPr="001F2A7D">
              <w:rPr>
                <w:rFonts w:ascii="Arial" w:hAnsi="Arial" w:cs="Arial"/>
                <w:sz w:val="20"/>
                <w:szCs w:val="20"/>
              </w:rPr>
              <w:t xml:space="preserve"> AK, Prasad </w:t>
            </w:r>
            <w:proofErr w:type="spellStart"/>
            <w:r w:rsidRPr="001F2A7D">
              <w:rPr>
                <w:rFonts w:ascii="Arial" w:hAnsi="Arial" w:cs="Arial"/>
                <w:sz w:val="20"/>
                <w:szCs w:val="20"/>
              </w:rPr>
              <w:t>Babu</w:t>
            </w:r>
            <w:proofErr w:type="spellEnd"/>
            <w:r w:rsidRPr="001F2A7D">
              <w:rPr>
                <w:rFonts w:ascii="Arial" w:hAnsi="Arial" w:cs="Arial"/>
                <w:sz w:val="20"/>
                <w:szCs w:val="20"/>
              </w:rPr>
              <w:t xml:space="preserve"> A, Swamy BPM, </w:t>
            </w:r>
            <w:proofErr w:type="spellStart"/>
            <w:r w:rsidRPr="001F2A7D">
              <w:rPr>
                <w:rFonts w:ascii="Arial" w:hAnsi="Arial" w:cs="Arial"/>
                <w:sz w:val="20"/>
                <w:szCs w:val="20"/>
              </w:rPr>
              <w:t>Longvah</w:t>
            </w:r>
            <w:proofErr w:type="spellEnd"/>
            <w:r w:rsidRPr="001F2A7D">
              <w:rPr>
                <w:rFonts w:ascii="Arial" w:hAnsi="Arial" w:cs="Arial"/>
                <w:sz w:val="20"/>
                <w:szCs w:val="20"/>
              </w:rPr>
              <w:t xml:space="preserve"> T, </w:t>
            </w:r>
            <w:proofErr w:type="spellStart"/>
            <w:r w:rsidRPr="001F2A7D">
              <w:rPr>
                <w:rFonts w:ascii="Arial" w:hAnsi="Arial" w:cs="Arial"/>
                <w:sz w:val="20"/>
                <w:szCs w:val="20"/>
              </w:rPr>
              <w:t>Sarla</w:t>
            </w:r>
            <w:proofErr w:type="spellEnd"/>
            <w:r w:rsidRPr="001F2A7D">
              <w:rPr>
                <w:rFonts w:ascii="Arial" w:hAnsi="Arial" w:cs="Arial"/>
                <w:sz w:val="20"/>
                <w:szCs w:val="20"/>
              </w:rPr>
              <w:t xml:space="preserve"> N. (2018). Transporter genes identified in landraces associated with high zinc in polished rice th</w:t>
            </w:r>
            <w:r w:rsidRPr="001F2A7D">
              <w:rPr>
                <w:rFonts w:ascii="Arial" w:hAnsi="Arial" w:cs="Arial"/>
                <w:sz w:val="20"/>
                <w:szCs w:val="20"/>
              </w:rPr>
              <w:t>rough panicle transcriptome for biofortification. PLOS ONE, 13(2</w:t>
            </w:r>
            <w:proofErr w:type="gramStart"/>
            <w:r w:rsidRPr="001F2A7D">
              <w:rPr>
                <w:rFonts w:ascii="Arial" w:hAnsi="Arial" w:cs="Arial"/>
                <w:sz w:val="20"/>
                <w:szCs w:val="20"/>
              </w:rPr>
              <w:t>):e</w:t>
            </w:r>
            <w:proofErr w:type="gramEnd"/>
            <w:r w:rsidRPr="001F2A7D">
              <w:rPr>
                <w:rFonts w:ascii="Arial" w:hAnsi="Arial" w:cs="Arial"/>
                <w:sz w:val="20"/>
                <w:szCs w:val="20"/>
              </w:rPr>
              <w:t xml:space="preserve">0192362. </w:t>
            </w:r>
            <w:r w:rsidRPr="001F2A7D">
              <w:rPr>
                <w:rFonts w:ascii="Arial" w:hAnsi="Arial" w:cs="Arial"/>
                <w:sz w:val="20"/>
                <w:szCs w:val="20"/>
              </w:rPr>
              <w:fldChar w:fldCharType="begin"/>
            </w:r>
            <w:r w:rsidRPr="001F2A7D">
              <w:rPr>
                <w:rFonts w:ascii="Arial" w:hAnsi="Arial" w:cs="Arial"/>
                <w:sz w:val="20"/>
                <w:szCs w:val="20"/>
              </w:rPr>
              <w:instrText xml:space="preserve"> HYPERLINK "https://doi.org/10.1371/journal.pone.0192362" </w:instrText>
            </w:r>
            <w:r w:rsidRPr="001F2A7D">
              <w:rPr>
                <w:rFonts w:ascii="Arial" w:hAnsi="Arial" w:cs="Arial"/>
                <w:sz w:val="20"/>
                <w:szCs w:val="20"/>
              </w:rPr>
              <w:fldChar w:fldCharType="separate"/>
            </w:r>
            <w:r w:rsidRPr="001F2A7D">
              <w:rPr>
                <w:rFonts w:ascii="Arial" w:hAnsi="Arial" w:cs="Arial"/>
                <w:color w:val="1155CC"/>
                <w:sz w:val="20"/>
                <w:szCs w:val="20"/>
              </w:rPr>
              <w:t>https://doi.org/10.1371/journal.pone.0192362</w:t>
            </w:r>
          </w:p>
          <w:p w:rsidR="00C96901" w:rsidRPr="001F2A7D" w:rsidRDefault="00D73EBC">
            <w:pPr>
              <w:numPr>
                <w:ilvl w:val="0"/>
                <w:numId w:val="1"/>
              </w:numPr>
              <w:rPr>
                <w:rFonts w:ascii="Arial" w:hAnsi="Arial" w:cs="Arial"/>
                <w:sz w:val="20"/>
                <w:szCs w:val="20"/>
              </w:rPr>
            </w:pPr>
            <w:r w:rsidRPr="001F2A7D">
              <w:rPr>
                <w:rFonts w:ascii="Arial" w:hAnsi="Arial" w:cs="Arial"/>
                <w:sz w:val="20"/>
                <w:szCs w:val="20"/>
              </w:rPr>
              <w:fldChar w:fldCharType="end"/>
            </w:r>
            <w:r w:rsidRPr="001F2A7D">
              <w:rPr>
                <w:rFonts w:ascii="Arial" w:hAnsi="Arial" w:cs="Arial"/>
                <w:sz w:val="20"/>
                <w:szCs w:val="20"/>
              </w:rPr>
              <w:t xml:space="preserve">Gregorio GB, </w:t>
            </w:r>
            <w:proofErr w:type="spellStart"/>
            <w:r w:rsidRPr="001F2A7D">
              <w:rPr>
                <w:rFonts w:ascii="Arial" w:hAnsi="Arial" w:cs="Arial"/>
                <w:sz w:val="20"/>
                <w:szCs w:val="20"/>
              </w:rPr>
              <w:t>Senadhira</w:t>
            </w:r>
            <w:proofErr w:type="spellEnd"/>
            <w:r w:rsidRPr="001F2A7D">
              <w:rPr>
                <w:rFonts w:ascii="Arial" w:hAnsi="Arial" w:cs="Arial"/>
                <w:sz w:val="20"/>
                <w:szCs w:val="20"/>
              </w:rPr>
              <w:t xml:space="preserve"> D, </w:t>
            </w:r>
            <w:proofErr w:type="spellStart"/>
            <w:r w:rsidRPr="001F2A7D">
              <w:rPr>
                <w:rFonts w:ascii="Arial" w:hAnsi="Arial" w:cs="Arial"/>
                <w:sz w:val="20"/>
                <w:szCs w:val="20"/>
              </w:rPr>
              <w:t>Htut</w:t>
            </w:r>
            <w:proofErr w:type="spellEnd"/>
            <w:r w:rsidRPr="001F2A7D">
              <w:rPr>
                <w:rFonts w:ascii="Arial" w:hAnsi="Arial" w:cs="Arial"/>
                <w:sz w:val="20"/>
                <w:szCs w:val="20"/>
              </w:rPr>
              <w:t xml:space="preserve"> H, Graham RD. (2000). Breeding for trace mi</w:t>
            </w:r>
            <w:r w:rsidRPr="001F2A7D">
              <w:rPr>
                <w:rFonts w:ascii="Arial" w:hAnsi="Arial" w:cs="Arial"/>
                <w:sz w:val="20"/>
                <w:szCs w:val="20"/>
              </w:rPr>
              <w:t xml:space="preserve">neral density in rice. Plant Foods for Human Nutrition, 55(4), 399–404. </w:t>
            </w:r>
            <w:r w:rsidRPr="001F2A7D">
              <w:rPr>
                <w:rFonts w:ascii="Arial" w:hAnsi="Arial" w:cs="Arial"/>
                <w:sz w:val="20"/>
                <w:szCs w:val="20"/>
              </w:rPr>
              <w:fldChar w:fldCharType="begin"/>
            </w:r>
            <w:r w:rsidRPr="001F2A7D">
              <w:rPr>
                <w:rFonts w:ascii="Arial" w:hAnsi="Arial" w:cs="Arial"/>
                <w:sz w:val="20"/>
                <w:szCs w:val="20"/>
              </w:rPr>
              <w:instrText xml:space="preserve"> HYPERLINK "https://doi.org/10.1023/A:1008194204896" </w:instrText>
            </w:r>
            <w:r w:rsidRPr="001F2A7D">
              <w:rPr>
                <w:rFonts w:ascii="Arial" w:hAnsi="Arial" w:cs="Arial"/>
                <w:sz w:val="20"/>
                <w:szCs w:val="20"/>
              </w:rPr>
              <w:fldChar w:fldCharType="separate"/>
            </w:r>
            <w:r w:rsidRPr="001F2A7D">
              <w:rPr>
                <w:rFonts w:ascii="Arial" w:hAnsi="Arial" w:cs="Arial"/>
                <w:color w:val="1155CC"/>
                <w:sz w:val="20"/>
                <w:szCs w:val="20"/>
              </w:rPr>
              <w:t>https://doi.org/10.1023/A:1008194204896</w:t>
            </w:r>
          </w:p>
          <w:p w:rsidR="00C96901" w:rsidRPr="001F2A7D" w:rsidRDefault="00D73EBC">
            <w:pPr>
              <w:numPr>
                <w:ilvl w:val="0"/>
                <w:numId w:val="1"/>
              </w:numPr>
              <w:rPr>
                <w:rFonts w:ascii="Arial" w:hAnsi="Arial" w:cs="Arial"/>
                <w:sz w:val="20"/>
                <w:szCs w:val="20"/>
              </w:rPr>
            </w:pPr>
            <w:r w:rsidRPr="001F2A7D">
              <w:rPr>
                <w:rFonts w:ascii="Arial" w:hAnsi="Arial" w:cs="Arial"/>
                <w:sz w:val="20"/>
                <w:szCs w:val="20"/>
              </w:rPr>
              <w:fldChar w:fldCharType="end"/>
            </w:r>
            <w:r w:rsidRPr="001F2A7D">
              <w:rPr>
                <w:rFonts w:ascii="Arial" w:hAnsi="Arial" w:cs="Arial"/>
                <w:sz w:val="20"/>
                <w:szCs w:val="20"/>
              </w:rPr>
              <w:t>Ishimaru Y, Bashir K, Nakanishi H, Nishizawa NK. (2012). OsNRAMP5, a major player for co</w:t>
            </w:r>
            <w:r w:rsidRPr="001F2A7D">
              <w:rPr>
                <w:rFonts w:ascii="Arial" w:hAnsi="Arial" w:cs="Arial"/>
                <w:sz w:val="20"/>
                <w:szCs w:val="20"/>
              </w:rPr>
              <w:t xml:space="preserve">nstitutive iron and manganese uptake in rice. Rice, 5:19. </w:t>
            </w:r>
            <w:r w:rsidRPr="001F2A7D">
              <w:rPr>
                <w:rFonts w:ascii="Arial" w:hAnsi="Arial" w:cs="Arial"/>
                <w:sz w:val="20"/>
                <w:szCs w:val="20"/>
              </w:rPr>
              <w:fldChar w:fldCharType="begin"/>
            </w:r>
            <w:r w:rsidRPr="001F2A7D">
              <w:rPr>
                <w:rFonts w:ascii="Arial" w:hAnsi="Arial" w:cs="Arial"/>
                <w:sz w:val="20"/>
                <w:szCs w:val="20"/>
              </w:rPr>
              <w:instrText xml:space="preserve"> HYPERLINK "https://doi.org/10.1186/1939-8433-5-19" </w:instrText>
            </w:r>
            <w:r w:rsidRPr="001F2A7D">
              <w:rPr>
                <w:rFonts w:ascii="Arial" w:hAnsi="Arial" w:cs="Arial"/>
                <w:sz w:val="20"/>
                <w:szCs w:val="20"/>
              </w:rPr>
              <w:fldChar w:fldCharType="separate"/>
            </w:r>
            <w:r w:rsidRPr="001F2A7D">
              <w:rPr>
                <w:rFonts w:ascii="Arial" w:hAnsi="Arial" w:cs="Arial"/>
                <w:color w:val="1155CC"/>
                <w:sz w:val="20"/>
                <w:szCs w:val="20"/>
              </w:rPr>
              <w:t>https://doi.org/10.1186/1939-8433-5-19</w:t>
            </w:r>
          </w:p>
          <w:p w:rsidR="00C96901" w:rsidRPr="001F2A7D" w:rsidRDefault="00D73EBC">
            <w:pPr>
              <w:numPr>
                <w:ilvl w:val="0"/>
                <w:numId w:val="1"/>
              </w:numPr>
              <w:rPr>
                <w:rFonts w:ascii="Arial" w:hAnsi="Arial" w:cs="Arial"/>
                <w:sz w:val="20"/>
                <w:szCs w:val="20"/>
              </w:rPr>
            </w:pPr>
            <w:r w:rsidRPr="001F2A7D">
              <w:rPr>
                <w:rFonts w:ascii="Arial" w:hAnsi="Arial" w:cs="Arial"/>
                <w:sz w:val="20"/>
                <w:szCs w:val="20"/>
              </w:rPr>
              <w:fldChar w:fldCharType="end"/>
            </w:r>
            <w:proofErr w:type="spellStart"/>
            <w:r w:rsidRPr="001F2A7D">
              <w:rPr>
                <w:rFonts w:ascii="Arial" w:hAnsi="Arial" w:cs="Arial"/>
                <w:sz w:val="20"/>
                <w:szCs w:val="20"/>
              </w:rPr>
              <w:t>Kandwal</w:t>
            </w:r>
            <w:proofErr w:type="spellEnd"/>
            <w:r w:rsidRPr="001F2A7D">
              <w:rPr>
                <w:rFonts w:ascii="Arial" w:hAnsi="Arial" w:cs="Arial"/>
                <w:sz w:val="20"/>
                <w:szCs w:val="20"/>
              </w:rPr>
              <w:t xml:space="preserve"> P, Kumar A, Singh U. (2022). OsVIT2 mutation increases Fe and Zn of grain without yield penalty </w:t>
            </w:r>
            <w:r w:rsidRPr="001F2A7D">
              <w:rPr>
                <w:rFonts w:ascii="Arial" w:hAnsi="Arial" w:cs="Arial"/>
                <w:sz w:val="20"/>
                <w:szCs w:val="20"/>
              </w:rPr>
              <w:t xml:space="preserve">in rice. Frontiers in Plant Science, 13:868661. </w:t>
            </w:r>
            <w:r w:rsidRPr="001F2A7D">
              <w:rPr>
                <w:rFonts w:ascii="Arial" w:hAnsi="Arial" w:cs="Arial"/>
                <w:sz w:val="20"/>
                <w:szCs w:val="20"/>
              </w:rPr>
              <w:fldChar w:fldCharType="begin"/>
            </w:r>
            <w:r w:rsidRPr="001F2A7D">
              <w:rPr>
                <w:rFonts w:ascii="Arial" w:hAnsi="Arial" w:cs="Arial"/>
                <w:sz w:val="20"/>
                <w:szCs w:val="20"/>
              </w:rPr>
              <w:instrText xml:space="preserve"> HYPERLINK "https://doi.org/10.3389/fpls.2022.868661" </w:instrText>
            </w:r>
            <w:r w:rsidRPr="001F2A7D">
              <w:rPr>
                <w:rFonts w:ascii="Arial" w:hAnsi="Arial" w:cs="Arial"/>
                <w:sz w:val="20"/>
                <w:szCs w:val="20"/>
              </w:rPr>
              <w:fldChar w:fldCharType="separate"/>
            </w:r>
            <w:r w:rsidRPr="001F2A7D">
              <w:rPr>
                <w:rFonts w:ascii="Arial" w:hAnsi="Arial" w:cs="Arial"/>
                <w:color w:val="1155CC"/>
                <w:sz w:val="20"/>
                <w:szCs w:val="20"/>
              </w:rPr>
              <w:t>https://doi.org/10.3389/fpls.2022.868661</w:t>
            </w:r>
          </w:p>
          <w:p w:rsidR="00C96901" w:rsidRPr="001F2A7D" w:rsidRDefault="00D73EBC">
            <w:pPr>
              <w:numPr>
                <w:ilvl w:val="0"/>
                <w:numId w:val="1"/>
              </w:numPr>
              <w:rPr>
                <w:rFonts w:ascii="Arial" w:hAnsi="Arial" w:cs="Arial"/>
                <w:sz w:val="20"/>
                <w:szCs w:val="20"/>
              </w:rPr>
            </w:pPr>
            <w:r w:rsidRPr="001F2A7D">
              <w:rPr>
                <w:rFonts w:ascii="Arial" w:hAnsi="Arial" w:cs="Arial"/>
                <w:sz w:val="20"/>
                <w:szCs w:val="20"/>
              </w:rPr>
              <w:fldChar w:fldCharType="end"/>
            </w:r>
            <w:proofErr w:type="spellStart"/>
            <w:r w:rsidRPr="001F2A7D">
              <w:rPr>
                <w:rFonts w:ascii="Arial" w:hAnsi="Arial" w:cs="Arial"/>
                <w:sz w:val="20"/>
                <w:szCs w:val="20"/>
              </w:rPr>
              <w:t>Neeraja</w:t>
            </w:r>
            <w:proofErr w:type="spellEnd"/>
            <w:r w:rsidRPr="001F2A7D">
              <w:rPr>
                <w:rFonts w:ascii="Arial" w:hAnsi="Arial" w:cs="Arial"/>
                <w:sz w:val="20"/>
                <w:szCs w:val="20"/>
              </w:rPr>
              <w:t xml:space="preserve"> CN, Anuradha K, </w:t>
            </w:r>
            <w:proofErr w:type="spellStart"/>
            <w:r w:rsidRPr="001F2A7D">
              <w:rPr>
                <w:rFonts w:ascii="Arial" w:hAnsi="Arial" w:cs="Arial"/>
                <w:sz w:val="20"/>
                <w:szCs w:val="20"/>
              </w:rPr>
              <w:t>Sarla</w:t>
            </w:r>
            <w:proofErr w:type="spellEnd"/>
            <w:r w:rsidRPr="001F2A7D">
              <w:rPr>
                <w:rFonts w:ascii="Arial" w:hAnsi="Arial" w:cs="Arial"/>
                <w:sz w:val="20"/>
                <w:szCs w:val="20"/>
              </w:rPr>
              <w:t xml:space="preserve"> N. (2018). Characterization of transporter gene families underlying micronutrient accumulation in Indian rice landraces. Frontiers in Plant Science, 9:1125. </w:t>
            </w:r>
            <w:r w:rsidRPr="001F2A7D">
              <w:rPr>
                <w:rFonts w:ascii="Arial" w:hAnsi="Arial" w:cs="Arial"/>
                <w:sz w:val="20"/>
                <w:szCs w:val="20"/>
              </w:rPr>
              <w:fldChar w:fldCharType="begin"/>
            </w:r>
            <w:r w:rsidRPr="001F2A7D">
              <w:rPr>
                <w:rFonts w:ascii="Arial" w:hAnsi="Arial" w:cs="Arial"/>
                <w:sz w:val="20"/>
                <w:szCs w:val="20"/>
              </w:rPr>
              <w:instrText xml:space="preserve"> HYPERLINK "https://doi.org/10.3389/fpls.2018.01125" </w:instrText>
            </w:r>
            <w:r w:rsidRPr="001F2A7D">
              <w:rPr>
                <w:rFonts w:ascii="Arial" w:hAnsi="Arial" w:cs="Arial"/>
                <w:sz w:val="20"/>
                <w:szCs w:val="20"/>
              </w:rPr>
              <w:fldChar w:fldCharType="separate"/>
            </w:r>
            <w:r w:rsidRPr="001F2A7D">
              <w:rPr>
                <w:rFonts w:ascii="Arial" w:hAnsi="Arial" w:cs="Arial"/>
                <w:color w:val="1155CC"/>
                <w:sz w:val="20"/>
                <w:szCs w:val="20"/>
              </w:rPr>
              <w:t>https://doi.org/</w:t>
            </w:r>
            <w:r w:rsidRPr="001F2A7D">
              <w:rPr>
                <w:rFonts w:ascii="Arial" w:hAnsi="Arial" w:cs="Arial"/>
                <w:color w:val="1155CC"/>
                <w:sz w:val="20"/>
                <w:szCs w:val="20"/>
              </w:rPr>
              <w:t>10.3389/fpls.2018.01125</w:t>
            </w:r>
          </w:p>
          <w:p w:rsidR="00C96901" w:rsidRPr="001F2A7D" w:rsidRDefault="00D73EBC">
            <w:pPr>
              <w:numPr>
                <w:ilvl w:val="0"/>
                <w:numId w:val="1"/>
              </w:numPr>
              <w:rPr>
                <w:rFonts w:ascii="Arial" w:hAnsi="Arial" w:cs="Arial"/>
                <w:sz w:val="20"/>
                <w:szCs w:val="20"/>
              </w:rPr>
            </w:pPr>
            <w:r w:rsidRPr="001F2A7D">
              <w:rPr>
                <w:rFonts w:ascii="Arial" w:hAnsi="Arial" w:cs="Arial"/>
                <w:sz w:val="20"/>
                <w:szCs w:val="20"/>
              </w:rPr>
              <w:fldChar w:fldCharType="end"/>
            </w:r>
            <w:r w:rsidRPr="001F2A7D">
              <w:rPr>
                <w:rFonts w:ascii="Arial" w:hAnsi="Arial" w:cs="Arial"/>
                <w:sz w:val="20"/>
                <w:szCs w:val="20"/>
              </w:rPr>
              <w:t xml:space="preserve">Pradhan SK, Pandit E, </w:t>
            </w:r>
            <w:proofErr w:type="spellStart"/>
            <w:r w:rsidRPr="001F2A7D">
              <w:rPr>
                <w:rFonts w:ascii="Arial" w:hAnsi="Arial" w:cs="Arial"/>
                <w:sz w:val="20"/>
                <w:szCs w:val="20"/>
              </w:rPr>
              <w:t>Pawar</w:t>
            </w:r>
            <w:proofErr w:type="spellEnd"/>
            <w:r w:rsidRPr="001F2A7D">
              <w:rPr>
                <w:rFonts w:ascii="Arial" w:hAnsi="Arial" w:cs="Arial"/>
                <w:sz w:val="20"/>
                <w:szCs w:val="20"/>
              </w:rPr>
              <w:t xml:space="preserve"> S, et al. (2020). Linkage disequilibrium mapping for grain Fe and Zn enhancing QTLs useful for nutrient dense rice breeding. BMC Plant Biology, 20:413. </w:t>
            </w:r>
            <w:r w:rsidRPr="001F2A7D">
              <w:rPr>
                <w:rFonts w:ascii="Arial" w:hAnsi="Arial" w:cs="Arial"/>
                <w:sz w:val="20"/>
                <w:szCs w:val="20"/>
              </w:rPr>
              <w:fldChar w:fldCharType="begin"/>
            </w:r>
            <w:r w:rsidRPr="001F2A7D">
              <w:rPr>
                <w:rFonts w:ascii="Arial" w:hAnsi="Arial" w:cs="Arial"/>
                <w:sz w:val="20"/>
                <w:szCs w:val="20"/>
              </w:rPr>
              <w:instrText xml:space="preserve"> HYPERLINK "https://doi.org/10.1186/s12870-020-02</w:instrText>
            </w:r>
            <w:r w:rsidRPr="001F2A7D">
              <w:rPr>
                <w:rFonts w:ascii="Arial" w:hAnsi="Arial" w:cs="Arial"/>
                <w:sz w:val="20"/>
                <w:szCs w:val="20"/>
              </w:rPr>
              <w:instrText xml:space="preserve">685-3" </w:instrText>
            </w:r>
            <w:r w:rsidRPr="001F2A7D">
              <w:rPr>
                <w:rFonts w:ascii="Arial" w:hAnsi="Arial" w:cs="Arial"/>
                <w:sz w:val="20"/>
                <w:szCs w:val="20"/>
              </w:rPr>
              <w:fldChar w:fldCharType="separate"/>
            </w:r>
            <w:r w:rsidRPr="001F2A7D">
              <w:rPr>
                <w:rFonts w:ascii="Arial" w:hAnsi="Arial" w:cs="Arial"/>
                <w:color w:val="1155CC"/>
                <w:sz w:val="20"/>
                <w:szCs w:val="20"/>
              </w:rPr>
              <w:t>https://doi.org/10.1186/s12870-020-02685-3</w:t>
            </w:r>
          </w:p>
          <w:p w:rsidR="00C96901" w:rsidRPr="001F2A7D" w:rsidRDefault="00D73EBC">
            <w:pPr>
              <w:numPr>
                <w:ilvl w:val="0"/>
                <w:numId w:val="1"/>
              </w:numPr>
              <w:rPr>
                <w:rFonts w:ascii="Arial" w:hAnsi="Arial" w:cs="Arial"/>
                <w:sz w:val="20"/>
                <w:szCs w:val="20"/>
              </w:rPr>
            </w:pPr>
            <w:r w:rsidRPr="001F2A7D">
              <w:rPr>
                <w:rFonts w:ascii="Arial" w:hAnsi="Arial" w:cs="Arial"/>
                <w:sz w:val="20"/>
                <w:szCs w:val="20"/>
              </w:rPr>
              <w:fldChar w:fldCharType="end"/>
            </w:r>
            <w:r w:rsidRPr="001F2A7D">
              <w:rPr>
                <w:rFonts w:ascii="Arial" w:hAnsi="Arial" w:cs="Arial"/>
                <w:sz w:val="20"/>
                <w:szCs w:val="20"/>
              </w:rPr>
              <w:t xml:space="preserve">Swamy BPM, Rahman MA, </w:t>
            </w:r>
            <w:proofErr w:type="spellStart"/>
            <w:r w:rsidRPr="001F2A7D">
              <w:rPr>
                <w:rFonts w:ascii="Arial" w:hAnsi="Arial" w:cs="Arial"/>
                <w:sz w:val="20"/>
                <w:szCs w:val="20"/>
              </w:rPr>
              <w:t>Inabangan-Asilo</w:t>
            </w:r>
            <w:proofErr w:type="spellEnd"/>
            <w:r w:rsidRPr="001F2A7D">
              <w:rPr>
                <w:rFonts w:ascii="Arial" w:hAnsi="Arial" w:cs="Arial"/>
                <w:sz w:val="20"/>
                <w:szCs w:val="20"/>
              </w:rPr>
              <w:t xml:space="preserve"> MA, et al. (2021). Iron Biofortification in Rice: An Update on Quantitative Trait Loci, Genes, and Breeding Strategies. Frontiers in Plant Science, 12:797141. </w:t>
            </w:r>
            <w:r w:rsidRPr="001F2A7D">
              <w:rPr>
                <w:rFonts w:ascii="Arial" w:hAnsi="Arial" w:cs="Arial"/>
                <w:sz w:val="20"/>
                <w:szCs w:val="20"/>
              </w:rPr>
              <w:fldChar w:fldCharType="begin"/>
            </w:r>
            <w:r w:rsidRPr="001F2A7D">
              <w:rPr>
                <w:rFonts w:ascii="Arial" w:hAnsi="Arial" w:cs="Arial"/>
                <w:sz w:val="20"/>
                <w:szCs w:val="20"/>
              </w:rPr>
              <w:instrText xml:space="preserve"> HYPER</w:instrText>
            </w:r>
            <w:r w:rsidRPr="001F2A7D">
              <w:rPr>
                <w:rFonts w:ascii="Arial" w:hAnsi="Arial" w:cs="Arial"/>
                <w:sz w:val="20"/>
                <w:szCs w:val="20"/>
              </w:rPr>
              <w:instrText xml:space="preserve">LINK "https://doi.org/10.3389/fpls.2021.797141" </w:instrText>
            </w:r>
            <w:r w:rsidRPr="001F2A7D">
              <w:rPr>
                <w:rFonts w:ascii="Arial" w:hAnsi="Arial" w:cs="Arial"/>
                <w:sz w:val="20"/>
                <w:szCs w:val="20"/>
              </w:rPr>
              <w:fldChar w:fldCharType="separate"/>
            </w:r>
            <w:r w:rsidRPr="001F2A7D">
              <w:rPr>
                <w:rFonts w:ascii="Arial" w:hAnsi="Arial" w:cs="Arial"/>
                <w:color w:val="1155CC"/>
                <w:sz w:val="20"/>
                <w:szCs w:val="20"/>
              </w:rPr>
              <w:t>https://doi.org/10.3389/fpls.2021.797141</w:t>
            </w:r>
          </w:p>
          <w:p w:rsidR="00C96901" w:rsidRPr="001F2A7D" w:rsidRDefault="00D73EBC">
            <w:pPr>
              <w:numPr>
                <w:ilvl w:val="0"/>
                <w:numId w:val="1"/>
              </w:numPr>
              <w:spacing w:after="120"/>
              <w:rPr>
                <w:rFonts w:ascii="Arial" w:hAnsi="Arial" w:cs="Arial"/>
                <w:sz w:val="20"/>
                <w:szCs w:val="20"/>
              </w:rPr>
            </w:pPr>
            <w:r w:rsidRPr="001F2A7D">
              <w:rPr>
                <w:rFonts w:ascii="Arial" w:hAnsi="Arial" w:cs="Arial"/>
                <w:sz w:val="20"/>
                <w:szCs w:val="20"/>
              </w:rPr>
              <w:fldChar w:fldCharType="end"/>
            </w:r>
            <w:r w:rsidRPr="001F2A7D">
              <w:rPr>
                <w:rFonts w:ascii="Arial" w:hAnsi="Arial" w:cs="Arial"/>
                <w:sz w:val="20"/>
                <w:szCs w:val="20"/>
              </w:rPr>
              <w:t xml:space="preserve">Zhang Y, Xu YH, Yi HY, Gong JM. (2012). </w:t>
            </w:r>
            <w:proofErr w:type="spellStart"/>
            <w:r w:rsidRPr="001F2A7D">
              <w:rPr>
                <w:rFonts w:ascii="Arial" w:hAnsi="Arial" w:cs="Arial"/>
                <w:sz w:val="20"/>
                <w:szCs w:val="20"/>
              </w:rPr>
              <w:t>Vacuolar</w:t>
            </w:r>
            <w:proofErr w:type="spellEnd"/>
            <w:r w:rsidRPr="001F2A7D">
              <w:rPr>
                <w:rFonts w:ascii="Arial" w:hAnsi="Arial" w:cs="Arial"/>
                <w:sz w:val="20"/>
                <w:szCs w:val="20"/>
              </w:rPr>
              <w:t xml:space="preserve"> membrane transporters OsVIT1 and OsVIT2 modulate iron translocation between flag leaves and seeds in rice. The Plan</w:t>
            </w:r>
            <w:r w:rsidRPr="001F2A7D">
              <w:rPr>
                <w:rFonts w:ascii="Arial" w:hAnsi="Arial" w:cs="Arial"/>
                <w:sz w:val="20"/>
                <w:szCs w:val="20"/>
              </w:rPr>
              <w:t xml:space="preserve">t Journal, 72(3):400–410. </w:t>
            </w:r>
            <w:r w:rsidRPr="001F2A7D">
              <w:rPr>
                <w:rFonts w:ascii="Arial" w:hAnsi="Arial" w:cs="Arial"/>
                <w:sz w:val="20"/>
                <w:szCs w:val="20"/>
              </w:rPr>
              <w:fldChar w:fldCharType="begin"/>
            </w:r>
            <w:r w:rsidRPr="001F2A7D">
              <w:rPr>
                <w:rFonts w:ascii="Arial" w:hAnsi="Arial" w:cs="Arial"/>
                <w:sz w:val="20"/>
                <w:szCs w:val="20"/>
              </w:rPr>
              <w:instrText xml:space="preserve"> HYPERLINK "https://doi.org/10.1111/j.1365-313X.2012.05088.x" </w:instrText>
            </w:r>
            <w:r w:rsidRPr="001F2A7D">
              <w:rPr>
                <w:rFonts w:ascii="Arial" w:hAnsi="Arial" w:cs="Arial"/>
                <w:sz w:val="20"/>
                <w:szCs w:val="20"/>
              </w:rPr>
              <w:fldChar w:fldCharType="separate"/>
            </w:r>
            <w:r w:rsidRPr="001F2A7D">
              <w:rPr>
                <w:rFonts w:ascii="Arial" w:hAnsi="Arial" w:cs="Arial"/>
                <w:color w:val="1155CC"/>
                <w:sz w:val="20"/>
                <w:szCs w:val="20"/>
              </w:rPr>
              <w:t>https://doi.org/10.1111/j.1365-313X.2012.05088.x</w:t>
            </w:r>
          </w:p>
          <w:p w:rsidR="00C96901" w:rsidRPr="001F2A7D" w:rsidRDefault="00D73EBC">
            <w:pPr>
              <w:spacing w:before="240" w:after="120"/>
              <w:rPr>
                <w:rFonts w:ascii="Arial" w:hAnsi="Arial" w:cs="Arial"/>
                <w:sz w:val="20"/>
                <w:szCs w:val="20"/>
              </w:rPr>
            </w:pPr>
            <w:r w:rsidRPr="001F2A7D">
              <w:rPr>
                <w:rFonts w:ascii="Arial" w:hAnsi="Arial" w:cs="Arial"/>
                <w:sz w:val="20"/>
                <w:szCs w:val="20"/>
              </w:rPr>
              <w:fldChar w:fldCharType="end"/>
            </w:r>
          </w:p>
          <w:p w:rsidR="00C96901" w:rsidRPr="001F2A7D" w:rsidRDefault="00D73EBC">
            <w:pPr>
              <w:spacing w:before="240" w:after="120"/>
              <w:rPr>
                <w:rFonts w:ascii="Arial" w:hAnsi="Arial" w:cs="Arial"/>
                <w:sz w:val="20"/>
                <w:szCs w:val="20"/>
              </w:rPr>
            </w:pPr>
            <w:r w:rsidRPr="001F2A7D">
              <w:rPr>
                <w:rFonts w:ascii="Arial" w:hAnsi="Arial" w:cs="Arial"/>
                <w:sz w:val="20"/>
                <w:szCs w:val="20"/>
              </w:rPr>
              <w:t>Results and discussion rewritten as;</w:t>
            </w:r>
          </w:p>
          <w:p w:rsidR="00C96901" w:rsidRPr="001F2A7D" w:rsidRDefault="00D73EBC">
            <w:pPr>
              <w:spacing w:before="240" w:after="120"/>
              <w:rPr>
                <w:rFonts w:ascii="Arial" w:hAnsi="Arial" w:cs="Arial"/>
                <w:sz w:val="20"/>
                <w:szCs w:val="20"/>
              </w:rPr>
            </w:pPr>
            <w:r w:rsidRPr="001F2A7D">
              <w:rPr>
                <w:rFonts w:ascii="Arial" w:hAnsi="Arial" w:cs="Arial"/>
                <w:sz w:val="20"/>
                <w:szCs w:val="20"/>
              </w:rPr>
              <w:t xml:space="preserve">“The exceptionally high iron content measured in </w:t>
            </w:r>
            <w:proofErr w:type="spellStart"/>
            <w:r w:rsidRPr="001F2A7D">
              <w:rPr>
                <w:rFonts w:ascii="Arial" w:hAnsi="Arial" w:cs="Arial"/>
                <w:sz w:val="20"/>
                <w:szCs w:val="20"/>
              </w:rPr>
              <w:t>Chittimuthyalu</w:t>
            </w:r>
            <w:proofErr w:type="spellEnd"/>
            <w:r w:rsidRPr="001F2A7D">
              <w:rPr>
                <w:rFonts w:ascii="Arial" w:hAnsi="Arial" w:cs="Arial"/>
                <w:sz w:val="20"/>
                <w:szCs w:val="20"/>
              </w:rPr>
              <w:t xml:space="preserve"> (1694.8 ppm) d</w:t>
            </w:r>
            <w:r w:rsidRPr="001F2A7D">
              <w:rPr>
                <w:rFonts w:ascii="Arial" w:hAnsi="Arial" w:cs="Arial"/>
                <w:sz w:val="20"/>
                <w:szCs w:val="20"/>
              </w:rPr>
              <w:t xml:space="preserve">erives from analysis on a dry-weight basis of brown rice after dehulling, which retains the mineral-rich aleurone and pericarp layers, naturally elevating mineral concentrations compared to polished rice (Gregorio et al., 2000). </w:t>
            </w:r>
            <w:proofErr w:type="spellStart"/>
            <w:r w:rsidRPr="001F2A7D">
              <w:rPr>
                <w:rFonts w:ascii="Arial" w:hAnsi="Arial" w:cs="Arial"/>
                <w:sz w:val="20"/>
                <w:szCs w:val="20"/>
              </w:rPr>
              <w:t>Chittimuthyalu</w:t>
            </w:r>
            <w:proofErr w:type="spellEnd"/>
            <w:r w:rsidRPr="001F2A7D">
              <w:rPr>
                <w:rFonts w:ascii="Arial" w:hAnsi="Arial" w:cs="Arial"/>
                <w:sz w:val="20"/>
                <w:szCs w:val="20"/>
              </w:rPr>
              <w:t xml:space="preserve"> serves as a </w:t>
            </w:r>
            <w:r w:rsidRPr="001F2A7D">
              <w:rPr>
                <w:rFonts w:ascii="Arial" w:hAnsi="Arial" w:cs="Arial"/>
                <w:sz w:val="20"/>
                <w:szCs w:val="20"/>
              </w:rPr>
              <w:t xml:space="preserve">national check cultivar under AICRIP Biofortification trials for high micronutrient content (Anuradha et al., 2018), exhibiting over 1,000 differentially expressed transcripts, including up-regulated metal </w:t>
            </w:r>
            <w:r w:rsidRPr="001F2A7D">
              <w:rPr>
                <w:rFonts w:ascii="Arial" w:hAnsi="Arial" w:cs="Arial"/>
                <w:sz w:val="20"/>
                <w:szCs w:val="20"/>
              </w:rPr>
              <w:lastRenderedPageBreak/>
              <w:t xml:space="preserve">transporter genes such as </w:t>
            </w:r>
            <w:r w:rsidRPr="001F2A7D">
              <w:rPr>
                <w:rFonts w:ascii="Arial" w:hAnsi="Arial" w:cs="Arial"/>
                <w:i/>
                <w:sz w:val="20"/>
                <w:szCs w:val="20"/>
              </w:rPr>
              <w:t>NRAMP5</w:t>
            </w:r>
            <w:r w:rsidRPr="001F2A7D">
              <w:rPr>
                <w:rFonts w:ascii="Arial" w:hAnsi="Arial" w:cs="Arial"/>
                <w:sz w:val="20"/>
                <w:szCs w:val="20"/>
              </w:rPr>
              <w:t xml:space="preserve">, </w:t>
            </w:r>
            <w:r w:rsidRPr="001F2A7D">
              <w:rPr>
                <w:rFonts w:ascii="Arial" w:hAnsi="Arial" w:cs="Arial"/>
                <w:i/>
                <w:sz w:val="20"/>
                <w:szCs w:val="20"/>
              </w:rPr>
              <w:t>OsVIT5</w:t>
            </w:r>
            <w:r w:rsidRPr="001F2A7D">
              <w:rPr>
                <w:rFonts w:ascii="Arial" w:hAnsi="Arial" w:cs="Arial"/>
                <w:sz w:val="20"/>
                <w:szCs w:val="20"/>
              </w:rPr>
              <w:t>, and memb</w:t>
            </w:r>
            <w:r w:rsidRPr="001F2A7D">
              <w:rPr>
                <w:rFonts w:ascii="Arial" w:hAnsi="Arial" w:cs="Arial"/>
                <w:sz w:val="20"/>
                <w:szCs w:val="20"/>
              </w:rPr>
              <w:t xml:space="preserve">ers of the </w:t>
            </w:r>
            <w:r w:rsidRPr="001F2A7D">
              <w:rPr>
                <w:rFonts w:ascii="Arial" w:hAnsi="Arial" w:cs="Arial"/>
                <w:i/>
                <w:sz w:val="20"/>
                <w:szCs w:val="20"/>
              </w:rPr>
              <w:t>ZIP</w:t>
            </w:r>
            <w:r w:rsidRPr="001F2A7D">
              <w:rPr>
                <w:rFonts w:ascii="Arial" w:hAnsi="Arial" w:cs="Arial"/>
                <w:sz w:val="20"/>
                <w:szCs w:val="20"/>
              </w:rPr>
              <w:t xml:space="preserve">, </w:t>
            </w:r>
            <w:r w:rsidRPr="001F2A7D">
              <w:rPr>
                <w:rFonts w:ascii="Arial" w:hAnsi="Arial" w:cs="Arial"/>
                <w:i/>
                <w:sz w:val="20"/>
                <w:szCs w:val="20"/>
              </w:rPr>
              <w:t>POT</w:t>
            </w:r>
            <w:r w:rsidRPr="001F2A7D">
              <w:rPr>
                <w:rFonts w:ascii="Arial" w:hAnsi="Arial" w:cs="Arial"/>
                <w:sz w:val="20"/>
                <w:szCs w:val="20"/>
              </w:rPr>
              <w:t xml:space="preserve">, and </w:t>
            </w:r>
            <w:r w:rsidRPr="001F2A7D">
              <w:rPr>
                <w:rFonts w:ascii="Arial" w:hAnsi="Arial" w:cs="Arial"/>
                <w:i/>
                <w:sz w:val="20"/>
                <w:szCs w:val="20"/>
              </w:rPr>
              <w:t>PHO</w:t>
            </w:r>
            <w:r w:rsidRPr="001F2A7D">
              <w:rPr>
                <w:rFonts w:ascii="Arial" w:hAnsi="Arial" w:cs="Arial"/>
                <w:sz w:val="20"/>
                <w:szCs w:val="20"/>
              </w:rPr>
              <w:t xml:space="preserve"> families, which coordinate iron and zinc uptake, translocation, and </w:t>
            </w:r>
            <w:proofErr w:type="spellStart"/>
            <w:r w:rsidRPr="001F2A7D">
              <w:rPr>
                <w:rFonts w:ascii="Arial" w:hAnsi="Arial" w:cs="Arial"/>
                <w:sz w:val="20"/>
                <w:szCs w:val="20"/>
              </w:rPr>
              <w:t>vacuolar</w:t>
            </w:r>
            <w:proofErr w:type="spellEnd"/>
            <w:r w:rsidRPr="001F2A7D">
              <w:rPr>
                <w:rFonts w:ascii="Arial" w:hAnsi="Arial" w:cs="Arial"/>
                <w:sz w:val="20"/>
                <w:szCs w:val="20"/>
              </w:rPr>
              <w:t xml:space="preserve"> sequestration (Anuradha et al., 2018).</w:t>
            </w:r>
          </w:p>
          <w:p w:rsidR="00C96901" w:rsidRPr="001F2A7D" w:rsidRDefault="00D73EBC">
            <w:pPr>
              <w:spacing w:before="240" w:after="120"/>
              <w:rPr>
                <w:rFonts w:ascii="Arial" w:hAnsi="Arial" w:cs="Arial"/>
                <w:sz w:val="20"/>
                <w:szCs w:val="20"/>
              </w:rPr>
            </w:pPr>
            <w:r w:rsidRPr="001F2A7D">
              <w:rPr>
                <w:rFonts w:ascii="Arial" w:hAnsi="Arial" w:cs="Arial"/>
                <w:sz w:val="20"/>
                <w:szCs w:val="20"/>
              </w:rPr>
              <w:t>Genetic mapping studies have identified significant associations between grain iron content and SSR markers RM2</w:t>
            </w:r>
            <w:r w:rsidRPr="001F2A7D">
              <w:rPr>
                <w:rFonts w:ascii="Arial" w:hAnsi="Arial" w:cs="Arial"/>
                <w:sz w:val="20"/>
                <w:szCs w:val="20"/>
              </w:rPr>
              <w:t xml:space="preserve">43 (qFe1.1), RM234 (qFe5.1), and RM517 (qFe8.1) in loci closely co-localized with genes encoding </w:t>
            </w:r>
            <w:proofErr w:type="spellStart"/>
            <w:r w:rsidRPr="001F2A7D">
              <w:rPr>
                <w:rFonts w:ascii="Arial" w:hAnsi="Arial" w:cs="Arial"/>
                <w:sz w:val="20"/>
                <w:szCs w:val="20"/>
              </w:rPr>
              <w:t>vacuolar</w:t>
            </w:r>
            <w:proofErr w:type="spellEnd"/>
            <w:r w:rsidRPr="001F2A7D">
              <w:rPr>
                <w:rFonts w:ascii="Arial" w:hAnsi="Arial" w:cs="Arial"/>
                <w:sz w:val="20"/>
                <w:szCs w:val="20"/>
              </w:rPr>
              <w:t xml:space="preserve"> iron transporters (</w:t>
            </w:r>
            <w:r w:rsidRPr="001F2A7D">
              <w:rPr>
                <w:rFonts w:ascii="Arial" w:hAnsi="Arial" w:cs="Arial"/>
                <w:i/>
                <w:sz w:val="20"/>
                <w:szCs w:val="20"/>
              </w:rPr>
              <w:t>OsVIT1/2</w:t>
            </w:r>
            <w:r w:rsidRPr="001F2A7D">
              <w:rPr>
                <w:rFonts w:ascii="Arial" w:hAnsi="Arial" w:cs="Arial"/>
                <w:sz w:val="20"/>
                <w:szCs w:val="20"/>
              </w:rPr>
              <w:t>) and NRAMPs (Pradhan et al., 2020; Swamy et al., 2021). Transcriptome and functional analyses indicate that the allelic di</w:t>
            </w:r>
            <w:r w:rsidRPr="001F2A7D">
              <w:rPr>
                <w:rFonts w:ascii="Arial" w:hAnsi="Arial" w:cs="Arial"/>
                <w:sz w:val="20"/>
                <w:szCs w:val="20"/>
              </w:rPr>
              <w:t xml:space="preserve">versity and up-regulated expression of these transporter genes in </w:t>
            </w:r>
            <w:proofErr w:type="spellStart"/>
            <w:r w:rsidRPr="001F2A7D">
              <w:rPr>
                <w:rFonts w:ascii="Arial" w:hAnsi="Arial" w:cs="Arial"/>
                <w:sz w:val="20"/>
                <w:szCs w:val="20"/>
              </w:rPr>
              <w:t>Chittimuthyalu</w:t>
            </w:r>
            <w:proofErr w:type="spellEnd"/>
            <w:r w:rsidRPr="001F2A7D">
              <w:rPr>
                <w:rFonts w:ascii="Arial" w:hAnsi="Arial" w:cs="Arial"/>
                <w:sz w:val="20"/>
                <w:szCs w:val="20"/>
              </w:rPr>
              <w:t xml:space="preserve"> enhance iron uptake, systemic remobilization, and storage in grain vacuoles (</w:t>
            </w:r>
            <w:proofErr w:type="spellStart"/>
            <w:r w:rsidRPr="001F2A7D">
              <w:rPr>
                <w:rFonts w:ascii="Arial" w:hAnsi="Arial" w:cs="Arial"/>
                <w:sz w:val="20"/>
                <w:szCs w:val="20"/>
              </w:rPr>
              <w:t>Kandwal</w:t>
            </w:r>
            <w:proofErr w:type="spellEnd"/>
            <w:r w:rsidRPr="001F2A7D">
              <w:rPr>
                <w:rFonts w:ascii="Arial" w:hAnsi="Arial" w:cs="Arial"/>
                <w:sz w:val="20"/>
                <w:szCs w:val="20"/>
              </w:rPr>
              <w:t xml:space="preserve"> et al., 2022; Ishimaru et al., 2012; Zhang et al., 2012). Recent functional genomics studi</w:t>
            </w:r>
            <w:r w:rsidRPr="001F2A7D">
              <w:rPr>
                <w:rFonts w:ascii="Arial" w:hAnsi="Arial" w:cs="Arial"/>
                <w:sz w:val="20"/>
                <w:szCs w:val="20"/>
              </w:rPr>
              <w:t>es have identified key genes such as OsMT2D, OsIRT1, OsNAS1/2/3, OsVIT2, and members of the NRAMP and YSL families as crucial regulators of iron and zinc accumulation in rice grains, providing a deeper understanding of the molecular mechanisms driving micr</w:t>
            </w:r>
            <w:r w:rsidRPr="001F2A7D">
              <w:rPr>
                <w:rFonts w:ascii="Arial" w:hAnsi="Arial" w:cs="Arial"/>
                <w:sz w:val="20"/>
                <w:szCs w:val="20"/>
              </w:rPr>
              <w:t>onutrient biofortification (</w:t>
            </w:r>
            <w:proofErr w:type="spellStart"/>
            <w:r w:rsidRPr="001F2A7D">
              <w:rPr>
                <w:rFonts w:ascii="Arial" w:hAnsi="Arial" w:cs="Arial"/>
                <w:sz w:val="20"/>
                <w:szCs w:val="20"/>
              </w:rPr>
              <w:t>Sonu</w:t>
            </w:r>
            <w:proofErr w:type="spellEnd"/>
            <w:r w:rsidRPr="001F2A7D">
              <w:rPr>
                <w:rFonts w:ascii="Arial" w:hAnsi="Arial" w:cs="Arial"/>
                <w:sz w:val="20"/>
                <w:szCs w:val="20"/>
              </w:rPr>
              <w:t xml:space="preserve"> et al., 2025)” </w:t>
            </w:r>
          </w:p>
          <w:p w:rsidR="00C96901" w:rsidRPr="001F2A7D" w:rsidRDefault="00D73EBC">
            <w:pPr>
              <w:spacing w:before="240" w:after="120"/>
              <w:rPr>
                <w:rFonts w:ascii="Arial" w:eastAsia="Roboto" w:hAnsi="Arial" w:cs="Arial"/>
                <w:sz w:val="20"/>
                <w:szCs w:val="20"/>
              </w:rPr>
            </w:pPr>
            <w:r w:rsidRPr="001F2A7D">
              <w:rPr>
                <w:rFonts w:ascii="Arial" w:eastAsia="Roboto" w:hAnsi="Arial" w:cs="Arial"/>
                <w:sz w:val="20"/>
                <w:szCs w:val="20"/>
              </w:rPr>
              <w:t>References cited:</w:t>
            </w:r>
          </w:p>
          <w:p w:rsidR="00C96901" w:rsidRPr="001F2A7D" w:rsidRDefault="00D73EBC">
            <w:pPr>
              <w:spacing w:before="240" w:after="120"/>
              <w:rPr>
                <w:rFonts w:ascii="Arial" w:eastAsia="Roboto" w:hAnsi="Arial" w:cs="Arial"/>
                <w:color w:val="1155CC"/>
                <w:sz w:val="20"/>
                <w:szCs w:val="20"/>
              </w:rPr>
            </w:pPr>
            <w:r w:rsidRPr="001F2A7D">
              <w:rPr>
                <w:rFonts w:ascii="Arial" w:eastAsia="Roboto" w:hAnsi="Arial" w:cs="Arial"/>
                <w:sz w:val="20"/>
                <w:szCs w:val="20"/>
              </w:rPr>
              <w:t xml:space="preserve">Anuradha, K., Agarwal, S., </w:t>
            </w:r>
            <w:proofErr w:type="spellStart"/>
            <w:r w:rsidRPr="001F2A7D">
              <w:rPr>
                <w:rFonts w:ascii="Arial" w:eastAsia="Roboto" w:hAnsi="Arial" w:cs="Arial"/>
                <w:sz w:val="20"/>
                <w:szCs w:val="20"/>
              </w:rPr>
              <w:t>Batchu</w:t>
            </w:r>
            <w:proofErr w:type="spellEnd"/>
            <w:r w:rsidRPr="001F2A7D">
              <w:rPr>
                <w:rFonts w:ascii="Arial" w:eastAsia="Roboto" w:hAnsi="Arial" w:cs="Arial"/>
                <w:sz w:val="20"/>
                <w:szCs w:val="20"/>
              </w:rPr>
              <w:t xml:space="preserve">, A. K., Prasad </w:t>
            </w:r>
            <w:proofErr w:type="spellStart"/>
            <w:r w:rsidRPr="001F2A7D">
              <w:rPr>
                <w:rFonts w:ascii="Arial" w:eastAsia="Roboto" w:hAnsi="Arial" w:cs="Arial"/>
                <w:sz w:val="20"/>
                <w:szCs w:val="20"/>
              </w:rPr>
              <w:t>Babu</w:t>
            </w:r>
            <w:proofErr w:type="spellEnd"/>
            <w:r w:rsidRPr="001F2A7D">
              <w:rPr>
                <w:rFonts w:ascii="Arial" w:eastAsia="Roboto" w:hAnsi="Arial" w:cs="Arial"/>
                <w:sz w:val="20"/>
                <w:szCs w:val="20"/>
              </w:rPr>
              <w:t xml:space="preserve">, A., Swamy, B. P. M., </w:t>
            </w:r>
            <w:proofErr w:type="spellStart"/>
            <w:r w:rsidRPr="001F2A7D">
              <w:rPr>
                <w:rFonts w:ascii="Arial" w:eastAsia="Roboto" w:hAnsi="Arial" w:cs="Arial"/>
                <w:sz w:val="20"/>
                <w:szCs w:val="20"/>
              </w:rPr>
              <w:t>Longvah</w:t>
            </w:r>
            <w:proofErr w:type="spellEnd"/>
            <w:r w:rsidRPr="001F2A7D">
              <w:rPr>
                <w:rFonts w:ascii="Arial" w:eastAsia="Roboto" w:hAnsi="Arial" w:cs="Arial"/>
                <w:sz w:val="20"/>
                <w:szCs w:val="20"/>
              </w:rPr>
              <w:t xml:space="preserve">, T., &amp; </w:t>
            </w:r>
            <w:proofErr w:type="spellStart"/>
            <w:r w:rsidRPr="001F2A7D">
              <w:rPr>
                <w:rFonts w:ascii="Arial" w:eastAsia="Roboto" w:hAnsi="Arial" w:cs="Arial"/>
                <w:sz w:val="20"/>
                <w:szCs w:val="20"/>
              </w:rPr>
              <w:t>Sarla</w:t>
            </w:r>
            <w:proofErr w:type="spellEnd"/>
            <w:r w:rsidRPr="001F2A7D">
              <w:rPr>
                <w:rFonts w:ascii="Arial" w:eastAsia="Roboto" w:hAnsi="Arial" w:cs="Arial"/>
                <w:sz w:val="20"/>
                <w:szCs w:val="20"/>
              </w:rPr>
              <w:t xml:space="preserve">, N. (2018). Transporter genes identified in landraces associated with high zinc in polished </w:t>
            </w:r>
            <w:r w:rsidRPr="001F2A7D">
              <w:rPr>
                <w:rFonts w:ascii="Arial" w:eastAsia="Roboto" w:hAnsi="Arial" w:cs="Arial"/>
                <w:sz w:val="20"/>
                <w:szCs w:val="20"/>
              </w:rPr>
              <w:t xml:space="preserve">rice through panicle transcriptome for biofortification. </w:t>
            </w:r>
            <w:r w:rsidRPr="001F2A7D">
              <w:rPr>
                <w:rFonts w:ascii="Arial" w:eastAsia="Roboto" w:hAnsi="Arial" w:cs="Arial"/>
                <w:i/>
                <w:sz w:val="20"/>
                <w:szCs w:val="20"/>
              </w:rPr>
              <w:t>PLOS ONE</w:t>
            </w:r>
            <w:r w:rsidRPr="001F2A7D">
              <w:rPr>
                <w:rFonts w:ascii="Arial" w:eastAsia="Roboto" w:hAnsi="Arial" w:cs="Arial"/>
                <w:sz w:val="20"/>
                <w:szCs w:val="20"/>
              </w:rPr>
              <w:t xml:space="preserve">, 13(2), e0192362. </w:t>
            </w:r>
            <w:r w:rsidRPr="001F2A7D">
              <w:rPr>
                <w:rFonts w:ascii="Arial" w:hAnsi="Arial" w:cs="Arial"/>
                <w:sz w:val="20"/>
                <w:szCs w:val="20"/>
              </w:rPr>
              <w:fldChar w:fldCharType="begin"/>
            </w:r>
            <w:r w:rsidRPr="001F2A7D">
              <w:rPr>
                <w:rFonts w:ascii="Arial" w:hAnsi="Arial" w:cs="Arial"/>
                <w:sz w:val="20"/>
                <w:szCs w:val="20"/>
              </w:rPr>
              <w:instrText xml:space="preserve"> HYPERLINK "https://doi.org/10.1371/journal.pone.0192362" </w:instrText>
            </w:r>
            <w:r w:rsidRPr="001F2A7D">
              <w:rPr>
                <w:rFonts w:ascii="Arial" w:hAnsi="Arial" w:cs="Arial"/>
                <w:sz w:val="20"/>
                <w:szCs w:val="20"/>
              </w:rPr>
              <w:fldChar w:fldCharType="separate"/>
            </w:r>
            <w:r w:rsidRPr="001F2A7D">
              <w:rPr>
                <w:rFonts w:ascii="Arial" w:eastAsia="Roboto" w:hAnsi="Arial" w:cs="Arial"/>
                <w:color w:val="1155CC"/>
                <w:sz w:val="20"/>
                <w:szCs w:val="20"/>
              </w:rPr>
              <w:t>https://doi.org/10.1371/journal.pone.0192362</w:t>
            </w:r>
          </w:p>
          <w:p w:rsidR="00C96901" w:rsidRPr="001F2A7D" w:rsidRDefault="00D73EBC">
            <w:pPr>
              <w:spacing w:before="240" w:after="120"/>
              <w:rPr>
                <w:rFonts w:ascii="Arial" w:eastAsia="Roboto" w:hAnsi="Arial" w:cs="Arial"/>
                <w:color w:val="1155CC"/>
                <w:sz w:val="20"/>
                <w:szCs w:val="20"/>
              </w:rPr>
            </w:pPr>
            <w:r w:rsidRPr="001F2A7D">
              <w:rPr>
                <w:rFonts w:ascii="Arial" w:hAnsi="Arial" w:cs="Arial"/>
                <w:sz w:val="20"/>
                <w:szCs w:val="20"/>
              </w:rPr>
              <w:fldChar w:fldCharType="end"/>
            </w:r>
            <w:r w:rsidRPr="001F2A7D">
              <w:rPr>
                <w:rFonts w:ascii="Arial" w:eastAsia="Roboto" w:hAnsi="Arial" w:cs="Arial"/>
                <w:sz w:val="20"/>
                <w:szCs w:val="20"/>
              </w:rPr>
              <w:t xml:space="preserve">Gregorio, G. B., </w:t>
            </w:r>
            <w:proofErr w:type="spellStart"/>
            <w:r w:rsidRPr="001F2A7D">
              <w:rPr>
                <w:rFonts w:ascii="Arial" w:eastAsia="Roboto" w:hAnsi="Arial" w:cs="Arial"/>
                <w:sz w:val="20"/>
                <w:szCs w:val="20"/>
              </w:rPr>
              <w:t>Senadhira</w:t>
            </w:r>
            <w:proofErr w:type="spellEnd"/>
            <w:r w:rsidRPr="001F2A7D">
              <w:rPr>
                <w:rFonts w:ascii="Arial" w:eastAsia="Roboto" w:hAnsi="Arial" w:cs="Arial"/>
                <w:sz w:val="20"/>
                <w:szCs w:val="20"/>
              </w:rPr>
              <w:t xml:space="preserve">, D., </w:t>
            </w:r>
            <w:proofErr w:type="spellStart"/>
            <w:r w:rsidRPr="001F2A7D">
              <w:rPr>
                <w:rFonts w:ascii="Arial" w:eastAsia="Roboto" w:hAnsi="Arial" w:cs="Arial"/>
                <w:sz w:val="20"/>
                <w:szCs w:val="20"/>
              </w:rPr>
              <w:t>Htut</w:t>
            </w:r>
            <w:proofErr w:type="spellEnd"/>
            <w:r w:rsidRPr="001F2A7D">
              <w:rPr>
                <w:rFonts w:ascii="Arial" w:eastAsia="Roboto" w:hAnsi="Arial" w:cs="Arial"/>
                <w:sz w:val="20"/>
                <w:szCs w:val="20"/>
              </w:rPr>
              <w:t xml:space="preserve">, H., &amp; Graham, R. D. (2000). Breeding for trace mineral density in rice. </w:t>
            </w:r>
            <w:r w:rsidRPr="001F2A7D">
              <w:rPr>
                <w:rFonts w:ascii="Arial" w:eastAsia="Roboto" w:hAnsi="Arial" w:cs="Arial"/>
                <w:i/>
                <w:sz w:val="20"/>
                <w:szCs w:val="20"/>
              </w:rPr>
              <w:t>Plant Foods for Human Nutrition</w:t>
            </w:r>
            <w:r w:rsidRPr="001F2A7D">
              <w:rPr>
                <w:rFonts w:ascii="Arial" w:eastAsia="Roboto" w:hAnsi="Arial" w:cs="Arial"/>
                <w:sz w:val="20"/>
                <w:szCs w:val="20"/>
              </w:rPr>
              <w:t>, 55(4), 399–404.</w:t>
            </w:r>
            <w:r w:rsidRPr="001F2A7D">
              <w:rPr>
                <w:rFonts w:ascii="Arial" w:hAnsi="Arial" w:cs="Arial"/>
                <w:sz w:val="20"/>
                <w:szCs w:val="20"/>
              </w:rPr>
              <w:fldChar w:fldCharType="begin"/>
            </w:r>
            <w:r w:rsidRPr="001F2A7D">
              <w:rPr>
                <w:rFonts w:ascii="Arial" w:hAnsi="Arial" w:cs="Arial"/>
                <w:sz w:val="20"/>
                <w:szCs w:val="20"/>
              </w:rPr>
              <w:instrText xml:space="preserve"> HYPERLINK "https://doi.org/10.1023/A:1008194204896" </w:instrText>
            </w:r>
            <w:r w:rsidRPr="001F2A7D">
              <w:rPr>
                <w:rFonts w:ascii="Arial" w:hAnsi="Arial" w:cs="Arial"/>
                <w:sz w:val="20"/>
                <w:szCs w:val="20"/>
              </w:rPr>
              <w:fldChar w:fldCharType="separate"/>
            </w:r>
            <w:r w:rsidRPr="001F2A7D">
              <w:rPr>
                <w:rFonts w:ascii="Arial" w:eastAsia="Roboto" w:hAnsi="Arial" w:cs="Arial"/>
                <w:color w:val="1155CC"/>
                <w:sz w:val="20"/>
                <w:szCs w:val="20"/>
              </w:rPr>
              <w:t>https://doi.org/10.1023/A:1008194204896</w:t>
            </w:r>
          </w:p>
          <w:p w:rsidR="00C96901" w:rsidRPr="001F2A7D" w:rsidRDefault="00D73EBC">
            <w:pPr>
              <w:spacing w:before="240" w:after="120"/>
              <w:rPr>
                <w:rFonts w:ascii="Arial" w:eastAsia="Roboto" w:hAnsi="Arial" w:cs="Arial"/>
                <w:color w:val="1155CC"/>
                <w:sz w:val="20"/>
                <w:szCs w:val="20"/>
              </w:rPr>
            </w:pPr>
            <w:r w:rsidRPr="001F2A7D">
              <w:rPr>
                <w:rFonts w:ascii="Arial" w:hAnsi="Arial" w:cs="Arial"/>
                <w:sz w:val="20"/>
                <w:szCs w:val="20"/>
              </w:rPr>
              <w:fldChar w:fldCharType="end"/>
            </w:r>
            <w:r w:rsidRPr="001F2A7D">
              <w:rPr>
                <w:rFonts w:ascii="Arial" w:eastAsia="Roboto" w:hAnsi="Arial" w:cs="Arial"/>
                <w:sz w:val="20"/>
                <w:szCs w:val="20"/>
              </w:rPr>
              <w:t>Is</w:t>
            </w:r>
            <w:r w:rsidRPr="001F2A7D">
              <w:rPr>
                <w:rFonts w:ascii="Arial" w:eastAsia="Roboto" w:hAnsi="Arial" w:cs="Arial"/>
                <w:sz w:val="20"/>
                <w:szCs w:val="20"/>
              </w:rPr>
              <w:t xml:space="preserve">himaru, Y., Bashir, K., Nakanishi, H., &amp; Nishizawa, N. K. (2012). OsNRAMP5, a major player for constitutive iron and manganese uptake in rice. </w:t>
            </w:r>
            <w:r w:rsidRPr="001F2A7D">
              <w:rPr>
                <w:rFonts w:ascii="Arial" w:eastAsia="Roboto" w:hAnsi="Arial" w:cs="Arial"/>
                <w:i/>
                <w:sz w:val="20"/>
                <w:szCs w:val="20"/>
              </w:rPr>
              <w:t>Rice</w:t>
            </w:r>
            <w:r w:rsidRPr="001F2A7D">
              <w:rPr>
                <w:rFonts w:ascii="Arial" w:eastAsia="Roboto" w:hAnsi="Arial" w:cs="Arial"/>
                <w:sz w:val="20"/>
                <w:szCs w:val="20"/>
              </w:rPr>
              <w:t xml:space="preserve">, 5, 19. </w:t>
            </w:r>
            <w:r w:rsidRPr="001F2A7D">
              <w:rPr>
                <w:rFonts w:ascii="Arial" w:hAnsi="Arial" w:cs="Arial"/>
                <w:sz w:val="20"/>
                <w:szCs w:val="20"/>
              </w:rPr>
              <w:fldChar w:fldCharType="begin"/>
            </w:r>
            <w:r w:rsidRPr="001F2A7D">
              <w:rPr>
                <w:rFonts w:ascii="Arial" w:hAnsi="Arial" w:cs="Arial"/>
                <w:sz w:val="20"/>
                <w:szCs w:val="20"/>
              </w:rPr>
              <w:instrText xml:space="preserve"> HYPERLINK "https://doi.org/10.1186/1939-8433-5-19" </w:instrText>
            </w:r>
            <w:r w:rsidRPr="001F2A7D">
              <w:rPr>
                <w:rFonts w:ascii="Arial" w:hAnsi="Arial" w:cs="Arial"/>
                <w:sz w:val="20"/>
                <w:szCs w:val="20"/>
              </w:rPr>
              <w:fldChar w:fldCharType="separate"/>
            </w:r>
            <w:r w:rsidRPr="001F2A7D">
              <w:rPr>
                <w:rFonts w:ascii="Arial" w:eastAsia="Roboto" w:hAnsi="Arial" w:cs="Arial"/>
                <w:color w:val="1155CC"/>
                <w:sz w:val="20"/>
                <w:szCs w:val="20"/>
              </w:rPr>
              <w:t>https://doi.org/10.1186/1939-8433-5-19</w:t>
            </w:r>
          </w:p>
          <w:p w:rsidR="00C96901" w:rsidRPr="001F2A7D" w:rsidRDefault="00D73EBC">
            <w:pPr>
              <w:spacing w:before="240" w:after="120"/>
              <w:rPr>
                <w:rFonts w:ascii="Arial" w:eastAsia="Roboto" w:hAnsi="Arial" w:cs="Arial"/>
                <w:color w:val="1155CC"/>
                <w:sz w:val="20"/>
                <w:szCs w:val="20"/>
              </w:rPr>
            </w:pPr>
            <w:r w:rsidRPr="001F2A7D">
              <w:rPr>
                <w:rFonts w:ascii="Arial" w:hAnsi="Arial" w:cs="Arial"/>
                <w:sz w:val="20"/>
                <w:szCs w:val="20"/>
              </w:rPr>
              <w:fldChar w:fldCharType="end"/>
            </w:r>
            <w:proofErr w:type="spellStart"/>
            <w:r w:rsidRPr="001F2A7D">
              <w:rPr>
                <w:rFonts w:ascii="Arial" w:eastAsia="Roboto" w:hAnsi="Arial" w:cs="Arial"/>
                <w:sz w:val="20"/>
                <w:szCs w:val="20"/>
              </w:rPr>
              <w:t>Kandwa</w:t>
            </w:r>
            <w:r w:rsidRPr="001F2A7D">
              <w:rPr>
                <w:rFonts w:ascii="Arial" w:eastAsia="Roboto" w:hAnsi="Arial" w:cs="Arial"/>
                <w:sz w:val="20"/>
                <w:szCs w:val="20"/>
              </w:rPr>
              <w:t>l</w:t>
            </w:r>
            <w:proofErr w:type="spellEnd"/>
            <w:r w:rsidRPr="001F2A7D">
              <w:rPr>
                <w:rFonts w:ascii="Arial" w:eastAsia="Roboto" w:hAnsi="Arial" w:cs="Arial"/>
                <w:sz w:val="20"/>
                <w:szCs w:val="20"/>
              </w:rPr>
              <w:t xml:space="preserve">, P., Kumar, A., &amp; Singh, U. (2022). OsVIT2 mutation increases Fe and Zn of grain without yield penalty in rice. </w:t>
            </w:r>
            <w:r w:rsidRPr="001F2A7D">
              <w:rPr>
                <w:rFonts w:ascii="Arial" w:eastAsia="Roboto" w:hAnsi="Arial" w:cs="Arial"/>
                <w:i/>
                <w:sz w:val="20"/>
                <w:szCs w:val="20"/>
              </w:rPr>
              <w:t>Frontiers in Plant Science</w:t>
            </w:r>
            <w:r w:rsidRPr="001F2A7D">
              <w:rPr>
                <w:rFonts w:ascii="Arial" w:eastAsia="Roboto" w:hAnsi="Arial" w:cs="Arial"/>
                <w:sz w:val="20"/>
                <w:szCs w:val="20"/>
              </w:rPr>
              <w:t xml:space="preserve">, 13, 868661. </w:t>
            </w:r>
            <w:r w:rsidRPr="001F2A7D">
              <w:rPr>
                <w:rFonts w:ascii="Arial" w:hAnsi="Arial" w:cs="Arial"/>
                <w:sz w:val="20"/>
                <w:szCs w:val="20"/>
              </w:rPr>
              <w:fldChar w:fldCharType="begin"/>
            </w:r>
            <w:r w:rsidRPr="001F2A7D">
              <w:rPr>
                <w:rFonts w:ascii="Arial" w:hAnsi="Arial" w:cs="Arial"/>
                <w:sz w:val="20"/>
                <w:szCs w:val="20"/>
              </w:rPr>
              <w:instrText xml:space="preserve"> HYPERLINK "https://doi.org/10.3389/fpls.2022.868661" </w:instrText>
            </w:r>
            <w:r w:rsidRPr="001F2A7D">
              <w:rPr>
                <w:rFonts w:ascii="Arial" w:hAnsi="Arial" w:cs="Arial"/>
                <w:sz w:val="20"/>
                <w:szCs w:val="20"/>
              </w:rPr>
              <w:fldChar w:fldCharType="separate"/>
            </w:r>
            <w:r w:rsidRPr="001F2A7D">
              <w:rPr>
                <w:rFonts w:ascii="Arial" w:eastAsia="Roboto" w:hAnsi="Arial" w:cs="Arial"/>
                <w:color w:val="1155CC"/>
                <w:sz w:val="20"/>
                <w:szCs w:val="20"/>
              </w:rPr>
              <w:t>https://doi.org/10.3389/fpls.2022.868661</w:t>
            </w:r>
          </w:p>
          <w:p w:rsidR="00C96901" w:rsidRPr="001F2A7D" w:rsidRDefault="00D73EBC">
            <w:pPr>
              <w:spacing w:before="240" w:after="120"/>
              <w:rPr>
                <w:rFonts w:ascii="Arial" w:hAnsi="Arial" w:cs="Arial"/>
                <w:sz w:val="20"/>
                <w:szCs w:val="20"/>
              </w:rPr>
            </w:pPr>
            <w:r w:rsidRPr="001F2A7D">
              <w:rPr>
                <w:rFonts w:ascii="Arial" w:hAnsi="Arial" w:cs="Arial"/>
                <w:sz w:val="20"/>
                <w:szCs w:val="20"/>
              </w:rPr>
              <w:fldChar w:fldCharType="end"/>
            </w:r>
            <w:r w:rsidRPr="001F2A7D">
              <w:rPr>
                <w:rFonts w:ascii="Arial" w:eastAsia="Roboto" w:hAnsi="Arial" w:cs="Arial"/>
                <w:sz w:val="20"/>
                <w:szCs w:val="20"/>
              </w:rPr>
              <w:t>Prad</w:t>
            </w:r>
            <w:r w:rsidRPr="001F2A7D">
              <w:rPr>
                <w:rFonts w:ascii="Arial" w:eastAsia="Roboto" w:hAnsi="Arial" w:cs="Arial"/>
                <w:sz w:val="20"/>
                <w:szCs w:val="20"/>
              </w:rPr>
              <w:t xml:space="preserve">han, S. K., Pandit, E., </w:t>
            </w:r>
            <w:proofErr w:type="spellStart"/>
            <w:r w:rsidRPr="001F2A7D">
              <w:rPr>
                <w:rFonts w:ascii="Arial" w:eastAsia="Roboto" w:hAnsi="Arial" w:cs="Arial"/>
                <w:sz w:val="20"/>
                <w:szCs w:val="20"/>
              </w:rPr>
              <w:t>Pawar</w:t>
            </w:r>
            <w:proofErr w:type="spellEnd"/>
            <w:r w:rsidRPr="001F2A7D">
              <w:rPr>
                <w:rFonts w:ascii="Arial" w:eastAsia="Roboto" w:hAnsi="Arial" w:cs="Arial"/>
                <w:sz w:val="20"/>
                <w:szCs w:val="20"/>
              </w:rPr>
              <w:t xml:space="preserve">, S., et al. (2020). Linkage disequilibrium mapping for grain Fe and Zn enhancing QTLs useful for nutrient dense rice breeding. </w:t>
            </w:r>
            <w:r w:rsidRPr="001F2A7D">
              <w:rPr>
                <w:rFonts w:ascii="Arial" w:eastAsia="Roboto" w:hAnsi="Arial" w:cs="Arial"/>
                <w:i/>
                <w:sz w:val="20"/>
                <w:szCs w:val="20"/>
              </w:rPr>
              <w:t>BMC Plant Biology</w:t>
            </w:r>
            <w:r w:rsidRPr="001F2A7D">
              <w:rPr>
                <w:rFonts w:ascii="Arial" w:eastAsia="Roboto" w:hAnsi="Arial" w:cs="Arial"/>
                <w:sz w:val="20"/>
                <w:szCs w:val="20"/>
              </w:rPr>
              <w:t xml:space="preserve">, 20, 413. </w:t>
            </w:r>
            <w:hyperlink r:id="rId9">
              <w:r w:rsidRPr="001F2A7D">
                <w:rPr>
                  <w:rFonts w:ascii="Arial" w:eastAsia="Roboto" w:hAnsi="Arial" w:cs="Arial"/>
                  <w:color w:val="1155CC"/>
                  <w:sz w:val="20"/>
                  <w:szCs w:val="20"/>
                </w:rPr>
                <w:t>https://d</w:t>
              </w:r>
              <w:r w:rsidRPr="001F2A7D">
                <w:rPr>
                  <w:rFonts w:ascii="Arial" w:eastAsia="Roboto" w:hAnsi="Arial" w:cs="Arial"/>
                  <w:color w:val="1155CC"/>
                  <w:sz w:val="20"/>
                  <w:szCs w:val="20"/>
                </w:rPr>
                <w:t>oi.org/10.1186/s12870-020-02685-3</w:t>
              </w:r>
            </w:hyperlink>
          </w:p>
          <w:p w:rsidR="00C96901" w:rsidRPr="001F2A7D" w:rsidRDefault="00D73EBC">
            <w:pPr>
              <w:spacing w:before="240" w:after="120"/>
              <w:rPr>
                <w:rFonts w:ascii="Arial" w:eastAsia="Roboto" w:hAnsi="Arial" w:cs="Arial"/>
                <w:color w:val="1155CC"/>
                <w:sz w:val="20"/>
                <w:szCs w:val="20"/>
              </w:rPr>
            </w:pPr>
            <w:proofErr w:type="spellStart"/>
            <w:r w:rsidRPr="001F2A7D">
              <w:rPr>
                <w:rFonts w:ascii="Arial" w:eastAsia="Roboto" w:hAnsi="Arial" w:cs="Arial"/>
                <w:sz w:val="20"/>
                <w:szCs w:val="20"/>
              </w:rPr>
              <w:t>Sonu</w:t>
            </w:r>
            <w:proofErr w:type="spellEnd"/>
            <w:r w:rsidRPr="001F2A7D">
              <w:rPr>
                <w:rFonts w:ascii="Arial" w:eastAsia="Roboto" w:hAnsi="Arial" w:cs="Arial"/>
                <w:sz w:val="20"/>
                <w:szCs w:val="20"/>
              </w:rPr>
              <w:t xml:space="preserve">, K. A., Singh, V. J., </w:t>
            </w:r>
            <w:proofErr w:type="spellStart"/>
            <w:r w:rsidRPr="001F2A7D">
              <w:rPr>
                <w:rFonts w:ascii="Arial" w:eastAsia="Roboto" w:hAnsi="Arial" w:cs="Arial"/>
                <w:sz w:val="20"/>
                <w:szCs w:val="20"/>
              </w:rPr>
              <w:t>Bhowmick</w:t>
            </w:r>
            <w:proofErr w:type="spellEnd"/>
            <w:r w:rsidRPr="001F2A7D">
              <w:rPr>
                <w:rFonts w:ascii="Arial" w:eastAsia="Roboto" w:hAnsi="Arial" w:cs="Arial"/>
                <w:sz w:val="20"/>
                <w:szCs w:val="20"/>
              </w:rPr>
              <w:t xml:space="preserve">, P. K., Nandakumar, S., Yadav, S., Krishnan, S. G., </w:t>
            </w:r>
            <w:proofErr w:type="spellStart"/>
            <w:r w:rsidRPr="001F2A7D">
              <w:rPr>
                <w:rFonts w:ascii="Arial" w:eastAsia="Roboto" w:hAnsi="Arial" w:cs="Arial"/>
                <w:sz w:val="20"/>
                <w:szCs w:val="20"/>
              </w:rPr>
              <w:t>Ellur</w:t>
            </w:r>
            <w:proofErr w:type="spellEnd"/>
            <w:r w:rsidRPr="001F2A7D">
              <w:rPr>
                <w:rFonts w:ascii="Arial" w:eastAsia="Roboto" w:hAnsi="Arial" w:cs="Arial"/>
                <w:sz w:val="20"/>
                <w:szCs w:val="20"/>
              </w:rPr>
              <w:t xml:space="preserve">, R. K., </w:t>
            </w:r>
            <w:proofErr w:type="spellStart"/>
            <w:r w:rsidRPr="001F2A7D">
              <w:rPr>
                <w:rFonts w:ascii="Arial" w:eastAsia="Roboto" w:hAnsi="Arial" w:cs="Arial"/>
                <w:sz w:val="20"/>
                <w:szCs w:val="20"/>
              </w:rPr>
              <w:t>Bollinedi</w:t>
            </w:r>
            <w:proofErr w:type="spellEnd"/>
            <w:r w:rsidRPr="001F2A7D">
              <w:rPr>
                <w:rFonts w:ascii="Arial" w:eastAsia="Roboto" w:hAnsi="Arial" w:cs="Arial"/>
                <w:sz w:val="20"/>
                <w:szCs w:val="20"/>
              </w:rPr>
              <w:t>, H., Singh, A. K., &amp; Vinod, K. K. (2025) Genome-wide association analysis of grain iron and zinc in rice grown</w:t>
            </w:r>
            <w:r w:rsidRPr="001F2A7D">
              <w:rPr>
                <w:rFonts w:ascii="Arial" w:eastAsia="Roboto" w:hAnsi="Arial" w:cs="Arial"/>
                <w:sz w:val="20"/>
                <w:szCs w:val="20"/>
              </w:rPr>
              <w:t xml:space="preserve"> under agroclimatic sites with contrasting soil iron status. </w:t>
            </w:r>
            <w:r w:rsidRPr="001F2A7D">
              <w:rPr>
                <w:rFonts w:ascii="Arial" w:eastAsia="Roboto" w:hAnsi="Arial" w:cs="Arial"/>
                <w:i/>
                <w:sz w:val="20"/>
                <w:szCs w:val="20"/>
              </w:rPr>
              <w:t>Front. Plant Sci,</w:t>
            </w:r>
            <w:r w:rsidRPr="001F2A7D">
              <w:rPr>
                <w:rFonts w:ascii="Arial" w:eastAsia="Roboto" w:hAnsi="Arial" w:cs="Arial"/>
                <w:sz w:val="20"/>
                <w:szCs w:val="20"/>
              </w:rPr>
              <w:t xml:space="preserve"> 16:1501878. </w:t>
            </w:r>
            <w:proofErr w:type="spellStart"/>
            <w:r w:rsidRPr="001F2A7D">
              <w:rPr>
                <w:rFonts w:ascii="Arial" w:eastAsia="Roboto" w:hAnsi="Arial" w:cs="Arial"/>
                <w:sz w:val="20"/>
                <w:szCs w:val="20"/>
              </w:rPr>
              <w:t>doi</w:t>
            </w:r>
            <w:proofErr w:type="spellEnd"/>
            <w:r w:rsidRPr="001F2A7D">
              <w:rPr>
                <w:rFonts w:ascii="Arial" w:eastAsia="Roboto" w:hAnsi="Arial" w:cs="Arial"/>
                <w:sz w:val="20"/>
                <w:szCs w:val="20"/>
              </w:rPr>
              <w:t>: 10.3389/fpls.2025.1501878</w:t>
            </w:r>
            <w:r w:rsidRPr="001F2A7D">
              <w:rPr>
                <w:rFonts w:ascii="Arial" w:hAnsi="Arial" w:cs="Arial"/>
                <w:sz w:val="20"/>
                <w:szCs w:val="20"/>
              </w:rPr>
              <w:fldChar w:fldCharType="begin"/>
            </w:r>
            <w:r w:rsidRPr="001F2A7D">
              <w:rPr>
                <w:rFonts w:ascii="Arial" w:hAnsi="Arial" w:cs="Arial"/>
                <w:sz w:val="20"/>
                <w:szCs w:val="20"/>
              </w:rPr>
              <w:instrText xml:space="preserve"> HYPERLINK "https://doi.org/10.1186/s12870-020-02685-3" </w:instrText>
            </w:r>
            <w:r w:rsidRPr="001F2A7D">
              <w:rPr>
                <w:rFonts w:ascii="Arial" w:hAnsi="Arial" w:cs="Arial"/>
                <w:sz w:val="20"/>
                <w:szCs w:val="20"/>
              </w:rPr>
              <w:fldChar w:fldCharType="separate"/>
            </w:r>
          </w:p>
          <w:p w:rsidR="00C96901" w:rsidRPr="001F2A7D" w:rsidRDefault="00D73EBC">
            <w:pPr>
              <w:spacing w:before="240" w:after="120"/>
              <w:rPr>
                <w:rFonts w:ascii="Arial" w:eastAsia="Roboto" w:hAnsi="Arial" w:cs="Arial"/>
                <w:color w:val="1155CC"/>
                <w:sz w:val="20"/>
                <w:szCs w:val="20"/>
              </w:rPr>
            </w:pPr>
            <w:r w:rsidRPr="001F2A7D">
              <w:rPr>
                <w:rFonts w:ascii="Arial" w:hAnsi="Arial" w:cs="Arial"/>
                <w:sz w:val="20"/>
                <w:szCs w:val="20"/>
              </w:rPr>
              <w:fldChar w:fldCharType="end"/>
            </w:r>
            <w:r w:rsidRPr="001F2A7D">
              <w:rPr>
                <w:rFonts w:ascii="Arial" w:eastAsia="Roboto" w:hAnsi="Arial" w:cs="Arial"/>
                <w:sz w:val="20"/>
                <w:szCs w:val="20"/>
              </w:rPr>
              <w:t xml:space="preserve">Swamy, B. P. M., Rahman, M. A., </w:t>
            </w:r>
            <w:proofErr w:type="spellStart"/>
            <w:r w:rsidRPr="001F2A7D">
              <w:rPr>
                <w:rFonts w:ascii="Arial" w:eastAsia="Roboto" w:hAnsi="Arial" w:cs="Arial"/>
                <w:sz w:val="20"/>
                <w:szCs w:val="20"/>
              </w:rPr>
              <w:t>Inabangan-Asilo</w:t>
            </w:r>
            <w:proofErr w:type="spellEnd"/>
            <w:r w:rsidRPr="001F2A7D">
              <w:rPr>
                <w:rFonts w:ascii="Arial" w:eastAsia="Roboto" w:hAnsi="Arial" w:cs="Arial"/>
                <w:sz w:val="20"/>
                <w:szCs w:val="20"/>
              </w:rPr>
              <w:t>, M. A., et al. (2021). Iron</w:t>
            </w:r>
            <w:r w:rsidRPr="001F2A7D">
              <w:rPr>
                <w:rFonts w:ascii="Arial" w:eastAsia="Roboto" w:hAnsi="Arial" w:cs="Arial"/>
                <w:sz w:val="20"/>
                <w:szCs w:val="20"/>
              </w:rPr>
              <w:t xml:space="preserve"> biofortification in rice: an update on quantitative trait loci, genes, and breeding strategies. </w:t>
            </w:r>
            <w:r w:rsidRPr="001F2A7D">
              <w:rPr>
                <w:rFonts w:ascii="Arial" w:eastAsia="Roboto" w:hAnsi="Arial" w:cs="Arial"/>
                <w:i/>
                <w:sz w:val="20"/>
                <w:szCs w:val="20"/>
              </w:rPr>
              <w:t>Frontiers in Plant Science</w:t>
            </w:r>
            <w:r w:rsidRPr="001F2A7D">
              <w:rPr>
                <w:rFonts w:ascii="Arial" w:eastAsia="Roboto" w:hAnsi="Arial" w:cs="Arial"/>
                <w:sz w:val="20"/>
                <w:szCs w:val="20"/>
              </w:rPr>
              <w:t>, 12, 797141.</w:t>
            </w:r>
            <w:r w:rsidRPr="001F2A7D">
              <w:rPr>
                <w:rFonts w:ascii="Arial" w:hAnsi="Arial" w:cs="Arial"/>
                <w:sz w:val="20"/>
                <w:szCs w:val="20"/>
              </w:rPr>
              <w:fldChar w:fldCharType="begin"/>
            </w:r>
            <w:r w:rsidRPr="001F2A7D">
              <w:rPr>
                <w:rFonts w:ascii="Arial" w:hAnsi="Arial" w:cs="Arial"/>
                <w:sz w:val="20"/>
                <w:szCs w:val="20"/>
              </w:rPr>
              <w:instrText xml:space="preserve"> HYPERLINK "https://doi.org/10.3389/fpls.2021.797141" </w:instrText>
            </w:r>
            <w:r w:rsidRPr="001F2A7D">
              <w:rPr>
                <w:rFonts w:ascii="Arial" w:hAnsi="Arial" w:cs="Arial"/>
                <w:sz w:val="20"/>
                <w:szCs w:val="20"/>
              </w:rPr>
              <w:fldChar w:fldCharType="separate"/>
            </w:r>
            <w:r w:rsidRPr="001F2A7D">
              <w:rPr>
                <w:rFonts w:ascii="Arial" w:eastAsia="Roboto" w:hAnsi="Arial" w:cs="Arial"/>
                <w:color w:val="1155CC"/>
                <w:sz w:val="20"/>
                <w:szCs w:val="20"/>
              </w:rPr>
              <w:t>https://doi.org/10.3389/fpls.2021.797141</w:t>
            </w:r>
          </w:p>
          <w:p w:rsidR="00C96901" w:rsidRPr="001F2A7D" w:rsidRDefault="00D73EBC">
            <w:pPr>
              <w:spacing w:before="240" w:after="120"/>
              <w:rPr>
                <w:rFonts w:ascii="Arial" w:hAnsi="Arial" w:cs="Arial"/>
                <w:sz w:val="20"/>
                <w:szCs w:val="20"/>
              </w:rPr>
            </w:pPr>
            <w:r w:rsidRPr="001F2A7D">
              <w:rPr>
                <w:rFonts w:ascii="Arial" w:hAnsi="Arial" w:cs="Arial"/>
                <w:sz w:val="20"/>
                <w:szCs w:val="20"/>
              </w:rPr>
              <w:fldChar w:fldCharType="end"/>
            </w:r>
            <w:r w:rsidRPr="001F2A7D">
              <w:rPr>
                <w:rFonts w:ascii="Arial" w:eastAsia="Roboto" w:hAnsi="Arial" w:cs="Arial"/>
                <w:sz w:val="20"/>
                <w:szCs w:val="20"/>
              </w:rPr>
              <w:t xml:space="preserve">Zhang, Y., Xu, Y. H., </w:t>
            </w:r>
            <w:r w:rsidRPr="001F2A7D">
              <w:rPr>
                <w:rFonts w:ascii="Arial" w:eastAsia="Roboto" w:hAnsi="Arial" w:cs="Arial"/>
                <w:sz w:val="20"/>
                <w:szCs w:val="20"/>
              </w:rPr>
              <w:t xml:space="preserve">Yi, H. Y., &amp; Gong, J. M. (2012). </w:t>
            </w:r>
            <w:proofErr w:type="spellStart"/>
            <w:r w:rsidRPr="001F2A7D">
              <w:rPr>
                <w:rFonts w:ascii="Arial" w:eastAsia="Roboto" w:hAnsi="Arial" w:cs="Arial"/>
                <w:sz w:val="20"/>
                <w:szCs w:val="20"/>
              </w:rPr>
              <w:t>Vacuolar</w:t>
            </w:r>
            <w:proofErr w:type="spellEnd"/>
            <w:r w:rsidRPr="001F2A7D">
              <w:rPr>
                <w:rFonts w:ascii="Arial" w:eastAsia="Roboto" w:hAnsi="Arial" w:cs="Arial"/>
                <w:sz w:val="20"/>
                <w:szCs w:val="20"/>
              </w:rPr>
              <w:t xml:space="preserve"> membrane transporters OsVIT1 and OsVIT2 modulate iron translocation between flag leaves and seeds in rice. </w:t>
            </w:r>
            <w:r w:rsidRPr="001F2A7D">
              <w:rPr>
                <w:rFonts w:ascii="Arial" w:eastAsia="Roboto" w:hAnsi="Arial" w:cs="Arial"/>
                <w:i/>
                <w:sz w:val="20"/>
                <w:szCs w:val="20"/>
              </w:rPr>
              <w:t xml:space="preserve">The Plant </w:t>
            </w:r>
            <w:r w:rsidRPr="001F2A7D">
              <w:rPr>
                <w:rFonts w:ascii="Arial" w:eastAsia="Roboto" w:hAnsi="Arial" w:cs="Arial"/>
                <w:i/>
                <w:sz w:val="20"/>
                <w:szCs w:val="20"/>
              </w:rPr>
              <w:lastRenderedPageBreak/>
              <w:t>Journal</w:t>
            </w:r>
            <w:r w:rsidRPr="001F2A7D">
              <w:rPr>
                <w:rFonts w:ascii="Arial" w:eastAsia="Roboto" w:hAnsi="Arial" w:cs="Arial"/>
                <w:sz w:val="20"/>
                <w:szCs w:val="20"/>
              </w:rPr>
              <w:t xml:space="preserve">, 72(3), 400–410. </w:t>
            </w:r>
            <w:hyperlink r:id="rId10">
              <w:r w:rsidRPr="001F2A7D">
                <w:rPr>
                  <w:rFonts w:ascii="Arial" w:eastAsia="Roboto" w:hAnsi="Arial" w:cs="Arial"/>
                  <w:color w:val="1155CC"/>
                  <w:sz w:val="20"/>
                  <w:szCs w:val="20"/>
                </w:rPr>
                <w:t>http</w:t>
              </w:r>
              <w:r w:rsidRPr="001F2A7D">
                <w:rPr>
                  <w:rFonts w:ascii="Arial" w:eastAsia="Roboto" w:hAnsi="Arial" w:cs="Arial"/>
                  <w:color w:val="1155CC"/>
                  <w:sz w:val="20"/>
                  <w:szCs w:val="20"/>
                </w:rPr>
                <w:t>s://doi.org/10.1111/j.1365-313X.2012.05088.x</w:t>
              </w:r>
            </w:hyperlink>
          </w:p>
          <w:p w:rsidR="00C96901" w:rsidRPr="001F2A7D" w:rsidRDefault="00D73EBC" w:rsidP="001F2A7D">
            <w:pPr>
              <w:spacing w:before="240" w:after="120"/>
              <w:rPr>
                <w:rFonts w:ascii="Arial" w:eastAsia="Roboto" w:hAnsi="Arial" w:cs="Arial"/>
                <w:sz w:val="20"/>
                <w:szCs w:val="20"/>
              </w:rPr>
            </w:pPr>
            <w:r w:rsidRPr="001F2A7D">
              <w:rPr>
                <w:rFonts w:ascii="Arial" w:hAnsi="Arial" w:cs="Arial"/>
                <w:sz w:val="20"/>
                <w:szCs w:val="20"/>
              </w:rPr>
              <w:t>PCA biplot has been modified and added</w:t>
            </w:r>
          </w:p>
        </w:tc>
      </w:tr>
    </w:tbl>
    <w:p w:rsidR="00C96901" w:rsidRPr="001F2A7D" w:rsidRDefault="00C96901">
      <w:pPr>
        <w:pBdr>
          <w:top w:val="nil"/>
          <w:left w:val="nil"/>
          <w:bottom w:val="nil"/>
          <w:right w:val="nil"/>
          <w:between w:val="nil"/>
        </w:pBdr>
        <w:jc w:val="both"/>
        <w:rPr>
          <w:rFonts w:ascii="Arial" w:hAnsi="Arial" w:cs="Arial"/>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C96901" w:rsidRPr="001F2A7D">
        <w:trPr>
          <w:trHeight w:val="237"/>
        </w:trPr>
        <w:tc>
          <w:tcPr>
            <w:tcW w:w="21150" w:type="dxa"/>
            <w:gridSpan w:val="3"/>
            <w:tcBorders>
              <w:top w:val="nil"/>
              <w:left w:val="nil"/>
              <w:right w:val="nil"/>
            </w:tcBorders>
            <w:tcMar>
              <w:top w:w="0" w:type="dxa"/>
              <w:left w:w="108" w:type="dxa"/>
              <w:bottom w:w="0" w:type="dxa"/>
              <w:right w:w="108" w:type="dxa"/>
            </w:tcMar>
            <w:vAlign w:val="center"/>
          </w:tcPr>
          <w:p w:rsidR="00C96901" w:rsidRPr="001F2A7D" w:rsidRDefault="00D73EBC">
            <w:pPr>
              <w:pBdr>
                <w:top w:val="nil"/>
                <w:left w:val="nil"/>
                <w:bottom w:val="nil"/>
                <w:right w:val="nil"/>
                <w:between w:val="nil"/>
              </w:pBdr>
              <w:rPr>
                <w:rFonts w:ascii="Arial" w:hAnsi="Arial" w:cs="Arial"/>
                <w:color w:val="000000"/>
                <w:sz w:val="20"/>
                <w:szCs w:val="20"/>
                <w:u w:val="single"/>
              </w:rPr>
            </w:pPr>
            <w:r w:rsidRPr="001F2A7D">
              <w:rPr>
                <w:rFonts w:ascii="Arial" w:hAnsi="Arial" w:cs="Arial"/>
                <w:b/>
                <w:color w:val="000000"/>
                <w:sz w:val="20"/>
                <w:szCs w:val="20"/>
                <w:highlight w:val="yellow"/>
                <w:u w:val="single"/>
              </w:rPr>
              <w:t>PART  2:</w:t>
            </w:r>
            <w:r w:rsidRPr="001F2A7D">
              <w:rPr>
                <w:rFonts w:ascii="Arial" w:hAnsi="Arial" w:cs="Arial"/>
                <w:b/>
                <w:color w:val="000000"/>
                <w:sz w:val="20"/>
                <w:szCs w:val="20"/>
                <w:u w:val="single"/>
              </w:rPr>
              <w:t xml:space="preserve"> </w:t>
            </w:r>
          </w:p>
          <w:p w:rsidR="00C96901" w:rsidRPr="001F2A7D" w:rsidRDefault="00C96901">
            <w:pPr>
              <w:pBdr>
                <w:top w:val="nil"/>
                <w:left w:val="nil"/>
                <w:bottom w:val="nil"/>
                <w:right w:val="nil"/>
                <w:between w:val="nil"/>
              </w:pBdr>
              <w:rPr>
                <w:rFonts w:ascii="Arial" w:hAnsi="Arial" w:cs="Arial"/>
                <w:color w:val="000000"/>
                <w:sz w:val="20"/>
                <w:szCs w:val="20"/>
                <w:u w:val="single"/>
              </w:rPr>
            </w:pPr>
          </w:p>
        </w:tc>
      </w:tr>
      <w:tr w:rsidR="00C96901" w:rsidRPr="001F2A7D">
        <w:trPr>
          <w:trHeight w:val="935"/>
        </w:trPr>
        <w:tc>
          <w:tcPr>
            <w:tcW w:w="6831" w:type="dxa"/>
            <w:tcMar>
              <w:top w:w="0" w:type="dxa"/>
              <w:left w:w="108" w:type="dxa"/>
              <w:bottom w:w="0" w:type="dxa"/>
              <w:right w:w="108" w:type="dxa"/>
            </w:tcMar>
            <w:vAlign w:val="center"/>
          </w:tcPr>
          <w:p w:rsidR="00C96901" w:rsidRPr="001F2A7D" w:rsidRDefault="00C96901">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tcPr>
          <w:p w:rsidR="00C96901" w:rsidRPr="001F2A7D" w:rsidRDefault="00D73EBC">
            <w:pPr>
              <w:pStyle w:val="Heading2"/>
              <w:jc w:val="left"/>
              <w:rPr>
                <w:rFonts w:ascii="Arial" w:eastAsia="Times New Roman" w:hAnsi="Arial" w:cs="Arial"/>
              </w:rPr>
            </w:pPr>
            <w:r w:rsidRPr="001F2A7D">
              <w:rPr>
                <w:rFonts w:ascii="Arial" w:eastAsia="Times New Roman" w:hAnsi="Arial" w:cs="Arial"/>
              </w:rPr>
              <w:t>Reviewer’s comment</w:t>
            </w:r>
          </w:p>
        </w:tc>
        <w:tc>
          <w:tcPr>
            <w:tcW w:w="5677" w:type="dxa"/>
          </w:tcPr>
          <w:p w:rsidR="00C96901" w:rsidRPr="001F2A7D" w:rsidRDefault="00D73EBC">
            <w:pPr>
              <w:spacing w:after="160" w:line="256" w:lineRule="auto"/>
              <w:rPr>
                <w:rFonts w:ascii="Arial" w:hAnsi="Arial" w:cs="Arial"/>
                <w:sz w:val="20"/>
                <w:szCs w:val="20"/>
              </w:rPr>
            </w:pPr>
            <w:r w:rsidRPr="001F2A7D">
              <w:rPr>
                <w:rFonts w:ascii="Arial" w:hAnsi="Arial" w:cs="Arial"/>
                <w:b/>
                <w:sz w:val="20"/>
                <w:szCs w:val="20"/>
              </w:rPr>
              <w:t>Author’s Feedback</w:t>
            </w:r>
            <w:r w:rsidRPr="001F2A7D">
              <w:rPr>
                <w:rFonts w:ascii="Arial" w:hAnsi="Arial" w:cs="Arial"/>
                <w:sz w:val="20"/>
                <w:szCs w:val="20"/>
              </w:rPr>
              <w:t xml:space="preserve"> (It is mandatory that authors should write his/her feedback here)</w:t>
            </w:r>
          </w:p>
          <w:p w:rsidR="00C96901" w:rsidRPr="001F2A7D" w:rsidRDefault="00C96901">
            <w:pPr>
              <w:pStyle w:val="Heading2"/>
              <w:jc w:val="left"/>
              <w:rPr>
                <w:rFonts w:ascii="Arial" w:eastAsia="Times New Roman" w:hAnsi="Arial" w:cs="Arial"/>
                <w:b w:val="0"/>
              </w:rPr>
            </w:pPr>
          </w:p>
        </w:tc>
      </w:tr>
      <w:tr w:rsidR="00C96901" w:rsidRPr="001F2A7D">
        <w:trPr>
          <w:trHeight w:val="697"/>
        </w:trPr>
        <w:tc>
          <w:tcPr>
            <w:tcW w:w="6831" w:type="dxa"/>
            <w:tcMar>
              <w:top w:w="0" w:type="dxa"/>
              <w:left w:w="108" w:type="dxa"/>
              <w:bottom w:w="0" w:type="dxa"/>
              <w:right w:w="108" w:type="dxa"/>
            </w:tcMar>
            <w:vAlign w:val="center"/>
          </w:tcPr>
          <w:p w:rsidR="00C96901" w:rsidRPr="001F2A7D" w:rsidRDefault="00D73EBC">
            <w:pPr>
              <w:pBdr>
                <w:top w:val="nil"/>
                <w:left w:val="nil"/>
                <w:bottom w:val="nil"/>
                <w:right w:val="nil"/>
                <w:between w:val="nil"/>
              </w:pBdr>
              <w:rPr>
                <w:rFonts w:ascii="Arial" w:hAnsi="Arial" w:cs="Arial"/>
                <w:color w:val="000000"/>
                <w:sz w:val="20"/>
                <w:szCs w:val="20"/>
              </w:rPr>
            </w:pPr>
            <w:r w:rsidRPr="001F2A7D">
              <w:rPr>
                <w:rFonts w:ascii="Arial" w:hAnsi="Arial" w:cs="Arial"/>
                <w:b/>
                <w:color w:val="000000"/>
                <w:sz w:val="20"/>
                <w:szCs w:val="20"/>
              </w:rPr>
              <w:t xml:space="preserve">Are there ethical issues in this manuscript? </w:t>
            </w:r>
          </w:p>
          <w:p w:rsidR="00C96901" w:rsidRPr="001F2A7D" w:rsidRDefault="00C96901">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vAlign w:val="center"/>
          </w:tcPr>
          <w:p w:rsidR="00C96901" w:rsidRPr="001F2A7D" w:rsidRDefault="00D73EBC">
            <w:pPr>
              <w:pBdr>
                <w:top w:val="nil"/>
                <w:left w:val="nil"/>
                <w:bottom w:val="nil"/>
                <w:right w:val="nil"/>
                <w:between w:val="nil"/>
              </w:pBdr>
              <w:rPr>
                <w:rFonts w:ascii="Arial" w:hAnsi="Arial" w:cs="Arial"/>
                <w:color w:val="000000"/>
                <w:sz w:val="20"/>
                <w:szCs w:val="20"/>
                <w:u w:val="single"/>
              </w:rPr>
            </w:pPr>
            <w:r w:rsidRPr="001F2A7D">
              <w:rPr>
                <w:rFonts w:ascii="Arial" w:hAnsi="Arial" w:cs="Arial"/>
                <w:i/>
                <w:color w:val="000000"/>
                <w:sz w:val="20"/>
                <w:szCs w:val="20"/>
                <w:u w:val="single"/>
              </w:rPr>
              <w:t xml:space="preserve">(If yes, </w:t>
            </w:r>
            <w:proofErr w:type="gramStart"/>
            <w:r w:rsidRPr="001F2A7D">
              <w:rPr>
                <w:rFonts w:ascii="Arial" w:hAnsi="Arial" w:cs="Arial"/>
                <w:i/>
                <w:color w:val="000000"/>
                <w:sz w:val="20"/>
                <w:szCs w:val="20"/>
                <w:u w:val="single"/>
              </w:rPr>
              <w:t>Kindly</w:t>
            </w:r>
            <w:proofErr w:type="gramEnd"/>
            <w:r w:rsidRPr="001F2A7D">
              <w:rPr>
                <w:rFonts w:ascii="Arial" w:hAnsi="Arial" w:cs="Arial"/>
                <w:i/>
                <w:color w:val="000000"/>
                <w:sz w:val="20"/>
                <w:szCs w:val="20"/>
                <w:u w:val="single"/>
              </w:rPr>
              <w:t xml:space="preserve"> please write down the ethical issues here in detail)</w:t>
            </w:r>
          </w:p>
          <w:p w:rsidR="00C96901" w:rsidRPr="001F2A7D" w:rsidRDefault="00C96901">
            <w:pPr>
              <w:pBdr>
                <w:top w:val="nil"/>
                <w:left w:val="nil"/>
                <w:bottom w:val="nil"/>
                <w:right w:val="nil"/>
                <w:between w:val="nil"/>
              </w:pBdr>
              <w:rPr>
                <w:rFonts w:ascii="Arial" w:hAnsi="Arial" w:cs="Arial"/>
                <w:color w:val="000000"/>
                <w:sz w:val="20"/>
                <w:szCs w:val="20"/>
              </w:rPr>
            </w:pPr>
          </w:p>
          <w:p w:rsidR="00C96901" w:rsidRPr="001F2A7D" w:rsidRDefault="00D73EBC">
            <w:pPr>
              <w:pBdr>
                <w:top w:val="nil"/>
                <w:left w:val="nil"/>
                <w:bottom w:val="nil"/>
                <w:right w:val="nil"/>
                <w:between w:val="nil"/>
              </w:pBdr>
              <w:rPr>
                <w:rFonts w:ascii="Arial" w:hAnsi="Arial" w:cs="Arial"/>
                <w:color w:val="000000"/>
                <w:sz w:val="20"/>
                <w:szCs w:val="20"/>
              </w:rPr>
            </w:pPr>
            <w:r w:rsidRPr="001F2A7D">
              <w:rPr>
                <w:rFonts w:ascii="Arial" w:hAnsi="Arial" w:cs="Arial"/>
                <w:color w:val="000000"/>
                <w:sz w:val="20"/>
                <w:szCs w:val="20"/>
              </w:rPr>
              <w:t>No</w:t>
            </w:r>
          </w:p>
        </w:tc>
        <w:tc>
          <w:tcPr>
            <w:tcW w:w="5677" w:type="dxa"/>
            <w:vAlign w:val="center"/>
          </w:tcPr>
          <w:p w:rsidR="00C96901" w:rsidRPr="001F2A7D" w:rsidRDefault="00C96901">
            <w:pPr>
              <w:rPr>
                <w:rFonts w:ascii="Arial" w:hAnsi="Arial" w:cs="Arial"/>
                <w:sz w:val="20"/>
                <w:szCs w:val="20"/>
              </w:rPr>
            </w:pPr>
          </w:p>
          <w:p w:rsidR="00C96901" w:rsidRPr="001F2A7D" w:rsidRDefault="00D73EBC">
            <w:pPr>
              <w:rPr>
                <w:rFonts w:ascii="Arial" w:hAnsi="Arial" w:cs="Arial"/>
                <w:sz w:val="20"/>
                <w:szCs w:val="20"/>
              </w:rPr>
            </w:pPr>
            <w:r w:rsidRPr="001F2A7D">
              <w:rPr>
                <w:rFonts w:ascii="Arial" w:hAnsi="Arial" w:cs="Arial"/>
                <w:sz w:val="20"/>
                <w:szCs w:val="20"/>
              </w:rPr>
              <w:t>Noted</w:t>
            </w:r>
          </w:p>
          <w:p w:rsidR="00C96901" w:rsidRPr="001F2A7D" w:rsidRDefault="00C96901">
            <w:pPr>
              <w:rPr>
                <w:rFonts w:ascii="Arial" w:hAnsi="Arial" w:cs="Arial"/>
                <w:sz w:val="20"/>
                <w:szCs w:val="20"/>
              </w:rPr>
            </w:pPr>
          </w:p>
          <w:p w:rsidR="00C96901" w:rsidRPr="001F2A7D" w:rsidRDefault="00C96901">
            <w:pPr>
              <w:pBdr>
                <w:top w:val="nil"/>
                <w:left w:val="nil"/>
                <w:bottom w:val="nil"/>
                <w:right w:val="nil"/>
                <w:between w:val="nil"/>
              </w:pBdr>
              <w:rPr>
                <w:rFonts w:ascii="Arial" w:hAnsi="Arial" w:cs="Arial"/>
                <w:color w:val="000000"/>
                <w:sz w:val="20"/>
                <w:szCs w:val="20"/>
              </w:rPr>
            </w:pPr>
          </w:p>
        </w:tc>
      </w:tr>
    </w:tbl>
    <w:p w:rsidR="00C96901" w:rsidRPr="001F2A7D" w:rsidRDefault="00C96901">
      <w:pPr>
        <w:pBdr>
          <w:top w:val="nil"/>
          <w:left w:val="nil"/>
          <w:bottom w:val="nil"/>
          <w:right w:val="nil"/>
          <w:between w:val="nil"/>
        </w:pBdr>
        <w:jc w:val="both"/>
        <w:rPr>
          <w:rFonts w:ascii="Arial" w:eastAsia="Arial" w:hAnsi="Arial" w:cs="Arial"/>
          <w:color w:val="000000"/>
          <w:sz w:val="20"/>
          <w:szCs w:val="20"/>
        </w:rPr>
      </w:pPr>
      <w:bookmarkStart w:id="1" w:name="_GoBack"/>
      <w:bookmarkEnd w:id="1"/>
    </w:p>
    <w:sectPr w:rsidR="00C96901" w:rsidRPr="001F2A7D">
      <w:headerReference w:type="default" r:id="rId11"/>
      <w:footerReference w:type="default" r:id="rId12"/>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3EBC" w:rsidRDefault="00D73EBC">
      <w:r>
        <w:separator/>
      </w:r>
    </w:p>
  </w:endnote>
  <w:endnote w:type="continuationSeparator" w:id="0">
    <w:p w:rsidR="00D73EBC" w:rsidRDefault="00D73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Roboto">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6901" w:rsidRDefault="00D73EBC">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3EBC" w:rsidRDefault="00D73EBC">
      <w:r>
        <w:separator/>
      </w:r>
    </w:p>
  </w:footnote>
  <w:footnote w:type="continuationSeparator" w:id="0">
    <w:p w:rsidR="00D73EBC" w:rsidRDefault="00D73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6901" w:rsidRDefault="00C96901">
    <w:pPr>
      <w:spacing w:after="280"/>
      <w:jc w:val="center"/>
      <w:rPr>
        <w:rFonts w:ascii="Arial" w:eastAsia="Arial" w:hAnsi="Arial" w:cs="Arial"/>
        <w:color w:val="003399"/>
        <w:u w:val="single"/>
      </w:rPr>
    </w:pPr>
  </w:p>
  <w:p w:rsidR="00C96901" w:rsidRDefault="00D73EBC">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8B7C04"/>
    <w:multiLevelType w:val="multilevel"/>
    <w:tmpl w:val="D5D60592"/>
    <w:lvl w:ilvl="0">
      <w:start w:val="1"/>
      <w:numFmt w:val="bullet"/>
      <w:lvlText w:val="●"/>
      <w:lvlJc w:val="left"/>
      <w:pPr>
        <w:ind w:left="720" w:hanging="360"/>
      </w:pPr>
      <w:rPr>
        <w:rFonts w:ascii="Roboto" w:eastAsia="Roboto" w:hAnsi="Roboto" w:cs="Roboto"/>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6901"/>
    <w:rsid w:val="001F2A7D"/>
    <w:rsid w:val="00C96901"/>
    <w:rsid w:val="00D73E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7CE7D8-7042-4B94-8B0D-06149EF61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doi.org/10.1111/j.1365-313X.2012.05088.x" TargetMode="External"/><Relationship Id="rId4" Type="http://schemas.openxmlformats.org/officeDocument/2006/relationships/settings" Target="settings.xml"/><Relationship Id="rId9" Type="http://schemas.openxmlformats.org/officeDocument/2006/relationships/hyperlink" Target="https://doi.org/10.1186/s12870-020-02685-3"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26DHV/lYdjQ5jgtog9VqE0f7jQ==">CgMxLjAyDWguN2QxMGw1dXV3c3Q4AHIhMVdOQ3BmYTNmc0Zkc3hOWjZGcVM4b3RfSlkzRE90Mm5X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2412</Words>
  <Characters>13753</Characters>
  <Application>Microsoft Office Word</Application>
  <DocSecurity>0</DocSecurity>
  <Lines>114</Lines>
  <Paragraphs>32</Paragraphs>
  <ScaleCrop>false</ScaleCrop>
  <Company/>
  <LinksUpToDate>false</LinksUpToDate>
  <CharactersWithSpaces>16133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2</cp:revision>
  <dcterms:created xsi:type="dcterms:W3CDTF">2011-08-01T09:21:00Z</dcterms:created>
  <dcterms:modified xsi:type="dcterms:W3CDTF">2025-10-16T08:26:00Z</dcterms:modified>
</cp:coreProperties>
</file>