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AF5365" w14:textId="77777777" w:rsidR="001015F7" w:rsidRPr="00C96CCE" w:rsidRDefault="001015F7">
      <w:pPr>
        <w:rPr>
          <w:rFonts w:ascii="Arial" w:hAnsi="Arial" w:cs="Arial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015F7" w:rsidRPr="00C96CCE" w14:paraId="65C15829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D1F5308" w14:textId="77777777" w:rsidR="001015F7" w:rsidRPr="00C96CCE" w:rsidRDefault="001015F7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1015F7" w:rsidRPr="00C96CCE" w14:paraId="0EF422C5" w14:textId="77777777">
        <w:trPr>
          <w:trHeight w:val="290"/>
        </w:trPr>
        <w:tc>
          <w:tcPr>
            <w:tcW w:w="5167" w:type="dxa"/>
          </w:tcPr>
          <w:p w14:paraId="455FF948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EB1793" w14:textId="77777777" w:rsidR="001015F7" w:rsidRPr="00C96CCE" w:rsidRDefault="000E07F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C96CCE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C96CCE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1015F7" w:rsidRPr="00C96CCE" w14:paraId="1DC253DF" w14:textId="77777777">
        <w:trPr>
          <w:trHeight w:val="290"/>
        </w:trPr>
        <w:tc>
          <w:tcPr>
            <w:tcW w:w="5167" w:type="dxa"/>
          </w:tcPr>
          <w:p w14:paraId="46E6942A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CEFCBB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Ms_JABB_146283</w:t>
            </w:r>
          </w:p>
        </w:tc>
      </w:tr>
      <w:tr w:rsidR="001015F7" w:rsidRPr="00C96CCE" w14:paraId="4F4615C9" w14:textId="77777777">
        <w:trPr>
          <w:trHeight w:val="650"/>
        </w:trPr>
        <w:tc>
          <w:tcPr>
            <w:tcW w:w="5167" w:type="dxa"/>
          </w:tcPr>
          <w:p w14:paraId="431865DB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086637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Assessment of Genetic Diversity for Grain Iron and Zinc Contents Among</w:t>
            </w:r>
            <w:r w:rsidRPr="00C96C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123 Rice Germplasm Lines</w:t>
            </w:r>
          </w:p>
        </w:tc>
      </w:tr>
      <w:tr w:rsidR="001015F7" w:rsidRPr="00C96CCE" w14:paraId="7262FD4F" w14:textId="77777777">
        <w:trPr>
          <w:trHeight w:val="332"/>
        </w:trPr>
        <w:tc>
          <w:tcPr>
            <w:tcW w:w="5167" w:type="dxa"/>
          </w:tcPr>
          <w:p w14:paraId="4EBE96A3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A5C429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5A9CA42E" w14:textId="77777777" w:rsidR="001015F7" w:rsidRPr="00C96CCE" w:rsidRDefault="001015F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015F7" w:rsidRPr="00C96CCE" w14:paraId="52FEF4A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0E4A525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bookmarkStart w:id="0" w:name="_heading=h.x1wkkhlphwvq" w:colFirst="0" w:colLast="0"/>
            <w:bookmarkEnd w:id="0"/>
            <w:r w:rsidRPr="00C96CCE">
              <w:rPr>
                <w:rFonts w:ascii="Arial" w:eastAsia="Times New Roman" w:hAnsi="Arial" w:cs="Arial"/>
                <w:highlight w:val="yellow"/>
              </w:rPr>
              <w:t>PART  1:</w:t>
            </w:r>
            <w:r w:rsidRPr="00C96CCE">
              <w:rPr>
                <w:rFonts w:ascii="Arial" w:eastAsia="Times New Roman" w:hAnsi="Arial" w:cs="Arial"/>
              </w:rPr>
              <w:t xml:space="preserve"> Comments</w:t>
            </w:r>
          </w:p>
          <w:p w14:paraId="2EA03430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15F7" w:rsidRPr="00C96CCE" w14:paraId="739959C4" w14:textId="77777777">
        <w:tc>
          <w:tcPr>
            <w:tcW w:w="5351" w:type="dxa"/>
          </w:tcPr>
          <w:p w14:paraId="19FD3F28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36C9EC0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96CCE">
              <w:rPr>
                <w:rFonts w:ascii="Arial" w:eastAsia="Times New Roman" w:hAnsi="Arial" w:cs="Arial"/>
              </w:rPr>
              <w:t>Reviewer’s comment</w:t>
            </w:r>
          </w:p>
          <w:p w14:paraId="1912EE97" w14:textId="77777777" w:rsidR="001015F7" w:rsidRPr="00C96CCE" w:rsidRDefault="000E07F2">
            <w:pPr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657CB3C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11C6EFF" w14:textId="77777777" w:rsidR="001015F7" w:rsidRPr="00C96CCE" w:rsidRDefault="000E07F2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C96CC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6ADB214C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015F7" w:rsidRPr="00C96CCE" w14:paraId="1733EBF0" w14:textId="77777777">
        <w:trPr>
          <w:trHeight w:val="1264"/>
        </w:trPr>
        <w:tc>
          <w:tcPr>
            <w:tcW w:w="5351" w:type="dxa"/>
          </w:tcPr>
          <w:p w14:paraId="5D15A977" w14:textId="77777777" w:rsidR="001015F7" w:rsidRPr="00C96CCE" w:rsidRDefault="000E07F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3131E69" w14:textId="77777777" w:rsidR="001015F7" w:rsidRPr="00C96CCE" w:rsidRDefault="001015F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F82765E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manuscript makes a 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significant contribution to the field of rice biofortification by revealing wide genetic diversity for grain iron and zinc contents. The findings provide a valuable resource for breeders and researchers working toward developing nutrient-dense rice varieti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es. The study also enhances scientific understanding of the genetic and physiological relationships between micronutrients and agronomic traits.</w:t>
            </w:r>
          </w:p>
        </w:tc>
        <w:tc>
          <w:tcPr>
            <w:tcW w:w="6442" w:type="dxa"/>
          </w:tcPr>
          <w:p w14:paraId="3B03ADEB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1015F7" w:rsidRPr="00C96CCE" w14:paraId="631C0B25" w14:textId="77777777">
        <w:trPr>
          <w:trHeight w:val="774"/>
        </w:trPr>
        <w:tc>
          <w:tcPr>
            <w:tcW w:w="5351" w:type="dxa"/>
          </w:tcPr>
          <w:p w14:paraId="3DEF0851" w14:textId="77777777" w:rsidR="001015F7" w:rsidRPr="00C96CCE" w:rsidRDefault="000E07F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161ED2C3" w14:textId="77777777" w:rsidR="001015F7" w:rsidRPr="00C96CCE" w:rsidRDefault="000E07F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37883352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F259844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The title is appropr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iate, clear, and accurately reflects the scope and objectives of the study. No modification is needed.</w:t>
            </w:r>
          </w:p>
        </w:tc>
        <w:tc>
          <w:tcPr>
            <w:tcW w:w="6442" w:type="dxa"/>
          </w:tcPr>
          <w:p w14:paraId="604F73D8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>Noted</w:t>
            </w:r>
          </w:p>
        </w:tc>
      </w:tr>
      <w:tr w:rsidR="001015F7" w:rsidRPr="00C96CCE" w14:paraId="413239D0" w14:textId="77777777">
        <w:trPr>
          <w:trHeight w:val="983"/>
        </w:trPr>
        <w:tc>
          <w:tcPr>
            <w:tcW w:w="5351" w:type="dxa"/>
          </w:tcPr>
          <w:p w14:paraId="45E476F0" w14:textId="77777777" w:rsidR="001015F7" w:rsidRPr="00C96CCE" w:rsidRDefault="000E07F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96CCE">
              <w:rPr>
                <w:rFonts w:ascii="Arial" w:eastAsia="Times New Roman" w:hAnsi="Arial" w:cs="Arial"/>
              </w:rPr>
              <w:lastRenderedPageBreak/>
              <w:t xml:space="preserve">Is the abstract of the article comprehensive? Do you suggest the addition (or deletion) of some points in this section? Please write your </w:t>
            </w:r>
            <w:r w:rsidRPr="00C96CCE">
              <w:rPr>
                <w:rFonts w:ascii="Arial" w:eastAsia="Times New Roman" w:hAnsi="Arial" w:cs="Arial"/>
              </w:rPr>
              <w:t>suggestions here.</w:t>
            </w:r>
          </w:p>
          <w:p w14:paraId="68B3AFA0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065702E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The abstract is comprehensive and well-organized, covering background, objectives, methodology, results, and conclusions. It may be slightly improved by adding a brief statement highlighting the practical breeding implications of the fin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dings. No deletion is required.</w:t>
            </w:r>
          </w:p>
          <w:p w14:paraId="5E8D737E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394A05B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>The abstract has the following conclusion, that clearly indicate the practical implications of the findings of the research</w:t>
            </w:r>
          </w:p>
          <w:p w14:paraId="27D8BF5E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 xml:space="preserve">“The substantial genetic diversity identified in this study, particularly in traditional varieties </w:t>
            </w:r>
            <w:r w:rsidRPr="00C96CCE">
              <w:rPr>
                <w:rFonts w:ascii="Arial" w:eastAsia="Times New Roman" w:hAnsi="Arial" w:cs="Arial"/>
                <w:b w:val="0"/>
              </w:rPr>
              <w:t>and released varieties, provides valuable genetic resources for developing biofortified rice varieties. The identified high-performing genotypes represent promising donors for addressing micronutrient malnutrition through conventional and molecular breedin</w:t>
            </w:r>
            <w:r w:rsidRPr="00C96CCE">
              <w:rPr>
                <w:rFonts w:ascii="Arial" w:eastAsia="Times New Roman" w:hAnsi="Arial" w:cs="Arial"/>
                <w:b w:val="0"/>
              </w:rPr>
              <w:t>g approaches.</w:t>
            </w:r>
            <w:r w:rsidRPr="00C96CCE">
              <w:rPr>
                <w:rFonts w:ascii="Arial" w:eastAsia="Roboto" w:hAnsi="Arial" w:cs="Arial"/>
                <w:b w:val="0"/>
              </w:rPr>
              <w:t>”</w:t>
            </w:r>
          </w:p>
        </w:tc>
      </w:tr>
      <w:tr w:rsidR="001015F7" w:rsidRPr="00C96CCE" w14:paraId="4560EA91" w14:textId="77777777">
        <w:trPr>
          <w:trHeight w:val="704"/>
        </w:trPr>
        <w:tc>
          <w:tcPr>
            <w:tcW w:w="5351" w:type="dxa"/>
          </w:tcPr>
          <w:p w14:paraId="3EE0B109" w14:textId="77777777" w:rsidR="001015F7" w:rsidRPr="00C96CCE" w:rsidRDefault="000E07F2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C96CCE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CF48341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 xml:space="preserve">Overall, the manuscript is scientifically well-structured and addresses a relevant topic in rice biofortification. The experimental design and data presentation are clear; 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however, the reported values for grain iron content (up to 1694.8 ppm) appear unrealistically high compared to typical iron concentrations in rice, even in mineral-rich varieties.</w:t>
            </w:r>
          </w:p>
          <w:p w14:paraId="5B5C3E69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This discrepancy could be attributed to:</w:t>
            </w:r>
          </w:p>
          <w:p w14:paraId="7CD32E43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 xml:space="preserve"> A possible unit conversion error, 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where results may have originally been expressed in µg/g or mg/kg but were mistakenly reported as ppm without proper correction.</w:t>
            </w:r>
          </w:p>
          <w:p w14:paraId="4CA2C4AA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A potential analytical error during dilution or calibration of the Atomic Absorption Spectrophotometer (AAS), leading to inflat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ed readings.</w:t>
            </w:r>
          </w:p>
          <w:p w14:paraId="1B5F7F35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It is recommended to verify the analytical procedures and ensure accurate unit representation before drawing final conclusions.</w:t>
            </w:r>
          </w:p>
          <w:p w14:paraId="399FD8BD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44AA540" w14:textId="74F19B9B" w:rsidR="001015F7" w:rsidRPr="00C96CCE" w:rsidRDefault="000E07F2">
            <w:pPr>
              <w:pStyle w:val="Heading2"/>
              <w:spacing w:before="240" w:after="120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 xml:space="preserve">The exceptionally high values recorded for grain iron content in </w:t>
            </w:r>
            <w:proofErr w:type="spellStart"/>
            <w:r w:rsidRPr="00C96CCE">
              <w:rPr>
                <w:rFonts w:ascii="Arial" w:eastAsia="Times New Roman" w:hAnsi="Arial" w:cs="Arial"/>
                <w:b w:val="0"/>
              </w:rPr>
              <w:t>Chittimuthyalu</w:t>
            </w:r>
            <w:proofErr w:type="spellEnd"/>
            <w:r w:rsidRPr="00C96CCE">
              <w:rPr>
                <w:rFonts w:ascii="Arial" w:eastAsia="Times New Roman" w:hAnsi="Arial" w:cs="Arial"/>
                <w:b w:val="0"/>
              </w:rPr>
              <w:t xml:space="preserve"> (up to 1694.8 ppm) </w:t>
            </w:r>
            <w:r w:rsidR="006257AE" w:rsidRPr="00C96CCE">
              <w:rPr>
                <w:rFonts w:ascii="Arial" w:eastAsia="Times New Roman" w:hAnsi="Arial" w:cs="Arial"/>
                <w:b w:val="0"/>
              </w:rPr>
              <w:t>were</w:t>
            </w:r>
            <w:r w:rsidRPr="00C96CCE">
              <w:rPr>
                <w:rFonts w:ascii="Arial" w:eastAsia="Times New Roman" w:hAnsi="Arial" w:cs="Arial"/>
                <w:b w:val="0"/>
              </w:rPr>
              <w:t xml:space="preserve"> consistent</w:t>
            </w:r>
            <w:r w:rsidRPr="00C96CCE">
              <w:rPr>
                <w:rFonts w:ascii="Arial" w:eastAsia="Times New Roman" w:hAnsi="Arial" w:cs="Arial"/>
                <w:b w:val="0"/>
              </w:rPr>
              <w:t xml:space="preserve"> and confirmed across independent analytical laboratories using standardized Atomic Absorption Spectrophotometry (AAS) protocols, ruling out isolated analytical errors. All laboratories followed rigorous sample preparation, digestion, dilution, calibration</w:t>
            </w:r>
            <w:r w:rsidRPr="00C96CCE">
              <w:rPr>
                <w:rFonts w:ascii="Arial" w:eastAsia="Times New Roman" w:hAnsi="Arial" w:cs="Arial"/>
                <w:b w:val="0"/>
              </w:rPr>
              <w:t>, and quality control procedures with certified reference standards to ensure accuracy and consistency of results.</w:t>
            </w:r>
          </w:p>
          <w:p w14:paraId="7EB252E0" w14:textId="77777777" w:rsidR="001015F7" w:rsidRPr="00C96CCE" w:rsidRDefault="000E07F2">
            <w:pPr>
              <w:pStyle w:val="Heading2"/>
              <w:spacing w:before="240" w:after="120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u60kv4qf3om7" w:colFirst="0" w:colLast="0"/>
            <w:bookmarkEnd w:id="1"/>
            <w:r w:rsidRPr="00C96CCE">
              <w:rPr>
                <w:rFonts w:ascii="Arial" w:eastAsia="Times New Roman" w:hAnsi="Arial" w:cs="Arial"/>
                <w:b w:val="0"/>
              </w:rPr>
              <w:t xml:space="preserve">The units reported (ppm) correspond to </w:t>
            </w:r>
            <w:proofErr w:type="spellStart"/>
            <w:r w:rsidRPr="00C96CCE">
              <w:rPr>
                <w:rFonts w:ascii="Arial" w:eastAsia="Times New Roman" w:hAnsi="Arial" w:cs="Arial"/>
                <w:b w:val="0"/>
              </w:rPr>
              <w:t>μg</w:t>
            </w:r>
            <w:proofErr w:type="spellEnd"/>
            <w:r w:rsidRPr="00C96CCE">
              <w:rPr>
                <w:rFonts w:ascii="Arial" w:eastAsia="Times New Roman" w:hAnsi="Arial" w:cs="Arial"/>
                <w:b w:val="0"/>
              </w:rPr>
              <w:t xml:space="preserve"> of iron per gram of dry brown rice weight (</w:t>
            </w:r>
            <w:proofErr w:type="spellStart"/>
            <w:r w:rsidRPr="00C96CCE">
              <w:rPr>
                <w:rFonts w:ascii="Arial" w:eastAsia="Times New Roman" w:hAnsi="Arial" w:cs="Arial"/>
                <w:b w:val="0"/>
              </w:rPr>
              <w:t>μg</w:t>
            </w:r>
            <w:proofErr w:type="spellEnd"/>
            <w:r w:rsidRPr="00C96CCE">
              <w:rPr>
                <w:rFonts w:ascii="Arial" w:eastAsia="Times New Roman" w:hAnsi="Arial" w:cs="Arial"/>
                <w:b w:val="0"/>
              </w:rPr>
              <w:t>/g dry weight), which is equivalent to mg/kg, commonly</w:t>
            </w:r>
            <w:r w:rsidRPr="00C96CCE">
              <w:rPr>
                <w:rFonts w:ascii="Arial" w:eastAsia="Times New Roman" w:hAnsi="Arial" w:cs="Arial"/>
                <w:b w:val="0"/>
              </w:rPr>
              <w:t xml:space="preserve"> accepted in micronutrient analysis literature. There was no unit conversion error; all values have been converted carefully and verified.</w:t>
            </w:r>
          </w:p>
          <w:p w14:paraId="1A225848" w14:textId="77777777" w:rsidR="001015F7" w:rsidRPr="00C96CCE" w:rsidRDefault="000E07F2">
            <w:pPr>
              <w:spacing w:before="240" w:after="12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 xml:space="preserve">Brown rice retains the aleurone and pericarp grain layers where iron is concentrated, leading to naturally higher </w:t>
            </w:r>
            <w:r w:rsidRPr="00C96CCE">
              <w:rPr>
                <w:rFonts w:ascii="Arial" w:hAnsi="Arial" w:cs="Arial"/>
                <w:sz w:val="20"/>
                <w:szCs w:val="20"/>
              </w:rPr>
              <w:t>mineral concentrations compared to polished rice where these layers are removed (Gregorio et al., 2000). Thus, higher absolute iron values are expected in brown rice analyses.</w:t>
            </w:r>
          </w:p>
          <w:p w14:paraId="32A19434" w14:textId="77777777" w:rsidR="001015F7" w:rsidRPr="00C96CCE" w:rsidRDefault="000E07F2">
            <w:pPr>
              <w:spacing w:before="240" w:after="12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 xml:space="preserve">Multiple independent studies indicate that traditional rice landraces like </w:t>
            </w:r>
            <w:proofErr w:type="spellStart"/>
            <w:r w:rsidRPr="00C96CCE">
              <w:rPr>
                <w:rFonts w:ascii="Arial" w:hAnsi="Arial" w:cs="Arial"/>
                <w:sz w:val="20"/>
                <w:szCs w:val="20"/>
              </w:rPr>
              <w:t>Chitt</w:t>
            </w:r>
            <w:r w:rsidRPr="00C96CCE">
              <w:rPr>
                <w:rFonts w:ascii="Arial" w:hAnsi="Arial" w:cs="Arial"/>
                <w:sz w:val="20"/>
                <w:szCs w:val="20"/>
              </w:rPr>
              <w:t>imuthyalu</w:t>
            </w:r>
            <w:proofErr w:type="spellEnd"/>
            <w:r w:rsidRPr="00C96CCE">
              <w:rPr>
                <w:rFonts w:ascii="Arial" w:hAnsi="Arial" w:cs="Arial"/>
                <w:sz w:val="20"/>
                <w:szCs w:val="20"/>
              </w:rPr>
              <w:t xml:space="preserve"> inherently possess unique genetic and physiological mechanisms (upregulation of </w:t>
            </w:r>
            <w:proofErr w:type="spellStart"/>
            <w:r w:rsidRPr="00C96CCE">
              <w:rPr>
                <w:rFonts w:ascii="Arial" w:hAnsi="Arial" w:cs="Arial"/>
                <w:sz w:val="20"/>
                <w:szCs w:val="20"/>
              </w:rPr>
              <w:t>OsVIT</w:t>
            </w:r>
            <w:proofErr w:type="spellEnd"/>
            <w:r w:rsidRPr="00C96CCE">
              <w:rPr>
                <w:rFonts w:ascii="Arial" w:hAnsi="Arial" w:cs="Arial"/>
                <w:sz w:val="20"/>
                <w:szCs w:val="20"/>
              </w:rPr>
              <w:t xml:space="preserve">, NRAMP, and other transport genes) that enable higher iron accumulation in grain tissues, providing biological validation for these high measurements (Anuradha </w:t>
            </w:r>
            <w:r w:rsidRPr="00C96CCE">
              <w:rPr>
                <w:rFonts w:ascii="Arial" w:hAnsi="Arial" w:cs="Arial"/>
                <w:sz w:val="20"/>
                <w:szCs w:val="20"/>
              </w:rPr>
              <w:t>et al., 2018; Pradhan et al., 2020; Swamy et al., 2021).</w:t>
            </w:r>
          </w:p>
          <w:p w14:paraId="7BBF64C1" w14:textId="77777777" w:rsidR="001015F7" w:rsidRPr="00C96CCE" w:rsidRDefault="000E07F2">
            <w:pPr>
              <w:spacing w:before="240" w:after="12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 xml:space="preserve">The results and discussion </w:t>
            </w:r>
            <w:proofErr w:type="gramStart"/>
            <w:r w:rsidRPr="00C96CCE">
              <w:rPr>
                <w:rFonts w:ascii="Arial" w:hAnsi="Arial" w:cs="Arial"/>
                <w:sz w:val="20"/>
                <w:szCs w:val="20"/>
              </w:rPr>
              <w:t>has</w:t>
            </w:r>
            <w:proofErr w:type="gramEnd"/>
            <w:r w:rsidRPr="00C96CCE">
              <w:rPr>
                <w:rFonts w:ascii="Arial" w:hAnsi="Arial" w:cs="Arial"/>
                <w:sz w:val="20"/>
                <w:szCs w:val="20"/>
              </w:rPr>
              <w:t xml:space="preserve"> been modified to substantiate the high grain iron content values of </w:t>
            </w:r>
            <w:proofErr w:type="spellStart"/>
            <w:r w:rsidRPr="00C96CCE">
              <w:rPr>
                <w:rFonts w:ascii="Arial" w:hAnsi="Arial" w:cs="Arial"/>
                <w:sz w:val="20"/>
                <w:szCs w:val="20"/>
              </w:rPr>
              <w:t>Chittimuthyalu</w:t>
            </w:r>
            <w:proofErr w:type="spellEnd"/>
            <w:r w:rsidRPr="00C96CCE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8894675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015F7" w:rsidRPr="00C96CCE" w14:paraId="080BD9CF" w14:textId="77777777">
        <w:trPr>
          <w:trHeight w:val="703"/>
        </w:trPr>
        <w:tc>
          <w:tcPr>
            <w:tcW w:w="5351" w:type="dxa"/>
          </w:tcPr>
          <w:p w14:paraId="3213A474" w14:textId="77777777" w:rsidR="001015F7" w:rsidRPr="00C96CCE" w:rsidRDefault="000E07F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</w:t>
            </w:r>
            <w:r w:rsidRPr="00C96CCE">
              <w:rPr>
                <w:rFonts w:ascii="Arial" w:hAnsi="Arial" w:cs="Arial"/>
                <w:b/>
                <w:sz w:val="20"/>
                <w:szCs w:val="20"/>
              </w:rPr>
              <w:t>ferences, please mention them in the review form.</w:t>
            </w:r>
          </w:p>
        </w:tc>
        <w:tc>
          <w:tcPr>
            <w:tcW w:w="9357" w:type="dxa"/>
          </w:tcPr>
          <w:p w14:paraId="3698BF92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The references are sufficient and up-to-date, covering key studies from 2010 to 2023. They are relevant and comprehensive. Optionally, a recent (2024) reference on functional genomics of iron and zinc trait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s could be added if available.</w:t>
            </w:r>
          </w:p>
          <w:p w14:paraId="1CFA1E2E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26491E5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b w:val="0"/>
              </w:rPr>
              <w:t>The following recent reference has been added in the results and discussion;</w:t>
            </w:r>
          </w:p>
          <w:p w14:paraId="273DC719" w14:textId="77777777" w:rsidR="001015F7" w:rsidRPr="00C96CCE" w:rsidRDefault="000E07F2">
            <w:pPr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>“</w:t>
            </w:r>
            <w:r w:rsidRPr="00C96CCE">
              <w:rPr>
                <w:rFonts w:ascii="Arial" w:hAnsi="Arial" w:cs="Arial"/>
                <w:sz w:val="20"/>
                <w:szCs w:val="20"/>
              </w:rPr>
              <w:t>Recent functional genomics studies have identified key genes such as OsMT2D, OsIRT1, OsNAS1/2/3, OsVIT2, and members of the NRAMP and YSL families</w:t>
            </w:r>
            <w:r w:rsidRPr="00C96CCE">
              <w:rPr>
                <w:rFonts w:ascii="Arial" w:hAnsi="Arial" w:cs="Arial"/>
                <w:sz w:val="20"/>
                <w:szCs w:val="20"/>
              </w:rPr>
              <w:t xml:space="preserve"> as crucial regulators of iron and zinc accumulation in rice grains, providing a deeper understanding of the molecular mechanisms driving micronutrient biofortification (</w:t>
            </w:r>
            <w:proofErr w:type="spellStart"/>
            <w:r w:rsidRPr="00C96CCE">
              <w:rPr>
                <w:rFonts w:ascii="Arial" w:hAnsi="Arial" w:cs="Arial"/>
                <w:sz w:val="20"/>
                <w:szCs w:val="20"/>
              </w:rPr>
              <w:t>Sonu</w:t>
            </w:r>
            <w:proofErr w:type="spellEnd"/>
            <w:r w:rsidRPr="00C96CCE">
              <w:rPr>
                <w:rFonts w:ascii="Arial" w:hAnsi="Arial" w:cs="Arial"/>
                <w:sz w:val="20"/>
                <w:szCs w:val="20"/>
              </w:rPr>
              <w:t xml:space="preserve"> et al., 2025)”</w:t>
            </w:r>
          </w:p>
        </w:tc>
      </w:tr>
      <w:tr w:rsidR="001015F7" w:rsidRPr="00C96CCE" w14:paraId="1E1FFF34" w14:textId="77777777">
        <w:trPr>
          <w:trHeight w:val="386"/>
        </w:trPr>
        <w:tc>
          <w:tcPr>
            <w:tcW w:w="5351" w:type="dxa"/>
          </w:tcPr>
          <w:p w14:paraId="49AF97DD" w14:textId="77777777" w:rsidR="001015F7" w:rsidRPr="00C96CCE" w:rsidRDefault="000E07F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96CCE">
              <w:rPr>
                <w:rFonts w:ascii="Arial" w:eastAsia="Times New Roman" w:hAnsi="Arial" w:cs="Arial"/>
              </w:rPr>
              <w:t>Is the language/English quality of the article suitable for schol</w:t>
            </w:r>
            <w:r w:rsidRPr="00C96CCE">
              <w:rPr>
                <w:rFonts w:ascii="Arial" w:eastAsia="Times New Roman" w:hAnsi="Arial" w:cs="Arial"/>
              </w:rPr>
              <w:t>arly communications?</w:t>
            </w:r>
          </w:p>
          <w:p w14:paraId="7061E5EE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6BEC3D5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The English language quality is good and suitable for scholarly communication. Only minor linguistic editing is recommended to improve sentence flow (long sentences could be shortened for smooth flow).</w:t>
            </w:r>
          </w:p>
          <w:p w14:paraId="0F6BC3A2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43CDE11" w14:textId="77777777" w:rsidR="001015F7" w:rsidRPr="00C96CCE" w:rsidRDefault="000E07F2">
            <w:pPr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1015F7" w:rsidRPr="00C96CCE" w14:paraId="1C4353B5" w14:textId="77777777">
        <w:trPr>
          <w:trHeight w:val="1178"/>
        </w:trPr>
        <w:tc>
          <w:tcPr>
            <w:tcW w:w="5351" w:type="dxa"/>
          </w:tcPr>
          <w:p w14:paraId="4C8E3D3D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C96CCE">
              <w:rPr>
                <w:rFonts w:ascii="Arial" w:eastAsia="Times New Roman" w:hAnsi="Arial" w:cs="Arial"/>
                <w:u w:val="single"/>
              </w:rPr>
              <w:t>Optional/General</w:t>
            </w:r>
            <w:r w:rsidRPr="00C96CCE">
              <w:rPr>
                <w:rFonts w:ascii="Arial" w:eastAsia="Times New Roman" w:hAnsi="Arial" w:cs="Arial"/>
              </w:rPr>
              <w:t xml:space="preserve"> </w:t>
            </w:r>
            <w:r w:rsidRPr="00C96CCE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07D034B7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59830501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This is a well-organized and data-rich manuscript addressing an important global issue- micronutrient malnutrition. The integration of traditional and advanced genotypes adds depth to the study and increases its practical value for breeding progr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ams. With slight editorial refinement and careful table formatting, it has strong potential for publication and citation.</w:t>
            </w:r>
          </w:p>
        </w:tc>
        <w:tc>
          <w:tcPr>
            <w:tcW w:w="6442" w:type="dxa"/>
          </w:tcPr>
          <w:p w14:paraId="1263DDDE" w14:textId="77777777" w:rsidR="001015F7" w:rsidRPr="00C96CCE" w:rsidRDefault="000E07F2">
            <w:pPr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</w:tbl>
    <w:p w14:paraId="5DEF1A39" w14:textId="77777777" w:rsidR="001015F7" w:rsidRPr="00C96CCE" w:rsidRDefault="001015F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8CDE3E2" w14:textId="77777777" w:rsidR="001015F7" w:rsidRPr="00C96CCE" w:rsidRDefault="001015F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934A118" w14:textId="77777777" w:rsidR="001015F7" w:rsidRPr="00C96CCE" w:rsidRDefault="001015F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GoBack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1015F7" w:rsidRPr="00C96CCE" w14:paraId="7488D32B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57BC75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96CCE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C96CCE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7E5C378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1015F7" w:rsidRPr="00C96CCE" w14:paraId="3AC88A9A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1A0D23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76BC93" w14:textId="77777777" w:rsidR="001015F7" w:rsidRPr="00C96CCE" w:rsidRDefault="000E07F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96CCE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602D2A78" w14:textId="77777777" w:rsidR="001015F7" w:rsidRPr="00C96CCE" w:rsidRDefault="000E07F2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C96CC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FC319FB" w14:textId="77777777" w:rsidR="001015F7" w:rsidRPr="00C96CCE" w:rsidRDefault="001015F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015F7" w:rsidRPr="00C96CCE" w14:paraId="7306598D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79F64F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73EB0FA9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C4B3DE" w14:textId="77777777" w:rsidR="001015F7" w:rsidRPr="00C96CCE" w:rsidRDefault="000E0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  <w:r w:rsidRPr="00C96CC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Pr="00C96CCE">
              <w:rPr>
                <w:rFonts w:ascii="Arial" w:hAnsi="Arial" w:cs="Arial"/>
                <w:color w:val="000000"/>
                <w:sz w:val="20"/>
                <w:szCs w:val="20"/>
              </w:rPr>
              <w:t>ethical concerns are identified.</w:t>
            </w:r>
          </w:p>
          <w:p w14:paraId="64350DA9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6259E735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E07BBCA" w14:textId="77777777" w:rsidR="001015F7" w:rsidRPr="00C96CCE" w:rsidRDefault="001015F7">
            <w:pPr>
              <w:rPr>
                <w:rFonts w:ascii="Arial" w:hAnsi="Arial" w:cs="Arial"/>
                <w:sz w:val="20"/>
                <w:szCs w:val="20"/>
              </w:rPr>
            </w:pPr>
          </w:p>
          <w:p w14:paraId="79BBFE8F" w14:textId="676698D7" w:rsidR="001015F7" w:rsidRPr="00C96CCE" w:rsidRDefault="006257AE">
            <w:pPr>
              <w:rPr>
                <w:rFonts w:ascii="Arial" w:hAnsi="Arial" w:cs="Arial"/>
                <w:sz w:val="20"/>
                <w:szCs w:val="20"/>
              </w:rPr>
            </w:pPr>
            <w:r w:rsidRPr="00C96CCE">
              <w:rPr>
                <w:rFonts w:ascii="Arial" w:hAnsi="Arial" w:cs="Arial"/>
                <w:sz w:val="20"/>
                <w:szCs w:val="20"/>
              </w:rPr>
              <w:t>Noted</w:t>
            </w:r>
          </w:p>
          <w:p w14:paraId="3C21AD69" w14:textId="77777777" w:rsidR="001015F7" w:rsidRPr="00C96CCE" w:rsidRDefault="001015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5A67034" w14:textId="77777777" w:rsidR="001015F7" w:rsidRPr="00C96CCE" w:rsidRDefault="001015F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1015F7" w:rsidRPr="00C96CCE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349BBD" w14:textId="77777777" w:rsidR="000E07F2" w:rsidRDefault="000E07F2">
      <w:r>
        <w:separator/>
      </w:r>
    </w:p>
  </w:endnote>
  <w:endnote w:type="continuationSeparator" w:id="0">
    <w:p w14:paraId="52A1B773" w14:textId="77777777" w:rsidR="000E07F2" w:rsidRDefault="000E07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BDE76B69-5812-4BDB-BD8E-5DAD0B5C8AB9}"/>
    <w:embedBold r:id="rId2" w:fontKey="{6A38EFAF-3EEB-47F7-87D4-34B29F56780D}"/>
  </w:font>
  <w:font w:name="Arimo">
    <w:charset w:val="00"/>
    <w:family w:val="auto"/>
    <w:pitch w:val="default"/>
    <w:embedRegular r:id="rId3" w:fontKey="{9348498C-B928-4203-A999-4FC275E2904A}"/>
    <w:embedBold r:id="rId4" w:fontKey="{A6EE8FC4-C36D-4079-B877-C09FEC4AB39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B22B9AB9-D1A6-4546-9F8A-A07D3ECA545F}"/>
    <w:embedBold r:id="rId6" w:fontKey="{12622BED-8117-4DF5-9B80-4B52E06611F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6E07C3B-1817-4B34-95E4-BCA0FD78747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A9AE0C0D-EFD9-4A33-83FA-9BBAEDD7EDFC}"/>
    <w:embedItalic r:id="rId9" w:fontKey="{0DCCB44B-C718-40D3-98B6-152DA7752B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0" w:fontKey="{4B2890FF-1EC0-4398-8C12-2DEC4DCF1FC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34FA3B15-B971-4D05-B5A0-F031CBDB97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8EC856" w14:textId="77777777" w:rsidR="001015F7" w:rsidRDefault="000E07F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</w:t>
    </w:r>
    <w:r>
      <w:rPr>
        <w:color w:val="000000"/>
        <w:sz w:val="16"/>
        <w:szCs w:val="16"/>
      </w:rPr>
      <w:t xml:space="preserve">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2A319B" w14:textId="77777777" w:rsidR="000E07F2" w:rsidRDefault="000E07F2">
      <w:r>
        <w:separator/>
      </w:r>
    </w:p>
  </w:footnote>
  <w:footnote w:type="continuationSeparator" w:id="0">
    <w:p w14:paraId="56F00B7C" w14:textId="77777777" w:rsidR="000E07F2" w:rsidRDefault="000E07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84D2E2" w14:textId="77777777" w:rsidR="001015F7" w:rsidRDefault="001015F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E9AE65E" w14:textId="77777777" w:rsidR="001015F7" w:rsidRDefault="000E07F2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5F7"/>
    <w:rsid w:val="000E07F2"/>
    <w:rsid w:val="001015F7"/>
    <w:rsid w:val="004B58CB"/>
    <w:rsid w:val="006257AE"/>
    <w:rsid w:val="00772327"/>
    <w:rsid w:val="00C96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A3F51F"/>
  <w15:docId w15:val="{6A923889-0774-4EE3-AF4B-99CC3153C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7lYlx8WH60i3NaDAFD1IBJNmyw==">CgMxLjAyDmgueDF3a2tobHBod3ZxMg5oLnU2MGt2NHFmM29tNzgAciExR0JiZE5nWW9SYmhTZ18xQzhoQ2NZbjlndjZkZ0puczY=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962</Words>
  <Characters>5489</Characters>
  <Application>Microsoft Office Word</Application>
  <DocSecurity>0</DocSecurity>
  <Lines>45</Lines>
  <Paragraphs>12</Paragraphs>
  <ScaleCrop>false</ScaleCrop>
  <Company/>
  <LinksUpToDate>false</LinksUpToDate>
  <CharactersWithSpaces>6439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1137</cp:lastModifiedBy>
  <cp:revision>3</cp:revision>
  <dcterms:created xsi:type="dcterms:W3CDTF">2011-08-01T09:21:00Z</dcterms:created>
  <dcterms:modified xsi:type="dcterms:W3CDTF">2025-10-16T08:26:00Z</dcterms:modified>
</cp:coreProperties>
</file>