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100" w:rsidRDefault="00B101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10100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B10100" w:rsidRDefault="00B10100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B10100">
        <w:trPr>
          <w:trHeight w:val="290"/>
        </w:trPr>
        <w:tc>
          <w:tcPr>
            <w:tcW w:w="5167" w:type="dxa"/>
          </w:tcPr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100" w:rsidRDefault="003C1AEB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Plant Research Journal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B10100">
        <w:trPr>
          <w:trHeight w:val="290"/>
        </w:trPr>
        <w:tc>
          <w:tcPr>
            <w:tcW w:w="5167" w:type="dxa"/>
          </w:tcPr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Ms_APRJ_146681</w:t>
            </w:r>
          </w:p>
        </w:tc>
      </w:tr>
      <w:tr w:rsidR="00B10100">
        <w:trPr>
          <w:trHeight w:val="650"/>
        </w:trPr>
        <w:tc>
          <w:tcPr>
            <w:tcW w:w="5167" w:type="dxa"/>
          </w:tcPr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Uses of Plants in Cosmetics: A Study from the Andaman and Nicobar Islands</w:t>
            </w:r>
          </w:p>
        </w:tc>
      </w:tr>
      <w:tr w:rsidR="00B10100">
        <w:trPr>
          <w:trHeight w:val="332"/>
        </w:trPr>
        <w:tc>
          <w:tcPr>
            <w:tcW w:w="5167" w:type="dxa"/>
          </w:tcPr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100" w:rsidRDefault="00B10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B10100" w:rsidRDefault="00B10100">
      <w:pPr>
        <w:rPr>
          <w:sz w:val="20"/>
          <w:szCs w:val="20"/>
        </w:rPr>
      </w:pPr>
      <w:bookmarkStart w:id="0" w:name="_heading=h.m1tjsaw13hgg" w:colFirst="0" w:colLast="0"/>
      <w:bookmarkStart w:id="1" w:name="_heading=h.urd0kktegoxv" w:colFirst="0" w:colLast="0"/>
      <w:bookmarkEnd w:id="0"/>
      <w:bookmarkEnd w:id="1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10100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B10100" w:rsidRDefault="003C1AEB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B10100" w:rsidRDefault="00B10100">
            <w:pPr>
              <w:rPr>
                <w:sz w:val="20"/>
                <w:szCs w:val="20"/>
              </w:rPr>
            </w:pPr>
          </w:p>
        </w:tc>
      </w:tr>
      <w:tr w:rsidR="00B10100">
        <w:tc>
          <w:tcPr>
            <w:tcW w:w="5351" w:type="dxa"/>
          </w:tcPr>
          <w:p w:rsidR="00B10100" w:rsidRDefault="00B101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B10100" w:rsidRDefault="003C1AEB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B10100" w:rsidRDefault="003C1AE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10100" w:rsidRDefault="00B10100"/>
        </w:tc>
        <w:tc>
          <w:tcPr>
            <w:tcW w:w="6442" w:type="dxa"/>
          </w:tcPr>
          <w:p w:rsidR="00B10100" w:rsidRDefault="003C1AEB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B10100" w:rsidRDefault="00B1010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B10100">
        <w:trPr>
          <w:trHeight w:val="1264"/>
        </w:trPr>
        <w:tc>
          <w:tcPr>
            <w:tcW w:w="5351" w:type="dxa"/>
          </w:tcPr>
          <w:p w:rsidR="00B10100" w:rsidRDefault="003C1AEB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B10100" w:rsidRDefault="00B10100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B10100" w:rsidRDefault="00B10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B10100" w:rsidRDefault="00B1010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B10100">
        <w:trPr>
          <w:trHeight w:val="1262"/>
        </w:trPr>
        <w:tc>
          <w:tcPr>
            <w:tcW w:w="5351" w:type="dxa"/>
          </w:tcPr>
          <w:p w:rsidR="00B10100" w:rsidRDefault="003C1AEB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B10100" w:rsidRDefault="003C1AEB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B10100" w:rsidRDefault="00B10100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B10100" w:rsidRDefault="00B10100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:rsidR="00B10100" w:rsidRDefault="00B1010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B10100">
        <w:trPr>
          <w:trHeight w:val="1262"/>
        </w:trPr>
        <w:tc>
          <w:tcPr>
            <w:tcW w:w="5351" w:type="dxa"/>
          </w:tcPr>
          <w:p w:rsidR="00B10100" w:rsidRDefault="003C1AEB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B10100" w:rsidRDefault="00B10100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B10100" w:rsidRDefault="00B10100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:rsidR="00B10100" w:rsidRDefault="00B1010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B10100">
        <w:trPr>
          <w:trHeight w:val="704"/>
        </w:trPr>
        <w:tc>
          <w:tcPr>
            <w:tcW w:w="5351" w:type="dxa"/>
          </w:tcPr>
          <w:p w:rsidR="00B10100" w:rsidRDefault="003C1AEB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B10100" w:rsidRDefault="00B10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B10100" w:rsidRDefault="00B1010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B10100">
        <w:trPr>
          <w:trHeight w:val="703"/>
        </w:trPr>
        <w:tc>
          <w:tcPr>
            <w:tcW w:w="5351" w:type="dxa"/>
          </w:tcPr>
          <w:p w:rsidR="00B10100" w:rsidRDefault="003C1AEB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B10100" w:rsidRDefault="00B10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B10100" w:rsidRDefault="00B1010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B10100">
        <w:trPr>
          <w:trHeight w:val="386"/>
        </w:trPr>
        <w:tc>
          <w:tcPr>
            <w:tcW w:w="5351" w:type="dxa"/>
          </w:tcPr>
          <w:p w:rsidR="00B10100" w:rsidRDefault="003C1AEB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Is the language/English quality of the article suitable for scholarly communications?</w:t>
            </w:r>
          </w:p>
          <w:p w:rsidR="00B10100" w:rsidRDefault="00B10100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B10100" w:rsidRDefault="00B10100">
            <w:pP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:rsidR="00B10100" w:rsidRDefault="00B10100">
            <w:pPr>
              <w:rPr>
                <w:sz w:val="20"/>
                <w:szCs w:val="20"/>
              </w:rPr>
            </w:pPr>
          </w:p>
        </w:tc>
      </w:tr>
      <w:tr w:rsidR="00B10100">
        <w:trPr>
          <w:trHeight w:val="1178"/>
        </w:trPr>
        <w:tc>
          <w:tcPr>
            <w:tcW w:w="5351" w:type="dxa"/>
          </w:tcPr>
          <w:p w:rsidR="00B10100" w:rsidRDefault="003C1AE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B10100" w:rsidRDefault="00B1010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The manuscript is well-structured and demonstrates a strong academic tone. However, there are a few minor issues related to punctuation, co</w:t>
            </w:r>
            <w:r>
              <w:rPr>
                <w:rFonts w:ascii="Arimo" w:eastAsia="Arimo" w:hAnsi="Arimo" w:cs="Arimo"/>
                <w:color w:val="000000"/>
              </w:rPr>
              <w:t>nsistency, and style that could be refined for clarity and coherence.</w:t>
            </w:r>
          </w:p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In-text citations that appear at the end of a sentence should be followed by a period outside the closing parenthesis. For example, instead of (Vermeer et al., 2019), it should be written as (Vermeer et al., 2019</w:t>
            </w:r>
            <w:proofErr w:type="gramStart"/>
            <w:r>
              <w:rPr>
                <w:rFonts w:ascii="Arimo" w:eastAsia="Arimo" w:hAnsi="Arimo" w:cs="Arimo"/>
                <w:color w:val="000000"/>
              </w:rPr>
              <w:t>)..</w:t>
            </w:r>
            <w:proofErr w:type="gramEnd"/>
          </w:p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Redundant punctuation should be avoided.</w:t>
            </w:r>
            <w:r>
              <w:rPr>
                <w:rFonts w:ascii="Arimo" w:eastAsia="Arimo" w:hAnsi="Arimo" w:cs="Arimo"/>
                <w:color w:val="000000"/>
              </w:rPr>
              <w:t xml:space="preserve"> For instance, (</w:t>
            </w:r>
            <w:proofErr w:type="spellStart"/>
            <w:r>
              <w:rPr>
                <w:rFonts w:ascii="Arimo" w:eastAsia="Arimo" w:hAnsi="Arimo" w:cs="Arimo"/>
                <w:color w:val="000000"/>
              </w:rPr>
              <w:t>Sasounian</w:t>
            </w:r>
            <w:proofErr w:type="spellEnd"/>
            <w:r>
              <w:rPr>
                <w:rFonts w:ascii="Arimo" w:eastAsia="Arimo" w:hAnsi="Arimo" w:cs="Arimo"/>
                <w:color w:val="000000"/>
              </w:rPr>
              <w:t xml:space="preserve"> et al., 2024</w:t>
            </w:r>
            <w:proofErr w:type="gramStart"/>
            <w:r>
              <w:rPr>
                <w:rFonts w:ascii="Arimo" w:eastAsia="Arimo" w:hAnsi="Arimo" w:cs="Arimo"/>
                <w:color w:val="000000"/>
              </w:rPr>
              <w:t>)..</w:t>
            </w:r>
            <w:proofErr w:type="gramEnd"/>
            <w:r>
              <w:rPr>
                <w:rFonts w:ascii="Arimo" w:eastAsia="Arimo" w:hAnsi="Arimo" w:cs="Arimo"/>
                <w:color w:val="000000"/>
              </w:rPr>
              <w:t xml:space="preserve"> contains an unnecessary second period and should be corrected to (</w:t>
            </w:r>
            <w:proofErr w:type="spellStart"/>
            <w:r>
              <w:rPr>
                <w:rFonts w:ascii="Arimo" w:eastAsia="Arimo" w:hAnsi="Arimo" w:cs="Arimo"/>
                <w:color w:val="000000"/>
              </w:rPr>
              <w:t>Sasounian</w:t>
            </w:r>
            <w:proofErr w:type="spellEnd"/>
            <w:r>
              <w:rPr>
                <w:rFonts w:ascii="Arimo" w:eastAsia="Arimo" w:hAnsi="Arimo" w:cs="Arimo"/>
                <w:color w:val="000000"/>
              </w:rPr>
              <w:t xml:space="preserve"> et al., 2024).</w:t>
            </w:r>
          </w:p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Quotation marks should be used consistently throughout the text. Terms or concepts such as “clean beauty” and 'cosmeceutica</w:t>
            </w:r>
            <w:r>
              <w:rPr>
                <w:rFonts w:ascii="Arimo" w:eastAsia="Arimo" w:hAnsi="Arimo" w:cs="Arimo"/>
                <w:color w:val="000000"/>
              </w:rPr>
              <w:t>ls' should follow a uniform style—preferably single quotation marks unless quoting directly from a source.</w:t>
            </w:r>
          </w:p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Some expressions are repetitive and could be merged or rephrased for better flow. For example, the sentence “These are perceived as safer, gentler an</w:t>
            </w:r>
            <w:r>
              <w:rPr>
                <w:rFonts w:ascii="Arimo" w:eastAsia="Arimo" w:hAnsi="Arimo" w:cs="Arimo"/>
                <w:color w:val="000000"/>
              </w:rPr>
              <w:t>d more environmentally friendly.” is followed by “Plant-based ingredients are considered safer and milder…”, which conveys similar meaning and could be streamlined.</w:t>
            </w:r>
          </w:p>
          <w:p w:rsidR="00B10100" w:rsidRDefault="003C1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The correlative conjunction “both...as well as” is grammatically incorrect in formal writin</w:t>
            </w:r>
            <w:r>
              <w:rPr>
                <w:rFonts w:ascii="Arimo" w:eastAsia="Arimo" w:hAnsi="Arimo" w:cs="Arimo"/>
                <w:color w:val="000000"/>
              </w:rPr>
              <w:t xml:space="preserve">g. It should be replaced with “both...and” for accuracy. For example, the phrase “...for both sustainable </w:t>
            </w:r>
            <w:proofErr w:type="spellStart"/>
            <w:r>
              <w:rPr>
                <w:rFonts w:ascii="Arimo" w:eastAsia="Arimo" w:hAnsi="Arimo" w:cs="Arimo"/>
                <w:color w:val="000000"/>
              </w:rPr>
              <w:t>utilisation</w:t>
            </w:r>
            <w:proofErr w:type="spellEnd"/>
            <w:r>
              <w:rPr>
                <w:rFonts w:ascii="Arimo" w:eastAsia="Arimo" w:hAnsi="Arimo" w:cs="Arimo"/>
                <w:color w:val="000000"/>
              </w:rPr>
              <w:t xml:space="preserve"> as well as economic growth...” should be revised to “...for both sustainable </w:t>
            </w:r>
            <w:proofErr w:type="spellStart"/>
            <w:r>
              <w:rPr>
                <w:rFonts w:ascii="Arimo" w:eastAsia="Arimo" w:hAnsi="Arimo" w:cs="Arimo"/>
                <w:color w:val="000000"/>
              </w:rPr>
              <w:t>utilisation</w:t>
            </w:r>
            <w:proofErr w:type="spellEnd"/>
            <w:r>
              <w:rPr>
                <w:rFonts w:ascii="Arimo" w:eastAsia="Arimo" w:hAnsi="Arimo" w:cs="Arimo"/>
                <w:color w:val="000000"/>
              </w:rPr>
              <w:t xml:space="preserve"> and economic growth...”.</w:t>
            </w:r>
          </w:p>
          <w:p w:rsidR="00B10100" w:rsidRDefault="003C1AEB">
            <w:pPr>
              <w:spacing w:before="280" w:after="280"/>
            </w:pPr>
            <w:r>
              <w:t>A new column should be a</w:t>
            </w:r>
            <w:r>
              <w:t>dded to the tables to include the relevant literature.</w:t>
            </w:r>
          </w:p>
          <w:p w:rsidR="00B10100" w:rsidRDefault="00B10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B10100" w:rsidRDefault="006E1EEF">
            <w:pPr>
              <w:rPr>
                <w:sz w:val="20"/>
                <w:szCs w:val="20"/>
              </w:rPr>
            </w:pPr>
            <w:r>
              <w:t>All such issues have been corrected.</w:t>
            </w:r>
            <w:bookmarkStart w:id="2" w:name="_GoBack"/>
            <w:bookmarkEnd w:id="2"/>
          </w:p>
        </w:tc>
      </w:tr>
    </w:tbl>
    <w:p w:rsidR="00B10100" w:rsidRDefault="00B1010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10100" w:rsidRDefault="00B1010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3" w:name="_heading=h.bly5ouop85ml" w:colFirst="0" w:colLast="0"/>
      <w:bookmarkEnd w:id="3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10100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100" w:rsidRDefault="003C1AE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B10100" w:rsidRDefault="00B1010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B10100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100" w:rsidRDefault="00B1010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100" w:rsidRDefault="003C1AEB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100" w:rsidRDefault="003C1AEB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B10100" w:rsidRDefault="00B10100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10100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100" w:rsidRDefault="003C1AE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B10100" w:rsidRDefault="00B1010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100" w:rsidRDefault="003C1AE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B10100" w:rsidRDefault="00B1010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10100" w:rsidRDefault="00B1010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0100" w:rsidRDefault="00B1010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10100" w:rsidRDefault="003C1AE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t>All such issues have been corrected. In-text citations follow proper punctuation. Single quotation marks are used consistently. Redundant sentences have been merged for clarity. “Both</w:t>
            </w:r>
            <w:r>
              <w:t>...as well as” corrected to “both...and.” A new column titled Relevant Literature has been added in the plant-use table.</w:t>
            </w:r>
          </w:p>
          <w:p w:rsidR="00B10100" w:rsidRDefault="00B1010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10100" w:rsidRDefault="00B10100" w:rsidP="006E1EEF"/>
    <w:sectPr w:rsidR="00B10100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AEB" w:rsidRDefault="003C1AEB">
      <w:r>
        <w:separator/>
      </w:r>
    </w:p>
  </w:endnote>
  <w:endnote w:type="continuationSeparator" w:id="0">
    <w:p w:rsidR="003C1AEB" w:rsidRDefault="003C1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0100" w:rsidRDefault="003C1AE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AEB" w:rsidRDefault="003C1AEB">
      <w:r>
        <w:separator/>
      </w:r>
    </w:p>
  </w:footnote>
  <w:footnote w:type="continuationSeparator" w:id="0">
    <w:p w:rsidR="003C1AEB" w:rsidRDefault="003C1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0100" w:rsidRDefault="00B1010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B10100" w:rsidRDefault="003C1AE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100"/>
    <w:rsid w:val="003C1AEB"/>
    <w:rsid w:val="006E1EEF"/>
    <w:rsid w:val="00B1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9A4053-C202-494D-A8AA-85E47747B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prj.com/index.php/APR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LYdo5SoGQe8Xp8qAHS5qtWckzg==">CgMxLjAyDmgubTF0anNhdzEzaGdnMg5oLnVyZDBra3RlZ294djIOaC5ibHk1b3VvcDg1bWw4AHIhMVdPZk1sTmlZQmhDN3JQOHBqRnQ0TzVSRDJCdnAxYzdp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2011-08-01T09:21:00Z</dcterms:created>
  <dcterms:modified xsi:type="dcterms:W3CDTF">2025-10-25T06:47:00Z</dcterms:modified>
</cp:coreProperties>
</file>