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4"/>
        <w:rPr>
          <w:sz w:val="12"/>
        </w:rPr>
      </w:pPr>
    </w:p>
    <w:tbl>
      <w:tblPr>
        <w:tblW w:w="0" w:type="auto"/>
        <w:jc w:val="lef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68"/>
        <w:gridCol w:w="15770"/>
      </w:tblGrid>
      <w:tr>
        <w:trPr>
          <w:trHeight w:val="290" w:hRule="atLeast"/>
        </w:trPr>
        <w:tc>
          <w:tcPr>
            <w:tcW w:w="5168" w:type="dxa"/>
          </w:tcPr>
          <w:p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Infectious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Diseases</w:t>
              </w:r>
            </w:hyperlink>
          </w:p>
        </w:tc>
      </w:tr>
      <w:tr>
        <w:trPr>
          <w:trHeight w:val="290" w:hRule="atLeast"/>
        </w:trPr>
        <w:tc>
          <w:tcPr>
            <w:tcW w:w="5168" w:type="dxa"/>
          </w:tcPr>
          <w:p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>
            <w:pPr>
              <w:pStyle w:val="TableParagraph"/>
              <w:spacing w:before="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Ms_AJRID_146452</w:t>
            </w:r>
          </w:p>
        </w:tc>
      </w:tr>
      <w:tr>
        <w:trPr>
          <w:trHeight w:val="650" w:hRule="atLeast"/>
        </w:trPr>
        <w:tc>
          <w:tcPr>
            <w:tcW w:w="5168" w:type="dxa"/>
          </w:tcPr>
          <w:p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>
            <w:pPr>
              <w:pStyle w:val="TableParagraph"/>
              <w:spacing w:before="2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cluster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randomized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trial</w:t>
            </w:r>
            <w:r>
              <w:rPr>
                <w:rFonts w:ascii="Arial"/>
                <w:b/>
                <w:spacing w:val="-4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evaluating</w:t>
            </w:r>
            <w:r>
              <w:rPr>
                <w:rFonts w:ascii="Arial"/>
                <w:b/>
                <w:spacing w:val="-5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care</w:t>
            </w:r>
            <w:r>
              <w:rPr>
                <w:rFonts w:ascii="Arial"/>
                <w:b/>
                <w:spacing w:val="-2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model</w:t>
            </w:r>
            <w:r>
              <w:rPr>
                <w:rFonts w:ascii="Arial"/>
                <w:b/>
                <w:spacing w:val="-4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adapted</w:t>
            </w:r>
            <w:r>
              <w:rPr>
                <w:rFonts w:ascii="Arial"/>
                <w:b/>
                <w:spacing w:val="-5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5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people</w:t>
            </w:r>
            <w:r>
              <w:rPr>
                <w:rFonts w:ascii="Arial"/>
                <w:b/>
                <w:spacing w:val="-7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living</w:t>
            </w:r>
            <w:r>
              <w:rPr>
                <w:rFonts w:ascii="Arial"/>
                <w:b/>
                <w:spacing w:val="-3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with</w:t>
            </w:r>
            <w:r>
              <w:rPr>
                <w:rFonts w:ascii="Arial"/>
                <w:b/>
                <w:spacing w:val="-5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HIV</w:t>
            </w:r>
            <w:r>
              <w:rPr>
                <w:rFonts w:ascii="Arial"/>
                <w:b/>
                <w:spacing w:val="-7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3"/>
                <w:sz w:val="20"/>
              </w:rPr>
              <w:t> </w:t>
            </w:r>
            <w:r>
              <w:rPr>
                <w:rFonts w:ascii="Arial"/>
                <w:b/>
                <w:spacing w:val="-2"/>
                <w:sz w:val="20"/>
              </w:rPr>
              <w:t>Senegal</w:t>
            </w:r>
          </w:p>
        </w:tc>
      </w:tr>
      <w:tr>
        <w:trPr>
          <w:trHeight w:val="333" w:hRule="atLeast"/>
        </w:trPr>
        <w:tc>
          <w:tcPr>
            <w:tcW w:w="5168" w:type="dxa"/>
          </w:tcPr>
          <w:p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Original</w:t>
            </w:r>
            <w:r>
              <w:rPr>
                <w:rFonts w:ascii="Arial"/>
                <w:b/>
                <w:spacing w:val="-11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Research</w:t>
            </w:r>
            <w:r>
              <w:rPr>
                <w:rFonts w:ascii="Arial"/>
                <w:b/>
                <w:spacing w:val="-8"/>
                <w:sz w:val="20"/>
              </w:rPr>
              <w:t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20"/>
        </w:rPr>
      </w:pPr>
    </w:p>
    <w:tbl>
      <w:tblPr>
        <w:tblW w:w="0" w:type="auto"/>
        <w:jc w:val="left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97"/>
        <w:gridCol w:w="9262"/>
        <w:gridCol w:w="6377"/>
      </w:tblGrid>
      <w:tr>
        <w:trPr>
          <w:trHeight w:val="448" w:hRule="atLeast"/>
        </w:trPr>
        <w:tc>
          <w:tcPr>
            <w:tcW w:w="20936" w:type="dxa"/>
            <w:gridSpan w:val="3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>
        <w:trPr>
          <w:trHeight w:val="967" w:hRule="atLeast"/>
        </w:trPr>
        <w:tc>
          <w:tcPr>
            <w:tcW w:w="5297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262" w:type="dxa"/>
          </w:tcPr>
          <w:p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comment</w:t>
            </w:r>
          </w:p>
          <w:p>
            <w:pPr>
              <w:pStyle w:val="TableParagraph"/>
              <w:ind w:right="20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377" w:type="dxa"/>
          </w:tcPr>
          <w:p>
            <w:pPr>
              <w:pStyle w:val="TableParagraph"/>
              <w:ind w:left="108" w:right="115"/>
              <w:rPr>
                <w:sz w:val="20"/>
              </w:rPr>
            </w:pPr>
            <w:r>
              <w:rPr>
                <w:sz w:val="20"/>
              </w:rPr>
              <w:t>The manuscript was written by a co-author (N Nd F) who is a French speaker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good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English,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level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corrected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an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English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speaker.</w:t>
            </w:r>
          </w:p>
        </w:tc>
      </w:tr>
      <w:tr>
        <w:trPr>
          <w:trHeight w:val="1840" w:hRule="atLeast"/>
        </w:trPr>
        <w:tc>
          <w:tcPr>
            <w:tcW w:w="5297" w:type="dxa"/>
          </w:tcPr>
          <w:p>
            <w:pPr>
              <w:pStyle w:val="TableParagraph"/>
              <w:ind w:left="467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62" w:type="dxa"/>
          </w:tcPr>
          <w:p>
            <w:pPr>
              <w:pStyle w:val="TableParagraph"/>
              <w:ind w:right="202"/>
              <w:rPr>
                <w:sz w:val="20"/>
              </w:rPr>
            </w:pPr>
            <w:r>
              <w:rPr>
                <w:sz w:val="20"/>
              </w:rPr>
              <w:t>HIV remains a global public health concern, and the adherence to antiretroviral treatment (ART) by people living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HIV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(PLHIV)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remains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most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efficient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way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prevent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their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death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control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disease.</w:t>
            </w:r>
            <w:r>
              <w:rPr>
                <w:spacing w:val="40"/>
                <w:sz w:val="20"/>
              </w:rPr>
              <w:t> </w:t>
            </w:r>
            <w:r>
              <w:rPr>
                <w:sz w:val="20"/>
              </w:rPr>
              <w:t>Having a study that compares the retention rate of the ART-stable (on ART for ≥ 6 months with a stable condition) PLHIV between a care model adapted to PLHIV (CMAP) combining task shifting, differentiated follow-up (intervention) and the standard of care (control) significantly benefits the scientific community. The study has provided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insights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on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how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CMAP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increases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retention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PLHIV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in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HIV</w:t>
            </w:r>
            <w:r>
              <w:rPr>
                <w:spacing w:val="-2"/>
                <w:sz w:val="20"/>
              </w:rPr>
              <w:t> </w:t>
            </w:r>
            <w:r>
              <w:rPr>
                <w:sz w:val="20"/>
              </w:rPr>
              <w:t>care,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shortens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travel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time,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> </w:t>
            </w:r>
            <w:r>
              <w:rPr>
                <w:sz w:val="20"/>
              </w:rPr>
              <w:t>decreases cost in HIV care.</w:t>
            </w:r>
          </w:p>
        </w:tc>
        <w:tc>
          <w:tcPr>
            <w:tcW w:w="6377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1262" w:hRule="atLeast"/>
        </w:trPr>
        <w:tc>
          <w:tcPr>
            <w:tcW w:w="5297" w:type="dxa"/>
          </w:tcPr>
          <w:p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suitable?</w:t>
            </w:r>
          </w:p>
          <w:p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62" w:type="dxa"/>
          </w:tcPr>
          <w:p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377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1262" w:hRule="atLeast"/>
        </w:trPr>
        <w:tc>
          <w:tcPr>
            <w:tcW w:w="5297" w:type="dxa"/>
          </w:tcPr>
          <w:p>
            <w:pPr>
              <w:pStyle w:val="TableParagraph"/>
              <w:ind w:left="467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62" w:type="dxa"/>
          </w:tcPr>
          <w:p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377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702" w:hRule="atLeast"/>
        </w:trPr>
        <w:tc>
          <w:tcPr>
            <w:tcW w:w="5297" w:type="dxa"/>
          </w:tcPr>
          <w:p>
            <w:pPr>
              <w:pStyle w:val="TableParagraph"/>
              <w:ind w:left="467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62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377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702" w:hRule="atLeast"/>
        </w:trPr>
        <w:tc>
          <w:tcPr>
            <w:tcW w:w="5297" w:type="dxa"/>
          </w:tcPr>
          <w:p>
            <w:pPr>
              <w:pStyle w:val="TableParagraph"/>
              <w:spacing w:line="230" w:lineRule="atLeast"/>
              <w:ind w:left="467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62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author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needs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to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add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more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recent</w:t>
            </w:r>
            <w:r>
              <w:rPr>
                <w:spacing w:val="-5"/>
                <w:sz w:val="20"/>
              </w:rPr>
              <w:t> </w:t>
            </w:r>
            <w:r>
              <w:rPr>
                <w:spacing w:val="-2"/>
                <w:sz w:val="20"/>
              </w:rPr>
              <w:t>references</w:t>
            </w:r>
          </w:p>
        </w:tc>
        <w:tc>
          <w:tcPr>
            <w:tcW w:w="6377" w:type="dxa"/>
          </w:tcPr>
          <w:p>
            <w:pPr>
              <w:pStyle w:val="TableParagraph"/>
              <w:ind w:left="108" w:right="115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bibliographic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search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conducted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this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week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did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not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find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any</w:t>
            </w:r>
            <w:r>
              <w:rPr>
                <w:spacing w:val="-8"/>
                <w:sz w:val="20"/>
              </w:rPr>
              <w:t> </w:t>
            </w:r>
            <w:r>
              <w:rPr>
                <w:sz w:val="20"/>
              </w:rPr>
              <w:t>more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recent </w:t>
            </w:r>
            <w:r>
              <w:rPr>
                <w:spacing w:val="-2"/>
                <w:sz w:val="20"/>
              </w:rPr>
              <w:t>reference(s).</w:t>
            </w:r>
          </w:p>
        </w:tc>
      </w:tr>
      <w:tr>
        <w:trPr>
          <w:trHeight w:val="690" w:hRule="atLeast"/>
        </w:trPr>
        <w:tc>
          <w:tcPr>
            <w:tcW w:w="5297" w:type="dxa"/>
          </w:tcPr>
          <w:p>
            <w:pPr>
              <w:pStyle w:val="TableParagraph"/>
              <w:ind w:left="467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262" w:type="dxa"/>
          </w:tcPr>
          <w:p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377" w:type="dxa"/>
          </w:tcPr>
          <w:p>
            <w:pPr>
              <w:pStyle w:val="TableParagraph"/>
              <w:ind w:left="0"/>
              <w:rPr>
                <w:sz w:val="20"/>
              </w:rPr>
            </w:pPr>
          </w:p>
        </w:tc>
      </w:tr>
      <w:tr>
        <w:trPr>
          <w:trHeight w:val="1610" w:hRule="atLeast"/>
        </w:trPr>
        <w:tc>
          <w:tcPr>
            <w:tcW w:w="5297" w:type="dxa"/>
          </w:tcPr>
          <w:p>
            <w:pPr>
              <w:pStyle w:val="TableParagraph"/>
              <w:spacing w:before="1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62" w:type="dxa"/>
          </w:tcPr>
          <w:p>
            <w:pPr>
              <w:pStyle w:val="TableParagraph"/>
              <w:spacing w:line="217" w:lineRule="exact"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Well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> </w:t>
            </w:r>
            <w:r>
              <w:rPr>
                <w:b/>
                <w:spacing w:val="-2"/>
                <w:sz w:val="20"/>
              </w:rPr>
              <w:t>extensive</w:t>
            </w:r>
          </w:p>
          <w:p>
            <w:pPr>
              <w:pStyle w:val="TableParagraph"/>
              <w:spacing w:line="211" w:lineRule="auto" w:before="24"/>
              <w:rPr>
                <w:rFonts w:ascii="Yu Gothic"/>
                <w:sz w:val="24"/>
              </w:rPr>
            </w:pPr>
            <w:r>
              <w:rPr>
                <w:rFonts w:ascii="Yu Gothic"/>
                <w:sz w:val="24"/>
              </w:rPr>
              <w:t>I</w:t>
            </w:r>
            <w:r>
              <w:rPr>
                <w:rFonts w:ascii="Yu Gothic"/>
                <w:spacing w:val="-5"/>
                <w:sz w:val="24"/>
              </w:rPr>
              <w:t> </w:t>
            </w:r>
            <w:r>
              <w:rPr>
                <w:rFonts w:ascii="Yu Gothic"/>
                <w:sz w:val="24"/>
              </w:rPr>
              <w:t>suggest</w:t>
            </w:r>
            <w:r>
              <w:rPr>
                <w:rFonts w:ascii="Yu Gothic"/>
                <w:spacing w:val="-3"/>
                <w:sz w:val="24"/>
              </w:rPr>
              <w:t> </w:t>
            </w:r>
            <w:r>
              <w:rPr>
                <w:rFonts w:ascii="Yu Gothic"/>
                <w:sz w:val="24"/>
              </w:rPr>
              <w:t>the</w:t>
            </w:r>
            <w:r>
              <w:rPr>
                <w:rFonts w:ascii="Yu Gothic"/>
                <w:spacing w:val="-6"/>
                <w:sz w:val="24"/>
              </w:rPr>
              <w:t> </w:t>
            </w:r>
            <w:r>
              <w:rPr>
                <w:rFonts w:ascii="Yu Gothic"/>
                <w:sz w:val="24"/>
              </w:rPr>
              <w:t>author</w:t>
            </w:r>
            <w:r>
              <w:rPr>
                <w:rFonts w:ascii="Yu Gothic"/>
                <w:spacing w:val="-5"/>
                <w:sz w:val="24"/>
              </w:rPr>
              <w:t> </w:t>
            </w:r>
            <w:r>
              <w:rPr>
                <w:rFonts w:ascii="Yu Gothic"/>
                <w:sz w:val="24"/>
              </w:rPr>
              <w:t>add</w:t>
            </w:r>
            <w:r>
              <w:rPr>
                <w:rFonts w:ascii="Yu Gothic"/>
                <w:spacing w:val="-3"/>
                <w:sz w:val="24"/>
              </w:rPr>
              <w:t> </w:t>
            </w:r>
            <w:r>
              <w:rPr>
                <w:rFonts w:ascii="Yu Gothic"/>
                <w:sz w:val="24"/>
              </w:rPr>
              <w:t>limitations</w:t>
            </w:r>
            <w:r>
              <w:rPr>
                <w:rFonts w:ascii="Yu Gothic"/>
                <w:spacing w:val="-4"/>
                <w:sz w:val="24"/>
              </w:rPr>
              <w:t> </w:t>
            </w:r>
            <w:r>
              <w:rPr>
                <w:rFonts w:ascii="Yu Gothic"/>
                <w:sz w:val="24"/>
              </w:rPr>
              <w:t>encountered</w:t>
            </w:r>
            <w:r>
              <w:rPr>
                <w:rFonts w:ascii="Yu Gothic"/>
                <w:spacing w:val="-3"/>
                <w:sz w:val="24"/>
              </w:rPr>
              <w:t> </w:t>
            </w:r>
            <w:r>
              <w:rPr>
                <w:rFonts w:ascii="Yu Gothic"/>
                <w:sz w:val="24"/>
              </w:rPr>
              <w:t>during</w:t>
            </w:r>
            <w:r>
              <w:rPr>
                <w:rFonts w:ascii="Yu Gothic"/>
                <w:spacing w:val="-3"/>
                <w:sz w:val="24"/>
              </w:rPr>
              <w:t> </w:t>
            </w:r>
            <w:r>
              <w:rPr>
                <w:rFonts w:ascii="Yu Gothic"/>
                <w:sz w:val="24"/>
              </w:rPr>
              <w:t>the</w:t>
            </w:r>
            <w:r>
              <w:rPr>
                <w:rFonts w:ascii="Yu Gothic"/>
                <w:spacing w:val="-4"/>
                <w:sz w:val="24"/>
              </w:rPr>
              <w:t> </w:t>
            </w:r>
            <w:r>
              <w:rPr>
                <w:rFonts w:ascii="Yu Gothic"/>
                <w:sz w:val="24"/>
              </w:rPr>
              <w:t>study</w:t>
            </w:r>
            <w:r>
              <w:rPr>
                <w:rFonts w:ascii="Yu Gothic"/>
                <w:spacing w:val="-6"/>
                <w:sz w:val="24"/>
              </w:rPr>
              <w:t> </w:t>
            </w:r>
            <w:r>
              <w:rPr>
                <w:rFonts w:ascii="Yu Gothic"/>
                <w:sz w:val="24"/>
              </w:rPr>
              <w:t>and recommendations to this manuscript.</w:t>
            </w:r>
          </w:p>
        </w:tc>
        <w:tc>
          <w:tcPr>
            <w:tcW w:w="6377" w:type="dxa"/>
          </w:tcPr>
          <w:p>
            <w:pPr>
              <w:pStyle w:val="TableParagraph"/>
              <w:spacing w:before="1"/>
              <w:ind w:left="108" w:right="115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difficulty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encountered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during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implementation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study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was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the training guides of the national program were designed for medical staff: it was necessary to create training modules more suitable for paramedical and community staffl, but after discussion, we considered that this was not a </w:t>
            </w:r>
            <w:r>
              <w:rPr>
                <w:spacing w:val="-2"/>
                <w:sz w:val="20"/>
              </w:rPr>
              <w:t>limitation.</w:t>
            </w:r>
          </w:p>
          <w:p>
            <w:pPr>
              <w:pStyle w:val="TableParagraph"/>
              <w:spacing w:line="230" w:lineRule="exact"/>
              <w:ind w:left="108" w:right="11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results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qualitative</w:t>
            </w:r>
            <w:r>
              <w:rPr>
                <w:spacing w:val="-4"/>
                <w:sz w:val="20"/>
              </w:rPr>
              <w:t> </w:t>
            </w:r>
            <w:r>
              <w:rPr>
                <w:sz w:val="20"/>
              </w:rPr>
              <w:t>analyses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specified the</w:t>
            </w:r>
            <w:r>
              <w:rPr>
                <w:spacing w:val="-3"/>
                <w:sz w:val="20"/>
              </w:rPr>
              <w:t> </w:t>
            </w:r>
            <w:r>
              <w:rPr>
                <w:sz w:val="20"/>
              </w:rPr>
              <w:t>ideal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conditions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for successful scale-up that can be considered as recommendations.</w:t>
            </w:r>
          </w:p>
        </w:tc>
      </w:tr>
    </w:tbl>
    <w:p>
      <w:pPr>
        <w:pStyle w:val="TableParagraph"/>
        <w:spacing w:after="0" w:line="230" w:lineRule="exact"/>
        <w:rPr>
          <w:sz w:val="20"/>
        </w:rPr>
        <w:sectPr>
          <w:headerReference w:type="default" r:id="rId5"/>
          <w:footerReference w:type="default" r:id="rId6"/>
          <w:type w:val="continuous"/>
          <w:pgSz w:w="23820" w:h="16840" w:orient="landscape"/>
          <w:pgMar w:header="1285" w:footer="694" w:top="2000" w:bottom="880" w:left="1417" w:right="1417"/>
          <w:pgNumType w:start="1"/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54"/>
        <w:rPr>
          <w:sz w:val="20"/>
        </w:rPr>
      </w:pPr>
    </w:p>
    <w:tbl>
      <w:tblPr>
        <w:tblW w:w="0" w:type="auto"/>
        <w:jc w:val="left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64"/>
        <w:gridCol w:w="7092"/>
        <w:gridCol w:w="7081"/>
      </w:tblGrid>
      <w:tr>
        <w:trPr>
          <w:trHeight w:val="520" w:hRule="atLeast"/>
        </w:trPr>
        <w:tc>
          <w:tcPr>
            <w:tcW w:w="20937" w:type="dxa"/>
            <w:gridSpan w:val="3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line="223" w:lineRule="exact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rFonts w:ascii="Arial"/>
                <w:b/>
                <w:color w:val="000000"/>
                <w:spacing w:val="50"/>
                <w:sz w:val="20"/>
                <w:highlight w:val="yellow"/>
                <w:u w:val="single"/>
              </w:rPr>
              <w:t> </w:t>
            </w:r>
            <w:r>
              <w:rPr>
                <w:rFonts w:ascii="Arial"/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>
        <w:trPr>
          <w:trHeight w:val="906" w:hRule="atLeast"/>
        </w:trPr>
        <w:tc>
          <w:tcPr>
            <w:tcW w:w="6764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092" w:type="dxa"/>
          </w:tcPr>
          <w:p>
            <w:pPr>
              <w:pStyle w:val="TableParagraph"/>
              <w:spacing w:line="229" w:lineRule="exact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Reviewer’s</w:t>
            </w:r>
            <w:r>
              <w:rPr>
                <w:rFonts w:ascii="Arial" w:hAnsi="Arial"/>
                <w:b/>
                <w:spacing w:val="-13"/>
                <w:sz w:val="20"/>
              </w:rPr>
              <w:t> </w:t>
            </w:r>
            <w:r>
              <w:rPr>
                <w:rFonts w:ascii="Arial" w:hAnsi="Arial"/>
                <w:b/>
                <w:spacing w:val="-2"/>
                <w:sz w:val="20"/>
              </w:rPr>
              <w:t>comment</w:t>
            </w:r>
          </w:p>
        </w:tc>
        <w:tc>
          <w:tcPr>
            <w:tcW w:w="7081" w:type="dxa"/>
          </w:tcPr>
          <w:p>
            <w:pPr>
              <w:pStyle w:val="TableParagraph"/>
              <w:spacing w:line="252" w:lineRule="auto"/>
              <w:ind w:left="5" w:right="78"/>
              <w:rPr>
                <w:rFonts w:ascii="Arial MT" w:hAnsi="Arial MT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Author’s</w:t>
            </w:r>
            <w:r>
              <w:rPr>
                <w:rFonts w:ascii="Arial" w:hAnsi="Arial"/>
                <w:b/>
                <w:spacing w:val="-6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Feedback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(It</w:t>
            </w:r>
            <w:r>
              <w:rPr>
                <w:rFonts w:ascii="Arial MT" w:hAnsi="Arial MT"/>
                <w:spacing w:val="-4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is</w:t>
            </w:r>
            <w:r>
              <w:rPr>
                <w:rFonts w:ascii="Arial MT" w:hAnsi="Arial MT"/>
                <w:spacing w:val="-5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mandatory</w:t>
            </w:r>
            <w:r>
              <w:rPr>
                <w:rFonts w:ascii="Arial MT" w:hAnsi="Arial MT"/>
                <w:spacing w:val="-4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that</w:t>
            </w:r>
            <w:r>
              <w:rPr>
                <w:rFonts w:ascii="Arial MT" w:hAnsi="Arial MT"/>
                <w:spacing w:val="-4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authors</w:t>
            </w:r>
            <w:r>
              <w:rPr>
                <w:rFonts w:ascii="Arial MT" w:hAnsi="Arial MT"/>
                <w:spacing w:val="-5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should</w:t>
            </w:r>
            <w:r>
              <w:rPr>
                <w:rFonts w:ascii="Arial MT" w:hAnsi="Arial MT"/>
                <w:spacing w:val="-6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write</w:t>
            </w:r>
            <w:r>
              <w:rPr>
                <w:rFonts w:ascii="Arial MT" w:hAnsi="Arial MT"/>
                <w:spacing w:val="-4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his/her</w:t>
            </w:r>
            <w:r>
              <w:rPr>
                <w:rFonts w:ascii="Arial MT" w:hAnsi="Arial MT"/>
                <w:spacing w:val="-5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feedback </w:t>
            </w:r>
            <w:r>
              <w:rPr>
                <w:rFonts w:ascii="Arial MT" w:hAnsi="Arial MT"/>
                <w:spacing w:val="-2"/>
                <w:sz w:val="20"/>
              </w:rPr>
              <w:t>here)</w:t>
            </w:r>
          </w:p>
        </w:tc>
      </w:tr>
      <w:tr>
        <w:trPr>
          <w:trHeight w:val="892" w:hRule="atLeast"/>
        </w:trPr>
        <w:tc>
          <w:tcPr>
            <w:tcW w:w="6764" w:type="dxa"/>
          </w:tcPr>
          <w:p>
            <w:pPr>
              <w:pStyle w:val="TableParagraph"/>
              <w:spacing w:before="18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Are</w:t>
            </w:r>
            <w:r>
              <w:rPr>
                <w:rFonts w:ascii="Arial"/>
                <w:b/>
                <w:spacing w:val="-7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there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ethical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issues</w:t>
            </w:r>
            <w:r>
              <w:rPr>
                <w:rFonts w:ascii="Arial"/>
                <w:b/>
                <w:spacing w:val="-6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5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this</w:t>
            </w:r>
            <w:r>
              <w:rPr>
                <w:rFonts w:ascii="Arial"/>
                <w:b/>
                <w:spacing w:val="-7"/>
                <w:sz w:val="20"/>
              </w:rPr>
              <w:t> </w:t>
            </w:r>
            <w:r>
              <w:rPr>
                <w:rFonts w:ascii="Arial"/>
                <w:b/>
                <w:spacing w:val="-2"/>
                <w:sz w:val="20"/>
              </w:rPr>
              <w:t>manuscript?</w:t>
            </w:r>
          </w:p>
        </w:tc>
        <w:tc>
          <w:tcPr>
            <w:tcW w:w="7092" w:type="dxa"/>
          </w:tcPr>
          <w:p>
            <w:pPr>
              <w:pStyle w:val="TableParagraph"/>
              <w:spacing w:before="182"/>
              <w:ind w:left="108"/>
              <w:rPr>
                <w:rFonts w:ascii="Arial"/>
                <w:i/>
                <w:sz w:val="20"/>
              </w:rPr>
            </w:pPr>
            <w:r>
              <w:rPr>
                <w:rFonts w:ascii="Arial"/>
                <w:i/>
                <w:sz w:val="20"/>
                <w:u w:val="single"/>
              </w:rPr>
              <w:t>(If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> </w:t>
            </w:r>
            <w:r>
              <w:rPr>
                <w:rFonts w:ascii="Arial"/>
                <w:i/>
                <w:sz w:val="20"/>
                <w:u w:val="single"/>
              </w:rPr>
              <w:t>yes,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> </w:t>
            </w:r>
            <w:r>
              <w:rPr>
                <w:rFonts w:ascii="Arial"/>
                <w:i/>
                <w:sz w:val="20"/>
                <w:u w:val="single"/>
              </w:rPr>
              <w:t>Kindly</w:t>
            </w:r>
            <w:r>
              <w:rPr>
                <w:rFonts w:ascii="Arial"/>
                <w:i/>
                <w:spacing w:val="-6"/>
                <w:sz w:val="20"/>
                <w:u w:val="single"/>
              </w:rPr>
              <w:t> </w:t>
            </w:r>
            <w:r>
              <w:rPr>
                <w:rFonts w:ascii="Arial"/>
                <w:i/>
                <w:sz w:val="20"/>
                <w:u w:val="single"/>
              </w:rPr>
              <w:t>please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> </w:t>
            </w:r>
            <w:r>
              <w:rPr>
                <w:rFonts w:ascii="Arial"/>
                <w:i/>
                <w:sz w:val="20"/>
                <w:u w:val="single"/>
              </w:rPr>
              <w:t>write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> </w:t>
            </w:r>
            <w:r>
              <w:rPr>
                <w:rFonts w:ascii="Arial"/>
                <w:i/>
                <w:sz w:val="20"/>
                <w:u w:val="single"/>
              </w:rPr>
              <w:t>down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> </w:t>
            </w:r>
            <w:r>
              <w:rPr>
                <w:rFonts w:ascii="Arial"/>
                <w:i/>
                <w:sz w:val="20"/>
                <w:u w:val="single"/>
              </w:rPr>
              <w:t>the</w:t>
            </w:r>
            <w:r>
              <w:rPr>
                <w:rFonts w:ascii="Arial"/>
                <w:i/>
                <w:spacing w:val="-6"/>
                <w:sz w:val="20"/>
                <w:u w:val="single"/>
              </w:rPr>
              <w:t> </w:t>
            </w:r>
            <w:r>
              <w:rPr>
                <w:rFonts w:ascii="Arial"/>
                <w:i/>
                <w:sz w:val="20"/>
                <w:u w:val="single"/>
              </w:rPr>
              <w:t>ethical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> </w:t>
            </w:r>
            <w:r>
              <w:rPr>
                <w:rFonts w:ascii="Arial"/>
                <w:i/>
                <w:sz w:val="20"/>
                <w:u w:val="single"/>
              </w:rPr>
              <w:t>issues</w:t>
            </w:r>
            <w:r>
              <w:rPr>
                <w:rFonts w:ascii="Arial"/>
                <w:i/>
                <w:spacing w:val="-6"/>
                <w:sz w:val="20"/>
                <w:u w:val="single"/>
              </w:rPr>
              <w:t> </w:t>
            </w:r>
            <w:r>
              <w:rPr>
                <w:rFonts w:ascii="Arial"/>
                <w:i/>
                <w:sz w:val="20"/>
                <w:u w:val="single"/>
              </w:rPr>
              <w:t>here</w:t>
            </w:r>
            <w:r>
              <w:rPr>
                <w:rFonts w:ascii="Arial"/>
                <w:i/>
                <w:spacing w:val="-7"/>
                <w:sz w:val="20"/>
                <w:u w:val="single"/>
              </w:rPr>
              <w:t> </w:t>
            </w:r>
            <w:r>
              <w:rPr>
                <w:rFonts w:ascii="Arial"/>
                <w:i/>
                <w:sz w:val="20"/>
                <w:u w:val="single"/>
              </w:rPr>
              <w:t>in</w:t>
            </w:r>
            <w:r>
              <w:rPr>
                <w:rFonts w:ascii="Arial"/>
                <w:i/>
                <w:spacing w:val="-5"/>
                <w:sz w:val="20"/>
                <w:u w:val="single"/>
              </w:rPr>
              <w:t> </w:t>
            </w:r>
            <w:r>
              <w:rPr>
                <w:rFonts w:ascii="Arial"/>
                <w:i/>
                <w:spacing w:val="-2"/>
                <w:sz w:val="20"/>
                <w:u w:val="single"/>
              </w:rPr>
              <w:t>details)</w:t>
            </w:r>
          </w:p>
        </w:tc>
        <w:tc>
          <w:tcPr>
            <w:tcW w:w="7081" w:type="dxa"/>
          </w:tcPr>
          <w:p>
            <w:pPr>
              <w:pStyle w:val="TableParagraph"/>
              <w:ind w:left="0"/>
              <w:rPr>
                <w:sz w:val="18"/>
              </w:rPr>
            </w:pPr>
          </w:p>
        </w:tc>
      </w:tr>
    </w:tbl>
    <w:sectPr>
      <w:pgSz w:w="23820" w:h="16840" w:orient="landscape"/>
      <w:pgMar w:header="1285" w:footer="694" w:top="2000" w:bottom="880" w:left="1417" w:right="141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Yu Gothic">
    <w:altName w:val="Yu Gothic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2608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/>
                            <w:t>Created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/>
                            <w:t>by:</w:t>
                          </w:r>
                          <w:r>
                            <w:rPr>
                              <w:spacing w:val="-2"/>
                            </w:rPr>
                            <w:t> </w:t>
                          </w:r>
                          <w:r>
                            <w:rPr>
                              <w:spacing w:val="-5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71pt;margin-top:796.195435pt;width:52.2pt;height:10.95pt;mso-position-horizontal-relative:page;mso-position-vertical-relative:page;z-index:-15823872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before="14"/>
                      <w:ind w:left="20"/>
                    </w:pPr>
                    <w:r>
                      <w:rPr/>
                      <w:t>Created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/>
                      <w:t>by:</w:t>
                    </w:r>
                    <w:r>
                      <w:rPr>
                        <w:spacing w:val="-2"/>
                      </w:rPr>
                      <w:t> </w:t>
                    </w:r>
                    <w:r>
                      <w:rPr>
                        <w:spacing w:val="-5"/>
                      </w:rPr>
                      <w:t>DR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3120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/>
                            <w:t>Checked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by:</w:t>
                          </w:r>
                          <w:r>
                            <w:rPr>
                              <w:spacing w:val="-4"/>
                            </w:rPr>
                            <w:t> </w:t>
                          </w:r>
                          <w:r>
                            <w:rPr>
                              <w:spacing w:val="-5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07.940002pt;margin-top:796.195435pt;width:55.7pt;height:10.95pt;mso-position-horizontal-relative:page;mso-position-vertical-relative:page;z-index:-15823360" type="#_x0000_t202" id="docshape3" filled="false" stroked="false">
              <v:textbox inset="0,0,0,0">
                <w:txbxContent>
                  <w:p>
                    <w:pPr>
                      <w:pStyle w:val="BodyText"/>
                      <w:spacing w:before="14"/>
                      <w:ind w:left="20"/>
                    </w:pPr>
                    <w:r>
                      <w:rPr/>
                      <w:t>Checked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by:</w:t>
                    </w:r>
                    <w:r>
                      <w:rPr>
                        <w:spacing w:val="-4"/>
                      </w:rPr>
                      <w:t> </w:t>
                    </w:r>
                    <w:r>
                      <w:rPr>
                        <w:spacing w:val="-5"/>
                      </w:rPr>
                      <w:t>PM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3632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/>
                            <w:t>Approved</w:t>
                          </w:r>
                          <w:r>
                            <w:rPr>
                              <w:spacing w:val="-6"/>
                            </w:rPr>
                            <w:t> </w:t>
                          </w:r>
                          <w:r>
                            <w:rPr/>
                            <w:t>by:</w:t>
                          </w:r>
                          <w:r>
                            <w:rPr>
                              <w:spacing w:val="-6"/>
                            </w:rPr>
                            <w:t> </w:t>
                          </w:r>
                          <w:r>
                            <w:rPr>
                              <w:spacing w:val="-5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47.73999pt;margin-top:796.195435pt;width:67.8pt;height:10.95pt;mso-position-horizontal-relative:page;mso-position-vertical-relative:page;z-index:-15822848" type="#_x0000_t202" id="docshape4" filled="false" stroked="false">
              <v:textbox inset="0,0,0,0">
                <w:txbxContent>
                  <w:p>
                    <w:pPr>
                      <w:pStyle w:val="BodyText"/>
                      <w:spacing w:before="14"/>
                      <w:ind w:left="20"/>
                    </w:pPr>
                    <w:r>
                      <w:rPr/>
                      <w:t>Approved</w:t>
                    </w:r>
                    <w:r>
                      <w:rPr>
                        <w:spacing w:val="-6"/>
                      </w:rPr>
                      <w:t> </w:t>
                    </w:r>
                    <w:r>
                      <w:rPr/>
                      <w:t>by:</w:t>
                    </w:r>
                    <w:r>
                      <w:rPr>
                        <w:spacing w:val="-6"/>
                      </w:rPr>
                      <w:t> </w:t>
                    </w:r>
                    <w:r>
                      <w:rPr>
                        <w:spacing w:val="-5"/>
                      </w:rPr>
                      <w:t>MBM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4144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4"/>
                            <w:ind w:left="20"/>
                          </w:pPr>
                          <w:r>
                            <w:rPr/>
                            <w:t>Version:</w:t>
                          </w:r>
                          <w:r>
                            <w:rPr>
                              <w:spacing w:val="-6"/>
                            </w:rPr>
                            <w:t> </w:t>
                          </w:r>
                          <w:r>
                            <w:rPr/>
                            <w:t>3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/>
                            <w:t>(07-07-</w:t>
                          </w:r>
                          <w:r>
                            <w:rPr>
                              <w:spacing w:val="-2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9.049988pt;margin-top:796.195435pt;width:80.45pt;height:10.95pt;mso-position-horizontal-relative:page;mso-position-vertical-relative:page;z-index:-15822336" type="#_x0000_t202" id="docshape5" filled="false" stroked="false">
              <v:textbox inset="0,0,0,0">
                <w:txbxContent>
                  <w:p>
                    <w:pPr>
                      <w:pStyle w:val="BodyText"/>
                      <w:spacing w:before="14"/>
                      <w:ind w:left="20"/>
                    </w:pPr>
                    <w:r>
                      <w:rPr/>
                      <w:t>Version:</w:t>
                    </w:r>
                    <w:r>
                      <w:rPr>
                        <w:spacing w:val="-6"/>
                      </w:rPr>
                      <w:t> </w:t>
                    </w:r>
                    <w:r>
                      <w:rPr/>
                      <w:t>3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/>
                      <w:t>(07-07-</w:t>
                    </w:r>
                    <w:r>
                      <w:rPr>
                        <w:spacing w:val="-2"/>
                      </w:rPr>
                      <w:t>2024)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92096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71pt;margin-top:63.256702pt;width:86.85pt;height:15.45pt;mso-position-horizontal-relative:page;mso-position-vertical-relative:page;z-index:-15824384" type="#_x0000_t202" id="docshape1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16"/>
      <w:szCs w:val="16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2"/>
      <w:ind w:left="20"/>
    </w:pPr>
    <w:rPr>
      <w:rFonts w:ascii="Arial" w:hAnsi="Arial" w:eastAsia="Arial" w:cs="Arial"/>
      <w:b/>
      <w:bCs/>
      <w:sz w:val="24"/>
      <w:szCs w:val="24"/>
      <w:u w:val="single" w:color="000000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ind w:left="107"/>
    </w:pPr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s://journalajrid.com/index.php/AJRID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terms:created xsi:type="dcterms:W3CDTF">2025-10-17T06:44:29Z</dcterms:created>
  <dcterms:modified xsi:type="dcterms:W3CDTF">2025-10-17T06:44:29Z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2025-10-16T00:00:00Z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2025-10-17T00:00:00Z</vt:filetime>
  </property>
  <property fmtid="{D5CDD505-2E9C-101B-9397-08002B2CF9AE}" pid="5" name="Producer">
    <vt:lpwstr>Microsoft® Word pour Microsoft 365</vt:lpwstr>
  </property>
</Properties>
</file>