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4020CA" w:rsidRPr="00427D3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4020CA" w:rsidRPr="00427D32" w:rsidRDefault="004020C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4020CA" w:rsidRPr="00427D32">
        <w:trPr>
          <w:trHeight w:val="290"/>
        </w:trPr>
        <w:tc>
          <w:tcPr>
            <w:tcW w:w="1234" w:type="pct"/>
          </w:tcPr>
          <w:p w:rsidR="004020CA" w:rsidRPr="00427D32" w:rsidRDefault="00B0796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0CA" w:rsidRPr="00427D32" w:rsidRDefault="00B0796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Pr="00427D3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Pr="00427D3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4020CA" w:rsidRPr="00427D32">
        <w:trPr>
          <w:trHeight w:val="290"/>
        </w:trPr>
        <w:tc>
          <w:tcPr>
            <w:tcW w:w="1234" w:type="pct"/>
          </w:tcPr>
          <w:p w:rsidR="004020CA" w:rsidRPr="00427D32" w:rsidRDefault="00B0796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0CA" w:rsidRPr="00427D32" w:rsidRDefault="00B079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Ms_AJESS_144585</w:t>
            </w:r>
          </w:p>
        </w:tc>
      </w:tr>
      <w:tr w:rsidR="004020CA" w:rsidRPr="00427D32">
        <w:trPr>
          <w:trHeight w:val="650"/>
        </w:trPr>
        <w:tc>
          <w:tcPr>
            <w:tcW w:w="1234" w:type="pct"/>
          </w:tcPr>
          <w:p w:rsidR="004020CA" w:rsidRPr="00427D32" w:rsidRDefault="00B0796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0CA" w:rsidRPr="00427D32" w:rsidRDefault="00B079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Examining the correlation between marketing mix elements and customer </w:t>
            </w:r>
            <w:r w:rsidRPr="00427D32">
              <w:rPr>
                <w:rFonts w:ascii="Arial" w:hAnsi="Arial" w:cs="Arial"/>
                <w:b/>
                <w:sz w:val="20"/>
                <w:szCs w:val="20"/>
                <w:lang w:val="en-GB"/>
              </w:rPr>
              <w:t>satisfaction in motorcycle Stores</w:t>
            </w:r>
          </w:p>
        </w:tc>
      </w:tr>
      <w:tr w:rsidR="004020CA" w:rsidRPr="00427D32">
        <w:trPr>
          <w:trHeight w:val="332"/>
        </w:trPr>
        <w:tc>
          <w:tcPr>
            <w:tcW w:w="1234" w:type="pct"/>
          </w:tcPr>
          <w:p w:rsidR="004020CA" w:rsidRPr="00427D32" w:rsidRDefault="00B0796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0CA" w:rsidRPr="00427D32" w:rsidRDefault="00B079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b/>
                <w:sz w:val="20"/>
                <w:szCs w:val="20"/>
                <w:lang w:val="en-GB"/>
              </w:rPr>
              <w:t>Empirical research paper</w:t>
            </w:r>
          </w:p>
        </w:tc>
      </w:tr>
    </w:tbl>
    <w:p w:rsidR="004020CA" w:rsidRPr="00427D32" w:rsidRDefault="004020CA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4020CA" w:rsidRPr="00427D3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4020CA" w:rsidRPr="00427D32" w:rsidRDefault="00B079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27D3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427D32">
              <w:rPr>
                <w:rFonts w:ascii="Arial" w:hAnsi="Arial" w:cs="Arial"/>
                <w:lang w:val="en-GB"/>
              </w:rPr>
              <w:t xml:space="preserve"> Comments</w:t>
            </w:r>
          </w:p>
          <w:p w:rsidR="004020CA" w:rsidRPr="00427D32" w:rsidRDefault="004020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020CA" w:rsidRPr="00427D32">
        <w:trPr>
          <w:trHeight w:val="757"/>
        </w:trPr>
        <w:tc>
          <w:tcPr>
            <w:tcW w:w="1265" w:type="pct"/>
            <w:noWrap/>
          </w:tcPr>
          <w:p w:rsidR="004020CA" w:rsidRPr="00427D32" w:rsidRDefault="004020C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4020CA" w:rsidRPr="00427D32" w:rsidRDefault="00B079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proofErr w:type="spellStart"/>
            <w:r w:rsidRPr="00427D32">
              <w:rPr>
                <w:rFonts w:ascii="Arial" w:hAnsi="Arial" w:cs="Arial"/>
                <w:lang w:val="en-GB"/>
              </w:rPr>
              <w:t>Reviewers</w:t>
            </w:r>
            <w:proofErr w:type="spellEnd"/>
            <w:r w:rsidRPr="00427D32">
              <w:rPr>
                <w:rFonts w:ascii="Arial" w:hAnsi="Arial" w:cs="Arial"/>
                <w:lang w:val="en-GB"/>
              </w:rPr>
              <w:t xml:space="preserve"> comment</w:t>
            </w:r>
          </w:p>
          <w:p w:rsidR="004020CA" w:rsidRPr="00427D32" w:rsidRDefault="00B079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7D3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:rsidR="004020CA" w:rsidRPr="00427D32" w:rsidRDefault="00B079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proofErr w:type="spellStart"/>
            <w:r w:rsidRPr="00427D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Authors</w:t>
            </w:r>
            <w:proofErr w:type="spellEnd"/>
            <w:r w:rsidRPr="00427D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 Feedback</w:t>
            </w:r>
            <w:r w:rsidRPr="00427D3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4020CA" w:rsidRPr="00427D32">
        <w:trPr>
          <w:trHeight w:val="1264"/>
        </w:trPr>
        <w:tc>
          <w:tcPr>
            <w:tcW w:w="1265" w:type="pct"/>
            <w:noWrap/>
          </w:tcPr>
          <w:p w:rsidR="004020CA" w:rsidRPr="00427D32" w:rsidRDefault="00B079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 w:rsidRPr="0042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42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 w:rsidRPr="0042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42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 w:rsidRPr="0042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42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 w:rsidRPr="0042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minimum</w:t>
            </w:r>
            <w:r w:rsidRPr="0042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2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42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4020CA" w:rsidRPr="00427D32" w:rsidRDefault="004020C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4020CA" w:rsidRPr="00427D32" w:rsidRDefault="00B07968">
            <w:pPr>
              <w:pStyle w:val="ListParagraph"/>
              <w:ind w:left="3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>This manuscript addresses a relevant and practical issue by examining how the 7Ps marketing mix elements (product, price, place, promotion, people, process, and physical evidence) influence customer satisfaction in motorcycle retail businesses. The study c</w:t>
            </w: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 xml:space="preserve">ontributes to the literature by </w:t>
            </w: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>contextualising</w:t>
            </w: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 xml:space="preserve"> the analysis in a developing country setting (</w:t>
            </w:r>
            <w:proofErr w:type="spellStart"/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>Cateel</w:t>
            </w:r>
            <w:proofErr w:type="spellEnd"/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>, Davao Oriental, Philippines), where motorcycles play a critical role in transportation and commerce. The findings provide actionable insights for retail p</w:t>
            </w: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>ractitioners while also enriching scholarly discussions on consumer behavio</w:t>
            </w: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>u</w:t>
            </w: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>r and service quality in emerging markets. Overall, this work adds value both to academia and practice.</w:t>
            </w:r>
          </w:p>
        </w:tc>
        <w:tc>
          <w:tcPr>
            <w:tcW w:w="1523" w:type="pct"/>
          </w:tcPr>
          <w:p w:rsidR="004020CA" w:rsidRPr="00427D32" w:rsidRDefault="00B079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27D32">
              <w:rPr>
                <w:rFonts w:ascii="Arial" w:hAnsi="Arial" w:cs="Arial"/>
                <w:b w:val="0"/>
                <w:lang w:val="en-US"/>
              </w:rPr>
              <w:t>Yes</w:t>
            </w:r>
          </w:p>
        </w:tc>
      </w:tr>
      <w:tr w:rsidR="004020CA" w:rsidRPr="00427D32">
        <w:trPr>
          <w:trHeight w:val="634"/>
        </w:trPr>
        <w:tc>
          <w:tcPr>
            <w:tcW w:w="1265" w:type="pct"/>
            <w:noWrap/>
          </w:tcPr>
          <w:p w:rsidR="004020CA" w:rsidRPr="00427D32" w:rsidRDefault="00B079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020CA" w:rsidRPr="00427D32" w:rsidRDefault="00B079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(If not please suggest an </w:t>
            </w:r>
            <w:r w:rsidRPr="0042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alternative title)</w:t>
            </w:r>
          </w:p>
        </w:tc>
        <w:tc>
          <w:tcPr>
            <w:tcW w:w="2212" w:type="pct"/>
          </w:tcPr>
          <w:p w:rsidR="004020CA" w:rsidRPr="00427D32" w:rsidRDefault="00B07968">
            <w:pPr>
              <w:ind w:left="3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 xml:space="preserve">The title is concise, clear, and reflects the </w:t>
            </w:r>
            <w:proofErr w:type="spellStart"/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>studys</w:t>
            </w:r>
            <w:proofErr w:type="spellEnd"/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 xml:space="preserve"> scope and focus. It aligns well with the content of the paper. No alternative title is necessary.</w:t>
            </w:r>
          </w:p>
        </w:tc>
        <w:tc>
          <w:tcPr>
            <w:tcW w:w="1523" w:type="pct"/>
          </w:tcPr>
          <w:p w:rsidR="004020CA" w:rsidRPr="00427D32" w:rsidRDefault="00B079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27D32">
              <w:rPr>
                <w:rFonts w:ascii="Arial" w:hAnsi="Arial" w:cs="Arial"/>
                <w:b w:val="0"/>
                <w:lang w:val="en-US"/>
              </w:rPr>
              <w:t>Okay, thanks.</w:t>
            </w:r>
          </w:p>
        </w:tc>
      </w:tr>
      <w:tr w:rsidR="004020CA" w:rsidRPr="00427D32">
        <w:trPr>
          <w:trHeight w:val="982"/>
        </w:trPr>
        <w:tc>
          <w:tcPr>
            <w:tcW w:w="1265" w:type="pct"/>
            <w:noWrap/>
          </w:tcPr>
          <w:p w:rsidR="004020CA" w:rsidRPr="00427D32" w:rsidRDefault="00B07968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427D32">
              <w:rPr>
                <w:rFonts w:ascii="Arial" w:hAnsi="Arial" w:cs="Arial"/>
                <w:lang w:val="en-GB"/>
              </w:rPr>
              <w:t xml:space="preserve">Is the abstract of the article comprehensive? Do you suggest </w:t>
            </w:r>
            <w:r w:rsidRPr="00427D32">
              <w:rPr>
                <w:rFonts w:ascii="Arial" w:hAnsi="Arial" w:cs="Arial"/>
                <w:lang w:val="en-GB"/>
              </w:rPr>
              <w:t xml:space="preserve">the </w:t>
            </w:r>
            <w:r w:rsidRPr="00427D32">
              <w:rPr>
                <w:rFonts w:ascii="Arial" w:hAnsi="Arial" w:cs="Arial"/>
                <w:lang w:val="en-GB"/>
              </w:rPr>
              <w:t>addit</w:t>
            </w:r>
            <w:r w:rsidRPr="00427D32">
              <w:rPr>
                <w:rFonts w:ascii="Arial" w:hAnsi="Arial" w:cs="Arial"/>
                <w:lang w:val="en-GB"/>
              </w:rPr>
              <w:t>ion (or deletion) of some points in this section? Please write your suggestions here.</w:t>
            </w:r>
          </w:p>
        </w:tc>
        <w:tc>
          <w:tcPr>
            <w:tcW w:w="2212" w:type="pct"/>
          </w:tcPr>
          <w:p w:rsidR="004020CA" w:rsidRPr="00427D32" w:rsidRDefault="00B079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>The abstract is comprehensive, presenting the objectives, methodology, main findings, and recommendations. However, it could be slightly more concise by reducing repeated</w:t>
            </w: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 xml:space="preserve"> details</w:t>
            </w: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>A stronger concluding sentence highlighting the broader contribution to marketing or customer satisfaction research would improve its impact.</w:t>
            </w:r>
          </w:p>
        </w:tc>
        <w:tc>
          <w:tcPr>
            <w:tcW w:w="1523" w:type="pct"/>
          </w:tcPr>
          <w:p w:rsidR="004020CA" w:rsidRPr="00427D32" w:rsidRDefault="00B079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27D32">
              <w:rPr>
                <w:rFonts w:ascii="Arial" w:hAnsi="Arial" w:cs="Arial"/>
                <w:b w:val="0"/>
                <w:lang w:val="en-US"/>
              </w:rPr>
              <w:t>Complied</w:t>
            </w:r>
          </w:p>
        </w:tc>
      </w:tr>
      <w:tr w:rsidR="004020CA" w:rsidRPr="00427D32">
        <w:trPr>
          <w:trHeight w:val="704"/>
        </w:trPr>
        <w:tc>
          <w:tcPr>
            <w:tcW w:w="1265" w:type="pct"/>
            <w:noWrap/>
          </w:tcPr>
          <w:p w:rsidR="004020CA" w:rsidRPr="00427D32" w:rsidRDefault="00B07968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427D32">
              <w:rPr>
                <w:rFonts w:ascii="Arial" w:hAnsi="Arial" w:cs="Arial"/>
                <w:lang w:val="en-GB"/>
              </w:rPr>
              <w:t xml:space="preserve">Is the </w:t>
            </w:r>
            <w:r w:rsidRPr="00427D32">
              <w:rPr>
                <w:rFonts w:ascii="Arial" w:hAnsi="Arial" w:cs="Arial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4020CA" w:rsidRPr="00427D32" w:rsidRDefault="00B079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scientifically</w:t>
            </w: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sound. The research design (descriptive-correlational), methodology, and statistical tools (mean, standard deviation, Pearson correlation) are appropriate for the </w:t>
            </w:r>
            <w:proofErr w:type="spellStart"/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studys</w:t>
            </w:r>
            <w:proofErr w:type="spellEnd"/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objectives. The sample size (232 respondents) is sufficient</w:t>
            </w: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Results are presented c</w:t>
            </w: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learly with supporting interpretation and citations. The discussion is well-integrated with existing literature. However, the claim of generali</w:t>
            </w: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ability beyond the local context should be presented with caution.</w:t>
            </w:r>
          </w:p>
        </w:tc>
        <w:tc>
          <w:tcPr>
            <w:tcW w:w="1523" w:type="pct"/>
          </w:tcPr>
          <w:p w:rsidR="004020CA" w:rsidRPr="00427D32" w:rsidRDefault="00B079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27D32">
              <w:rPr>
                <w:rFonts w:ascii="Arial" w:hAnsi="Arial" w:cs="Arial"/>
                <w:b w:val="0"/>
                <w:lang w:val="en-US"/>
              </w:rPr>
              <w:t>Noted with thanks.</w:t>
            </w:r>
          </w:p>
        </w:tc>
      </w:tr>
      <w:tr w:rsidR="004020CA" w:rsidRPr="00427D32">
        <w:trPr>
          <w:trHeight w:val="703"/>
        </w:trPr>
        <w:tc>
          <w:tcPr>
            <w:tcW w:w="1265" w:type="pct"/>
            <w:noWrap/>
          </w:tcPr>
          <w:p w:rsidR="004020CA" w:rsidRPr="00427D32" w:rsidRDefault="00B079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 w:rsidRPr="0042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suggestions</w:t>
            </w:r>
            <w:r w:rsidRPr="0042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 w:rsidRPr="0042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42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4020CA" w:rsidRPr="00427D32" w:rsidRDefault="00B079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 list is extensive, including both classic works (Kotler, Keller, Bitner, Parasuraman) and recent studies (up t</w:t>
            </w: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o 2023). This demonstrates adequate coverage of foundational and contemporary literature. Some sources are repeated, and a few references (e.g., Business News, 2015) may be considered less scholarly. A slight tightening of the reference list to focus on pe</w:t>
            </w: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er-reviewed sources would strengthen credibility.</w:t>
            </w:r>
          </w:p>
        </w:tc>
        <w:tc>
          <w:tcPr>
            <w:tcW w:w="1523" w:type="pct"/>
          </w:tcPr>
          <w:p w:rsidR="004020CA" w:rsidRPr="00427D32" w:rsidRDefault="00B079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27D32">
              <w:rPr>
                <w:rFonts w:ascii="Arial" w:hAnsi="Arial" w:cs="Arial"/>
                <w:b w:val="0"/>
                <w:lang w:val="en-US"/>
              </w:rPr>
              <w:t xml:space="preserve">Complied </w:t>
            </w:r>
          </w:p>
        </w:tc>
      </w:tr>
      <w:tr w:rsidR="004020CA" w:rsidRPr="00427D32">
        <w:trPr>
          <w:trHeight w:val="386"/>
        </w:trPr>
        <w:tc>
          <w:tcPr>
            <w:tcW w:w="1265" w:type="pct"/>
            <w:noWrap/>
          </w:tcPr>
          <w:p w:rsidR="004020CA" w:rsidRPr="00427D32" w:rsidRDefault="00B07968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427D32">
              <w:rPr>
                <w:rFonts w:ascii="Arial" w:hAnsi="Arial" w:cs="Arial"/>
                <w:bCs w:val="0"/>
                <w:lang w:val="en-GB"/>
              </w:rPr>
              <w:t xml:space="preserve">Is </w:t>
            </w:r>
            <w:r w:rsidRPr="00427D32">
              <w:rPr>
                <w:rFonts w:ascii="Arial" w:hAnsi="Arial" w:cs="Arial"/>
                <w:bCs w:val="0"/>
                <w:lang w:val="en-GB"/>
              </w:rPr>
              <w:t xml:space="preserve">the </w:t>
            </w:r>
            <w:r w:rsidRPr="00427D32">
              <w:rPr>
                <w:rFonts w:ascii="Arial" w:hAnsi="Arial" w:cs="Arial"/>
                <w:bCs w:val="0"/>
                <w:lang w:val="en-GB"/>
              </w:rPr>
              <w:t>language/English quality of the article suitable for scholarly communications?</w:t>
            </w:r>
          </w:p>
          <w:p w:rsidR="004020CA" w:rsidRPr="00427D32" w:rsidRDefault="004020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4020CA" w:rsidRPr="00427D32" w:rsidRDefault="00B079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is generally well-written with clear, academic English. Minor grammatical errors and awkward </w:t>
            </w: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>phrasing are present in some sections but do not obscure meaning. The flow of arguments is logical and easy to follow. Professional editing would further polish the readability.</w:t>
            </w:r>
          </w:p>
        </w:tc>
        <w:tc>
          <w:tcPr>
            <w:tcW w:w="1523" w:type="pct"/>
          </w:tcPr>
          <w:p w:rsidR="004020CA" w:rsidRPr="00427D32" w:rsidRDefault="00B079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sz w:val="20"/>
                <w:szCs w:val="20"/>
              </w:rPr>
              <w:t>Complied</w:t>
            </w:r>
          </w:p>
        </w:tc>
      </w:tr>
      <w:tr w:rsidR="004020CA" w:rsidRPr="00427D32">
        <w:trPr>
          <w:trHeight w:val="1178"/>
        </w:trPr>
        <w:tc>
          <w:tcPr>
            <w:tcW w:w="1265" w:type="pct"/>
            <w:noWrap/>
          </w:tcPr>
          <w:p w:rsidR="004020CA" w:rsidRPr="00427D32" w:rsidRDefault="00B0796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427D3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427D3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427D3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4020CA" w:rsidRPr="00427D32" w:rsidRDefault="004020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4020CA" w:rsidRPr="00427D32" w:rsidRDefault="00B079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study provides strong empirical </w:t>
            </w: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findings, but it would benefit from:</w:t>
            </w:r>
          </w:p>
          <w:p w:rsidR="004020CA" w:rsidRPr="00427D32" w:rsidRDefault="00B07968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Deeper analysis of why promotion performed weakly compared to other elements.</w:t>
            </w:r>
          </w:p>
          <w:p w:rsidR="004020CA" w:rsidRPr="00427D32" w:rsidRDefault="00B07968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Discussion of practical implications for policymakers or industry regulators (not just store managers).</w:t>
            </w:r>
          </w:p>
          <w:p w:rsidR="004020CA" w:rsidRPr="00427D32" w:rsidRDefault="00B07968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Brief consideration of lim</w:t>
            </w:r>
            <w:r w:rsidRPr="0042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itations (e.g., self-reported survey data, single geographic focus).</w:t>
            </w:r>
          </w:p>
          <w:p w:rsidR="004020CA" w:rsidRPr="00427D32" w:rsidRDefault="004020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020CA" w:rsidRPr="00427D32" w:rsidRDefault="004020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020CA" w:rsidRPr="00427D32" w:rsidRDefault="00B079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 xml:space="preserve">Relevance &amp; Contribution: Strong practical and academic value </w:t>
            </w:r>
          </w:p>
          <w:p w:rsidR="004020CA" w:rsidRPr="00427D32" w:rsidRDefault="00B079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 xml:space="preserve">Methodology: Appropriate and applied correctly, though limited in generalizability </w:t>
            </w:r>
          </w:p>
          <w:p w:rsidR="004020CA" w:rsidRPr="00427D32" w:rsidRDefault="00B079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 xml:space="preserve">Writing Quality: Clear and </w:t>
            </w: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>well-structured, but could benefit from language polishing</w:t>
            </w:r>
          </w:p>
          <w:p w:rsidR="004020CA" w:rsidRPr="00427D32" w:rsidRDefault="00B079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27D32">
              <w:rPr>
                <w:rFonts w:ascii="Arial" w:hAnsi="Arial" w:cs="Arial"/>
                <w:sz w:val="20"/>
                <w:szCs w:val="20"/>
                <w:lang w:val="en-GB"/>
              </w:rPr>
              <w:t xml:space="preserve">References &amp; Literature: Adequate, recent, but some non-scholarly sources included </w:t>
            </w:r>
          </w:p>
          <w:p w:rsidR="004020CA" w:rsidRPr="00427D32" w:rsidRDefault="004020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020CA" w:rsidRPr="00427D32" w:rsidRDefault="00B079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7D32">
              <w:rPr>
                <w:rFonts w:ascii="Arial" w:hAnsi="Arial" w:cs="Arial"/>
                <w:sz w:val="20"/>
                <w:szCs w:val="20"/>
              </w:rPr>
              <w:t xml:space="preserve">Complied </w:t>
            </w:r>
          </w:p>
        </w:tc>
      </w:tr>
    </w:tbl>
    <w:p w:rsidR="004020CA" w:rsidRPr="00427D32" w:rsidRDefault="004020C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020CA" w:rsidRPr="00427D32" w:rsidRDefault="004020C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020CA" w:rsidRPr="00427D32" w:rsidRDefault="004020CA">
      <w:pPr>
        <w:rPr>
          <w:rFonts w:ascii="Arial" w:hAnsi="Arial" w:cs="Arial"/>
          <w:sz w:val="20"/>
          <w:szCs w:val="20"/>
        </w:rPr>
      </w:pPr>
    </w:p>
    <w:p w:rsidR="004020CA" w:rsidRPr="00427D32" w:rsidRDefault="00B07968">
      <w:pPr>
        <w:rPr>
          <w:rFonts w:ascii="Arial" w:hAnsi="Arial" w:cs="Arial"/>
          <w:sz w:val="20"/>
          <w:szCs w:val="20"/>
        </w:rPr>
      </w:pPr>
      <w:r w:rsidRPr="00427D32">
        <w:rPr>
          <w:rFonts w:ascii="Arial" w:hAnsi="Arial" w:cs="Arial"/>
          <w:sz w:val="20"/>
          <w:szCs w:val="20"/>
        </w:rPr>
        <w:tab/>
      </w:r>
    </w:p>
    <w:p w:rsidR="004020CA" w:rsidRPr="00427D32" w:rsidRDefault="004020CA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4020CA" w:rsidRPr="00427D3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0CA" w:rsidRPr="00427D32" w:rsidRDefault="00B0796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427D3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427D3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020CA" w:rsidRPr="00427D32" w:rsidRDefault="004020C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020CA" w:rsidRPr="00427D3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0CA" w:rsidRPr="00427D32" w:rsidRDefault="004020C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0CA" w:rsidRPr="00427D32" w:rsidRDefault="00B0796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427D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Reviewers</w:t>
            </w:r>
            <w:proofErr w:type="spellEnd"/>
            <w:r w:rsidRPr="00427D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0CA" w:rsidRPr="00427D32" w:rsidRDefault="00B07968">
            <w:pPr>
              <w:spacing w:after="160" w:line="251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proofErr w:type="spellStart"/>
            <w:r w:rsidRPr="00427D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Authors</w:t>
            </w:r>
            <w:proofErr w:type="spellEnd"/>
            <w:r w:rsidRPr="00427D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 Feedback</w:t>
            </w:r>
            <w:r w:rsidRPr="00427D3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020CA" w:rsidRPr="00427D32" w:rsidRDefault="004020C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020CA" w:rsidRPr="00427D3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0CA" w:rsidRPr="00427D32" w:rsidRDefault="00B0796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27D3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020CA" w:rsidRPr="00427D32" w:rsidRDefault="004020C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0CA" w:rsidRPr="00427D32" w:rsidRDefault="00B0796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27D3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27D3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27D3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</w:t>
            </w:r>
            <w:r w:rsidRPr="00427D3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please write down the ethical issues here in details)</w:t>
            </w:r>
          </w:p>
          <w:p w:rsidR="004020CA" w:rsidRPr="00427D32" w:rsidRDefault="004020C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CA" w:rsidRPr="00427D32" w:rsidRDefault="00B0796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27D32">
              <w:rPr>
                <w:rFonts w:ascii="Arial" w:eastAsia="Arial Unicode MS" w:hAnsi="Arial" w:cs="Arial"/>
                <w:sz w:val="20"/>
                <w:szCs w:val="20"/>
              </w:rPr>
              <w:t>There are no ethical issues found in this article.</w:t>
            </w:r>
          </w:p>
          <w:p w:rsidR="004020CA" w:rsidRPr="00427D32" w:rsidRDefault="004020C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020CA" w:rsidRPr="00427D32" w:rsidRDefault="004020C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4020CA" w:rsidRPr="00427D32" w:rsidRDefault="004020CA">
      <w:pPr>
        <w:rPr>
          <w:rFonts w:ascii="Arial" w:hAnsi="Arial" w:cs="Arial"/>
          <w:sz w:val="20"/>
          <w:szCs w:val="20"/>
        </w:rPr>
      </w:pPr>
    </w:p>
    <w:p w:rsidR="004020CA" w:rsidRPr="00427D32" w:rsidRDefault="004020CA">
      <w:pPr>
        <w:rPr>
          <w:rFonts w:ascii="Arial" w:hAnsi="Arial" w:cs="Arial"/>
          <w:sz w:val="20"/>
          <w:szCs w:val="20"/>
        </w:rPr>
      </w:pPr>
    </w:p>
    <w:p w:rsidR="004020CA" w:rsidRPr="00427D32" w:rsidRDefault="004020CA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4020CA" w:rsidRPr="00427D32" w:rsidRDefault="004020CA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4020CA" w:rsidRPr="00427D32" w:rsidRDefault="004020C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4020CA" w:rsidRPr="00427D32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7968" w:rsidRDefault="00B07968">
      <w:r>
        <w:separator/>
      </w:r>
    </w:p>
  </w:endnote>
  <w:endnote w:type="continuationSeparator" w:id="0">
    <w:p w:rsidR="00B07968" w:rsidRDefault="00B0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0CA" w:rsidRDefault="00B07968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>
      <w:rPr>
        <w:sz w:val="16"/>
      </w:rPr>
      <w:t xml:space="preserve">                                           </w:t>
    </w:r>
    <w:r>
      <w:rPr>
        <w:sz w:val="16"/>
      </w:rPr>
      <w:t>Approved by: MBM</w:t>
    </w:r>
    <w:r>
      <w:rPr>
        <w:sz w:val="16"/>
      </w:rPr>
      <w:tab/>
    </w:r>
    <w:r>
      <w:rPr>
        <w:sz w:val="16"/>
      </w:rPr>
      <w:t xml:space="preserve">   </w:t>
    </w:r>
    <w:r>
      <w:rPr>
        <w:sz w:val="16"/>
      </w:rPr>
      <w:tab/>
    </w:r>
    <w:r w:rsidRPr="006D0488">
      <w:rPr>
        <w:sz w:val="16"/>
      </w:rPr>
      <w:t xml:space="preserve">Version: </w:t>
    </w:r>
    <w:r>
      <w:rPr>
        <w:sz w:val="16"/>
      </w:rPr>
      <w:t>3</w:t>
    </w:r>
    <w:r w:rsidRPr="006D0488">
      <w:rPr>
        <w:sz w:val="16"/>
      </w:rPr>
      <w:t xml:space="preserve"> (0</w:t>
    </w:r>
    <w:r>
      <w:rPr>
        <w:sz w:val="16"/>
      </w:rPr>
      <w:t>7</w:t>
    </w:r>
    <w:r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7968" w:rsidRDefault="00B07968">
      <w:r>
        <w:separator/>
      </w:r>
    </w:p>
  </w:footnote>
  <w:footnote w:type="continuationSeparator" w:id="0">
    <w:p w:rsidR="00B07968" w:rsidRDefault="00B07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0CA" w:rsidRDefault="004020C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020CA" w:rsidRDefault="00B07968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000000C"/>
    <w:multiLevelType w:val="hybridMultilevel"/>
    <w:tmpl w:val="5BB21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020CA"/>
    <w:rsid w:val="004020CA"/>
    <w:rsid w:val="00427D32"/>
    <w:rsid w:val="00B0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DEE20C"/>
  <w15:docId w15:val="{0220441F-448E-45A3-9196-6A9142EAA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  <w:rPr>
      <w:rFonts w:ascii="Calibri" w:eastAsia="Calibri" w:hAnsi="Calibri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Hyperlink">
    <w:name w:val="Hyperlink"/>
    <w:rPr>
      <w:rFonts w:ascii="Calibri" w:eastAsia="Calibri" w:hAnsi="Calibri" w:cs="Times New Roman"/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ListParagraph">
    <w:name w:val="List Paragraph"/>
    <w:basedOn w:val="Normal"/>
    <w:pPr>
      <w:ind w:left="720"/>
      <w:contextualSpacing/>
    </w:pPr>
    <w:rPr>
      <w:rFonts w:ascii="Calibri" w:eastAsia="Calibri" w:hAnsi="Calibri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rFonts w:ascii="Calibri" w:eastAsia="Calibri" w:hAnsi="Calibri"/>
    </w:rPr>
  </w:style>
  <w:style w:type="character" w:customStyle="1" w:styleId="HeaderChar">
    <w:name w:val="Header Char"/>
    <w:link w:val="Head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ion">
    <w:name w:val="Revision"/>
    <w:rPr>
      <w:sz w:val="22"/>
      <w:szCs w:val="22"/>
    </w:rPr>
  </w:style>
  <w:style w:type="character" w:styleId="FollowedHyperlink">
    <w:name w:val="FollowedHyperlink"/>
    <w:rPr>
      <w:rFonts w:ascii="Calibri" w:eastAsia="Calibri" w:hAnsi="Calibri" w:cs="Times New Roman"/>
      <w:color w:val="800080"/>
      <w:u w:val="single"/>
    </w:rPr>
  </w:style>
  <w:style w:type="table" w:styleId="TableGrid">
    <w:name w:val="Table Grid"/>
    <w:basedOn w:val="TableNormal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rPr>
      <w:rFonts w:ascii="Calibri" w:eastAsia="Calibri" w:hAnsi="Calibri"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706</Words>
  <Characters>4025</Characters>
  <Application>Microsoft Office Word</Application>
  <DocSecurity>0</DocSecurity>
  <Lines>33</Lines>
  <Paragraphs>9</Paragraphs>
  <ScaleCrop>false</ScaleCrop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11</cp:revision>
  <dcterms:created xsi:type="dcterms:W3CDTF">2025-09-16T17:14:00Z</dcterms:created>
  <dcterms:modified xsi:type="dcterms:W3CDTF">2025-09-22T08:20:00Z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7b3d9c6a-761d-43a4-a8cd-f249b5f9e913</vt:lpwstr>
  </property>
  <property fmtid="{D5CDD505-2E9C-101B-9397-08002B2CF9AE}" pid="3" name="ICV">
    <vt:lpwstr>91c2a868115342a3ba1014556bd8ddfa</vt:lpwstr>
  </property>
</Properties>
</file>