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E0E74" w14:paraId="6A30142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C2ECB0A" w14:textId="77777777" w:rsidR="00602F7D" w:rsidRPr="009E0E7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E0E74" w14:paraId="14AD1235" w14:textId="77777777" w:rsidTr="002643B3">
        <w:trPr>
          <w:trHeight w:val="290"/>
        </w:trPr>
        <w:tc>
          <w:tcPr>
            <w:tcW w:w="1234" w:type="pct"/>
          </w:tcPr>
          <w:p w14:paraId="5180F321" w14:textId="77777777" w:rsidR="0000007A" w:rsidRPr="009E0E7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C1B38" w14:textId="77777777" w:rsidR="0000007A" w:rsidRPr="009E0E74" w:rsidRDefault="00FE415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C191B" w:rsidRPr="009E0E7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="009C191B" w:rsidRPr="009E0E7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E0E74" w14:paraId="5E91331A" w14:textId="77777777" w:rsidTr="002643B3">
        <w:trPr>
          <w:trHeight w:val="290"/>
        </w:trPr>
        <w:tc>
          <w:tcPr>
            <w:tcW w:w="1234" w:type="pct"/>
          </w:tcPr>
          <w:p w14:paraId="4EA02D15" w14:textId="77777777" w:rsidR="0000007A" w:rsidRPr="009E0E7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E5073" w14:textId="77777777" w:rsidR="0000007A" w:rsidRPr="009E0E74" w:rsidRDefault="0071017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Ms_AJCRMH_145778</w:t>
            </w:r>
          </w:p>
        </w:tc>
      </w:tr>
      <w:tr w:rsidR="0000007A" w:rsidRPr="009E0E74" w14:paraId="3D8F3613" w14:textId="77777777" w:rsidTr="002643B3">
        <w:trPr>
          <w:trHeight w:val="650"/>
        </w:trPr>
        <w:tc>
          <w:tcPr>
            <w:tcW w:w="1234" w:type="pct"/>
          </w:tcPr>
          <w:p w14:paraId="036258DF" w14:textId="77777777" w:rsidR="0000007A" w:rsidRPr="009E0E7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8101E" w14:textId="77777777" w:rsidR="0000007A" w:rsidRPr="009E0E74" w:rsidRDefault="0071017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/>
                <w:sz w:val="20"/>
                <w:szCs w:val="20"/>
                <w:lang w:val="en-GB"/>
              </w:rPr>
              <w:t>Amoxicillin–Clavulanate Induced Anaphylaxis in a Female Patient: A Case Report</w:t>
            </w:r>
          </w:p>
        </w:tc>
      </w:tr>
      <w:tr w:rsidR="00CF0BBB" w:rsidRPr="009E0E74" w14:paraId="0AE9DD47" w14:textId="77777777" w:rsidTr="002643B3">
        <w:trPr>
          <w:trHeight w:val="332"/>
        </w:trPr>
        <w:tc>
          <w:tcPr>
            <w:tcW w:w="1234" w:type="pct"/>
          </w:tcPr>
          <w:p w14:paraId="3A1A5563" w14:textId="77777777" w:rsidR="00CF0BBB" w:rsidRPr="009E0E7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A92AE" w14:textId="77777777" w:rsidR="00CF0BBB" w:rsidRPr="009E0E74" w:rsidRDefault="0071017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48DAABE2" w14:textId="77777777" w:rsidR="00037D52" w:rsidRPr="009E0E7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00D4B2" w14:textId="77777777" w:rsidR="00605952" w:rsidRPr="009E0E74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EC711B" w14:textId="77777777" w:rsidR="00DA55CE" w:rsidRPr="009E0E74" w:rsidRDefault="00DA55CE" w:rsidP="00DA55C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A55CE" w:rsidRPr="009E0E74" w14:paraId="2745836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3BBD460" w14:textId="77777777" w:rsidR="00DA55CE" w:rsidRPr="009E0E74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0E7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E0E7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7CF503A" w14:textId="77777777" w:rsidR="00DA55CE" w:rsidRPr="009E0E74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A55CE" w:rsidRPr="009E0E74" w14:paraId="48525025" w14:textId="77777777">
        <w:tc>
          <w:tcPr>
            <w:tcW w:w="1265" w:type="pct"/>
            <w:noWrap/>
          </w:tcPr>
          <w:p w14:paraId="30CE16ED" w14:textId="77777777" w:rsidR="00DA55CE" w:rsidRPr="009E0E74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D525125" w14:textId="77777777" w:rsidR="00DA55CE" w:rsidRPr="009E0E74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0E74">
              <w:rPr>
                <w:rFonts w:ascii="Arial" w:hAnsi="Arial" w:cs="Arial"/>
                <w:lang w:val="en-GB"/>
              </w:rPr>
              <w:t>Reviewer’s comment</w:t>
            </w:r>
          </w:p>
          <w:p w14:paraId="09FFEA7C" w14:textId="77777777" w:rsidR="004703D4" w:rsidRPr="009E0E74" w:rsidRDefault="004703D4" w:rsidP="004703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0E7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9D35C35" w14:textId="77777777" w:rsidR="004703D4" w:rsidRPr="009E0E74" w:rsidRDefault="004703D4" w:rsidP="004703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C8529D4" w14:textId="77777777" w:rsidR="00E37766" w:rsidRPr="009E0E74" w:rsidRDefault="00E37766" w:rsidP="00E377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0E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0E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A29C49" w14:textId="77777777" w:rsidR="00DA55CE" w:rsidRPr="009E0E74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A55CE" w:rsidRPr="009E0E74" w14:paraId="41FB5798" w14:textId="77777777">
        <w:trPr>
          <w:trHeight w:val="1264"/>
        </w:trPr>
        <w:tc>
          <w:tcPr>
            <w:tcW w:w="1265" w:type="pct"/>
            <w:noWrap/>
          </w:tcPr>
          <w:p w14:paraId="18D97B0D" w14:textId="77777777" w:rsidR="00DA55CE" w:rsidRPr="009E0E74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A5272DE" w14:textId="77777777" w:rsidR="00DA55CE" w:rsidRPr="009E0E74" w:rsidRDefault="00DA55C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0DA3FC" w14:textId="77777777" w:rsidR="00227EE0" w:rsidRPr="009E0E74" w:rsidRDefault="00227EE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gives a valuable contribution to the scientific community by documenting a rare but potentially fatal adverse reaction to a widely used antibiotic. </w:t>
            </w:r>
          </w:p>
          <w:p w14:paraId="3E58E59F" w14:textId="77777777" w:rsidR="00227EE0" w:rsidRPr="009E0E74" w:rsidRDefault="00227EE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It emphasizes the need for heightened clinical awareness of amoxicillin–clavulanate–induced anaphylaxis, even in patients without prior allergy history.</w:t>
            </w:r>
          </w:p>
          <w:p w14:paraId="736DCDF7" w14:textId="77777777" w:rsidR="00227EE0" w:rsidRPr="009E0E74" w:rsidRDefault="00227EE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By incorporating structured causality assessment and guideline-based management, the report reinforces best practices in pharmacovigilance and emergency care. </w:t>
            </w:r>
          </w:p>
          <w:p w14:paraId="56836854" w14:textId="77777777" w:rsidR="00DA55CE" w:rsidRPr="009E0E74" w:rsidRDefault="00227EE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Moreover, it highlights the allergenic potential of clavulanic acid, encouraging more nuanced approaches to antibiotic prescribing and patient education.</w:t>
            </w:r>
          </w:p>
        </w:tc>
        <w:tc>
          <w:tcPr>
            <w:tcW w:w="1523" w:type="pct"/>
          </w:tcPr>
          <w:p w14:paraId="0A463210" w14:textId="4556FED3" w:rsidR="00DA55CE" w:rsidRPr="009E0E74" w:rsidRDefault="006C5B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E0E74">
              <w:rPr>
                <w:rFonts w:ascii="Arial" w:hAnsi="Arial" w:cs="Arial"/>
                <w:b w:val="0"/>
                <w:lang w:val="en-GB"/>
              </w:rPr>
              <w:t>Thank you so much for the kind feedback</w:t>
            </w:r>
          </w:p>
        </w:tc>
      </w:tr>
      <w:tr w:rsidR="00DA55CE" w:rsidRPr="009E0E74" w14:paraId="3522C4BE" w14:textId="77777777">
        <w:trPr>
          <w:trHeight w:val="1262"/>
        </w:trPr>
        <w:tc>
          <w:tcPr>
            <w:tcW w:w="1265" w:type="pct"/>
            <w:noWrap/>
          </w:tcPr>
          <w:p w14:paraId="625C3C81" w14:textId="77777777" w:rsidR="00DA55CE" w:rsidRPr="009E0E74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8A1C59" w14:textId="77777777" w:rsidR="00DA55CE" w:rsidRPr="009E0E74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86E42FE" w14:textId="77777777" w:rsidR="00DA55CE" w:rsidRPr="009E0E74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90D011D" w14:textId="77777777" w:rsidR="00227EE0" w:rsidRPr="009E0E74" w:rsidRDefault="00227EE0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Suitable, but here </w:t>
            </w:r>
            <w:proofErr w:type="gramStart"/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is</w:t>
            </w:r>
            <w:proofErr w:type="gramEnd"/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 some alternatives:</w:t>
            </w:r>
          </w:p>
          <w:p w14:paraId="22F06C29" w14:textId="77777777" w:rsidR="00227EE0" w:rsidRPr="009E0E74" w:rsidRDefault="00227EE0" w:rsidP="00227EE0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"Anaphylactic Shock Triggered by Amoxicillin–Clavulanate: A Case Report in a 60-Year-Old Female"</w:t>
            </w:r>
          </w:p>
          <w:p w14:paraId="7C722454" w14:textId="77777777" w:rsidR="00227EE0" w:rsidRPr="009E0E74" w:rsidRDefault="00227EE0" w:rsidP="00227EE0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"Severe Anaphylaxis Following Amoxicillin–Clavulanate Administration: A Case Report and Clinical Implications"</w:t>
            </w:r>
          </w:p>
          <w:p w14:paraId="41E896A3" w14:textId="77777777" w:rsidR="00227EE0" w:rsidRPr="009E0E74" w:rsidRDefault="00227EE0" w:rsidP="00227EE0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"Amoxicillin–Clavulanate–Induced Anaphylaxis Without Prior Allergy History: A Case Report"</w:t>
            </w:r>
          </w:p>
          <w:p w14:paraId="12E7C941" w14:textId="77777777" w:rsidR="00DA55CE" w:rsidRPr="009E0E74" w:rsidRDefault="00227EE0" w:rsidP="00227EE0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"</w:t>
            </w:r>
            <w:bookmarkStart w:id="2" w:name="_Hlk210589904"/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Unexpected Anaphylaxis from Amoxicillin–Clavulanate in a Hospitalized Patient: A Case Study</w:t>
            </w:r>
            <w:bookmarkEnd w:id="2"/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"</w:t>
            </w:r>
          </w:p>
        </w:tc>
        <w:tc>
          <w:tcPr>
            <w:tcW w:w="1523" w:type="pct"/>
          </w:tcPr>
          <w:p w14:paraId="61207484" w14:textId="40D9E71F" w:rsidR="00DA55CE" w:rsidRPr="009E0E74" w:rsidRDefault="006C5B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E0E74">
              <w:rPr>
                <w:rFonts w:ascii="Arial" w:hAnsi="Arial" w:cs="Arial"/>
                <w:b w:val="0"/>
                <w:lang w:val="en-GB"/>
              </w:rPr>
              <w:t>I have changed the title to Unexpected Anaphylaxis from Amoxicillin–Clavulanate in a Hospitalized Patient: A Case Study"</w:t>
            </w:r>
          </w:p>
        </w:tc>
      </w:tr>
      <w:tr w:rsidR="00DA55CE" w:rsidRPr="009E0E74" w14:paraId="33512C49" w14:textId="77777777">
        <w:trPr>
          <w:trHeight w:val="1262"/>
        </w:trPr>
        <w:tc>
          <w:tcPr>
            <w:tcW w:w="1265" w:type="pct"/>
            <w:noWrap/>
          </w:tcPr>
          <w:p w14:paraId="11E2903B" w14:textId="77777777" w:rsidR="00DA55CE" w:rsidRPr="009E0E74" w:rsidRDefault="00DA55C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E0E74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BC3EDCB" w14:textId="77777777" w:rsidR="00DA55CE" w:rsidRPr="009E0E74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6864DB9" w14:textId="77777777" w:rsidR="00227EE0" w:rsidRPr="009E0E74" w:rsidRDefault="00227EE0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The abstract is generally well-structured and informative, but a few refinements could improve its clarity, completeness, and impact:</w:t>
            </w:r>
          </w:p>
          <w:p w14:paraId="4960AF43" w14:textId="77777777" w:rsidR="002A4794" w:rsidRPr="009E0E74" w:rsidRDefault="002A4794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307D40" w14:textId="77777777" w:rsidR="00227EE0" w:rsidRPr="009E0E74" w:rsidRDefault="00227EE0" w:rsidP="002A4794">
            <w:pPr>
              <w:numPr>
                <w:ilvl w:val="0"/>
                <w:numId w:val="14"/>
              </w:numPr>
              <w:ind w:left="175" w:hanging="17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What </w:t>
            </w:r>
            <w:r w:rsidR="002A4794" w:rsidRPr="009E0E74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  <w:p w14:paraId="6841C6E8" w14:textId="77777777" w:rsidR="00227EE0" w:rsidRPr="009E0E74" w:rsidRDefault="002A4794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>Concise Summary: the background, case details, management, and implications.</w:t>
            </w:r>
          </w:p>
          <w:p w14:paraId="3E789723" w14:textId="77777777" w:rsidR="00227EE0" w:rsidRPr="009E0E74" w:rsidRDefault="002A4794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>Clinical Urgency: The anaphylactic shock and its management is clear and appropriately emphasized.</w:t>
            </w:r>
          </w:p>
          <w:p w14:paraId="334ADFEC" w14:textId="77777777" w:rsidR="00227EE0" w:rsidRPr="009E0E74" w:rsidRDefault="002A4794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Use </w:t>
            </w: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>the Naranjo scale adds scientific rigor.</w:t>
            </w:r>
          </w:p>
          <w:p w14:paraId="5A7D4224" w14:textId="77777777" w:rsidR="00227EE0" w:rsidRPr="009E0E74" w:rsidRDefault="00227EE0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5F3E04" w14:textId="77777777" w:rsidR="00227EE0" w:rsidRPr="009E0E74" w:rsidRDefault="00227EE0" w:rsidP="002A4794">
            <w:pPr>
              <w:numPr>
                <w:ilvl w:val="0"/>
                <w:numId w:val="14"/>
              </w:numPr>
              <w:ind w:left="175" w:hanging="17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Suggest</w:t>
            </w:r>
            <w:r w:rsidR="002A4794" w:rsidRPr="009E0E74">
              <w:rPr>
                <w:rFonts w:ascii="Arial" w:hAnsi="Arial" w:cs="Arial"/>
                <w:sz w:val="20"/>
                <w:szCs w:val="20"/>
                <w:lang w:val="en-GB"/>
              </w:rPr>
              <w:t>ion</w:t>
            </w:r>
          </w:p>
          <w:p w14:paraId="6ADAD83F" w14:textId="77777777" w:rsidR="00227EE0" w:rsidRPr="009E0E74" w:rsidRDefault="002A4794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>Follow-Up and Outcome: Briefly mention the patient’s recovery status and any long-term recommendations (e.g., allergy testing or avoidance strategies).</w:t>
            </w:r>
          </w:p>
          <w:p w14:paraId="68A6DCF3" w14:textId="77777777" w:rsidR="00227EE0" w:rsidRPr="009E0E74" w:rsidRDefault="002A4794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>Timeframe of Reaction: Specify the exact time to onset (e.g., “within 5 minutes”) to better characterize the rapid progression.</w:t>
            </w:r>
          </w:p>
          <w:p w14:paraId="64773E0D" w14:textId="77777777" w:rsidR="00227EE0" w:rsidRPr="009E0E74" w:rsidRDefault="002A4794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Patient Education: Include a note that the patient was </w:t>
            </w:r>
            <w:proofErr w:type="spellStart"/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>counseled</w:t>
            </w:r>
            <w:proofErr w:type="spellEnd"/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 on future drug avoidance and emergency preparedness (e.g., epinephrine auto-injector).</w:t>
            </w:r>
          </w:p>
          <w:p w14:paraId="4D946884" w14:textId="77777777" w:rsidR="00227EE0" w:rsidRPr="009E0E74" w:rsidRDefault="00227EE0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7A6A17" w14:textId="77777777" w:rsidR="00227EE0" w:rsidRPr="009E0E74" w:rsidRDefault="00227EE0" w:rsidP="002A4794">
            <w:pPr>
              <w:numPr>
                <w:ilvl w:val="0"/>
                <w:numId w:val="14"/>
              </w:numPr>
              <w:ind w:left="175" w:hanging="17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Suggested Deletions or Edits</w:t>
            </w:r>
          </w:p>
          <w:p w14:paraId="6044E1E6" w14:textId="77777777" w:rsidR="00227EE0" w:rsidRPr="009E0E74" w:rsidRDefault="002A4794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>Redundancy: The phrase “Early recognition and prompt management are critical to prevent morbidity and mortality” could be streamlined or integrated into the conclusion to avoid repetition.</w:t>
            </w:r>
          </w:p>
          <w:p w14:paraId="4D9B23D3" w14:textId="77777777" w:rsidR="00227EE0" w:rsidRPr="009E0E74" w:rsidRDefault="002A4794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Grammar and </w:t>
            </w:r>
            <w:r w:rsidR="00EF2709" w:rsidRPr="009E0E74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  <w:r w:rsidR="00227EE0" w:rsidRPr="009E0E74">
              <w:rPr>
                <w:rFonts w:ascii="Arial" w:hAnsi="Arial" w:cs="Arial"/>
                <w:sz w:val="20"/>
                <w:szCs w:val="20"/>
                <w:lang w:val="en-GB"/>
              </w:rPr>
              <w:t>low: Minor edits for clarity:</w:t>
            </w:r>
          </w:p>
          <w:p w14:paraId="53BA2560" w14:textId="77777777" w:rsidR="00227EE0" w:rsidRPr="009E0E74" w:rsidRDefault="00227EE0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38B7E8" w14:textId="77777777" w:rsidR="00227EE0" w:rsidRPr="009E0E74" w:rsidRDefault="00227EE0" w:rsidP="002A4794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“She had no prior history of allergies or adverse drug reactions.” → “She had no known history of allergies or adverse drug reactions.”</w:t>
            </w:r>
          </w:p>
          <w:p w14:paraId="45F40590" w14:textId="77777777" w:rsidR="00227EE0" w:rsidRPr="009E0E74" w:rsidRDefault="00227EE0" w:rsidP="002A4794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“resulting in rapid stabilization” → “leading to rapid clinical stabilization.”</w:t>
            </w:r>
          </w:p>
          <w:p w14:paraId="3D864DB0" w14:textId="77777777" w:rsidR="00DA55CE" w:rsidRPr="009E0E74" w:rsidRDefault="00DA55CE" w:rsidP="00227E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45F33C0" w14:textId="69748C74" w:rsidR="00DA55CE" w:rsidRPr="009E0E74" w:rsidRDefault="006C5B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E0E74">
              <w:rPr>
                <w:rFonts w:ascii="Arial" w:hAnsi="Arial" w:cs="Arial"/>
                <w:b w:val="0"/>
                <w:lang w:val="en-GB"/>
              </w:rPr>
              <w:t xml:space="preserve">I have modified the abstract as per reviewer comments </w:t>
            </w:r>
          </w:p>
        </w:tc>
      </w:tr>
      <w:tr w:rsidR="00DA55CE" w:rsidRPr="009E0E74" w14:paraId="2750A101" w14:textId="77777777">
        <w:trPr>
          <w:trHeight w:val="704"/>
        </w:trPr>
        <w:tc>
          <w:tcPr>
            <w:tcW w:w="1265" w:type="pct"/>
            <w:noWrap/>
          </w:tcPr>
          <w:p w14:paraId="4C1CB6B3" w14:textId="77777777" w:rsidR="00DA55CE" w:rsidRPr="009E0E74" w:rsidRDefault="00DA55C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E0E74">
              <w:rPr>
                <w:rFonts w:ascii="Arial" w:hAnsi="Arial" w:cs="Arial"/>
                <w:lang w:val="en-GB"/>
              </w:rPr>
              <w:lastRenderedPageBreak/>
              <w:t>Is the manuscript scientifically, correct? Please write here.</w:t>
            </w:r>
          </w:p>
        </w:tc>
        <w:tc>
          <w:tcPr>
            <w:tcW w:w="2212" w:type="pct"/>
          </w:tcPr>
          <w:p w14:paraId="0499C420" w14:textId="77777777" w:rsidR="00EF2709" w:rsidRPr="009E0E74" w:rsidRDefault="00EF2709" w:rsidP="00EF2709">
            <w:pPr>
              <w:pStyle w:val="ListParagraph"/>
              <w:ind w:left="316" w:hanging="31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  <w:p w14:paraId="1A05C3F6" w14:textId="77777777" w:rsidR="00EF2709" w:rsidRPr="009E0E74" w:rsidRDefault="00EF2709" w:rsidP="0066155F">
            <w:pPr>
              <w:pStyle w:val="ListParagraph"/>
              <w:numPr>
                <w:ilvl w:val="0"/>
                <w:numId w:val="19"/>
              </w:numPr>
              <w:ind w:left="316" w:hanging="283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Scientific Strengths</w:t>
            </w:r>
          </w:p>
          <w:p w14:paraId="6A3B8104" w14:textId="77777777" w:rsidR="00EF2709" w:rsidRPr="009E0E74" w:rsidRDefault="00EF2709" w:rsidP="00EF270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Accurate Pathophysiology: The </w:t>
            </w:r>
            <w:proofErr w:type="spellStart"/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IgE</w:t>
            </w:r>
            <w:proofErr w:type="spellEnd"/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-mediated mechanism of β-lactam-induced anaphylaxis is correctly described, including the role of mast cells, histamine, and other mediators.</w:t>
            </w:r>
          </w:p>
          <w:p w14:paraId="07D16FB1" w14:textId="77777777" w:rsidR="00EF2709" w:rsidRPr="009E0E74" w:rsidRDefault="00EF2709" w:rsidP="00EF2709">
            <w:pPr>
              <w:pStyle w:val="ListParagraph"/>
              <w:ind w:left="316" w:hanging="31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B688BC" w14:textId="77777777" w:rsidR="00EF2709" w:rsidRPr="009E0E74" w:rsidRDefault="00EF2709" w:rsidP="00EF270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Appropriate Use of Diagnostic Tools: The application of the Naranjo Adverse Drug Reaction Probability Scale is methodologically appropriate and clearly presented.</w:t>
            </w:r>
          </w:p>
          <w:p w14:paraId="5DA846F2" w14:textId="77777777" w:rsidR="00EF2709" w:rsidRPr="009E0E74" w:rsidRDefault="00EF2709" w:rsidP="00EF2709">
            <w:pPr>
              <w:pStyle w:val="ListParagraph"/>
              <w:ind w:left="316" w:hanging="31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B6AA07" w14:textId="77777777" w:rsidR="00EF2709" w:rsidRPr="009E0E74" w:rsidRDefault="00EF2709" w:rsidP="00EF270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Guideline-Based Management: The emergency treatment aligns with international standards for anaphylaxis, including timely administration of epinephrine and supportive care.</w:t>
            </w:r>
          </w:p>
          <w:p w14:paraId="49A5888A" w14:textId="77777777" w:rsidR="00EF2709" w:rsidRPr="009E0E74" w:rsidRDefault="00EF2709" w:rsidP="00EF2709">
            <w:pPr>
              <w:pStyle w:val="ListParagraph"/>
              <w:ind w:left="316" w:hanging="31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73E03C" w14:textId="77777777" w:rsidR="00EF2709" w:rsidRPr="009E0E74" w:rsidRDefault="00EF2709" w:rsidP="00EF270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Pharmacogenomic Insight: The mention of HLA-DRB1*10:01 adds depth and reflects current research on genetic predisposition to drug hypersensitivity.</w:t>
            </w:r>
          </w:p>
          <w:p w14:paraId="6E6E5049" w14:textId="77777777" w:rsidR="00EF2709" w:rsidRPr="009E0E74" w:rsidRDefault="00EF2709" w:rsidP="00EF2709">
            <w:pPr>
              <w:pStyle w:val="ListParagraph"/>
              <w:ind w:left="316" w:hanging="31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0AEF57" w14:textId="77777777" w:rsidR="00EF2709" w:rsidRPr="009E0E74" w:rsidRDefault="00EF2709" w:rsidP="00EF270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Clinical Relevance: The case reinforces the importance of recognizing clavulanic acid as a distinct allergen and the need for accurate documentation and patient education.</w:t>
            </w:r>
          </w:p>
          <w:p w14:paraId="538CA8F5" w14:textId="77777777" w:rsidR="00EF2709" w:rsidRPr="009E0E74" w:rsidRDefault="00EF2709" w:rsidP="00EF2709">
            <w:pPr>
              <w:pStyle w:val="ListParagraph"/>
              <w:ind w:left="316" w:hanging="31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3A9C5D" w14:textId="77777777" w:rsidR="00EF2709" w:rsidRPr="009E0E74" w:rsidRDefault="00EF2709" w:rsidP="0066155F">
            <w:pPr>
              <w:pStyle w:val="ListParagraph"/>
              <w:numPr>
                <w:ilvl w:val="0"/>
                <w:numId w:val="18"/>
              </w:numPr>
              <w:ind w:left="316" w:hanging="31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Minor Suggestions</w:t>
            </w:r>
          </w:p>
          <w:p w14:paraId="218D8211" w14:textId="77777777" w:rsidR="00EF2709" w:rsidRPr="009E0E74" w:rsidRDefault="00EF2709" w:rsidP="0066155F">
            <w:pPr>
              <w:pStyle w:val="ListParagraph"/>
              <w:numPr>
                <w:ilvl w:val="0"/>
                <w:numId w:val="18"/>
              </w:numPr>
              <w:ind w:left="600" w:hanging="2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 </w:t>
            </w:r>
            <w:r w:rsidR="0066155F"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f</w:t>
            </w: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ormatting: Ensure all citations (e.g., “(2)”, “(4)”) are properly formatted and linked to a reference list for clarity and academic rigor.</w:t>
            </w:r>
          </w:p>
          <w:p w14:paraId="4CC37754" w14:textId="77777777" w:rsidR="00EF2709" w:rsidRPr="009E0E74" w:rsidRDefault="00EF2709" w:rsidP="0066155F">
            <w:pPr>
              <w:pStyle w:val="ListParagraph"/>
              <w:numPr>
                <w:ilvl w:val="0"/>
                <w:numId w:val="18"/>
              </w:numPr>
              <w:ind w:left="600" w:hanging="2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Terminology </w:t>
            </w:r>
            <w:r w:rsidR="0066155F"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c</w:t>
            </w: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onsistency: Use consistent terminology throughout (e.g., “anaphylactic shock” vs. “anaphylaxis”) to maintain precision.</w:t>
            </w:r>
          </w:p>
          <w:p w14:paraId="01C5B15A" w14:textId="77777777" w:rsidR="00EF2709" w:rsidRPr="009E0E74" w:rsidRDefault="00EF2709" w:rsidP="0066155F">
            <w:pPr>
              <w:pStyle w:val="ListParagraph"/>
              <w:numPr>
                <w:ilvl w:val="0"/>
                <w:numId w:val="18"/>
              </w:numPr>
              <w:ind w:left="600" w:hanging="2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Table Presentation: Consider formatting the tables for easier readability in publication (e.g., using gridlines or spacing for clarity).</w:t>
            </w:r>
          </w:p>
          <w:p w14:paraId="18318963" w14:textId="77777777" w:rsidR="00EF2709" w:rsidRPr="009E0E74" w:rsidRDefault="00EF2709" w:rsidP="0066155F">
            <w:pPr>
              <w:pStyle w:val="ListParagraph"/>
              <w:numPr>
                <w:ilvl w:val="0"/>
                <w:numId w:val="18"/>
              </w:numPr>
              <w:ind w:left="600" w:hanging="2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Grammar and </w:t>
            </w:r>
            <w:r w:rsidR="0066155F"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f</w:t>
            </w: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low: Minor edits could improve readability, such as:</w:t>
            </w:r>
          </w:p>
          <w:p w14:paraId="3F705D94" w14:textId="77777777" w:rsidR="00EF2709" w:rsidRPr="009E0E74" w:rsidRDefault="00EF2709" w:rsidP="0066155F">
            <w:pPr>
              <w:pStyle w:val="ListParagraph"/>
              <w:ind w:left="6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“The laboratory investigations are indicated in Table 1 and they are all normal” → “</w:t>
            </w:r>
            <w:bookmarkStart w:id="3" w:name="_Hlk210590650"/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Laboratory investigations (Table 1) were all within normal limits.”</w:t>
            </w:r>
          </w:p>
          <w:bookmarkEnd w:id="3"/>
          <w:p w14:paraId="54C2D39A" w14:textId="77777777" w:rsidR="0066155F" w:rsidRPr="009E0E74" w:rsidRDefault="0066155F" w:rsidP="0066155F">
            <w:pPr>
              <w:pStyle w:val="ListParagraph"/>
              <w:numPr>
                <w:ilvl w:val="0"/>
                <w:numId w:val="18"/>
              </w:numPr>
              <w:ind w:left="600" w:hanging="2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 your grammar score, this manuscript is 90.</w:t>
            </w:r>
          </w:p>
          <w:p w14:paraId="513C96CF" w14:textId="77777777" w:rsidR="00EF2709" w:rsidRPr="009E0E74" w:rsidRDefault="00EF2709" w:rsidP="00EF2709">
            <w:pPr>
              <w:pStyle w:val="ListParagraph"/>
              <w:ind w:left="316" w:hanging="31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725134" w14:textId="77777777" w:rsidR="00DA55CE" w:rsidRPr="009E0E74" w:rsidRDefault="00EF2709" w:rsidP="00EF2709">
            <w:pPr>
              <w:pStyle w:val="ListParagraph"/>
              <w:ind w:left="316" w:hanging="31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is scientifically correct, clinically relevant, and well-supported by evidence. It offers valuable insights for healthcare professionals and contributes meaningfully to the literature on drug-induced anaphylaxis. </w:t>
            </w:r>
          </w:p>
        </w:tc>
        <w:tc>
          <w:tcPr>
            <w:tcW w:w="1523" w:type="pct"/>
          </w:tcPr>
          <w:p w14:paraId="68A1EEBC" w14:textId="5BEF1901" w:rsidR="00DA55CE" w:rsidRPr="009E0E74" w:rsidRDefault="002024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E0E74">
              <w:rPr>
                <w:rFonts w:ascii="Arial" w:hAnsi="Arial" w:cs="Arial"/>
                <w:b w:val="0"/>
                <w:lang w:val="en-GB"/>
              </w:rPr>
              <w:t xml:space="preserve">All suggestions of the reviewer were considered and modifications were done </w:t>
            </w:r>
          </w:p>
        </w:tc>
      </w:tr>
      <w:tr w:rsidR="00DA55CE" w:rsidRPr="009E0E74" w14:paraId="455B2B60" w14:textId="77777777">
        <w:trPr>
          <w:trHeight w:val="703"/>
        </w:trPr>
        <w:tc>
          <w:tcPr>
            <w:tcW w:w="1265" w:type="pct"/>
            <w:noWrap/>
          </w:tcPr>
          <w:p w14:paraId="5B3D5CC2" w14:textId="77777777" w:rsidR="00DA55CE" w:rsidRPr="009E0E74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C1C5D8F" w14:textId="77777777" w:rsidR="00DA55CE" w:rsidRPr="009E0E74" w:rsidRDefault="00D77C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follow the guidelines.</w:t>
            </w:r>
          </w:p>
          <w:p w14:paraId="473E240B" w14:textId="77777777" w:rsidR="00D77C3E" w:rsidRPr="009E0E74" w:rsidRDefault="00D77C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more current references.</w:t>
            </w:r>
          </w:p>
        </w:tc>
        <w:tc>
          <w:tcPr>
            <w:tcW w:w="1523" w:type="pct"/>
          </w:tcPr>
          <w:p w14:paraId="35F9A5D2" w14:textId="1676A438" w:rsidR="00DA55CE" w:rsidRPr="009E0E74" w:rsidRDefault="00710A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E0E74">
              <w:rPr>
                <w:rFonts w:ascii="Arial" w:hAnsi="Arial" w:cs="Arial"/>
                <w:b w:val="0"/>
                <w:lang w:val="en-GB"/>
              </w:rPr>
              <w:t xml:space="preserve">New recent references have also been added </w:t>
            </w:r>
          </w:p>
        </w:tc>
      </w:tr>
      <w:tr w:rsidR="00DA55CE" w:rsidRPr="009E0E74" w14:paraId="72F27D36" w14:textId="77777777">
        <w:trPr>
          <w:trHeight w:val="386"/>
        </w:trPr>
        <w:tc>
          <w:tcPr>
            <w:tcW w:w="1265" w:type="pct"/>
            <w:noWrap/>
          </w:tcPr>
          <w:p w14:paraId="559BE3A8" w14:textId="77777777" w:rsidR="00DA55CE" w:rsidRPr="009E0E74" w:rsidRDefault="00DA55C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E0E7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8797F71" w14:textId="77777777" w:rsidR="00DA55CE" w:rsidRPr="009E0E74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81B02F8" w14:textId="77777777" w:rsidR="00DA55CE" w:rsidRPr="009E0E74" w:rsidRDefault="00D77C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>Yes, but need minor improvements.</w:t>
            </w:r>
          </w:p>
        </w:tc>
        <w:tc>
          <w:tcPr>
            <w:tcW w:w="1523" w:type="pct"/>
          </w:tcPr>
          <w:p w14:paraId="4F4DB3AB" w14:textId="2530CE82" w:rsidR="00DA55CE" w:rsidRPr="009E0E74" w:rsidRDefault="00D62F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sz w:val="20"/>
                <w:szCs w:val="20"/>
                <w:lang w:val="en-GB"/>
              </w:rPr>
              <w:t xml:space="preserve">Minor improvements have been done </w:t>
            </w:r>
          </w:p>
        </w:tc>
      </w:tr>
      <w:tr w:rsidR="00DA55CE" w:rsidRPr="009E0E74" w14:paraId="57CCEF6C" w14:textId="77777777">
        <w:trPr>
          <w:trHeight w:val="1178"/>
        </w:trPr>
        <w:tc>
          <w:tcPr>
            <w:tcW w:w="1265" w:type="pct"/>
            <w:noWrap/>
          </w:tcPr>
          <w:p w14:paraId="5BBA7581" w14:textId="77777777" w:rsidR="00DA55CE" w:rsidRPr="009E0E74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E0E7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E0E7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E0E7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B3ABD7E" w14:textId="77777777" w:rsidR="00DA55CE" w:rsidRPr="009E0E74" w:rsidRDefault="00DA55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7844644" w14:textId="77777777" w:rsidR="00DA55CE" w:rsidRPr="009E0E74" w:rsidRDefault="00D77C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E74">
              <w:rPr>
                <w:rFonts w:ascii="Arial" w:hAnsi="Arial" w:cs="Arial"/>
                <w:b/>
                <w:sz w:val="20"/>
                <w:szCs w:val="20"/>
                <w:lang w:val="en-GB"/>
              </w:rPr>
              <w:t>Within the scope of the journal</w:t>
            </w:r>
          </w:p>
        </w:tc>
        <w:tc>
          <w:tcPr>
            <w:tcW w:w="1523" w:type="pct"/>
          </w:tcPr>
          <w:p w14:paraId="68888115" w14:textId="77777777" w:rsidR="00DA55CE" w:rsidRPr="009E0E74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65B5558" w14:textId="77777777" w:rsidR="00DA55CE" w:rsidRPr="009E0E74" w:rsidRDefault="00DA55CE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AE2A6F" w:rsidRPr="009E0E74" w14:paraId="76192FC9" w14:textId="77777777" w:rsidTr="0094696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5C903" w14:textId="77777777" w:rsidR="00AE2A6F" w:rsidRPr="009E0E74" w:rsidRDefault="00AE2A6F" w:rsidP="0094696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bookmarkStart w:id="6" w:name="_Hlk209632241"/>
            <w:bookmarkStart w:id="7" w:name="_Hlk209784699"/>
            <w:r w:rsidRPr="009E0E7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E0E7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5D7333" w14:textId="77777777" w:rsidR="00AE2A6F" w:rsidRPr="009E0E74" w:rsidRDefault="00AE2A6F" w:rsidP="0094696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2A6F" w:rsidRPr="009E0E74" w14:paraId="59239061" w14:textId="77777777" w:rsidTr="0094696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B1E11" w14:textId="77777777" w:rsidR="00AE2A6F" w:rsidRPr="009E0E74" w:rsidRDefault="00AE2A6F" w:rsidP="009469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4951" w14:textId="77777777" w:rsidR="00AE2A6F" w:rsidRPr="009E0E74" w:rsidRDefault="00AE2A6F" w:rsidP="009469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1828BC8" w14:textId="77777777" w:rsidR="00AE2A6F" w:rsidRPr="009E0E74" w:rsidRDefault="00AE2A6F" w:rsidP="0094696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0E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0E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394BF3" w14:textId="77777777" w:rsidR="00AE2A6F" w:rsidRPr="009E0E74" w:rsidRDefault="00AE2A6F" w:rsidP="00946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E2A6F" w:rsidRPr="009E0E74" w14:paraId="03AA6C83" w14:textId="77777777" w:rsidTr="0094696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6B0AE" w14:textId="77777777" w:rsidR="00AE2A6F" w:rsidRPr="009E0E74" w:rsidRDefault="00AE2A6F" w:rsidP="0094696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E0E7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94DC14" w14:textId="77777777" w:rsidR="00AE2A6F" w:rsidRPr="009E0E74" w:rsidRDefault="00AE2A6F" w:rsidP="009469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BAF14" w14:textId="77777777" w:rsidR="00AE2A6F" w:rsidRPr="009E0E74" w:rsidRDefault="00AE2A6F" w:rsidP="0094696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E0E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E0E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E0E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8085482" w14:textId="77777777" w:rsidR="00AE2A6F" w:rsidRPr="009E0E74" w:rsidRDefault="00AE2A6F" w:rsidP="009469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226C041" w14:textId="1F3844B6" w:rsidR="00AE2A6F" w:rsidRPr="009E0E74" w:rsidRDefault="00202431" w:rsidP="009469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E0E7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ethical issues and informed consent </w:t>
            </w:r>
            <w:proofErr w:type="gramStart"/>
            <w:r w:rsidRPr="009E0E7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was</w:t>
            </w:r>
            <w:proofErr w:type="gramEnd"/>
            <w:r w:rsidRPr="009E0E7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obtained from the patient </w:t>
            </w:r>
          </w:p>
        </w:tc>
      </w:tr>
      <w:bookmarkEnd w:id="4"/>
    </w:tbl>
    <w:p w14:paraId="3C118A79" w14:textId="77777777" w:rsidR="00AE2A6F" w:rsidRPr="009E0E74" w:rsidRDefault="00AE2A6F" w:rsidP="00AE2A6F">
      <w:pPr>
        <w:rPr>
          <w:rFonts w:ascii="Arial" w:hAnsi="Arial" w:cs="Arial"/>
          <w:sz w:val="20"/>
          <w:szCs w:val="20"/>
        </w:rPr>
      </w:pPr>
    </w:p>
    <w:p w14:paraId="07FA163B" w14:textId="77777777" w:rsidR="00AE2A6F" w:rsidRPr="009E0E74" w:rsidRDefault="00AE2A6F" w:rsidP="00AE2A6F">
      <w:pPr>
        <w:rPr>
          <w:rFonts w:ascii="Arial" w:hAnsi="Arial" w:cs="Arial"/>
          <w:sz w:val="20"/>
          <w:szCs w:val="20"/>
        </w:rPr>
      </w:pPr>
    </w:p>
    <w:p w14:paraId="6A1DD52F" w14:textId="77777777" w:rsidR="00DA55CE" w:rsidRPr="009E0E74" w:rsidRDefault="00DA55CE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8" w:name="_GoBack"/>
      <w:bookmarkEnd w:id="0"/>
      <w:bookmarkEnd w:id="1"/>
      <w:bookmarkEnd w:id="5"/>
      <w:bookmarkEnd w:id="6"/>
      <w:bookmarkEnd w:id="7"/>
      <w:bookmarkEnd w:id="8"/>
    </w:p>
    <w:sectPr w:rsidR="00DA55CE" w:rsidRPr="009E0E74" w:rsidSect="00C817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021CE" w14:textId="77777777" w:rsidR="00FE4152" w:rsidRPr="0000007A" w:rsidRDefault="00FE4152" w:rsidP="0099583E">
      <w:r>
        <w:separator/>
      </w:r>
    </w:p>
  </w:endnote>
  <w:endnote w:type="continuationSeparator" w:id="0">
    <w:p w14:paraId="02231C2A" w14:textId="77777777" w:rsidR="00FE4152" w:rsidRPr="0000007A" w:rsidRDefault="00FE415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262C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86C75" w14:textId="77777777" w:rsidR="00FE4152" w:rsidRPr="0000007A" w:rsidRDefault="00FE4152" w:rsidP="0099583E">
      <w:r>
        <w:separator/>
      </w:r>
    </w:p>
  </w:footnote>
  <w:footnote w:type="continuationSeparator" w:id="0">
    <w:p w14:paraId="3924DBA1" w14:textId="77777777" w:rsidR="00FE4152" w:rsidRPr="0000007A" w:rsidRDefault="00FE415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F08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FD6509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2D194E"/>
    <w:multiLevelType w:val="hybridMultilevel"/>
    <w:tmpl w:val="A79814A2"/>
    <w:lvl w:ilvl="0" w:tplc="217E3F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59C6464"/>
    <w:multiLevelType w:val="hybridMultilevel"/>
    <w:tmpl w:val="9330124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96BDE"/>
    <w:multiLevelType w:val="hybridMultilevel"/>
    <w:tmpl w:val="8F7AC3B0"/>
    <w:lvl w:ilvl="0" w:tplc="84F2A1DC">
      <w:start w:val="3"/>
      <w:numFmt w:val="bullet"/>
      <w:lvlText w:val="-"/>
      <w:lvlJc w:val="left"/>
      <w:pPr>
        <w:ind w:left="720" w:hanging="360"/>
      </w:pPr>
      <w:rPr>
        <w:rFonts w:ascii="Segoe UI Emoji" w:eastAsia="Times New Roman" w:hAnsi="Segoe UI Emoji" w:cs="Segoe UI Emoj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3F36B5"/>
    <w:multiLevelType w:val="hybridMultilevel"/>
    <w:tmpl w:val="0E62119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5202CB7"/>
    <w:multiLevelType w:val="hybridMultilevel"/>
    <w:tmpl w:val="43AC843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523D3"/>
    <w:multiLevelType w:val="hybridMultilevel"/>
    <w:tmpl w:val="43326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614E1C"/>
    <w:multiLevelType w:val="hybridMultilevel"/>
    <w:tmpl w:val="BCB4BD3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3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16"/>
  </w:num>
  <w:num w:numId="14">
    <w:abstractNumId w:val="10"/>
  </w:num>
  <w:num w:numId="15">
    <w:abstractNumId w:val="18"/>
  </w:num>
  <w:num w:numId="16">
    <w:abstractNumId w:val="17"/>
  </w:num>
  <w:num w:numId="17">
    <w:abstractNumId w:val="1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64F"/>
    <w:rsid w:val="001B0C63"/>
    <w:rsid w:val="001D3A1D"/>
    <w:rsid w:val="001E4B3D"/>
    <w:rsid w:val="001F24FF"/>
    <w:rsid w:val="001F2913"/>
    <w:rsid w:val="001F707F"/>
    <w:rsid w:val="002011F3"/>
    <w:rsid w:val="00201B85"/>
    <w:rsid w:val="00202431"/>
    <w:rsid w:val="00202E80"/>
    <w:rsid w:val="002105F7"/>
    <w:rsid w:val="00220111"/>
    <w:rsid w:val="0022369C"/>
    <w:rsid w:val="00227EE0"/>
    <w:rsid w:val="002320EB"/>
    <w:rsid w:val="0023696A"/>
    <w:rsid w:val="002422CB"/>
    <w:rsid w:val="00245E23"/>
    <w:rsid w:val="0025366D"/>
    <w:rsid w:val="00254F80"/>
    <w:rsid w:val="00262634"/>
    <w:rsid w:val="002643B3"/>
    <w:rsid w:val="002741EB"/>
    <w:rsid w:val="00275984"/>
    <w:rsid w:val="00280EC9"/>
    <w:rsid w:val="00291D08"/>
    <w:rsid w:val="00293482"/>
    <w:rsid w:val="002941C8"/>
    <w:rsid w:val="002A4794"/>
    <w:rsid w:val="002C43DF"/>
    <w:rsid w:val="002D7EA9"/>
    <w:rsid w:val="002E1211"/>
    <w:rsid w:val="002E2339"/>
    <w:rsid w:val="002E6D86"/>
    <w:rsid w:val="002F6935"/>
    <w:rsid w:val="00312559"/>
    <w:rsid w:val="00316AD6"/>
    <w:rsid w:val="003204B8"/>
    <w:rsid w:val="0033692F"/>
    <w:rsid w:val="00346223"/>
    <w:rsid w:val="00390105"/>
    <w:rsid w:val="003A04E7"/>
    <w:rsid w:val="003A4991"/>
    <w:rsid w:val="003A6E1A"/>
    <w:rsid w:val="003B2172"/>
    <w:rsid w:val="003E2EAA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EA2"/>
    <w:rsid w:val="00462996"/>
    <w:rsid w:val="004674B4"/>
    <w:rsid w:val="004703D4"/>
    <w:rsid w:val="004919E0"/>
    <w:rsid w:val="004B4CAD"/>
    <w:rsid w:val="004B4FDC"/>
    <w:rsid w:val="004C3DF1"/>
    <w:rsid w:val="004D2E36"/>
    <w:rsid w:val="004F4AB0"/>
    <w:rsid w:val="00503AB6"/>
    <w:rsid w:val="005047C5"/>
    <w:rsid w:val="00510920"/>
    <w:rsid w:val="00521812"/>
    <w:rsid w:val="00523D2C"/>
    <w:rsid w:val="00531C82"/>
    <w:rsid w:val="005339A8"/>
    <w:rsid w:val="00533FC1"/>
    <w:rsid w:val="00534E48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42C3"/>
    <w:rsid w:val="005D6648"/>
    <w:rsid w:val="00602F7D"/>
    <w:rsid w:val="006032F4"/>
    <w:rsid w:val="00605952"/>
    <w:rsid w:val="00620677"/>
    <w:rsid w:val="00624032"/>
    <w:rsid w:val="00645A56"/>
    <w:rsid w:val="006532DF"/>
    <w:rsid w:val="0065579D"/>
    <w:rsid w:val="0066155F"/>
    <w:rsid w:val="00663792"/>
    <w:rsid w:val="0067046C"/>
    <w:rsid w:val="00676845"/>
    <w:rsid w:val="00680547"/>
    <w:rsid w:val="0068446F"/>
    <w:rsid w:val="0068743B"/>
    <w:rsid w:val="0069428E"/>
    <w:rsid w:val="00696CAD"/>
    <w:rsid w:val="006A5E0B"/>
    <w:rsid w:val="006C3797"/>
    <w:rsid w:val="006C5B1C"/>
    <w:rsid w:val="006E7D6E"/>
    <w:rsid w:val="006F6F2F"/>
    <w:rsid w:val="00701186"/>
    <w:rsid w:val="00707BE1"/>
    <w:rsid w:val="0071017E"/>
    <w:rsid w:val="00710A52"/>
    <w:rsid w:val="007238EB"/>
    <w:rsid w:val="007277A4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7EBF"/>
    <w:rsid w:val="007B1099"/>
    <w:rsid w:val="007B57D1"/>
    <w:rsid w:val="007B6E18"/>
    <w:rsid w:val="007C32B9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75B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63A6"/>
    <w:rsid w:val="00933C8B"/>
    <w:rsid w:val="0094696E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191B"/>
    <w:rsid w:val="009C45A0"/>
    <w:rsid w:val="009C5642"/>
    <w:rsid w:val="009E0E74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088D"/>
    <w:rsid w:val="00AA41B3"/>
    <w:rsid w:val="00AA6670"/>
    <w:rsid w:val="00AB1ED6"/>
    <w:rsid w:val="00AB397D"/>
    <w:rsid w:val="00AB638A"/>
    <w:rsid w:val="00AB6E43"/>
    <w:rsid w:val="00AC1349"/>
    <w:rsid w:val="00AD6C51"/>
    <w:rsid w:val="00AE2A6F"/>
    <w:rsid w:val="00AF3016"/>
    <w:rsid w:val="00AF59FC"/>
    <w:rsid w:val="00B03A45"/>
    <w:rsid w:val="00B2236C"/>
    <w:rsid w:val="00B22FE6"/>
    <w:rsid w:val="00B3033D"/>
    <w:rsid w:val="00B33856"/>
    <w:rsid w:val="00B356AF"/>
    <w:rsid w:val="00B6173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53D3"/>
    <w:rsid w:val="00C70DFC"/>
    <w:rsid w:val="00C81775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2F4D"/>
    <w:rsid w:val="00D66804"/>
    <w:rsid w:val="00D7603E"/>
    <w:rsid w:val="00D77C3E"/>
    <w:rsid w:val="00D850D0"/>
    <w:rsid w:val="00D8579C"/>
    <w:rsid w:val="00D90124"/>
    <w:rsid w:val="00D9392F"/>
    <w:rsid w:val="00DA41F5"/>
    <w:rsid w:val="00DA55CE"/>
    <w:rsid w:val="00DB5B54"/>
    <w:rsid w:val="00DB7E1B"/>
    <w:rsid w:val="00DC1D81"/>
    <w:rsid w:val="00E377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5A36"/>
    <w:rsid w:val="00ED6B12"/>
    <w:rsid w:val="00EE0D3E"/>
    <w:rsid w:val="00EE0E53"/>
    <w:rsid w:val="00EF2709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2080"/>
    <w:rsid w:val="00FD70A7"/>
    <w:rsid w:val="00FE4152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11C2D2"/>
  <w15:chartTrackingRefBased/>
  <w15:docId w15:val="{4840AFF1-317C-4FC4-A324-A121793C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3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08AB5-1F5D-4B0F-83F4-96290E5C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Links>
    <vt:vector size="6" baseType="variant"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2025-10-05T16:01:00Z</dcterms:created>
  <dcterms:modified xsi:type="dcterms:W3CDTF">2025-10-06T06:02:00Z</dcterms:modified>
</cp:coreProperties>
</file>