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01"/>
        <w:rPr>
          <w:sz w:val="20"/>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8"/>
        <w:gridCol w:w="15770"/>
      </w:tblGrid>
      <w:tr>
        <w:trPr>
          <w:trHeight w:val="290" w:hRule="atLeast"/>
        </w:trPr>
        <w:tc>
          <w:tcPr>
            <w:tcW w:w="5168" w:type="dxa"/>
          </w:tcPr>
          <w:p>
            <w:pPr>
              <w:pStyle w:val="TableParagraph"/>
              <w:spacing w:line="229" w:lineRule="exact"/>
              <w:ind w:left="95"/>
              <w:rPr>
                <w:rFonts w:ascii="Arial MT"/>
                <w:sz w:val="20"/>
              </w:rPr>
            </w:pPr>
            <w:r>
              <w:rPr>
                <w:rFonts w:ascii="Arial MT"/>
                <w:sz w:val="20"/>
              </w:rPr>
              <w:t>Journal</w:t>
            </w:r>
            <w:r>
              <w:rPr>
                <w:rFonts w:ascii="Arial MT"/>
                <w:spacing w:val="-10"/>
                <w:sz w:val="20"/>
              </w:rPr>
              <w:t> </w:t>
            </w:r>
            <w:r>
              <w:rPr>
                <w:rFonts w:ascii="Arial MT"/>
                <w:spacing w:val="-2"/>
                <w:sz w:val="20"/>
              </w:rPr>
              <w:t>Name:</w:t>
            </w:r>
          </w:p>
        </w:tc>
        <w:tc>
          <w:tcPr>
            <w:tcW w:w="15770" w:type="dxa"/>
          </w:tcPr>
          <w:p>
            <w:pPr>
              <w:pStyle w:val="TableParagraph"/>
              <w:spacing w:before="30"/>
              <w:ind w:left="107"/>
              <w:rPr>
                <w:rFonts w:ascii="Arial"/>
                <w:b/>
                <w:sz w:val="20"/>
              </w:rPr>
            </w:pPr>
            <w:hyperlink r:id="rId7">
              <w:r>
                <w:rPr>
                  <w:rFonts w:ascii="Arial"/>
                  <w:b/>
                  <w:color w:val="0000FF"/>
                  <w:sz w:val="20"/>
                  <w:u w:val="single" w:color="0000FF"/>
                </w:rPr>
                <w:t>Asian</w:t>
              </w:r>
              <w:r>
                <w:rPr>
                  <w:rFonts w:ascii="Arial"/>
                  <w:b/>
                  <w:color w:val="0000FF"/>
                  <w:spacing w:val="-8"/>
                  <w:sz w:val="20"/>
                  <w:u w:val="single" w:color="0000FF"/>
                </w:rPr>
                <w:t> </w:t>
              </w:r>
              <w:r>
                <w:rPr>
                  <w:rFonts w:ascii="Arial"/>
                  <w:b/>
                  <w:color w:val="0000FF"/>
                  <w:sz w:val="20"/>
                  <w:u w:val="single" w:color="0000FF"/>
                </w:rPr>
                <w:t>Journal</w:t>
              </w:r>
              <w:r>
                <w:rPr>
                  <w:rFonts w:ascii="Arial"/>
                  <w:b/>
                  <w:color w:val="0000FF"/>
                  <w:spacing w:val="-7"/>
                  <w:sz w:val="20"/>
                  <w:u w:val="single" w:color="0000FF"/>
                </w:rPr>
                <w:t> </w:t>
              </w:r>
              <w:r>
                <w:rPr>
                  <w:rFonts w:ascii="Arial"/>
                  <w:b/>
                  <w:color w:val="0000FF"/>
                  <w:sz w:val="20"/>
                  <w:u w:val="single" w:color="0000FF"/>
                </w:rPr>
                <w:t>of</w:t>
              </w:r>
              <w:r>
                <w:rPr>
                  <w:rFonts w:ascii="Arial"/>
                  <w:b/>
                  <w:color w:val="0000FF"/>
                  <w:spacing w:val="-8"/>
                  <w:sz w:val="20"/>
                  <w:u w:val="single" w:color="0000FF"/>
                </w:rPr>
                <w:t> </w:t>
              </w:r>
              <w:r>
                <w:rPr>
                  <w:rFonts w:ascii="Arial"/>
                  <w:b/>
                  <w:color w:val="0000FF"/>
                  <w:sz w:val="20"/>
                  <w:u w:val="single" w:color="0000FF"/>
                </w:rPr>
                <w:t>Biochemistry,</w:t>
              </w:r>
              <w:r>
                <w:rPr>
                  <w:rFonts w:ascii="Arial"/>
                  <w:b/>
                  <w:color w:val="0000FF"/>
                  <w:spacing w:val="-7"/>
                  <w:sz w:val="20"/>
                  <w:u w:val="single" w:color="0000FF"/>
                </w:rPr>
                <w:t> </w:t>
              </w:r>
              <w:r>
                <w:rPr>
                  <w:rFonts w:ascii="Arial"/>
                  <w:b/>
                  <w:color w:val="0000FF"/>
                  <w:sz w:val="20"/>
                  <w:u w:val="single" w:color="0000FF"/>
                </w:rPr>
                <w:t>Genetics</w:t>
              </w:r>
              <w:r>
                <w:rPr>
                  <w:rFonts w:ascii="Arial"/>
                  <w:b/>
                  <w:color w:val="0000FF"/>
                  <w:spacing w:val="-7"/>
                  <w:sz w:val="20"/>
                  <w:u w:val="single" w:color="0000FF"/>
                </w:rPr>
                <w:t> </w:t>
              </w:r>
              <w:r>
                <w:rPr>
                  <w:rFonts w:ascii="Arial"/>
                  <w:b/>
                  <w:color w:val="0000FF"/>
                  <w:sz w:val="20"/>
                  <w:u w:val="single" w:color="0000FF"/>
                </w:rPr>
                <w:t>and</w:t>
              </w:r>
              <w:r>
                <w:rPr>
                  <w:rFonts w:ascii="Arial"/>
                  <w:b/>
                  <w:color w:val="0000FF"/>
                  <w:spacing w:val="-7"/>
                  <w:sz w:val="20"/>
                  <w:u w:val="single" w:color="0000FF"/>
                </w:rPr>
                <w:t> </w:t>
              </w:r>
              <w:r>
                <w:rPr>
                  <w:rFonts w:ascii="Arial"/>
                  <w:b/>
                  <w:color w:val="0000FF"/>
                  <w:sz w:val="20"/>
                  <w:u w:val="single" w:color="0000FF"/>
                </w:rPr>
                <w:t>Molecular</w:t>
              </w:r>
              <w:r>
                <w:rPr>
                  <w:rFonts w:ascii="Arial"/>
                  <w:b/>
                  <w:color w:val="0000FF"/>
                  <w:spacing w:val="-8"/>
                  <w:sz w:val="20"/>
                  <w:u w:val="single" w:color="0000FF"/>
                </w:rPr>
                <w:t> </w:t>
              </w:r>
              <w:r>
                <w:rPr>
                  <w:rFonts w:ascii="Arial"/>
                  <w:b/>
                  <w:color w:val="0000FF"/>
                  <w:spacing w:val="-2"/>
                  <w:sz w:val="20"/>
                  <w:u w:val="single" w:color="0000FF"/>
                </w:rPr>
                <w:t>Biology</w:t>
              </w:r>
            </w:hyperlink>
          </w:p>
        </w:tc>
      </w:tr>
      <w:tr>
        <w:trPr>
          <w:trHeight w:val="290" w:hRule="atLeast"/>
        </w:trPr>
        <w:tc>
          <w:tcPr>
            <w:tcW w:w="5168" w:type="dxa"/>
          </w:tcPr>
          <w:p>
            <w:pPr>
              <w:pStyle w:val="TableParagraph"/>
              <w:spacing w:line="229" w:lineRule="exact"/>
              <w:ind w:left="95"/>
              <w:rPr>
                <w:rFonts w:ascii="Arial MT"/>
                <w:sz w:val="20"/>
              </w:rPr>
            </w:pPr>
            <w:r>
              <w:rPr>
                <w:rFonts w:ascii="Arial MT"/>
                <w:sz w:val="20"/>
              </w:rPr>
              <w:t>Manuscript</w:t>
            </w:r>
            <w:r>
              <w:rPr>
                <w:rFonts w:ascii="Arial MT"/>
                <w:spacing w:val="-14"/>
                <w:sz w:val="20"/>
              </w:rPr>
              <w:t> </w:t>
            </w:r>
            <w:r>
              <w:rPr>
                <w:rFonts w:ascii="Arial MT"/>
                <w:spacing w:val="-2"/>
                <w:sz w:val="20"/>
              </w:rPr>
              <w:t>Number:</w:t>
            </w:r>
          </w:p>
        </w:tc>
        <w:tc>
          <w:tcPr>
            <w:tcW w:w="15770" w:type="dxa"/>
          </w:tcPr>
          <w:p>
            <w:pPr>
              <w:pStyle w:val="TableParagraph"/>
              <w:spacing w:before="30"/>
              <w:ind w:left="107"/>
              <w:rPr>
                <w:rFonts w:ascii="Arial"/>
                <w:b/>
                <w:sz w:val="20"/>
              </w:rPr>
            </w:pPr>
            <w:r>
              <w:rPr>
                <w:rFonts w:ascii="Arial"/>
                <w:b/>
                <w:spacing w:val="-2"/>
                <w:sz w:val="20"/>
              </w:rPr>
              <w:t>Ms_AJBGMB_144523</w:t>
            </w:r>
          </w:p>
        </w:tc>
      </w:tr>
      <w:tr>
        <w:trPr>
          <w:trHeight w:val="650" w:hRule="atLeast"/>
        </w:trPr>
        <w:tc>
          <w:tcPr>
            <w:tcW w:w="5168" w:type="dxa"/>
          </w:tcPr>
          <w:p>
            <w:pPr>
              <w:pStyle w:val="TableParagraph"/>
              <w:spacing w:line="229" w:lineRule="exact"/>
              <w:ind w:left="95"/>
              <w:rPr>
                <w:rFonts w:ascii="Arial MT"/>
                <w:sz w:val="20"/>
              </w:rPr>
            </w:pPr>
            <w:r>
              <w:rPr>
                <w:rFonts w:ascii="Arial MT"/>
                <w:sz w:val="20"/>
              </w:rPr>
              <w:t>Title</w:t>
            </w:r>
            <w:r>
              <w:rPr>
                <w:rFonts w:ascii="Arial MT"/>
                <w:spacing w:val="-4"/>
                <w:sz w:val="20"/>
              </w:rPr>
              <w:t> </w:t>
            </w:r>
            <w:r>
              <w:rPr>
                <w:rFonts w:ascii="Arial MT"/>
                <w:sz w:val="20"/>
              </w:rPr>
              <w:t>of</w:t>
            </w:r>
            <w:r>
              <w:rPr>
                <w:rFonts w:ascii="Arial MT"/>
                <w:spacing w:val="-5"/>
                <w:sz w:val="20"/>
              </w:rPr>
              <w:t> </w:t>
            </w:r>
            <w:r>
              <w:rPr>
                <w:rFonts w:ascii="Arial MT"/>
                <w:sz w:val="20"/>
              </w:rPr>
              <w:t>the</w:t>
            </w:r>
            <w:r>
              <w:rPr>
                <w:rFonts w:ascii="Arial MT"/>
                <w:spacing w:val="-5"/>
                <w:sz w:val="20"/>
              </w:rPr>
              <w:t> </w:t>
            </w:r>
            <w:r>
              <w:rPr>
                <w:rFonts w:ascii="Arial MT"/>
                <w:spacing w:val="-2"/>
                <w:sz w:val="20"/>
              </w:rPr>
              <w:t>Manuscript:</w:t>
            </w:r>
          </w:p>
        </w:tc>
        <w:tc>
          <w:tcPr>
            <w:tcW w:w="15770" w:type="dxa"/>
          </w:tcPr>
          <w:p>
            <w:pPr>
              <w:pStyle w:val="TableParagraph"/>
              <w:spacing w:before="210"/>
              <w:ind w:left="107"/>
              <w:rPr>
                <w:rFonts w:ascii="Arial"/>
                <w:b/>
                <w:sz w:val="20"/>
              </w:rPr>
            </w:pPr>
            <w:r>
              <w:rPr>
                <w:rFonts w:ascii="Arial"/>
                <w:b/>
                <w:sz w:val="20"/>
              </w:rPr>
              <w:t>INSILICO</w:t>
            </w:r>
            <w:r>
              <w:rPr>
                <w:rFonts w:ascii="Arial"/>
                <w:b/>
                <w:spacing w:val="-7"/>
                <w:sz w:val="20"/>
              </w:rPr>
              <w:t> </w:t>
            </w:r>
            <w:r>
              <w:rPr>
                <w:rFonts w:ascii="Arial"/>
                <w:b/>
                <w:sz w:val="20"/>
              </w:rPr>
              <w:t>DEVELOPMENT</w:t>
            </w:r>
            <w:r>
              <w:rPr>
                <w:rFonts w:ascii="Arial"/>
                <w:b/>
                <w:spacing w:val="-6"/>
                <w:sz w:val="20"/>
              </w:rPr>
              <w:t> </w:t>
            </w:r>
            <w:r>
              <w:rPr>
                <w:rFonts w:ascii="Arial"/>
                <w:b/>
                <w:sz w:val="20"/>
              </w:rPr>
              <w:t>OF</w:t>
            </w:r>
            <w:r>
              <w:rPr>
                <w:rFonts w:ascii="Arial"/>
                <w:b/>
                <w:spacing w:val="-7"/>
                <w:sz w:val="20"/>
              </w:rPr>
              <w:t> </w:t>
            </w:r>
            <w:r>
              <w:rPr>
                <w:rFonts w:ascii="Arial"/>
                <w:b/>
                <w:sz w:val="20"/>
              </w:rPr>
              <w:t>MULTI</w:t>
            </w:r>
            <w:r>
              <w:rPr>
                <w:rFonts w:ascii="Arial"/>
                <w:b/>
                <w:spacing w:val="-8"/>
                <w:sz w:val="20"/>
              </w:rPr>
              <w:t> </w:t>
            </w:r>
            <w:r>
              <w:rPr>
                <w:rFonts w:ascii="Arial"/>
                <w:b/>
                <w:sz w:val="20"/>
              </w:rPr>
              <w:t>EPITOPE</w:t>
            </w:r>
            <w:r>
              <w:rPr>
                <w:rFonts w:ascii="Arial"/>
                <w:b/>
                <w:spacing w:val="-9"/>
                <w:sz w:val="20"/>
              </w:rPr>
              <w:t> </w:t>
            </w:r>
            <w:r>
              <w:rPr>
                <w:rFonts w:ascii="Arial"/>
                <w:b/>
                <w:sz w:val="20"/>
              </w:rPr>
              <w:t>BASED</w:t>
            </w:r>
            <w:r>
              <w:rPr>
                <w:rFonts w:ascii="Arial"/>
                <w:b/>
                <w:spacing w:val="-8"/>
                <w:sz w:val="20"/>
              </w:rPr>
              <w:t> </w:t>
            </w:r>
            <w:r>
              <w:rPr>
                <w:rFonts w:ascii="Arial"/>
                <w:b/>
                <w:sz w:val="20"/>
              </w:rPr>
              <w:t>RECOMBINANT</w:t>
            </w:r>
            <w:r>
              <w:rPr>
                <w:rFonts w:ascii="Arial"/>
                <w:b/>
                <w:spacing w:val="-1"/>
                <w:sz w:val="20"/>
              </w:rPr>
              <w:t> </w:t>
            </w:r>
            <w:r>
              <w:rPr>
                <w:rFonts w:ascii="Arial"/>
                <w:b/>
                <w:sz w:val="20"/>
              </w:rPr>
              <w:t>VACCINE</w:t>
            </w:r>
            <w:r>
              <w:rPr>
                <w:rFonts w:ascii="Arial"/>
                <w:b/>
                <w:spacing w:val="-9"/>
                <w:sz w:val="20"/>
              </w:rPr>
              <w:t> </w:t>
            </w:r>
            <w:r>
              <w:rPr>
                <w:rFonts w:ascii="Arial"/>
                <w:b/>
                <w:sz w:val="20"/>
              </w:rPr>
              <w:t>TO</w:t>
            </w:r>
            <w:r>
              <w:rPr>
                <w:rFonts w:ascii="Arial"/>
                <w:b/>
                <w:spacing w:val="-5"/>
                <w:sz w:val="20"/>
              </w:rPr>
              <w:t> </w:t>
            </w:r>
            <w:r>
              <w:rPr>
                <w:rFonts w:ascii="Arial"/>
                <w:b/>
                <w:sz w:val="20"/>
              </w:rPr>
              <w:t>PREVENT</w:t>
            </w:r>
            <w:r>
              <w:rPr>
                <w:rFonts w:ascii="Arial"/>
                <w:b/>
                <w:spacing w:val="-7"/>
                <w:sz w:val="20"/>
              </w:rPr>
              <w:t> </w:t>
            </w:r>
            <w:r>
              <w:rPr>
                <w:rFonts w:ascii="Arial"/>
                <w:b/>
                <w:sz w:val="20"/>
              </w:rPr>
              <w:t>CERVICAL</w:t>
            </w:r>
            <w:r>
              <w:rPr>
                <w:rFonts w:ascii="Arial"/>
                <w:b/>
                <w:spacing w:val="-7"/>
                <w:sz w:val="20"/>
              </w:rPr>
              <w:t> </w:t>
            </w:r>
            <w:r>
              <w:rPr>
                <w:rFonts w:ascii="Arial"/>
                <w:b/>
                <w:spacing w:val="-2"/>
                <w:sz w:val="20"/>
              </w:rPr>
              <w:t>CANCER</w:t>
            </w:r>
          </w:p>
        </w:tc>
      </w:tr>
      <w:tr>
        <w:trPr>
          <w:trHeight w:val="333" w:hRule="atLeast"/>
        </w:trPr>
        <w:tc>
          <w:tcPr>
            <w:tcW w:w="5168" w:type="dxa"/>
          </w:tcPr>
          <w:p>
            <w:pPr>
              <w:pStyle w:val="TableParagraph"/>
              <w:spacing w:line="229" w:lineRule="exact"/>
              <w:ind w:left="95"/>
              <w:rPr>
                <w:rFonts w:ascii="Arial MT"/>
                <w:sz w:val="20"/>
              </w:rPr>
            </w:pPr>
            <w:r>
              <w:rPr>
                <w:rFonts w:ascii="Arial MT"/>
                <w:sz w:val="20"/>
              </w:rPr>
              <w:t>Type</w:t>
            </w:r>
            <w:r>
              <w:rPr>
                <w:rFonts w:ascii="Arial MT"/>
                <w:spacing w:val="-5"/>
                <w:sz w:val="20"/>
              </w:rPr>
              <w:t> </w:t>
            </w:r>
            <w:r>
              <w:rPr>
                <w:rFonts w:ascii="Arial MT"/>
                <w:sz w:val="20"/>
              </w:rPr>
              <w:t>of</w:t>
            </w:r>
            <w:r>
              <w:rPr>
                <w:rFonts w:ascii="Arial MT"/>
                <w:spacing w:val="-4"/>
                <w:sz w:val="20"/>
              </w:rPr>
              <w:t> </w:t>
            </w:r>
            <w:r>
              <w:rPr>
                <w:rFonts w:ascii="Arial MT"/>
                <w:sz w:val="20"/>
              </w:rPr>
              <w:t>the</w:t>
            </w:r>
            <w:r>
              <w:rPr>
                <w:rFonts w:ascii="Arial MT"/>
                <w:spacing w:val="-3"/>
                <w:sz w:val="20"/>
              </w:rPr>
              <w:t> </w:t>
            </w:r>
            <w:r>
              <w:rPr>
                <w:rFonts w:ascii="Arial MT"/>
                <w:spacing w:val="-2"/>
                <w:sz w:val="20"/>
              </w:rPr>
              <w:t>Article</w:t>
            </w:r>
          </w:p>
        </w:tc>
        <w:tc>
          <w:tcPr>
            <w:tcW w:w="15770" w:type="dxa"/>
          </w:tcPr>
          <w:p>
            <w:pPr>
              <w:pStyle w:val="TableParagraph"/>
              <w:spacing w:before="52"/>
              <w:ind w:left="107"/>
              <w:rPr>
                <w:rFonts w:ascii="Arial"/>
                <w:b/>
                <w:sz w:val="20"/>
              </w:rPr>
            </w:pPr>
            <w:r>
              <w:rPr>
                <w:rFonts w:ascii="Arial"/>
                <w:b/>
                <w:spacing w:val="-2"/>
                <w:sz w:val="20"/>
              </w:rPr>
              <w:t>Review</w:t>
            </w:r>
          </w:p>
        </w:tc>
      </w:tr>
    </w:tbl>
    <w:p>
      <w:pPr>
        <w:pStyle w:val="TableParagraph"/>
        <w:spacing w:after="0"/>
        <w:rPr>
          <w:rFonts w:ascii="Arial"/>
          <w:b/>
          <w:sz w:val="20"/>
        </w:rPr>
        <w:sectPr>
          <w:headerReference w:type="default" r:id="rId5"/>
          <w:footerReference w:type="default" r:id="rId6"/>
          <w:type w:val="continuous"/>
          <w:pgSz w:w="23820" w:h="16840" w:orient="landscape"/>
          <w:pgMar w:header="1285" w:footer="694" w:top="1820" w:bottom="880" w:left="1275" w:right="1275"/>
          <w:pgNumType w:start="1"/>
        </w:sectPr>
      </w:pPr>
    </w:p>
    <w:p>
      <w:pPr>
        <w:pStyle w:val="BodyText"/>
        <w:spacing w:before="15"/>
        <w:rPr>
          <w:sz w:val="20"/>
        </w:rPr>
      </w:pPr>
    </w:p>
    <w:tbl>
      <w:tblPr>
        <w:tblW w:w="0" w:type="auto"/>
        <w:jc w:val="left"/>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2"/>
        <w:gridCol w:w="9356"/>
        <w:gridCol w:w="6445"/>
      </w:tblGrid>
      <w:tr>
        <w:trPr>
          <w:trHeight w:val="450" w:hRule="atLeast"/>
        </w:trPr>
        <w:tc>
          <w:tcPr>
            <w:tcW w:w="21153" w:type="dxa"/>
            <w:gridSpan w:val="3"/>
            <w:tcBorders>
              <w:top w:val="nil"/>
              <w:left w:val="nil"/>
              <w:right w:val="nil"/>
            </w:tcBorders>
          </w:tcPr>
          <w:p>
            <w:pPr>
              <w:pStyle w:val="TableParagraph"/>
              <w:spacing w:line="221" w:lineRule="exact"/>
              <w:ind w:left="112"/>
              <w:rPr>
                <w:b/>
                <w:sz w:val="20"/>
              </w:rPr>
            </w:pPr>
            <w:r>
              <w:rPr>
                <w:b/>
                <w:color w:val="000000"/>
                <w:sz w:val="20"/>
                <w:highlight w:val="yellow"/>
              </w:rPr>
              <w:t>PART</w:t>
            </w:r>
            <w:r>
              <w:rPr>
                <w:b/>
                <w:color w:val="000000"/>
                <w:spacing w:val="45"/>
                <w:sz w:val="20"/>
                <w:highlight w:val="yellow"/>
              </w:rPr>
              <w:t> </w:t>
            </w:r>
            <w:r>
              <w:rPr>
                <w:b/>
                <w:color w:val="000000"/>
                <w:sz w:val="20"/>
                <w:highlight w:val="yellow"/>
              </w:rPr>
              <w:t>1:</w:t>
            </w:r>
            <w:r>
              <w:rPr>
                <w:b/>
                <w:color w:val="000000"/>
                <w:sz w:val="20"/>
              </w:rPr>
              <w:t> </w:t>
            </w:r>
            <w:r>
              <w:rPr>
                <w:b/>
                <w:color w:val="000000"/>
                <w:spacing w:val="-2"/>
                <w:sz w:val="20"/>
              </w:rPr>
              <w:t>Comments</w:t>
            </w:r>
          </w:p>
        </w:tc>
      </w:tr>
      <w:tr>
        <w:trPr>
          <w:trHeight w:val="964" w:hRule="atLeast"/>
        </w:trPr>
        <w:tc>
          <w:tcPr>
            <w:tcW w:w="5352" w:type="dxa"/>
          </w:tcPr>
          <w:p>
            <w:pPr>
              <w:pStyle w:val="TableParagraph"/>
              <w:ind w:left="0"/>
              <w:rPr>
                <w:sz w:val="20"/>
              </w:rPr>
            </w:pPr>
          </w:p>
        </w:tc>
        <w:tc>
          <w:tcPr>
            <w:tcW w:w="9356" w:type="dxa"/>
          </w:tcPr>
          <w:p>
            <w:pPr>
              <w:pStyle w:val="TableParagraph"/>
              <w:rPr>
                <w:b/>
                <w:sz w:val="20"/>
              </w:rPr>
            </w:pPr>
            <w:r>
              <w:rPr>
                <w:b/>
                <w:sz w:val="20"/>
              </w:rPr>
              <w:t>Reviewer’s</w:t>
            </w:r>
            <w:r>
              <w:rPr>
                <w:b/>
                <w:spacing w:val="-9"/>
                <w:sz w:val="20"/>
              </w:rPr>
              <w:t> </w:t>
            </w:r>
            <w:r>
              <w:rPr>
                <w:b/>
                <w:spacing w:val="-2"/>
                <w:sz w:val="20"/>
              </w:rPr>
              <w:t>comment</w:t>
            </w:r>
          </w:p>
          <w:p>
            <w:pPr>
              <w:pStyle w:val="TableParagraph"/>
              <w:ind w:right="144"/>
              <w:rPr>
                <w:b/>
                <w:sz w:val="20"/>
              </w:rPr>
            </w:pPr>
            <w:r>
              <w:rPr>
                <w:b/>
                <w:color w:val="000000"/>
                <w:sz w:val="20"/>
                <w:highlight w:val="yellow"/>
              </w:rPr>
              <w:t>Artificial</w:t>
            </w:r>
            <w:r>
              <w:rPr>
                <w:b/>
                <w:color w:val="000000"/>
                <w:spacing w:val="-5"/>
                <w:sz w:val="20"/>
                <w:highlight w:val="yellow"/>
              </w:rPr>
              <w:t> </w:t>
            </w:r>
            <w:r>
              <w:rPr>
                <w:b/>
                <w:color w:val="000000"/>
                <w:sz w:val="20"/>
                <w:highlight w:val="yellow"/>
              </w:rPr>
              <w:t>Intelligence</w:t>
            </w:r>
            <w:r>
              <w:rPr>
                <w:b/>
                <w:color w:val="000000"/>
                <w:spacing w:val="-4"/>
                <w:sz w:val="20"/>
                <w:highlight w:val="yellow"/>
              </w:rPr>
              <w:t> </w:t>
            </w:r>
            <w:r>
              <w:rPr>
                <w:b/>
                <w:color w:val="000000"/>
                <w:sz w:val="20"/>
                <w:highlight w:val="yellow"/>
              </w:rPr>
              <w:t>(AI)</w:t>
            </w:r>
            <w:r>
              <w:rPr>
                <w:b/>
                <w:color w:val="000000"/>
                <w:spacing w:val="-4"/>
                <w:sz w:val="20"/>
                <w:highlight w:val="yellow"/>
              </w:rPr>
              <w:t> </w:t>
            </w:r>
            <w:r>
              <w:rPr>
                <w:b/>
                <w:color w:val="000000"/>
                <w:sz w:val="20"/>
                <w:highlight w:val="yellow"/>
              </w:rPr>
              <w:t>generated</w:t>
            </w:r>
            <w:r>
              <w:rPr>
                <w:b/>
                <w:color w:val="000000"/>
                <w:spacing w:val="-4"/>
                <w:sz w:val="20"/>
                <w:highlight w:val="yellow"/>
              </w:rPr>
              <w:t> </w:t>
            </w:r>
            <w:r>
              <w:rPr>
                <w:b/>
                <w:color w:val="000000"/>
                <w:sz w:val="20"/>
                <w:highlight w:val="yellow"/>
              </w:rPr>
              <w:t>or</w:t>
            </w:r>
            <w:r>
              <w:rPr>
                <w:b/>
                <w:color w:val="000000"/>
                <w:spacing w:val="-4"/>
                <w:sz w:val="20"/>
                <w:highlight w:val="yellow"/>
              </w:rPr>
              <w:t> </w:t>
            </w:r>
            <w:r>
              <w:rPr>
                <w:b/>
                <w:color w:val="000000"/>
                <w:sz w:val="20"/>
                <w:highlight w:val="yellow"/>
              </w:rPr>
              <w:t>assisted</w:t>
            </w:r>
            <w:r>
              <w:rPr>
                <w:b/>
                <w:color w:val="000000"/>
                <w:spacing w:val="-4"/>
                <w:sz w:val="20"/>
                <w:highlight w:val="yellow"/>
              </w:rPr>
              <w:t> </w:t>
            </w:r>
            <w:r>
              <w:rPr>
                <w:b/>
                <w:color w:val="000000"/>
                <w:sz w:val="20"/>
                <w:highlight w:val="yellow"/>
              </w:rPr>
              <w:t>review</w:t>
            </w:r>
            <w:r>
              <w:rPr>
                <w:b/>
                <w:color w:val="000000"/>
                <w:spacing w:val="-4"/>
                <w:sz w:val="20"/>
                <w:highlight w:val="yellow"/>
              </w:rPr>
              <w:t> </w:t>
            </w:r>
            <w:r>
              <w:rPr>
                <w:b/>
                <w:color w:val="000000"/>
                <w:sz w:val="20"/>
                <w:highlight w:val="yellow"/>
              </w:rPr>
              <w:t>comments</w:t>
            </w:r>
            <w:r>
              <w:rPr>
                <w:b/>
                <w:color w:val="000000"/>
                <w:spacing w:val="-5"/>
                <w:sz w:val="20"/>
                <w:highlight w:val="yellow"/>
              </w:rPr>
              <w:t> </w:t>
            </w:r>
            <w:r>
              <w:rPr>
                <w:b/>
                <w:color w:val="000000"/>
                <w:sz w:val="20"/>
                <w:highlight w:val="yellow"/>
              </w:rPr>
              <w:t>are</w:t>
            </w:r>
            <w:r>
              <w:rPr>
                <w:b/>
                <w:color w:val="000000"/>
                <w:spacing w:val="-6"/>
                <w:sz w:val="20"/>
                <w:highlight w:val="yellow"/>
              </w:rPr>
              <w:t> </w:t>
            </w:r>
            <w:r>
              <w:rPr>
                <w:b/>
                <w:color w:val="000000"/>
                <w:sz w:val="20"/>
                <w:highlight w:val="yellow"/>
              </w:rPr>
              <w:t>strictly</w:t>
            </w:r>
            <w:r>
              <w:rPr>
                <w:b/>
                <w:color w:val="000000"/>
                <w:spacing w:val="-4"/>
                <w:sz w:val="20"/>
                <w:highlight w:val="yellow"/>
              </w:rPr>
              <w:t> </w:t>
            </w:r>
            <w:r>
              <w:rPr>
                <w:b/>
                <w:color w:val="000000"/>
                <w:sz w:val="20"/>
                <w:highlight w:val="yellow"/>
              </w:rPr>
              <w:t>prohibited</w:t>
            </w:r>
            <w:r>
              <w:rPr>
                <w:b/>
                <w:color w:val="000000"/>
                <w:spacing w:val="-4"/>
                <w:sz w:val="20"/>
                <w:highlight w:val="yellow"/>
              </w:rPr>
              <w:t> </w:t>
            </w:r>
            <w:r>
              <w:rPr>
                <w:b/>
                <w:color w:val="000000"/>
                <w:sz w:val="20"/>
                <w:highlight w:val="yellow"/>
              </w:rPr>
              <w:t>during</w:t>
            </w:r>
            <w:r>
              <w:rPr>
                <w:b/>
                <w:color w:val="000000"/>
                <w:spacing w:val="-4"/>
                <w:sz w:val="20"/>
                <w:highlight w:val="yellow"/>
              </w:rPr>
              <w:t> </w:t>
            </w:r>
            <w:r>
              <w:rPr>
                <w:b/>
                <w:color w:val="000000"/>
                <w:sz w:val="20"/>
                <w:highlight w:val="yellow"/>
              </w:rPr>
              <w:t>peer</w:t>
            </w:r>
            <w:r>
              <w:rPr>
                <w:b/>
                <w:color w:val="000000"/>
                <w:sz w:val="20"/>
              </w:rPr>
              <w:t> </w:t>
            </w:r>
            <w:r>
              <w:rPr>
                <w:b/>
                <w:color w:val="000000"/>
                <w:spacing w:val="-2"/>
                <w:sz w:val="20"/>
                <w:highlight w:val="yellow"/>
              </w:rPr>
              <w:t>review.</w:t>
            </w:r>
          </w:p>
        </w:tc>
        <w:tc>
          <w:tcPr>
            <w:tcW w:w="6445" w:type="dxa"/>
          </w:tcPr>
          <w:p>
            <w:pPr>
              <w:pStyle w:val="TableParagraph"/>
              <w:spacing w:line="254" w:lineRule="auto"/>
              <w:ind w:right="114"/>
              <w:rPr>
                <w:sz w:val="20"/>
              </w:rPr>
            </w:pPr>
            <w:r>
              <w:rPr>
                <w:b/>
                <w:sz w:val="20"/>
              </w:rPr>
              <w:t>Author’s</w:t>
            </w:r>
            <w:r>
              <w:rPr>
                <w:b/>
                <w:spacing w:val="-6"/>
                <w:sz w:val="20"/>
              </w:rPr>
              <w:t> </w:t>
            </w:r>
            <w:r>
              <w:rPr>
                <w:b/>
                <w:sz w:val="20"/>
              </w:rPr>
              <w:t>Feedback</w:t>
            </w:r>
            <w:r>
              <w:rPr>
                <w:b/>
                <w:spacing w:val="-2"/>
                <w:sz w:val="20"/>
              </w:rPr>
              <w:t> </w:t>
            </w:r>
            <w:r>
              <w:rPr>
                <w:sz w:val="20"/>
              </w:rPr>
              <w:t>(It</w:t>
            </w:r>
            <w:r>
              <w:rPr>
                <w:spacing w:val="-6"/>
                <w:sz w:val="20"/>
              </w:rPr>
              <w:t> </w:t>
            </w:r>
            <w:r>
              <w:rPr>
                <w:sz w:val="20"/>
              </w:rPr>
              <w:t>is</w:t>
            </w:r>
            <w:r>
              <w:rPr>
                <w:spacing w:val="-6"/>
                <w:sz w:val="20"/>
              </w:rPr>
              <w:t> </w:t>
            </w:r>
            <w:r>
              <w:rPr>
                <w:sz w:val="20"/>
              </w:rPr>
              <w:t>mandatory</w:t>
            </w:r>
            <w:r>
              <w:rPr>
                <w:spacing w:val="-5"/>
                <w:sz w:val="20"/>
              </w:rPr>
              <w:t> </w:t>
            </w:r>
            <w:r>
              <w:rPr>
                <w:sz w:val="20"/>
              </w:rPr>
              <w:t>that</w:t>
            </w:r>
            <w:r>
              <w:rPr>
                <w:spacing w:val="-5"/>
                <w:sz w:val="20"/>
              </w:rPr>
              <w:t> </w:t>
            </w:r>
            <w:r>
              <w:rPr>
                <w:sz w:val="20"/>
              </w:rPr>
              <w:t>authors</w:t>
            </w:r>
            <w:r>
              <w:rPr>
                <w:spacing w:val="-6"/>
                <w:sz w:val="20"/>
              </w:rPr>
              <w:t> </w:t>
            </w:r>
            <w:r>
              <w:rPr>
                <w:sz w:val="20"/>
              </w:rPr>
              <w:t>should</w:t>
            </w:r>
            <w:r>
              <w:rPr>
                <w:spacing w:val="-5"/>
                <w:sz w:val="20"/>
              </w:rPr>
              <w:t> </w:t>
            </w:r>
            <w:r>
              <w:rPr>
                <w:sz w:val="20"/>
              </w:rPr>
              <w:t>write</w:t>
            </w:r>
            <w:r>
              <w:rPr>
                <w:spacing w:val="-5"/>
                <w:sz w:val="20"/>
              </w:rPr>
              <w:t> </w:t>
            </w:r>
            <w:r>
              <w:rPr>
                <w:sz w:val="20"/>
              </w:rPr>
              <w:t>his/her feedback here)</w:t>
            </w:r>
          </w:p>
        </w:tc>
      </w:tr>
      <w:tr>
        <w:trPr>
          <w:trHeight w:val="2071" w:hRule="atLeast"/>
        </w:trPr>
        <w:tc>
          <w:tcPr>
            <w:tcW w:w="5352" w:type="dxa"/>
          </w:tcPr>
          <w:p>
            <w:pPr>
              <w:pStyle w:val="TableParagraph"/>
              <w:ind w:left="467" w:right="199"/>
              <w:rPr>
                <w:b/>
                <w:sz w:val="20"/>
              </w:rPr>
            </w:pPr>
            <w:r>
              <w:rPr>
                <w:b/>
                <w:sz w:val="20"/>
              </w:rPr>
              <w:t>Please</w:t>
            </w:r>
            <w:r>
              <w:rPr>
                <w:b/>
                <w:spacing w:val="-6"/>
                <w:sz w:val="20"/>
              </w:rPr>
              <w:t> </w:t>
            </w:r>
            <w:r>
              <w:rPr>
                <w:b/>
                <w:sz w:val="20"/>
              </w:rPr>
              <w:t>write</w:t>
            </w:r>
            <w:r>
              <w:rPr>
                <w:b/>
                <w:spacing w:val="-4"/>
                <w:sz w:val="20"/>
              </w:rPr>
              <w:t> </w:t>
            </w:r>
            <w:r>
              <w:rPr>
                <w:b/>
                <w:sz w:val="20"/>
              </w:rPr>
              <w:t>a</w:t>
            </w:r>
            <w:r>
              <w:rPr>
                <w:b/>
                <w:spacing w:val="-5"/>
                <w:sz w:val="20"/>
              </w:rPr>
              <w:t> </w:t>
            </w:r>
            <w:r>
              <w:rPr>
                <w:b/>
                <w:sz w:val="20"/>
              </w:rPr>
              <w:t>few</w:t>
            </w:r>
            <w:r>
              <w:rPr>
                <w:b/>
                <w:spacing w:val="-6"/>
                <w:sz w:val="20"/>
              </w:rPr>
              <w:t> </w:t>
            </w:r>
            <w:r>
              <w:rPr>
                <w:b/>
                <w:sz w:val="20"/>
              </w:rPr>
              <w:t>sentences</w:t>
            </w:r>
            <w:r>
              <w:rPr>
                <w:b/>
                <w:spacing w:val="-7"/>
                <w:sz w:val="20"/>
              </w:rPr>
              <w:t> </w:t>
            </w:r>
            <w:r>
              <w:rPr>
                <w:b/>
                <w:sz w:val="20"/>
              </w:rPr>
              <w:t>regarding</w:t>
            </w:r>
            <w:r>
              <w:rPr>
                <w:b/>
                <w:spacing w:val="-6"/>
                <w:sz w:val="20"/>
              </w:rPr>
              <w:t> </w:t>
            </w:r>
            <w:r>
              <w:rPr>
                <w:b/>
                <w:sz w:val="20"/>
              </w:rPr>
              <w:t>the</w:t>
            </w:r>
            <w:r>
              <w:rPr>
                <w:b/>
                <w:spacing w:val="-6"/>
                <w:sz w:val="20"/>
              </w:rPr>
              <w:t> </w:t>
            </w:r>
            <w:r>
              <w:rPr>
                <w:b/>
                <w:sz w:val="20"/>
              </w:rPr>
              <w:t>importance of this manuscript for the scientific community. A minimum of 3-4 sentences may be required for this </w:t>
            </w:r>
            <w:r>
              <w:rPr>
                <w:b/>
                <w:spacing w:val="-2"/>
                <w:sz w:val="20"/>
              </w:rPr>
              <w:t>part.</w:t>
            </w:r>
          </w:p>
        </w:tc>
        <w:tc>
          <w:tcPr>
            <w:tcW w:w="9356" w:type="dxa"/>
          </w:tcPr>
          <w:p>
            <w:pPr>
              <w:pStyle w:val="TableParagraph"/>
              <w:rPr>
                <w:b/>
                <w:sz w:val="20"/>
              </w:rPr>
            </w:pPr>
            <w:r>
              <w:rPr>
                <w:b/>
                <w:sz w:val="20"/>
              </w:rPr>
              <w:t>This review will depict small molecules that are already being explored as a high-risk HPV HPV16 multiepitope</w:t>
            </w:r>
            <w:r>
              <w:rPr>
                <w:b/>
                <w:spacing w:val="-3"/>
                <w:sz w:val="20"/>
              </w:rPr>
              <w:t> </w:t>
            </w:r>
            <w:r>
              <w:rPr>
                <w:b/>
                <w:sz w:val="20"/>
              </w:rPr>
              <w:t>vaccine</w:t>
            </w:r>
            <w:r>
              <w:rPr>
                <w:b/>
                <w:spacing w:val="-4"/>
                <w:sz w:val="20"/>
              </w:rPr>
              <w:t> </w:t>
            </w:r>
            <w:r>
              <w:rPr>
                <w:b/>
                <w:sz w:val="20"/>
              </w:rPr>
              <w:t>and</w:t>
            </w:r>
            <w:r>
              <w:rPr>
                <w:b/>
                <w:spacing w:val="-4"/>
                <w:sz w:val="20"/>
              </w:rPr>
              <w:t> </w:t>
            </w:r>
            <w:r>
              <w:rPr>
                <w:b/>
                <w:sz w:val="20"/>
              </w:rPr>
              <w:t>in</w:t>
            </w:r>
            <w:r>
              <w:rPr>
                <w:b/>
                <w:spacing w:val="-4"/>
                <w:sz w:val="20"/>
              </w:rPr>
              <w:t> </w:t>
            </w:r>
            <w:r>
              <w:rPr>
                <w:b/>
                <w:sz w:val="20"/>
              </w:rPr>
              <w:t>silico</w:t>
            </w:r>
            <w:r>
              <w:rPr>
                <w:b/>
                <w:spacing w:val="-2"/>
                <w:sz w:val="20"/>
              </w:rPr>
              <w:t> </w:t>
            </w:r>
            <w:r>
              <w:rPr>
                <w:b/>
                <w:sz w:val="20"/>
              </w:rPr>
              <w:t>approaches</w:t>
            </w:r>
            <w:r>
              <w:rPr>
                <w:b/>
                <w:spacing w:val="-4"/>
                <w:sz w:val="20"/>
              </w:rPr>
              <w:t> </w:t>
            </w:r>
            <w:r>
              <w:rPr>
                <w:b/>
                <w:sz w:val="20"/>
              </w:rPr>
              <w:t>to</w:t>
            </w:r>
            <w:r>
              <w:rPr>
                <w:b/>
                <w:spacing w:val="-2"/>
                <w:sz w:val="20"/>
              </w:rPr>
              <w:t> </w:t>
            </w:r>
            <w:r>
              <w:rPr>
                <w:b/>
                <w:sz w:val="20"/>
              </w:rPr>
              <w:t>the</w:t>
            </w:r>
            <w:r>
              <w:rPr>
                <w:b/>
                <w:spacing w:val="-3"/>
                <w:sz w:val="20"/>
              </w:rPr>
              <w:t> </w:t>
            </w:r>
            <w:r>
              <w:rPr>
                <w:b/>
                <w:sz w:val="20"/>
              </w:rPr>
              <w:t>design</w:t>
            </w:r>
            <w:r>
              <w:rPr>
                <w:b/>
                <w:spacing w:val="-4"/>
                <w:sz w:val="20"/>
              </w:rPr>
              <w:t> </w:t>
            </w:r>
            <w:r>
              <w:rPr>
                <w:b/>
                <w:sz w:val="20"/>
              </w:rPr>
              <w:t>of</w:t>
            </w:r>
            <w:r>
              <w:rPr>
                <w:b/>
                <w:spacing w:val="-3"/>
                <w:sz w:val="20"/>
              </w:rPr>
              <w:t> </w:t>
            </w:r>
            <w:r>
              <w:rPr>
                <w:b/>
                <w:sz w:val="20"/>
              </w:rPr>
              <w:t>novel</w:t>
            </w:r>
            <w:r>
              <w:rPr>
                <w:b/>
                <w:spacing w:val="-3"/>
                <w:sz w:val="20"/>
              </w:rPr>
              <w:t> </w:t>
            </w:r>
            <w:r>
              <w:rPr>
                <w:b/>
                <w:sz w:val="20"/>
              </w:rPr>
              <w:t>therapeutics</w:t>
            </w:r>
            <w:r>
              <w:rPr>
                <w:b/>
                <w:spacing w:val="-4"/>
                <w:sz w:val="20"/>
              </w:rPr>
              <w:t> </w:t>
            </w:r>
            <w:r>
              <w:rPr>
                <w:b/>
                <w:sz w:val="20"/>
              </w:rPr>
              <w:t>for</w:t>
            </w:r>
            <w:r>
              <w:rPr>
                <w:b/>
                <w:spacing w:val="-5"/>
                <w:sz w:val="20"/>
              </w:rPr>
              <w:t> </w:t>
            </w:r>
            <w:r>
              <w:rPr>
                <w:b/>
                <w:sz w:val="20"/>
              </w:rPr>
              <w:t>managing</w:t>
            </w:r>
            <w:r>
              <w:rPr>
                <w:b/>
                <w:spacing w:val="-3"/>
                <w:sz w:val="20"/>
              </w:rPr>
              <w:t> </w:t>
            </w:r>
            <w:r>
              <w:rPr>
                <w:b/>
                <w:sz w:val="20"/>
              </w:rPr>
              <w:t>cervical </w:t>
            </w:r>
            <w:r>
              <w:rPr>
                <w:b/>
                <w:spacing w:val="-2"/>
                <w:sz w:val="20"/>
              </w:rPr>
              <w:t>cancer.</w:t>
            </w:r>
          </w:p>
        </w:tc>
        <w:tc>
          <w:tcPr>
            <w:tcW w:w="6445" w:type="dxa"/>
          </w:tcPr>
          <w:p>
            <w:pPr>
              <w:pStyle w:val="TableParagraph"/>
              <w:ind w:right="114"/>
              <w:rPr>
                <w:rFonts w:ascii="Arial MT"/>
                <w:sz w:val="20"/>
              </w:rPr>
            </w:pPr>
            <w:r>
              <w:rPr>
                <w:rFonts w:ascii="Arial MT"/>
                <w:sz w:val="20"/>
              </w:rPr>
              <w:t>This</w:t>
            </w:r>
            <w:r>
              <w:rPr>
                <w:rFonts w:ascii="Arial MT"/>
                <w:spacing w:val="-2"/>
                <w:sz w:val="20"/>
              </w:rPr>
              <w:t> </w:t>
            </w:r>
            <w:r>
              <w:rPr>
                <w:rFonts w:ascii="Arial MT"/>
                <w:sz w:val="20"/>
              </w:rPr>
              <w:t>manuscript</w:t>
            </w:r>
            <w:r>
              <w:rPr>
                <w:rFonts w:ascii="Arial MT"/>
                <w:spacing w:val="-1"/>
                <w:sz w:val="20"/>
              </w:rPr>
              <w:t> </w:t>
            </w:r>
            <w:r>
              <w:rPr>
                <w:rFonts w:ascii="Arial MT"/>
                <w:sz w:val="20"/>
              </w:rPr>
              <w:t>highlights</w:t>
            </w:r>
            <w:r>
              <w:rPr>
                <w:rFonts w:ascii="Arial MT"/>
                <w:spacing w:val="-2"/>
                <w:sz w:val="20"/>
              </w:rPr>
              <w:t> </w:t>
            </w:r>
            <w:r>
              <w:rPr>
                <w:rFonts w:ascii="Arial MT"/>
                <w:sz w:val="20"/>
              </w:rPr>
              <w:t>the</w:t>
            </w:r>
            <w:r>
              <w:rPr>
                <w:rFonts w:ascii="Arial MT"/>
                <w:spacing w:val="-4"/>
                <w:sz w:val="20"/>
              </w:rPr>
              <w:t> </w:t>
            </w:r>
            <w:r>
              <w:rPr>
                <w:rFonts w:ascii="Arial MT"/>
                <w:sz w:val="20"/>
              </w:rPr>
              <w:t>development</w:t>
            </w:r>
            <w:r>
              <w:rPr>
                <w:rFonts w:ascii="Arial MT"/>
                <w:spacing w:val="-1"/>
                <w:sz w:val="20"/>
              </w:rPr>
              <w:t> </w:t>
            </w:r>
            <w:r>
              <w:rPr>
                <w:rFonts w:ascii="Arial MT"/>
                <w:sz w:val="20"/>
              </w:rPr>
              <w:t>of</w:t>
            </w:r>
            <w:r>
              <w:rPr>
                <w:rFonts w:ascii="Arial MT"/>
                <w:spacing w:val="-3"/>
                <w:sz w:val="20"/>
              </w:rPr>
              <w:t> </w:t>
            </w:r>
            <w:r>
              <w:rPr>
                <w:rFonts w:ascii="Arial MT"/>
                <w:sz w:val="20"/>
              </w:rPr>
              <w:t>an</w:t>
            </w:r>
            <w:r>
              <w:rPr>
                <w:rFonts w:ascii="Arial MT"/>
                <w:spacing w:val="-3"/>
                <w:sz w:val="20"/>
              </w:rPr>
              <w:t> </w:t>
            </w:r>
            <w:r>
              <w:rPr>
                <w:rFonts w:ascii="Arial MT"/>
                <w:sz w:val="20"/>
              </w:rPr>
              <w:t>in</w:t>
            </w:r>
            <w:r>
              <w:rPr>
                <w:rFonts w:ascii="Arial MT"/>
                <w:spacing w:val="-3"/>
                <w:sz w:val="20"/>
              </w:rPr>
              <w:t> </w:t>
            </w:r>
            <w:r>
              <w:rPr>
                <w:rFonts w:ascii="Arial MT"/>
                <w:sz w:val="20"/>
              </w:rPr>
              <w:t>silico</w:t>
            </w:r>
            <w:r>
              <w:rPr>
                <w:rFonts w:ascii="Arial MT"/>
                <w:spacing w:val="-3"/>
                <w:sz w:val="20"/>
              </w:rPr>
              <w:t> </w:t>
            </w:r>
            <w:r>
              <w:rPr>
                <w:rFonts w:ascii="Arial MT"/>
                <w:sz w:val="20"/>
              </w:rPr>
              <w:t>multiepitope vaccine targeting HPV16 to prevent cervical cancer. Since cervical cancer remains a major global health concern, especially in developing countries, designing a therapeutic vaccine offers potential benefits beyond existing prophylactic vaccines. The study aims to provide a computational foundation for future experimental validation, which</w:t>
            </w:r>
            <w:r>
              <w:rPr>
                <w:rFonts w:ascii="Arial MT"/>
                <w:spacing w:val="-6"/>
                <w:sz w:val="20"/>
              </w:rPr>
              <w:t> </w:t>
            </w:r>
            <w:r>
              <w:rPr>
                <w:rFonts w:ascii="Arial MT"/>
                <w:sz w:val="20"/>
              </w:rPr>
              <w:t>can</w:t>
            </w:r>
            <w:r>
              <w:rPr>
                <w:rFonts w:ascii="Arial MT"/>
                <w:spacing w:val="-6"/>
                <w:sz w:val="20"/>
              </w:rPr>
              <w:t> </w:t>
            </w:r>
            <w:r>
              <w:rPr>
                <w:rFonts w:ascii="Arial MT"/>
                <w:sz w:val="20"/>
              </w:rPr>
              <w:t>support</w:t>
            </w:r>
            <w:r>
              <w:rPr>
                <w:rFonts w:ascii="Arial MT"/>
                <w:spacing w:val="-6"/>
                <w:sz w:val="20"/>
              </w:rPr>
              <w:t> </w:t>
            </w:r>
            <w:r>
              <w:rPr>
                <w:rFonts w:ascii="Arial MT"/>
                <w:sz w:val="20"/>
              </w:rPr>
              <w:t>the</w:t>
            </w:r>
            <w:r>
              <w:rPr>
                <w:rFonts w:ascii="Arial MT"/>
                <w:spacing w:val="-6"/>
                <w:sz w:val="20"/>
              </w:rPr>
              <w:t> </w:t>
            </w:r>
            <w:r>
              <w:rPr>
                <w:rFonts w:ascii="Arial MT"/>
                <w:sz w:val="20"/>
              </w:rPr>
              <w:t>development</w:t>
            </w:r>
            <w:r>
              <w:rPr>
                <w:rFonts w:ascii="Arial MT"/>
                <w:spacing w:val="-5"/>
                <w:sz w:val="20"/>
              </w:rPr>
              <w:t> </w:t>
            </w:r>
            <w:r>
              <w:rPr>
                <w:rFonts w:ascii="Arial MT"/>
                <w:sz w:val="20"/>
              </w:rPr>
              <w:t>of</w:t>
            </w:r>
            <w:r>
              <w:rPr>
                <w:rFonts w:ascii="Arial MT"/>
                <w:spacing w:val="-5"/>
                <w:sz w:val="20"/>
              </w:rPr>
              <w:t> </w:t>
            </w:r>
            <w:r>
              <w:rPr>
                <w:rFonts w:ascii="Arial MT"/>
                <w:sz w:val="20"/>
              </w:rPr>
              <w:t>affordable,</w:t>
            </w:r>
            <w:r>
              <w:rPr>
                <w:rFonts w:ascii="Arial MT"/>
                <w:spacing w:val="-5"/>
                <w:sz w:val="20"/>
              </w:rPr>
              <w:t> </w:t>
            </w:r>
            <w:r>
              <w:rPr>
                <w:rFonts w:ascii="Arial MT"/>
                <w:sz w:val="20"/>
              </w:rPr>
              <w:t>effective</w:t>
            </w:r>
            <w:r>
              <w:rPr>
                <w:rFonts w:ascii="Arial MT"/>
                <w:spacing w:val="-6"/>
                <w:sz w:val="20"/>
              </w:rPr>
              <w:t> </w:t>
            </w:r>
            <w:r>
              <w:rPr>
                <w:rFonts w:ascii="Arial MT"/>
                <w:sz w:val="20"/>
              </w:rPr>
              <w:t>therapeutic strategies. Thus, this work can contribute to both the scientific</w:t>
            </w:r>
          </w:p>
          <w:p>
            <w:pPr>
              <w:pStyle w:val="TableParagraph"/>
              <w:spacing w:line="211" w:lineRule="exact" w:before="1"/>
              <w:rPr>
                <w:rFonts w:ascii="Arial MT"/>
                <w:sz w:val="20"/>
              </w:rPr>
            </w:pPr>
            <w:r>
              <w:rPr>
                <w:rFonts w:ascii="Arial MT"/>
                <w:sz w:val="20"/>
              </w:rPr>
              <w:t>community</w:t>
            </w:r>
            <w:r>
              <w:rPr>
                <w:rFonts w:ascii="Arial MT"/>
                <w:spacing w:val="-10"/>
                <w:sz w:val="20"/>
              </w:rPr>
              <w:t> </w:t>
            </w:r>
            <w:r>
              <w:rPr>
                <w:rFonts w:ascii="Arial MT"/>
                <w:sz w:val="20"/>
              </w:rPr>
              <w:t>and</w:t>
            </w:r>
            <w:r>
              <w:rPr>
                <w:rFonts w:ascii="Arial MT"/>
                <w:spacing w:val="-10"/>
                <w:sz w:val="20"/>
              </w:rPr>
              <w:t> </w:t>
            </w:r>
            <w:r>
              <w:rPr>
                <w:rFonts w:ascii="Arial MT"/>
                <w:sz w:val="20"/>
              </w:rPr>
              <w:t>healthcare</w:t>
            </w:r>
            <w:r>
              <w:rPr>
                <w:rFonts w:ascii="Arial MT"/>
                <w:spacing w:val="-7"/>
                <w:sz w:val="20"/>
              </w:rPr>
              <w:t> </w:t>
            </w:r>
            <w:r>
              <w:rPr>
                <w:rFonts w:ascii="Arial MT"/>
                <w:spacing w:val="-2"/>
                <w:sz w:val="20"/>
              </w:rPr>
              <w:t>sector.</w:t>
            </w:r>
          </w:p>
        </w:tc>
      </w:tr>
      <w:tr>
        <w:trPr>
          <w:trHeight w:val="1262" w:hRule="atLeast"/>
        </w:trPr>
        <w:tc>
          <w:tcPr>
            <w:tcW w:w="5352" w:type="dxa"/>
          </w:tcPr>
          <w:p>
            <w:pPr>
              <w:pStyle w:val="TableParagraph"/>
              <w:ind w:left="107"/>
              <w:rPr>
                <w:b/>
                <w:sz w:val="20"/>
              </w:rPr>
            </w:pPr>
            <w:r>
              <w:rPr>
                <w:b/>
                <w:sz w:val="20"/>
              </w:rPr>
              <w:t>Is</w:t>
            </w:r>
            <w:r>
              <w:rPr>
                <w:b/>
                <w:spacing w:val="-4"/>
                <w:sz w:val="20"/>
              </w:rPr>
              <w:t> </w:t>
            </w:r>
            <w:r>
              <w:rPr>
                <w:b/>
                <w:sz w:val="20"/>
              </w:rPr>
              <w:t>the</w:t>
            </w:r>
            <w:r>
              <w:rPr>
                <w:b/>
                <w:spacing w:val="-3"/>
                <w:sz w:val="20"/>
              </w:rPr>
              <w:t> </w:t>
            </w:r>
            <w:r>
              <w:rPr>
                <w:b/>
                <w:sz w:val="20"/>
              </w:rPr>
              <w:t>title</w:t>
            </w:r>
            <w:r>
              <w:rPr>
                <w:b/>
                <w:spacing w:val="-2"/>
                <w:sz w:val="20"/>
              </w:rPr>
              <w:t> </w:t>
            </w:r>
            <w:r>
              <w:rPr>
                <w:b/>
                <w:sz w:val="20"/>
              </w:rPr>
              <w:t>of</w:t>
            </w:r>
            <w:r>
              <w:rPr>
                <w:b/>
                <w:spacing w:val="-3"/>
                <w:sz w:val="20"/>
              </w:rPr>
              <w:t> </w:t>
            </w:r>
            <w:r>
              <w:rPr>
                <w:b/>
                <w:sz w:val="20"/>
              </w:rPr>
              <w:t>the</w:t>
            </w:r>
            <w:r>
              <w:rPr>
                <w:b/>
                <w:spacing w:val="-2"/>
                <w:sz w:val="20"/>
              </w:rPr>
              <w:t> </w:t>
            </w:r>
            <w:r>
              <w:rPr>
                <w:b/>
                <w:sz w:val="20"/>
              </w:rPr>
              <w:t>article</w:t>
            </w:r>
            <w:r>
              <w:rPr>
                <w:b/>
                <w:spacing w:val="-3"/>
                <w:sz w:val="20"/>
              </w:rPr>
              <w:t> </w:t>
            </w:r>
            <w:r>
              <w:rPr>
                <w:b/>
                <w:spacing w:val="-2"/>
                <w:sz w:val="20"/>
              </w:rPr>
              <w:t>suitable?</w:t>
            </w:r>
          </w:p>
          <w:p>
            <w:pPr>
              <w:pStyle w:val="TableParagraph"/>
              <w:ind w:left="107"/>
              <w:rPr>
                <w:b/>
                <w:sz w:val="20"/>
              </w:rPr>
            </w:pPr>
            <w:r>
              <w:rPr>
                <w:b/>
                <w:sz w:val="20"/>
              </w:rPr>
              <w:t>(If</w:t>
            </w:r>
            <w:r>
              <w:rPr>
                <w:b/>
                <w:spacing w:val="-5"/>
                <w:sz w:val="20"/>
              </w:rPr>
              <w:t> </w:t>
            </w:r>
            <w:r>
              <w:rPr>
                <w:b/>
                <w:sz w:val="20"/>
              </w:rPr>
              <w:t>not</w:t>
            </w:r>
            <w:r>
              <w:rPr>
                <w:b/>
                <w:spacing w:val="-5"/>
                <w:sz w:val="20"/>
              </w:rPr>
              <w:t> </w:t>
            </w:r>
            <w:r>
              <w:rPr>
                <w:b/>
                <w:sz w:val="20"/>
              </w:rPr>
              <w:t>please</w:t>
            </w:r>
            <w:r>
              <w:rPr>
                <w:b/>
                <w:spacing w:val="-5"/>
                <w:sz w:val="20"/>
              </w:rPr>
              <w:t> </w:t>
            </w:r>
            <w:r>
              <w:rPr>
                <w:b/>
                <w:sz w:val="20"/>
              </w:rPr>
              <w:t>suggest</w:t>
            </w:r>
            <w:r>
              <w:rPr>
                <w:b/>
                <w:spacing w:val="-5"/>
                <w:sz w:val="20"/>
              </w:rPr>
              <w:t> </w:t>
            </w:r>
            <w:r>
              <w:rPr>
                <w:b/>
                <w:sz w:val="20"/>
              </w:rPr>
              <w:t>an</w:t>
            </w:r>
            <w:r>
              <w:rPr>
                <w:b/>
                <w:spacing w:val="-5"/>
                <w:sz w:val="20"/>
              </w:rPr>
              <w:t> </w:t>
            </w:r>
            <w:r>
              <w:rPr>
                <w:b/>
                <w:sz w:val="20"/>
              </w:rPr>
              <w:t>alternative</w:t>
            </w:r>
            <w:r>
              <w:rPr>
                <w:b/>
                <w:spacing w:val="-5"/>
                <w:sz w:val="20"/>
              </w:rPr>
              <w:t> </w:t>
            </w:r>
            <w:r>
              <w:rPr>
                <w:b/>
                <w:spacing w:val="-2"/>
                <w:sz w:val="20"/>
              </w:rPr>
              <w:t>title)</w:t>
            </w:r>
          </w:p>
        </w:tc>
        <w:tc>
          <w:tcPr>
            <w:tcW w:w="9356" w:type="dxa"/>
          </w:tcPr>
          <w:p>
            <w:pPr>
              <w:pStyle w:val="TableParagraph"/>
              <w:rPr>
                <w:b/>
                <w:sz w:val="20"/>
              </w:rPr>
            </w:pPr>
            <w:r>
              <w:rPr>
                <w:b/>
                <w:spacing w:val="-5"/>
                <w:sz w:val="20"/>
              </w:rPr>
              <w:t>Yes</w:t>
            </w:r>
          </w:p>
        </w:tc>
        <w:tc>
          <w:tcPr>
            <w:tcW w:w="6445" w:type="dxa"/>
          </w:tcPr>
          <w:p>
            <w:pPr>
              <w:pStyle w:val="TableParagraph"/>
              <w:ind w:right="155"/>
              <w:rPr>
                <w:rFonts w:ascii="Arial MT"/>
                <w:sz w:val="20"/>
              </w:rPr>
            </w:pPr>
            <w:r>
              <w:rPr>
                <w:rFonts w:ascii="Arial MT"/>
                <w:sz w:val="20"/>
              </w:rPr>
              <w:t>The</w:t>
            </w:r>
            <w:r>
              <w:rPr>
                <w:rFonts w:ascii="Arial MT"/>
                <w:spacing w:val="-6"/>
                <w:sz w:val="20"/>
              </w:rPr>
              <w:t> </w:t>
            </w:r>
            <w:r>
              <w:rPr>
                <w:rFonts w:ascii="Arial MT"/>
                <w:sz w:val="20"/>
              </w:rPr>
              <w:t>current</w:t>
            </w:r>
            <w:r>
              <w:rPr>
                <w:rFonts w:ascii="Arial MT"/>
                <w:spacing w:val="-5"/>
                <w:sz w:val="20"/>
              </w:rPr>
              <w:t> </w:t>
            </w:r>
            <w:r>
              <w:rPr>
                <w:rFonts w:ascii="Arial MT"/>
                <w:sz w:val="20"/>
              </w:rPr>
              <w:t>title</w:t>
            </w:r>
            <w:r>
              <w:rPr>
                <w:rFonts w:ascii="Arial MT"/>
                <w:spacing w:val="-3"/>
                <w:sz w:val="20"/>
              </w:rPr>
              <w:t> </w:t>
            </w:r>
            <w:r>
              <w:rPr>
                <w:rFonts w:ascii="Arial MT"/>
                <w:sz w:val="20"/>
              </w:rPr>
              <w:t>is</w:t>
            </w:r>
            <w:r>
              <w:rPr>
                <w:rFonts w:ascii="Arial MT"/>
                <w:spacing w:val="-4"/>
                <w:sz w:val="20"/>
              </w:rPr>
              <w:t> </w:t>
            </w:r>
            <w:r>
              <w:rPr>
                <w:rFonts w:ascii="Arial MT"/>
                <w:sz w:val="20"/>
              </w:rPr>
              <w:t>appropriate</w:t>
            </w:r>
            <w:r>
              <w:rPr>
                <w:rFonts w:ascii="Arial MT"/>
                <w:spacing w:val="-6"/>
                <w:sz w:val="20"/>
              </w:rPr>
              <w:t> </w:t>
            </w:r>
            <w:r>
              <w:rPr>
                <w:rFonts w:ascii="Arial MT"/>
                <w:sz w:val="20"/>
              </w:rPr>
              <w:t>and</w:t>
            </w:r>
            <w:r>
              <w:rPr>
                <w:rFonts w:ascii="Arial MT"/>
                <w:spacing w:val="-6"/>
                <w:sz w:val="20"/>
              </w:rPr>
              <w:t> </w:t>
            </w:r>
            <w:r>
              <w:rPr>
                <w:rFonts w:ascii="Arial MT"/>
                <w:sz w:val="20"/>
              </w:rPr>
              <w:t>reflects</w:t>
            </w:r>
            <w:r>
              <w:rPr>
                <w:rFonts w:ascii="Arial MT"/>
                <w:spacing w:val="-4"/>
                <w:sz w:val="20"/>
              </w:rPr>
              <w:t> </w:t>
            </w:r>
            <w:r>
              <w:rPr>
                <w:rFonts w:ascii="Arial MT"/>
                <w:sz w:val="20"/>
              </w:rPr>
              <w:t>the</w:t>
            </w:r>
            <w:r>
              <w:rPr>
                <w:rFonts w:ascii="Arial MT"/>
                <w:spacing w:val="-5"/>
                <w:sz w:val="20"/>
              </w:rPr>
              <w:t> </w:t>
            </w:r>
            <w:r>
              <w:rPr>
                <w:rFonts w:ascii="Arial MT"/>
                <w:sz w:val="20"/>
              </w:rPr>
              <w:t>scope</w:t>
            </w:r>
            <w:r>
              <w:rPr>
                <w:rFonts w:ascii="Arial MT"/>
                <w:spacing w:val="-1"/>
                <w:sz w:val="20"/>
              </w:rPr>
              <w:t> </w:t>
            </w:r>
            <w:r>
              <w:rPr>
                <w:rFonts w:ascii="Arial MT"/>
                <w:sz w:val="20"/>
              </w:rPr>
              <w:t>of</w:t>
            </w:r>
            <w:r>
              <w:rPr>
                <w:rFonts w:ascii="Arial MT"/>
                <w:spacing w:val="-5"/>
                <w:sz w:val="20"/>
              </w:rPr>
              <w:t> </w:t>
            </w:r>
            <w:r>
              <w:rPr>
                <w:rFonts w:ascii="Arial MT"/>
                <w:sz w:val="20"/>
              </w:rPr>
              <w:t>the </w:t>
            </w:r>
            <w:r>
              <w:rPr>
                <w:rFonts w:ascii="Arial MT"/>
                <w:spacing w:val="-2"/>
                <w:sz w:val="20"/>
              </w:rPr>
              <w:t>manuscript.</w:t>
            </w:r>
          </w:p>
        </w:tc>
      </w:tr>
      <w:tr>
        <w:trPr>
          <w:trHeight w:val="1261" w:hRule="atLeast"/>
        </w:trPr>
        <w:tc>
          <w:tcPr>
            <w:tcW w:w="5352" w:type="dxa"/>
          </w:tcPr>
          <w:p>
            <w:pPr>
              <w:pStyle w:val="TableParagraph"/>
              <w:ind w:left="467" w:right="199"/>
              <w:rPr>
                <w:b/>
                <w:sz w:val="20"/>
              </w:rPr>
            </w:pPr>
            <w:r>
              <w:rPr>
                <w:b/>
                <w:sz w:val="20"/>
              </w:rPr>
              <w:t>Is the abstract of the article comprehensive? Do you suggest</w:t>
            </w:r>
            <w:r>
              <w:rPr>
                <w:b/>
                <w:spacing w:val="-4"/>
                <w:sz w:val="20"/>
              </w:rPr>
              <w:t> </w:t>
            </w:r>
            <w:r>
              <w:rPr>
                <w:b/>
                <w:sz w:val="20"/>
              </w:rPr>
              <w:t>the</w:t>
            </w:r>
            <w:r>
              <w:rPr>
                <w:b/>
                <w:spacing w:val="-5"/>
                <w:sz w:val="20"/>
              </w:rPr>
              <w:t> </w:t>
            </w:r>
            <w:r>
              <w:rPr>
                <w:b/>
                <w:sz w:val="20"/>
              </w:rPr>
              <w:t>addition</w:t>
            </w:r>
            <w:r>
              <w:rPr>
                <w:b/>
                <w:spacing w:val="-6"/>
                <w:sz w:val="20"/>
              </w:rPr>
              <w:t> </w:t>
            </w:r>
            <w:r>
              <w:rPr>
                <w:b/>
                <w:sz w:val="20"/>
              </w:rPr>
              <w:t>(or</w:t>
            </w:r>
            <w:r>
              <w:rPr>
                <w:b/>
                <w:spacing w:val="-5"/>
                <w:sz w:val="20"/>
              </w:rPr>
              <w:t> </w:t>
            </w:r>
            <w:r>
              <w:rPr>
                <w:b/>
                <w:sz w:val="20"/>
              </w:rPr>
              <w:t>deletion)</w:t>
            </w:r>
            <w:r>
              <w:rPr>
                <w:b/>
                <w:spacing w:val="-5"/>
                <w:sz w:val="20"/>
              </w:rPr>
              <w:t> </w:t>
            </w:r>
            <w:r>
              <w:rPr>
                <w:b/>
                <w:sz w:val="20"/>
              </w:rPr>
              <w:t>of</w:t>
            </w:r>
            <w:r>
              <w:rPr>
                <w:b/>
                <w:spacing w:val="-5"/>
                <w:sz w:val="20"/>
              </w:rPr>
              <w:t> </w:t>
            </w:r>
            <w:r>
              <w:rPr>
                <w:b/>
                <w:sz w:val="20"/>
              </w:rPr>
              <w:t>some</w:t>
            </w:r>
            <w:r>
              <w:rPr>
                <w:b/>
                <w:spacing w:val="-5"/>
                <w:sz w:val="20"/>
              </w:rPr>
              <w:t> </w:t>
            </w:r>
            <w:r>
              <w:rPr>
                <w:b/>
                <w:sz w:val="20"/>
              </w:rPr>
              <w:t>points</w:t>
            </w:r>
            <w:r>
              <w:rPr>
                <w:b/>
                <w:spacing w:val="-6"/>
                <w:sz w:val="20"/>
              </w:rPr>
              <w:t> </w:t>
            </w:r>
            <w:r>
              <w:rPr>
                <w:b/>
                <w:sz w:val="20"/>
              </w:rPr>
              <w:t>in</w:t>
            </w:r>
            <w:r>
              <w:rPr>
                <w:b/>
                <w:spacing w:val="-6"/>
                <w:sz w:val="20"/>
              </w:rPr>
              <w:t> </w:t>
            </w:r>
            <w:r>
              <w:rPr>
                <w:b/>
                <w:sz w:val="20"/>
              </w:rPr>
              <w:t>this section? Please write your suggestions here.</w:t>
            </w:r>
          </w:p>
        </w:tc>
        <w:tc>
          <w:tcPr>
            <w:tcW w:w="9356" w:type="dxa"/>
          </w:tcPr>
          <w:p>
            <w:pPr>
              <w:pStyle w:val="TableParagraph"/>
              <w:ind w:left="468"/>
              <w:rPr>
                <w:b/>
                <w:sz w:val="20"/>
              </w:rPr>
            </w:pPr>
            <w:r>
              <w:rPr>
                <w:b/>
                <w:spacing w:val="-5"/>
                <w:sz w:val="20"/>
              </w:rPr>
              <w:t>Yes</w:t>
            </w:r>
          </w:p>
        </w:tc>
        <w:tc>
          <w:tcPr>
            <w:tcW w:w="6445" w:type="dxa"/>
          </w:tcPr>
          <w:p>
            <w:pPr>
              <w:pStyle w:val="TableParagraph"/>
              <w:ind w:right="114"/>
              <w:rPr>
                <w:rFonts w:ascii="Arial MT"/>
                <w:sz w:val="20"/>
              </w:rPr>
            </w:pPr>
            <w:r>
              <w:rPr>
                <w:rFonts w:ascii="Arial MT"/>
                <w:sz w:val="20"/>
              </w:rPr>
              <w:t>The</w:t>
            </w:r>
            <w:r>
              <w:rPr>
                <w:rFonts w:ascii="Arial MT"/>
                <w:spacing w:val="-6"/>
                <w:sz w:val="20"/>
              </w:rPr>
              <w:t> </w:t>
            </w:r>
            <w:r>
              <w:rPr>
                <w:rFonts w:ascii="Arial MT"/>
                <w:sz w:val="20"/>
              </w:rPr>
              <w:t>abstract</w:t>
            </w:r>
            <w:r>
              <w:rPr>
                <w:rFonts w:ascii="Arial MT"/>
                <w:spacing w:val="-4"/>
                <w:sz w:val="20"/>
              </w:rPr>
              <w:t> </w:t>
            </w:r>
            <w:r>
              <w:rPr>
                <w:rFonts w:ascii="Arial MT"/>
                <w:sz w:val="20"/>
              </w:rPr>
              <w:t>provides</w:t>
            </w:r>
            <w:r>
              <w:rPr>
                <w:rFonts w:ascii="Arial MT"/>
                <w:spacing w:val="-5"/>
                <w:sz w:val="20"/>
              </w:rPr>
              <w:t> </w:t>
            </w:r>
            <w:r>
              <w:rPr>
                <w:rFonts w:ascii="Arial MT"/>
                <w:sz w:val="20"/>
              </w:rPr>
              <w:t>a</w:t>
            </w:r>
            <w:r>
              <w:rPr>
                <w:rFonts w:ascii="Arial MT"/>
                <w:spacing w:val="-6"/>
                <w:sz w:val="20"/>
              </w:rPr>
              <w:t> </w:t>
            </w:r>
            <w:r>
              <w:rPr>
                <w:rFonts w:ascii="Arial MT"/>
                <w:sz w:val="20"/>
              </w:rPr>
              <w:t>concise</w:t>
            </w:r>
            <w:r>
              <w:rPr>
                <w:rFonts w:ascii="Arial MT"/>
                <w:spacing w:val="-6"/>
                <w:sz w:val="20"/>
              </w:rPr>
              <w:t> </w:t>
            </w:r>
            <w:r>
              <w:rPr>
                <w:rFonts w:ascii="Arial MT"/>
                <w:sz w:val="20"/>
              </w:rPr>
              <w:t>overview</w:t>
            </w:r>
            <w:r>
              <w:rPr>
                <w:rFonts w:ascii="Arial MT"/>
                <w:spacing w:val="-6"/>
                <w:sz w:val="20"/>
              </w:rPr>
              <w:t> </w:t>
            </w:r>
            <w:r>
              <w:rPr>
                <w:rFonts w:ascii="Arial MT"/>
                <w:sz w:val="20"/>
              </w:rPr>
              <w:t>of</w:t>
            </w:r>
            <w:r>
              <w:rPr>
                <w:rFonts w:ascii="Arial MT"/>
                <w:spacing w:val="-4"/>
                <w:sz w:val="20"/>
              </w:rPr>
              <w:t> </w:t>
            </w:r>
            <w:r>
              <w:rPr>
                <w:rFonts w:ascii="Arial MT"/>
                <w:sz w:val="20"/>
              </w:rPr>
              <w:t>the</w:t>
            </w:r>
            <w:r>
              <w:rPr>
                <w:rFonts w:ascii="Arial MT"/>
                <w:spacing w:val="-6"/>
                <w:sz w:val="20"/>
              </w:rPr>
              <w:t> </w:t>
            </w:r>
            <w:r>
              <w:rPr>
                <w:rFonts w:ascii="Arial MT"/>
                <w:sz w:val="20"/>
              </w:rPr>
              <w:t>study</w:t>
            </w:r>
            <w:r>
              <w:rPr>
                <w:rFonts w:ascii="Arial MT"/>
                <w:spacing w:val="-2"/>
                <w:sz w:val="20"/>
              </w:rPr>
              <w:t> </w:t>
            </w:r>
            <w:r>
              <w:rPr>
                <w:rFonts w:ascii="Arial MT"/>
                <w:sz w:val="20"/>
              </w:rPr>
              <w:t>and</w:t>
            </w:r>
            <w:r>
              <w:rPr>
                <w:rFonts w:ascii="Arial MT"/>
                <w:spacing w:val="-4"/>
                <w:sz w:val="20"/>
              </w:rPr>
              <w:t> </w:t>
            </w:r>
            <w:r>
              <w:rPr>
                <w:rFonts w:ascii="Arial MT"/>
                <w:sz w:val="20"/>
              </w:rPr>
              <w:t>its objectives. At present, no major changes are required.</w:t>
            </w:r>
          </w:p>
        </w:tc>
      </w:tr>
      <w:tr>
        <w:trPr>
          <w:trHeight w:val="828" w:hRule="atLeast"/>
        </w:trPr>
        <w:tc>
          <w:tcPr>
            <w:tcW w:w="5352" w:type="dxa"/>
          </w:tcPr>
          <w:p>
            <w:pPr>
              <w:pStyle w:val="TableParagraph"/>
              <w:ind w:left="467" w:right="199"/>
              <w:rPr>
                <w:b/>
                <w:sz w:val="20"/>
              </w:rPr>
            </w:pPr>
            <w:r>
              <w:rPr>
                <w:b/>
                <w:sz w:val="20"/>
              </w:rPr>
              <w:t>Is</w:t>
            </w:r>
            <w:r>
              <w:rPr>
                <w:b/>
                <w:spacing w:val="-8"/>
                <w:sz w:val="20"/>
              </w:rPr>
              <w:t> </w:t>
            </w:r>
            <w:r>
              <w:rPr>
                <w:b/>
                <w:sz w:val="20"/>
              </w:rPr>
              <w:t>the</w:t>
            </w:r>
            <w:r>
              <w:rPr>
                <w:b/>
                <w:spacing w:val="-6"/>
                <w:sz w:val="20"/>
              </w:rPr>
              <w:t> </w:t>
            </w:r>
            <w:r>
              <w:rPr>
                <w:b/>
                <w:sz w:val="20"/>
              </w:rPr>
              <w:t>manuscript</w:t>
            </w:r>
            <w:r>
              <w:rPr>
                <w:b/>
                <w:spacing w:val="-7"/>
                <w:sz w:val="20"/>
              </w:rPr>
              <w:t> </w:t>
            </w:r>
            <w:r>
              <w:rPr>
                <w:b/>
                <w:sz w:val="20"/>
              </w:rPr>
              <w:t>scientifically,</w:t>
            </w:r>
            <w:r>
              <w:rPr>
                <w:b/>
                <w:spacing w:val="-7"/>
                <w:sz w:val="20"/>
              </w:rPr>
              <w:t> </w:t>
            </w:r>
            <w:r>
              <w:rPr>
                <w:b/>
                <w:sz w:val="20"/>
              </w:rPr>
              <w:t>correct?</w:t>
            </w:r>
            <w:r>
              <w:rPr>
                <w:b/>
                <w:spacing w:val="-8"/>
                <w:sz w:val="20"/>
              </w:rPr>
              <w:t> </w:t>
            </w:r>
            <w:r>
              <w:rPr>
                <w:b/>
                <w:sz w:val="20"/>
              </w:rPr>
              <w:t>Please</w:t>
            </w:r>
            <w:r>
              <w:rPr>
                <w:b/>
                <w:spacing w:val="-7"/>
                <w:sz w:val="20"/>
              </w:rPr>
              <w:t> </w:t>
            </w:r>
            <w:r>
              <w:rPr>
                <w:b/>
                <w:sz w:val="20"/>
              </w:rPr>
              <w:t>write </w:t>
            </w:r>
            <w:r>
              <w:rPr>
                <w:b/>
                <w:spacing w:val="-2"/>
                <w:sz w:val="20"/>
              </w:rPr>
              <w:t>here.</w:t>
            </w:r>
          </w:p>
        </w:tc>
        <w:tc>
          <w:tcPr>
            <w:tcW w:w="9356" w:type="dxa"/>
          </w:tcPr>
          <w:p>
            <w:pPr>
              <w:pStyle w:val="TableParagraph"/>
              <w:ind w:right="144"/>
              <w:rPr>
                <w:sz w:val="24"/>
              </w:rPr>
            </w:pPr>
            <w:r>
              <w:rPr>
                <w:sz w:val="24"/>
              </w:rPr>
              <w:t>Include more detailed contents to improve the objectivity of the overall journal. The manuscript</w:t>
            </w:r>
            <w:r>
              <w:rPr>
                <w:spacing w:val="-4"/>
                <w:sz w:val="24"/>
              </w:rPr>
              <w:t> </w:t>
            </w:r>
            <w:r>
              <w:rPr>
                <w:sz w:val="24"/>
              </w:rPr>
              <w:t>fails</w:t>
            </w:r>
            <w:r>
              <w:rPr>
                <w:spacing w:val="-4"/>
                <w:sz w:val="24"/>
              </w:rPr>
              <w:t> </w:t>
            </w:r>
            <w:r>
              <w:rPr>
                <w:sz w:val="24"/>
              </w:rPr>
              <w:t>to</w:t>
            </w:r>
            <w:r>
              <w:rPr>
                <w:spacing w:val="-4"/>
                <w:sz w:val="24"/>
              </w:rPr>
              <w:t> </w:t>
            </w:r>
            <w:r>
              <w:rPr>
                <w:sz w:val="24"/>
              </w:rPr>
              <w:t>sufficiently</w:t>
            </w:r>
            <w:r>
              <w:rPr>
                <w:spacing w:val="-4"/>
                <w:sz w:val="24"/>
              </w:rPr>
              <w:t> </w:t>
            </w:r>
            <w:r>
              <w:rPr>
                <w:sz w:val="24"/>
              </w:rPr>
              <w:t>relate</w:t>
            </w:r>
            <w:r>
              <w:rPr>
                <w:spacing w:val="-5"/>
                <w:sz w:val="24"/>
              </w:rPr>
              <w:t> </w:t>
            </w:r>
            <w:r>
              <w:rPr>
                <w:sz w:val="24"/>
              </w:rPr>
              <w:t>its</w:t>
            </w:r>
            <w:r>
              <w:rPr>
                <w:spacing w:val="-4"/>
                <w:sz w:val="24"/>
              </w:rPr>
              <w:t> </w:t>
            </w:r>
            <w:r>
              <w:rPr>
                <w:sz w:val="24"/>
              </w:rPr>
              <w:t>findings</w:t>
            </w:r>
            <w:r>
              <w:rPr>
                <w:spacing w:val="-4"/>
                <w:sz w:val="24"/>
              </w:rPr>
              <w:t> </w:t>
            </w:r>
            <w:r>
              <w:rPr>
                <w:sz w:val="24"/>
              </w:rPr>
              <w:t>to</w:t>
            </w:r>
            <w:r>
              <w:rPr>
                <w:spacing w:val="-4"/>
                <w:sz w:val="24"/>
              </w:rPr>
              <w:t> </w:t>
            </w:r>
            <w:r>
              <w:rPr>
                <w:sz w:val="24"/>
              </w:rPr>
              <w:t>previous</w:t>
            </w:r>
            <w:r>
              <w:rPr>
                <w:spacing w:val="-4"/>
                <w:sz w:val="24"/>
              </w:rPr>
              <w:t> </w:t>
            </w:r>
            <w:r>
              <w:rPr>
                <w:sz w:val="24"/>
              </w:rPr>
              <w:t>research,</w:t>
            </w:r>
            <w:r>
              <w:rPr>
                <w:spacing w:val="-4"/>
                <w:sz w:val="24"/>
              </w:rPr>
              <w:t> </w:t>
            </w:r>
            <w:r>
              <w:rPr>
                <w:sz w:val="24"/>
              </w:rPr>
              <w:t>particularly</w:t>
            </w:r>
            <w:r>
              <w:rPr>
                <w:spacing w:val="-4"/>
                <w:sz w:val="24"/>
              </w:rPr>
              <w:t> </w:t>
            </w:r>
            <w:r>
              <w:rPr>
                <w:sz w:val="24"/>
              </w:rPr>
              <w:t>the</w:t>
            </w:r>
            <w:r>
              <w:rPr>
                <w:spacing w:val="-5"/>
                <w:sz w:val="24"/>
              </w:rPr>
              <w:t> </w:t>
            </w:r>
            <w:r>
              <w:rPr>
                <w:sz w:val="24"/>
              </w:rPr>
              <w:t>recent</w:t>
            </w:r>
          </w:p>
          <w:p>
            <w:pPr>
              <w:pStyle w:val="TableParagraph"/>
              <w:spacing w:line="257" w:lineRule="exact"/>
              <w:rPr>
                <w:sz w:val="24"/>
              </w:rPr>
            </w:pPr>
            <w:r>
              <w:rPr>
                <w:sz w:val="24"/>
              </w:rPr>
              <w:t>work</w:t>
            </w:r>
            <w:r>
              <w:rPr>
                <w:spacing w:val="-3"/>
                <w:sz w:val="24"/>
              </w:rPr>
              <w:t> </w:t>
            </w:r>
            <w:r>
              <w:rPr>
                <w:sz w:val="24"/>
              </w:rPr>
              <w:t>by.</w:t>
            </w:r>
            <w:r>
              <w:rPr>
                <w:spacing w:val="-1"/>
                <w:sz w:val="24"/>
              </w:rPr>
              <w:t> </w:t>
            </w:r>
            <w:r>
              <w:rPr>
                <w:sz w:val="24"/>
              </w:rPr>
              <w:t>The</w:t>
            </w:r>
            <w:r>
              <w:rPr>
                <w:spacing w:val="-3"/>
                <w:sz w:val="24"/>
              </w:rPr>
              <w:t> </w:t>
            </w:r>
            <w:r>
              <w:rPr>
                <w:sz w:val="24"/>
              </w:rPr>
              <w:t>Discussion</w:t>
            </w:r>
            <w:r>
              <w:rPr>
                <w:spacing w:val="2"/>
                <w:sz w:val="24"/>
              </w:rPr>
              <w:t> </w:t>
            </w:r>
            <w:r>
              <w:rPr>
                <w:sz w:val="24"/>
              </w:rPr>
              <w:t>section</w:t>
            </w:r>
            <w:r>
              <w:rPr>
                <w:spacing w:val="-1"/>
                <w:sz w:val="24"/>
              </w:rPr>
              <w:t> </w:t>
            </w:r>
            <w:r>
              <w:rPr>
                <w:sz w:val="24"/>
              </w:rPr>
              <w:t>should</w:t>
            </w:r>
            <w:r>
              <w:rPr>
                <w:spacing w:val="-1"/>
                <w:sz w:val="24"/>
              </w:rPr>
              <w:t> </w:t>
            </w:r>
            <w:r>
              <w:rPr>
                <w:sz w:val="24"/>
              </w:rPr>
              <w:t>be</w:t>
            </w:r>
            <w:r>
              <w:rPr>
                <w:spacing w:val="-2"/>
                <w:sz w:val="24"/>
              </w:rPr>
              <w:t> </w:t>
            </w:r>
            <w:r>
              <w:rPr>
                <w:sz w:val="24"/>
              </w:rPr>
              <w:t>expanded to</w:t>
            </w:r>
            <w:r>
              <w:rPr>
                <w:spacing w:val="-1"/>
                <w:sz w:val="24"/>
              </w:rPr>
              <w:t> </w:t>
            </w:r>
            <w:r>
              <w:rPr>
                <w:sz w:val="24"/>
              </w:rPr>
              <w:t>incorporate</w:t>
            </w:r>
            <w:r>
              <w:rPr>
                <w:spacing w:val="-2"/>
                <w:sz w:val="24"/>
              </w:rPr>
              <w:t> </w:t>
            </w:r>
            <w:r>
              <w:rPr>
                <w:sz w:val="24"/>
              </w:rPr>
              <w:t>this</w:t>
            </w:r>
            <w:r>
              <w:rPr>
                <w:spacing w:val="-1"/>
                <w:sz w:val="24"/>
              </w:rPr>
              <w:t> </w:t>
            </w:r>
            <w:r>
              <w:rPr>
                <w:sz w:val="24"/>
              </w:rPr>
              <w:t>crucial </w:t>
            </w:r>
            <w:r>
              <w:rPr>
                <w:spacing w:val="-2"/>
                <w:sz w:val="24"/>
              </w:rPr>
              <w:t>literature.</w:t>
            </w:r>
          </w:p>
        </w:tc>
        <w:tc>
          <w:tcPr>
            <w:tcW w:w="6445" w:type="dxa"/>
          </w:tcPr>
          <w:p>
            <w:pPr>
              <w:pStyle w:val="TableParagraph"/>
              <w:ind w:right="114"/>
              <w:rPr>
                <w:rFonts w:ascii="Arial MT"/>
                <w:sz w:val="20"/>
              </w:rPr>
            </w:pPr>
            <w:r>
              <w:rPr>
                <w:rFonts w:ascii="Arial MT"/>
                <w:sz w:val="20"/>
              </w:rPr>
              <w:t>We</w:t>
            </w:r>
            <w:r>
              <w:rPr>
                <w:rFonts w:ascii="Arial MT"/>
                <w:spacing w:val="-5"/>
                <w:sz w:val="20"/>
              </w:rPr>
              <w:t> </w:t>
            </w:r>
            <w:r>
              <w:rPr>
                <w:rFonts w:ascii="Arial MT"/>
                <w:sz w:val="20"/>
              </w:rPr>
              <w:t>will</w:t>
            </w:r>
            <w:r>
              <w:rPr>
                <w:rFonts w:ascii="Arial MT"/>
                <w:spacing w:val="-6"/>
                <w:sz w:val="20"/>
              </w:rPr>
              <w:t> </w:t>
            </w:r>
            <w:r>
              <w:rPr>
                <w:rFonts w:ascii="Arial MT"/>
                <w:sz w:val="20"/>
              </w:rPr>
              <w:t>expand</w:t>
            </w:r>
            <w:r>
              <w:rPr>
                <w:rFonts w:ascii="Arial MT"/>
                <w:spacing w:val="-4"/>
                <w:sz w:val="20"/>
              </w:rPr>
              <w:t> </w:t>
            </w:r>
            <w:r>
              <w:rPr>
                <w:rFonts w:ascii="Arial MT"/>
                <w:sz w:val="20"/>
              </w:rPr>
              <w:t>the</w:t>
            </w:r>
            <w:r>
              <w:rPr>
                <w:rFonts w:ascii="Arial MT"/>
                <w:spacing w:val="-4"/>
                <w:sz w:val="20"/>
              </w:rPr>
              <w:t> </w:t>
            </w:r>
            <w:r>
              <w:rPr>
                <w:rFonts w:ascii="Arial MT"/>
                <w:sz w:val="20"/>
              </w:rPr>
              <w:t>discussion</w:t>
            </w:r>
            <w:r>
              <w:rPr>
                <w:rFonts w:ascii="Arial MT"/>
                <w:spacing w:val="-6"/>
                <w:sz w:val="20"/>
              </w:rPr>
              <w:t> </w:t>
            </w:r>
            <w:r>
              <w:rPr>
                <w:rFonts w:ascii="Arial MT"/>
                <w:sz w:val="20"/>
              </w:rPr>
              <w:t>by</w:t>
            </w:r>
            <w:r>
              <w:rPr>
                <w:rFonts w:ascii="Arial MT"/>
                <w:spacing w:val="-4"/>
                <w:sz w:val="20"/>
              </w:rPr>
              <w:t> </w:t>
            </w:r>
            <w:r>
              <w:rPr>
                <w:rFonts w:ascii="Arial MT"/>
                <w:sz w:val="20"/>
              </w:rPr>
              <w:t>adding</w:t>
            </w:r>
            <w:r>
              <w:rPr>
                <w:rFonts w:ascii="Arial MT"/>
                <w:spacing w:val="-6"/>
                <w:sz w:val="20"/>
              </w:rPr>
              <w:t> </w:t>
            </w:r>
            <w:r>
              <w:rPr>
                <w:rFonts w:ascii="Arial MT"/>
                <w:sz w:val="20"/>
              </w:rPr>
              <w:t>recent</w:t>
            </w:r>
            <w:r>
              <w:rPr>
                <w:rFonts w:ascii="Arial MT"/>
                <w:spacing w:val="-5"/>
                <w:sz w:val="20"/>
              </w:rPr>
              <w:t> </w:t>
            </w:r>
            <w:r>
              <w:rPr>
                <w:rFonts w:ascii="Arial MT"/>
                <w:sz w:val="20"/>
              </w:rPr>
              <w:t>studies</w:t>
            </w:r>
            <w:r>
              <w:rPr>
                <w:rFonts w:ascii="Arial MT"/>
                <w:spacing w:val="-4"/>
                <w:sz w:val="20"/>
              </w:rPr>
              <w:t> </w:t>
            </w:r>
            <w:r>
              <w:rPr>
                <w:rFonts w:ascii="Arial MT"/>
                <w:sz w:val="20"/>
              </w:rPr>
              <w:t>and</w:t>
            </w:r>
            <w:r>
              <w:rPr>
                <w:rFonts w:ascii="Arial MT"/>
                <w:spacing w:val="-4"/>
                <w:sz w:val="20"/>
              </w:rPr>
              <w:t> </w:t>
            </w:r>
            <w:r>
              <w:rPr>
                <w:rFonts w:ascii="Arial MT"/>
                <w:sz w:val="20"/>
              </w:rPr>
              <w:t>provide better comparisons to justify the results</w:t>
            </w:r>
          </w:p>
        </w:tc>
      </w:tr>
      <w:tr>
        <w:trPr>
          <w:trHeight w:val="702" w:hRule="atLeast"/>
        </w:trPr>
        <w:tc>
          <w:tcPr>
            <w:tcW w:w="5352" w:type="dxa"/>
          </w:tcPr>
          <w:p>
            <w:pPr>
              <w:pStyle w:val="TableParagraph"/>
              <w:spacing w:line="230" w:lineRule="atLeast"/>
              <w:ind w:left="467" w:right="199"/>
              <w:rPr>
                <w:b/>
                <w:sz w:val="20"/>
              </w:rPr>
            </w:pPr>
            <w:r>
              <w:rPr>
                <w:b/>
                <w:sz w:val="20"/>
              </w:rPr>
              <w:t>Are</w:t>
            </w:r>
            <w:r>
              <w:rPr>
                <w:b/>
                <w:spacing w:val="-5"/>
                <w:sz w:val="20"/>
              </w:rPr>
              <w:t> </w:t>
            </w:r>
            <w:r>
              <w:rPr>
                <w:b/>
                <w:sz w:val="20"/>
              </w:rPr>
              <w:t>the</w:t>
            </w:r>
            <w:r>
              <w:rPr>
                <w:b/>
                <w:spacing w:val="-5"/>
                <w:sz w:val="20"/>
              </w:rPr>
              <w:t> </w:t>
            </w:r>
            <w:r>
              <w:rPr>
                <w:b/>
                <w:sz w:val="20"/>
              </w:rPr>
              <w:t>references</w:t>
            </w:r>
            <w:r>
              <w:rPr>
                <w:b/>
                <w:spacing w:val="-6"/>
                <w:sz w:val="20"/>
              </w:rPr>
              <w:t> </w:t>
            </w:r>
            <w:r>
              <w:rPr>
                <w:b/>
                <w:sz w:val="20"/>
              </w:rPr>
              <w:t>sufficient</w:t>
            </w:r>
            <w:r>
              <w:rPr>
                <w:b/>
                <w:spacing w:val="-3"/>
                <w:sz w:val="20"/>
              </w:rPr>
              <w:t> </w:t>
            </w:r>
            <w:r>
              <w:rPr>
                <w:b/>
                <w:sz w:val="20"/>
              </w:rPr>
              <w:t>and</w:t>
            </w:r>
            <w:r>
              <w:rPr>
                <w:b/>
                <w:spacing w:val="-6"/>
                <w:sz w:val="20"/>
              </w:rPr>
              <w:t> </w:t>
            </w:r>
            <w:r>
              <w:rPr>
                <w:b/>
                <w:sz w:val="20"/>
              </w:rPr>
              <w:t>recent?</w:t>
            </w:r>
            <w:r>
              <w:rPr>
                <w:b/>
                <w:spacing w:val="-4"/>
                <w:sz w:val="20"/>
              </w:rPr>
              <w:t> </w:t>
            </w:r>
            <w:r>
              <w:rPr>
                <w:b/>
                <w:sz w:val="20"/>
              </w:rPr>
              <w:t>If</w:t>
            </w:r>
            <w:r>
              <w:rPr>
                <w:b/>
                <w:spacing w:val="-5"/>
                <w:sz w:val="20"/>
              </w:rPr>
              <w:t> </w:t>
            </w:r>
            <w:r>
              <w:rPr>
                <w:b/>
                <w:sz w:val="20"/>
              </w:rPr>
              <w:t>you</w:t>
            </w:r>
            <w:r>
              <w:rPr>
                <w:b/>
                <w:spacing w:val="-6"/>
                <w:sz w:val="20"/>
              </w:rPr>
              <w:t> </w:t>
            </w:r>
            <w:r>
              <w:rPr>
                <w:b/>
                <w:sz w:val="20"/>
              </w:rPr>
              <w:t>have suggestions of additional references, please mention them in the review form.</w:t>
            </w:r>
          </w:p>
        </w:tc>
        <w:tc>
          <w:tcPr>
            <w:tcW w:w="9356" w:type="dxa"/>
          </w:tcPr>
          <w:p>
            <w:pPr>
              <w:pStyle w:val="TableParagraph"/>
              <w:rPr>
                <w:sz w:val="20"/>
              </w:rPr>
            </w:pPr>
            <w:r>
              <w:rPr>
                <w:spacing w:val="-5"/>
                <w:sz w:val="20"/>
              </w:rPr>
              <w:t>Yes</w:t>
            </w:r>
          </w:p>
        </w:tc>
        <w:tc>
          <w:tcPr>
            <w:tcW w:w="6445" w:type="dxa"/>
          </w:tcPr>
          <w:p>
            <w:pPr>
              <w:pStyle w:val="TableParagraph"/>
              <w:rPr>
                <w:sz w:val="20"/>
              </w:rPr>
            </w:pPr>
            <w:r>
              <w:rPr>
                <w:spacing w:val="-5"/>
                <w:sz w:val="20"/>
              </w:rPr>
              <w:t>Yes</w:t>
            </w:r>
          </w:p>
        </w:tc>
      </w:tr>
    </w:tbl>
    <w:p>
      <w:pPr>
        <w:pStyle w:val="TableParagraph"/>
        <w:spacing w:after="0"/>
        <w:rPr>
          <w:sz w:val="20"/>
        </w:rPr>
        <w:sectPr>
          <w:pgSz w:w="23820" w:h="16840" w:orient="landscape"/>
          <w:pgMar w:header="1285" w:footer="694" w:top="1820" w:bottom="880" w:left="1275" w:right="1275"/>
        </w:sectPr>
      </w:pPr>
    </w:p>
    <w:tbl>
      <w:tblPr>
        <w:tblW w:w="0" w:type="auto"/>
        <w:jc w:val="left"/>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2"/>
        <w:gridCol w:w="9356"/>
        <w:gridCol w:w="6445"/>
      </w:tblGrid>
      <w:tr>
        <w:trPr>
          <w:trHeight w:val="690" w:hRule="atLeast"/>
        </w:trPr>
        <w:tc>
          <w:tcPr>
            <w:tcW w:w="5352" w:type="dxa"/>
          </w:tcPr>
          <w:p>
            <w:pPr>
              <w:pStyle w:val="TableParagraph"/>
              <w:ind w:left="467" w:right="199"/>
              <w:rPr>
                <w:b/>
                <w:sz w:val="20"/>
              </w:rPr>
            </w:pPr>
            <w:r>
              <w:rPr>
                <w:b/>
                <w:sz w:val="20"/>
              </w:rPr>
              <w:t>Is</w:t>
            </w:r>
            <w:r>
              <w:rPr>
                <w:b/>
                <w:spacing w:val="-7"/>
                <w:sz w:val="20"/>
              </w:rPr>
              <w:t> </w:t>
            </w:r>
            <w:r>
              <w:rPr>
                <w:b/>
                <w:sz w:val="20"/>
              </w:rPr>
              <w:t>the</w:t>
            </w:r>
            <w:r>
              <w:rPr>
                <w:b/>
                <w:spacing w:val="-5"/>
                <w:sz w:val="20"/>
              </w:rPr>
              <w:t> </w:t>
            </w:r>
            <w:r>
              <w:rPr>
                <w:b/>
                <w:sz w:val="20"/>
              </w:rPr>
              <w:t>language/English</w:t>
            </w:r>
            <w:r>
              <w:rPr>
                <w:b/>
                <w:spacing w:val="-7"/>
                <w:sz w:val="20"/>
              </w:rPr>
              <w:t> </w:t>
            </w:r>
            <w:r>
              <w:rPr>
                <w:b/>
                <w:sz w:val="20"/>
              </w:rPr>
              <w:t>quality</w:t>
            </w:r>
            <w:r>
              <w:rPr>
                <w:b/>
                <w:spacing w:val="-5"/>
                <w:sz w:val="20"/>
              </w:rPr>
              <w:t> </w:t>
            </w:r>
            <w:r>
              <w:rPr>
                <w:b/>
                <w:sz w:val="20"/>
              </w:rPr>
              <w:t>of</w:t>
            </w:r>
            <w:r>
              <w:rPr>
                <w:b/>
                <w:spacing w:val="-8"/>
                <w:sz w:val="20"/>
              </w:rPr>
              <w:t> </w:t>
            </w:r>
            <w:r>
              <w:rPr>
                <w:b/>
                <w:sz w:val="20"/>
              </w:rPr>
              <w:t>the</w:t>
            </w:r>
            <w:r>
              <w:rPr>
                <w:b/>
                <w:spacing w:val="-6"/>
                <w:sz w:val="20"/>
              </w:rPr>
              <w:t> </w:t>
            </w:r>
            <w:r>
              <w:rPr>
                <w:b/>
                <w:sz w:val="20"/>
              </w:rPr>
              <w:t>article</w:t>
            </w:r>
            <w:r>
              <w:rPr>
                <w:b/>
                <w:spacing w:val="-6"/>
                <w:sz w:val="20"/>
              </w:rPr>
              <w:t> </w:t>
            </w:r>
            <w:r>
              <w:rPr>
                <w:b/>
                <w:sz w:val="20"/>
              </w:rPr>
              <w:t>suitable for scholarly communications?</w:t>
            </w:r>
          </w:p>
        </w:tc>
        <w:tc>
          <w:tcPr>
            <w:tcW w:w="9356" w:type="dxa"/>
          </w:tcPr>
          <w:p>
            <w:pPr>
              <w:pStyle w:val="TableParagraph"/>
              <w:rPr>
                <w:sz w:val="20"/>
              </w:rPr>
            </w:pPr>
            <w:r>
              <w:rPr>
                <w:sz w:val="20"/>
              </w:rPr>
              <w:t>While</w:t>
            </w:r>
            <w:r>
              <w:rPr>
                <w:spacing w:val="-3"/>
                <w:sz w:val="20"/>
              </w:rPr>
              <w:t> </w:t>
            </w:r>
            <w:r>
              <w:rPr>
                <w:sz w:val="20"/>
              </w:rPr>
              <w:t>the</w:t>
            </w:r>
            <w:r>
              <w:rPr>
                <w:spacing w:val="-3"/>
                <w:sz w:val="20"/>
              </w:rPr>
              <w:t> </w:t>
            </w:r>
            <w:r>
              <w:rPr>
                <w:sz w:val="20"/>
              </w:rPr>
              <w:t>science</w:t>
            </w:r>
            <w:r>
              <w:rPr>
                <w:spacing w:val="-3"/>
                <w:sz w:val="20"/>
              </w:rPr>
              <w:t> </w:t>
            </w:r>
            <w:r>
              <w:rPr>
                <w:sz w:val="20"/>
              </w:rPr>
              <w:t>is</w:t>
            </w:r>
            <w:r>
              <w:rPr>
                <w:spacing w:val="-4"/>
                <w:sz w:val="20"/>
              </w:rPr>
              <w:t> </w:t>
            </w:r>
            <w:r>
              <w:rPr>
                <w:sz w:val="20"/>
              </w:rPr>
              <w:t>strong,</w:t>
            </w:r>
            <w:r>
              <w:rPr>
                <w:spacing w:val="-3"/>
                <w:sz w:val="20"/>
              </w:rPr>
              <w:t> </w:t>
            </w:r>
            <w:r>
              <w:rPr>
                <w:sz w:val="20"/>
              </w:rPr>
              <w:t>the</w:t>
            </w:r>
            <w:r>
              <w:rPr>
                <w:spacing w:val="-3"/>
                <w:sz w:val="20"/>
              </w:rPr>
              <w:t> </w:t>
            </w:r>
            <w:r>
              <w:rPr>
                <w:sz w:val="20"/>
              </w:rPr>
              <w:t>manuscript</w:t>
            </w:r>
            <w:r>
              <w:rPr>
                <w:spacing w:val="-4"/>
                <w:sz w:val="20"/>
              </w:rPr>
              <w:t> </w:t>
            </w:r>
            <w:r>
              <w:rPr>
                <w:sz w:val="20"/>
              </w:rPr>
              <w:t>suffers</w:t>
            </w:r>
            <w:r>
              <w:rPr>
                <w:spacing w:val="-4"/>
                <w:sz w:val="20"/>
              </w:rPr>
              <w:t> </w:t>
            </w:r>
            <w:r>
              <w:rPr>
                <w:sz w:val="20"/>
              </w:rPr>
              <w:t>from</w:t>
            </w:r>
            <w:r>
              <w:rPr>
                <w:spacing w:val="-5"/>
                <w:sz w:val="20"/>
              </w:rPr>
              <w:t> </w:t>
            </w:r>
            <w:r>
              <w:rPr>
                <w:sz w:val="20"/>
              </w:rPr>
              <w:t>grammatical</w:t>
            </w:r>
            <w:r>
              <w:rPr>
                <w:spacing w:val="-4"/>
                <w:sz w:val="20"/>
              </w:rPr>
              <w:t> </w:t>
            </w:r>
            <w:r>
              <w:rPr>
                <w:sz w:val="20"/>
              </w:rPr>
              <w:t>issues</w:t>
            </w:r>
            <w:r>
              <w:rPr>
                <w:spacing w:val="-4"/>
                <w:sz w:val="20"/>
              </w:rPr>
              <w:t> </w:t>
            </w:r>
            <w:r>
              <w:rPr>
                <w:sz w:val="20"/>
              </w:rPr>
              <w:t>and</w:t>
            </w:r>
            <w:r>
              <w:rPr>
                <w:spacing w:val="-2"/>
                <w:sz w:val="20"/>
              </w:rPr>
              <w:t> </w:t>
            </w:r>
            <w:r>
              <w:rPr>
                <w:sz w:val="20"/>
              </w:rPr>
              <w:t>awkward</w:t>
            </w:r>
            <w:r>
              <w:rPr>
                <w:spacing w:val="-4"/>
                <w:sz w:val="20"/>
              </w:rPr>
              <w:t> </w:t>
            </w:r>
            <w:r>
              <w:rPr>
                <w:sz w:val="20"/>
              </w:rPr>
              <w:t>phrasing,</w:t>
            </w:r>
            <w:r>
              <w:rPr>
                <w:spacing w:val="-3"/>
                <w:sz w:val="20"/>
              </w:rPr>
              <w:t> </w:t>
            </w:r>
            <w:r>
              <w:rPr>
                <w:sz w:val="20"/>
              </w:rPr>
              <w:t>making</w:t>
            </w:r>
            <w:r>
              <w:rPr>
                <w:spacing w:val="-4"/>
                <w:sz w:val="20"/>
              </w:rPr>
              <w:t> </w:t>
            </w:r>
            <w:r>
              <w:rPr>
                <w:sz w:val="20"/>
              </w:rPr>
              <w:t>it difficult to read in places. work with a professional copyeditor to improve the clarity and flow of the text.</w:t>
            </w:r>
          </w:p>
        </w:tc>
        <w:tc>
          <w:tcPr>
            <w:tcW w:w="6445" w:type="dxa"/>
          </w:tcPr>
          <w:p>
            <w:pPr>
              <w:pStyle w:val="TableParagraph"/>
              <w:ind w:right="114"/>
              <w:rPr>
                <w:sz w:val="24"/>
              </w:rPr>
            </w:pPr>
            <w:r>
              <w:rPr>
                <w:sz w:val="24"/>
              </w:rPr>
              <w:t>We</w:t>
            </w:r>
            <w:r>
              <w:rPr>
                <w:spacing w:val="-6"/>
                <w:sz w:val="24"/>
              </w:rPr>
              <w:t> </w:t>
            </w:r>
            <w:r>
              <w:rPr>
                <w:sz w:val="24"/>
              </w:rPr>
              <w:t>will</w:t>
            </w:r>
            <w:r>
              <w:rPr>
                <w:spacing w:val="-5"/>
                <w:sz w:val="24"/>
              </w:rPr>
              <w:t> </w:t>
            </w:r>
            <w:r>
              <w:rPr>
                <w:sz w:val="24"/>
              </w:rPr>
              <w:t>revise</w:t>
            </w:r>
            <w:r>
              <w:rPr>
                <w:spacing w:val="-5"/>
                <w:sz w:val="24"/>
              </w:rPr>
              <w:t> </w:t>
            </w:r>
            <w:r>
              <w:rPr>
                <w:sz w:val="24"/>
              </w:rPr>
              <w:t>the</w:t>
            </w:r>
            <w:r>
              <w:rPr>
                <w:spacing w:val="-6"/>
                <w:sz w:val="24"/>
              </w:rPr>
              <w:t> </w:t>
            </w:r>
            <w:r>
              <w:rPr>
                <w:sz w:val="24"/>
              </w:rPr>
              <w:t>manuscript</w:t>
            </w:r>
            <w:r>
              <w:rPr>
                <w:spacing w:val="-5"/>
                <w:sz w:val="24"/>
              </w:rPr>
              <w:t> </w:t>
            </w:r>
            <w:r>
              <w:rPr>
                <w:sz w:val="24"/>
              </w:rPr>
              <w:t>to</w:t>
            </w:r>
            <w:r>
              <w:rPr>
                <w:spacing w:val="-5"/>
                <w:sz w:val="24"/>
              </w:rPr>
              <w:t> </w:t>
            </w:r>
            <w:r>
              <w:rPr>
                <w:sz w:val="24"/>
              </w:rPr>
              <w:t>correct</w:t>
            </w:r>
            <w:r>
              <w:rPr>
                <w:spacing w:val="-5"/>
                <w:sz w:val="24"/>
              </w:rPr>
              <w:t> </w:t>
            </w:r>
            <w:r>
              <w:rPr>
                <w:sz w:val="24"/>
              </w:rPr>
              <w:t>grammar</w:t>
            </w:r>
            <w:r>
              <w:rPr>
                <w:spacing w:val="-4"/>
                <w:sz w:val="24"/>
              </w:rPr>
              <w:t> </w:t>
            </w:r>
            <w:r>
              <w:rPr>
                <w:sz w:val="24"/>
              </w:rPr>
              <w:t>issues</w:t>
            </w:r>
            <w:r>
              <w:rPr>
                <w:spacing w:val="-5"/>
                <w:sz w:val="24"/>
              </w:rPr>
              <w:t> </w:t>
            </w:r>
            <w:r>
              <w:rPr>
                <w:sz w:val="24"/>
              </w:rPr>
              <w:t>and improve readability.</w:t>
            </w:r>
          </w:p>
        </w:tc>
      </w:tr>
      <w:tr>
        <w:trPr>
          <w:trHeight w:val="12641" w:hRule="atLeast"/>
        </w:trPr>
        <w:tc>
          <w:tcPr>
            <w:tcW w:w="5352" w:type="dxa"/>
          </w:tcPr>
          <w:p>
            <w:pPr>
              <w:pStyle w:val="TableParagraph"/>
              <w:ind w:left="107"/>
              <w:rPr>
                <w:sz w:val="20"/>
              </w:rPr>
            </w:pPr>
            <w:r>
              <w:rPr>
                <w:b/>
                <w:sz w:val="20"/>
                <w:u w:val="single"/>
              </w:rPr>
              <w:t>Optional/General</w:t>
            </w:r>
            <w:r>
              <w:rPr>
                <w:b/>
                <w:spacing w:val="-11"/>
                <w:sz w:val="20"/>
              </w:rPr>
              <w:t> </w:t>
            </w:r>
            <w:r>
              <w:rPr>
                <w:spacing w:val="-2"/>
                <w:sz w:val="20"/>
              </w:rPr>
              <w:t>comments</w:t>
            </w:r>
          </w:p>
        </w:tc>
        <w:tc>
          <w:tcPr>
            <w:tcW w:w="9356" w:type="dxa"/>
          </w:tcPr>
          <w:p>
            <w:pPr>
              <w:pStyle w:val="TableParagraph"/>
              <w:rPr>
                <w:sz w:val="20"/>
              </w:rPr>
            </w:pPr>
            <w:r>
              <w:rPr>
                <w:sz w:val="20"/>
              </w:rPr>
              <w:t>Cervical</w:t>
            </w:r>
            <w:r>
              <w:rPr>
                <w:spacing w:val="-3"/>
                <w:sz w:val="20"/>
              </w:rPr>
              <w:t> </w:t>
            </w:r>
            <w:r>
              <w:rPr>
                <w:sz w:val="20"/>
              </w:rPr>
              <w:t>cancer</w:t>
            </w:r>
            <w:r>
              <w:rPr>
                <w:spacing w:val="-3"/>
                <w:sz w:val="20"/>
              </w:rPr>
              <w:t> </w:t>
            </w:r>
            <w:r>
              <w:rPr>
                <w:sz w:val="20"/>
              </w:rPr>
              <w:t>is</w:t>
            </w:r>
            <w:r>
              <w:rPr>
                <w:spacing w:val="-4"/>
                <w:sz w:val="20"/>
              </w:rPr>
              <w:t> </w:t>
            </w:r>
            <w:r>
              <w:rPr>
                <w:sz w:val="20"/>
              </w:rPr>
              <w:t>considered</w:t>
            </w:r>
            <w:r>
              <w:rPr>
                <w:spacing w:val="-2"/>
                <w:sz w:val="20"/>
              </w:rPr>
              <w:t> </w:t>
            </w:r>
            <w:r>
              <w:rPr>
                <w:sz w:val="20"/>
              </w:rPr>
              <w:t>the</w:t>
            </w:r>
            <w:r>
              <w:rPr>
                <w:spacing w:val="-3"/>
                <w:sz w:val="20"/>
              </w:rPr>
              <w:t> </w:t>
            </w:r>
            <w:r>
              <w:rPr>
                <w:sz w:val="20"/>
              </w:rPr>
              <w:t>fourth</w:t>
            </w:r>
            <w:r>
              <w:rPr>
                <w:spacing w:val="-2"/>
                <w:sz w:val="20"/>
              </w:rPr>
              <w:t> </w:t>
            </w:r>
            <w:r>
              <w:rPr>
                <w:sz w:val="20"/>
              </w:rPr>
              <w:t>leading</w:t>
            </w:r>
            <w:r>
              <w:rPr>
                <w:spacing w:val="-2"/>
                <w:sz w:val="20"/>
              </w:rPr>
              <w:t> </w:t>
            </w:r>
            <w:r>
              <w:rPr>
                <w:sz w:val="20"/>
              </w:rPr>
              <w:t>cause</w:t>
            </w:r>
            <w:r>
              <w:rPr>
                <w:spacing w:val="-3"/>
                <w:sz w:val="20"/>
              </w:rPr>
              <w:t> </w:t>
            </w:r>
            <w:r>
              <w:rPr>
                <w:sz w:val="20"/>
              </w:rPr>
              <w:t>of</w:t>
            </w:r>
            <w:r>
              <w:rPr>
                <w:spacing w:val="-3"/>
                <w:sz w:val="20"/>
              </w:rPr>
              <w:t> </w:t>
            </w:r>
            <w:r>
              <w:rPr>
                <w:sz w:val="20"/>
              </w:rPr>
              <w:t>death</w:t>
            </w:r>
            <w:r>
              <w:rPr>
                <w:spacing w:val="-2"/>
                <w:sz w:val="20"/>
              </w:rPr>
              <w:t> </w:t>
            </w:r>
            <w:r>
              <w:rPr>
                <w:sz w:val="20"/>
              </w:rPr>
              <w:t>among</w:t>
            </w:r>
            <w:r>
              <w:rPr>
                <w:spacing w:val="-2"/>
                <w:sz w:val="20"/>
              </w:rPr>
              <w:t> </w:t>
            </w:r>
            <w:r>
              <w:rPr>
                <w:sz w:val="20"/>
              </w:rPr>
              <w:t>women</w:t>
            </w:r>
            <w:r>
              <w:rPr>
                <w:spacing w:val="-4"/>
                <w:sz w:val="20"/>
              </w:rPr>
              <w:t> </w:t>
            </w:r>
            <w:r>
              <w:rPr>
                <w:sz w:val="20"/>
              </w:rPr>
              <w:t>worldwide,</w:t>
            </w:r>
            <w:r>
              <w:rPr>
                <w:spacing w:val="-5"/>
                <w:sz w:val="20"/>
              </w:rPr>
              <w:t> </w:t>
            </w:r>
            <w:r>
              <w:rPr>
                <w:sz w:val="20"/>
              </w:rPr>
              <w:t>with</w:t>
            </w:r>
            <w:r>
              <w:rPr>
                <w:spacing w:val="-2"/>
                <w:sz w:val="20"/>
              </w:rPr>
              <w:t> </w:t>
            </w:r>
            <w:r>
              <w:rPr>
                <w:sz w:val="20"/>
              </w:rPr>
              <w:t>its</w:t>
            </w:r>
            <w:r>
              <w:rPr>
                <w:spacing w:val="-4"/>
                <w:sz w:val="20"/>
              </w:rPr>
              <w:t> </w:t>
            </w:r>
            <w:r>
              <w:rPr>
                <w:sz w:val="20"/>
              </w:rPr>
              <w:t>establishment being associated with the most common sexually transmitted papillomavirus (HPV) infection.1 Genital HPV infection is the most common sexually transmitted infection worldwide, involving more than 75% of men and women of all ages.2 Early prevention with HPV vaccination is a safe and effective method against this disease. Three prophylactic HPV vaccines have been approved to target high-risk HPV types, which are based on the recombinant DNA technology and purified structural protein that is assembled to form HPV empty shells.</w:t>
            </w:r>
          </w:p>
          <w:p>
            <w:pPr>
              <w:pStyle w:val="TableParagraph"/>
              <w:ind w:right="144"/>
              <w:rPr>
                <w:sz w:val="20"/>
              </w:rPr>
            </w:pPr>
            <w:r>
              <w:rPr>
                <w:sz w:val="20"/>
              </w:rPr>
              <w:t>Prophylactic</w:t>
            </w:r>
            <w:r>
              <w:rPr>
                <w:spacing w:val="-2"/>
                <w:sz w:val="20"/>
              </w:rPr>
              <w:t> </w:t>
            </w:r>
            <w:r>
              <w:rPr>
                <w:sz w:val="20"/>
              </w:rPr>
              <w:t>vaccines</w:t>
            </w:r>
            <w:r>
              <w:rPr>
                <w:spacing w:val="-3"/>
                <w:sz w:val="20"/>
              </w:rPr>
              <w:t> </w:t>
            </w:r>
            <w:r>
              <w:rPr>
                <w:sz w:val="20"/>
              </w:rPr>
              <w:t>are</w:t>
            </w:r>
            <w:r>
              <w:rPr>
                <w:spacing w:val="-4"/>
                <w:sz w:val="20"/>
              </w:rPr>
              <w:t> </w:t>
            </w:r>
            <w:r>
              <w:rPr>
                <w:sz w:val="20"/>
              </w:rPr>
              <w:t>highly</w:t>
            </w:r>
            <w:r>
              <w:rPr>
                <w:spacing w:val="-1"/>
                <w:sz w:val="20"/>
              </w:rPr>
              <w:t> </w:t>
            </w:r>
            <w:r>
              <w:rPr>
                <w:sz w:val="20"/>
              </w:rPr>
              <w:t>immunogenic</w:t>
            </w:r>
            <w:r>
              <w:rPr>
                <w:spacing w:val="-2"/>
                <w:sz w:val="20"/>
              </w:rPr>
              <w:t> </w:t>
            </w:r>
            <w:r>
              <w:rPr>
                <w:sz w:val="20"/>
              </w:rPr>
              <w:t>and</w:t>
            </w:r>
            <w:r>
              <w:rPr>
                <w:spacing w:val="-1"/>
                <w:sz w:val="20"/>
              </w:rPr>
              <w:t> </w:t>
            </w:r>
            <w:r>
              <w:rPr>
                <w:sz w:val="20"/>
              </w:rPr>
              <w:t>can</w:t>
            </w:r>
            <w:r>
              <w:rPr>
                <w:spacing w:val="-3"/>
                <w:sz w:val="20"/>
              </w:rPr>
              <w:t> </w:t>
            </w:r>
            <w:r>
              <w:rPr>
                <w:sz w:val="20"/>
              </w:rPr>
              <w:t>induce</w:t>
            </w:r>
            <w:r>
              <w:rPr>
                <w:spacing w:val="-2"/>
                <w:sz w:val="20"/>
              </w:rPr>
              <w:t> </w:t>
            </w:r>
            <w:r>
              <w:rPr>
                <w:sz w:val="20"/>
              </w:rPr>
              <w:t>the</w:t>
            </w:r>
            <w:r>
              <w:rPr>
                <w:spacing w:val="-2"/>
                <w:sz w:val="20"/>
              </w:rPr>
              <w:t> </w:t>
            </w:r>
            <w:r>
              <w:rPr>
                <w:sz w:val="20"/>
              </w:rPr>
              <w:t>production</w:t>
            </w:r>
            <w:r>
              <w:rPr>
                <w:spacing w:val="-3"/>
                <w:sz w:val="20"/>
              </w:rPr>
              <w:t> </w:t>
            </w:r>
            <w:r>
              <w:rPr>
                <w:sz w:val="20"/>
              </w:rPr>
              <w:t>of</w:t>
            </w:r>
            <w:r>
              <w:rPr>
                <w:spacing w:val="-2"/>
                <w:sz w:val="20"/>
              </w:rPr>
              <w:t> </w:t>
            </w:r>
            <w:r>
              <w:rPr>
                <w:sz w:val="20"/>
              </w:rPr>
              <w:t>specific</w:t>
            </w:r>
            <w:r>
              <w:rPr>
                <w:spacing w:val="-4"/>
                <w:sz w:val="20"/>
              </w:rPr>
              <w:t> </w:t>
            </w:r>
            <w:r>
              <w:rPr>
                <w:sz w:val="20"/>
              </w:rPr>
              <w:t>neutralizing</w:t>
            </w:r>
            <w:r>
              <w:rPr>
                <w:spacing w:val="-1"/>
                <w:sz w:val="20"/>
              </w:rPr>
              <w:t> </w:t>
            </w:r>
            <w:r>
              <w:rPr>
                <w:sz w:val="20"/>
              </w:rPr>
              <w:t>antibodies. However,</w:t>
            </w:r>
            <w:r>
              <w:rPr>
                <w:spacing w:val="-2"/>
                <w:sz w:val="20"/>
              </w:rPr>
              <w:t> </w:t>
            </w:r>
            <w:r>
              <w:rPr>
                <w:sz w:val="20"/>
              </w:rPr>
              <w:t>therapeutic</w:t>
            </w:r>
            <w:r>
              <w:rPr>
                <w:spacing w:val="-2"/>
                <w:sz w:val="20"/>
              </w:rPr>
              <w:t> </w:t>
            </w:r>
            <w:r>
              <w:rPr>
                <w:sz w:val="20"/>
              </w:rPr>
              <w:t>vaccines</w:t>
            </w:r>
            <w:r>
              <w:rPr>
                <w:spacing w:val="-3"/>
                <w:sz w:val="20"/>
              </w:rPr>
              <w:t> </w:t>
            </w:r>
            <w:r>
              <w:rPr>
                <w:sz w:val="20"/>
              </w:rPr>
              <w:t>induce</w:t>
            </w:r>
            <w:r>
              <w:rPr>
                <w:spacing w:val="-2"/>
                <w:sz w:val="20"/>
              </w:rPr>
              <w:t> </w:t>
            </w:r>
            <w:r>
              <w:rPr>
                <w:sz w:val="20"/>
              </w:rPr>
              <w:t>cell-mediated</w:t>
            </w:r>
            <w:r>
              <w:rPr>
                <w:spacing w:val="-1"/>
                <w:sz w:val="20"/>
              </w:rPr>
              <w:t> </w:t>
            </w:r>
            <w:r>
              <w:rPr>
                <w:sz w:val="20"/>
              </w:rPr>
              <w:t>immunity</w:t>
            </w:r>
            <w:r>
              <w:rPr>
                <w:spacing w:val="-2"/>
                <w:sz w:val="20"/>
              </w:rPr>
              <w:t> </w:t>
            </w:r>
            <w:r>
              <w:rPr>
                <w:sz w:val="20"/>
              </w:rPr>
              <w:t>against</w:t>
            </w:r>
            <w:r>
              <w:rPr>
                <w:spacing w:val="-3"/>
                <w:sz w:val="20"/>
              </w:rPr>
              <w:t> </w:t>
            </w:r>
            <w:r>
              <w:rPr>
                <w:sz w:val="20"/>
              </w:rPr>
              <w:t>transformed</w:t>
            </w:r>
            <w:r>
              <w:rPr>
                <w:spacing w:val="-1"/>
                <w:sz w:val="20"/>
              </w:rPr>
              <w:t> </w:t>
            </w:r>
            <w:r>
              <w:rPr>
                <w:sz w:val="20"/>
              </w:rPr>
              <w:t>cells,</w:t>
            </w:r>
            <w:r>
              <w:rPr>
                <w:spacing w:val="-2"/>
                <w:sz w:val="20"/>
              </w:rPr>
              <w:t> </w:t>
            </w:r>
            <w:r>
              <w:rPr>
                <w:sz w:val="20"/>
              </w:rPr>
              <w:t>rather</w:t>
            </w:r>
            <w:r>
              <w:rPr>
                <w:spacing w:val="-1"/>
                <w:sz w:val="20"/>
              </w:rPr>
              <w:t> </w:t>
            </w:r>
            <w:r>
              <w:rPr>
                <w:sz w:val="20"/>
              </w:rPr>
              <w:t>than</w:t>
            </w:r>
            <w:r>
              <w:rPr>
                <w:spacing w:val="-3"/>
                <w:sz w:val="20"/>
              </w:rPr>
              <w:t> </w:t>
            </w:r>
            <w:r>
              <w:rPr>
                <w:sz w:val="20"/>
              </w:rPr>
              <w:t>neutralizing antibodies. Various research teams are trying to develop a safe and effective therapeutic vaccine. To date, no therapeutic vaccines are approved for use in viral infections. The second generation of prophylactic HPV vaccines, made from alternative viral components using cost-effective production strategies, is undergoing clinical evaluation.3,4 In recent years, various bacteria, such as Escherichia coli, have been used to produce the HPV</w:t>
            </w:r>
            <w:r>
              <w:rPr>
                <w:spacing w:val="-3"/>
                <w:sz w:val="20"/>
              </w:rPr>
              <w:t> </w:t>
            </w:r>
            <w:r>
              <w:rPr>
                <w:sz w:val="20"/>
              </w:rPr>
              <w:t>capsid</w:t>
            </w:r>
            <w:r>
              <w:rPr>
                <w:spacing w:val="-2"/>
                <w:sz w:val="20"/>
              </w:rPr>
              <w:t> </w:t>
            </w:r>
            <w:r>
              <w:rPr>
                <w:sz w:val="20"/>
              </w:rPr>
              <w:t>protein</w:t>
            </w:r>
            <w:r>
              <w:rPr>
                <w:spacing w:val="-2"/>
                <w:sz w:val="20"/>
              </w:rPr>
              <w:t> </w:t>
            </w:r>
            <w:r>
              <w:rPr>
                <w:sz w:val="20"/>
              </w:rPr>
              <w:t>L1</w:t>
            </w:r>
            <w:r>
              <w:rPr>
                <w:spacing w:val="-4"/>
                <w:sz w:val="20"/>
              </w:rPr>
              <w:t> </w:t>
            </w:r>
            <w:r>
              <w:rPr>
                <w:sz w:val="20"/>
              </w:rPr>
              <w:t>virus-like</w:t>
            </w:r>
            <w:r>
              <w:rPr>
                <w:spacing w:val="-3"/>
                <w:sz w:val="20"/>
              </w:rPr>
              <w:t> </w:t>
            </w:r>
            <w:r>
              <w:rPr>
                <w:sz w:val="20"/>
              </w:rPr>
              <w:t>particle</w:t>
            </w:r>
            <w:r>
              <w:rPr>
                <w:spacing w:val="-3"/>
                <w:sz w:val="20"/>
              </w:rPr>
              <w:t> </w:t>
            </w:r>
            <w:r>
              <w:rPr>
                <w:sz w:val="20"/>
              </w:rPr>
              <w:t>vaccine</w:t>
            </w:r>
            <w:r>
              <w:rPr>
                <w:spacing w:val="-3"/>
                <w:sz w:val="20"/>
              </w:rPr>
              <w:t> </w:t>
            </w:r>
            <w:r>
              <w:rPr>
                <w:sz w:val="20"/>
              </w:rPr>
              <w:t>instead</w:t>
            </w:r>
            <w:r>
              <w:rPr>
                <w:spacing w:val="-2"/>
                <w:sz w:val="20"/>
              </w:rPr>
              <w:t> </w:t>
            </w:r>
            <w:r>
              <w:rPr>
                <w:sz w:val="20"/>
              </w:rPr>
              <w:t>of</w:t>
            </w:r>
            <w:r>
              <w:rPr>
                <w:spacing w:val="-5"/>
                <w:sz w:val="20"/>
              </w:rPr>
              <w:t> </w:t>
            </w:r>
            <w:r>
              <w:rPr>
                <w:sz w:val="20"/>
              </w:rPr>
              <w:t>expensive</w:t>
            </w:r>
            <w:r>
              <w:rPr>
                <w:spacing w:val="-3"/>
                <w:sz w:val="20"/>
              </w:rPr>
              <w:t> </w:t>
            </w:r>
            <w:r>
              <w:rPr>
                <w:sz w:val="20"/>
              </w:rPr>
              <w:t>eukaryotic</w:t>
            </w:r>
            <w:r>
              <w:rPr>
                <w:spacing w:val="-3"/>
                <w:sz w:val="20"/>
              </w:rPr>
              <w:t> </w:t>
            </w:r>
            <w:r>
              <w:rPr>
                <w:sz w:val="20"/>
              </w:rPr>
              <w:t>systems.</w:t>
            </w:r>
            <w:r>
              <w:rPr>
                <w:spacing w:val="-3"/>
                <w:sz w:val="20"/>
              </w:rPr>
              <w:t> </w:t>
            </w:r>
            <w:r>
              <w:rPr>
                <w:sz w:val="20"/>
              </w:rPr>
              <w:t>In</w:t>
            </w:r>
            <w:r>
              <w:rPr>
                <w:spacing w:val="-2"/>
                <w:sz w:val="20"/>
              </w:rPr>
              <w:t> </w:t>
            </w:r>
            <w:r>
              <w:rPr>
                <w:sz w:val="20"/>
              </w:rPr>
              <w:t>addition,</w:t>
            </w:r>
            <w:r>
              <w:rPr>
                <w:spacing w:val="-3"/>
                <w:sz w:val="20"/>
              </w:rPr>
              <w:t> </w:t>
            </w:r>
            <w:r>
              <w:rPr>
                <w:sz w:val="20"/>
              </w:rPr>
              <w:t>to</w:t>
            </w:r>
            <w:r>
              <w:rPr>
                <w:spacing w:val="-5"/>
                <w:sz w:val="20"/>
              </w:rPr>
              <w:t> </w:t>
            </w:r>
            <w:r>
              <w:rPr>
                <w:sz w:val="20"/>
              </w:rPr>
              <w:t>reduce the production costs of HPV vaccines, the methylotrophic yeasts Pichia pastoris and Hansenula polymorpha are used as suitable expression systems for the production of HPV virus-like particles.5</w:t>
            </w:r>
          </w:p>
          <w:p>
            <w:pPr>
              <w:pStyle w:val="TableParagraph"/>
              <w:spacing w:before="50"/>
              <w:ind w:left="0"/>
              <w:rPr>
                <w:sz w:val="20"/>
              </w:rPr>
            </w:pPr>
          </w:p>
          <w:p>
            <w:pPr>
              <w:pStyle w:val="TableParagraph"/>
              <w:ind w:right="144"/>
              <w:rPr>
                <w:sz w:val="20"/>
              </w:rPr>
            </w:pPr>
            <w:r>
              <w:rPr>
                <w:sz w:val="20"/>
              </w:rPr>
              <w:t>The HPV genome encodes eight genes; the two L group structural proteins constitute the capsid that protects the viral genome, and the six E group proteins are involved in replication, transcription regulation, and oncogenesis. E6 and E7 proteins of high-risk HPV are abundantly expressed in the top differentiating epithelial layers, resulting in uncontrolled cell proliferation, and play a major role in cervical cancer development. E6 protein is essentially found in the cell</w:t>
            </w:r>
            <w:r>
              <w:rPr>
                <w:spacing w:val="-1"/>
                <w:sz w:val="20"/>
              </w:rPr>
              <w:t> </w:t>
            </w:r>
            <w:r>
              <w:rPr>
                <w:sz w:val="20"/>
              </w:rPr>
              <w:t>nucleus and is</w:t>
            </w:r>
            <w:r>
              <w:rPr>
                <w:spacing w:val="-1"/>
                <w:sz w:val="20"/>
              </w:rPr>
              <w:t> </w:t>
            </w:r>
            <w:r>
              <w:rPr>
                <w:sz w:val="20"/>
              </w:rPr>
              <w:t>constituted by</w:t>
            </w:r>
            <w:r>
              <w:rPr>
                <w:spacing w:val="-1"/>
                <w:sz w:val="20"/>
              </w:rPr>
              <w:t> </w:t>
            </w:r>
            <w:r>
              <w:rPr>
                <w:sz w:val="20"/>
              </w:rPr>
              <w:t>150–160 amino acids</w:t>
            </w:r>
            <w:r>
              <w:rPr>
                <w:spacing w:val="-1"/>
                <w:sz w:val="20"/>
              </w:rPr>
              <w:t> </w:t>
            </w:r>
            <w:r>
              <w:rPr>
                <w:sz w:val="20"/>
              </w:rPr>
              <w:t>and two</w:t>
            </w:r>
            <w:r>
              <w:rPr>
                <w:spacing w:val="-1"/>
                <w:sz w:val="20"/>
              </w:rPr>
              <w:t> </w:t>
            </w:r>
            <w:r>
              <w:rPr>
                <w:sz w:val="20"/>
              </w:rPr>
              <w:t>zinc-binding motifs. The discovery</w:t>
            </w:r>
            <w:r>
              <w:rPr>
                <w:spacing w:val="-2"/>
                <w:sz w:val="20"/>
              </w:rPr>
              <w:t> </w:t>
            </w:r>
            <w:r>
              <w:rPr>
                <w:sz w:val="20"/>
              </w:rPr>
              <w:t>of</w:t>
            </w:r>
            <w:r>
              <w:rPr>
                <w:spacing w:val="-3"/>
                <w:sz w:val="20"/>
              </w:rPr>
              <w:t> </w:t>
            </w:r>
            <w:r>
              <w:rPr>
                <w:sz w:val="20"/>
              </w:rPr>
              <w:t>the</w:t>
            </w:r>
            <w:r>
              <w:rPr>
                <w:spacing w:val="-3"/>
                <w:sz w:val="20"/>
              </w:rPr>
              <w:t> </w:t>
            </w:r>
            <w:r>
              <w:rPr>
                <w:sz w:val="20"/>
              </w:rPr>
              <w:t>E6</w:t>
            </w:r>
            <w:r>
              <w:rPr>
                <w:spacing w:val="-2"/>
                <w:sz w:val="20"/>
              </w:rPr>
              <w:t> </w:t>
            </w:r>
            <w:r>
              <w:rPr>
                <w:sz w:val="20"/>
              </w:rPr>
              <w:t>protein</w:t>
            </w:r>
            <w:r>
              <w:rPr>
                <w:spacing w:val="-2"/>
                <w:sz w:val="20"/>
              </w:rPr>
              <w:t> </w:t>
            </w:r>
            <w:r>
              <w:rPr>
                <w:sz w:val="20"/>
              </w:rPr>
              <w:t>X-ray</w:t>
            </w:r>
            <w:r>
              <w:rPr>
                <w:spacing w:val="-2"/>
                <w:sz w:val="20"/>
              </w:rPr>
              <w:t> </w:t>
            </w:r>
            <w:r>
              <w:rPr>
                <w:sz w:val="20"/>
              </w:rPr>
              <w:t>crystal</w:t>
            </w:r>
            <w:r>
              <w:rPr>
                <w:spacing w:val="-3"/>
                <w:sz w:val="20"/>
              </w:rPr>
              <w:t> </w:t>
            </w:r>
            <w:r>
              <w:rPr>
                <w:sz w:val="20"/>
              </w:rPr>
              <w:t>structure,</w:t>
            </w:r>
            <w:r>
              <w:rPr>
                <w:spacing w:val="-5"/>
                <w:sz w:val="20"/>
              </w:rPr>
              <w:t> </w:t>
            </w:r>
            <w:r>
              <w:rPr>
                <w:sz w:val="20"/>
              </w:rPr>
              <w:t>available</w:t>
            </w:r>
            <w:r>
              <w:rPr>
                <w:spacing w:val="-5"/>
                <w:sz w:val="20"/>
              </w:rPr>
              <w:t> </w:t>
            </w:r>
            <w:r>
              <w:rPr>
                <w:sz w:val="20"/>
              </w:rPr>
              <w:t>in</w:t>
            </w:r>
            <w:r>
              <w:rPr>
                <w:spacing w:val="-2"/>
                <w:sz w:val="20"/>
              </w:rPr>
              <w:t> </w:t>
            </w:r>
            <w:r>
              <w:rPr>
                <w:sz w:val="20"/>
              </w:rPr>
              <w:t>the</w:t>
            </w:r>
            <w:r>
              <w:rPr>
                <w:spacing w:val="-3"/>
                <w:sz w:val="20"/>
              </w:rPr>
              <w:t> </w:t>
            </w:r>
            <w:r>
              <w:rPr>
                <w:sz w:val="20"/>
              </w:rPr>
              <w:t>Protein</w:t>
            </w:r>
            <w:r>
              <w:rPr>
                <w:spacing w:val="-2"/>
                <w:sz w:val="20"/>
              </w:rPr>
              <w:t> </w:t>
            </w:r>
            <w:r>
              <w:rPr>
                <w:sz w:val="20"/>
              </w:rPr>
              <w:t>Data</w:t>
            </w:r>
            <w:r>
              <w:rPr>
                <w:spacing w:val="-3"/>
                <w:sz w:val="20"/>
              </w:rPr>
              <w:t> </w:t>
            </w:r>
            <w:r>
              <w:rPr>
                <w:sz w:val="20"/>
              </w:rPr>
              <w:t>Bank</w:t>
            </w:r>
            <w:r>
              <w:rPr>
                <w:spacing w:val="-4"/>
                <w:sz w:val="20"/>
              </w:rPr>
              <w:t> </w:t>
            </w:r>
            <w:r>
              <w:rPr>
                <w:sz w:val="20"/>
              </w:rPr>
              <w:t>(PDB</w:t>
            </w:r>
            <w:r>
              <w:rPr>
                <w:spacing w:val="-4"/>
                <w:sz w:val="20"/>
              </w:rPr>
              <w:t> </w:t>
            </w:r>
            <w:r>
              <w:rPr>
                <w:sz w:val="20"/>
              </w:rPr>
              <w:t>ID:</w:t>
            </w:r>
            <w:r>
              <w:rPr>
                <w:spacing w:val="-3"/>
                <w:sz w:val="20"/>
              </w:rPr>
              <w:t> </w:t>
            </w:r>
            <w:r>
              <w:rPr>
                <w:sz w:val="20"/>
              </w:rPr>
              <w:t>4GIZ</w:t>
            </w:r>
            <w:r>
              <w:rPr>
                <w:spacing w:val="-3"/>
                <w:sz w:val="20"/>
              </w:rPr>
              <w:t> </w:t>
            </w:r>
            <w:r>
              <w:rPr>
                <w:sz w:val="20"/>
              </w:rPr>
              <w:t>and</w:t>
            </w:r>
            <w:r>
              <w:rPr>
                <w:spacing w:val="-2"/>
                <w:sz w:val="20"/>
              </w:rPr>
              <w:t> </w:t>
            </w:r>
            <w:r>
              <w:rPr>
                <w:sz w:val="20"/>
              </w:rPr>
              <w:t>4XR8, accessed on 20th May 2021), led to an increase in the use of in silico approaches being explored as inhibitors/blockers for the E6 protein.6</w:t>
            </w:r>
          </w:p>
          <w:p>
            <w:pPr>
              <w:pStyle w:val="TableParagraph"/>
              <w:spacing w:before="50"/>
              <w:ind w:left="0"/>
              <w:rPr>
                <w:sz w:val="20"/>
              </w:rPr>
            </w:pPr>
          </w:p>
          <w:p>
            <w:pPr>
              <w:pStyle w:val="TableParagraph"/>
              <w:ind w:right="21"/>
              <w:rPr>
                <w:sz w:val="20"/>
              </w:rPr>
            </w:pPr>
            <w:r>
              <w:rPr>
                <w:sz w:val="20"/>
              </w:rPr>
              <w:t>The current study attempts to demonstrate that the computational analysis-designed multiepitope vaccine is structurally stable, with strong binding potential to immune receptors. The content of this paper is relatively insufficient, and the author has done some preparation and work on this topic. However, there are still some obvious</w:t>
            </w:r>
            <w:r>
              <w:rPr>
                <w:spacing w:val="-5"/>
                <w:sz w:val="20"/>
              </w:rPr>
              <w:t> </w:t>
            </w:r>
            <w:r>
              <w:rPr>
                <w:sz w:val="20"/>
              </w:rPr>
              <w:t>problems</w:t>
            </w:r>
            <w:r>
              <w:rPr>
                <w:spacing w:val="-3"/>
                <w:sz w:val="20"/>
              </w:rPr>
              <w:t> </w:t>
            </w:r>
            <w:r>
              <w:rPr>
                <w:sz w:val="20"/>
              </w:rPr>
              <w:t>in</w:t>
            </w:r>
            <w:r>
              <w:rPr>
                <w:spacing w:val="-4"/>
                <w:sz w:val="20"/>
              </w:rPr>
              <w:t> </w:t>
            </w:r>
            <w:r>
              <w:rPr>
                <w:sz w:val="20"/>
              </w:rPr>
              <w:t>this</w:t>
            </w:r>
            <w:r>
              <w:rPr>
                <w:spacing w:val="-3"/>
                <w:sz w:val="20"/>
              </w:rPr>
              <w:t> </w:t>
            </w:r>
            <w:r>
              <w:rPr>
                <w:sz w:val="20"/>
              </w:rPr>
              <w:t>paper.</w:t>
            </w:r>
            <w:r>
              <w:rPr>
                <w:spacing w:val="-2"/>
                <w:sz w:val="20"/>
              </w:rPr>
              <w:t> </w:t>
            </w:r>
            <w:r>
              <w:rPr>
                <w:sz w:val="20"/>
              </w:rPr>
              <w:t>Author</w:t>
            </w:r>
            <w:r>
              <w:rPr>
                <w:spacing w:val="-4"/>
                <w:sz w:val="20"/>
              </w:rPr>
              <w:t> </w:t>
            </w:r>
            <w:r>
              <w:rPr>
                <w:sz w:val="20"/>
              </w:rPr>
              <w:t>is</w:t>
            </w:r>
            <w:r>
              <w:rPr>
                <w:spacing w:val="-3"/>
                <w:sz w:val="20"/>
              </w:rPr>
              <w:t> </w:t>
            </w:r>
            <w:r>
              <w:rPr>
                <w:sz w:val="20"/>
              </w:rPr>
              <w:t>encouraged</w:t>
            </w:r>
            <w:r>
              <w:rPr>
                <w:spacing w:val="-1"/>
                <w:sz w:val="20"/>
              </w:rPr>
              <w:t> </w:t>
            </w:r>
            <w:r>
              <w:rPr>
                <w:sz w:val="20"/>
              </w:rPr>
              <w:t>to</w:t>
            </w:r>
            <w:r>
              <w:rPr>
                <w:spacing w:val="-4"/>
                <w:sz w:val="20"/>
              </w:rPr>
              <w:t> </w:t>
            </w:r>
            <w:r>
              <w:rPr>
                <w:sz w:val="20"/>
              </w:rPr>
              <w:t>include</w:t>
            </w:r>
            <w:r>
              <w:rPr>
                <w:spacing w:val="-2"/>
                <w:sz w:val="20"/>
              </w:rPr>
              <w:t> </w:t>
            </w:r>
            <w:r>
              <w:rPr>
                <w:sz w:val="20"/>
              </w:rPr>
              <w:t>more</w:t>
            </w:r>
            <w:r>
              <w:rPr>
                <w:spacing w:val="-2"/>
                <w:sz w:val="20"/>
              </w:rPr>
              <w:t> </w:t>
            </w:r>
            <w:r>
              <w:rPr>
                <w:sz w:val="20"/>
              </w:rPr>
              <w:t>detailed</w:t>
            </w:r>
            <w:r>
              <w:rPr>
                <w:spacing w:val="-1"/>
                <w:sz w:val="20"/>
              </w:rPr>
              <w:t> </w:t>
            </w:r>
            <w:r>
              <w:rPr>
                <w:sz w:val="20"/>
              </w:rPr>
              <w:t>contents</w:t>
            </w:r>
            <w:r>
              <w:rPr>
                <w:spacing w:val="-3"/>
                <w:sz w:val="20"/>
              </w:rPr>
              <w:t> </w:t>
            </w:r>
            <w:r>
              <w:rPr>
                <w:sz w:val="20"/>
              </w:rPr>
              <w:t>to</w:t>
            </w:r>
            <w:r>
              <w:rPr>
                <w:spacing w:val="-4"/>
                <w:sz w:val="20"/>
              </w:rPr>
              <w:t> </w:t>
            </w:r>
            <w:r>
              <w:rPr>
                <w:sz w:val="20"/>
              </w:rPr>
              <w:t>improve</w:t>
            </w:r>
            <w:r>
              <w:rPr>
                <w:spacing w:val="-2"/>
                <w:sz w:val="20"/>
              </w:rPr>
              <w:t> </w:t>
            </w:r>
            <w:r>
              <w:rPr>
                <w:sz w:val="20"/>
              </w:rPr>
              <w:t>the</w:t>
            </w:r>
            <w:r>
              <w:rPr>
                <w:spacing w:val="-2"/>
                <w:sz w:val="20"/>
              </w:rPr>
              <w:t> </w:t>
            </w:r>
            <w:r>
              <w:rPr>
                <w:sz w:val="20"/>
              </w:rPr>
              <w:t>objectivity of</w:t>
            </w:r>
            <w:r>
              <w:rPr>
                <w:spacing w:val="-3"/>
                <w:sz w:val="20"/>
              </w:rPr>
              <w:t> </w:t>
            </w:r>
            <w:r>
              <w:rPr>
                <w:sz w:val="20"/>
              </w:rPr>
              <w:t>the</w:t>
            </w:r>
            <w:r>
              <w:rPr>
                <w:spacing w:val="-3"/>
                <w:sz w:val="20"/>
              </w:rPr>
              <w:t> </w:t>
            </w:r>
            <w:r>
              <w:rPr>
                <w:sz w:val="20"/>
              </w:rPr>
              <w:t>overall</w:t>
            </w:r>
            <w:r>
              <w:rPr>
                <w:spacing w:val="-3"/>
                <w:sz w:val="20"/>
              </w:rPr>
              <w:t> </w:t>
            </w:r>
            <w:r>
              <w:rPr>
                <w:sz w:val="20"/>
              </w:rPr>
              <w:t>journal.</w:t>
            </w:r>
            <w:r>
              <w:rPr>
                <w:spacing w:val="-3"/>
                <w:sz w:val="20"/>
              </w:rPr>
              <w:t> </w:t>
            </w:r>
            <w:r>
              <w:rPr>
                <w:sz w:val="20"/>
              </w:rPr>
              <w:t>It</w:t>
            </w:r>
            <w:r>
              <w:rPr>
                <w:spacing w:val="-4"/>
                <w:sz w:val="20"/>
              </w:rPr>
              <w:t> </w:t>
            </w:r>
            <w:r>
              <w:rPr>
                <w:sz w:val="20"/>
              </w:rPr>
              <w:t>is</w:t>
            </w:r>
            <w:r>
              <w:rPr>
                <w:spacing w:val="-4"/>
                <w:sz w:val="20"/>
              </w:rPr>
              <w:t> </w:t>
            </w:r>
            <w:r>
              <w:rPr>
                <w:sz w:val="20"/>
              </w:rPr>
              <w:t>suggested</w:t>
            </w:r>
            <w:r>
              <w:rPr>
                <w:spacing w:val="-2"/>
                <w:sz w:val="20"/>
              </w:rPr>
              <w:t> </w:t>
            </w:r>
            <w:r>
              <w:rPr>
                <w:sz w:val="20"/>
              </w:rPr>
              <w:t>that</w:t>
            </w:r>
            <w:r>
              <w:rPr>
                <w:spacing w:val="-3"/>
                <w:sz w:val="20"/>
              </w:rPr>
              <w:t> </w:t>
            </w:r>
            <w:r>
              <w:rPr>
                <w:sz w:val="20"/>
              </w:rPr>
              <w:t>the</w:t>
            </w:r>
            <w:r>
              <w:rPr>
                <w:spacing w:val="-3"/>
                <w:sz w:val="20"/>
              </w:rPr>
              <w:t> </w:t>
            </w:r>
            <w:r>
              <w:rPr>
                <w:sz w:val="20"/>
              </w:rPr>
              <w:t>author</w:t>
            </w:r>
            <w:r>
              <w:rPr>
                <w:spacing w:val="-3"/>
                <w:sz w:val="20"/>
              </w:rPr>
              <w:t> </w:t>
            </w:r>
            <w:r>
              <w:rPr>
                <w:sz w:val="20"/>
              </w:rPr>
              <w:t>revise</w:t>
            </w:r>
            <w:r>
              <w:rPr>
                <w:spacing w:val="-3"/>
                <w:sz w:val="20"/>
              </w:rPr>
              <w:t> </w:t>
            </w:r>
            <w:r>
              <w:rPr>
                <w:sz w:val="20"/>
              </w:rPr>
              <w:t>this</w:t>
            </w:r>
            <w:r>
              <w:rPr>
                <w:spacing w:val="-4"/>
                <w:sz w:val="20"/>
              </w:rPr>
              <w:t> </w:t>
            </w:r>
            <w:r>
              <w:rPr>
                <w:sz w:val="20"/>
              </w:rPr>
              <w:t>article</w:t>
            </w:r>
            <w:r>
              <w:rPr>
                <w:spacing w:val="-3"/>
                <w:sz w:val="20"/>
              </w:rPr>
              <w:t> </w:t>
            </w:r>
            <w:r>
              <w:rPr>
                <w:sz w:val="20"/>
              </w:rPr>
              <w:t>carefully</w:t>
            </w:r>
            <w:r>
              <w:rPr>
                <w:spacing w:val="-3"/>
                <w:sz w:val="20"/>
              </w:rPr>
              <w:t> </w:t>
            </w:r>
            <w:r>
              <w:rPr>
                <w:sz w:val="20"/>
              </w:rPr>
              <w:t>according</w:t>
            </w:r>
            <w:r>
              <w:rPr>
                <w:spacing w:val="-2"/>
                <w:sz w:val="20"/>
              </w:rPr>
              <w:t> </w:t>
            </w:r>
            <w:r>
              <w:rPr>
                <w:sz w:val="20"/>
              </w:rPr>
              <w:t>to</w:t>
            </w:r>
            <w:r>
              <w:rPr>
                <w:spacing w:val="-2"/>
                <w:sz w:val="20"/>
              </w:rPr>
              <w:t> </w:t>
            </w:r>
            <w:r>
              <w:rPr>
                <w:sz w:val="20"/>
              </w:rPr>
              <w:t>the</w:t>
            </w:r>
            <w:r>
              <w:rPr>
                <w:spacing w:val="-3"/>
                <w:sz w:val="20"/>
              </w:rPr>
              <w:t> </w:t>
            </w:r>
            <w:r>
              <w:rPr>
                <w:sz w:val="20"/>
              </w:rPr>
              <w:t>relevant</w:t>
            </w:r>
            <w:r>
              <w:rPr>
                <w:spacing w:val="-4"/>
                <w:sz w:val="20"/>
              </w:rPr>
              <w:t> </w:t>
            </w:r>
            <w:r>
              <w:rPr>
                <w:sz w:val="20"/>
              </w:rPr>
              <w:t>opinions. Some suggestions have been given below to help the author improve the quality of the journal.</w:t>
            </w:r>
          </w:p>
          <w:p>
            <w:pPr>
              <w:pStyle w:val="TableParagraph"/>
              <w:spacing w:before="51"/>
              <w:ind w:left="0"/>
              <w:rPr>
                <w:sz w:val="20"/>
              </w:rPr>
            </w:pPr>
          </w:p>
          <w:p>
            <w:pPr>
              <w:pStyle w:val="TableParagraph"/>
              <w:rPr>
                <w:sz w:val="20"/>
              </w:rPr>
            </w:pPr>
            <w:r>
              <w:rPr>
                <w:spacing w:val="-2"/>
                <w:sz w:val="20"/>
              </w:rPr>
              <w:t>References</w:t>
            </w:r>
          </w:p>
          <w:p>
            <w:pPr>
              <w:pStyle w:val="TableParagraph"/>
              <w:spacing w:before="49"/>
              <w:ind w:left="0"/>
              <w:rPr>
                <w:sz w:val="20"/>
              </w:rPr>
            </w:pPr>
          </w:p>
          <w:p>
            <w:pPr>
              <w:pStyle w:val="TableParagraph"/>
              <w:numPr>
                <w:ilvl w:val="0"/>
                <w:numId w:val="1"/>
              </w:numPr>
              <w:tabs>
                <w:tab w:pos="308" w:val="left" w:leader="none"/>
              </w:tabs>
              <w:spacing w:line="240" w:lineRule="auto" w:before="0" w:after="0"/>
              <w:ind w:left="108" w:right="1437" w:firstLine="0"/>
              <w:jc w:val="left"/>
              <w:rPr>
                <w:sz w:val="20"/>
              </w:rPr>
            </w:pPr>
            <w:r>
              <w:rPr>
                <w:sz w:val="20"/>
              </w:rPr>
              <w:t>GLOBOCAN</w:t>
            </w:r>
            <w:r>
              <w:rPr>
                <w:spacing w:val="-4"/>
                <w:sz w:val="20"/>
              </w:rPr>
              <w:t> </w:t>
            </w:r>
            <w:r>
              <w:rPr>
                <w:sz w:val="20"/>
              </w:rPr>
              <w:t>2020:</w:t>
            </w:r>
            <w:r>
              <w:rPr>
                <w:spacing w:val="-5"/>
                <w:sz w:val="20"/>
              </w:rPr>
              <w:t> </w:t>
            </w:r>
            <w:r>
              <w:rPr>
                <w:sz w:val="20"/>
              </w:rPr>
              <w:t>New</w:t>
            </w:r>
            <w:r>
              <w:rPr>
                <w:spacing w:val="-4"/>
                <w:sz w:val="20"/>
              </w:rPr>
              <w:t> </w:t>
            </w:r>
            <w:r>
              <w:rPr>
                <w:sz w:val="20"/>
              </w:rPr>
              <w:t>Global</w:t>
            </w:r>
            <w:r>
              <w:rPr>
                <w:spacing w:val="-4"/>
                <w:sz w:val="20"/>
              </w:rPr>
              <w:t> </w:t>
            </w:r>
            <w:r>
              <w:rPr>
                <w:sz w:val="20"/>
              </w:rPr>
              <w:t>Cancer</w:t>
            </w:r>
            <w:r>
              <w:rPr>
                <w:spacing w:val="-4"/>
                <w:sz w:val="20"/>
              </w:rPr>
              <w:t> </w:t>
            </w:r>
            <w:r>
              <w:rPr>
                <w:sz w:val="20"/>
              </w:rPr>
              <w:t>Data.</w:t>
            </w:r>
            <w:r>
              <w:rPr>
                <w:spacing w:val="-4"/>
                <w:sz w:val="20"/>
              </w:rPr>
              <w:t> </w:t>
            </w:r>
            <w:r>
              <w:rPr>
                <w:sz w:val="20"/>
              </w:rPr>
              <w:t>[(accessed</w:t>
            </w:r>
            <w:r>
              <w:rPr>
                <w:spacing w:val="-5"/>
                <w:sz w:val="20"/>
              </w:rPr>
              <w:t> </w:t>
            </w:r>
            <w:r>
              <w:rPr>
                <w:sz w:val="20"/>
              </w:rPr>
              <w:t>on</w:t>
            </w:r>
            <w:r>
              <w:rPr>
                <w:spacing w:val="-3"/>
                <w:sz w:val="20"/>
              </w:rPr>
              <w:t> </w:t>
            </w:r>
            <w:r>
              <w:rPr>
                <w:sz w:val="20"/>
              </w:rPr>
              <w:t>25</w:t>
            </w:r>
            <w:r>
              <w:rPr>
                <w:spacing w:val="-5"/>
                <w:sz w:val="20"/>
              </w:rPr>
              <w:t> </w:t>
            </w:r>
            <w:r>
              <w:rPr>
                <w:sz w:val="20"/>
              </w:rPr>
              <w:t>May</w:t>
            </w:r>
            <w:r>
              <w:rPr>
                <w:spacing w:val="-3"/>
                <w:sz w:val="20"/>
              </w:rPr>
              <w:t> </w:t>
            </w:r>
            <w:r>
              <w:rPr>
                <w:sz w:val="20"/>
              </w:rPr>
              <w:t>2021)];</w:t>
            </w:r>
            <w:r>
              <w:rPr>
                <w:spacing w:val="-5"/>
                <w:sz w:val="20"/>
              </w:rPr>
              <w:t> </w:t>
            </w:r>
            <w:r>
              <w:rPr>
                <w:sz w:val="20"/>
              </w:rPr>
              <w:t>Available</w:t>
            </w:r>
            <w:r>
              <w:rPr>
                <w:spacing w:val="-6"/>
                <w:sz w:val="20"/>
              </w:rPr>
              <w:t> </w:t>
            </w:r>
            <w:r>
              <w:rPr>
                <w:sz w:val="20"/>
              </w:rPr>
              <w:t>online: </w:t>
            </w:r>
            <w:r>
              <w:rPr>
                <w:spacing w:val="-2"/>
                <w:sz w:val="20"/>
              </w:rPr>
              <w:t>https</w:t>
            </w:r>
            <w:hyperlink r:id="rId8">
              <w:r>
                <w:rPr>
                  <w:spacing w:val="-2"/>
                  <w:sz w:val="20"/>
                </w:rPr>
                <w:t>://www.uicc.org/news/globocan-2020-new-global-cancer-data.</w:t>
              </w:r>
            </w:hyperlink>
          </w:p>
          <w:p>
            <w:pPr>
              <w:pStyle w:val="TableParagraph"/>
              <w:spacing w:before="52"/>
              <w:ind w:left="0"/>
              <w:rPr>
                <w:sz w:val="20"/>
              </w:rPr>
            </w:pPr>
          </w:p>
          <w:p>
            <w:pPr>
              <w:pStyle w:val="TableParagraph"/>
              <w:numPr>
                <w:ilvl w:val="0"/>
                <w:numId w:val="1"/>
              </w:numPr>
              <w:tabs>
                <w:tab w:pos="308" w:val="left" w:leader="none"/>
              </w:tabs>
              <w:spacing w:line="240" w:lineRule="auto" w:before="0" w:after="0"/>
              <w:ind w:left="108" w:right="139" w:firstLine="0"/>
              <w:jc w:val="left"/>
              <w:rPr>
                <w:sz w:val="20"/>
              </w:rPr>
            </w:pPr>
            <w:r>
              <w:rPr>
                <w:sz w:val="20"/>
              </w:rPr>
              <w:t>Perez-Campos</w:t>
            </w:r>
            <w:r>
              <w:rPr>
                <w:spacing w:val="-4"/>
                <w:sz w:val="20"/>
              </w:rPr>
              <w:t> </w:t>
            </w:r>
            <w:r>
              <w:rPr>
                <w:sz w:val="20"/>
              </w:rPr>
              <w:t>Mayoral</w:t>
            </w:r>
            <w:r>
              <w:rPr>
                <w:spacing w:val="-3"/>
                <w:sz w:val="20"/>
              </w:rPr>
              <w:t> </w:t>
            </w:r>
            <w:r>
              <w:rPr>
                <w:sz w:val="20"/>
              </w:rPr>
              <w:t>E,</w:t>
            </w:r>
            <w:r>
              <w:rPr>
                <w:spacing w:val="-5"/>
                <w:sz w:val="20"/>
              </w:rPr>
              <w:t> </w:t>
            </w:r>
            <w:r>
              <w:rPr>
                <w:sz w:val="20"/>
              </w:rPr>
              <w:t>Mayoral-Andrade</w:t>
            </w:r>
            <w:r>
              <w:rPr>
                <w:spacing w:val="-3"/>
                <w:sz w:val="20"/>
              </w:rPr>
              <w:t> </w:t>
            </w:r>
            <w:r>
              <w:rPr>
                <w:sz w:val="20"/>
              </w:rPr>
              <w:t>G,</w:t>
            </w:r>
            <w:r>
              <w:rPr>
                <w:spacing w:val="-3"/>
                <w:sz w:val="20"/>
              </w:rPr>
              <w:t> </w:t>
            </w:r>
            <w:r>
              <w:rPr>
                <w:sz w:val="20"/>
              </w:rPr>
              <w:t>Pérez-Campos</w:t>
            </w:r>
            <w:r>
              <w:rPr>
                <w:spacing w:val="-4"/>
                <w:sz w:val="20"/>
              </w:rPr>
              <w:t> </w:t>
            </w:r>
            <w:r>
              <w:rPr>
                <w:sz w:val="20"/>
              </w:rPr>
              <w:t>Mayoral</w:t>
            </w:r>
            <w:r>
              <w:rPr>
                <w:spacing w:val="-5"/>
                <w:sz w:val="20"/>
              </w:rPr>
              <w:t> </w:t>
            </w:r>
            <w:r>
              <w:rPr>
                <w:sz w:val="20"/>
              </w:rPr>
              <w:t>L,</w:t>
            </w:r>
            <w:r>
              <w:rPr>
                <w:spacing w:val="-3"/>
                <w:sz w:val="20"/>
              </w:rPr>
              <w:t> </w:t>
            </w:r>
            <w:r>
              <w:rPr>
                <w:sz w:val="20"/>
              </w:rPr>
              <w:t>Canseco</w:t>
            </w:r>
            <w:r>
              <w:rPr>
                <w:spacing w:val="-2"/>
                <w:sz w:val="20"/>
              </w:rPr>
              <w:t> </w:t>
            </w:r>
            <w:r>
              <w:rPr>
                <w:sz w:val="20"/>
              </w:rPr>
              <w:t>SP,</w:t>
            </w:r>
            <w:r>
              <w:rPr>
                <w:spacing w:val="-3"/>
                <w:sz w:val="20"/>
              </w:rPr>
              <w:t> </w:t>
            </w:r>
            <w:r>
              <w:rPr>
                <w:sz w:val="20"/>
              </w:rPr>
              <w:t>Cruz</w:t>
            </w:r>
            <w:r>
              <w:rPr>
                <w:spacing w:val="-3"/>
                <w:sz w:val="20"/>
              </w:rPr>
              <w:t> </w:t>
            </w:r>
            <w:r>
              <w:rPr>
                <w:sz w:val="20"/>
              </w:rPr>
              <w:t>RM,</w:t>
            </w:r>
            <w:r>
              <w:rPr>
                <w:spacing w:val="-2"/>
                <w:sz w:val="20"/>
              </w:rPr>
              <w:t> </w:t>
            </w:r>
            <w:r>
              <w:rPr>
                <w:sz w:val="20"/>
              </w:rPr>
              <w:t>Hernández- Huerta MT, et al. Diagnosis of Transient/Latent HPV Infections - A Point of View! Arch Med Res (2018) </w:t>
            </w:r>
            <w:r>
              <w:rPr>
                <w:spacing w:val="-2"/>
                <w:sz w:val="20"/>
              </w:rPr>
              <w:t>49(5):293–6.</w:t>
            </w:r>
          </w:p>
          <w:p>
            <w:pPr>
              <w:pStyle w:val="TableParagraph"/>
              <w:spacing w:before="50"/>
              <w:ind w:left="0"/>
              <w:rPr>
                <w:sz w:val="20"/>
              </w:rPr>
            </w:pPr>
          </w:p>
          <w:p>
            <w:pPr>
              <w:pStyle w:val="TableParagraph"/>
              <w:numPr>
                <w:ilvl w:val="0"/>
                <w:numId w:val="1"/>
              </w:numPr>
              <w:tabs>
                <w:tab w:pos="308" w:val="left" w:leader="none"/>
              </w:tabs>
              <w:spacing w:line="240" w:lineRule="auto" w:before="0" w:after="0"/>
              <w:ind w:left="108" w:right="406" w:firstLine="0"/>
              <w:jc w:val="left"/>
              <w:rPr>
                <w:sz w:val="20"/>
              </w:rPr>
            </w:pPr>
            <w:r>
              <w:rPr>
                <w:sz w:val="20"/>
              </w:rPr>
              <w:t>Harper</w:t>
            </w:r>
            <w:r>
              <w:rPr>
                <w:spacing w:val="-2"/>
                <w:sz w:val="20"/>
              </w:rPr>
              <w:t> </w:t>
            </w:r>
            <w:r>
              <w:rPr>
                <w:sz w:val="20"/>
              </w:rPr>
              <w:t>DM,</w:t>
            </w:r>
            <w:r>
              <w:rPr>
                <w:spacing w:val="-5"/>
                <w:sz w:val="20"/>
              </w:rPr>
              <w:t> </w:t>
            </w:r>
            <w:r>
              <w:rPr>
                <w:sz w:val="20"/>
              </w:rPr>
              <w:t>DeMars</w:t>
            </w:r>
            <w:r>
              <w:rPr>
                <w:spacing w:val="-4"/>
                <w:sz w:val="20"/>
              </w:rPr>
              <w:t> </w:t>
            </w:r>
            <w:r>
              <w:rPr>
                <w:sz w:val="20"/>
              </w:rPr>
              <w:t>LR.</w:t>
            </w:r>
            <w:r>
              <w:rPr>
                <w:spacing w:val="-3"/>
                <w:sz w:val="20"/>
              </w:rPr>
              <w:t> </w:t>
            </w:r>
            <w:r>
              <w:rPr>
                <w:sz w:val="20"/>
              </w:rPr>
              <w:t>HPV</w:t>
            </w:r>
            <w:r>
              <w:rPr>
                <w:spacing w:val="-3"/>
                <w:sz w:val="20"/>
              </w:rPr>
              <w:t> </w:t>
            </w:r>
            <w:r>
              <w:rPr>
                <w:sz w:val="20"/>
              </w:rPr>
              <w:t>Vaccines–a</w:t>
            </w:r>
            <w:r>
              <w:rPr>
                <w:spacing w:val="-3"/>
                <w:sz w:val="20"/>
              </w:rPr>
              <w:t> </w:t>
            </w:r>
            <w:r>
              <w:rPr>
                <w:sz w:val="20"/>
              </w:rPr>
              <w:t>Review</w:t>
            </w:r>
            <w:r>
              <w:rPr>
                <w:spacing w:val="-3"/>
                <w:sz w:val="20"/>
              </w:rPr>
              <w:t> </w:t>
            </w:r>
            <w:r>
              <w:rPr>
                <w:sz w:val="20"/>
              </w:rPr>
              <w:t>of</w:t>
            </w:r>
            <w:r>
              <w:rPr>
                <w:spacing w:val="-3"/>
                <w:sz w:val="20"/>
              </w:rPr>
              <w:t> </w:t>
            </w:r>
            <w:r>
              <w:rPr>
                <w:sz w:val="20"/>
              </w:rPr>
              <w:t>the</w:t>
            </w:r>
            <w:r>
              <w:rPr>
                <w:spacing w:val="-3"/>
                <w:sz w:val="20"/>
              </w:rPr>
              <w:t> </w:t>
            </w:r>
            <w:r>
              <w:rPr>
                <w:sz w:val="20"/>
              </w:rPr>
              <w:t>First</w:t>
            </w:r>
            <w:r>
              <w:rPr>
                <w:spacing w:val="-4"/>
                <w:sz w:val="20"/>
              </w:rPr>
              <w:t> </w:t>
            </w:r>
            <w:r>
              <w:rPr>
                <w:sz w:val="20"/>
              </w:rPr>
              <w:t>Decade.</w:t>
            </w:r>
            <w:r>
              <w:rPr>
                <w:spacing w:val="-2"/>
                <w:sz w:val="20"/>
              </w:rPr>
              <w:t> </w:t>
            </w:r>
            <w:r>
              <w:rPr>
                <w:sz w:val="20"/>
              </w:rPr>
              <w:t>Gynecol</w:t>
            </w:r>
            <w:r>
              <w:rPr>
                <w:spacing w:val="-4"/>
                <w:sz w:val="20"/>
              </w:rPr>
              <w:t> </w:t>
            </w:r>
            <w:r>
              <w:rPr>
                <w:sz w:val="20"/>
              </w:rPr>
              <w:t>Oncol</w:t>
            </w:r>
            <w:r>
              <w:rPr>
                <w:spacing w:val="-4"/>
                <w:sz w:val="20"/>
              </w:rPr>
              <w:t> </w:t>
            </w:r>
            <w:r>
              <w:rPr>
                <w:sz w:val="20"/>
              </w:rPr>
              <w:t>(2017)</w:t>
            </w:r>
            <w:r>
              <w:rPr>
                <w:spacing w:val="-3"/>
                <w:sz w:val="20"/>
              </w:rPr>
              <w:t> </w:t>
            </w:r>
            <w:r>
              <w:rPr>
                <w:sz w:val="20"/>
              </w:rPr>
              <w:t>146(1):196– </w:t>
            </w:r>
            <w:r>
              <w:rPr>
                <w:spacing w:val="-4"/>
                <w:sz w:val="20"/>
              </w:rPr>
              <w:t>204.</w:t>
            </w:r>
          </w:p>
          <w:p>
            <w:pPr>
              <w:pStyle w:val="TableParagraph"/>
              <w:spacing w:before="49"/>
              <w:ind w:left="0"/>
              <w:rPr>
                <w:sz w:val="20"/>
              </w:rPr>
            </w:pPr>
          </w:p>
          <w:p>
            <w:pPr>
              <w:pStyle w:val="TableParagraph"/>
              <w:numPr>
                <w:ilvl w:val="0"/>
                <w:numId w:val="1"/>
              </w:numPr>
              <w:tabs>
                <w:tab w:pos="308" w:val="left" w:leader="none"/>
              </w:tabs>
              <w:spacing w:line="240" w:lineRule="auto" w:before="0" w:after="0"/>
              <w:ind w:left="108" w:right="455" w:firstLine="0"/>
              <w:jc w:val="left"/>
              <w:rPr>
                <w:sz w:val="20"/>
              </w:rPr>
            </w:pPr>
            <w:r>
              <w:rPr>
                <w:sz w:val="20"/>
              </w:rPr>
              <w:t>Garbuglia</w:t>
            </w:r>
            <w:r>
              <w:rPr>
                <w:spacing w:val="-3"/>
                <w:sz w:val="20"/>
              </w:rPr>
              <w:t> </w:t>
            </w:r>
            <w:r>
              <w:rPr>
                <w:sz w:val="20"/>
              </w:rPr>
              <w:t>AR,</w:t>
            </w:r>
            <w:r>
              <w:rPr>
                <w:spacing w:val="-3"/>
                <w:sz w:val="20"/>
              </w:rPr>
              <w:t> </w:t>
            </w:r>
            <w:r>
              <w:rPr>
                <w:sz w:val="20"/>
              </w:rPr>
              <w:t>Lapa</w:t>
            </w:r>
            <w:r>
              <w:rPr>
                <w:spacing w:val="-3"/>
                <w:sz w:val="20"/>
              </w:rPr>
              <w:t> </w:t>
            </w:r>
            <w:r>
              <w:rPr>
                <w:sz w:val="20"/>
              </w:rPr>
              <w:t>D,</w:t>
            </w:r>
            <w:r>
              <w:rPr>
                <w:spacing w:val="-3"/>
                <w:sz w:val="20"/>
              </w:rPr>
              <w:t> </w:t>
            </w:r>
            <w:r>
              <w:rPr>
                <w:sz w:val="20"/>
              </w:rPr>
              <w:t>Sias</w:t>
            </w:r>
            <w:r>
              <w:rPr>
                <w:spacing w:val="-4"/>
                <w:sz w:val="20"/>
              </w:rPr>
              <w:t> </w:t>
            </w:r>
            <w:r>
              <w:rPr>
                <w:sz w:val="20"/>
              </w:rPr>
              <w:t>C,</w:t>
            </w:r>
            <w:r>
              <w:rPr>
                <w:spacing w:val="-3"/>
                <w:sz w:val="20"/>
              </w:rPr>
              <w:t> </w:t>
            </w:r>
            <w:r>
              <w:rPr>
                <w:sz w:val="20"/>
              </w:rPr>
              <w:t>Capobianchi</w:t>
            </w:r>
            <w:r>
              <w:rPr>
                <w:spacing w:val="-4"/>
                <w:sz w:val="20"/>
              </w:rPr>
              <w:t> </w:t>
            </w:r>
            <w:r>
              <w:rPr>
                <w:sz w:val="20"/>
              </w:rPr>
              <w:t>MR,</w:t>
            </w:r>
            <w:r>
              <w:rPr>
                <w:spacing w:val="-3"/>
                <w:sz w:val="20"/>
              </w:rPr>
              <w:t> </w:t>
            </w:r>
            <w:r>
              <w:rPr>
                <w:sz w:val="20"/>
              </w:rPr>
              <w:t>Porto</w:t>
            </w:r>
            <w:r>
              <w:rPr>
                <w:spacing w:val="-2"/>
                <w:sz w:val="20"/>
              </w:rPr>
              <w:t> </w:t>
            </w:r>
            <w:r>
              <w:rPr>
                <w:sz w:val="20"/>
              </w:rPr>
              <w:t>PD.</w:t>
            </w:r>
            <w:r>
              <w:rPr>
                <w:spacing w:val="-3"/>
                <w:sz w:val="20"/>
              </w:rPr>
              <w:t> </w:t>
            </w:r>
            <w:r>
              <w:rPr>
                <w:sz w:val="20"/>
              </w:rPr>
              <w:t>The Use</w:t>
            </w:r>
            <w:r>
              <w:rPr>
                <w:spacing w:val="-4"/>
                <w:sz w:val="20"/>
              </w:rPr>
              <w:t> </w:t>
            </w:r>
            <w:r>
              <w:rPr>
                <w:sz w:val="20"/>
              </w:rPr>
              <w:t>of</w:t>
            </w:r>
            <w:r>
              <w:rPr>
                <w:spacing w:val="-3"/>
                <w:sz w:val="20"/>
              </w:rPr>
              <w:t> </w:t>
            </w:r>
            <w:r>
              <w:rPr>
                <w:sz w:val="20"/>
              </w:rPr>
              <w:t>Both</w:t>
            </w:r>
            <w:r>
              <w:rPr>
                <w:spacing w:val="-2"/>
                <w:sz w:val="20"/>
              </w:rPr>
              <w:t> </w:t>
            </w:r>
            <w:r>
              <w:rPr>
                <w:sz w:val="20"/>
              </w:rPr>
              <w:t>Therapeutic</w:t>
            </w:r>
            <w:r>
              <w:rPr>
                <w:spacing w:val="-3"/>
                <w:sz w:val="20"/>
              </w:rPr>
              <w:t> </w:t>
            </w:r>
            <w:r>
              <w:rPr>
                <w:sz w:val="20"/>
              </w:rPr>
              <w:t>and</w:t>
            </w:r>
            <w:r>
              <w:rPr>
                <w:spacing w:val="-2"/>
                <w:sz w:val="20"/>
              </w:rPr>
              <w:t> </w:t>
            </w:r>
            <w:r>
              <w:rPr>
                <w:sz w:val="20"/>
              </w:rPr>
              <w:t>Prophylactic Vaccines in the Therapy of Papillomavirus Disease. Front Immunol (2020) 11: (February):1–14.</w:t>
            </w:r>
          </w:p>
          <w:p>
            <w:pPr>
              <w:pStyle w:val="TableParagraph"/>
              <w:spacing w:before="49"/>
              <w:ind w:left="0"/>
              <w:rPr>
                <w:sz w:val="20"/>
              </w:rPr>
            </w:pPr>
          </w:p>
          <w:p>
            <w:pPr>
              <w:pStyle w:val="TableParagraph"/>
              <w:numPr>
                <w:ilvl w:val="0"/>
                <w:numId w:val="1"/>
              </w:numPr>
              <w:tabs>
                <w:tab w:pos="308" w:val="left" w:leader="none"/>
              </w:tabs>
              <w:spacing w:line="240" w:lineRule="auto" w:before="0" w:after="0"/>
              <w:ind w:left="108" w:right="269" w:firstLine="0"/>
              <w:jc w:val="left"/>
              <w:rPr>
                <w:sz w:val="20"/>
              </w:rPr>
            </w:pPr>
            <w:r>
              <w:rPr>
                <w:sz w:val="20"/>
              </w:rPr>
              <w:t>Barra F, Leone Roberti Maggiore U, Bogani G, Ditto A, Signorelli M, Martinelli F, et al. New Prophylactics Human</w:t>
            </w:r>
            <w:r>
              <w:rPr>
                <w:spacing w:val="-2"/>
                <w:sz w:val="20"/>
              </w:rPr>
              <w:t> </w:t>
            </w:r>
            <w:r>
              <w:rPr>
                <w:sz w:val="20"/>
              </w:rPr>
              <w:t>Papilloma</w:t>
            </w:r>
            <w:r>
              <w:rPr>
                <w:spacing w:val="-3"/>
                <w:sz w:val="20"/>
              </w:rPr>
              <w:t> </w:t>
            </w:r>
            <w:r>
              <w:rPr>
                <w:sz w:val="20"/>
              </w:rPr>
              <w:t>Virus</w:t>
            </w:r>
            <w:r>
              <w:rPr>
                <w:spacing w:val="-4"/>
                <w:sz w:val="20"/>
              </w:rPr>
              <w:t> </w:t>
            </w:r>
            <w:r>
              <w:rPr>
                <w:sz w:val="20"/>
              </w:rPr>
              <w:t>(HPV)</w:t>
            </w:r>
            <w:r>
              <w:rPr>
                <w:spacing w:val="-2"/>
                <w:sz w:val="20"/>
              </w:rPr>
              <w:t> </w:t>
            </w:r>
            <w:r>
              <w:rPr>
                <w:sz w:val="20"/>
              </w:rPr>
              <w:t>Vaccines</w:t>
            </w:r>
            <w:r>
              <w:rPr>
                <w:spacing w:val="-4"/>
                <w:sz w:val="20"/>
              </w:rPr>
              <w:t> </w:t>
            </w:r>
            <w:r>
              <w:rPr>
                <w:sz w:val="20"/>
              </w:rPr>
              <w:t>Against</w:t>
            </w:r>
            <w:r>
              <w:rPr>
                <w:spacing w:val="-4"/>
                <w:sz w:val="20"/>
              </w:rPr>
              <w:t> </w:t>
            </w:r>
            <w:r>
              <w:rPr>
                <w:sz w:val="20"/>
              </w:rPr>
              <w:t>Cervical</w:t>
            </w:r>
            <w:r>
              <w:rPr>
                <w:spacing w:val="-3"/>
                <w:sz w:val="20"/>
              </w:rPr>
              <w:t> </w:t>
            </w:r>
            <w:r>
              <w:rPr>
                <w:sz w:val="20"/>
              </w:rPr>
              <w:t>Cancer.</w:t>
            </w:r>
            <w:r>
              <w:rPr>
                <w:spacing w:val="-3"/>
                <w:sz w:val="20"/>
              </w:rPr>
              <w:t> </w:t>
            </w:r>
            <w:r>
              <w:rPr>
                <w:sz w:val="20"/>
              </w:rPr>
              <w:t>J</w:t>
            </w:r>
            <w:r>
              <w:rPr>
                <w:spacing w:val="-4"/>
                <w:sz w:val="20"/>
              </w:rPr>
              <w:t> </w:t>
            </w:r>
            <w:r>
              <w:rPr>
                <w:sz w:val="20"/>
              </w:rPr>
              <w:t>Obstet</w:t>
            </w:r>
            <w:r>
              <w:rPr>
                <w:spacing w:val="-3"/>
                <w:sz w:val="20"/>
              </w:rPr>
              <w:t> </w:t>
            </w:r>
            <w:r>
              <w:rPr>
                <w:sz w:val="20"/>
              </w:rPr>
              <w:t>Gynaecol</w:t>
            </w:r>
            <w:r>
              <w:rPr>
                <w:spacing w:val="-4"/>
                <w:sz w:val="20"/>
              </w:rPr>
              <w:t> </w:t>
            </w:r>
            <w:r>
              <w:rPr>
                <w:sz w:val="20"/>
              </w:rPr>
              <w:t>(Lahore)</w:t>
            </w:r>
            <w:r>
              <w:rPr>
                <w:spacing w:val="-4"/>
                <w:sz w:val="20"/>
              </w:rPr>
              <w:t> </w:t>
            </w:r>
            <w:r>
              <w:rPr>
                <w:sz w:val="20"/>
              </w:rPr>
              <w:t>(2019)</w:t>
            </w:r>
            <w:r>
              <w:rPr>
                <w:spacing w:val="-5"/>
                <w:sz w:val="20"/>
              </w:rPr>
              <w:t> </w:t>
            </w:r>
            <w:r>
              <w:rPr>
                <w:sz w:val="20"/>
              </w:rPr>
              <w:t>39(1):1– </w:t>
            </w:r>
            <w:r>
              <w:rPr>
                <w:spacing w:val="-4"/>
                <w:sz w:val="20"/>
              </w:rPr>
              <w:t>10.</w:t>
            </w:r>
          </w:p>
          <w:p>
            <w:pPr>
              <w:pStyle w:val="TableParagraph"/>
              <w:spacing w:before="36"/>
              <w:ind w:left="0"/>
              <w:rPr>
                <w:sz w:val="20"/>
              </w:rPr>
            </w:pPr>
          </w:p>
          <w:p>
            <w:pPr>
              <w:pStyle w:val="TableParagraph"/>
              <w:numPr>
                <w:ilvl w:val="0"/>
                <w:numId w:val="1"/>
              </w:numPr>
              <w:tabs>
                <w:tab w:pos="308" w:val="left" w:leader="none"/>
              </w:tabs>
              <w:spacing w:line="228" w:lineRule="exact" w:before="1" w:after="0"/>
              <w:ind w:left="108" w:right="200" w:firstLine="0"/>
              <w:jc w:val="left"/>
              <w:rPr>
                <w:sz w:val="20"/>
              </w:rPr>
            </w:pPr>
            <w:r>
              <w:rPr>
                <w:sz w:val="20"/>
              </w:rPr>
              <w:t>Kumar</w:t>
            </w:r>
            <w:r>
              <w:rPr>
                <w:spacing w:val="-2"/>
                <w:sz w:val="20"/>
              </w:rPr>
              <w:t> </w:t>
            </w:r>
            <w:r>
              <w:rPr>
                <w:sz w:val="20"/>
              </w:rPr>
              <w:t>A.,</w:t>
            </w:r>
            <w:r>
              <w:rPr>
                <w:spacing w:val="-3"/>
                <w:sz w:val="20"/>
              </w:rPr>
              <w:t> </w:t>
            </w:r>
            <w:r>
              <w:rPr>
                <w:sz w:val="20"/>
              </w:rPr>
              <w:t>Rathi</w:t>
            </w:r>
            <w:r>
              <w:rPr>
                <w:spacing w:val="-4"/>
                <w:sz w:val="20"/>
              </w:rPr>
              <w:t> </w:t>
            </w:r>
            <w:r>
              <w:rPr>
                <w:sz w:val="20"/>
              </w:rPr>
              <w:t>E.,</w:t>
            </w:r>
            <w:r>
              <w:rPr>
                <w:spacing w:val="-3"/>
                <w:sz w:val="20"/>
              </w:rPr>
              <w:t> </w:t>
            </w:r>
            <w:r>
              <w:rPr>
                <w:sz w:val="20"/>
              </w:rPr>
              <w:t>Hariharapura</w:t>
            </w:r>
            <w:r>
              <w:rPr>
                <w:spacing w:val="-3"/>
                <w:sz w:val="20"/>
              </w:rPr>
              <w:t> </w:t>
            </w:r>
            <w:r>
              <w:rPr>
                <w:sz w:val="20"/>
              </w:rPr>
              <w:t>R.C.,</w:t>
            </w:r>
            <w:r>
              <w:rPr>
                <w:spacing w:val="-3"/>
                <w:sz w:val="20"/>
              </w:rPr>
              <w:t> </w:t>
            </w:r>
            <w:r>
              <w:rPr>
                <w:sz w:val="20"/>
              </w:rPr>
              <w:t>Kini</w:t>
            </w:r>
            <w:r>
              <w:rPr>
                <w:spacing w:val="-4"/>
                <w:sz w:val="20"/>
              </w:rPr>
              <w:t> </w:t>
            </w:r>
            <w:r>
              <w:rPr>
                <w:sz w:val="20"/>
              </w:rPr>
              <w:t>S.G.</w:t>
            </w:r>
            <w:r>
              <w:rPr>
                <w:spacing w:val="-3"/>
                <w:sz w:val="20"/>
              </w:rPr>
              <w:t> </w:t>
            </w:r>
            <w:r>
              <w:rPr>
                <w:sz w:val="20"/>
              </w:rPr>
              <w:t>Is</w:t>
            </w:r>
            <w:r>
              <w:rPr>
                <w:spacing w:val="-4"/>
                <w:sz w:val="20"/>
              </w:rPr>
              <w:t> </w:t>
            </w:r>
            <w:r>
              <w:rPr>
                <w:sz w:val="20"/>
              </w:rPr>
              <w:t>viral</w:t>
            </w:r>
            <w:r>
              <w:rPr>
                <w:spacing w:val="-5"/>
                <w:sz w:val="20"/>
              </w:rPr>
              <w:t> </w:t>
            </w:r>
            <w:r>
              <w:rPr>
                <w:sz w:val="20"/>
              </w:rPr>
              <w:t>E6</w:t>
            </w:r>
            <w:r>
              <w:rPr>
                <w:spacing w:val="-2"/>
                <w:sz w:val="20"/>
              </w:rPr>
              <w:t> </w:t>
            </w:r>
            <w:r>
              <w:rPr>
                <w:sz w:val="20"/>
              </w:rPr>
              <w:t>oncoprotein</w:t>
            </w:r>
            <w:r>
              <w:rPr>
                <w:spacing w:val="-2"/>
                <w:sz w:val="20"/>
              </w:rPr>
              <w:t> </w:t>
            </w:r>
            <w:r>
              <w:rPr>
                <w:sz w:val="20"/>
              </w:rPr>
              <w:t>a</w:t>
            </w:r>
            <w:r>
              <w:rPr>
                <w:spacing w:val="-3"/>
                <w:sz w:val="20"/>
              </w:rPr>
              <w:t> </w:t>
            </w:r>
            <w:r>
              <w:rPr>
                <w:sz w:val="20"/>
              </w:rPr>
              <w:t>viable</w:t>
            </w:r>
            <w:r>
              <w:rPr>
                <w:spacing w:val="-3"/>
                <w:sz w:val="20"/>
              </w:rPr>
              <w:t> </w:t>
            </w:r>
            <w:r>
              <w:rPr>
                <w:sz w:val="20"/>
              </w:rPr>
              <w:t>target?</w:t>
            </w:r>
            <w:r>
              <w:rPr>
                <w:spacing w:val="-3"/>
                <w:sz w:val="20"/>
              </w:rPr>
              <w:t> </w:t>
            </w:r>
            <w:r>
              <w:rPr>
                <w:sz w:val="20"/>
              </w:rPr>
              <w:t>A</w:t>
            </w:r>
            <w:r>
              <w:rPr>
                <w:spacing w:val="-3"/>
                <w:sz w:val="20"/>
              </w:rPr>
              <w:t> </w:t>
            </w:r>
            <w:r>
              <w:rPr>
                <w:sz w:val="20"/>
              </w:rPr>
              <w:t>critical</w:t>
            </w:r>
            <w:r>
              <w:rPr>
                <w:spacing w:val="-3"/>
                <w:sz w:val="20"/>
              </w:rPr>
              <w:t> </w:t>
            </w:r>
            <w:r>
              <w:rPr>
                <w:sz w:val="20"/>
              </w:rPr>
              <w:t>analysis</w:t>
            </w:r>
            <w:r>
              <w:rPr>
                <w:spacing w:val="-4"/>
                <w:sz w:val="20"/>
              </w:rPr>
              <w:t> </w:t>
            </w:r>
            <w:r>
              <w:rPr>
                <w:sz w:val="20"/>
              </w:rPr>
              <w:t>in the context of cervical cancer. Med. Res. Rev. 2020; 40:2019–2048.</w:t>
            </w:r>
          </w:p>
        </w:tc>
        <w:tc>
          <w:tcPr>
            <w:tcW w:w="6445" w:type="dxa"/>
          </w:tcPr>
          <w:p>
            <w:pPr>
              <w:pStyle w:val="TableParagraph"/>
              <w:ind w:right="114"/>
              <w:rPr>
                <w:sz w:val="24"/>
              </w:rPr>
            </w:pPr>
            <w:r>
              <w:rPr>
                <w:sz w:val="24"/>
              </w:rPr>
              <w:t>The discussion section will be improved by explaining unexpected patterns, comparing results with other studies, and stating both strengths and limitations of the study. These revisions</w:t>
            </w:r>
            <w:r>
              <w:rPr>
                <w:spacing w:val="-5"/>
                <w:sz w:val="24"/>
              </w:rPr>
              <w:t> </w:t>
            </w:r>
            <w:r>
              <w:rPr>
                <w:sz w:val="24"/>
              </w:rPr>
              <w:t>will</w:t>
            </w:r>
            <w:r>
              <w:rPr>
                <w:spacing w:val="-5"/>
                <w:sz w:val="24"/>
              </w:rPr>
              <w:t> </w:t>
            </w:r>
            <w:r>
              <w:rPr>
                <w:sz w:val="24"/>
              </w:rPr>
              <w:t>strengthen</w:t>
            </w:r>
            <w:r>
              <w:rPr>
                <w:spacing w:val="-5"/>
                <w:sz w:val="24"/>
              </w:rPr>
              <w:t> </w:t>
            </w:r>
            <w:r>
              <w:rPr>
                <w:sz w:val="24"/>
              </w:rPr>
              <w:t>the</w:t>
            </w:r>
            <w:r>
              <w:rPr>
                <w:spacing w:val="-6"/>
                <w:sz w:val="24"/>
              </w:rPr>
              <w:t> </w:t>
            </w:r>
            <w:r>
              <w:rPr>
                <w:sz w:val="24"/>
              </w:rPr>
              <w:t>objectivity</w:t>
            </w:r>
            <w:r>
              <w:rPr>
                <w:spacing w:val="-5"/>
                <w:sz w:val="24"/>
              </w:rPr>
              <w:t> </w:t>
            </w:r>
            <w:r>
              <w:rPr>
                <w:sz w:val="24"/>
              </w:rPr>
              <w:t>and</w:t>
            </w:r>
            <w:r>
              <w:rPr>
                <w:spacing w:val="-5"/>
                <w:sz w:val="24"/>
              </w:rPr>
              <w:t> </w:t>
            </w:r>
            <w:r>
              <w:rPr>
                <w:sz w:val="24"/>
              </w:rPr>
              <w:t>impact</w:t>
            </w:r>
            <w:r>
              <w:rPr>
                <w:spacing w:val="-5"/>
                <w:sz w:val="24"/>
              </w:rPr>
              <w:t> </w:t>
            </w:r>
            <w:r>
              <w:rPr>
                <w:sz w:val="24"/>
              </w:rPr>
              <w:t>of</w:t>
            </w:r>
            <w:r>
              <w:rPr>
                <w:spacing w:val="-5"/>
                <w:sz w:val="24"/>
              </w:rPr>
              <w:t> </w:t>
            </w:r>
            <w:r>
              <w:rPr>
                <w:sz w:val="24"/>
              </w:rPr>
              <w:t>the</w:t>
            </w:r>
            <w:r>
              <w:rPr>
                <w:spacing w:val="-6"/>
                <w:sz w:val="24"/>
              </w:rPr>
              <w:t> </w:t>
            </w:r>
            <w:r>
              <w:rPr>
                <w:sz w:val="24"/>
              </w:rPr>
              <w:t>work.</w:t>
            </w:r>
          </w:p>
        </w:tc>
      </w:tr>
    </w:tbl>
    <w:p>
      <w:pPr>
        <w:pStyle w:val="TableParagraph"/>
        <w:spacing w:after="0"/>
        <w:rPr>
          <w:sz w:val="24"/>
        </w:rPr>
        <w:sectPr>
          <w:pgSz w:w="23820" w:h="16840" w:orient="landscape"/>
          <w:pgMar w:header="1285" w:footer="694" w:top="1820" w:bottom="880" w:left="1275" w:right="1275"/>
        </w:sectPr>
      </w:pPr>
    </w:p>
    <w:tbl>
      <w:tblPr>
        <w:tblW w:w="0" w:type="auto"/>
        <w:jc w:val="left"/>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2"/>
        <w:gridCol w:w="9356"/>
        <w:gridCol w:w="6445"/>
      </w:tblGrid>
      <w:tr>
        <w:trPr>
          <w:trHeight w:val="4752" w:hRule="atLeast"/>
        </w:trPr>
        <w:tc>
          <w:tcPr>
            <w:tcW w:w="5352" w:type="dxa"/>
          </w:tcPr>
          <w:p>
            <w:pPr>
              <w:pStyle w:val="TableParagraph"/>
              <w:ind w:left="0"/>
              <w:rPr>
                <w:sz w:val="20"/>
              </w:rPr>
            </w:pPr>
          </w:p>
        </w:tc>
        <w:tc>
          <w:tcPr>
            <w:tcW w:w="9356" w:type="dxa"/>
          </w:tcPr>
          <w:p>
            <w:pPr>
              <w:pStyle w:val="TableParagraph"/>
              <w:ind w:left="0"/>
              <w:rPr>
                <w:sz w:val="20"/>
              </w:rPr>
            </w:pPr>
          </w:p>
          <w:p>
            <w:pPr>
              <w:pStyle w:val="TableParagraph"/>
              <w:spacing w:before="49"/>
              <w:ind w:left="0"/>
              <w:rPr>
                <w:sz w:val="20"/>
              </w:rPr>
            </w:pPr>
          </w:p>
          <w:p>
            <w:pPr>
              <w:pStyle w:val="TableParagraph"/>
              <w:numPr>
                <w:ilvl w:val="0"/>
                <w:numId w:val="2"/>
              </w:numPr>
              <w:tabs>
                <w:tab w:pos="308" w:val="left" w:leader="none"/>
              </w:tabs>
              <w:spacing w:line="240" w:lineRule="auto" w:before="0" w:after="0"/>
              <w:ind w:left="108" w:right="158" w:firstLine="0"/>
              <w:jc w:val="left"/>
              <w:rPr>
                <w:b/>
                <w:sz w:val="20"/>
              </w:rPr>
            </w:pPr>
            <w:r>
              <w:rPr>
                <w:b/>
                <w:sz w:val="20"/>
              </w:rPr>
              <w:t>After</w:t>
            </w:r>
            <w:r>
              <w:rPr>
                <w:b/>
                <w:spacing w:val="-3"/>
                <w:sz w:val="20"/>
              </w:rPr>
              <w:t> </w:t>
            </w:r>
            <w:r>
              <w:rPr>
                <w:b/>
                <w:sz w:val="20"/>
              </w:rPr>
              <w:t>reading</w:t>
            </w:r>
            <w:r>
              <w:rPr>
                <w:b/>
                <w:spacing w:val="-2"/>
                <w:sz w:val="20"/>
              </w:rPr>
              <w:t> </w:t>
            </w:r>
            <w:r>
              <w:rPr>
                <w:b/>
                <w:sz w:val="20"/>
              </w:rPr>
              <w:t>the</w:t>
            </w:r>
            <w:r>
              <w:rPr>
                <w:b/>
                <w:spacing w:val="-3"/>
                <w:sz w:val="20"/>
              </w:rPr>
              <w:t> </w:t>
            </w:r>
            <w:r>
              <w:rPr>
                <w:b/>
                <w:sz w:val="20"/>
              </w:rPr>
              <w:t>methods</w:t>
            </w:r>
            <w:r>
              <w:rPr>
                <w:b/>
                <w:spacing w:val="-4"/>
                <w:sz w:val="20"/>
              </w:rPr>
              <w:t> </w:t>
            </w:r>
            <w:r>
              <w:rPr>
                <w:b/>
                <w:sz w:val="20"/>
              </w:rPr>
              <w:t>section,</w:t>
            </w:r>
            <w:r>
              <w:rPr>
                <w:b/>
                <w:spacing w:val="-3"/>
                <w:sz w:val="20"/>
              </w:rPr>
              <w:t> </w:t>
            </w:r>
            <w:r>
              <w:rPr>
                <w:b/>
                <w:sz w:val="20"/>
              </w:rPr>
              <w:t>wondering</w:t>
            </w:r>
            <w:r>
              <w:rPr>
                <w:b/>
                <w:spacing w:val="-3"/>
                <w:sz w:val="20"/>
              </w:rPr>
              <w:t> </w:t>
            </w:r>
            <w:r>
              <w:rPr>
                <w:b/>
                <w:sz w:val="20"/>
              </w:rPr>
              <w:t>about</w:t>
            </w:r>
            <w:r>
              <w:rPr>
                <w:b/>
                <w:spacing w:val="-3"/>
                <w:sz w:val="20"/>
              </w:rPr>
              <w:t> </w:t>
            </w:r>
            <w:r>
              <w:rPr>
                <w:b/>
                <w:sz w:val="20"/>
              </w:rPr>
              <w:t>some</w:t>
            </w:r>
            <w:r>
              <w:rPr>
                <w:b/>
                <w:spacing w:val="-3"/>
                <w:sz w:val="20"/>
              </w:rPr>
              <w:t> </w:t>
            </w:r>
            <w:r>
              <w:rPr>
                <w:b/>
                <w:sz w:val="20"/>
              </w:rPr>
              <w:t>of</w:t>
            </w:r>
            <w:r>
              <w:rPr>
                <w:b/>
                <w:spacing w:val="-5"/>
                <w:sz w:val="20"/>
              </w:rPr>
              <w:t> </w:t>
            </w:r>
            <w:r>
              <w:rPr>
                <w:b/>
                <w:sz w:val="20"/>
              </w:rPr>
              <w:t>the</w:t>
            </w:r>
            <w:r>
              <w:rPr>
                <w:b/>
                <w:spacing w:val="-3"/>
                <w:sz w:val="20"/>
              </w:rPr>
              <w:t> </w:t>
            </w:r>
            <w:r>
              <w:rPr>
                <w:b/>
                <w:sz w:val="20"/>
              </w:rPr>
              <w:t>details</w:t>
            </w:r>
            <w:r>
              <w:rPr>
                <w:b/>
                <w:spacing w:val="-4"/>
                <w:sz w:val="20"/>
              </w:rPr>
              <w:t> </w:t>
            </w:r>
            <w:r>
              <w:rPr>
                <w:b/>
                <w:sz w:val="20"/>
              </w:rPr>
              <w:t>of</w:t>
            </w:r>
            <w:r>
              <w:rPr>
                <w:b/>
                <w:spacing w:val="-3"/>
                <w:sz w:val="20"/>
              </w:rPr>
              <w:t> </w:t>
            </w:r>
            <w:r>
              <w:rPr>
                <w:b/>
                <w:sz w:val="20"/>
              </w:rPr>
              <w:t>the</w:t>
            </w:r>
            <w:r>
              <w:rPr>
                <w:b/>
                <w:spacing w:val="-5"/>
                <w:sz w:val="20"/>
              </w:rPr>
              <w:t> </w:t>
            </w:r>
            <w:r>
              <w:rPr>
                <w:b/>
                <w:sz w:val="20"/>
              </w:rPr>
              <w:t>methods</w:t>
            </w:r>
            <w:r>
              <w:rPr>
                <w:b/>
                <w:spacing w:val="-4"/>
                <w:sz w:val="20"/>
              </w:rPr>
              <w:t> </w:t>
            </w:r>
            <w:r>
              <w:rPr>
                <w:b/>
                <w:sz w:val="20"/>
              </w:rPr>
              <w:t>used;</w:t>
            </w:r>
            <w:r>
              <w:rPr>
                <w:b/>
                <w:spacing w:val="-3"/>
                <w:sz w:val="20"/>
              </w:rPr>
              <w:t> </w:t>
            </w:r>
            <w:r>
              <w:rPr>
                <w:b/>
                <w:sz w:val="20"/>
              </w:rPr>
              <w:t>some</w:t>
            </w:r>
            <w:r>
              <w:rPr>
                <w:b/>
                <w:spacing w:val="-3"/>
                <w:sz w:val="20"/>
              </w:rPr>
              <w:t> </w:t>
            </w:r>
            <w:r>
              <w:rPr>
                <w:b/>
                <w:sz w:val="20"/>
              </w:rPr>
              <w:t>of</w:t>
            </w:r>
            <w:r>
              <w:rPr>
                <w:b/>
                <w:spacing w:val="-3"/>
                <w:sz w:val="20"/>
              </w:rPr>
              <w:t> </w:t>
            </w:r>
            <w:r>
              <w:rPr>
                <w:b/>
                <w:sz w:val="20"/>
              </w:rPr>
              <w:t>the questions were not answered.</w:t>
            </w:r>
            <w:r>
              <w:rPr>
                <w:b/>
                <w:spacing w:val="40"/>
                <w:sz w:val="20"/>
              </w:rPr>
              <w:t> </w:t>
            </w:r>
            <w:r>
              <w:rPr>
                <w:b/>
                <w:sz w:val="20"/>
              </w:rPr>
              <w:t>However, it is unlikely that epitope extraction from E6 and E7 proteins belonging to HPV-16 and -18 types was identified. It should be determined how many antigenic sequences have been collected. Without doing so, the validity of the approach taken may be questioned.</w:t>
            </w:r>
            <w:r>
              <w:rPr>
                <w:b/>
                <w:spacing w:val="40"/>
                <w:sz w:val="20"/>
              </w:rPr>
              <w:t> </w:t>
            </w:r>
            <w:r>
              <w:rPr>
                <w:b/>
                <w:sz w:val="20"/>
              </w:rPr>
              <w:t>suggest expanding the description of the methods in this paper (e.g., inclusion and exclusion criteria, etc.).</w:t>
            </w:r>
            <w:r>
              <w:rPr>
                <w:b/>
                <w:spacing w:val="40"/>
                <w:sz w:val="20"/>
              </w:rPr>
              <w:t> </w:t>
            </w:r>
            <w:r>
              <w:rPr>
                <w:b/>
                <w:sz w:val="20"/>
              </w:rPr>
              <w:t>In addition, I had some concerns about the level of significance chosen.</w:t>
            </w:r>
            <w:r>
              <w:rPr>
                <w:b/>
                <w:spacing w:val="40"/>
                <w:sz w:val="20"/>
              </w:rPr>
              <w:t> </w:t>
            </w:r>
            <w:r>
              <w:rPr>
                <w:b/>
                <w:sz w:val="20"/>
              </w:rPr>
              <w:t>Because this was exploratory research, a wide variety of associations were tested.</w:t>
            </w:r>
            <w:r>
              <w:rPr>
                <w:b/>
                <w:spacing w:val="40"/>
                <w:sz w:val="20"/>
              </w:rPr>
              <w:t> </w:t>
            </w:r>
            <w:r>
              <w:rPr>
                <w:b/>
                <w:sz w:val="20"/>
              </w:rPr>
              <w:t>As a result, a correction for multiple comparisons should</w:t>
            </w:r>
            <w:r>
              <w:rPr>
                <w:b/>
                <w:spacing w:val="-1"/>
                <w:sz w:val="20"/>
              </w:rPr>
              <w:t> </w:t>
            </w:r>
            <w:r>
              <w:rPr>
                <w:b/>
                <w:sz w:val="20"/>
              </w:rPr>
              <w:t>be made, lowering the significance level criterion</w:t>
            </w:r>
            <w:r>
              <w:rPr>
                <w:b/>
                <w:spacing w:val="-1"/>
                <w:sz w:val="20"/>
              </w:rPr>
              <w:t> </w:t>
            </w:r>
            <w:r>
              <w:rPr>
                <w:b/>
                <w:sz w:val="20"/>
              </w:rPr>
              <w:t>and</w:t>
            </w:r>
            <w:r>
              <w:rPr>
                <w:b/>
                <w:spacing w:val="-1"/>
                <w:sz w:val="20"/>
              </w:rPr>
              <w:t> </w:t>
            </w:r>
            <w:r>
              <w:rPr>
                <w:b/>
                <w:sz w:val="20"/>
              </w:rPr>
              <w:t>eliminating some of</w:t>
            </w:r>
            <w:r>
              <w:rPr>
                <w:b/>
                <w:spacing w:val="-2"/>
                <w:sz w:val="20"/>
              </w:rPr>
              <w:t> </w:t>
            </w:r>
            <w:r>
              <w:rPr>
                <w:b/>
                <w:sz w:val="20"/>
              </w:rPr>
              <w:t>the</w:t>
            </w:r>
            <w:r>
              <w:rPr>
                <w:b/>
                <w:spacing w:val="-2"/>
                <w:sz w:val="20"/>
              </w:rPr>
              <w:t> </w:t>
            </w:r>
            <w:r>
              <w:rPr>
                <w:b/>
                <w:sz w:val="20"/>
              </w:rPr>
              <w:t>associations</w:t>
            </w:r>
            <w:r>
              <w:rPr>
                <w:b/>
                <w:spacing w:val="-1"/>
                <w:sz w:val="20"/>
              </w:rPr>
              <w:t> </w:t>
            </w:r>
            <w:r>
              <w:rPr>
                <w:b/>
                <w:sz w:val="20"/>
              </w:rPr>
              <w:t>reported as significant.</w:t>
            </w:r>
          </w:p>
          <w:p>
            <w:pPr>
              <w:pStyle w:val="TableParagraph"/>
              <w:spacing w:before="52"/>
              <w:ind w:left="0"/>
              <w:rPr>
                <w:sz w:val="20"/>
              </w:rPr>
            </w:pPr>
          </w:p>
          <w:p>
            <w:pPr>
              <w:pStyle w:val="TableParagraph"/>
              <w:numPr>
                <w:ilvl w:val="0"/>
                <w:numId w:val="2"/>
              </w:numPr>
              <w:tabs>
                <w:tab w:pos="308" w:val="left" w:leader="none"/>
              </w:tabs>
              <w:spacing w:line="240" w:lineRule="auto" w:before="0" w:after="0"/>
              <w:ind w:left="108" w:right="150" w:firstLine="0"/>
              <w:jc w:val="left"/>
              <w:rPr>
                <w:b/>
                <w:sz w:val="20"/>
              </w:rPr>
            </w:pPr>
            <w:r>
              <w:rPr>
                <w:b/>
                <w:sz w:val="20"/>
              </w:rPr>
              <w:t>The content of the discussion section of the paper didn't include: Explanation of results, comment on whether</w:t>
            </w:r>
            <w:r>
              <w:rPr>
                <w:b/>
                <w:spacing w:val="-3"/>
                <w:sz w:val="20"/>
              </w:rPr>
              <w:t> </w:t>
            </w:r>
            <w:r>
              <w:rPr>
                <w:b/>
                <w:sz w:val="20"/>
              </w:rPr>
              <w:t>or</w:t>
            </w:r>
            <w:r>
              <w:rPr>
                <w:b/>
                <w:spacing w:val="-3"/>
                <w:sz w:val="20"/>
              </w:rPr>
              <w:t> </w:t>
            </w:r>
            <w:r>
              <w:rPr>
                <w:b/>
                <w:sz w:val="20"/>
              </w:rPr>
              <w:t>not</w:t>
            </w:r>
            <w:r>
              <w:rPr>
                <w:b/>
                <w:spacing w:val="-3"/>
                <w:sz w:val="20"/>
              </w:rPr>
              <w:t> </w:t>
            </w:r>
            <w:r>
              <w:rPr>
                <w:b/>
                <w:sz w:val="20"/>
              </w:rPr>
              <w:t>the</w:t>
            </w:r>
            <w:r>
              <w:rPr>
                <w:b/>
                <w:spacing w:val="-3"/>
                <w:sz w:val="20"/>
              </w:rPr>
              <w:t> </w:t>
            </w:r>
            <w:r>
              <w:rPr>
                <w:b/>
                <w:sz w:val="20"/>
              </w:rPr>
              <w:t>results</w:t>
            </w:r>
            <w:r>
              <w:rPr>
                <w:b/>
                <w:spacing w:val="-4"/>
                <w:sz w:val="20"/>
              </w:rPr>
              <w:t> </w:t>
            </w:r>
            <w:r>
              <w:rPr>
                <w:b/>
                <w:sz w:val="20"/>
              </w:rPr>
              <w:t>were</w:t>
            </w:r>
            <w:r>
              <w:rPr>
                <w:b/>
                <w:spacing w:val="-3"/>
                <w:sz w:val="20"/>
              </w:rPr>
              <w:t> </w:t>
            </w:r>
            <w:r>
              <w:rPr>
                <w:b/>
                <w:sz w:val="20"/>
              </w:rPr>
              <w:t>expected,</w:t>
            </w:r>
            <w:r>
              <w:rPr>
                <w:b/>
                <w:spacing w:val="-3"/>
                <w:sz w:val="20"/>
              </w:rPr>
              <w:t> </w:t>
            </w:r>
            <w:r>
              <w:rPr>
                <w:b/>
                <w:sz w:val="20"/>
              </w:rPr>
              <w:t>and</w:t>
            </w:r>
            <w:r>
              <w:rPr>
                <w:b/>
                <w:spacing w:val="-4"/>
                <w:sz w:val="20"/>
              </w:rPr>
              <w:t> </w:t>
            </w:r>
            <w:r>
              <w:rPr>
                <w:b/>
                <w:sz w:val="20"/>
              </w:rPr>
              <w:t>present</w:t>
            </w:r>
            <w:r>
              <w:rPr>
                <w:b/>
                <w:spacing w:val="-3"/>
                <w:sz w:val="20"/>
              </w:rPr>
              <w:t> </w:t>
            </w:r>
            <w:r>
              <w:rPr>
                <w:b/>
                <w:sz w:val="20"/>
              </w:rPr>
              <w:t>explanations</w:t>
            </w:r>
            <w:r>
              <w:rPr>
                <w:b/>
                <w:spacing w:val="-4"/>
                <w:sz w:val="20"/>
              </w:rPr>
              <w:t> </w:t>
            </w:r>
            <w:r>
              <w:rPr>
                <w:b/>
                <w:sz w:val="20"/>
              </w:rPr>
              <w:t>for</w:t>
            </w:r>
            <w:r>
              <w:rPr>
                <w:b/>
                <w:spacing w:val="-3"/>
                <w:sz w:val="20"/>
              </w:rPr>
              <w:t> </w:t>
            </w:r>
            <w:r>
              <w:rPr>
                <w:b/>
                <w:sz w:val="20"/>
              </w:rPr>
              <w:t>the</w:t>
            </w:r>
            <w:r>
              <w:rPr>
                <w:b/>
                <w:spacing w:val="-3"/>
                <w:sz w:val="20"/>
              </w:rPr>
              <w:t> </w:t>
            </w:r>
            <w:r>
              <w:rPr>
                <w:b/>
                <w:sz w:val="20"/>
              </w:rPr>
              <w:t>results;</w:t>
            </w:r>
            <w:r>
              <w:rPr>
                <w:b/>
                <w:spacing w:val="-3"/>
                <w:sz w:val="20"/>
              </w:rPr>
              <w:t> </w:t>
            </w:r>
            <w:r>
              <w:rPr>
                <w:b/>
                <w:sz w:val="20"/>
              </w:rPr>
              <w:t>If</w:t>
            </w:r>
            <w:r>
              <w:rPr>
                <w:b/>
                <w:spacing w:val="-3"/>
                <w:sz w:val="20"/>
              </w:rPr>
              <w:t> </w:t>
            </w:r>
            <w:r>
              <w:rPr>
                <w:b/>
                <w:sz w:val="20"/>
              </w:rPr>
              <w:t>appropriate,</w:t>
            </w:r>
            <w:r>
              <w:rPr>
                <w:b/>
                <w:spacing w:val="-2"/>
                <w:sz w:val="20"/>
              </w:rPr>
              <w:t> </w:t>
            </w:r>
            <w:r>
              <w:rPr>
                <w:b/>
                <w:sz w:val="20"/>
              </w:rPr>
              <w:t>note</w:t>
            </w:r>
            <w:r>
              <w:rPr>
                <w:b/>
                <w:spacing w:val="-3"/>
                <w:sz w:val="20"/>
              </w:rPr>
              <w:t> </w:t>
            </w:r>
            <w:r>
              <w:rPr>
                <w:b/>
                <w:sz w:val="20"/>
              </w:rPr>
              <w:t>any unusual or unanticipated patterns or trends that emerged from your results and explain their meaning; References to previous research, compare your results with the findings from other studies, or use the studies</w:t>
            </w:r>
            <w:r>
              <w:rPr>
                <w:b/>
                <w:spacing w:val="-2"/>
                <w:sz w:val="20"/>
              </w:rPr>
              <w:t> </w:t>
            </w:r>
            <w:r>
              <w:rPr>
                <w:b/>
                <w:sz w:val="20"/>
              </w:rPr>
              <w:t>to support a claim;</w:t>
            </w:r>
            <w:r>
              <w:rPr>
                <w:b/>
                <w:spacing w:val="-1"/>
                <w:sz w:val="20"/>
              </w:rPr>
              <w:t> </w:t>
            </w:r>
            <w:r>
              <w:rPr>
                <w:b/>
                <w:sz w:val="20"/>
              </w:rPr>
              <w:t>Deduction:</w:t>
            </w:r>
            <w:r>
              <w:rPr>
                <w:b/>
                <w:spacing w:val="-1"/>
                <w:sz w:val="20"/>
              </w:rPr>
              <w:t> </w:t>
            </w:r>
            <w:r>
              <w:rPr>
                <w:b/>
                <w:sz w:val="20"/>
              </w:rPr>
              <w:t>a claim for</w:t>
            </w:r>
            <w:r>
              <w:rPr>
                <w:b/>
                <w:spacing w:val="-1"/>
                <w:sz w:val="20"/>
              </w:rPr>
              <w:t> </w:t>
            </w:r>
            <w:r>
              <w:rPr>
                <w:b/>
                <w:sz w:val="20"/>
              </w:rPr>
              <w:t>how</w:t>
            </w:r>
            <w:r>
              <w:rPr>
                <w:b/>
                <w:spacing w:val="-1"/>
                <w:sz w:val="20"/>
              </w:rPr>
              <w:t> </w:t>
            </w:r>
            <w:r>
              <w:rPr>
                <w:b/>
                <w:sz w:val="20"/>
              </w:rPr>
              <w:t>the</w:t>
            </w:r>
            <w:r>
              <w:rPr>
                <w:b/>
                <w:spacing w:val="-1"/>
                <w:sz w:val="20"/>
              </w:rPr>
              <w:t> </w:t>
            </w:r>
            <w:r>
              <w:rPr>
                <w:b/>
                <w:sz w:val="20"/>
              </w:rPr>
              <w:t>results</w:t>
            </w:r>
            <w:r>
              <w:rPr>
                <w:b/>
                <w:spacing w:val="-2"/>
                <w:sz w:val="20"/>
              </w:rPr>
              <w:t> </w:t>
            </w:r>
            <w:r>
              <w:rPr>
                <w:b/>
                <w:sz w:val="20"/>
              </w:rPr>
              <w:t>can</w:t>
            </w:r>
            <w:r>
              <w:rPr>
                <w:b/>
                <w:spacing w:val="-2"/>
                <w:sz w:val="20"/>
              </w:rPr>
              <w:t> </w:t>
            </w:r>
            <w:r>
              <w:rPr>
                <w:b/>
                <w:sz w:val="20"/>
              </w:rPr>
              <w:t>be</w:t>
            </w:r>
            <w:r>
              <w:rPr>
                <w:b/>
                <w:spacing w:val="-1"/>
                <w:sz w:val="20"/>
              </w:rPr>
              <w:t> </w:t>
            </w:r>
            <w:r>
              <w:rPr>
                <w:b/>
                <w:sz w:val="20"/>
              </w:rPr>
              <w:t>applied</w:t>
            </w:r>
            <w:r>
              <w:rPr>
                <w:b/>
                <w:spacing w:val="-2"/>
                <w:sz w:val="20"/>
              </w:rPr>
              <w:t> </w:t>
            </w:r>
            <w:r>
              <w:rPr>
                <w:b/>
                <w:sz w:val="20"/>
              </w:rPr>
              <w:t>more</w:t>
            </w:r>
            <w:r>
              <w:rPr>
                <w:b/>
                <w:spacing w:val="-1"/>
                <w:sz w:val="20"/>
              </w:rPr>
              <w:t> </w:t>
            </w:r>
            <w:r>
              <w:rPr>
                <w:b/>
                <w:sz w:val="20"/>
              </w:rPr>
              <w:t>generally.</w:t>
            </w:r>
            <w:r>
              <w:rPr>
                <w:b/>
                <w:spacing w:val="-1"/>
                <w:sz w:val="20"/>
              </w:rPr>
              <w:t> </w:t>
            </w:r>
            <w:r>
              <w:rPr>
                <w:b/>
                <w:sz w:val="20"/>
              </w:rPr>
              <w:t>It</w:t>
            </w:r>
            <w:r>
              <w:rPr>
                <w:b/>
                <w:spacing w:val="-1"/>
                <w:sz w:val="20"/>
              </w:rPr>
              <w:t> </w:t>
            </w:r>
            <w:r>
              <w:rPr>
                <w:b/>
                <w:sz w:val="20"/>
              </w:rPr>
              <w:t>sounds like a Hypothesis as a more general claim or possible conclusion arising from the results.</w:t>
            </w:r>
          </w:p>
          <w:p>
            <w:pPr>
              <w:pStyle w:val="TableParagraph"/>
              <w:spacing w:before="51"/>
              <w:ind w:left="0"/>
              <w:rPr>
                <w:sz w:val="20"/>
              </w:rPr>
            </w:pPr>
          </w:p>
          <w:p>
            <w:pPr>
              <w:pStyle w:val="TableParagraph"/>
              <w:numPr>
                <w:ilvl w:val="0"/>
                <w:numId w:val="2"/>
              </w:numPr>
              <w:tabs>
                <w:tab w:pos="308" w:val="left" w:leader="none"/>
              </w:tabs>
              <w:spacing w:line="210" w:lineRule="exact" w:before="1" w:after="0"/>
              <w:ind w:left="308" w:right="0" w:hanging="200"/>
              <w:jc w:val="left"/>
              <w:rPr>
                <w:b/>
                <w:sz w:val="20"/>
              </w:rPr>
            </w:pPr>
            <w:r>
              <w:rPr>
                <w:b/>
                <w:sz w:val="20"/>
              </w:rPr>
              <w:t>Please</w:t>
            </w:r>
            <w:r>
              <w:rPr>
                <w:b/>
                <w:spacing w:val="-5"/>
                <w:sz w:val="20"/>
              </w:rPr>
              <w:t> </w:t>
            </w:r>
            <w:r>
              <w:rPr>
                <w:b/>
                <w:sz w:val="20"/>
              </w:rPr>
              <w:t>declare</w:t>
            </w:r>
            <w:r>
              <w:rPr>
                <w:b/>
                <w:spacing w:val="-5"/>
                <w:sz w:val="20"/>
              </w:rPr>
              <w:t> </w:t>
            </w:r>
            <w:r>
              <w:rPr>
                <w:b/>
                <w:sz w:val="20"/>
              </w:rPr>
              <w:t>the</w:t>
            </w:r>
            <w:r>
              <w:rPr>
                <w:b/>
                <w:spacing w:val="-4"/>
                <w:sz w:val="20"/>
              </w:rPr>
              <w:t> </w:t>
            </w:r>
            <w:r>
              <w:rPr>
                <w:b/>
                <w:sz w:val="20"/>
              </w:rPr>
              <w:t>strengths</w:t>
            </w:r>
            <w:r>
              <w:rPr>
                <w:b/>
                <w:spacing w:val="-6"/>
                <w:sz w:val="20"/>
              </w:rPr>
              <w:t> </w:t>
            </w:r>
            <w:r>
              <w:rPr>
                <w:b/>
                <w:sz w:val="20"/>
              </w:rPr>
              <w:t>and</w:t>
            </w:r>
            <w:r>
              <w:rPr>
                <w:b/>
                <w:spacing w:val="-5"/>
                <w:sz w:val="20"/>
              </w:rPr>
              <w:t> </w:t>
            </w:r>
            <w:r>
              <w:rPr>
                <w:b/>
                <w:sz w:val="20"/>
              </w:rPr>
              <w:t>the</w:t>
            </w:r>
            <w:r>
              <w:rPr>
                <w:b/>
                <w:spacing w:val="-1"/>
                <w:sz w:val="20"/>
              </w:rPr>
              <w:t> </w:t>
            </w:r>
            <w:r>
              <w:rPr>
                <w:b/>
                <w:sz w:val="20"/>
              </w:rPr>
              <w:t>limitations</w:t>
            </w:r>
            <w:r>
              <w:rPr>
                <w:b/>
                <w:spacing w:val="-6"/>
                <w:sz w:val="20"/>
              </w:rPr>
              <w:t> </w:t>
            </w:r>
            <w:r>
              <w:rPr>
                <w:b/>
                <w:sz w:val="20"/>
              </w:rPr>
              <w:t>of</w:t>
            </w:r>
            <w:r>
              <w:rPr>
                <w:b/>
                <w:spacing w:val="-4"/>
                <w:sz w:val="20"/>
              </w:rPr>
              <w:t> </w:t>
            </w:r>
            <w:r>
              <w:rPr>
                <w:b/>
                <w:sz w:val="20"/>
              </w:rPr>
              <w:t>the</w:t>
            </w:r>
            <w:r>
              <w:rPr>
                <w:b/>
                <w:spacing w:val="-7"/>
                <w:sz w:val="20"/>
              </w:rPr>
              <w:t> </w:t>
            </w:r>
            <w:r>
              <w:rPr>
                <w:b/>
                <w:sz w:val="20"/>
              </w:rPr>
              <w:t>current</w:t>
            </w:r>
            <w:r>
              <w:rPr>
                <w:b/>
                <w:spacing w:val="-4"/>
                <w:sz w:val="20"/>
              </w:rPr>
              <w:t> </w:t>
            </w:r>
            <w:r>
              <w:rPr>
                <w:b/>
                <w:spacing w:val="-2"/>
                <w:sz w:val="20"/>
              </w:rPr>
              <w:t>study.</w:t>
            </w:r>
          </w:p>
        </w:tc>
        <w:tc>
          <w:tcPr>
            <w:tcW w:w="6445" w:type="dxa"/>
          </w:tcPr>
          <w:p>
            <w:pPr>
              <w:pStyle w:val="TableParagraph"/>
              <w:ind w:left="0"/>
              <w:rPr>
                <w:sz w:val="20"/>
              </w:rPr>
            </w:pPr>
          </w:p>
        </w:tc>
      </w:tr>
    </w:tbl>
    <w:p>
      <w:pPr>
        <w:pStyle w:val="BodyText"/>
        <w:rPr>
          <w:sz w:val="20"/>
        </w:rPr>
      </w:pPr>
    </w:p>
    <w:p>
      <w:pPr>
        <w:pStyle w:val="BodyText"/>
        <w:rPr>
          <w:sz w:val="20"/>
        </w:rPr>
      </w:pPr>
    </w:p>
    <w:p>
      <w:pPr>
        <w:pStyle w:val="BodyText"/>
        <w:spacing w:before="10"/>
        <w:rPr>
          <w:sz w:val="20"/>
        </w:rPr>
      </w:pPr>
    </w:p>
    <w:tbl>
      <w:tblPr>
        <w:tblW w:w="0" w:type="auto"/>
        <w:jc w:val="left"/>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831"/>
        <w:gridCol w:w="7166"/>
        <w:gridCol w:w="7155"/>
      </w:tblGrid>
      <w:tr>
        <w:trPr>
          <w:trHeight w:val="523" w:hRule="atLeast"/>
        </w:trPr>
        <w:tc>
          <w:tcPr>
            <w:tcW w:w="21152" w:type="dxa"/>
            <w:gridSpan w:val="3"/>
            <w:tcBorders>
              <w:top w:val="nil"/>
              <w:left w:val="nil"/>
              <w:right w:val="nil"/>
            </w:tcBorders>
          </w:tcPr>
          <w:p>
            <w:pPr>
              <w:pStyle w:val="TableParagraph"/>
              <w:spacing w:line="223" w:lineRule="exact"/>
              <w:ind w:left="112"/>
              <w:rPr>
                <w:rFonts w:ascii="Arial"/>
                <w:b/>
                <w:sz w:val="20"/>
              </w:rPr>
            </w:pPr>
            <w:r>
              <w:rPr>
                <w:rFonts w:ascii="Arial"/>
                <w:b/>
                <w:color w:val="000000"/>
                <w:sz w:val="20"/>
                <w:highlight w:val="yellow"/>
                <w:u w:val="single"/>
              </w:rPr>
              <w:t>PART</w:t>
            </w:r>
            <w:r>
              <w:rPr>
                <w:rFonts w:ascii="Arial"/>
                <w:b/>
                <w:color w:val="000000"/>
                <w:spacing w:val="50"/>
                <w:sz w:val="20"/>
                <w:highlight w:val="yellow"/>
                <w:u w:val="single"/>
              </w:rPr>
              <w:t> </w:t>
            </w:r>
            <w:r>
              <w:rPr>
                <w:rFonts w:ascii="Arial"/>
                <w:b/>
                <w:color w:val="000000"/>
                <w:spacing w:val="-5"/>
                <w:sz w:val="20"/>
                <w:highlight w:val="yellow"/>
                <w:u w:val="single"/>
              </w:rPr>
              <w:t>2:</w:t>
            </w:r>
          </w:p>
        </w:tc>
      </w:tr>
      <w:tr>
        <w:trPr>
          <w:trHeight w:val="906" w:hRule="atLeast"/>
        </w:trPr>
        <w:tc>
          <w:tcPr>
            <w:tcW w:w="6831" w:type="dxa"/>
          </w:tcPr>
          <w:p>
            <w:pPr>
              <w:pStyle w:val="TableParagraph"/>
              <w:ind w:left="0"/>
              <w:rPr>
                <w:sz w:val="20"/>
              </w:rPr>
            </w:pPr>
          </w:p>
        </w:tc>
        <w:tc>
          <w:tcPr>
            <w:tcW w:w="7166" w:type="dxa"/>
          </w:tcPr>
          <w:p>
            <w:pPr>
              <w:pStyle w:val="TableParagraph"/>
              <w:spacing w:line="229" w:lineRule="exact"/>
              <w:rPr>
                <w:rFonts w:ascii="Arial" w:hAnsi="Arial"/>
                <w:b/>
                <w:sz w:val="20"/>
              </w:rPr>
            </w:pPr>
            <w:r>
              <w:rPr>
                <w:rFonts w:ascii="Arial" w:hAnsi="Arial"/>
                <w:b/>
                <w:sz w:val="20"/>
              </w:rPr>
              <w:t>Reviewer’s</w:t>
            </w:r>
            <w:r>
              <w:rPr>
                <w:rFonts w:ascii="Arial" w:hAnsi="Arial"/>
                <w:b/>
                <w:spacing w:val="-13"/>
                <w:sz w:val="20"/>
              </w:rPr>
              <w:t> </w:t>
            </w:r>
            <w:r>
              <w:rPr>
                <w:rFonts w:ascii="Arial" w:hAnsi="Arial"/>
                <w:b/>
                <w:spacing w:val="-2"/>
                <w:sz w:val="20"/>
              </w:rPr>
              <w:t>comment</w:t>
            </w:r>
          </w:p>
        </w:tc>
        <w:tc>
          <w:tcPr>
            <w:tcW w:w="7155" w:type="dxa"/>
          </w:tcPr>
          <w:p>
            <w:pPr>
              <w:pStyle w:val="TableParagraph"/>
              <w:spacing w:line="249" w:lineRule="auto"/>
              <w:ind w:left="5"/>
              <w:rPr>
                <w:rFonts w:ascii="Arial MT" w:hAnsi="Arial MT"/>
                <w:sz w:val="20"/>
              </w:rPr>
            </w:pPr>
            <w:r>
              <w:rPr>
                <w:rFonts w:ascii="Arial" w:hAnsi="Arial"/>
                <w:b/>
                <w:sz w:val="20"/>
              </w:rPr>
              <w:t>Author’s</w:t>
            </w:r>
            <w:r>
              <w:rPr>
                <w:rFonts w:ascii="Arial" w:hAnsi="Arial"/>
                <w:b/>
                <w:spacing w:val="-6"/>
                <w:sz w:val="20"/>
              </w:rPr>
              <w:t> </w:t>
            </w:r>
            <w:r>
              <w:rPr>
                <w:rFonts w:ascii="Arial" w:hAnsi="Arial"/>
                <w:b/>
                <w:sz w:val="20"/>
              </w:rPr>
              <w:t>Feedback</w:t>
            </w:r>
            <w:r>
              <w:rPr>
                <w:rFonts w:ascii="Arial" w:hAnsi="Arial"/>
                <w:b/>
                <w:spacing w:val="-4"/>
                <w:sz w:val="20"/>
              </w:rPr>
              <w:t> </w:t>
            </w:r>
            <w:r>
              <w:rPr>
                <w:rFonts w:ascii="Arial MT" w:hAnsi="Arial MT"/>
                <w:sz w:val="20"/>
              </w:rPr>
              <w:t>(It</w:t>
            </w:r>
            <w:r>
              <w:rPr>
                <w:rFonts w:ascii="Arial MT" w:hAnsi="Arial MT"/>
                <w:spacing w:val="-4"/>
                <w:sz w:val="20"/>
              </w:rPr>
              <w:t> </w:t>
            </w:r>
            <w:r>
              <w:rPr>
                <w:rFonts w:ascii="Arial MT" w:hAnsi="Arial MT"/>
                <w:sz w:val="20"/>
              </w:rPr>
              <w:t>is</w:t>
            </w:r>
            <w:r>
              <w:rPr>
                <w:rFonts w:ascii="Arial MT" w:hAnsi="Arial MT"/>
                <w:spacing w:val="-5"/>
                <w:sz w:val="20"/>
              </w:rPr>
              <w:t> </w:t>
            </w:r>
            <w:r>
              <w:rPr>
                <w:rFonts w:ascii="Arial MT" w:hAnsi="Arial MT"/>
                <w:sz w:val="20"/>
              </w:rPr>
              <w:t>mandatory</w:t>
            </w:r>
            <w:r>
              <w:rPr>
                <w:rFonts w:ascii="Arial MT" w:hAnsi="Arial MT"/>
                <w:spacing w:val="-4"/>
                <w:sz w:val="20"/>
              </w:rPr>
              <w:t> </w:t>
            </w:r>
            <w:r>
              <w:rPr>
                <w:rFonts w:ascii="Arial MT" w:hAnsi="Arial MT"/>
                <w:sz w:val="20"/>
              </w:rPr>
              <w:t>that</w:t>
            </w:r>
            <w:r>
              <w:rPr>
                <w:rFonts w:ascii="Arial MT" w:hAnsi="Arial MT"/>
                <w:spacing w:val="-4"/>
                <w:sz w:val="20"/>
              </w:rPr>
              <w:t> </w:t>
            </w:r>
            <w:r>
              <w:rPr>
                <w:rFonts w:ascii="Arial MT" w:hAnsi="Arial MT"/>
                <w:sz w:val="20"/>
              </w:rPr>
              <w:t>authors</w:t>
            </w:r>
            <w:r>
              <w:rPr>
                <w:rFonts w:ascii="Arial MT" w:hAnsi="Arial MT"/>
                <w:spacing w:val="-5"/>
                <w:sz w:val="20"/>
              </w:rPr>
              <w:t> </w:t>
            </w:r>
            <w:r>
              <w:rPr>
                <w:rFonts w:ascii="Arial MT" w:hAnsi="Arial MT"/>
                <w:sz w:val="20"/>
              </w:rPr>
              <w:t>should</w:t>
            </w:r>
            <w:r>
              <w:rPr>
                <w:rFonts w:ascii="Arial MT" w:hAnsi="Arial MT"/>
                <w:spacing w:val="-6"/>
                <w:sz w:val="20"/>
              </w:rPr>
              <w:t> </w:t>
            </w:r>
            <w:r>
              <w:rPr>
                <w:rFonts w:ascii="Arial MT" w:hAnsi="Arial MT"/>
                <w:sz w:val="20"/>
              </w:rPr>
              <w:t>write</w:t>
            </w:r>
            <w:r>
              <w:rPr>
                <w:rFonts w:ascii="Arial MT" w:hAnsi="Arial MT"/>
                <w:spacing w:val="-4"/>
                <w:sz w:val="20"/>
              </w:rPr>
              <w:t> </w:t>
            </w:r>
            <w:r>
              <w:rPr>
                <w:rFonts w:ascii="Arial MT" w:hAnsi="Arial MT"/>
                <w:sz w:val="20"/>
              </w:rPr>
              <w:t>his/her</w:t>
            </w:r>
            <w:r>
              <w:rPr>
                <w:rFonts w:ascii="Arial MT" w:hAnsi="Arial MT"/>
                <w:spacing w:val="-5"/>
                <w:sz w:val="20"/>
              </w:rPr>
              <w:t> </w:t>
            </w:r>
            <w:r>
              <w:rPr>
                <w:rFonts w:ascii="Arial MT" w:hAnsi="Arial MT"/>
                <w:sz w:val="20"/>
              </w:rPr>
              <w:t>feedback </w:t>
            </w:r>
            <w:r>
              <w:rPr>
                <w:rFonts w:ascii="Arial MT" w:hAnsi="Arial MT"/>
                <w:spacing w:val="-2"/>
                <w:sz w:val="20"/>
              </w:rPr>
              <w:t>here)</w:t>
            </w:r>
          </w:p>
        </w:tc>
      </w:tr>
      <w:tr>
        <w:trPr>
          <w:trHeight w:val="1905" w:hRule="atLeast"/>
        </w:trPr>
        <w:tc>
          <w:tcPr>
            <w:tcW w:w="6831" w:type="dxa"/>
          </w:tcPr>
          <w:p>
            <w:pPr>
              <w:pStyle w:val="TableParagraph"/>
              <w:ind w:left="0"/>
              <w:rPr>
                <w:sz w:val="20"/>
              </w:rPr>
            </w:pPr>
          </w:p>
          <w:p>
            <w:pPr>
              <w:pStyle w:val="TableParagraph"/>
              <w:spacing w:before="228"/>
              <w:ind w:left="0"/>
              <w:rPr>
                <w:sz w:val="20"/>
              </w:rPr>
            </w:pPr>
          </w:p>
          <w:p>
            <w:pPr>
              <w:pStyle w:val="TableParagraph"/>
              <w:ind w:left="107"/>
              <w:rPr>
                <w:rFonts w:ascii="Arial"/>
                <w:b/>
                <w:sz w:val="20"/>
              </w:rPr>
            </w:pPr>
            <w:r>
              <w:rPr>
                <w:rFonts w:ascii="Arial"/>
                <w:b/>
                <w:sz w:val="20"/>
              </w:rPr>
              <w:t>Are</w:t>
            </w:r>
            <w:r>
              <w:rPr>
                <w:rFonts w:ascii="Arial"/>
                <w:b/>
                <w:spacing w:val="-7"/>
                <w:sz w:val="20"/>
              </w:rPr>
              <w:t> </w:t>
            </w:r>
            <w:r>
              <w:rPr>
                <w:rFonts w:ascii="Arial"/>
                <w:b/>
                <w:sz w:val="20"/>
              </w:rPr>
              <w:t>there</w:t>
            </w:r>
            <w:r>
              <w:rPr>
                <w:rFonts w:ascii="Arial"/>
                <w:b/>
                <w:spacing w:val="-6"/>
                <w:sz w:val="20"/>
              </w:rPr>
              <w:t> </w:t>
            </w:r>
            <w:r>
              <w:rPr>
                <w:rFonts w:ascii="Arial"/>
                <w:b/>
                <w:sz w:val="20"/>
              </w:rPr>
              <w:t>ethical</w:t>
            </w:r>
            <w:r>
              <w:rPr>
                <w:rFonts w:ascii="Arial"/>
                <w:b/>
                <w:spacing w:val="-6"/>
                <w:sz w:val="20"/>
              </w:rPr>
              <w:t> </w:t>
            </w:r>
            <w:r>
              <w:rPr>
                <w:rFonts w:ascii="Arial"/>
                <w:b/>
                <w:sz w:val="20"/>
              </w:rPr>
              <w:t>issues</w:t>
            </w:r>
            <w:r>
              <w:rPr>
                <w:rFonts w:ascii="Arial"/>
                <w:b/>
                <w:spacing w:val="-6"/>
                <w:sz w:val="20"/>
              </w:rPr>
              <w:t> </w:t>
            </w:r>
            <w:r>
              <w:rPr>
                <w:rFonts w:ascii="Arial"/>
                <w:b/>
                <w:sz w:val="20"/>
              </w:rPr>
              <w:t>in</w:t>
            </w:r>
            <w:r>
              <w:rPr>
                <w:rFonts w:ascii="Arial"/>
                <w:b/>
                <w:spacing w:val="-5"/>
                <w:sz w:val="20"/>
              </w:rPr>
              <w:t> </w:t>
            </w:r>
            <w:r>
              <w:rPr>
                <w:rFonts w:ascii="Arial"/>
                <w:b/>
                <w:sz w:val="20"/>
              </w:rPr>
              <w:t>this</w:t>
            </w:r>
            <w:r>
              <w:rPr>
                <w:rFonts w:ascii="Arial"/>
                <w:b/>
                <w:spacing w:val="-7"/>
                <w:sz w:val="20"/>
              </w:rPr>
              <w:t> </w:t>
            </w:r>
            <w:r>
              <w:rPr>
                <w:rFonts w:ascii="Arial"/>
                <w:b/>
                <w:spacing w:val="-2"/>
                <w:sz w:val="20"/>
              </w:rPr>
              <w:t>manuscript?</w:t>
            </w:r>
          </w:p>
        </w:tc>
        <w:tc>
          <w:tcPr>
            <w:tcW w:w="7166" w:type="dxa"/>
          </w:tcPr>
          <w:p>
            <w:pPr>
              <w:pStyle w:val="TableParagraph"/>
              <w:ind w:left="0"/>
              <w:rPr>
                <w:sz w:val="20"/>
              </w:rPr>
            </w:pPr>
          </w:p>
          <w:p>
            <w:pPr>
              <w:pStyle w:val="TableParagraph"/>
              <w:spacing w:before="96"/>
              <w:ind w:left="0"/>
              <w:rPr>
                <w:sz w:val="20"/>
              </w:rPr>
            </w:pPr>
          </w:p>
          <w:p>
            <w:pPr>
              <w:pStyle w:val="TableParagraph"/>
              <w:rPr>
                <w:rFonts w:ascii="Arial"/>
                <w:i/>
                <w:sz w:val="20"/>
              </w:rPr>
            </w:pPr>
            <w:r>
              <w:rPr>
                <w:rFonts w:ascii="Arial"/>
                <w:i/>
                <w:sz w:val="20"/>
                <w:u w:val="single"/>
              </w:rPr>
              <w:t>(If</w:t>
            </w:r>
            <w:r>
              <w:rPr>
                <w:rFonts w:ascii="Arial"/>
                <w:i/>
                <w:spacing w:val="-7"/>
                <w:sz w:val="20"/>
                <w:u w:val="single"/>
              </w:rPr>
              <w:t> </w:t>
            </w:r>
            <w:r>
              <w:rPr>
                <w:rFonts w:ascii="Arial"/>
                <w:i/>
                <w:sz w:val="20"/>
                <w:u w:val="single"/>
              </w:rPr>
              <w:t>yes,</w:t>
            </w:r>
            <w:r>
              <w:rPr>
                <w:rFonts w:ascii="Arial"/>
                <w:i/>
                <w:spacing w:val="-6"/>
                <w:sz w:val="20"/>
                <w:u w:val="single"/>
              </w:rPr>
              <w:t> </w:t>
            </w:r>
            <w:r>
              <w:rPr>
                <w:rFonts w:ascii="Arial"/>
                <w:i/>
                <w:sz w:val="20"/>
                <w:u w:val="single"/>
              </w:rPr>
              <w:t>Kindly</w:t>
            </w:r>
            <w:r>
              <w:rPr>
                <w:rFonts w:ascii="Arial"/>
                <w:i/>
                <w:spacing w:val="-6"/>
                <w:sz w:val="20"/>
                <w:u w:val="single"/>
              </w:rPr>
              <w:t> </w:t>
            </w:r>
            <w:r>
              <w:rPr>
                <w:rFonts w:ascii="Arial"/>
                <w:i/>
                <w:sz w:val="20"/>
                <w:u w:val="single"/>
              </w:rPr>
              <w:t>please</w:t>
            </w:r>
            <w:r>
              <w:rPr>
                <w:rFonts w:ascii="Arial"/>
                <w:i/>
                <w:spacing w:val="-6"/>
                <w:sz w:val="20"/>
                <w:u w:val="single"/>
              </w:rPr>
              <w:t> </w:t>
            </w:r>
            <w:r>
              <w:rPr>
                <w:rFonts w:ascii="Arial"/>
                <w:i/>
                <w:sz w:val="20"/>
                <w:u w:val="single"/>
              </w:rPr>
              <w:t>write</w:t>
            </w:r>
            <w:r>
              <w:rPr>
                <w:rFonts w:ascii="Arial"/>
                <w:i/>
                <w:spacing w:val="-5"/>
                <w:sz w:val="20"/>
                <w:u w:val="single"/>
              </w:rPr>
              <w:t> </w:t>
            </w:r>
            <w:r>
              <w:rPr>
                <w:rFonts w:ascii="Arial"/>
                <w:i/>
                <w:sz w:val="20"/>
                <w:u w:val="single"/>
              </w:rPr>
              <w:t>down</w:t>
            </w:r>
            <w:r>
              <w:rPr>
                <w:rFonts w:ascii="Arial"/>
                <w:i/>
                <w:spacing w:val="-4"/>
                <w:sz w:val="20"/>
                <w:u w:val="single"/>
              </w:rPr>
              <w:t> </w:t>
            </w:r>
            <w:r>
              <w:rPr>
                <w:rFonts w:ascii="Arial"/>
                <w:i/>
                <w:sz w:val="20"/>
                <w:u w:val="single"/>
              </w:rPr>
              <w:t>the</w:t>
            </w:r>
            <w:r>
              <w:rPr>
                <w:rFonts w:ascii="Arial"/>
                <w:i/>
                <w:spacing w:val="-6"/>
                <w:sz w:val="20"/>
                <w:u w:val="single"/>
              </w:rPr>
              <w:t> </w:t>
            </w:r>
            <w:r>
              <w:rPr>
                <w:rFonts w:ascii="Arial"/>
                <w:i/>
                <w:sz w:val="20"/>
                <w:u w:val="single"/>
              </w:rPr>
              <w:t>ethical</w:t>
            </w:r>
            <w:r>
              <w:rPr>
                <w:rFonts w:ascii="Arial"/>
                <w:i/>
                <w:spacing w:val="-6"/>
                <w:sz w:val="20"/>
                <w:u w:val="single"/>
              </w:rPr>
              <w:t> </w:t>
            </w:r>
            <w:r>
              <w:rPr>
                <w:rFonts w:ascii="Arial"/>
                <w:i/>
                <w:sz w:val="20"/>
                <w:u w:val="single"/>
              </w:rPr>
              <w:t>issues</w:t>
            </w:r>
            <w:r>
              <w:rPr>
                <w:rFonts w:ascii="Arial"/>
                <w:i/>
                <w:spacing w:val="-5"/>
                <w:sz w:val="20"/>
                <w:u w:val="single"/>
              </w:rPr>
              <w:t> </w:t>
            </w:r>
            <w:r>
              <w:rPr>
                <w:rFonts w:ascii="Arial"/>
                <w:i/>
                <w:sz w:val="20"/>
                <w:u w:val="single"/>
              </w:rPr>
              <w:t>here</w:t>
            </w:r>
            <w:r>
              <w:rPr>
                <w:rFonts w:ascii="Arial"/>
                <w:i/>
                <w:spacing w:val="-6"/>
                <w:sz w:val="20"/>
                <w:u w:val="single"/>
              </w:rPr>
              <w:t> </w:t>
            </w:r>
            <w:r>
              <w:rPr>
                <w:rFonts w:ascii="Arial"/>
                <w:i/>
                <w:sz w:val="20"/>
                <w:u w:val="single"/>
              </w:rPr>
              <w:t>in</w:t>
            </w:r>
            <w:r>
              <w:rPr>
                <w:rFonts w:ascii="Arial"/>
                <w:i/>
                <w:spacing w:val="-5"/>
                <w:sz w:val="20"/>
                <w:u w:val="single"/>
              </w:rPr>
              <w:t> </w:t>
            </w:r>
            <w:r>
              <w:rPr>
                <w:rFonts w:ascii="Arial"/>
                <w:i/>
                <w:spacing w:val="-2"/>
                <w:sz w:val="20"/>
                <w:u w:val="single"/>
              </w:rPr>
              <w:t>details)</w:t>
            </w:r>
          </w:p>
        </w:tc>
        <w:tc>
          <w:tcPr>
            <w:tcW w:w="7155" w:type="dxa"/>
          </w:tcPr>
          <w:p>
            <w:pPr>
              <w:pStyle w:val="TableParagraph"/>
              <w:spacing w:before="268"/>
              <w:ind w:left="0"/>
              <w:rPr>
                <w:sz w:val="24"/>
              </w:rPr>
            </w:pPr>
          </w:p>
          <w:p>
            <w:pPr>
              <w:pStyle w:val="TableParagraph"/>
              <w:ind w:left="5"/>
              <w:rPr>
                <w:sz w:val="24"/>
              </w:rPr>
            </w:pPr>
            <w:r>
              <w:rPr>
                <w:sz w:val="24"/>
              </w:rPr>
              <w:t>This</w:t>
            </w:r>
            <w:r>
              <w:rPr>
                <w:spacing w:val="-3"/>
                <w:sz w:val="24"/>
              </w:rPr>
              <w:t> </w:t>
            </w:r>
            <w:r>
              <w:rPr>
                <w:sz w:val="24"/>
              </w:rPr>
              <w:t>study</w:t>
            </w:r>
            <w:r>
              <w:rPr>
                <w:spacing w:val="-3"/>
                <w:sz w:val="24"/>
              </w:rPr>
              <w:t> </w:t>
            </w:r>
            <w:r>
              <w:rPr>
                <w:sz w:val="24"/>
              </w:rPr>
              <w:t>is</w:t>
            </w:r>
            <w:r>
              <w:rPr>
                <w:spacing w:val="-3"/>
                <w:sz w:val="24"/>
              </w:rPr>
              <w:t> </w:t>
            </w:r>
            <w:r>
              <w:rPr>
                <w:sz w:val="24"/>
              </w:rPr>
              <w:t>based</w:t>
            </w:r>
            <w:r>
              <w:rPr>
                <w:spacing w:val="-3"/>
                <w:sz w:val="24"/>
              </w:rPr>
              <w:t> </w:t>
            </w:r>
            <w:r>
              <w:rPr>
                <w:sz w:val="24"/>
              </w:rPr>
              <w:t>entirely</w:t>
            </w:r>
            <w:r>
              <w:rPr>
                <w:spacing w:val="-3"/>
                <w:sz w:val="24"/>
              </w:rPr>
              <w:t> </w:t>
            </w:r>
            <w:r>
              <w:rPr>
                <w:sz w:val="24"/>
              </w:rPr>
              <w:t>on</w:t>
            </w:r>
            <w:r>
              <w:rPr>
                <w:spacing w:val="-3"/>
                <w:sz w:val="24"/>
              </w:rPr>
              <w:t> </w:t>
            </w:r>
            <w:r>
              <w:rPr>
                <w:sz w:val="24"/>
              </w:rPr>
              <w:t>in</w:t>
            </w:r>
            <w:r>
              <w:rPr>
                <w:spacing w:val="-3"/>
                <w:sz w:val="24"/>
              </w:rPr>
              <w:t> </w:t>
            </w:r>
            <w:r>
              <w:rPr>
                <w:sz w:val="24"/>
              </w:rPr>
              <w:t>silico</w:t>
            </w:r>
            <w:r>
              <w:rPr>
                <w:spacing w:val="-3"/>
                <w:sz w:val="24"/>
              </w:rPr>
              <w:t> </w:t>
            </w:r>
            <w:r>
              <w:rPr>
                <w:sz w:val="24"/>
              </w:rPr>
              <w:t>analyses,</w:t>
            </w:r>
            <w:r>
              <w:rPr>
                <w:spacing w:val="-3"/>
                <w:sz w:val="24"/>
              </w:rPr>
              <w:t> </w:t>
            </w:r>
            <w:r>
              <w:rPr>
                <w:sz w:val="24"/>
              </w:rPr>
              <w:t>and</w:t>
            </w:r>
            <w:r>
              <w:rPr>
                <w:spacing w:val="-3"/>
                <w:sz w:val="24"/>
              </w:rPr>
              <w:t> </w:t>
            </w:r>
            <w:r>
              <w:rPr>
                <w:sz w:val="24"/>
              </w:rPr>
              <w:t>no</w:t>
            </w:r>
            <w:r>
              <w:rPr>
                <w:spacing w:val="-3"/>
                <w:sz w:val="24"/>
              </w:rPr>
              <w:t> </w:t>
            </w:r>
            <w:r>
              <w:rPr>
                <w:sz w:val="24"/>
              </w:rPr>
              <w:t>human</w:t>
            </w:r>
            <w:r>
              <w:rPr>
                <w:spacing w:val="-3"/>
                <w:sz w:val="24"/>
              </w:rPr>
              <w:t> </w:t>
            </w:r>
            <w:r>
              <w:rPr>
                <w:sz w:val="24"/>
              </w:rPr>
              <w:t>or</w:t>
            </w:r>
            <w:r>
              <w:rPr>
                <w:spacing w:val="-3"/>
                <w:sz w:val="24"/>
              </w:rPr>
              <w:t> </w:t>
            </w:r>
            <w:r>
              <w:rPr>
                <w:sz w:val="24"/>
              </w:rPr>
              <w:t>animal samples were used. Therefore, no ethical approval was required.</w:t>
            </w:r>
          </w:p>
        </w:tc>
      </w:tr>
    </w:tbl>
    <w:sectPr>
      <w:type w:val="continuous"/>
      <w:pgSz w:w="23820" w:h="16840" w:orient="landscape"/>
      <w:pgMar w:header="1285" w:footer="694" w:top="1820" w:bottom="88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6752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62940" cy="139065"/>
                      </a:xfrm>
                      <a:prstGeom prst="rect">
                        <a:avLst/>
                      </a:prstGeom>
                    </wps:spPr>
                    <wps:txbx>
                      <w:txbxContent>
                        <w:p>
                          <w:pPr>
                            <w:pStyle w:val="BodyText"/>
                            <w:spacing w:before="14"/>
                            <w:ind w:left="20"/>
                          </w:pPr>
                          <w:r>
                            <w:rPr/>
                            <w:t>Created</w:t>
                          </w:r>
                          <w:r>
                            <w:rPr>
                              <w:spacing w:val="-5"/>
                            </w:rPr>
                            <w:t> </w:t>
                          </w:r>
                          <w:r>
                            <w:rPr/>
                            <w:t>by:</w:t>
                          </w:r>
                          <w:r>
                            <w:rPr>
                              <w:spacing w:val="-2"/>
                            </w:rPr>
                            <w:t> </w:t>
                          </w:r>
                          <w:r>
                            <w:rPr>
                              <w:spacing w:val="-5"/>
                            </w:rPr>
                            <w:t>DR</w:t>
                          </w:r>
                        </w:p>
                      </w:txbxContent>
                    </wps:txbx>
                    <wps:bodyPr wrap="square" lIns="0" tIns="0" rIns="0" bIns="0" rtlCol="0">
                      <a:noAutofit/>
                    </wps:bodyPr>
                  </wps:wsp>
                </a:graphicData>
              </a:graphic>
            </wp:anchor>
          </w:drawing>
        </mc:Choice>
        <mc:Fallback>
          <w:pict>
            <v:shape style="position:absolute;margin-left:71pt;margin-top:796.195435pt;width:52.2pt;height:10.95pt;mso-position-horizontal-relative:page;mso-position-vertical-relative:page;z-index:-15848960" type="#_x0000_t202" id="docshape2" filled="false" stroked="false">
              <v:textbox inset="0,0,0,0">
                <w:txbxContent>
                  <w:p>
                    <w:pPr>
                      <w:pStyle w:val="BodyText"/>
                      <w:spacing w:before="14"/>
                      <w:ind w:left="20"/>
                    </w:pPr>
                    <w:r>
                      <w:rPr/>
                      <w:t>Created</w:t>
                    </w:r>
                    <w:r>
                      <w:rPr>
                        <w:spacing w:val="-5"/>
                      </w:rPr>
                      <w:t> </w:t>
                    </w:r>
                    <w:r>
                      <w:rPr/>
                      <w:t>by:</w:t>
                    </w:r>
                    <w:r>
                      <w:rPr>
                        <w:spacing w:val="-2"/>
                      </w:rPr>
                      <w:t> </w:t>
                    </w:r>
                    <w:r>
                      <w:rPr>
                        <w:spacing w:val="-5"/>
                      </w:rPr>
                      <w:t>DR</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68032">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707390" cy="139065"/>
                      </a:xfrm>
                      <a:prstGeom prst="rect">
                        <a:avLst/>
                      </a:prstGeom>
                    </wps:spPr>
                    <wps:txbx>
                      <w:txbxContent>
                        <w:p>
                          <w:pPr>
                            <w:pStyle w:val="BodyText"/>
                            <w:spacing w:before="14"/>
                            <w:ind w:left="20"/>
                          </w:pPr>
                          <w:r>
                            <w:rPr/>
                            <w:t>Checked</w:t>
                          </w:r>
                          <w:r>
                            <w:rPr>
                              <w:spacing w:val="-8"/>
                            </w:rPr>
                            <w:t> </w:t>
                          </w:r>
                          <w:r>
                            <w:rPr/>
                            <w:t>by:</w:t>
                          </w:r>
                          <w:r>
                            <w:rPr>
                              <w:spacing w:val="-4"/>
                            </w:rPr>
                            <w:t> </w:t>
                          </w:r>
                          <w:r>
                            <w:rPr>
                              <w:spacing w:val="-5"/>
                            </w:rPr>
                            <w:t>PM</w:t>
                          </w:r>
                        </w:p>
                      </w:txbxContent>
                    </wps:txbx>
                    <wps:bodyPr wrap="square" lIns="0" tIns="0" rIns="0" bIns="0" rtlCol="0">
                      <a:noAutofit/>
                    </wps:bodyPr>
                  </wps:wsp>
                </a:graphicData>
              </a:graphic>
            </wp:anchor>
          </w:drawing>
        </mc:Choice>
        <mc:Fallback>
          <w:pict>
            <v:shape style="position:absolute;margin-left:207.940002pt;margin-top:796.195435pt;width:55.7pt;height:10.95pt;mso-position-horizontal-relative:page;mso-position-vertical-relative:page;z-index:-15848448" type="#_x0000_t202" id="docshape3" filled="false" stroked="false">
              <v:textbox inset="0,0,0,0">
                <w:txbxContent>
                  <w:p>
                    <w:pPr>
                      <w:pStyle w:val="BodyText"/>
                      <w:spacing w:before="14"/>
                      <w:ind w:left="20"/>
                    </w:pPr>
                    <w:r>
                      <w:rPr/>
                      <w:t>Checked</w:t>
                    </w:r>
                    <w:r>
                      <w:rPr>
                        <w:spacing w:val="-8"/>
                      </w:rPr>
                      <w:t> </w:t>
                    </w:r>
                    <w:r>
                      <w:rPr/>
                      <w:t>by:</w:t>
                    </w:r>
                    <w:r>
                      <w:rPr>
                        <w:spacing w:val="-4"/>
                      </w:rPr>
                      <w:t> </w:t>
                    </w:r>
                    <w:r>
                      <w:rPr>
                        <w:spacing w:val="-5"/>
                      </w:rPr>
                      <w:t>PM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6854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861060" cy="139065"/>
                      </a:xfrm>
                      <a:prstGeom prst="rect">
                        <a:avLst/>
                      </a:prstGeom>
                    </wps:spPr>
                    <wps:txbx>
                      <w:txbxContent>
                        <w:p>
                          <w:pPr>
                            <w:pStyle w:val="BodyText"/>
                            <w:spacing w:before="14"/>
                            <w:ind w:left="20"/>
                          </w:pPr>
                          <w:r>
                            <w:rPr/>
                            <w:t>Approved</w:t>
                          </w:r>
                          <w:r>
                            <w:rPr>
                              <w:spacing w:val="-6"/>
                            </w:rPr>
                            <w:t> </w:t>
                          </w:r>
                          <w:r>
                            <w:rPr/>
                            <w:t>by:</w:t>
                          </w:r>
                          <w:r>
                            <w:rPr>
                              <w:spacing w:val="-6"/>
                            </w:rPr>
                            <w:t> </w:t>
                          </w:r>
                          <w:r>
                            <w:rPr>
                              <w:spacing w:val="-5"/>
                            </w:rPr>
                            <w:t>MBM</w:t>
                          </w:r>
                        </w:p>
                      </w:txbxContent>
                    </wps:txbx>
                    <wps:bodyPr wrap="square" lIns="0" tIns="0" rIns="0" bIns="0" rtlCol="0">
                      <a:noAutofit/>
                    </wps:bodyPr>
                  </wps:wsp>
                </a:graphicData>
              </a:graphic>
            </wp:anchor>
          </w:drawing>
        </mc:Choice>
        <mc:Fallback>
          <w:pict>
            <v:shape style="position:absolute;margin-left:347.73999pt;margin-top:796.195435pt;width:67.8pt;height:10.95pt;mso-position-horizontal-relative:page;mso-position-vertical-relative:page;z-index:-15847936" type="#_x0000_t202" id="docshape4" filled="false" stroked="false">
              <v:textbox inset="0,0,0,0">
                <w:txbxContent>
                  <w:p>
                    <w:pPr>
                      <w:pStyle w:val="BodyText"/>
                      <w:spacing w:before="14"/>
                      <w:ind w:left="20"/>
                    </w:pPr>
                    <w:r>
                      <w:rPr/>
                      <w:t>Approved</w:t>
                    </w:r>
                    <w:r>
                      <w:rPr>
                        <w:spacing w:val="-6"/>
                      </w:rPr>
                      <w:t> </w:t>
                    </w:r>
                    <w:r>
                      <w:rPr/>
                      <w:t>by:</w:t>
                    </w:r>
                    <w:r>
                      <w:rPr>
                        <w:spacing w:val="-6"/>
                      </w:rPr>
                      <w:t> </w:t>
                    </w:r>
                    <w:r>
                      <w:rPr>
                        <w:spacing w:val="-5"/>
                      </w:rPr>
                      <w:t>MBM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69056">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021715" cy="139065"/>
                      </a:xfrm>
                      <a:prstGeom prst="rect">
                        <a:avLst/>
                      </a:prstGeom>
                    </wps:spPr>
                    <wps:txbx>
                      <w:txbxContent>
                        <w:p>
                          <w:pPr>
                            <w:pStyle w:val="BodyText"/>
                            <w:spacing w:before="14"/>
                            <w:ind w:left="20"/>
                          </w:pPr>
                          <w:r>
                            <w:rPr/>
                            <w:t>Version:</w:t>
                          </w:r>
                          <w:r>
                            <w:rPr>
                              <w:spacing w:val="-6"/>
                            </w:rPr>
                            <w:t> </w:t>
                          </w:r>
                          <w:r>
                            <w:rPr/>
                            <w:t>3</w:t>
                          </w:r>
                          <w:r>
                            <w:rPr>
                              <w:spacing w:val="-5"/>
                            </w:rPr>
                            <w:t> </w:t>
                          </w:r>
                          <w:r>
                            <w:rPr/>
                            <w:t>(07-07-</w:t>
                          </w:r>
                          <w:r>
                            <w:rPr>
                              <w:spacing w:val="-2"/>
                            </w:rPr>
                            <w:t>2024)</w:t>
                          </w:r>
                        </w:p>
                      </w:txbxContent>
                    </wps:txbx>
                    <wps:bodyPr wrap="square" lIns="0" tIns="0" rIns="0" bIns="0" rtlCol="0">
                      <a:noAutofit/>
                    </wps:bodyPr>
                  </wps:wsp>
                </a:graphicData>
              </a:graphic>
            </wp:anchor>
          </w:drawing>
        </mc:Choice>
        <mc:Fallback>
          <w:pict>
            <v:shape style="position:absolute;margin-left:539.049988pt;margin-top:796.195435pt;width:80.45pt;height:10.95pt;mso-position-horizontal-relative:page;mso-position-vertical-relative:page;z-index:-15847424" type="#_x0000_t202" id="docshape5" filled="false" stroked="false">
              <v:textbox inset="0,0,0,0">
                <w:txbxContent>
                  <w:p>
                    <w:pPr>
                      <w:pStyle w:val="BodyText"/>
                      <w:spacing w:before="14"/>
                      <w:ind w:left="20"/>
                    </w:pPr>
                    <w:r>
                      <w:rPr/>
                      <w:t>Version:</w:t>
                    </w:r>
                    <w:r>
                      <w:rPr>
                        <w:spacing w:val="-6"/>
                      </w:rPr>
                      <w:t> </w:t>
                    </w:r>
                    <w:r>
                      <w:rPr/>
                      <w:t>3</w:t>
                    </w:r>
                    <w:r>
                      <w:rPr>
                        <w:spacing w:val="-5"/>
                      </w:rPr>
                      <w:t> </w:t>
                    </w:r>
                    <w:r>
                      <w:rPr/>
                      <w:t>(07-07-</w:t>
                    </w:r>
                    <w:r>
                      <w:rPr>
                        <w:spacing w:val="-2"/>
                      </w:rPr>
                      <w:t>2024)</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6700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102995" cy="196215"/>
                      </a:xfrm>
                      <a:prstGeom prst="rect">
                        <a:avLst/>
                      </a:prstGeom>
                    </wps:spPr>
                    <wps:txbx>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9"/>
                              <w:sz w:val="24"/>
                              <w:u w:val="single" w:color="003399"/>
                            </w:rPr>
                            <w:t> </w:t>
                          </w:r>
                          <w:r>
                            <w:rPr>
                              <w:rFonts w:ascii="Arial"/>
                              <w:b/>
                              <w:color w:val="003399"/>
                              <w:sz w:val="24"/>
                              <w:u w:val="single" w:color="003399"/>
                            </w:rPr>
                            <w:t>Form</w:t>
                          </w:r>
                          <w:r>
                            <w:rPr>
                              <w:rFonts w:ascii="Arial"/>
                              <w:b/>
                              <w:color w:val="003399"/>
                              <w:spacing w:val="-4"/>
                              <w:sz w:val="24"/>
                              <w:u w:val="single" w:color="003399"/>
                            </w:rPr>
                            <w:t>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pt;margin-top:63.256702pt;width:86.85pt;height:15.45pt;mso-position-horizontal-relative:page;mso-position-vertical-relative:page;z-index:-15849472" type="#_x0000_t202" id="docshape1" filled="false" stroked="false">
              <v:textbox inset="0,0,0,0">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9"/>
                        <w:sz w:val="24"/>
                        <w:u w:val="single" w:color="003399"/>
                      </w:rPr>
                      <w:t> </w:t>
                    </w:r>
                    <w:r>
                      <w:rPr>
                        <w:rFonts w:ascii="Arial"/>
                        <w:b/>
                        <w:color w:val="003399"/>
                        <w:sz w:val="24"/>
                        <w:u w:val="single" w:color="003399"/>
                      </w:rPr>
                      <w:t>Form</w:t>
                    </w:r>
                    <w:r>
                      <w:rPr>
                        <w:rFonts w:ascii="Arial"/>
                        <w:b/>
                        <w:color w:val="003399"/>
                        <w:spacing w:val="-4"/>
                        <w:sz w:val="24"/>
                        <w:u w:val="single" w:color="003399"/>
                      </w:rPr>
                      <w:t> </w:t>
                    </w:r>
                    <w:r>
                      <w:rPr>
                        <w:rFonts w:ascii="Arial"/>
                        <w:b/>
                        <w:color w:val="003399"/>
                        <w:spacing w:val="-10"/>
                        <w:sz w:val="24"/>
                        <w:u w:val="single" w:color="003399"/>
                      </w:rPr>
                      <w:t>3</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08" w:hanging="201"/>
        <w:jc w:val="left"/>
      </w:pPr>
      <w:rPr>
        <w:rFonts w:hint="default" w:ascii="Times New Roman" w:hAnsi="Times New Roman" w:eastAsia="Times New Roman" w:cs="Times New Roman"/>
        <w:b/>
        <w:bCs/>
        <w:i w:val="0"/>
        <w:iCs w:val="0"/>
        <w:spacing w:val="0"/>
        <w:w w:val="99"/>
        <w:sz w:val="20"/>
        <w:szCs w:val="20"/>
        <w:lang w:val="en-US" w:eastAsia="en-US" w:bidi="ar-SA"/>
      </w:rPr>
    </w:lvl>
    <w:lvl w:ilvl="1">
      <w:start w:val="0"/>
      <w:numFmt w:val="bullet"/>
      <w:lvlText w:val="•"/>
      <w:lvlJc w:val="left"/>
      <w:pPr>
        <w:ind w:left="1024" w:hanging="201"/>
      </w:pPr>
      <w:rPr>
        <w:rFonts w:hint="default"/>
        <w:lang w:val="en-US" w:eastAsia="en-US" w:bidi="ar-SA"/>
      </w:rPr>
    </w:lvl>
    <w:lvl w:ilvl="2">
      <w:start w:val="0"/>
      <w:numFmt w:val="bullet"/>
      <w:lvlText w:val="•"/>
      <w:lvlJc w:val="left"/>
      <w:pPr>
        <w:ind w:left="1949" w:hanging="201"/>
      </w:pPr>
      <w:rPr>
        <w:rFonts w:hint="default"/>
        <w:lang w:val="en-US" w:eastAsia="en-US" w:bidi="ar-SA"/>
      </w:rPr>
    </w:lvl>
    <w:lvl w:ilvl="3">
      <w:start w:val="0"/>
      <w:numFmt w:val="bullet"/>
      <w:lvlText w:val="•"/>
      <w:lvlJc w:val="left"/>
      <w:pPr>
        <w:ind w:left="2873" w:hanging="201"/>
      </w:pPr>
      <w:rPr>
        <w:rFonts w:hint="default"/>
        <w:lang w:val="en-US" w:eastAsia="en-US" w:bidi="ar-SA"/>
      </w:rPr>
    </w:lvl>
    <w:lvl w:ilvl="4">
      <w:start w:val="0"/>
      <w:numFmt w:val="bullet"/>
      <w:lvlText w:val="•"/>
      <w:lvlJc w:val="left"/>
      <w:pPr>
        <w:ind w:left="3798" w:hanging="201"/>
      </w:pPr>
      <w:rPr>
        <w:rFonts w:hint="default"/>
        <w:lang w:val="en-US" w:eastAsia="en-US" w:bidi="ar-SA"/>
      </w:rPr>
    </w:lvl>
    <w:lvl w:ilvl="5">
      <w:start w:val="0"/>
      <w:numFmt w:val="bullet"/>
      <w:lvlText w:val="•"/>
      <w:lvlJc w:val="left"/>
      <w:pPr>
        <w:ind w:left="4723" w:hanging="201"/>
      </w:pPr>
      <w:rPr>
        <w:rFonts w:hint="default"/>
        <w:lang w:val="en-US" w:eastAsia="en-US" w:bidi="ar-SA"/>
      </w:rPr>
    </w:lvl>
    <w:lvl w:ilvl="6">
      <w:start w:val="0"/>
      <w:numFmt w:val="bullet"/>
      <w:lvlText w:val="•"/>
      <w:lvlJc w:val="left"/>
      <w:pPr>
        <w:ind w:left="5647" w:hanging="201"/>
      </w:pPr>
      <w:rPr>
        <w:rFonts w:hint="default"/>
        <w:lang w:val="en-US" w:eastAsia="en-US" w:bidi="ar-SA"/>
      </w:rPr>
    </w:lvl>
    <w:lvl w:ilvl="7">
      <w:start w:val="0"/>
      <w:numFmt w:val="bullet"/>
      <w:lvlText w:val="•"/>
      <w:lvlJc w:val="left"/>
      <w:pPr>
        <w:ind w:left="6572" w:hanging="201"/>
      </w:pPr>
      <w:rPr>
        <w:rFonts w:hint="default"/>
        <w:lang w:val="en-US" w:eastAsia="en-US" w:bidi="ar-SA"/>
      </w:rPr>
    </w:lvl>
    <w:lvl w:ilvl="8">
      <w:start w:val="0"/>
      <w:numFmt w:val="bullet"/>
      <w:lvlText w:val="•"/>
      <w:lvlJc w:val="left"/>
      <w:pPr>
        <w:ind w:left="7496" w:hanging="201"/>
      </w:pPr>
      <w:rPr>
        <w:rFonts w:hint="default"/>
        <w:lang w:val="en-US" w:eastAsia="en-US" w:bidi="ar-SA"/>
      </w:rPr>
    </w:lvl>
  </w:abstractNum>
  <w:abstractNum w:abstractNumId="0">
    <w:multiLevelType w:val="hybridMultilevel"/>
    <w:lvl w:ilvl="0">
      <w:start w:val="1"/>
      <w:numFmt w:val="decimal"/>
      <w:lvlText w:val="%1."/>
      <w:lvlJc w:val="left"/>
      <w:pPr>
        <w:ind w:left="108" w:hanging="201"/>
        <w:jc w:val="left"/>
      </w:pPr>
      <w:rPr>
        <w:rFonts w:hint="default" w:ascii="Times New Roman" w:hAnsi="Times New Roman" w:eastAsia="Times New Roman" w:cs="Times New Roman"/>
        <w:b w:val="0"/>
        <w:bCs w:val="0"/>
        <w:i w:val="0"/>
        <w:iCs w:val="0"/>
        <w:spacing w:val="0"/>
        <w:w w:val="99"/>
        <w:sz w:val="20"/>
        <w:szCs w:val="20"/>
        <w:lang w:val="en-US" w:eastAsia="en-US" w:bidi="ar-SA"/>
      </w:rPr>
    </w:lvl>
    <w:lvl w:ilvl="1">
      <w:start w:val="0"/>
      <w:numFmt w:val="bullet"/>
      <w:lvlText w:val="•"/>
      <w:lvlJc w:val="left"/>
      <w:pPr>
        <w:ind w:left="1024" w:hanging="201"/>
      </w:pPr>
      <w:rPr>
        <w:rFonts w:hint="default"/>
        <w:lang w:val="en-US" w:eastAsia="en-US" w:bidi="ar-SA"/>
      </w:rPr>
    </w:lvl>
    <w:lvl w:ilvl="2">
      <w:start w:val="0"/>
      <w:numFmt w:val="bullet"/>
      <w:lvlText w:val="•"/>
      <w:lvlJc w:val="left"/>
      <w:pPr>
        <w:ind w:left="1949" w:hanging="201"/>
      </w:pPr>
      <w:rPr>
        <w:rFonts w:hint="default"/>
        <w:lang w:val="en-US" w:eastAsia="en-US" w:bidi="ar-SA"/>
      </w:rPr>
    </w:lvl>
    <w:lvl w:ilvl="3">
      <w:start w:val="0"/>
      <w:numFmt w:val="bullet"/>
      <w:lvlText w:val="•"/>
      <w:lvlJc w:val="left"/>
      <w:pPr>
        <w:ind w:left="2873" w:hanging="201"/>
      </w:pPr>
      <w:rPr>
        <w:rFonts w:hint="default"/>
        <w:lang w:val="en-US" w:eastAsia="en-US" w:bidi="ar-SA"/>
      </w:rPr>
    </w:lvl>
    <w:lvl w:ilvl="4">
      <w:start w:val="0"/>
      <w:numFmt w:val="bullet"/>
      <w:lvlText w:val="•"/>
      <w:lvlJc w:val="left"/>
      <w:pPr>
        <w:ind w:left="3798" w:hanging="201"/>
      </w:pPr>
      <w:rPr>
        <w:rFonts w:hint="default"/>
        <w:lang w:val="en-US" w:eastAsia="en-US" w:bidi="ar-SA"/>
      </w:rPr>
    </w:lvl>
    <w:lvl w:ilvl="5">
      <w:start w:val="0"/>
      <w:numFmt w:val="bullet"/>
      <w:lvlText w:val="•"/>
      <w:lvlJc w:val="left"/>
      <w:pPr>
        <w:ind w:left="4723" w:hanging="201"/>
      </w:pPr>
      <w:rPr>
        <w:rFonts w:hint="default"/>
        <w:lang w:val="en-US" w:eastAsia="en-US" w:bidi="ar-SA"/>
      </w:rPr>
    </w:lvl>
    <w:lvl w:ilvl="6">
      <w:start w:val="0"/>
      <w:numFmt w:val="bullet"/>
      <w:lvlText w:val="•"/>
      <w:lvlJc w:val="left"/>
      <w:pPr>
        <w:ind w:left="5647" w:hanging="201"/>
      </w:pPr>
      <w:rPr>
        <w:rFonts w:hint="default"/>
        <w:lang w:val="en-US" w:eastAsia="en-US" w:bidi="ar-SA"/>
      </w:rPr>
    </w:lvl>
    <w:lvl w:ilvl="7">
      <w:start w:val="0"/>
      <w:numFmt w:val="bullet"/>
      <w:lvlText w:val="•"/>
      <w:lvlJc w:val="left"/>
      <w:pPr>
        <w:ind w:left="6572" w:hanging="201"/>
      </w:pPr>
      <w:rPr>
        <w:rFonts w:hint="default"/>
        <w:lang w:val="en-US" w:eastAsia="en-US" w:bidi="ar-SA"/>
      </w:rPr>
    </w:lvl>
    <w:lvl w:ilvl="8">
      <w:start w:val="0"/>
      <w:numFmt w:val="bullet"/>
      <w:lvlText w:val="•"/>
      <w:lvlJc w:val="left"/>
      <w:pPr>
        <w:ind w:left="7496" w:hanging="2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16"/>
      <w:szCs w:val="16"/>
      <w:lang w:val="en-US" w:eastAsia="en-US" w:bidi="ar-SA"/>
    </w:rPr>
  </w:style>
  <w:style w:styleId="Title" w:type="paragraph">
    <w:name w:val="Title"/>
    <w:basedOn w:val="Normal"/>
    <w:uiPriority w:val="1"/>
    <w:qFormat/>
    <w:pPr>
      <w:spacing w:before="12"/>
      <w:ind w:left="20"/>
    </w:pPr>
    <w:rPr>
      <w:rFonts w:ascii="Arial" w:hAnsi="Arial" w:eastAsia="Arial" w:cs="Arial"/>
      <w:b/>
      <w:bCs/>
      <w:sz w:val="24"/>
      <w:szCs w:val="24"/>
      <w:u w:val="single" w:color="00000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ind w:left="108"/>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journalajbgmb.com/index.php/AJBGMB" TargetMode="External"/><Relationship Id="rId8" Type="http://schemas.openxmlformats.org/officeDocument/2006/relationships/hyperlink" Target="http://www.uicc.org/news/globocan-2020-new-global-cancer-data"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terms:created xsi:type="dcterms:W3CDTF">2025-09-22T11:25:52Z</dcterms:created>
  <dcterms:modified xsi:type="dcterms:W3CDTF">2025-09-22T11:25:52Z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2025-09-20T00:00:00Z</vt:filetime>
  </property>
  <property fmtid="{D5CDD505-2E9C-101B-9397-08002B2CF9AE}" pid="3" name="Creator">
    <vt:lpwstr>Microsoft® Word LTSC</vt:lpwstr>
  </property>
  <property fmtid="{D5CDD505-2E9C-101B-9397-08002B2CF9AE}" pid="4" name="LastSaved">
    <vt:filetime>2025-09-22T00:00:00Z</vt:filetime>
  </property>
  <property fmtid="{D5CDD505-2E9C-101B-9397-08002B2CF9AE}" pid="5" name="Producer">
    <vt:lpwstr>Microsoft® Word LTSC</vt:lpwstr>
  </property>
</Properties>
</file>