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AB60E7" w14:paraId="509B9161" w14:textId="77777777" w:rsidTr="00A00311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54F5C7B" w14:textId="77777777" w:rsidR="00602F7D" w:rsidRPr="00AB60E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AB60E7" w14:paraId="15E3831F" w14:textId="77777777" w:rsidTr="00A00311">
        <w:trPr>
          <w:trHeight w:val="290"/>
        </w:trPr>
        <w:tc>
          <w:tcPr>
            <w:tcW w:w="1234" w:type="pct"/>
          </w:tcPr>
          <w:p w14:paraId="7B252701" w14:textId="77777777" w:rsidR="0000007A" w:rsidRPr="00AB60E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60E7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56395D" w14:textId="77777777" w:rsidR="0000007A" w:rsidRPr="00AB60E7" w:rsidRDefault="00C47F98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8C4A24" w:rsidRPr="00AB60E7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Advances in Research</w:t>
              </w:r>
            </w:hyperlink>
            <w:r w:rsidR="008C4A24" w:rsidRPr="00AB60E7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AB60E7" w14:paraId="224E80E5" w14:textId="77777777" w:rsidTr="00A00311">
        <w:trPr>
          <w:trHeight w:val="290"/>
        </w:trPr>
        <w:tc>
          <w:tcPr>
            <w:tcW w:w="1234" w:type="pct"/>
          </w:tcPr>
          <w:p w14:paraId="542A0A09" w14:textId="77777777" w:rsidR="0000007A" w:rsidRPr="00AB60E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60E7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FE9F0" w14:textId="77777777" w:rsidR="0000007A" w:rsidRPr="00AB60E7" w:rsidRDefault="009F5C50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B60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Ms_AIR_145572</w:t>
            </w:r>
          </w:p>
        </w:tc>
      </w:tr>
      <w:tr w:rsidR="0000007A" w:rsidRPr="00AB60E7" w14:paraId="47E96F23" w14:textId="77777777" w:rsidTr="00A00311">
        <w:trPr>
          <w:trHeight w:val="650"/>
        </w:trPr>
        <w:tc>
          <w:tcPr>
            <w:tcW w:w="1234" w:type="pct"/>
          </w:tcPr>
          <w:p w14:paraId="38B38977" w14:textId="77777777" w:rsidR="0000007A" w:rsidRPr="00AB60E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60E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D5D84" w14:textId="77777777" w:rsidR="0000007A" w:rsidRPr="00AB60E7" w:rsidRDefault="009F5C50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B60E7">
              <w:rPr>
                <w:rFonts w:ascii="Arial" w:hAnsi="Arial" w:cs="Arial"/>
                <w:b/>
                <w:sz w:val="20"/>
                <w:szCs w:val="20"/>
                <w:lang w:val="en-GB"/>
              </w:rPr>
              <w:t>Right Heart Failure Due to Pulmonary Embolism in Patients Treated in Emergency Services: A Systematic Review</w:t>
            </w:r>
          </w:p>
        </w:tc>
      </w:tr>
      <w:tr w:rsidR="00CF0BBB" w:rsidRPr="00AB60E7" w14:paraId="61C61553" w14:textId="77777777" w:rsidTr="00A00311">
        <w:trPr>
          <w:trHeight w:val="332"/>
        </w:trPr>
        <w:tc>
          <w:tcPr>
            <w:tcW w:w="1234" w:type="pct"/>
          </w:tcPr>
          <w:p w14:paraId="615977EA" w14:textId="77777777" w:rsidR="00CF0BBB" w:rsidRPr="00AB60E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60E7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5A42EB" w14:textId="77777777" w:rsidR="00CF0BBB" w:rsidRPr="00AB60E7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72CF6D5" w14:textId="77777777" w:rsidR="00037D52" w:rsidRPr="00AB60E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63A9C8A" w14:textId="3E167394" w:rsidR="004B5D26" w:rsidRPr="00AB60E7" w:rsidRDefault="004B5D26" w:rsidP="004B5D26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4B5D26" w:rsidRPr="00AB60E7" w14:paraId="3A4900CF" w14:textId="77777777" w:rsidTr="003D0C38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1940931" w14:textId="77777777" w:rsidR="004B5D26" w:rsidRPr="00AB60E7" w:rsidRDefault="004B5D2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B60E7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AB60E7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773152F9" w14:textId="77777777" w:rsidR="004B5D26" w:rsidRPr="00AB60E7" w:rsidRDefault="004B5D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B5D26" w:rsidRPr="00AB60E7" w14:paraId="6E8979CC" w14:textId="77777777" w:rsidTr="003D0C38">
        <w:tc>
          <w:tcPr>
            <w:tcW w:w="1265" w:type="pct"/>
            <w:noWrap/>
          </w:tcPr>
          <w:p w14:paraId="1DB0E3B0" w14:textId="77777777" w:rsidR="004B5D26" w:rsidRPr="00AB60E7" w:rsidRDefault="004B5D2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261B8C4A" w14:textId="77777777" w:rsidR="004B5D26" w:rsidRPr="00AB60E7" w:rsidRDefault="004B5D2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B60E7">
              <w:rPr>
                <w:rFonts w:ascii="Arial" w:hAnsi="Arial" w:cs="Arial"/>
                <w:lang w:val="en-GB"/>
              </w:rPr>
              <w:t>Reviewer’s comment</w:t>
            </w:r>
          </w:p>
          <w:p w14:paraId="09E1B2F3" w14:textId="77777777" w:rsidR="00EB6F83" w:rsidRPr="00AB60E7" w:rsidRDefault="00EB6F83" w:rsidP="00EB6F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60E7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329AD35E" w14:textId="77777777" w:rsidR="00EB6F83" w:rsidRPr="00AB60E7" w:rsidRDefault="00EB6F83" w:rsidP="00EB6F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8AB94BD" w14:textId="77777777" w:rsidR="00F032A6" w:rsidRPr="00AB60E7" w:rsidRDefault="00F032A6" w:rsidP="00F032A6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B60E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B60E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975FD76" w14:textId="77777777" w:rsidR="004B5D26" w:rsidRPr="00AB60E7" w:rsidRDefault="004B5D2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4B5D26" w:rsidRPr="00AB60E7" w14:paraId="6B455F8A" w14:textId="77777777" w:rsidTr="003D0C38">
        <w:trPr>
          <w:trHeight w:val="1264"/>
        </w:trPr>
        <w:tc>
          <w:tcPr>
            <w:tcW w:w="1265" w:type="pct"/>
            <w:noWrap/>
          </w:tcPr>
          <w:p w14:paraId="2B127076" w14:textId="77777777" w:rsidR="004B5D26" w:rsidRPr="00AB60E7" w:rsidRDefault="004B5D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B60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7D71212D" w14:textId="77777777" w:rsidR="004B5D26" w:rsidRPr="00AB60E7" w:rsidRDefault="004B5D26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D3CEBDE" w14:textId="77777777" w:rsidR="00A00311" w:rsidRPr="00AB60E7" w:rsidRDefault="00A00311" w:rsidP="00A00311">
            <w:pPr>
              <w:pStyle w:val="p1"/>
              <w:rPr>
                <w:rFonts w:ascii="Arial" w:hAnsi="Arial" w:cs="Arial"/>
                <w:sz w:val="20"/>
                <w:szCs w:val="20"/>
              </w:rPr>
            </w:pPr>
            <w:r w:rsidRPr="00AB60E7">
              <w:rPr>
                <w:rStyle w:val="s1"/>
                <w:rFonts w:ascii="Arial" w:hAnsi="Arial" w:cs="Arial"/>
                <w:sz w:val="20"/>
                <w:szCs w:val="20"/>
              </w:rPr>
              <w:t xml:space="preserve">This manuscript holds significant importance for the scientific and medical community as it consolidates recent evidence on </w:t>
            </w:r>
            <w:r w:rsidRPr="00AB60E7">
              <w:rPr>
                <w:rStyle w:val="s2"/>
                <w:rFonts w:ascii="Arial" w:hAnsi="Arial" w:cs="Arial"/>
                <w:sz w:val="20"/>
                <w:szCs w:val="20"/>
              </w:rPr>
              <w:t>right heart failure secondary to pulmonary embolism</w:t>
            </w:r>
            <w:r w:rsidRPr="00AB60E7">
              <w:rPr>
                <w:rStyle w:val="s1"/>
                <w:rFonts w:ascii="Arial" w:hAnsi="Arial" w:cs="Arial"/>
                <w:sz w:val="20"/>
                <w:szCs w:val="20"/>
              </w:rPr>
              <w:t xml:space="preserve">, a critical and often fatal condition frequently encountered in emergency settings. By systematically analyzing diagnostic tools such as echocardiography, computed tomography, and biomarkers, the study enhances understanding of </w:t>
            </w:r>
            <w:r w:rsidRPr="00AB60E7">
              <w:rPr>
                <w:rStyle w:val="s2"/>
                <w:rFonts w:ascii="Arial" w:hAnsi="Arial" w:cs="Arial"/>
                <w:sz w:val="20"/>
                <w:szCs w:val="20"/>
              </w:rPr>
              <w:t>risk stratification and early prognostic assessment</w:t>
            </w:r>
            <w:r w:rsidRPr="00AB60E7">
              <w:rPr>
                <w:rStyle w:val="s1"/>
                <w:rFonts w:ascii="Arial" w:hAnsi="Arial" w:cs="Arial"/>
                <w:sz w:val="20"/>
                <w:szCs w:val="20"/>
              </w:rPr>
              <w:t xml:space="preserve"> in these patients. Furthermore, it highlights the current gaps in therapeutic management—particularly regarding thrombolytic use and advanced circulatory support—thereby guiding future </w:t>
            </w:r>
            <w:r w:rsidRPr="00AB60E7">
              <w:rPr>
                <w:rStyle w:val="s2"/>
                <w:rFonts w:ascii="Arial" w:hAnsi="Arial" w:cs="Arial"/>
                <w:sz w:val="20"/>
                <w:szCs w:val="20"/>
              </w:rPr>
              <w:t>clinical trials and guideline development</w:t>
            </w:r>
            <w:r w:rsidRPr="00AB60E7">
              <w:rPr>
                <w:rStyle w:val="s1"/>
                <w:rFonts w:ascii="Arial" w:hAnsi="Arial" w:cs="Arial"/>
                <w:sz w:val="20"/>
                <w:szCs w:val="20"/>
              </w:rPr>
              <w:t xml:space="preserve">. Overall, the review provides an updated evidence base that can improve </w:t>
            </w:r>
            <w:r w:rsidRPr="00AB60E7">
              <w:rPr>
                <w:rStyle w:val="s2"/>
                <w:rFonts w:ascii="Arial" w:hAnsi="Arial" w:cs="Arial"/>
                <w:sz w:val="20"/>
                <w:szCs w:val="20"/>
              </w:rPr>
              <w:t>clinical decision-making and patient outcomes</w:t>
            </w:r>
            <w:r w:rsidRPr="00AB60E7">
              <w:rPr>
                <w:rStyle w:val="s1"/>
                <w:rFonts w:ascii="Arial" w:hAnsi="Arial" w:cs="Arial"/>
                <w:sz w:val="20"/>
                <w:szCs w:val="20"/>
              </w:rPr>
              <w:t xml:space="preserve"> in acute cardiovascular care.</w:t>
            </w:r>
          </w:p>
          <w:p w14:paraId="7812B208" w14:textId="77777777" w:rsidR="004B5D26" w:rsidRPr="00AB60E7" w:rsidRDefault="004B5D26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044D253" w14:textId="77777777" w:rsidR="004B5D26" w:rsidRPr="00AB60E7" w:rsidRDefault="004B5D2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4B5D26" w:rsidRPr="00AB60E7" w14:paraId="64B6F6C7" w14:textId="77777777" w:rsidTr="003D0C38">
        <w:trPr>
          <w:trHeight w:val="1262"/>
        </w:trPr>
        <w:tc>
          <w:tcPr>
            <w:tcW w:w="1265" w:type="pct"/>
            <w:noWrap/>
          </w:tcPr>
          <w:p w14:paraId="5F6F2379" w14:textId="77777777" w:rsidR="004B5D26" w:rsidRPr="00AB60E7" w:rsidRDefault="004B5D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B60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5B0C83A" w14:textId="77777777" w:rsidR="004B5D26" w:rsidRPr="00AB60E7" w:rsidRDefault="004B5D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B60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29FE28CC" w14:textId="77777777" w:rsidR="004B5D26" w:rsidRPr="00AB60E7" w:rsidRDefault="004B5D26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66FD7C7" w14:textId="19346A40" w:rsidR="004B5D26" w:rsidRPr="00AB60E7" w:rsidRDefault="00A84DB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B60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BB5B393" w14:textId="77777777" w:rsidR="004B5D26" w:rsidRPr="00AB60E7" w:rsidRDefault="004B5D2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4B5D26" w:rsidRPr="00AB60E7" w14:paraId="62E13DC1" w14:textId="77777777" w:rsidTr="003D0C38">
        <w:trPr>
          <w:trHeight w:val="1262"/>
        </w:trPr>
        <w:tc>
          <w:tcPr>
            <w:tcW w:w="1265" w:type="pct"/>
            <w:noWrap/>
          </w:tcPr>
          <w:p w14:paraId="5A260B1B" w14:textId="77777777" w:rsidR="004B5D26" w:rsidRPr="00AB60E7" w:rsidRDefault="004B5D26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AB60E7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0084EA59" w14:textId="77777777" w:rsidR="004B5D26" w:rsidRPr="00AB60E7" w:rsidRDefault="004B5D26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1423F0A" w14:textId="77777777" w:rsidR="004E61D7" w:rsidRPr="00AB60E7" w:rsidRDefault="004E61D7" w:rsidP="004E61D7">
            <w:pPr>
              <w:pStyle w:val="p1"/>
              <w:rPr>
                <w:rFonts w:ascii="Arial" w:hAnsi="Arial" w:cs="Arial"/>
                <w:sz w:val="20"/>
                <w:szCs w:val="20"/>
              </w:rPr>
            </w:pPr>
            <w:r w:rsidRPr="00AB60E7">
              <w:rPr>
                <w:rStyle w:val="s1"/>
                <w:rFonts w:ascii="Arial" w:hAnsi="Arial" w:cs="Arial"/>
                <w:sz w:val="20"/>
                <w:szCs w:val="20"/>
              </w:rPr>
              <w:t xml:space="preserve">The current abstract of the manuscript is </w:t>
            </w:r>
            <w:r w:rsidRPr="00AB60E7">
              <w:rPr>
                <w:rStyle w:val="s2"/>
                <w:rFonts w:ascii="Arial" w:hAnsi="Arial" w:cs="Arial"/>
                <w:sz w:val="20"/>
                <w:szCs w:val="20"/>
              </w:rPr>
              <w:t>not comprehensive</w:t>
            </w:r>
            <w:r w:rsidRPr="00AB60E7">
              <w:rPr>
                <w:rStyle w:val="s1"/>
                <w:rFonts w:ascii="Arial" w:hAnsi="Arial" w:cs="Arial"/>
                <w:sz w:val="20"/>
                <w:szCs w:val="20"/>
              </w:rPr>
              <w:t xml:space="preserve"> and contains a </w:t>
            </w:r>
            <w:r w:rsidRPr="00AB60E7">
              <w:rPr>
                <w:rStyle w:val="s2"/>
                <w:rFonts w:ascii="Arial" w:hAnsi="Arial" w:cs="Arial"/>
                <w:sz w:val="20"/>
                <w:szCs w:val="20"/>
              </w:rPr>
              <w:t>major inconsistency</w:t>
            </w:r>
            <w:r w:rsidRPr="00AB60E7">
              <w:rPr>
                <w:rStyle w:val="s1"/>
                <w:rFonts w:ascii="Arial" w:hAnsi="Arial" w:cs="Arial"/>
                <w:sz w:val="20"/>
                <w:szCs w:val="20"/>
              </w:rPr>
              <w:t xml:space="preserve">: the opening paragraph discusses </w:t>
            </w:r>
            <w:r w:rsidRPr="00AB60E7">
              <w:rPr>
                <w:rStyle w:val="s2"/>
                <w:rFonts w:ascii="Arial" w:hAnsi="Arial" w:cs="Arial"/>
                <w:sz w:val="20"/>
                <w:szCs w:val="20"/>
              </w:rPr>
              <w:t>gut microbiota and immune modulation</w:t>
            </w:r>
            <w:r w:rsidRPr="00AB60E7">
              <w:rPr>
                <w:rStyle w:val="s1"/>
                <w:rFonts w:ascii="Arial" w:hAnsi="Arial" w:cs="Arial"/>
                <w:sz w:val="20"/>
                <w:szCs w:val="20"/>
              </w:rPr>
              <w:t xml:space="preserve">, which is unrelated to the actual topic of </w:t>
            </w:r>
            <w:r w:rsidRPr="00AB60E7">
              <w:rPr>
                <w:rStyle w:val="s2"/>
                <w:rFonts w:ascii="Arial" w:hAnsi="Arial" w:cs="Arial"/>
                <w:sz w:val="20"/>
                <w:szCs w:val="20"/>
              </w:rPr>
              <w:t>right heart failure due to pulmonary embolism</w:t>
            </w:r>
            <w:r w:rsidRPr="00AB60E7">
              <w:rPr>
                <w:rStyle w:val="s1"/>
                <w:rFonts w:ascii="Arial" w:hAnsi="Arial" w:cs="Arial"/>
                <w:sz w:val="20"/>
                <w:szCs w:val="20"/>
              </w:rPr>
              <w:t xml:space="preserve">. This section appears to have been mistakenly included from another paper and should therefore be </w:t>
            </w:r>
            <w:r w:rsidRPr="00AB60E7">
              <w:rPr>
                <w:rStyle w:val="s2"/>
                <w:rFonts w:ascii="Arial" w:hAnsi="Arial" w:cs="Arial"/>
                <w:sz w:val="20"/>
                <w:szCs w:val="20"/>
              </w:rPr>
              <w:t>deleted entirely</w:t>
            </w:r>
            <w:r w:rsidRPr="00AB60E7">
              <w:rPr>
                <w:rStyle w:val="s1"/>
                <w:rFonts w:ascii="Arial" w:hAnsi="Arial" w:cs="Arial"/>
                <w:sz w:val="20"/>
                <w:szCs w:val="20"/>
              </w:rPr>
              <w:t>.</w:t>
            </w:r>
          </w:p>
          <w:p w14:paraId="31CD90E4" w14:textId="77777777" w:rsidR="00CE5ACF" w:rsidRPr="00AB60E7" w:rsidRDefault="00CE5ACF" w:rsidP="00CE5ACF">
            <w:pPr>
              <w:pStyle w:val="p1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AB60E7">
              <w:rPr>
                <w:rStyle w:val="s1"/>
                <w:rFonts w:ascii="Arial" w:hAnsi="Arial" w:cs="Arial"/>
                <w:sz w:val="20"/>
                <w:szCs w:val="20"/>
              </w:rPr>
              <w:t xml:space="preserve">The first paragraph about </w:t>
            </w:r>
            <w:r w:rsidRPr="00AB60E7">
              <w:rPr>
                <w:rStyle w:val="s2"/>
                <w:rFonts w:ascii="Arial" w:hAnsi="Arial" w:cs="Arial"/>
                <w:sz w:val="20"/>
                <w:szCs w:val="20"/>
              </w:rPr>
              <w:t>gut microbiota</w:t>
            </w:r>
            <w:r w:rsidRPr="00AB60E7">
              <w:rPr>
                <w:rStyle w:val="s1"/>
                <w:rFonts w:ascii="Arial" w:hAnsi="Arial" w:cs="Arial"/>
                <w:sz w:val="20"/>
                <w:szCs w:val="20"/>
              </w:rPr>
              <w:t xml:space="preserve"> is irrelevant and misleading.</w:t>
            </w:r>
          </w:p>
          <w:p w14:paraId="363C509F" w14:textId="77777777" w:rsidR="00CE5ACF" w:rsidRPr="00AB60E7" w:rsidRDefault="00CE5ACF" w:rsidP="00CE5ACF">
            <w:pPr>
              <w:pStyle w:val="p1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AB60E7">
              <w:rPr>
                <w:rStyle w:val="s1"/>
                <w:rFonts w:ascii="Arial" w:hAnsi="Arial" w:cs="Arial"/>
                <w:sz w:val="20"/>
                <w:szCs w:val="20"/>
              </w:rPr>
              <w:t>The results section does not quantify findings (e.g., number of studies, main diagnostic or therapeutic outcomes).</w:t>
            </w:r>
          </w:p>
          <w:p w14:paraId="42EDBCC7" w14:textId="77777777" w:rsidR="00CE5ACF" w:rsidRPr="00AB60E7" w:rsidRDefault="00CE5ACF" w:rsidP="00CE5ACF">
            <w:pPr>
              <w:pStyle w:val="p1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AB60E7">
              <w:rPr>
                <w:rStyle w:val="s1"/>
                <w:rFonts w:ascii="Arial" w:hAnsi="Arial" w:cs="Arial"/>
                <w:sz w:val="20"/>
                <w:szCs w:val="20"/>
              </w:rPr>
              <w:t xml:space="preserve">The conclusion could more clearly emphasize the </w:t>
            </w:r>
            <w:r w:rsidRPr="00AB60E7">
              <w:rPr>
                <w:rStyle w:val="s2"/>
                <w:rFonts w:ascii="Arial" w:hAnsi="Arial" w:cs="Arial"/>
                <w:sz w:val="20"/>
                <w:szCs w:val="20"/>
              </w:rPr>
              <w:t>clinical implications and evidence gaps</w:t>
            </w:r>
            <w:r w:rsidRPr="00AB60E7">
              <w:rPr>
                <w:rStyle w:val="s1"/>
                <w:rFonts w:ascii="Arial" w:hAnsi="Arial" w:cs="Arial"/>
                <w:sz w:val="20"/>
                <w:szCs w:val="20"/>
              </w:rPr>
              <w:t xml:space="preserve"> identified in the review.</w:t>
            </w:r>
          </w:p>
          <w:p w14:paraId="4085095E" w14:textId="77777777" w:rsidR="00CE5ACF" w:rsidRPr="00AB60E7" w:rsidRDefault="00CE5ACF" w:rsidP="004E61D7">
            <w:pPr>
              <w:pStyle w:val="p1"/>
              <w:rPr>
                <w:rFonts w:ascii="Arial" w:hAnsi="Arial" w:cs="Arial"/>
                <w:sz w:val="20"/>
                <w:szCs w:val="20"/>
              </w:rPr>
            </w:pPr>
          </w:p>
          <w:p w14:paraId="061EFC27" w14:textId="77777777" w:rsidR="004B5D26" w:rsidRPr="00AB60E7" w:rsidRDefault="004B5D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DBC10E6" w14:textId="77777777" w:rsidR="004B5D26" w:rsidRPr="00AB60E7" w:rsidRDefault="004B5D2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4B5D26" w:rsidRPr="00AB60E7" w14:paraId="5424CA6C" w14:textId="77777777" w:rsidTr="003D0C38">
        <w:trPr>
          <w:trHeight w:val="704"/>
        </w:trPr>
        <w:tc>
          <w:tcPr>
            <w:tcW w:w="1265" w:type="pct"/>
            <w:noWrap/>
          </w:tcPr>
          <w:p w14:paraId="760AF073" w14:textId="77777777" w:rsidR="004B5D26" w:rsidRPr="00AB60E7" w:rsidRDefault="004B5D26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AB60E7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1CB755BA" w14:textId="64FFB465" w:rsidR="004B5D26" w:rsidRPr="00AB60E7" w:rsidRDefault="00CE5AC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60E7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0609444" w14:textId="77777777" w:rsidR="004B5D26" w:rsidRPr="00AB60E7" w:rsidRDefault="004B5D2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4B5D26" w:rsidRPr="00AB60E7" w14:paraId="53CC95E2" w14:textId="77777777" w:rsidTr="003D0C38">
        <w:trPr>
          <w:trHeight w:val="703"/>
        </w:trPr>
        <w:tc>
          <w:tcPr>
            <w:tcW w:w="1265" w:type="pct"/>
            <w:noWrap/>
          </w:tcPr>
          <w:p w14:paraId="22766348" w14:textId="77777777" w:rsidR="004B5D26" w:rsidRPr="00AB60E7" w:rsidRDefault="004B5D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B60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32CB9706" w14:textId="3B3EC1A2" w:rsidR="004B5D26" w:rsidRPr="00AB60E7" w:rsidRDefault="003F016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60E7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76DA12A" w14:textId="77777777" w:rsidR="004B5D26" w:rsidRPr="00AB60E7" w:rsidRDefault="004B5D2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4B5D26" w:rsidRPr="00AB60E7" w14:paraId="25BCA846" w14:textId="77777777" w:rsidTr="003D0C38">
        <w:trPr>
          <w:trHeight w:val="386"/>
        </w:trPr>
        <w:tc>
          <w:tcPr>
            <w:tcW w:w="1265" w:type="pct"/>
            <w:noWrap/>
          </w:tcPr>
          <w:p w14:paraId="6A9EDFD5" w14:textId="77777777" w:rsidR="004B5D26" w:rsidRPr="00AB60E7" w:rsidRDefault="004B5D26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AB60E7">
              <w:rPr>
                <w:rFonts w:ascii="Arial" w:hAnsi="Arial" w:cs="Arial"/>
                <w:bCs w:val="0"/>
                <w:lang w:val="en-GB"/>
              </w:rPr>
              <w:lastRenderedPageBreak/>
              <w:t>Is the language/English quality of the article suitable for scholarly communications?</w:t>
            </w:r>
          </w:p>
          <w:p w14:paraId="6BFDDB53" w14:textId="77777777" w:rsidR="004B5D26" w:rsidRPr="00AB60E7" w:rsidRDefault="004B5D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4D3DD0B" w14:textId="0E762B12" w:rsidR="004B5D26" w:rsidRPr="00AB60E7" w:rsidRDefault="003F016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60E7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ED39309" w14:textId="77777777" w:rsidR="004B5D26" w:rsidRPr="00AB60E7" w:rsidRDefault="004B5D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B5D26" w:rsidRPr="00AB60E7" w14:paraId="1CAA963F" w14:textId="77777777" w:rsidTr="003D0C38">
        <w:trPr>
          <w:trHeight w:val="1178"/>
        </w:trPr>
        <w:tc>
          <w:tcPr>
            <w:tcW w:w="1265" w:type="pct"/>
            <w:noWrap/>
          </w:tcPr>
          <w:p w14:paraId="51903D66" w14:textId="77777777" w:rsidR="004B5D26" w:rsidRPr="00AB60E7" w:rsidRDefault="004B5D26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AB60E7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AB60E7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AB60E7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3DEB9C92" w14:textId="77777777" w:rsidR="003D0C38" w:rsidRPr="00AB60E7" w:rsidRDefault="003D0C38" w:rsidP="003D0C38">
            <w:pPr>
              <w:pStyle w:val="p1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AB60E7">
              <w:rPr>
                <w:rStyle w:val="s1"/>
                <w:rFonts w:ascii="Arial" w:hAnsi="Arial" w:cs="Arial"/>
                <w:sz w:val="20"/>
                <w:szCs w:val="20"/>
              </w:rPr>
              <w:t>Replace the incorrect abstract (remove gut microbiota content).</w:t>
            </w:r>
          </w:p>
          <w:p w14:paraId="12E25340" w14:textId="77777777" w:rsidR="003D0C38" w:rsidRPr="00AB60E7" w:rsidRDefault="003D0C38" w:rsidP="003D0C38">
            <w:pPr>
              <w:pStyle w:val="p1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AB60E7">
              <w:rPr>
                <w:rStyle w:val="s1"/>
                <w:rFonts w:ascii="Arial" w:hAnsi="Arial" w:cs="Arial"/>
                <w:sz w:val="20"/>
                <w:szCs w:val="20"/>
              </w:rPr>
              <w:t>Clarify PROSPERO registration and reviewer roles.</w:t>
            </w:r>
          </w:p>
          <w:p w14:paraId="0FA0794C" w14:textId="77777777" w:rsidR="003D0C38" w:rsidRPr="00AB60E7" w:rsidRDefault="003D0C38" w:rsidP="003D0C38">
            <w:pPr>
              <w:pStyle w:val="p1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AB60E7">
              <w:rPr>
                <w:rStyle w:val="s1"/>
                <w:rFonts w:ascii="Arial" w:hAnsi="Arial" w:cs="Arial"/>
                <w:sz w:val="20"/>
                <w:szCs w:val="20"/>
              </w:rPr>
              <w:t>Simplify PRISMA flow and remove duplicates.</w:t>
            </w:r>
          </w:p>
          <w:p w14:paraId="1A5A112F" w14:textId="77777777" w:rsidR="003D0C38" w:rsidRPr="00AB60E7" w:rsidRDefault="003D0C38" w:rsidP="003D0C38">
            <w:pPr>
              <w:pStyle w:val="p1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AB60E7">
              <w:rPr>
                <w:rStyle w:val="s1"/>
                <w:rFonts w:ascii="Arial" w:hAnsi="Arial" w:cs="Arial"/>
                <w:sz w:val="20"/>
                <w:szCs w:val="20"/>
              </w:rPr>
              <w:t>Consolidate and reformat repeated references.</w:t>
            </w:r>
          </w:p>
          <w:p w14:paraId="0C51F0E0" w14:textId="77777777" w:rsidR="003D0C38" w:rsidRPr="00AB60E7" w:rsidRDefault="003D0C38" w:rsidP="003D0C38">
            <w:pPr>
              <w:pStyle w:val="p1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AB60E7">
              <w:rPr>
                <w:rStyle w:val="s1"/>
                <w:rFonts w:ascii="Arial" w:hAnsi="Arial" w:cs="Arial"/>
                <w:sz w:val="20"/>
                <w:szCs w:val="20"/>
              </w:rPr>
              <w:t>Add a brief limitations section.</w:t>
            </w:r>
          </w:p>
          <w:p w14:paraId="25906632" w14:textId="77777777" w:rsidR="004B5D26" w:rsidRPr="00AB60E7" w:rsidRDefault="004B5D2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2FAD5479" w14:textId="77777777" w:rsidR="004B5D26" w:rsidRPr="00AB60E7" w:rsidRDefault="004B5D2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78E644D" w14:textId="77777777" w:rsidR="004B5D26" w:rsidRPr="00AB60E7" w:rsidRDefault="004B5D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0897B65E" w14:textId="77777777" w:rsidR="004B5D26" w:rsidRPr="00AB60E7" w:rsidRDefault="004B5D26" w:rsidP="004B5D2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p w14:paraId="3F3BE24E" w14:textId="77777777" w:rsidR="004B5D26" w:rsidRPr="00AB60E7" w:rsidRDefault="004B5D26" w:rsidP="004B5D2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6C28EE" w:rsidRPr="00AB60E7" w14:paraId="664D270E" w14:textId="77777777" w:rsidTr="003573F5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3C460" w14:textId="77777777" w:rsidR="006C28EE" w:rsidRPr="00AB60E7" w:rsidRDefault="006C28EE" w:rsidP="003573F5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bookmarkStart w:id="5" w:name="_Hlk209632241"/>
            <w:bookmarkStart w:id="6" w:name="_Hlk209784699"/>
            <w:bookmarkStart w:id="7" w:name="_Hlk210487174"/>
            <w:r w:rsidRPr="00AB60E7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AB60E7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DB14FC0" w14:textId="77777777" w:rsidR="006C28EE" w:rsidRPr="00AB60E7" w:rsidRDefault="006C28EE" w:rsidP="003573F5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C28EE" w:rsidRPr="00AB60E7" w14:paraId="05247629" w14:textId="77777777" w:rsidTr="003573F5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E027AB" w14:textId="77777777" w:rsidR="006C28EE" w:rsidRPr="00AB60E7" w:rsidRDefault="006C28EE" w:rsidP="003573F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E8DF6" w14:textId="77777777" w:rsidR="006C28EE" w:rsidRPr="00AB60E7" w:rsidRDefault="006C28EE" w:rsidP="003573F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B60E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6878CABD" w14:textId="77777777" w:rsidR="006C28EE" w:rsidRPr="00AB60E7" w:rsidRDefault="006C28EE" w:rsidP="003573F5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B60E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B60E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D06B396" w14:textId="77777777" w:rsidR="006C28EE" w:rsidRPr="00AB60E7" w:rsidRDefault="006C28EE" w:rsidP="003573F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C28EE" w:rsidRPr="00AB60E7" w14:paraId="3F7DF56D" w14:textId="77777777" w:rsidTr="003573F5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5AF53" w14:textId="77777777" w:rsidR="006C28EE" w:rsidRPr="00AB60E7" w:rsidRDefault="006C28EE" w:rsidP="003573F5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AB60E7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AB3F857" w14:textId="77777777" w:rsidR="006C28EE" w:rsidRPr="00AB60E7" w:rsidRDefault="006C28EE" w:rsidP="003573F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4AFEBE" w14:textId="77777777" w:rsidR="006C28EE" w:rsidRPr="00AB60E7" w:rsidRDefault="006C28EE" w:rsidP="003573F5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AB60E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AB60E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AB60E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91B9065" w14:textId="77777777" w:rsidR="006C28EE" w:rsidRPr="00AB60E7" w:rsidRDefault="006C28EE" w:rsidP="003573F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417F5692" w14:textId="77777777" w:rsidR="006C28EE" w:rsidRPr="00AB60E7" w:rsidRDefault="006C28EE" w:rsidP="003573F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D28FDBF" w14:textId="77777777" w:rsidR="006C28EE" w:rsidRPr="00AB60E7" w:rsidRDefault="006C28EE" w:rsidP="003573F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89B7901" w14:textId="77777777" w:rsidR="006C28EE" w:rsidRPr="00AB60E7" w:rsidRDefault="006C28EE" w:rsidP="003573F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5E3D3D2C" w14:textId="77777777" w:rsidR="006C28EE" w:rsidRPr="00AB60E7" w:rsidRDefault="006C28EE" w:rsidP="006C28EE">
      <w:pPr>
        <w:rPr>
          <w:rFonts w:ascii="Arial" w:hAnsi="Arial" w:cs="Arial"/>
          <w:sz w:val="20"/>
          <w:szCs w:val="20"/>
        </w:rPr>
      </w:pPr>
    </w:p>
    <w:p w14:paraId="6E60B45F" w14:textId="77777777" w:rsidR="006C28EE" w:rsidRPr="00AB60E7" w:rsidRDefault="006C28EE" w:rsidP="006C28EE">
      <w:pPr>
        <w:rPr>
          <w:rFonts w:ascii="Arial" w:hAnsi="Arial" w:cs="Arial"/>
          <w:sz w:val="20"/>
          <w:szCs w:val="20"/>
        </w:rPr>
      </w:pPr>
    </w:p>
    <w:p w14:paraId="0EF4963A" w14:textId="77777777" w:rsidR="006C28EE" w:rsidRPr="00AB60E7" w:rsidRDefault="006C28EE" w:rsidP="006C28EE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14:paraId="5833F055" w14:textId="77777777" w:rsidR="006C28EE" w:rsidRPr="00AB60E7" w:rsidRDefault="006C28EE" w:rsidP="006C28EE">
      <w:pPr>
        <w:rPr>
          <w:rFonts w:ascii="Arial" w:hAnsi="Arial" w:cs="Arial"/>
          <w:sz w:val="20"/>
          <w:szCs w:val="20"/>
        </w:rPr>
      </w:pPr>
    </w:p>
    <w:bookmarkEnd w:id="5"/>
    <w:p w14:paraId="5B97CEBC" w14:textId="77777777" w:rsidR="006C28EE" w:rsidRPr="00AB60E7" w:rsidRDefault="006C28EE" w:rsidP="006C28EE">
      <w:pPr>
        <w:rPr>
          <w:rFonts w:ascii="Arial" w:hAnsi="Arial" w:cs="Arial"/>
          <w:sz w:val="20"/>
          <w:szCs w:val="20"/>
        </w:rPr>
      </w:pPr>
    </w:p>
    <w:bookmarkEnd w:id="6"/>
    <w:p w14:paraId="69E2E4AD" w14:textId="77777777" w:rsidR="006C28EE" w:rsidRPr="00AB60E7" w:rsidRDefault="006C28EE" w:rsidP="006C28EE">
      <w:pPr>
        <w:rPr>
          <w:rFonts w:ascii="Arial" w:hAnsi="Arial" w:cs="Arial"/>
          <w:sz w:val="20"/>
          <w:szCs w:val="20"/>
        </w:rPr>
      </w:pPr>
    </w:p>
    <w:bookmarkEnd w:id="7"/>
    <w:p w14:paraId="406BADA5" w14:textId="77777777" w:rsidR="006C28EE" w:rsidRPr="00AB60E7" w:rsidRDefault="006C28EE" w:rsidP="006C28EE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77659FFA" w14:textId="77777777" w:rsidR="004B5D26" w:rsidRPr="00AB60E7" w:rsidRDefault="004B5D26" w:rsidP="004B5D2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4B5D26" w:rsidRPr="00AB60E7" w:rsidSect="009443C3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01A2FD" w14:textId="77777777" w:rsidR="00C47F98" w:rsidRPr="0000007A" w:rsidRDefault="00C47F98" w:rsidP="0099583E">
      <w:r>
        <w:separator/>
      </w:r>
    </w:p>
  </w:endnote>
  <w:endnote w:type="continuationSeparator" w:id="0">
    <w:p w14:paraId="56FAA09C" w14:textId="77777777" w:rsidR="00C47F98" w:rsidRPr="0000007A" w:rsidRDefault="00C47F98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6C78F8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D13282" w:rsidRPr="00D13282">
      <w:rPr>
        <w:sz w:val="16"/>
      </w:rPr>
      <w:t xml:space="preserve">Version: </w:t>
    </w:r>
    <w:r w:rsidR="00D0291F">
      <w:rPr>
        <w:sz w:val="16"/>
      </w:rPr>
      <w:t>3</w:t>
    </w:r>
    <w:r w:rsidR="00D13282" w:rsidRPr="00D13282">
      <w:rPr>
        <w:sz w:val="16"/>
      </w:rPr>
      <w:t xml:space="preserve"> (0</w:t>
    </w:r>
    <w:r w:rsidR="00D0291F">
      <w:rPr>
        <w:sz w:val="16"/>
      </w:rPr>
      <w:t>7</w:t>
    </w:r>
    <w:r w:rsidR="00D13282" w:rsidRPr="00D13282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8E7257" w14:textId="77777777" w:rsidR="00C47F98" w:rsidRPr="0000007A" w:rsidRDefault="00C47F98" w:rsidP="0099583E">
      <w:r>
        <w:separator/>
      </w:r>
    </w:p>
  </w:footnote>
  <w:footnote w:type="continuationSeparator" w:id="0">
    <w:p w14:paraId="5605D074" w14:textId="77777777" w:rsidR="00C47F98" w:rsidRPr="0000007A" w:rsidRDefault="00C47F98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8FC39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C80DD49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D0291F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C407C5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98E2AEE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10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2DE3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02797"/>
    <w:rsid w:val="00104454"/>
    <w:rsid w:val="00136984"/>
    <w:rsid w:val="00144521"/>
    <w:rsid w:val="00147C9D"/>
    <w:rsid w:val="00150304"/>
    <w:rsid w:val="001525AE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66837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64B78"/>
    <w:rsid w:val="003A04E7"/>
    <w:rsid w:val="003A4991"/>
    <w:rsid w:val="003A6E1A"/>
    <w:rsid w:val="003B2172"/>
    <w:rsid w:val="003D0C38"/>
    <w:rsid w:val="003D77AD"/>
    <w:rsid w:val="003E746A"/>
    <w:rsid w:val="003F0167"/>
    <w:rsid w:val="00417C37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50B5"/>
    <w:rsid w:val="004B4CAD"/>
    <w:rsid w:val="004B4FDC"/>
    <w:rsid w:val="004B5D26"/>
    <w:rsid w:val="004C3DF1"/>
    <w:rsid w:val="004D2E36"/>
    <w:rsid w:val="004D5D8D"/>
    <w:rsid w:val="004E61D7"/>
    <w:rsid w:val="004F6E96"/>
    <w:rsid w:val="00503AB6"/>
    <w:rsid w:val="005047C5"/>
    <w:rsid w:val="00510920"/>
    <w:rsid w:val="00521812"/>
    <w:rsid w:val="00523D2C"/>
    <w:rsid w:val="00531C82"/>
    <w:rsid w:val="005339A8"/>
    <w:rsid w:val="00533FC1"/>
    <w:rsid w:val="0053438D"/>
    <w:rsid w:val="0054564B"/>
    <w:rsid w:val="00545A13"/>
    <w:rsid w:val="00546343"/>
    <w:rsid w:val="00557CD3"/>
    <w:rsid w:val="00560D3C"/>
    <w:rsid w:val="005614DE"/>
    <w:rsid w:val="00567DE0"/>
    <w:rsid w:val="005735A5"/>
    <w:rsid w:val="005A5BE0"/>
    <w:rsid w:val="005B12E0"/>
    <w:rsid w:val="005C25A0"/>
    <w:rsid w:val="005D230D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A7E1B"/>
    <w:rsid w:val="006C28EE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9397A"/>
    <w:rsid w:val="00796F4B"/>
    <w:rsid w:val="007A79F9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C4A24"/>
    <w:rsid w:val="008D020E"/>
    <w:rsid w:val="008D1117"/>
    <w:rsid w:val="008D15A4"/>
    <w:rsid w:val="008F36E4"/>
    <w:rsid w:val="00933C8B"/>
    <w:rsid w:val="009443C3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09A"/>
    <w:rsid w:val="009F29EB"/>
    <w:rsid w:val="009F5C50"/>
    <w:rsid w:val="00A001A0"/>
    <w:rsid w:val="00A00311"/>
    <w:rsid w:val="00A12C83"/>
    <w:rsid w:val="00A23BED"/>
    <w:rsid w:val="00A31AAC"/>
    <w:rsid w:val="00A32905"/>
    <w:rsid w:val="00A36C95"/>
    <w:rsid w:val="00A37DE3"/>
    <w:rsid w:val="00A519D1"/>
    <w:rsid w:val="00A6343B"/>
    <w:rsid w:val="00A65C50"/>
    <w:rsid w:val="00A66DD2"/>
    <w:rsid w:val="00A84DBF"/>
    <w:rsid w:val="00A91AD6"/>
    <w:rsid w:val="00AA41B3"/>
    <w:rsid w:val="00AA6670"/>
    <w:rsid w:val="00AB1ED6"/>
    <w:rsid w:val="00AB397D"/>
    <w:rsid w:val="00AB60E7"/>
    <w:rsid w:val="00AB638A"/>
    <w:rsid w:val="00AB6E43"/>
    <w:rsid w:val="00AC1349"/>
    <w:rsid w:val="00AD6C51"/>
    <w:rsid w:val="00AF3016"/>
    <w:rsid w:val="00B03A45"/>
    <w:rsid w:val="00B2236C"/>
    <w:rsid w:val="00B22FE6"/>
    <w:rsid w:val="00B27C0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2570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47F98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E5ACF"/>
    <w:rsid w:val="00CF0BBB"/>
    <w:rsid w:val="00CF2B8E"/>
    <w:rsid w:val="00D00124"/>
    <w:rsid w:val="00D0291F"/>
    <w:rsid w:val="00D1283A"/>
    <w:rsid w:val="00D13282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DD14E0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B6F83"/>
    <w:rsid w:val="00EB7289"/>
    <w:rsid w:val="00EC1A3B"/>
    <w:rsid w:val="00EC5C2F"/>
    <w:rsid w:val="00EC6894"/>
    <w:rsid w:val="00ED6B12"/>
    <w:rsid w:val="00EE0D3E"/>
    <w:rsid w:val="00EF326D"/>
    <w:rsid w:val="00EF53FE"/>
    <w:rsid w:val="00F032A6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2F4B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FC7D7D"/>
  <w15:chartTrackingRefBased/>
  <w15:docId w15:val="{56C4CB5F-39D1-AB45-88B5-C2F773E9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A23BED"/>
    <w:rPr>
      <w:color w:val="605E5C"/>
      <w:shd w:val="clear" w:color="auto" w:fill="E1DFDD"/>
    </w:rPr>
  </w:style>
  <w:style w:type="paragraph" w:customStyle="1" w:styleId="p1">
    <w:name w:val="p1"/>
    <w:basedOn w:val="Normal"/>
    <w:rsid w:val="00A00311"/>
    <w:pPr>
      <w:spacing w:before="100" w:beforeAutospacing="1" w:after="100" w:afterAutospacing="1"/>
    </w:pPr>
    <w:rPr>
      <w:rFonts w:eastAsiaTheme="minorEastAsia"/>
    </w:rPr>
  </w:style>
  <w:style w:type="character" w:customStyle="1" w:styleId="s1">
    <w:name w:val="s1"/>
    <w:basedOn w:val="DefaultParagraphFont"/>
    <w:rsid w:val="00A00311"/>
  </w:style>
  <w:style w:type="character" w:customStyle="1" w:styleId="s2">
    <w:name w:val="s2"/>
    <w:basedOn w:val="DefaultParagraphFont"/>
    <w:rsid w:val="00A003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ir.com/index.php/AI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CC54AC-D130-4622-919B-0FABD508C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486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3251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https://journalair.com/index.php/AIR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19</cp:revision>
  <dcterms:created xsi:type="dcterms:W3CDTF">2025-10-05T14:06:00Z</dcterms:created>
  <dcterms:modified xsi:type="dcterms:W3CDTF">2025-10-10T06:40:00Z</dcterms:modified>
</cp:coreProperties>
</file>