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15F03" w14:textId="77777777" w:rsidR="00927326" w:rsidRDefault="00927326" w:rsidP="00CB761C">
      <w:pPr>
        <w:pStyle w:val="NormalWeb"/>
        <w:spacing w:line="276" w:lineRule="auto"/>
        <w:jc w:val="center"/>
        <w:rPr>
          <w:rStyle w:val="Gl"/>
          <w:sz w:val="28"/>
        </w:rPr>
      </w:pPr>
      <w:r w:rsidRPr="00927326">
        <w:rPr>
          <w:rStyle w:val="Gl"/>
          <w:sz w:val="28"/>
        </w:rPr>
        <w:t>Efficiency Analysis of Member and Non-Member Farmers Using Data Envelopment Analysis</w:t>
      </w:r>
    </w:p>
    <w:p w14:paraId="60FEBA4D" w14:textId="77777777" w:rsidR="00AD5E7C" w:rsidRPr="00AD5E7C" w:rsidRDefault="00AD5E7C" w:rsidP="00AD5E7C">
      <w:pPr>
        <w:pStyle w:val="AralkYok"/>
        <w:spacing w:line="276" w:lineRule="auto"/>
        <w:jc w:val="center"/>
        <w:rPr>
          <w:rStyle w:val="Gl"/>
          <w:rFonts w:ascii="Times New Roman" w:hAnsi="Times New Roman" w:cs="Times New Roman"/>
          <w:b w:val="0"/>
          <w:bCs w:val="0"/>
          <w:sz w:val="24"/>
        </w:rPr>
      </w:pPr>
    </w:p>
    <w:p w14:paraId="273DFA29" w14:textId="77777777" w:rsidR="00927326" w:rsidRPr="00927326" w:rsidRDefault="00927326" w:rsidP="00927326">
      <w:pPr>
        <w:pStyle w:val="NormalWeb"/>
        <w:spacing w:before="0" w:beforeAutospacing="0" w:after="0" w:afterAutospacing="0" w:line="360" w:lineRule="auto"/>
        <w:jc w:val="center"/>
        <w:rPr>
          <w:b/>
        </w:rPr>
      </w:pPr>
      <w:r w:rsidRPr="00927326">
        <w:rPr>
          <w:b/>
        </w:rPr>
        <w:t>ABSTRACT</w:t>
      </w:r>
    </w:p>
    <w:p w14:paraId="0FB2B6BD" w14:textId="7B7D7089" w:rsidR="00927326" w:rsidRPr="00E726E6" w:rsidRDefault="00927326" w:rsidP="00927326">
      <w:pPr>
        <w:pStyle w:val="NormalWeb"/>
        <w:spacing w:before="0" w:beforeAutospacing="0" w:after="0" w:afterAutospacing="0" w:line="276" w:lineRule="auto"/>
        <w:ind w:firstLine="720"/>
        <w:jc w:val="both"/>
        <w:rPr>
          <w:i/>
        </w:rPr>
      </w:pPr>
      <w:r w:rsidRPr="00E726E6">
        <w:rPr>
          <w:i/>
        </w:rPr>
        <w:t xml:space="preserve">This study evaluates the efficiency levels of member and non-member farmers across different agricultural sectors using Data Envelopment Analysis </w:t>
      </w:r>
      <w:r w:rsidRPr="00E726E6">
        <w:rPr>
          <w:i/>
          <w:color w:val="FF0000"/>
        </w:rPr>
        <w:t xml:space="preserve">(DEA). </w:t>
      </w:r>
      <w:r w:rsidRPr="00E726E6">
        <w:rPr>
          <w:i/>
        </w:rPr>
        <w:t xml:space="preserve">The research compares Technical Efficiency (TE), Allocative Efficiency (AE), Economic Efficiency </w:t>
      </w:r>
      <w:r w:rsidRPr="00E726E6">
        <w:rPr>
          <w:i/>
          <w:color w:val="FF0000"/>
        </w:rPr>
        <w:t xml:space="preserve">(EE), </w:t>
      </w:r>
      <w:r w:rsidRPr="00E726E6">
        <w:rPr>
          <w:i/>
        </w:rPr>
        <w:t xml:space="preserve">Pure Technical Efficiency </w:t>
      </w:r>
      <w:r w:rsidRPr="00E726E6">
        <w:rPr>
          <w:i/>
          <w:color w:val="FF0000"/>
        </w:rPr>
        <w:t xml:space="preserve">(PTE), </w:t>
      </w:r>
      <w:r w:rsidRPr="00E726E6">
        <w:rPr>
          <w:i/>
        </w:rPr>
        <w:t xml:space="preserve">and Scale Efficiency </w:t>
      </w:r>
      <w:r w:rsidRPr="00E726E6">
        <w:rPr>
          <w:i/>
          <w:color w:val="FF0000"/>
        </w:rPr>
        <w:t xml:space="preserve">(SE) </w:t>
      </w:r>
      <w:r w:rsidRPr="00E726E6">
        <w:rPr>
          <w:i/>
        </w:rPr>
        <w:t xml:space="preserve">between the two groups. The findings indicate that </w:t>
      </w:r>
      <w:commentRangeStart w:id="0"/>
      <w:r w:rsidRPr="00E726E6">
        <w:rPr>
          <w:i/>
          <w:color w:val="FF0000"/>
        </w:rPr>
        <w:t>FPO</w:t>
      </w:r>
      <w:commentRangeEnd w:id="0"/>
      <w:r w:rsidR="003F1699" w:rsidRPr="00E726E6">
        <w:rPr>
          <w:rStyle w:val="AklamaBavurusu"/>
          <w:rFonts w:asciiTheme="minorHAnsi" w:eastAsiaTheme="minorHAnsi" w:hAnsiTheme="minorHAnsi" w:cstheme="minorBidi"/>
          <w:color w:val="FF0000"/>
        </w:rPr>
        <w:commentReference w:id="0"/>
      </w:r>
      <w:r w:rsidRPr="00E726E6">
        <w:rPr>
          <w:i/>
        </w:rPr>
        <w:t xml:space="preserve"> member farmers generally exhibit higher efficiency levels, suggesting the advantages of collective action in agricultural productivity. Member farmers achieved an average TE of 87 </w:t>
      </w:r>
      <w:r w:rsidRPr="00E726E6">
        <w:rPr>
          <w:i/>
          <w:color w:val="FF0000"/>
        </w:rPr>
        <w:t xml:space="preserve">per cent </w:t>
      </w:r>
      <w:r w:rsidRPr="00E726E6">
        <w:rPr>
          <w:i/>
        </w:rPr>
        <w:t xml:space="preserve">in agricultural commodity farms compared to </w:t>
      </w:r>
      <w:commentRangeStart w:id="1"/>
      <w:r w:rsidRPr="00E726E6">
        <w:rPr>
          <w:i/>
        </w:rPr>
        <w:t xml:space="preserve">79 </w:t>
      </w:r>
      <w:r w:rsidRPr="00E726E6">
        <w:rPr>
          <w:i/>
          <w:color w:val="FF0000"/>
        </w:rPr>
        <w:t xml:space="preserve">per cent </w:t>
      </w:r>
      <w:commentRangeEnd w:id="1"/>
      <w:r w:rsidR="003F1699" w:rsidRPr="00E726E6">
        <w:rPr>
          <w:rStyle w:val="AklamaBavurusu"/>
          <w:rFonts w:asciiTheme="minorHAnsi" w:eastAsiaTheme="minorHAnsi" w:hAnsiTheme="minorHAnsi" w:cstheme="minorBidi"/>
          <w:color w:val="FF0000"/>
        </w:rPr>
        <w:commentReference w:id="1"/>
      </w:r>
      <w:r w:rsidRPr="00E726E6">
        <w:rPr>
          <w:i/>
        </w:rPr>
        <w:t xml:space="preserve">for non-members, while in livestock </w:t>
      </w:r>
      <w:r w:rsidR="001440FF" w:rsidRPr="00E726E6">
        <w:rPr>
          <w:i/>
        </w:rPr>
        <w:t>farming</w:t>
      </w:r>
      <w:r w:rsidR="00DB2BB4" w:rsidRPr="00E726E6">
        <w:rPr>
          <w:i/>
        </w:rPr>
        <w:t xml:space="preserve">, </w:t>
      </w:r>
      <w:r w:rsidRPr="00E726E6">
        <w:rPr>
          <w:i/>
        </w:rPr>
        <w:t xml:space="preserve">members exhibited a significantly higher TE of 90 </w:t>
      </w:r>
      <w:r w:rsidRPr="00E726E6">
        <w:rPr>
          <w:i/>
          <w:color w:val="FF0000"/>
        </w:rPr>
        <w:t xml:space="preserve">per cent </w:t>
      </w:r>
      <w:r w:rsidRPr="00E726E6">
        <w:rPr>
          <w:i/>
        </w:rPr>
        <w:t xml:space="preserve">against 52 </w:t>
      </w:r>
      <w:r w:rsidRPr="00E726E6">
        <w:rPr>
          <w:i/>
          <w:color w:val="FF0000"/>
        </w:rPr>
        <w:t>per cent</w:t>
      </w:r>
      <w:r w:rsidRPr="00E726E6">
        <w:rPr>
          <w:i/>
        </w:rPr>
        <w:t xml:space="preserve"> for non-members. Similarly, members in vegetable farms showed an AE of 99.8 </w:t>
      </w:r>
      <w:commentRangeStart w:id="2"/>
      <w:r w:rsidRPr="00E726E6">
        <w:rPr>
          <w:i/>
          <w:color w:val="FF0000"/>
        </w:rPr>
        <w:t>per cent</w:t>
      </w:r>
      <w:r w:rsidRPr="00E726E6">
        <w:rPr>
          <w:i/>
        </w:rPr>
        <w:t xml:space="preserve">, </w:t>
      </w:r>
      <w:commentRangeEnd w:id="2"/>
      <w:r w:rsidR="003F1699" w:rsidRPr="00E726E6">
        <w:rPr>
          <w:rStyle w:val="AklamaBavurusu"/>
          <w:rFonts w:asciiTheme="minorHAnsi" w:eastAsiaTheme="minorHAnsi" w:hAnsiTheme="minorHAnsi" w:cstheme="minorBidi"/>
        </w:rPr>
        <w:commentReference w:id="2"/>
      </w:r>
      <w:r w:rsidRPr="00E726E6">
        <w:rPr>
          <w:i/>
        </w:rPr>
        <w:t xml:space="preserve">substantially higher than the 60% observed for non-members. The TE distribution also highlighted disparities, with 70 </w:t>
      </w:r>
      <w:r w:rsidRPr="00E726E6">
        <w:rPr>
          <w:i/>
          <w:color w:val="FF0000"/>
        </w:rPr>
        <w:t xml:space="preserve">per cent </w:t>
      </w:r>
      <w:r w:rsidRPr="00E726E6">
        <w:rPr>
          <w:i/>
        </w:rPr>
        <w:t xml:space="preserve">of livestock member farms achieving the highest efficiency range (90-100%), whereas 53 </w:t>
      </w:r>
      <w:r w:rsidRPr="00E726E6">
        <w:rPr>
          <w:i/>
          <w:color w:val="FF0000"/>
        </w:rPr>
        <w:t>per cent</w:t>
      </w:r>
      <w:r w:rsidRPr="00E726E6">
        <w:rPr>
          <w:i/>
        </w:rPr>
        <w:t xml:space="preserve"> of non-member livestock farms fell below 50 </w:t>
      </w:r>
      <w:r w:rsidRPr="00E726E6">
        <w:rPr>
          <w:i/>
          <w:color w:val="FF0000"/>
        </w:rPr>
        <w:t>per cent</w:t>
      </w:r>
      <w:r w:rsidRPr="00E726E6">
        <w:rPr>
          <w:i/>
        </w:rPr>
        <w:t xml:space="preserve">. These results </w:t>
      </w:r>
      <w:proofErr w:type="spellStart"/>
      <w:r w:rsidR="00DB2BB4" w:rsidRPr="00E726E6">
        <w:rPr>
          <w:i/>
        </w:rPr>
        <w:t>emphasise</w:t>
      </w:r>
      <w:proofErr w:type="spellEnd"/>
      <w:r w:rsidR="00DB2BB4" w:rsidRPr="00E726E6">
        <w:rPr>
          <w:i/>
        </w:rPr>
        <w:t xml:space="preserve"> </w:t>
      </w:r>
      <w:r w:rsidRPr="00E726E6">
        <w:rPr>
          <w:i/>
        </w:rPr>
        <w:t xml:space="preserve">the efficiency advantages of </w:t>
      </w:r>
      <w:r w:rsidRPr="00E726E6">
        <w:rPr>
          <w:i/>
          <w:color w:val="FF0000"/>
        </w:rPr>
        <w:t>FPO</w:t>
      </w:r>
      <w:r w:rsidRPr="00E726E6">
        <w:rPr>
          <w:i/>
        </w:rPr>
        <w:t xml:space="preserve"> membership.</w:t>
      </w:r>
    </w:p>
    <w:p w14:paraId="56191AD8" w14:textId="77777777" w:rsidR="00927326" w:rsidRPr="00E726E6" w:rsidRDefault="00927326" w:rsidP="00927326">
      <w:pPr>
        <w:pStyle w:val="NormalWeb"/>
        <w:spacing w:before="0" w:beforeAutospacing="0" w:after="0" w:afterAutospacing="0" w:line="276" w:lineRule="auto"/>
        <w:ind w:firstLine="720"/>
        <w:jc w:val="both"/>
        <w:rPr>
          <w:i/>
        </w:rPr>
      </w:pPr>
    </w:p>
    <w:p w14:paraId="1C27B46D" w14:textId="113281A9" w:rsidR="00FB405C" w:rsidRPr="00E726E6" w:rsidRDefault="00927326" w:rsidP="00927326">
      <w:pPr>
        <w:jc w:val="both"/>
        <w:rPr>
          <w:rFonts w:ascii="Times New Roman" w:hAnsi="Times New Roman" w:cs="Times New Roman"/>
          <w:i/>
          <w:sz w:val="24"/>
        </w:rPr>
      </w:pPr>
      <w:r w:rsidRPr="00E726E6">
        <w:rPr>
          <w:rFonts w:ascii="Times New Roman" w:hAnsi="Times New Roman" w:cs="Times New Roman"/>
          <w:b/>
          <w:i/>
          <w:sz w:val="24"/>
        </w:rPr>
        <w:t xml:space="preserve">Keywords: </w:t>
      </w:r>
      <w:r w:rsidRPr="00E726E6">
        <w:rPr>
          <w:rFonts w:ascii="Times New Roman" w:hAnsi="Times New Roman" w:cs="Times New Roman"/>
          <w:i/>
          <w:sz w:val="24"/>
        </w:rPr>
        <w:t xml:space="preserve">Technical Efficiency, Allocative Efficiency, Economic Efficiency, </w:t>
      </w:r>
      <w:r w:rsidR="00DB2BB4" w:rsidRPr="00E726E6">
        <w:rPr>
          <w:rFonts w:ascii="Times New Roman" w:hAnsi="Times New Roman" w:cs="Times New Roman"/>
          <w:i/>
          <w:sz w:val="24"/>
        </w:rPr>
        <w:t>Farmer-</w:t>
      </w:r>
      <w:r w:rsidRPr="00E726E6">
        <w:rPr>
          <w:rFonts w:ascii="Times New Roman" w:hAnsi="Times New Roman" w:cs="Times New Roman"/>
          <w:i/>
          <w:sz w:val="24"/>
        </w:rPr>
        <w:t xml:space="preserve">Producer </w:t>
      </w:r>
      <w:proofErr w:type="spellStart"/>
      <w:r w:rsidR="00DB2BB4" w:rsidRPr="00E726E6">
        <w:rPr>
          <w:rFonts w:ascii="Times New Roman" w:hAnsi="Times New Roman" w:cs="Times New Roman"/>
          <w:i/>
          <w:sz w:val="24"/>
        </w:rPr>
        <w:t>Organisations</w:t>
      </w:r>
      <w:proofErr w:type="spellEnd"/>
      <w:r w:rsidRPr="00E726E6">
        <w:rPr>
          <w:rFonts w:ascii="Times New Roman" w:hAnsi="Times New Roman" w:cs="Times New Roman"/>
          <w:i/>
          <w:sz w:val="24"/>
        </w:rPr>
        <w:t>, Data Envelopment Analysis</w:t>
      </w:r>
    </w:p>
    <w:p w14:paraId="3A4178EA" w14:textId="77777777" w:rsidR="00927326" w:rsidRPr="00E726E6" w:rsidRDefault="00927326" w:rsidP="00927326">
      <w:pPr>
        <w:pStyle w:val="NormalWeb"/>
        <w:spacing w:before="0" w:beforeAutospacing="0" w:after="0" w:afterAutospacing="0" w:line="360" w:lineRule="auto"/>
        <w:jc w:val="both"/>
      </w:pPr>
      <w:r w:rsidRPr="00E726E6">
        <w:rPr>
          <w:rStyle w:val="Gl"/>
        </w:rPr>
        <w:t xml:space="preserve"> INTRODUCTION</w:t>
      </w:r>
      <w:r w:rsidRPr="00E726E6">
        <w:t xml:space="preserve"> </w:t>
      </w:r>
    </w:p>
    <w:p w14:paraId="43C131EF" w14:textId="6B7A81FA" w:rsidR="00A54231" w:rsidRPr="00E726E6" w:rsidRDefault="00927326" w:rsidP="00A54231">
      <w:pPr>
        <w:pStyle w:val="NormalWeb"/>
        <w:spacing w:before="0" w:beforeAutospacing="0" w:after="0" w:afterAutospacing="0" w:line="360" w:lineRule="auto"/>
        <w:ind w:firstLine="720"/>
        <w:jc w:val="both"/>
      </w:pPr>
      <w:r w:rsidRPr="00E726E6">
        <w:t xml:space="preserve">Agriculture plays a crucial role in rural economies, and smallholder farmers often face challenges related to low productivity, limited market access, and resource inefficiency. </w:t>
      </w:r>
      <w:r w:rsidR="00DB2BB4" w:rsidRPr="00E726E6">
        <w:t>Farmer-</w:t>
      </w:r>
      <w:r w:rsidRPr="00E726E6">
        <w:t xml:space="preserve">Producer </w:t>
      </w:r>
      <w:proofErr w:type="spellStart"/>
      <w:r w:rsidR="00DB2BB4" w:rsidRPr="00E726E6">
        <w:t>Organisations</w:t>
      </w:r>
      <w:proofErr w:type="spellEnd"/>
      <w:r w:rsidR="00DB2BB4" w:rsidRPr="00E726E6">
        <w:t xml:space="preserve"> </w:t>
      </w:r>
      <w:r w:rsidRPr="00E726E6">
        <w:t>(FPOs) have emerged as a strategic solution to address these challenges by enabling collective action. By aggregating small and marginal farmers, FPOs help in improving bargaining power, reducing transaction costs, and ensuring better access to financial and technical resources.</w:t>
      </w:r>
      <w:r w:rsidR="003B4E9F" w:rsidRPr="00E726E6">
        <w:t xml:space="preserve"> FPO may be able to assist small farmers in overcoming some of the more established obstacles they face, such as declining productivity, inadequate produce, low levels of competitiveness, difficult market access, </w:t>
      </w:r>
      <w:proofErr w:type="spellStart"/>
      <w:r w:rsidR="003B4E9F" w:rsidRPr="00E726E6">
        <w:t>etc</w:t>
      </w:r>
      <w:proofErr w:type="spellEnd"/>
      <w:r w:rsidR="00A625DD" w:rsidRPr="00E726E6">
        <w:t xml:space="preserve"> (</w:t>
      </w:r>
      <w:proofErr w:type="spellStart"/>
      <w:r w:rsidR="00A625DD" w:rsidRPr="00E726E6">
        <w:t>Sinega</w:t>
      </w:r>
      <w:proofErr w:type="spellEnd"/>
      <w:r w:rsidR="00A625DD" w:rsidRPr="00E726E6">
        <w:t xml:space="preserve"> et al., 2024)</w:t>
      </w:r>
      <w:r w:rsidR="003B4E9F" w:rsidRPr="00E726E6">
        <w:t>.</w:t>
      </w:r>
    </w:p>
    <w:p w14:paraId="305C9285" w14:textId="3253611C" w:rsidR="00927326" w:rsidRPr="00E726E6" w:rsidRDefault="00927326" w:rsidP="00A54231">
      <w:pPr>
        <w:pStyle w:val="NormalWeb"/>
        <w:spacing w:before="0" w:beforeAutospacing="0" w:after="0" w:afterAutospacing="0" w:line="360" w:lineRule="auto"/>
        <w:ind w:firstLine="720"/>
        <w:jc w:val="both"/>
      </w:pPr>
      <w:r w:rsidRPr="00E726E6">
        <w:t xml:space="preserve">Efficiency in farming is vital for sustainable agricultural growth, and differences in efficiency between member and non-member farmers can provide insights into the effectiveness of FPOs. Data Envelopment Analysis (DEA) is a widely used technique to measure efficiency levels by evaluating input-output relationships. This study employs DEA to compare the efficiency levels of FPO members and non-members across four agricultural sectors: agricultural commodities, vegetables, fruits, and livestock. </w:t>
      </w:r>
      <w:r w:rsidR="00B40374" w:rsidRPr="00E726E6">
        <w:t xml:space="preserve">FPO participation has a statistically significant positive influence on the variety of technologies accepted by farmers, </w:t>
      </w:r>
      <w:r w:rsidR="00B40374" w:rsidRPr="00E726E6">
        <w:lastRenderedPageBreak/>
        <w:t>with FPO members embracing 1.5 times more technologies than non-members</w:t>
      </w:r>
      <w:r w:rsidR="005B2640" w:rsidRPr="00E726E6">
        <w:t xml:space="preserve"> (</w:t>
      </w:r>
      <w:proofErr w:type="spellStart"/>
      <w:r w:rsidR="005B2640" w:rsidRPr="00E726E6">
        <w:t>Radadiya</w:t>
      </w:r>
      <w:proofErr w:type="spellEnd"/>
      <w:r w:rsidR="005B2640" w:rsidRPr="00E726E6">
        <w:t xml:space="preserve"> &amp; Lad, 2024).</w:t>
      </w:r>
      <w:r w:rsidR="00B40374" w:rsidRPr="00E726E6">
        <w:t xml:space="preserve">  </w:t>
      </w:r>
      <w:r w:rsidRPr="00E726E6">
        <w:t xml:space="preserve">By </w:t>
      </w:r>
      <w:proofErr w:type="spellStart"/>
      <w:r w:rsidR="00DB2BB4" w:rsidRPr="00E726E6">
        <w:t>analysing</w:t>
      </w:r>
      <w:proofErr w:type="spellEnd"/>
      <w:r w:rsidR="00DB2BB4" w:rsidRPr="00E726E6">
        <w:t xml:space="preserve"> </w:t>
      </w:r>
      <w:r w:rsidRPr="00E726E6">
        <w:t>various efficiency parameters, this research aims to assess whether FPO membership contributes to improved farming efficiency and identify areas where interventions may be needed to enhance overall productivity.</w:t>
      </w:r>
    </w:p>
    <w:p w14:paraId="6A6DB515" w14:textId="77777777" w:rsidR="00083D2F" w:rsidRPr="00E726E6" w:rsidRDefault="00083D2F" w:rsidP="00083D2F">
      <w:pPr>
        <w:spacing w:after="0" w:line="360" w:lineRule="auto"/>
        <w:jc w:val="both"/>
        <w:rPr>
          <w:rFonts w:ascii="Times New Roman" w:eastAsia="Times New Roman" w:hAnsi="Times New Roman" w:cs="Times New Roman"/>
          <w:sz w:val="24"/>
          <w:szCs w:val="24"/>
        </w:rPr>
      </w:pPr>
      <w:r w:rsidRPr="00E726E6">
        <w:rPr>
          <w:rFonts w:ascii="Times New Roman" w:eastAsia="Times New Roman" w:hAnsi="Times New Roman" w:cs="Times New Roman"/>
          <w:b/>
          <w:bCs/>
          <w:sz w:val="24"/>
          <w:szCs w:val="24"/>
        </w:rPr>
        <w:t>METHODOLOGY</w:t>
      </w:r>
      <w:r w:rsidRPr="00E726E6">
        <w:rPr>
          <w:rFonts w:ascii="Times New Roman" w:eastAsia="Times New Roman" w:hAnsi="Times New Roman" w:cs="Times New Roman"/>
          <w:sz w:val="24"/>
          <w:szCs w:val="24"/>
        </w:rPr>
        <w:t xml:space="preserve"> </w:t>
      </w:r>
    </w:p>
    <w:p w14:paraId="0DC8CC63" w14:textId="77777777" w:rsidR="00083D2F" w:rsidRPr="00E726E6" w:rsidRDefault="00083D2F" w:rsidP="00083D2F">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 xml:space="preserve">The study employs </w:t>
      </w:r>
      <w:commentRangeStart w:id="3"/>
      <w:r w:rsidRPr="00E726E6">
        <w:rPr>
          <w:rFonts w:ascii="Times New Roman" w:eastAsia="Times New Roman" w:hAnsi="Times New Roman" w:cs="Times New Roman"/>
          <w:sz w:val="24"/>
          <w:szCs w:val="24"/>
        </w:rPr>
        <w:t>Data Envelopment Analysis (DEA)</w:t>
      </w:r>
      <w:commentRangeEnd w:id="3"/>
      <w:r w:rsidR="006362B3" w:rsidRPr="00E726E6">
        <w:rPr>
          <w:rStyle w:val="AklamaBavurusu"/>
        </w:rPr>
        <w:commentReference w:id="3"/>
      </w:r>
      <w:r w:rsidRPr="00E726E6">
        <w:rPr>
          <w:rFonts w:ascii="Times New Roman" w:eastAsia="Times New Roman" w:hAnsi="Times New Roman" w:cs="Times New Roman"/>
          <w:sz w:val="24"/>
          <w:szCs w:val="24"/>
        </w:rPr>
        <w:t xml:space="preserve"> to assess the efficiency of farmers in four agricultural sectors: agricultural commodities, vegetables, fruits, and livestock. A total of 240 farmers (120 members and 120 non-members) were surveyed, with efficiency scores calculated for each category. The analysis focuses on TE, AE, EE, PTE, and SE, along with the distribution of farmers across different efficiency ranges.</w:t>
      </w:r>
    </w:p>
    <w:p w14:paraId="6B5598B3" w14:textId="7778A518" w:rsidR="00083D2F" w:rsidRPr="00E726E6"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E726E6">
        <w:rPr>
          <w:rFonts w:ascii="Times New Roman" w:hAnsi="Times New Roman"/>
          <w:bCs/>
          <w:sz w:val="24"/>
          <w:szCs w:val="24"/>
        </w:rPr>
        <w:t xml:space="preserve">In </w:t>
      </w:r>
      <w:r w:rsidR="00DB2BB4" w:rsidRPr="00E726E6">
        <w:rPr>
          <w:rFonts w:ascii="Times New Roman" w:hAnsi="Times New Roman"/>
          <w:bCs/>
          <w:sz w:val="24"/>
          <w:szCs w:val="24"/>
        </w:rPr>
        <w:t xml:space="preserve">the </w:t>
      </w:r>
      <w:r w:rsidRPr="00E726E6">
        <w:rPr>
          <w:rFonts w:ascii="Times New Roman" w:hAnsi="Times New Roman"/>
          <w:bCs/>
          <w:sz w:val="24"/>
          <w:szCs w:val="24"/>
        </w:rPr>
        <w:t xml:space="preserve">present study, </w:t>
      </w:r>
      <w:r w:rsidR="00DB2BB4" w:rsidRPr="00E726E6">
        <w:rPr>
          <w:rFonts w:ascii="Times New Roman" w:hAnsi="Times New Roman"/>
          <w:bCs/>
          <w:sz w:val="24"/>
          <w:szCs w:val="24"/>
        </w:rPr>
        <w:t xml:space="preserve">the </w:t>
      </w:r>
      <w:r w:rsidRPr="00E726E6">
        <w:rPr>
          <w:rFonts w:ascii="Times New Roman" w:hAnsi="Times New Roman"/>
          <w:bCs/>
          <w:sz w:val="24"/>
          <w:szCs w:val="24"/>
        </w:rPr>
        <w:t>Data Envelopment Analysis model was used to estimate the technical, scale and economic efficiencies. DEA uses linear programming to construct the efficient frontier with the best performing observations of the sample used, so that the frontier envelops all observations (</w:t>
      </w:r>
      <w:proofErr w:type="spellStart"/>
      <w:r w:rsidRPr="00E726E6">
        <w:rPr>
          <w:rFonts w:ascii="Times New Roman" w:hAnsi="Times New Roman"/>
          <w:bCs/>
          <w:sz w:val="24"/>
          <w:szCs w:val="24"/>
        </w:rPr>
        <w:t>Charnes</w:t>
      </w:r>
      <w:proofErr w:type="spellEnd"/>
      <w:r w:rsidRPr="00E726E6">
        <w:rPr>
          <w:rFonts w:ascii="Times New Roman" w:hAnsi="Times New Roman"/>
          <w:bCs/>
          <w:sz w:val="24"/>
          <w:szCs w:val="24"/>
        </w:rPr>
        <w:t xml:space="preserve"> </w:t>
      </w:r>
      <w:r w:rsidRPr="00E726E6">
        <w:rPr>
          <w:rFonts w:ascii="Times New Roman" w:hAnsi="Times New Roman"/>
          <w:bCs/>
          <w:i/>
          <w:sz w:val="24"/>
          <w:szCs w:val="24"/>
        </w:rPr>
        <w:t>et al.,</w:t>
      </w:r>
      <w:r w:rsidRPr="00E726E6">
        <w:rPr>
          <w:rFonts w:ascii="Times New Roman" w:hAnsi="Times New Roman"/>
          <w:bCs/>
          <w:sz w:val="24"/>
          <w:szCs w:val="24"/>
        </w:rPr>
        <w:t xml:space="preserve"> 1978). The distance from a farm to the frontier provides a measure of its efficiency. DEA also enables to assess</w:t>
      </w:r>
      <w:r w:rsidR="00DB2BB4" w:rsidRPr="00E726E6">
        <w:rPr>
          <w:rFonts w:ascii="Times New Roman" w:hAnsi="Times New Roman"/>
          <w:bCs/>
          <w:sz w:val="24"/>
          <w:szCs w:val="24"/>
        </w:rPr>
        <w:t>ment</w:t>
      </w:r>
      <w:r w:rsidRPr="00E726E6">
        <w:rPr>
          <w:rFonts w:ascii="Times New Roman" w:hAnsi="Times New Roman"/>
          <w:bCs/>
          <w:sz w:val="24"/>
          <w:szCs w:val="24"/>
        </w:rPr>
        <w:t xml:space="preserve"> under which returns to scale each farm operates and to calculate their scale inefficiency. Calculating efficiency under the assumption of constant returns to scale (CRS) gives the ‘</w:t>
      </w:r>
      <w:r w:rsidRPr="00E726E6">
        <w:rPr>
          <w:rFonts w:ascii="Times New Roman" w:hAnsi="Times New Roman"/>
          <w:bCs/>
          <w:i/>
          <w:sz w:val="24"/>
          <w:szCs w:val="24"/>
        </w:rPr>
        <w:t>overall technical efficiency’</w:t>
      </w:r>
      <w:r w:rsidRPr="00E726E6">
        <w:rPr>
          <w:rFonts w:ascii="Times New Roman" w:hAnsi="Times New Roman"/>
          <w:bCs/>
          <w:sz w:val="24"/>
          <w:szCs w:val="24"/>
        </w:rPr>
        <w:t xml:space="preserve"> score, while assuming variable returns to scale (VRS) allows calculating one component of this total efficiency score, namely the ‘pure technical efficiency’. The latter captures the management practices, while the residual between total technical efficiency and pure technical efficiency shows whether the farm operates under optimal farm size. This residual is called ‘scale efficiency’. Estimated efficiency scores </w:t>
      </w:r>
      <w:r w:rsidR="00DB2BB4" w:rsidRPr="00E726E6">
        <w:rPr>
          <w:rFonts w:ascii="Times New Roman" w:hAnsi="Times New Roman"/>
          <w:bCs/>
          <w:sz w:val="24"/>
          <w:szCs w:val="24"/>
        </w:rPr>
        <w:t>range</w:t>
      </w:r>
      <w:r w:rsidRPr="00E726E6">
        <w:rPr>
          <w:rFonts w:ascii="Times New Roman" w:hAnsi="Times New Roman"/>
          <w:bCs/>
          <w:sz w:val="24"/>
          <w:szCs w:val="24"/>
        </w:rPr>
        <w:t xml:space="preserve"> from 0 to 1. This means that a farm is operating under fully efficient condition</w:t>
      </w:r>
      <w:r w:rsidR="00DB2BB4" w:rsidRPr="00E726E6">
        <w:rPr>
          <w:rFonts w:ascii="Times New Roman" w:hAnsi="Times New Roman"/>
          <w:bCs/>
          <w:sz w:val="24"/>
          <w:szCs w:val="24"/>
        </w:rPr>
        <w:t>s</w:t>
      </w:r>
      <w:r w:rsidRPr="00E726E6">
        <w:rPr>
          <w:rFonts w:ascii="Times New Roman" w:hAnsi="Times New Roman"/>
          <w:bCs/>
          <w:sz w:val="24"/>
          <w:szCs w:val="24"/>
        </w:rPr>
        <w:t xml:space="preserve"> when the efficiency score is one. Thus, the </w:t>
      </w:r>
      <w:r w:rsidR="00DB2BB4" w:rsidRPr="00E726E6">
        <w:rPr>
          <w:rFonts w:ascii="Times New Roman" w:hAnsi="Times New Roman"/>
          <w:bCs/>
          <w:sz w:val="24"/>
          <w:szCs w:val="24"/>
        </w:rPr>
        <w:t>input-</w:t>
      </w:r>
      <w:r w:rsidRPr="00E726E6">
        <w:rPr>
          <w:rFonts w:ascii="Times New Roman" w:hAnsi="Times New Roman"/>
          <w:bCs/>
          <w:sz w:val="24"/>
          <w:szCs w:val="24"/>
        </w:rPr>
        <w:t>oriented DEA (</w:t>
      </w:r>
      <w:proofErr w:type="spellStart"/>
      <w:r w:rsidR="00DB2BB4" w:rsidRPr="00E726E6">
        <w:rPr>
          <w:rFonts w:ascii="Times New Roman" w:hAnsi="Times New Roman"/>
          <w:bCs/>
          <w:sz w:val="24"/>
          <w:szCs w:val="24"/>
        </w:rPr>
        <w:t>minimising</w:t>
      </w:r>
      <w:proofErr w:type="spellEnd"/>
      <w:r w:rsidR="00DB2BB4" w:rsidRPr="00E726E6">
        <w:rPr>
          <w:rFonts w:ascii="Times New Roman" w:hAnsi="Times New Roman"/>
          <w:bCs/>
          <w:sz w:val="24"/>
          <w:szCs w:val="24"/>
        </w:rPr>
        <w:t xml:space="preserve"> </w:t>
      </w:r>
      <w:r w:rsidRPr="00E726E6">
        <w:rPr>
          <w:rFonts w:ascii="Times New Roman" w:hAnsi="Times New Roman"/>
          <w:bCs/>
          <w:sz w:val="24"/>
          <w:szCs w:val="24"/>
        </w:rPr>
        <w:t xml:space="preserve">input use to obtain a particular output level) was used to estimate both constant returns to scale (CRS) and variable returns to scale (VRS) models. Under the assumption of constant returns to scale, the following </w:t>
      </w:r>
      <w:r w:rsidR="00DB2BB4" w:rsidRPr="00E726E6">
        <w:rPr>
          <w:rFonts w:ascii="Times New Roman" w:hAnsi="Times New Roman"/>
          <w:bCs/>
          <w:sz w:val="24"/>
          <w:szCs w:val="24"/>
        </w:rPr>
        <w:t>input-</w:t>
      </w:r>
      <w:r w:rsidRPr="00E726E6">
        <w:rPr>
          <w:rFonts w:ascii="Times New Roman" w:hAnsi="Times New Roman"/>
          <w:bCs/>
          <w:sz w:val="24"/>
          <w:szCs w:val="24"/>
        </w:rPr>
        <w:t>oriented linear programming model was used to measure the overall technical efficiency of paddy farms (</w:t>
      </w:r>
      <w:proofErr w:type="spellStart"/>
      <w:r w:rsidRPr="00E726E6">
        <w:rPr>
          <w:rFonts w:ascii="Times New Roman" w:hAnsi="Times New Roman"/>
          <w:bCs/>
          <w:sz w:val="24"/>
          <w:szCs w:val="24"/>
        </w:rPr>
        <w:t>Coelli</w:t>
      </w:r>
      <w:proofErr w:type="spellEnd"/>
      <w:r w:rsidRPr="00E726E6">
        <w:rPr>
          <w:rFonts w:ascii="Times New Roman" w:hAnsi="Times New Roman"/>
          <w:bCs/>
          <w:sz w:val="24"/>
          <w:szCs w:val="24"/>
        </w:rPr>
        <w:t xml:space="preserve"> et al., 1998):</w:t>
      </w:r>
    </w:p>
    <w:p w14:paraId="4DD007B5"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bCs/>
          <w:sz w:val="24"/>
          <w:szCs w:val="24"/>
        </w:rPr>
      </w:pPr>
      <w:proofErr w:type="spellStart"/>
      <w:r w:rsidRPr="00E726E6">
        <w:rPr>
          <w:rFonts w:ascii="Times New Roman" w:hAnsi="Times New Roman"/>
          <w:bCs/>
          <w:sz w:val="24"/>
          <w:szCs w:val="24"/>
        </w:rPr>
        <w:t>Min</w:t>
      </w:r>
      <w:proofErr w:type="gramStart"/>
      <w:r w:rsidRPr="00E726E6">
        <w:rPr>
          <w:rFonts w:ascii="Times New Roman" w:hAnsi="Times New Roman"/>
          <w:bCs/>
          <w:sz w:val="24"/>
          <w:szCs w:val="24"/>
          <w:vertAlign w:val="subscript"/>
        </w:rPr>
        <w:t>θ</w:t>
      </w:r>
      <w:r w:rsidRPr="00E726E6">
        <w:rPr>
          <w:rFonts w:ascii="Times New Roman" w:hAnsi="Times New Roman"/>
          <w:bCs/>
          <w:sz w:val="24"/>
          <w:szCs w:val="24"/>
        </w:rPr>
        <w:t>,</w:t>
      </w:r>
      <w:r w:rsidRPr="00E726E6">
        <w:rPr>
          <w:rFonts w:ascii="Times New Roman" w:hAnsi="Times New Roman"/>
          <w:bCs/>
          <w:sz w:val="24"/>
          <w:szCs w:val="24"/>
          <w:vertAlign w:val="subscript"/>
        </w:rPr>
        <w:t>λ</w:t>
      </w:r>
      <w:proofErr w:type="spellEnd"/>
      <w:proofErr w:type="gramEnd"/>
      <w:r w:rsidRPr="00E726E6">
        <w:rPr>
          <w:rFonts w:ascii="Times New Roman" w:hAnsi="Times New Roman"/>
          <w:bCs/>
          <w:sz w:val="24"/>
          <w:szCs w:val="24"/>
        </w:rPr>
        <w:t xml:space="preserve"> θ</w:t>
      </w:r>
    </w:p>
    <w:p w14:paraId="40C48E2F" w14:textId="77777777" w:rsidR="00083D2F" w:rsidRPr="00E726E6" w:rsidRDefault="00083D2F" w:rsidP="00A77639">
      <w:pPr>
        <w:autoSpaceDE w:val="0"/>
        <w:autoSpaceDN w:val="0"/>
        <w:adjustRightInd w:val="0"/>
        <w:spacing w:after="0" w:line="360" w:lineRule="auto"/>
        <w:ind w:left="720" w:firstLine="720"/>
        <w:jc w:val="both"/>
        <w:rPr>
          <w:rFonts w:ascii="Times New Roman" w:hAnsi="Times New Roman"/>
          <w:bCs/>
          <w:sz w:val="24"/>
          <w:szCs w:val="24"/>
        </w:rPr>
      </w:pPr>
      <w:r w:rsidRPr="00E726E6">
        <w:rPr>
          <w:rFonts w:ascii="Times New Roman" w:hAnsi="Times New Roman"/>
          <w:bCs/>
          <w:sz w:val="24"/>
          <w:szCs w:val="24"/>
        </w:rPr>
        <w:t xml:space="preserve">Subject to </w:t>
      </w:r>
    </w:p>
    <w:p w14:paraId="4F8F7C56"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E726E6">
        <w:rPr>
          <w:rFonts w:ascii="Times New Roman" w:hAnsi="Times New Roman"/>
          <w:bCs/>
          <w:sz w:val="24"/>
          <w:szCs w:val="24"/>
        </w:rPr>
        <w:t xml:space="preserve">                 </w:t>
      </w:r>
      <w:r w:rsidRPr="00E726E6">
        <w:rPr>
          <w:rFonts w:ascii="Times New Roman" w:hAnsi="Times New Roman"/>
          <w:bCs/>
          <w:sz w:val="24"/>
          <w:szCs w:val="24"/>
        </w:rPr>
        <w:tab/>
        <w:t xml:space="preserve">   -</w:t>
      </w:r>
      <w:proofErr w:type="spellStart"/>
      <w:r w:rsidRPr="00E726E6">
        <w:rPr>
          <w:rFonts w:ascii="Times New Roman" w:hAnsi="Times New Roman"/>
          <w:bCs/>
          <w:sz w:val="24"/>
          <w:szCs w:val="24"/>
        </w:rPr>
        <w:t>y+Yλ</w:t>
      </w:r>
      <w:proofErr w:type="spellEnd"/>
      <w:r w:rsidRPr="00E726E6">
        <w:rPr>
          <w:rFonts w:ascii="Times New Roman" w:hAnsi="Times New Roman"/>
          <w:bCs/>
          <w:sz w:val="24"/>
          <w:szCs w:val="24"/>
        </w:rPr>
        <w:t xml:space="preserve"> ≥ 0</w:t>
      </w:r>
    </w:p>
    <w:p w14:paraId="4EA1D239"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E726E6">
        <w:rPr>
          <w:rFonts w:ascii="Times New Roman" w:hAnsi="Times New Roman"/>
          <w:bCs/>
          <w:sz w:val="24"/>
          <w:szCs w:val="24"/>
        </w:rPr>
        <w:t xml:space="preserve">               </w:t>
      </w:r>
      <w:r w:rsidRPr="00E726E6">
        <w:rPr>
          <w:rFonts w:ascii="Times New Roman" w:hAnsi="Times New Roman"/>
          <w:bCs/>
          <w:sz w:val="24"/>
          <w:szCs w:val="24"/>
        </w:rPr>
        <w:tab/>
        <w:t xml:space="preserve">    </w:t>
      </w:r>
      <w:proofErr w:type="spellStart"/>
      <w:r w:rsidRPr="00E726E6">
        <w:rPr>
          <w:rFonts w:ascii="Times New Roman" w:hAnsi="Times New Roman"/>
          <w:bCs/>
          <w:sz w:val="24"/>
          <w:szCs w:val="24"/>
        </w:rPr>
        <w:t>θx</w:t>
      </w:r>
      <w:r w:rsidRPr="00E726E6">
        <w:rPr>
          <w:rFonts w:ascii="Times New Roman" w:hAnsi="Times New Roman"/>
          <w:bCs/>
          <w:sz w:val="24"/>
          <w:szCs w:val="24"/>
          <w:vertAlign w:val="subscript"/>
        </w:rPr>
        <w:t>i</w:t>
      </w:r>
      <w:r w:rsidRPr="00E726E6">
        <w:rPr>
          <w:rFonts w:ascii="Times New Roman" w:hAnsi="Times New Roman"/>
          <w:bCs/>
          <w:sz w:val="24"/>
          <w:szCs w:val="24"/>
        </w:rPr>
        <w:t>-Xλ</w:t>
      </w:r>
      <w:proofErr w:type="spellEnd"/>
      <w:r w:rsidRPr="00E726E6">
        <w:rPr>
          <w:rFonts w:ascii="Times New Roman" w:hAnsi="Times New Roman"/>
          <w:bCs/>
          <w:sz w:val="24"/>
          <w:szCs w:val="24"/>
        </w:rPr>
        <w:t xml:space="preserve"> ≥ 0</w:t>
      </w:r>
    </w:p>
    <w:p w14:paraId="310AAC86"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E726E6">
        <w:rPr>
          <w:rFonts w:ascii="Times New Roman" w:hAnsi="Times New Roman"/>
          <w:bCs/>
          <w:sz w:val="24"/>
          <w:szCs w:val="24"/>
        </w:rPr>
        <w:t xml:space="preserve">                      </w:t>
      </w:r>
      <w:r w:rsidRPr="00E726E6">
        <w:rPr>
          <w:rFonts w:ascii="Times New Roman" w:hAnsi="Times New Roman"/>
          <w:bCs/>
          <w:sz w:val="24"/>
          <w:szCs w:val="24"/>
        </w:rPr>
        <w:tab/>
        <w:t xml:space="preserve">     λ ≥ 0                                                                                       </w:t>
      </w:r>
      <w:proofErr w:type="gramStart"/>
      <w:r w:rsidRPr="00E726E6">
        <w:rPr>
          <w:rFonts w:ascii="Times New Roman" w:hAnsi="Times New Roman"/>
          <w:bCs/>
          <w:sz w:val="24"/>
          <w:szCs w:val="24"/>
        </w:rPr>
        <w:t xml:space="preserve">   (</w:t>
      </w:r>
      <w:proofErr w:type="gramEnd"/>
      <w:r w:rsidRPr="00E726E6">
        <w:rPr>
          <w:rFonts w:ascii="Times New Roman" w:hAnsi="Times New Roman"/>
          <w:bCs/>
          <w:sz w:val="24"/>
          <w:szCs w:val="24"/>
        </w:rPr>
        <w:t>1)</w:t>
      </w:r>
    </w:p>
    <w:p w14:paraId="01896607" w14:textId="77777777" w:rsidR="00083D2F" w:rsidRPr="00E726E6" w:rsidRDefault="00083D2F" w:rsidP="00083D2F">
      <w:pPr>
        <w:autoSpaceDE w:val="0"/>
        <w:autoSpaceDN w:val="0"/>
        <w:adjustRightInd w:val="0"/>
        <w:spacing w:after="0" w:line="360" w:lineRule="auto"/>
        <w:ind w:firstLine="720"/>
        <w:rPr>
          <w:rFonts w:ascii="Times New Roman" w:hAnsi="Times New Roman"/>
          <w:sz w:val="24"/>
          <w:szCs w:val="24"/>
        </w:rPr>
      </w:pPr>
      <w:r w:rsidRPr="00E726E6">
        <w:rPr>
          <w:rFonts w:ascii="Times New Roman" w:hAnsi="Times New Roman"/>
          <w:sz w:val="24"/>
          <w:szCs w:val="24"/>
        </w:rPr>
        <w:t>where,</w:t>
      </w:r>
    </w:p>
    <w:p w14:paraId="0F1BC9C0" w14:textId="77777777" w:rsidR="00083D2F" w:rsidRPr="00E726E6" w:rsidRDefault="00083D2F" w:rsidP="008207E3">
      <w:pPr>
        <w:autoSpaceDE w:val="0"/>
        <w:autoSpaceDN w:val="0"/>
        <w:adjustRightInd w:val="0"/>
        <w:spacing w:after="0" w:line="360" w:lineRule="auto"/>
        <w:ind w:left="720" w:firstLine="720"/>
        <w:rPr>
          <w:rFonts w:ascii="Times New Roman" w:hAnsi="Times New Roman"/>
          <w:sz w:val="24"/>
          <w:szCs w:val="24"/>
        </w:rPr>
      </w:pPr>
      <w:proofErr w:type="spellStart"/>
      <w:r w:rsidRPr="00E726E6">
        <w:rPr>
          <w:rFonts w:ascii="Times New Roman" w:hAnsi="Times New Roman"/>
          <w:sz w:val="24"/>
          <w:szCs w:val="24"/>
        </w:rPr>
        <w:lastRenderedPageBreak/>
        <w:t>y</w:t>
      </w:r>
      <w:r w:rsidRPr="00E726E6">
        <w:rPr>
          <w:rFonts w:ascii="Times New Roman" w:hAnsi="Times New Roman"/>
          <w:sz w:val="24"/>
          <w:szCs w:val="24"/>
          <w:vertAlign w:val="subscript"/>
        </w:rPr>
        <w:t>i</w:t>
      </w:r>
      <w:proofErr w:type="spellEnd"/>
      <w:r w:rsidRPr="00E726E6">
        <w:rPr>
          <w:rFonts w:ascii="Times New Roman" w:hAnsi="Times New Roman"/>
          <w:sz w:val="24"/>
          <w:szCs w:val="24"/>
        </w:rPr>
        <w:t xml:space="preserve"> is a </w:t>
      </w:r>
      <w:r w:rsidRPr="00E726E6">
        <w:rPr>
          <w:rFonts w:ascii="Times New Roman" w:hAnsi="Times New Roman"/>
          <w:i/>
          <w:iCs/>
          <w:sz w:val="24"/>
          <w:szCs w:val="24"/>
        </w:rPr>
        <w:t xml:space="preserve">m × 1 </w:t>
      </w:r>
      <w:r w:rsidRPr="00E726E6">
        <w:rPr>
          <w:rFonts w:ascii="Times New Roman" w:hAnsi="Times New Roman"/>
          <w:sz w:val="24"/>
          <w:szCs w:val="24"/>
        </w:rPr>
        <w:t xml:space="preserve">vector matrix of output for </w:t>
      </w:r>
      <w:proofErr w:type="spellStart"/>
      <w:r w:rsidRPr="00E726E6">
        <w:rPr>
          <w:rFonts w:ascii="Times New Roman" w:hAnsi="Times New Roman"/>
          <w:sz w:val="24"/>
          <w:szCs w:val="24"/>
          <w:vertAlign w:val="subscript"/>
        </w:rPr>
        <w:t>i</w:t>
      </w:r>
      <w:r w:rsidRPr="00E726E6">
        <w:rPr>
          <w:rFonts w:ascii="Times New Roman" w:hAnsi="Times New Roman"/>
          <w:sz w:val="24"/>
          <w:szCs w:val="24"/>
        </w:rPr>
        <w:t>th</w:t>
      </w:r>
      <w:proofErr w:type="spellEnd"/>
      <w:r w:rsidRPr="00E726E6">
        <w:rPr>
          <w:rFonts w:ascii="Times New Roman" w:hAnsi="Times New Roman"/>
          <w:sz w:val="24"/>
          <w:szCs w:val="24"/>
        </w:rPr>
        <w:t xml:space="preserve"> farm,</w:t>
      </w:r>
    </w:p>
    <w:p w14:paraId="38178EDD" w14:textId="77777777" w:rsidR="00083D2F" w:rsidRPr="00E726E6" w:rsidRDefault="00083D2F" w:rsidP="008207E3">
      <w:pPr>
        <w:autoSpaceDE w:val="0"/>
        <w:autoSpaceDN w:val="0"/>
        <w:adjustRightInd w:val="0"/>
        <w:spacing w:after="0" w:line="360" w:lineRule="auto"/>
        <w:ind w:left="720" w:firstLine="720"/>
        <w:rPr>
          <w:rFonts w:ascii="Times New Roman" w:hAnsi="Times New Roman"/>
          <w:sz w:val="24"/>
          <w:szCs w:val="24"/>
        </w:rPr>
      </w:pPr>
      <w:r w:rsidRPr="00E726E6">
        <w:rPr>
          <w:rFonts w:ascii="Times New Roman" w:hAnsi="Times New Roman"/>
          <w:sz w:val="24"/>
          <w:szCs w:val="24"/>
        </w:rPr>
        <w:t>x</w:t>
      </w:r>
      <w:r w:rsidRPr="00E726E6">
        <w:rPr>
          <w:rFonts w:ascii="Times New Roman" w:hAnsi="Times New Roman"/>
          <w:sz w:val="24"/>
          <w:szCs w:val="24"/>
          <w:vertAlign w:val="subscript"/>
        </w:rPr>
        <w:t>i</w:t>
      </w:r>
      <w:r w:rsidRPr="00E726E6">
        <w:rPr>
          <w:rFonts w:ascii="Times New Roman" w:hAnsi="Times New Roman"/>
          <w:sz w:val="24"/>
          <w:szCs w:val="24"/>
        </w:rPr>
        <w:t xml:space="preserve"> is a </w:t>
      </w:r>
      <w:r w:rsidRPr="00E726E6">
        <w:rPr>
          <w:rFonts w:ascii="Times New Roman" w:hAnsi="Times New Roman"/>
          <w:i/>
          <w:iCs/>
          <w:sz w:val="24"/>
          <w:szCs w:val="24"/>
        </w:rPr>
        <w:t xml:space="preserve">k × 1 </w:t>
      </w:r>
      <w:r w:rsidRPr="00E726E6">
        <w:rPr>
          <w:rFonts w:ascii="Times New Roman" w:hAnsi="Times New Roman"/>
          <w:sz w:val="24"/>
          <w:szCs w:val="24"/>
        </w:rPr>
        <w:t xml:space="preserve">vector matrix of inputs for </w:t>
      </w:r>
      <w:proofErr w:type="spellStart"/>
      <w:r w:rsidRPr="00E726E6">
        <w:rPr>
          <w:rFonts w:ascii="Times New Roman" w:hAnsi="Times New Roman"/>
          <w:sz w:val="24"/>
          <w:szCs w:val="24"/>
          <w:vertAlign w:val="subscript"/>
        </w:rPr>
        <w:t>i</w:t>
      </w:r>
      <w:r w:rsidRPr="00E726E6">
        <w:rPr>
          <w:rFonts w:ascii="Times New Roman" w:hAnsi="Times New Roman"/>
          <w:sz w:val="24"/>
          <w:szCs w:val="24"/>
        </w:rPr>
        <w:t>th</w:t>
      </w:r>
      <w:proofErr w:type="spellEnd"/>
      <w:r w:rsidRPr="00E726E6">
        <w:rPr>
          <w:rFonts w:ascii="Times New Roman" w:hAnsi="Times New Roman"/>
          <w:sz w:val="24"/>
          <w:szCs w:val="24"/>
        </w:rPr>
        <w:t xml:space="preserve"> farm,</w:t>
      </w:r>
    </w:p>
    <w:p w14:paraId="7AD07788" w14:textId="77777777" w:rsidR="00083D2F" w:rsidRPr="00E726E6" w:rsidRDefault="00083D2F" w:rsidP="008207E3">
      <w:pPr>
        <w:autoSpaceDE w:val="0"/>
        <w:autoSpaceDN w:val="0"/>
        <w:adjustRightInd w:val="0"/>
        <w:spacing w:after="0" w:line="360" w:lineRule="auto"/>
        <w:ind w:left="720" w:firstLine="720"/>
        <w:rPr>
          <w:rFonts w:ascii="Times New Roman" w:hAnsi="Times New Roman"/>
          <w:sz w:val="24"/>
          <w:szCs w:val="24"/>
        </w:rPr>
      </w:pPr>
      <w:r w:rsidRPr="00E726E6">
        <w:rPr>
          <w:rFonts w:ascii="Times New Roman" w:hAnsi="Times New Roman"/>
          <w:sz w:val="24"/>
          <w:szCs w:val="24"/>
        </w:rPr>
        <w:t xml:space="preserve">Y is a </w:t>
      </w:r>
      <w:r w:rsidRPr="00E726E6">
        <w:rPr>
          <w:rFonts w:ascii="Times New Roman" w:hAnsi="Times New Roman"/>
          <w:i/>
          <w:iCs/>
          <w:sz w:val="24"/>
          <w:szCs w:val="24"/>
        </w:rPr>
        <w:t xml:space="preserve">n × m </w:t>
      </w:r>
      <w:r w:rsidRPr="00E726E6">
        <w:rPr>
          <w:rFonts w:ascii="Times New Roman" w:hAnsi="Times New Roman"/>
          <w:sz w:val="24"/>
          <w:szCs w:val="24"/>
        </w:rPr>
        <w:t>output matrix for ‘n’ number of farms,</w:t>
      </w:r>
    </w:p>
    <w:p w14:paraId="2A868A41" w14:textId="77777777" w:rsidR="00083D2F" w:rsidRPr="00E726E6" w:rsidRDefault="00083D2F" w:rsidP="008207E3">
      <w:pPr>
        <w:spacing w:line="360" w:lineRule="auto"/>
        <w:ind w:left="720" w:firstLine="720"/>
        <w:jc w:val="both"/>
        <w:rPr>
          <w:rFonts w:ascii="Times New Roman" w:hAnsi="Times New Roman"/>
          <w:sz w:val="24"/>
          <w:szCs w:val="24"/>
        </w:rPr>
      </w:pPr>
      <w:r w:rsidRPr="00E726E6">
        <w:rPr>
          <w:rFonts w:ascii="Times New Roman" w:hAnsi="Times New Roman"/>
          <w:sz w:val="24"/>
          <w:szCs w:val="24"/>
        </w:rPr>
        <w:t xml:space="preserve">X is a </w:t>
      </w:r>
      <w:r w:rsidRPr="00E726E6">
        <w:rPr>
          <w:rFonts w:ascii="Times New Roman" w:hAnsi="Times New Roman"/>
          <w:i/>
          <w:iCs/>
          <w:sz w:val="24"/>
          <w:szCs w:val="24"/>
        </w:rPr>
        <w:t xml:space="preserve">n × k </w:t>
      </w:r>
      <w:r w:rsidRPr="00E726E6">
        <w:rPr>
          <w:rFonts w:ascii="Times New Roman" w:hAnsi="Times New Roman"/>
          <w:sz w:val="24"/>
          <w:szCs w:val="24"/>
        </w:rPr>
        <w:t>input matrix for ‘n’ number of farms,</w:t>
      </w:r>
    </w:p>
    <w:p w14:paraId="06729E2F" w14:textId="6A628C9E"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θ is an efficiency score</w:t>
      </w:r>
      <w:r w:rsidR="00DB2BB4" w:rsidRPr="00E726E6">
        <w:rPr>
          <w:rFonts w:ascii="Times New Roman" w:hAnsi="Times New Roman"/>
          <w:sz w:val="24"/>
          <w:szCs w:val="24"/>
        </w:rPr>
        <w:t xml:space="preserve">; </w:t>
      </w:r>
      <w:r w:rsidRPr="00E726E6">
        <w:rPr>
          <w:rFonts w:ascii="Times New Roman" w:hAnsi="Times New Roman"/>
          <w:sz w:val="24"/>
          <w:szCs w:val="24"/>
        </w:rPr>
        <w:t>it is a scalar whose value would be the efficiency measure for each ‘</w:t>
      </w:r>
      <w:proofErr w:type="spellStart"/>
      <w:r w:rsidRPr="00E726E6">
        <w:rPr>
          <w:rFonts w:ascii="Times New Roman" w:hAnsi="Times New Roman"/>
          <w:sz w:val="24"/>
          <w:szCs w:val="24"/>
        </w:rPr>
        <w:t>i</w:t>
      </w:r>
      <w:proofErr w:type="spellEnd"/>
      <w:r w:rsidRPr="00E726E6">
        <w:rPr>
          <w:rFonts w:ascii="Times New Roman" w:hAnsi="Times New Roman"/>
          <w:sz w:val="24"/>
          <w:szCs w:val="24"/>
        </w:rPr>
        <w:t>’ farm</w:t>
      </w:r>
      <w:r w:rsidR="00DB2BB4" w:rsidRPr="00E726E6">
        <w:rPr>
          <w:rFonts w:ascii="Times New Roman" w:hAnsi="Times New Roman"/>
          <w:sz w:val="24"/>
          <w:szCs w:val="24"/>
        </w:rPr>
        <w:t>,</w:t>
      </w:r>
      <w:r w:rsidRPr="00E726E6">
        <w:rPr>
          <w:rFonts w:ascii="Times New Roman" w:hAnsi="Times New Roman"/>
          <w:sz w:val="24"/>
          <w:szCs w:val="24"/>
        </w:rPr>
        <w:t xml:space="preserve"> and it ranges from 0 to 1. If θ = 1, then the farm would be efficient; otherwise, the farm would be below the efficient level, and</w:t>
      </w:r>
    </w:p>
    <w:p w14:paraId="762B17E2" w14:textId="61B96FD3"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 xml:space="preserve"> λ is a </w:t>
      </w:r>
      <w:r w:rsidRPr="00E726E6">
        <w:rPr>
          <w:rFonts w:ascii="Times New Roman" w:hAnsi="Times New Roman"/>
          <w:i/>
          <w:iCs/>
          <w:sz w:val="24"/>
          <w:szCs w:val="24"/>
        </w:rPr>
        <w:t xml:space="preserve">n × 1 </w:t>
      </w:r>
      <w:r w:rsidRPr="00E726E6">
        <w:rPr>
          <w:rFonts w:ascii="Times New Roman" w:hAnsi="Times New Roman"/>
          <w:sz w:val="24"/>
          <w:szCs w:val="24"/>
        </w:rPr>
        <w:t xml:space="preserve">vector of </w:t>
      </w:r>
      <w:r w:rsidR="00DB2BB4" w:rsidRPr="00E726E6">
        <w:rPr>
          <w:rFonts w:ascii="Times New Roman" w:hAnsi="Times New Roman"/>
          <w:sz w:val="24"/>
          <w:szCs w:val="24"/>
        </w:rPr>
        <w:t xml:space="preserve">matrices </w:t>
      </w:r>
      <w:r w:rsidRPr="00E726E6">
        <w:rPr>
          <w:rFonts w:ascii="Times New Roman" w:hAnsi="Times New Roman"/>
          <w:sz w:val="24"/>
          <w:szCs w:val="24"/>
        </w:rPr>
        <w:t>which provides the optimum solution. The λ values are used as weights in the linear combination of other efficient farms for an inefficient farm, which influences the projection of the inefficient farms on the calculated frontier.</w:t>
      </w:r>
    </w:p>
    <w:p w14:paraId="6E403CC0" w14:textId="65AF75DB"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 xml:space="preserve">This CRS is applicable only when all the firms are operating under the optimum scale. But </w:t>
      </w:r>
      <w:r w:rsidR="00DB2BB4" w:rsidRPr="00E726E6">
        <w:rPr>
          <w:rFonts w:ascii="Times New Roman" w:hAnsi="Times New Roman"/>
          <w:sz w:val="24"/>
          <w:szCs w:val="24"/>
        </w:rPr>
        <w:t xml:space="preserve">not </w:t>
      </w:r>
      <w:r w:rsidRPr="00E726E6">
        <w:rPr>
          <w:rFonts w:ascii="Times New Roman" w:hAnsi="Times New Roman"/>
          <w:sz w:val="24"/>
          <w:szCs w:val="24"/>
        </w:rPr>
        <w:t>all firm</w:t>
      </w:r>
      <w:r w:rsidR="00A77639" w:rsidRPr="00E726E6">
        <w:rPr>
          <w:rFonts w:ascii="Times New Roman" w:hAnsi="Times New Roman"/>
          <w:sz w:val="24"/>
          <w:szCs w:val="24"/>
        </w:rPr>
        <w:t>s</w:t>
      </w:r>
      <w:r w:rsidRPr="00E726E6">
        <w:rPr>
          <w:rFonts w:ascii="Times New Roman" w:hAnsi="Times New Roman"/>
          <w:sz w:val="24"/>
          <w:szCs w:val="24"/>
        </w:rPr>
        <w:t xml:space="preserve"> are able to operate under optimum condition</w:t>
      </w:r>
      <w:r w:rsidR="00DB2BB4" w:rsidRPr="00E726E6">
        <w:rPr>
          <w:rFonts w:ascii="Times New Roman" w:hAnsi="Times New Roman"/>
          <w:sz w:val="24"/>
          <w:szCs w:val="24"/>
        </w:rPr>
        <w:t>s</w:t>
      </w:r>
      <w:r w:rsidRPr="00E726E6">
        <w:rPr>
          <w:rFonts w:ascii="Times New Roman" w:hAnsi="Times New Roman"/>
          <w:sz w:val="24"/>
          <w:szCs w:val="24"/>
        </w:rPr>
        <w:t xml:space="preserve"> due to imperfect competition and constraints on finance, etc. So, the estimation under </w:t>
      </w:r>
      <w:r w:rsidR="00DB2BB4" w:rsidRPr="00E726E6">
        <w:rPr>
          <w:rFonts w:ascii="Times New Roman" w:hAnsi="Times New Roman"/>
          <w:sz w:val="24"/>
          <w:szCs w:val="24"/>
        </w:rPr>
        <w:t xml:space="preserve">the </w:t>
      </w:r>
      <w:r w:rsidRPr="00E726E6">
        <w:rPr>
          <w:rFonts w:ascii="Times New Roman" w:hAnsi="Times New Roman"/>
          <w:sz w:val="24"/>
          <w:szCs w:val="24"/>
        </w:rPr>
        <w:t>CRS model will result in measure</w:t>
      </w:r>
      <w:r w:rsidR="00DB2BB4" w:rsidRPr="00E726E6">
        <w:rPr>
          <w:rFonts w:ascii="Times New Roman" w:hAnsi="Times New Roman"/>
          <w:sz w:val="24"/>
          <w:szCs w:val="24"/>
        </w:rPr>
        <w:t>s</w:t>
      </w:r>
      <w:r w:rsidRPr="00E726E6">
        <w:rPr>
          <w:rFonts w:ascii="Times New Roman" w:hAnsi="Times New Roman"/>
          <w:sz w:val="24"/>
          <w:szCs w:val="24"/>
        </w:rPr>
        <w:t xml:space="preserve"> of technical efficiency which are confounded by scale efficiency. The use of the VRS specification will permit the calculation of technical efficiency devoid </w:t>
      </w:r>
      <w:r w:rsidR="00DB2BB4" w:rsidRPr="00E726E6">
        <w:rPr>
          <w:rFonts w:ascii="Times New Roman" w:hAnsi="Times New Roman"/>
          <w:sz w:val="24"/>
          <w:szCs w:val="24"/>
        </w:rPr>
        <w:t xml:space="preserve">of </w:t>
      </w:r>
      <w:r w:rsidRPr="00E726E6">
        <w:rPr>
          <w:rFonts w:ascii="Times New Roman" w:hAnsi="Times New Roman"/>
          <w:sz w:val="24"/>
          <w:szCs w:val="24"/>
        </w:rPr>
        <w:t xml:space="preserve">these scale effects. Thus, the VRS model to measure the pure technical efficiency is specified as the following linear programming model </w:t>
      </w:r>
      <w:commentRangeStart w:id="4"/>
      <w:r w:rsidRPr="00E726E6">
        <w:rPr>
          <w:rFonts w:ascii="Times New Roman" w:hAnsi="Times New Roman"/>
          <w:sz w:val="24"/>
          <w:szCs w:val="24"/>
        </w:rPr>
        <w:t xml:space="preserve">(Banker, </w:t>
      </w:r>
      <w:proofErr w:type="spellStart"/>
      <w:r w:rsidRPr="00E726E6">
        <w:rPr>
          <w:rFonts w:ascii="Times New Roman" w:hAnsi="Times New Roman"/>
          <w:sz w:val="24"/>
          <w:szCs w:val="24"/>
        </w:rPr>
        <w:t>Charns</w:t>
      </w:r>
      <w:proofErr w:type="spellEnd"/>
      <w:r w:rsidRPr="00E726E6">
        <w:rPr>
          <w:rFonts w:ascii="Times New Roman" w:hAnsi="Times New Roman"/>
          <w:sz w:val="24"/>
          <w:szCs w:val="24"/>
        </w:rPr>
        <w:t>, &amp; Cooper, 1984):</w:t>
      </w:r>
      <w:commentRangeEnd w:id="4"/>
      <w:r w:rsidR="00874238" w:rsidRPr="00E726E6">
        <w:rPr>
          <w:rStyle w:val="AklamaBavurusu"/>
        </w:rPr>
        <w:commentReference w:id="4"/>
      </w:r>
    </w:p>
    <w:p w14:paraId="31677123"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E726E6">
        <w:rPr>
          <w:rFonts w:ascii="Times New Roman" w:hAnsi="Times New Roman"/>
          <w:sz w:val="24"/>
          <w:szCs w:val="24"/>
        </w:rPr>
        <w:t>Min</w:t>
      </w:r>
      <w:proofErr w:type="gramStart"/>
      <w:r w:rsidRPr="00E726E6">
        <w:rPr>
          <w:rFonts w:ascii="Times New Roman" w:hAnsi="Times New Roman"/>
          <w:sz w:val="24"/>
          <w:szCs w:val="24"/>
          <w:vertAlign w:val="subscript"/>
        </w:rPr>
        <w:t>θ</w:t>
      </w:r>
      <w:r w:rsidRPr="00E726E6">
        <w:rPr>
          <w:rFonts w:ascii="Times New Roman" w:hAnsi="Times New Roman"/>
          <w:sz w:val="24"/>
          <w:szCs w:val="24"/>
        </w:rPr>
        <w:t>,</w:t>
      </w:r>
      <w:r w:rsidRPr="00E726E6">
        <w:rPr>
          <w:rFonts w:ascii="Times New Roman" w:hAnsi="Times New Roman"/>
          <w:sz w:val="24"/>
          <w:szCs w:val="24"/>
          <w:vertAlign w:val="subscript"/>
        </w:rPr>
        <w:t>λ</w:t>
      </w:r>
      <w:proofErr w:type="spellEnd"/>
      <w:proofErr w:type="gramEnd"/>
      <w:r w:rsidRPr="00E726E6">
        <w:rPr>
          <w:rFonts w:ascii="Times New Roman" w:hAnsi="Times New Roman"/>
          <w:sz w:val="24"/>
          <w:szCs w:val="24"/>
        </w:rPr>
        <w:t xml:space="preserve"> θ</w:t>
      </w:r>
    </w:p>
    <w:p w14:paraId="686C0808" w14:textId="77777777" w:rsidR="00083D2F" w:rsidRPr="00E726E6" w:rsidRDefault="00083D2F" w:rsidP="00A77639">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Subject to</w:t>
      </w:r>
    </w:p>
    <w:p w14:paraId="137CFD37" w14:textId="77777777" w:rsidR="00083D2F" w:rsidRPr="00E726E6"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E726E6">
        <w:rPr>
          <w:rFonts w:ascii="Times New Roman" w:hAnsi="Times New Roman"/>
          <w:sz w:val="24"/>
          <w:szCs w:val="24"/>
        </w:rPr>
        <w:t>-</w:t>
      </w:r>
      <w:proofErr w:type="spellStart"/>
      <w:r w:rsidRPr="00E726E6">
        <w:rPr>
          <w:rFonts w:ascii="Times New Roman" w:hAnsi="Times New Roman"/>
          <w:sz w:val="24"/>
          <w:szCs w:val="24"/>
        </w:rPr>
        <w:t>y+Yλ</w:t>
      </w:r>
      <w:proofErr w:type="spellEnd"/>
      <w:r w:rsidRPr="00E726E6">
        <w:rPr>
          <w:rFonts w:ascii="Times New Roman" w:hAnsi="Times New Roman"/>
          <w:sz w:val="24"/>
          <w:szCs w:val="24"/>
        </w:rPr>
        <w:t xml:space="preserve"> ≥ 0</w:t>
      </w:r>
    </w:p>
    <w:p w14:paraId="3D0AE672" w14:textId="77777777" w:rsidR="00083D2F" w:rsidRPr="00E726E6" w:rsidRDefault="00083D2F" w:rsidP="00A77639">
      <w:pPr>
        <w:autoSpaceDE w:val="0"/>
        <w:autoSpaceDN w:val="0"/>
        <w:adjustRightInd w:val="0"/>
        <w:spacing w:after="0" w:line="360" w:lineRule="auto"/>
        <w:ind w:left="1440" w:firstLine="720"/>
        <w:jc w:val="both"/>
        <w:rPr>
          <w:rFonts w:ascii="Times New Roman" w:hAnsi="Times New Roman"/>
          <w:sz w:val="24"/>
          <w:szCs w:val="24"/>
        </w:rPr>
      </w:pPr>
      <w:proofErr w:type="spellStart"/>
      <w:r w:rsidRPr="00E726E6">
        <w:rPr>
          <w:rFonts w:ascii="Times New Roman" w:hAnsi="Times New Roman"/>
          <w:sz w:val="24"/>
          <w:szCs w:val="24"/>
        </w:rPr>
        <w:t>θx</w:t>
      </w:r>
      <w:r w:rsidRPr="00E726E6">
        <w:rPr>
          <w:rFonts w:ascii="Times New Roman" w:hAnsi="Times New Roman"/>
          <w:sz w:val="24"/>
          <w:szCs w:val="24"/>
          <w:vertAlign w:val="subscript"/>
        </w:rPr>
        <w:t>i</w:t>
      </w:r>
      <w:r w:rsidRPr="00E726E6">
        <w:rPr>
          <w:rFonts w:ascii="Times New Roman" w:hAnsi="Times New Roman"/>
          <w:sz w:val="24"/>
          <w:szCs w:val="24"/>
        </w:rPr>
        <w:t>-Xλ</w:t>
      </w:r>
      <w:proofErr w:type="spellEnd"/>
      <w:r w:rsidRPr="00E726E6">
        <w:rPr>
          <w:rFonts w:ascii="Times New Roman" w:hAnsi="Times New Roman"/>
          <w:sz w:val="24"/>
          <w:szCs w:val="24"/>
        </w:rPr>
        <w:t xml:space="preserve"> ≥ 0</w:t>
      </w:r>
    </w:p>
    <w:p w14:paraId="6637777B" w14:textId="77777777" w:rsidR="00083D2F" w:rsidRPr="00E726E6"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E726E6">
        <w:rPr>
          <w:rFonts w:ascii="Times New Roman" w:hAnsi="Times New Roman"/>
          <w:sz w:val="24"/>
          <w:szCs w:val="24"/>
        </w:rPr>
        <w:t>λ ≥ 0</w:t>
      </w:r>
    </w:p>
    <w:p w14:paraId="78EFA23D" w14:textId="77777777" w:rsidR="00083D2F" w:rsidRPr="00E726E6"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E726E6">
        <w:rPr>
          <w:rFonts w:ascii="Times New Roman" w:hAnsi="Times New Roman"/>
          <w:sz w:val="24"/>
          <w:szCs w:val="24"/>
        </w:rPr>
        <w:t>N</w:t>
      </w:r>
      <w:r w:rsidRPr="00E726E6">
        <w:rPr>
          <w:rFonts w:ascii="Times New Roman" w:hAnsi="Times New Roman"/>
          <w:sz w:val="24"/>
          <w:szCs w:val="24"/>
          <w:vertAlign w:val="subscript"/>
        </w:rPr>
        <w:t>1</w:t>
      </w:r>
      <w:r w:rsidRPr="00E726E6">
        <w:rPr>
          <w:rFonts w:ascii="Times New Roman" w:hAnsi="Times New Roman"/>
          <w:sz w:val="24"/>
          <w:szCs w:val="24"/>
        </w:rPr>
        <w:t xml:space="preserve"> λ = 1                                                                                    </w:t>
      </w:r>
      <w:proofErr w:type="gramStart"/>
      <w:r w:rsidRPr="00E726E6">
        <w:rPr>
          <w:rFonts w:ascii="Times New Roman" w:hAnsi="Times New Roman"/>
          <w:sz w:val="24"/>
          <w:szCs w:val="24"/>
        </w:rPr>
        <w:t xml:space="preserve">   (</w:t>
      </w:r>
      <w:proofErr w:type="gramEnd"/>
      <w:r w:rsidRPr="00E726E6">
        <w:rPr>
          <w:rFonts w:ascii="Times New Roman" w:hAnsi="Times New Roman"/>
          <w:sz w:val="24"/>
          <w:szCs w:val="24"/>
        </w:rPr>
        <w:t>2)</w:t>
      </w:r>
    </w:p>
    <w:p w14:paraId="1C300855" w14:textId="77777777" w:rsidR="00083D2F" w:rsidRPr="00E726E6"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E726E6">
        <w:rPr>
          <w:rFonts w:ascii="Times New Roman" w:hAnsi="Times New Roman"/>
          <w:sz w:val="24"/>
          <w:szCs w:val="24"/>
        </w:rPr>
        <w:t xml:space="preserve">N1 is a </w:t>
      </w:r>
      <w:r w:rsidRPr="00E726E6">
        <w:rPr>
          <w:rFonts w:ascii="Times New Roman" w:hAnsi="Times New Roman"/>
          <w:i/>
          <w:iCs/>
          <w:sz w:val="24"/>
          <w:szCs w:val="24"/>
        </w:rPr>
        <w:t xml:space="preserve">n </w:t>
      </w:r>
      <w:r w:rsidRPr="00E726E6">
        <w:rPr>
          <w:rFonts w:ascii="Times New Roman" w:hAnsi="Times New Roman"/>
          <w:sz w:val="24"/>
          <w:szCs w:val="24"/>
        </w:rPr>
        <w:t xml:space="preserve">× </w:t>
      </w:r>
      <w:r w:rsidRPr="00E726E6">
        <w:rPr>
          <w:rFonts w:ascii="Times New Roman" w:hAnsi="Times New Roman"/>
          <w:i/>
          <w:iCs/>
          <w:sz w:val="24"/>
          <w:szCs w:val="24"/>
        </w:rPr>
        <w:t xml:space="preserve">1 </w:t>
      </w:r>
      <w:r w:rsidRPr="00E726E6">
        <w:rPr>
          <w:rFonts w:ascii="Times New Roman" w:hAnsi="Times New Roman"/>
          <w:sz w:val="24"/>
          <w:szCs w:val="24"/>
        </w:rPr>
        <w:t>vector matrix of ones.</w:t>
      </w:r>
    </w:p>
    <w:p w14:paraId="79BC5641" w14:textId="47DE632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In addition, the technical efficiency obtained from the CRS m</w:t>
      </w:r>
      <w:r w:rsidR="00A77639" w:rsidRPr="00E726E6">
        <w:rPr>
          <w:rFonts w:ascii="Times New Roman" w:hAnsi="Times New Roman"/>
          <w:sz w:val="24"/>
          <w:szCs w:val="24"/>
        </w:rPr>
        <w:t>odel can be decomposed into two components</w:t>
      </w:r>
      <w:r w:rsidR="00DB2BB4" w:rsidRPr="00E726E6">
        <w:rPr>
          <w:rFonts w:ascii="Times New Roman" w:hAnsi="Times New Roman"/>
          <w:sz w:val="24"/>
          <w:szCs w:val="24"/>
        </w:rPr>
        <w:t xml:space="preserve">: </w:t>
      </w:r>
      <w:r w:rsidRPr="00E726E6">
        <w:rPr>
          <w:rFonts w:ascii="Times New Roman" w:hAnsi="Times New Roman"/>
          <w:sz w:val="24"/>
          <w:szCs w:val="24"/>
        </w:rPr>
        <w:t xml:space="preserve">one is due to scale inefficiency and one due to pure technical inefficiency. The difference between the efficiency score estimated from the CRS and VRS gives the scale inefficiency, indicating that return to scale can be increasing or decreasing </w:t>
      </w:r>
      <w:commentRangeStart w:id="5"/>
      <w:r w:rsidRPr="00E726E6">
        <w:rPr>
          <w:rFonts w:ascii="Times New Roman" w:hAnsi="Times New Roman"/>
          <w:sz w:val="24"/>
          <w:szCs w:val="24"/>
        </w:rPr>
        <w:t>(</w:t>
      </w:r>
      <w:proofErr w:type="spellStart"/>
      <w:r w:rsidRPr="00E726E6">
        <w:rPr>
          <w:rFonts w:ascii="Times New Roman" w:hAnsi="Times New Roman"/>
          <w:sz w:val="24"/>
          <w:szCs w:val="24"/>
        </w:rPr>
        <w:t>Färe</w:t>
      </w:r>
      <w:proofErr w:type="spellEnd"/>
      <w:r w:rsidRPr="00E726E6">
        <w:rPr>
          <w:rFonts w:ascii="Times New Roman" w:hAnsi="Times New Roman"/>
          <w:sz w:val="24"/>
          <w:szCs w:val="24"/>
        </w:rPr>
        <w:t xml:space="preserve"> &amp; </w:t>
      </w:r>
      <w:proofErr w:type="spellStart"/>
      <w:r w:rsidRPr="00E726E6">
        <w:rPr>
          <w:rFonts w:ascii="Times New Roman" w:hAnsi="Times New Roman"/>
          <w:sz w:val="24"/>
          <w:szCs w:val="24"/>
        </w:rPr>
        <w:t>Grosskopf</w:t>
      </w:r>
      <w:proofErr w:type="spellEnd"/>
      <w:r w:rsidRPr="00E726E6">
        <w:rPr>
          <w:rFonts w:ascii="Times New Roman" w:hAnsi="Times New Roman"/>
          <w:sz w:val="24"/>
          <w:szCs w:val="24"/>
        </w:rPr>
        <w:t>, 1994</w:t>
      </w:r>
      <w:commentRangeEnd w:id="5"/>
      <w:r w:rsidR="00874238" w:rsidRPr="00E726E6">
        <w:rPr>
          <w:rStyle w:val="AklamaBavurusu"/>
        </w:rPr>
        <w:commentReference w:id="5"/>
      </w:r>
      <w:r w:rsidRPr="00E726E6">
        <w:rPr>
          <w:rFonts w:ascii="Times New Roman" w:hAnsi="Times New Roman"/>
          <w:sz w:val="24"/>
          <w:szCs w:val="24"/>
        </w:rPr>
        <w:t xml:space="preserve">). The scale efficiency of </w:t>
      </w:r>
      <w:r w:rsidR="00DB2BB4" w:rsidRPr="00E726E6">
        <w:rPr>
          <w:rFonts w:ascii="Times New Roman" w:hAnsi="Times New Roman"/>
          <w:sz w:val="24"/>
          <w:szCs w:val="24"/>
        </w:rPr>
        <w:t xml:space="preserve">an </w:t>
      </w:r>
      <w:r w:rsidRPr="00E726E6">
        <w:rPr>
          <w:rFonts w:ascii="Times New Roman" w:hAnsi="Times New Roman"/>
          <w:sz w:val="24"/>
          <w:szCs w:val="24"/>
        </w:rPr>
        <w:t xml:space="preserve">individual farm was estimated by working out the ratio between </w:t>
      </w:r>
      <w:r w:rsidR="00DB2BB4" w:rsidRPr="00E726E6">
        <w:rPr>
          <w:rFonts w:ascii="Times New Roman" w:hAnsi="Times New Roman"/>
          <w:sz w:val="24"/>
          <w:szCs w:val="24"/>
        </w:rPr>
        <w:t xml:space="preserve">the </w:t>
      </w:r>
      <w:r w:rsidRPr="00E726E6">
        <w:rPr>
          <w:rFonts w:ascii="Times New Roman" w:hAnsi="Times New Roman"/>
          <w:sz w:val="24"/>
          <w:szCs w:val="24"/>
        </w:rPr>
        <w:t xml:space="preserve">technical efficiency scores of CRS and VRS models by following </w:t>
      </w:r>
      <w:r w:rsidR="00DB2BB4" w:rsidRPr="00E726E6">
        <w:rPr>
          <w:rFonts w:ascii="Times New Roman" w:hAnsi="Times New Roman"/>
          <w:sz w:val="24"/>
          <w:szCs w:val="24"/>
        </w:rPr>
        <w:t xml:space="preserve">the </w:t>
      </w:r>
      <w:r w:rsidRPr="00E726E6">
        <w:rPr>
          <w:rFonts w:ascii="Times New Roman" w:hAnsi="Times New Roman"/>
          <w:sz w:val="24"/>
          <w:szCs w:val="24"/>
        </w:rPr>
        <w:t>procedure mentioned below:</w:t>
      </w:r>
    </w:p>
    <w:p w14:paraId="4945F05A"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 xml:space="preserve"> </w:t>
      </w:r>
      <w:proofErr w:type="spellStart"/>
      <w:r w:rsidRPr="00E726E6">
        <w:rPr>
          <w:rFonts w:ascii="Times New Roman" w:hAnsi="Times New Roman"/>
          <w:sz w:val="24"/>
          <w:szCs w:val="24"/>
        </w:rPr>
        <w:t>θ</w:t>
      </w:r>
      <w:r w:rsidRPr="00E726E6">
        <w:rPr>
          <w:rFonts w:ascii="Times New Roman" w:hAnsi="Times New Roman"/>
          <w:sz w:val="24"/>
          <w:szCs w:val="24"/>
          <w:vertAlign w:val="subscript"/>
        </w:rPr>
        <w:t>s</w:t>
      </w:r>
      <w:proofErr w:type="spellEnd"/>
      <w:r w:rsidRPr="00E726E6">
        <w:rPr>
          <w:rFonts w:ascii="Times New Roman" w:hAnsi="Times New Roman"/>
          <w:sz w:val="24"/>
          <w:szCs w:val="24"/>
        </w:rPr>
        <w:t xml:space="preserve"> = </w:t>
      </w:r>
      <w:proofErr w:type="spellStart"/>
      <w:r w:rsidRPr="00E726E6">
        <w:rPr>
          <w:rFonts w:ascii="Times New Roman" w:hAnsi="Times New Roman"/>
          <w:sz w:val="24"/>
          <w:szCs w:val="24"/>
        </w:rPr>
        <w:t>θ</w:t>
      </w:r>
      <w:r w:rsidRPr="00E726E6">
        <w:rPr>
          <w:rFonts w:ascii="Times New Roman" w:hAnsi="Times New Roman"/>
          <w:i/>
          <w:iCs/>
          <w:sz w:val="24"/>
          <w:szCs w:val="24"/>
          <w:vertAlign w:val="subscript"/>
        </w:rPr>
        <w:t>CRS</w:t>
      </w:r>
      <w:proofErr w:type="spellEnd"/>
      <w:r w:rsidRPr="00E726E6">
        <w:rPr>
          <w:rFonts w:ascii="Times New Roman" w:hAnsi="Times New Roman"/>
          <w:i/>
          <w:iCs/>
          <w:sz w:val="24"/>
          <w:szCs w:val="24"/>
        </w:rPr>
        <w:t xml:space="preserve"> </w:t>
      </w:r>
      <w:r w:rsidRPr="00E726E6">
        <w:rPr>
          <w:rFonts w:ascii="Times New Roman" w:hAnsi="Times New Roman"/>
          <w:sz w:val="24"/>
          <w:szCs w:val="24"/>
        </w:rPr>
        <w:t>(</w:t>
      </w:r>
      <w:r w:rsidRPr="00E726E6">
        <w:rPr>
          <w:rFonts w:ascii="Times New Roman" w:hAnsi="Times New Roman"/>
          <w:i/>
          <w:iCs/>
          <w:sz w:val="24"/>
          <w:szCs w:val="24"/>
        </w:rPr>
        <w:t>X</w:t>
      </w:r>
      <w:r w:rsidRPr="00E726E6">
        <w:rPr>
          <w:rFonts w:ascii="Times New Roman" w:hAnsi="Times New Roman"/>
          <w:i/>
          <w:iCs/>
          <w:sz w:val="24"/>
          <w:szCs w:val="24"/>
          <w:vertAlign w:val="subscript"/>
        </w:rPr>
        <w:t>K</w:t>
      </w:r>
      <w:r w:rsidRPr="00E726E6">
        <w:rPr>
          <w:rFonts w:ascii="Times New Roman" w:hAnsi="Times New Roman"/>
          <w:sz w:val="24"/>
          <w:szCs w:val="24"/>
        </w:rPr>
        <w:t xml:space="preserve">, </w:t>
      </w:r>
      <w:r w:rsidRPr="00E726E6">
        <w:rPr>
          <w:rFonts w:ascii="Times New Roman" w:hAnsi="Times New Roman"/>
          <w:i/>
          <w:iCs/>
          <w:sz w:val="24"/>
          <w:szCs w:val="24"/>
        </w:rPr>
        <w:t>Y</w:t>
      </w:r>
      <w:r w:rsidRPr="00E726E6">
        <w:rPr>
          <w:rFonts w:ascii="Times New Roman" w:hAnsi="Times New Roman"/>
          <w:i/>
          <w:iCs/>
          <w:sz w:val="24"/>
          <w:szCs w:val="24"/>
          <w:vertAlign w:val="subscript"/>
        </w:rPr>
        <w:t>K</w:t>
      </w:r>
      <w:r w:rsidRPr="00E726E6">
        <w:rPr>
          <w:rFonts w:ascii="Times New Roman" w:hAnsi="Times New Roman"/>
          <w:sz w:val="24"/>
          <w:szCs w:val="24"/>
        </w:rPr>
        <w:t xml:space="preserve">) / </w:t>
      </w:r>
      <w:proofErr w:type="spellStart"/>
      <w:r w:rsidRPr="00E726E6">
        <w:rPr>
          <w:rFonts w:ascii="Times New Roman" w:hAnsi="Times New Roman"/>
          <w:sz w:val="24"/>
          <w:szCs w:val="24"/>
        </w:rPr>
        <w:t>θ</w:t>
      </w:r>
      <w:r w:rsidRPr="00E726E6">
        <w:rPr>
          <w:rFonts w:ascii="Times New Roman" w:hAnsi="Times New Roman"/>
          <w:i/>
          <w:iCs/>
          <w:sz w:val="24"/>
          <w:szCs w:val="24"/>
          <w:vertAlign w:val="subscript"/>
        </w:rPr>
        <w:t>VRS</w:t>
      </w:r>
      <w:proofErr w:type="spellEnd"/>
      <w:r w:rsidRPr="00E726E6">
        <w:rPr>
          <w:rFonts w:ascii="Times New Roman" w:hAnsi="Times New Roman"/>
          <w:i/>
          <w:iCs/>
          <w:sz w:val="24"/>
          <w:szCs w:val="24"/>
        </w:rPr>
        <w:t xml:space="preserve"> </w:t>
      </w:r>
      <w:r w:rsidRPr="00E726E6">
        <w:rPr>
          <w:rFonts w:ascii="Times New Roman" w:hAnsi="Times New Roman"/>
          <w:sz w:val="24"/>
          <w:szCs w:val="24"/>
        </w:rPr>
        <w:t>(</w:t>
      </w:r>
      <w:r w:rsidRPr="00E726E6">
        <w:rPr>
          <w:rFonts w:ascii="Times New Roman" w:hAnsi="Times New Roman"/>
          <w:i/>
          <w:iCs/>
          <w:sz w:val="24"/>
          <w:szCs w:val="24"/>
        </w:rPr>
        <w:t>X</w:t>
      </w:r>
      <w:r w:rsidRPr="00E726E6">
        <w:rPr>
          <w:rFonts w:ascii="Times New Roman" w:hAnsi="Times New Roman"/>
          <w:i/>
          <w:iCs/>
          <w:sz w:val="24"/>
          <w:szCs w:val="24"/>
          <w:vertAlign w:val="subscript"/>
        </w:rPr>
        <w:t>K</w:t>
      </w:r>
      <w:r w:rsidRPr="00E726E6">
        <w:rPr>
          <w:rFonts w:ascii="Times New Roman" w:hAnsi="Times New Roman"/>
          <w:sz w:val="24"/>
          <w:szCs w:val="24"/>
        </w:rPr>
        <w:t xml:space="preserve">, </w:t>
      </w:r>
      <w:proofErr w:type="gramStart"/>
      <w:r w:rsidRPr="00E726E6">
        <w:rPr>
          <w:rFonts w:ascii="Times New Roman" w:hAnsi="Times New Roman"/>
          <w:i/>
          <w:iCs/>
          <w:sz w:val="24"/>
          <w:szCs w:val="24"/>
        </w:rPr>
        <w:t>Y</w:t>
      </w:r>
      <w:r w:rsidRPr="00E726E6">
        <w:rPr>
          <w:rFonts w:ascii="Times New Roman" w:hAnsi="Times New Roman"/>
          <w:sz w:val="24"/>
          <w:szCs w:val="24"/>
        </w:rPr>
        <w:t xml:space="preserve">)   </w:t>
      </w:r>
      <w:proofErr w:type="gramEnd"/>
      <w:r w:rsidRPr="00E726E6">
        <w:rPr>
          <w:rFonts w:ascii="Times New Roman" w:hAnsi="Times New Roman"/>
          <w:sz w:val="24"/>
          <w:szCs w:val="24"/>
        </w:rPr>
        <w:t xml:space="preserve">                                                       (3)</w:t>
      </w:r>
    </w:p>
    <w:p w14:paraId="1B228689"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where,</w:t>
      </w:r>
    </w:p>
    <w:p w14:paraId="16900772"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E726E6">
        <w:rPr>
          <w:rFonts w:ascii="Times New Roman" w:hAnsi="Times New Roman"/>
          <w:sz w:val="24"/>
          <w:szCs w:val="24"/>
        </w:rPr>
        <w:lastRenderedPageBreak/>
        <w:t>θ</w:t>
      </w:r>
      <w:r w:rsidRPr="00E726E6">
        <w:rPr>
          <w:rFonts w:ascii="Times New Roman" w:hAnsi="Times New Roman"/>
          <w:i/>
          <w:iCs/>
          <w:sz w:val="24"/>
          <w:szCs w:val="24"/>
          <w:vertAlign w:val="subscript"/>
        </w:rPr>
        <w:t>CRS</w:t>
      </w:r>
      <w:proofErr w:type="spellEnd"/>
      <w:r w:rsidRPr="00E726E6">
        <w:rPr>
          <w:rFonts w:ascii="Times New Roman" w:hAnsi="Times New Roman"/>
          <w:i/>
          <w:iCs/>
          <w:sz w:val="24"/>
          <w:szCs w:val="24"/>
        </w:rPr>
        <w:t xml:space="preserve"> </w:t>
      </w:r>
      <w:r w:rsidRPr="00E726E6">
        <w:rPr>
          <w:rFonts w:ascii="Times New Roman" w:hAnsi="Times New Roman"/>
          <w:sz w:val="24"/>
          <w:szCs w:val="24"/>
        </w:rPr>
        <w:t>(</w:t>
      </w:r>
      <w:r w:rsidRPr="00E726E6">
        <w:rPr>
          <w:rFonts w:ascii="Times New Roman" w:hAnsi="Times New Roman"/>
          <w:i/>
          <w:iCs/>
          <w:sz w:val="24"/>
          <w:szCs w:val="24"/>
        </w:rPr>
        <w:t>X</w:t>
      </w:r>
      <w:r w:rsidRPr="00E726E6">
        <w:rPr>
          <w:rFonts w:ascii="Times New Roman" w:hAnsi="Times New Roman"/>
          <w:i/>
          <w:iCs/>
          <w:sz w:val="24"/>
          <w:szCs w:val="24"/>
          <w:vertAlign w:val="subscript"/>
        </w:rPr>
        <w:t>K</w:t>
      </w:r>
      <w:r w:rsidRPr="00E726E6">
        <w:rPr>
          <w:rFonts w:ascii="Times New Roman" w:hAnsi="Times New Roman"/>
          <w:sz w:val="24"/>
          <w:szCs w:val="24"/>
        </w:rPr>
        <w:t xml:space="preserve">, </w:t>
      </w:r>
      <w:r w:rsidRPr="00E726E6">
        <w:rPr>
          <w:rFonts w:ascii="Times New Roman" w:hAnsi="Times New Roman"/>
          <w:i/>
          <w:iCs/>
          <w:sz w:val="24"/>
          <w:szCs w:val="24"/>
        </w:rPr>
        <w:t>Y</w:t>
      </w:r>
      <w:r w:rsidRPr="00E726E6">
        <w:rPr>
          <w:rFonts w:ascii="Times New Roman" w:hAnsi="Times New Roman"/>
          <w:i/>
          <w:iCs/>
          <w:sz w:val="24"/>
          <w:szCs w:val="24"/>
          <w:vertAlign w:val="subscript"/>
        </w:rPr>
        <w:t>K</w:t>
      </w:r>
      <w:r w:rsidRPr="00E726E6">
        <w:rPr>
          <w:rFonts w:ascii="Times New Roman" w:hAnsi="Times New Roman"/>
          <w:sz w:val="24"/>
          <w:szCs w:val="24"/>
        </w:rPr>
        <w:t>) = Technical efficiency under CRS model,</w:t>
      </w:r>
    </w:p>
    <w:p w14:paraId="2E7A5371"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E726E6">
        <w:rPr>
          <w:rFonts w:ascii="Times New Roman" w:hAnsi="Times New Roman"/>
          <w:sz w:val="24"/>
          <w:szCs w:val="24"/>
        </w:rPr>
        <w:t>θ</w:t>
      </w:r>
      <w:r w:rsidRPr="00E726E6">
        <w:rPr>
          <w:rFonts w:ascii="Times New Roman" w:hAnsi="Times New Roman"/>
          <w:i/>
          <w:iCs/>
          <w:sz w:val="24"/>
          <w:szCs w:val="24"/>
          <w:vertAlign w:val="subscript"/>
        </w:rPr>
        <w:t>VRS</w:t>
      </w:r>
      <w:proofErr w:type="spellEnd"/>
      <w:r w:rsidRPr="00E726E6">
        <w:rPr>
          <w:rFonts w:ascii="Times New Roman" w:hAnsi="Times New Roman"/>
          <w:i/>
          <w:iCs/>
          <w:sz w:val="24"/>
          <w:szCs w:val="24"/>
        </w:rPr>
        <w:t xml:space="preserve"> </w:t>
      </w:r>
      <w:r w:rsidRPr="00E726E6">
        <w:rPr>
          <w:rFonts w:ascii="Times New Roman" w:hAnsi="Times New Roman"/>
          <w:sz w:val="24"/>
          <w:szCs w:val="24"/>
        </w:rPr>
        <w:t>(</w:t>
      </w:r>
      <w:r w:rsidRPr="00E726E6">
        <w:rPr>
          <w:rFonts w:ascii="Times New Roman" w:hAnsi="Times New Roman"/>
          <w:i/>
          <w:iCs/>
          <w:sz w:val="24"/>
          <w:szCs w:val="24"/>
        </w:rPr>
        <w:t>X</w:t>
      </w:r>
      <w:r w:rsidRPr="00E726E6">
        <w:rPr>
          <w:rFonts w:ascii="Times New Roman" w:hAnsi="Times New Roman"/>
          <w:i/>
          <w:iCs/>
          <w:sz w:val="24"/>
          <w:szCs w:val="24"/>
          <w:vertAlign w:val="subscript"/>
        </w:rPr>
        <w:t>K</w:t>
      </w:r>
      <w:r w:rsidRPr="00E726E6">
        <w:rPr>
          <w:rFonts w:ascii="Times New Roman" w:hAnsi="Times New Roman"/>
          <w:sz w:val="24"/>
          <w:szCs w:val="24"/>
        </w:rPr>
        <w:t xml:space="preserve">, </w:t>
      </w:r>
      <w:r w:rsidRPr="00E726E6">
        <w:rPr>
          <w:rFonts w:ascii="Times New Roman" w:hAnsi="Times New Roman"/>
          <w:i/>
          <w:iCs/>
          <w:sz w:val="24"/>
          <w:szCs w:val="24"/>
        </w:rPr>
        <w:t>Y</w:t>
      </w:r>
      <w:r w:rsidRPr="00E726E6">
        <w:rPr>
          <w:rFonts w:ascii="Times New Roman" w:hAnsi="Times New Roman"/>
          <w:i/>
          <w:iCs/>
          <w:sz w:val="24"/>
          <w:szCs w:val="24"/>
          <w:vertAlign w:val="subscript"/>
        </w:rPr>
        <w:t>K</w:t>
      </w:r>
      <w:r w:rsidRPr="00E726E6">
        <w:rPr>
          <w:rFonts w:ascii="Times New Roman" w:hAnsi="Times New Roman"/>
          <w:sz w:val="24"/>
          <w:szCs w:val="24"/>
        </w:rPr>
        <w:t>) = Technical efficiency under VRS model and</w:t>
      </w:r>
    </w:p>
    <w:p w14:paraId="25DFE447"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E726E6">
        <w:rPr>
          <w:rFonts w:ascii="Times New Roman" w:hAnsi="Times New Roman"/>
          <w:sz w:val="24"/>
          <w:szCs w:val="24"/>
        </w:rPr>
        <w:t>θ</w:t>
      </w:r>
      <w:r w:rsidRPr="00E726E6">
        <w:rPr>
          <w:rFonts w:ascii="Times New Roman" w:hAnsi="Times New Roman"/>
          <w:sz w:val="24"/>
          <w:szCs w:val="24"/>
          <w:vertAlign w:val="subscript"/>
        </w:rPr>
        <w:t>s</w:t>
      </w:r>
      <w:proofErr w:type="spellEnd"/>
      <w:r w:rsidRPr="00E726E6">
        <w:rPr>
          <w:rFonts w:ascii="Times New Roman" w:hAnsi="Times New Roman"/>
          <w:sz w:val="24"/>
          <w:szCs w:val="24"/>
        </w:rPr>
        <w:t xml:space="preserve"> </w:t>
      </w:r>
      <w:r w:rsidRPr="00E726E6">
        <w:rPr>
          <w:rFonts w:ascii="Times New Roman" w:hAnsi="Times New Roman"/>
          <w:i/>
          <w:iCs/>
          <w:sz w:val="24"/>
          <w:szCs w:val="24"/>
        </w:rPr>
        <w:t xml:space="preserve">= </w:t>
      </w:r>
      <w:r w:rsidRPr="00E726E6">
        <w:rPr>
          <w:rFonts w:ascii="Times New Roman" w:hAnsi="Times New Roman"/>
          <w:sz w:val="24"/>
          <w:szCs w:val="24"/>
        </w:rPr>
        <w:t>Scale efficiency.</w:t>
      </w:r>
    </w:p>
    <w:p w14:paraId="1945438C" w14:textId="7FECD6B9"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 xml:space="preserve">It is essential to note that </w:t>
      </w:r>
      <w:r w:rsidR="00077F1E" w:rsidRPr="00E726E6">
        <w:rPr>
          <w:rFonts w:ascii="Times New Roman" w:hAnsi="Times New Roman"/>
          <w:sz w:val="24"/>
          <w:szCs w:val="24"/>
        </w:rPr>
        <w:t xml:space="preserve">the </w:t>
      </w:r>
      <w:r w:rsidRPr="00E726E6">
        <w:rPr>
          <w:rFonts w:ascii="Times New Roman" w:hAnsi="Times New Roman"/>
          <w:sz w:val="24"/>
          <w:szCs w:val="24"/>
        </w:rPr>
        <w:t>model which is specified for VRS in Equation (2) does not indicate whether the firm is falling in the increasing or decreasing returns to scale region (</w:t>
      </w:r>
      <w:proofErr w:type="spellStart"/>
      <w:r w:rsidRPr="00E726E6">
        <w:rPr>
          <w:rFonts w:ascii="Times New Roman" w:hAnsi="Times New Roman"/>
          <w:sz w:val="24"/>
          <w:szCs w:val="24"/>
        </w:rPr>
        <w:t>Coelli</w:t>
      </w:r>
      <w:proofErr w:type="spellEnd"/>
      <w:r w:rsidRPr="00E726E6">
        <w:rPr>
          <w:rFonts w:ascii="Times New Roman" w:hAnsi="Times New Roman"/>
          <w:sz w:val="24"/>
          <w:szCs w:val="24"/>
        </w:rPr>
        <w:t xml:space="preserve"> et al., 1998). The scale efficiency in Equation (3) is equal to one and confirms that the farm is operating under constant returns to scale. However, increasing or decreasing returns may occur when </w:t>
      </w:r>
      <w:proofErr w:type="spellStart"/>
      <w:r w:rsidRPr="00E726E6">
        <w:rPr>
          <w:rFonts w:ascii="Times New Roman" w:hAnsi="Times New Roman"/>
          <w:sz w:val="24"/>
          <w:szCs w:val="24"/>
        </w:rPr>
        <w:t>θs</w:t>
      </w:r>
      <w:proofErr w:type="spellEnd"/>
      <w:r w:rsidRPr="00E726E6">
        <w:rPr>
          <w:rFonts w:ascii="Times New Roman" w:hAnsi="Times New Roman"/>
          <w:sz w:val="24"/>
          <w:szCs w:val="24"/>
        </w:rPr>
        <w:t xml:space="preserve"> is less than one. So, in order to understand the nature of scale inefficiency, another problem of linear programming is necessary to replace the convexity constraint N</w:t>
      </w:r>
      <w:r w:rsidRPr="00E726E6">
        <w:rPr>
          <w:rFonts w:ascii="Times New Roman" w:hAnsi="Times New Roman"/>
          <w:sz w:val="24"/>
          <w:szCs w:val="24"/>
          <w:vertAlign w:val="subscript"/>
        </w:rPr>
        <w:t>1</w:t>
      </w:r>
      <w:r w:rsidRPr="00E726E6">
        <w:rPr>
          <w:rFonts w:ascii="Times New Roman" w:hAnsi="Times New Roman"/>
          <w:sz w:val="24"/>
          <w:szCs w:val="24"/>
        </w:rPr>
        <w:t>λ = 1 in model (2) with N</w:t>
      </w:r>
      <w:r w:rsidRPr="00E726E6">
        <w:rPr>
          <w:rFonts w:ascii="Times New Roman" w:hAnsi="Times New Roman"/>
          <w:sz w:val="24"/>
          <w:szCs w:val="24"/>
          <w:vertAlign w:val="subscript"/>
        </w:rPr>
        <w:t>1</w:t>
      </w:r>
      <w:r w:rsidRPr="00E726E6">
        <w:rPr>
          <w:rFonts w:ascii="Times New Roman" w:hAnsi="Times New Roman"/>
          <w:sz w:val="24"/>
          <w:szCs w:val="24"/>
        </w:rPr>
        <w:t>λ ≤ 1 and N</w:t>
      </w:r>
      <w:r w:rsidRPr="00E726E6">
        <w:rPr>
          <w:rFonts w:ascii="Times New Roman" w:hAnsi="Times New Roman"/>
          <w:sz w:val="24"/>
          <w:szCs w:val="24"/>
          <w:vertAlign w:val="subscript"/>
        </w:rPr>
        <w:t>1</w:t>
      </w:r>
      <w:r w:rsidRPr="00E726E6">
        <w:rPr>
          <w:rFonts w:ascii="Times New Roman" w:hAnsi="Times New Roman"/>
          <w:sz w:val="24"/>
          <w:szCs w:val="24"/>
        </w:rPr>
        <w:t>λ ≥1 for the models of non-increasing returns and non-decreasing returns, respectively. Thus, the following models could also be employed for the measurement of the nature of efficiency.</w:t>
      </w:r>
    </w:p>
    <w:p w14:paraId="113D1DD7"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Non-increasing returns:</w:t>
      </w:r>
    </w:p>
    <w:p w14:paraId="70AE7B9F"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E726E6">
        <w:rPr>
          <w:rFonts w:ascii="Times New Roman" w:hAnsi="Times New Roman"/>
          <w:sz w:val="24"/>
          <w:szCs w:val="24"/>
        </w:rPr>
        <w:t>Min</w:t>
      </w:r>
      <w:proofErr w:type="gramStart"/>
      <w:r w:rsidRPr="00E726E6">
        <w:rPr>
          <w:rFonts w:ascii="Times New Roman" w:hAnsi="Times New Roman"/>
          <w:sz w:val="24"/>
          <w:szCs w:val="24"/>
          <w:vertAlign w:val="subscript"/>
        </w:rPr>
        <w:t>θ</w:t>
      </w:r>
      <w:r w:rsidRPr="00E726E6">
        <w:rPr>
          <w:rFonts w:ascii="Times New Roman" w:hAnsi="Times New Roman"/>
          <w:sz w:val="24"/>
          <w:szCs w:val="24"/>
        </w:rPr>
        <w:t>,</w:t>
      </w:r>
      <w:r w:rsidRPr="00E726E6">
        <w:rPr>
          <w:rFonts w:ascii="Times New Roman" w:hAnsi="Times New Roman"/>
          <w:sz w:val="24"/>
          <w:szCs w:val="24"/>
          <w:vertAlign w:val="subscript"/>
        </w:rPr>
        <w:t>λ</w:t>
      </w:r>
      <w:proofErr w:type="spellEnd"/>
      <w:proofErr w:type="gramEnd"/>
      <w:r w:rsidRPr="00E726E6">
        <w:rPr>
          <w:rFonts w:ascii="Times New Roman" w:hAnsi="Times New Roman"/>
          <w:sz w:val="24"/>
          <w:szCs w:val="24"/>
        </w:rPr>
        <w:t xml:space="preserve"> θ</w:t>
      </w:r>
    </w:p>
    <w:p w14:paraId="70C97DA4" w14:textId="77777777" w:rsidR="00083D2F" w:rsidRPr="00E726E6" w:rsidRDefault="00083D2F" w:rsidP="00A77639">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Subject to</w:t>
      </w:r>
    </w:p>
    <w:p w14:paraId="7CE5F895" w14:textId="77777777" w:rsidR="00083D2F" w:rsidRPr="00E726E6"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E726E6">
        <w:rPr>
          <w:rFonts w:ascii="Times New Roman" w:hAnsi="Times New Roman"/>
          <w:sz w:val="24"/>
          <w:szCs w:val="24"/>
        </w:rPr>
        <w:t>-</w:t>
      </w:r>
      <w:proofErr w:type="spellStart"/>
      <w:r w:rsidRPr="00E726E6">
        <w:rPr>
          <w:rFonts w:ascii="Times New Roman" w:hAnsi="Times New Roman"/>
          <w:sz w:val="24"/>
          <w:szCs w:val="24"/>
        </w:rPr>
        <w:t>y+Yλ</w:t>
      </w:r>
      <w:proofErr w:type="spellEnd"/>
      <w:r w:rsidRPr="00E726E6">
        <w:rPr>
          <w:rFonts w:ascii="Times New Roman" w:hAnsi="Times New Roman"/>
          <w:sz w:val="24"/>
          <w:szCs w:val="24"/>
        </w:rPr>
        <w:t xml:space="preserve"> ≥ 0</w:t>
      </w:r>
    </w:p>
    <w:p w14:paraId="1D7E5DA6" w14:textId="77777777" w:rsidR="00083D2F" w:rsidRPr="00E726E6" w:rsidRDefault="00083D2F" w:rsidP="00A77639">
      <w:pPr>
        <w:autoSpaceDE w:val="0"/>
        <w:autoSpaceDN w:val="0"/>
        <w:adjustRightInd w:val="0"/>
        <w:spacing w:after="0" w:line="360" w:lineRule="auto"/>
        <w:ind w:left="1440" w:firstLine="720"/>
        <w:jc w:val="both"/>
        <w:rPr>
          <w:rFonts w:ascii="Times New Roman" w:hAnsi="Times New Roman"/>
          <w:sz w:val="24"/>
          <w:szCs w:val="24"/>
        </w:rPr>
      </w:pPr>
      <w:proofErr w:type="spellStart"/>
      <w:r w:rsidRPr="00E726E6">
        <w:rPr>
          <w:rFonts w:ascii="Times New Roman" w:hAnsi="Times New Roman"/>
          <w:sz w:val="24"/>
          <w:szCs w:val="24"/>
        </w:rPr>
        <w:t>θx</w:t>
      </w:r>
      <w:r w:rsidRPr="00E726E6">
        <w:rPr>
          <w:rFonts w:ascii="Times New Roman" w:hAnsi="Times New Roman"/>
          <w:sz w:val="24"/>
          <w:szCs w:val="24"/>
          <w:vertAlign w:val="subscript"/>
        </w:rPr>
        <w:t>i</w:t>
      </w:r>
      <w:r w:rsidRPr="00E726E6">
        <w:rPr>
          <w:rFonts w:ascii="Times New Roman" w:hAnsi="Times New Roman"/>
          <w:sz w:val="24"/>
          <w:szCs w:val="24"/>
        </w:rPr>
        <w:t>-Xλ</w:t>
      </w:r>
      <w:proofErr w:type="spellEnd"/>
      <w:r w:rsidRPr="00E726E6">
        <w:rPr>
          <w:rFonts w:ascii="Times New Roman" w:hAnsi="Times New Roman"/>
          <w:sz w:val="24"/>
          <w:szCs w:val="24"/>
        </w:rPr>
        <w:t xml:space="preserve"> ≥ 0</w:t>
      </w:r>
    </w:p>
    <w:p w14:paraId="13DB63FA" w14:textId="77777777" w:rsidR="00083D2F" w:rsidRPr="00E726E6"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E726E6">
        <w:rPr>
          <w:rFonts w:ascii="Times New Roman" w:hAnsi="Times New Roman"/>
          <w:sz w:val="24"/>
          <w:szCs w:val="24"/>
        </w:rPr>
        <w:t>λ ≥ 0</w:t>
      </w:r>
    </w:p>
    <w:p w14:paraId="629729E9" w14:textId="77777777" w:rsidR="00083D2F" w:rsidRPr="00E726E6"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E726E6">
        <w:rPr>
          <w:rFonts w:ascii="Times New Roman" w:hAnsi="Times New Roman"/>
          <w:sz w:val="24"/>
          <w:szCs w:val="24"/>
        </w:rPr>
        <w:t>N</w:t>
      </w:r>
      <w:r w:rsidRPr="00E726E6">
        <w:rPr>
          <w:rFonts w:ascii="Times New Roman" w:hAnsi="Times New Roman"/>
          <w:sz w:val="24"/>
          <w:szCs w:val="24"/>
          <w:vertAlign w:val="subscript"/>
        </w:rPr>
        <w:t>1</w:t>
      </w:r>
      <w:r w:rsidRPr="00E726E6">
        <w:rPr>
          <w:rFonts w:ascii="Times New Roman" w:hAnsi="Times New Roman"/>
          <w:sz w:val="24"/>
          <w:szCs w:val="24"/>
        </w:rPr>
        <w:t xml:space="preserve"> λ ≤ 1                                                                                  </w:t>
      </w:r>
      <w:proofErr w:type="gramStart"/>
      <w:r w:rsidRPr="00E726E6">
        <w:rPr>
          <w:rFonts w:ascii="Times New Roman" w:hAnsi="Times New Roman"/>
          <w:sz w:val="24"/>
          <w:szCs w:val="24"/>
        </w:rPr>
        <w:t xml:space="preserve">   (</w:t>
      </w:r>
      <w:proofErr w:type="gramEnd"/>
      <w:r w:rsidRPr="00E726E6">
        <w:rPr>
          <w:rFonts w:ascii="Times New Roman" w:hAnsi="Times New Roman"/>
          <w:sz w:val="24"/>
          <w:szCs w:val="24"/>
        </w:rPr>
        <w:t>4)</w:t>
      </w:r>
    </w:p>
    <w:p w14:paraId="5C2FC368"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Non-decreasing returns:</w:t>
      </w:r>
    </w:p>
    <w:p w14:paraId="2F685EF9"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E726E6">
        <w:rPr>
          <w:rFonts w:ascii="Times New Roman" w:hAnsi="Times New Roman"/>
          <w:sz w:val="24"/>
          <w:szCs w:val="24"/>
        </w:rPr>
        <w:t>Min</w:t>
      </w:r>
      <w:proofErr w:type="gramStart"/>
      <w:r w:rsidRPr="00E726E6">
        <w:rPr>
          <w:rFonts w:ascii="Times New Roman" w:hAnsi="Times New Roman"/>
          <w:sz w:val="24"/>
          <w:szCs w:val="24"/>
          <w:vertAlign w:val="subscript"/>
        </w:rPr>
        <w:t>θ</w:t>
      </w:r>
      <w:r w:rsidRPr="00E726E6">
        <w:rPr>
          <w:rFonts w:ascii="Times New Roman" w:hAnsi="Times New Roman"/>
          <w:sz w:val="24"/>
          <w:szCs w:val="24"/>
        </w:rPr>
        <w:t>,</w:t>
      </w:r>
      <w:r w:rsidRPr="00E726E6">
        <w:rPr>
          <w:rFonts w:ascii="Times New Roman" w:hAnsi="Times New Roman"/>
          <w:sz w:val="24"/>
          <w:szCs w:val="24"/>
          <w:vertAlign w:val="subscript"/>
        </w:rPr>
        <w:t>λ</w:t>
      </w:r>
      <w:proofErr w:type="spellEnd"/>
      <w:proofErr w:type="gramEnd"/>
      <w:r w:rsidRPr="00E726E6">
        <w:rPr>
          <w:rFonts w:ascii="Times New Roman" w:hAnsi="Times New Roman"/>
          <w:sz w:val="24"/>
          <w:szCs w:val="24"/>
        </w:rPr>
        <w:t xml:space="preserve"> θ</w:t>
      </w:r>
    </w:p>
    <w:p w14:paraId="52104967"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Subject to</w:t>
      </w:r>
    </w:p>
    <w:p w14:paraId="55DCD12E"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w:t>
      </w:r>
      <w:proofErr w:type="spellStart"/>
      <w:r w:rsidRPr="00E726E6">
        <w:rPr>
          <w:rFonts w:ascii="Times New Roman" w:hAnsi="Times New Roman"/>
          <w:sz w:val="24"/>
          <w:szCs w:val="24"/>
        </w:rPr>
        <w:t>y+Yλ</w:t>
      </w:r>
      <w:proofErr w:type="spellEnd"/>
      <w:r w:rsidRPr="00E726E6">
        <w:rPr>
          <w:rFonts w:ascii="Times New Roman" w:hAnsi="Times New Roman"/>
          <w:sz w:val="24"/>
          <w:szCs w:val="24"/>
        </w:rPr>
        <w:t xml:space="preserve"> ≥ 0</w:t>
      </w:r>
    </w:p>
    <w:p w14:paraId="1351A69C"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w:t>
      </w:r>
      <w:proofErr w:type="spellStart"/>
      <w:r w:rsidRPr="00E726E6">
        <w:rPr>
          <w:rFonts w:ascii="Times New Roman" w:hAnsi="Times New Roman"/>
          <w:sz w:val="24"/>
          <w:szCs w:val="24"/>
        </w:rPr>
        <w:t>y+Yλ</w:t>
      </w:r>
      <w:proofErr w:type="spellEnd"/>
      <w:r w:rsidRPr="00E726E6">
        <w:rPr>
          <w:rFonts w:ascii="Times New Roman" w:hAnsi="Times New Roman"/>
          <w:sz w:val="24"/>
          <w:szCs w:val="24"/>
        </w:rPr>
        <w:t xml:space="preserve"> ≥ 0</w:t>
      </w:r>
    </w:p>
    <w:p w14:paraId="3E715A6E"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w:t>
      </w:r>
      <w:proofErr w:type="spellStart"/>
      <w:r w:rsidRPr="00E726E6">
        <w:rPr>
          <w:rFonts w:ascii="Times New Roman" w:hAnsi="Times New Roman"/>
          <w:sz w:val="24"/>
          <w:szCs w:val="24"/>
        </w:rPr>
        <w:t>y+Yλ</w:t>
      </w:r>
      <w:proofErr w:type="spellEnd"/>
      <w:r w:rsidRPr="00E726E6">
        <w:rPr>
          <w:rFonts w:ascii="Times New Roman" w:hAnsi="Times New Roman"/>
          <w:sz w:val="24"/>
          <w:szCs w:val="24"/>
        </w:rPr>
        <w:t xml:space="preserve"> ≥ 0</w:t>
      </w:r>
    </w:p>
    <w:p w14:paraId="1DA70ACD"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E726E6">
        <w:rPr>
          <w:rFonts w:ascii="Times New Roman" w:hAnsi="Times New Roman"/>
          <w:sz w:val="24"/>
          <w:szCs w:val="24"/>
        </w:rPr>
        <w:t>θx</w:t>
      </w:r>
      <w:r w:rsidRPr="00E726E6">
        <w:rPr>
          <w:rFonts w:ascii="Times New Roman" w:hAnsi="Times New Roman"/>
          <w:sz w:val="24"/>
          <w:szCs w:val="24"/>
          <w:vertAlign w:val="subscript"/>
        </w:rPr>
        <w:t>i</w:t>
      </w:r>
      <w:r w:rsidRPr="00E726E6">
        <w:rPr>
          <w:rFonts w:ascii="Times New Roman" w:hAnsi="Times New Roman"/>
          <w:sz w:val="24"/>
          <w:szCs w:val="24"/>
        </w:rPr>
        <w:t>-Xλ</w:t>
      </w:r>
      <w:proofErr w:type="spellEnd"/>
      <w:r w:rsidRPr="00E726E6">
        <w:rPr>
          <w:rFonts w:ascii="Times New Roman" w:hAnsi="Times New Roman"/>
          <w:sz w:val="24"/>
          <w:szCs w:val="24"/>
        </w:rPr>
        <w:t xml:space="preserve"> ≥ 0</w:t>
      </w:r>
    </w:p>
    <w:p w14:paraId="2C560FF9"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w:t>
      </w:r>
      <w:proofErr w:type="spellStart"/>
      <w:r w:rsidRPr="00E726E6">
        <w:rPr>
          <w:rFonts w:ascii="Times New Roman" w:hAnsi="Times New Roman"/>
          <w:sz w:val="24"/>
          <w:szCs w:val="24"/>
        </w:rPr>
        <w:t>y+Yλ</w:t>
      </w:r>
      <w:proofErr w:type="spellEnd"/>
      <w:r w:rsidRPr="00E726E6">
        <w:rPr>
          <w:rFonts w:ascii="Times New Roman" w:hAnsi="Times New Roman"/>
          <w:sz w:val="24"/>
          <w:szCs w:val="24"/>
        </w:rPr>
        <w:t xml:space="preserve"> ≥ 0</w:t>
      </w:r>
    </w:p>
    <w:p w14:paraId="7CAF9174"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λ ≥ 0</w:t>
      </w:r>
    </w:p>
    <w:p w14:paraId="766C12B6"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N</w:t>
      </w:r>
      <w:r w:rsidRPr="00E726E6">
        <w:rPr>
          <w:rFonts w:ascii="Times New Roman" w:hAnsi="Times New Roman"/>
          <w:sz w:val="24"/>
          <w:szCs w:val="24"/>
          <w:vertAlign w:val="subscript"/>
        </w:rPr>
        <w:t>1</w:t>
      </w:r>
      <w:r w:rsidRPr="00E726E6">
        <w:rPr>
          <w:rFonts w:ascii="Times New Roman" w:hAnsi="Times New Roman"/>
          <w:sz w:val="24"/>
          <w:szCs w:val="24"/>
        </w:rPr>
        <w:t xml:space="preserve"> λ ≥ 1                                                                               </w:t>
      </w:r>
      <w:proofErr w:type="gramStart"/>
      <w:r w:rsidRPr="00E726E6">
        <w:rPr>
          <w:rFonts w:ascii="Times New Roman" w:hAnsi="Times New Roman"/>
          <w:sz w:val="24"/>
          <w:szCs w:val="24"/>
        </w:rPr>
        <w:t xml:space="preserve">   (</w:t>
      </w:r>
      <w:proofErr w:type="gramEnd"/>
      <w:r w:rsidRPr="00E726E6">
        <w:rPr>
          <w:rFonts w:ascii="Times New Roman" w:hAnsi="Times New Roman"/>
          <w:sz w:val="24"/>
          <w:szCs w:val="24"/>
        </w:rPr>
        <w:t>5)</w:t>
      </w:r>
    </w:p>
    <w:p w14:paraId="2B16CED3"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Besides these efficiency measures, allocative efficiency (AE) and economic efficiency (EE) were estimated to measure the farms’ ability to allocate farm inputs optimally with their given respective input prices. The following linear programming model was used to estimate the economic efficiency of the firms:</w:t>
      </w:r>
    </w:p>
    <w:p w14:paraId="25092E20"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lang w:val="nl-BE"/>
        </w:rPr>
      </w:pPr>
      <w:r w:rsidRPr="00E726E6">
        <w:rPr>
          <w:rFonts w:ascii="Times New Roman" w:hAnsi="Times New Roman"/>
          <w:sz w:val="24"/>
          <w:szCs w:val="24"/>
          <w:lang w:val="nl-BE"/>
        </w:rPr>
        <w:t xml:space="preserve">Min, </w:t>
      </w:r>
      <w:r w:rsidRPr="00E726E6">
        <w:rPr>
          <w:rFonts w:ascii="Times New Roman" w:hAnsi="Times New Roman"/>
          <w:sz w:val="24"/>
          <w:szCs w:val="24"/>
        </w:rPr>
        <w:t>λ</w:t>
      </w:r>
      <w:r w:rsidRPr="00E726E6">
        <w:rPr>
          <w:rFonts w:ascii="Times New Roman" w:hAnsi="Times New Roman"/>
          <w:sz w:val="24"/>
          <w:szCs w:val="24"/>
          <w:lang w:val="nl-BE"/>
        </w:rPr>
        <w:t>,xi* wi’ xi*</w:t>
      </w:r>
    </w:p>
    <w:p w14:paraId="6C3B4150"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lastRenderedPageBreak/>
        <w:t>Subject to</w:t>
      </w:r>
    </w:p>
    <w:p w14:paraId="3845830A"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w:t>
      </w:r>
      <w:proofErr w:type="spellStart"/>
      <w:r w:rsidRPr="00E726E6">
        <w:rPr>
          <w:rFonts w:ascii="Times New Roman" w:hAnsi="Times New Roman"/>
          <w:sz w:val="24"/>
          <w:szCs w:val="24"/>
        </w:rPr>
        <w:t>y</w:t>
      </w:r>
      <w:r w:rsidRPr="00E726E6">
        <w:rPr>
          <w:rFonts w:ascii="Times New Roman" w:hAnsi="Times New Roman"/>
          <w:sz w:val="24"/>
          <w:szCs w:val="24"/>
          <w:vertAlign w:val="subscript"/>
        </w:rPr>
        <w:t>i</w:t>
      </w:r>
      <w:proofErr w:type="spellEnd"/>
      <w:r w:rsidRPr="00E726E6">
        <w:rPr>
          <w:rFonts w:ascii="Times New Roman" w:hAnsi="Times New Roman"/>
          <w:sz w:val="24"/>
          <w:szCs w:val="24"/>
        </w:rPr>
        <w:t xml:space="preserve"> + </w:t>
      </w:r>
      <w:proofErr w:type="spellStart"/>
      <w:r w:rsidRPr="00E726E6">
        <w:rPr>
          <w:rFonts w:ascii="Times New Roman" w:hAnsi="Times New Roman"/>
          <w:sz w:val="24"/>
          <w:szCs w:val="24"/>
        </w:rPr>
        <w:t>Yλ</w:t>
      </w:r>
      <w:proofErr w:type="spellEnd"/>
      <w:r w:rsidRPr="00E726E6">
        <w:rPr>
          <w:rFonts w:ascii="Times New Roman" w:hAnsi="Times New Roman"/>
          <w:sz w:val="24"/>
          <w:szCs w:val="24"/>
        </w:rPr>
        <w:t xml:space="preserve"> ≥ 0,</w:t>
      </w:r>
    </w:p>
    <w:p w14:paraId="5DC0DC8A"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x</w:t>
      </w:r>
      <w:r w:rsidRPr="00E726E6">
        <w:rPr>
          <w:rFonts w:ascii="Times New Roman" w:hAnsi="Times New Roman"/>
          <w:sz w:val="24"/>
          <w:szCs w:val="24"/>
          <w:vertAlign w:val="subscript"/>
        </w:rPr>
        <w:t>i</w:t>
      </w:r>
      <w:r w:rsidRPr="00E726E6">
        <w:rPr>
          <w:rFonts w:ascii="Times New Roman" w:hAnsi="Times New Roman"/>
          <w:sz w:val="24"/>
          <w:szCs w:val="24"/>
        </w:rPr>
        <w:t xml:space="preserve">* - </w:t>
      </w:r>
      <w:proofErr w:type="spellStart"/>
      <w:r w:rsidRPr="00E726E6">
        <w:rPr>
          <w:rFonts w:ascii="Times New Roman" w:hAnsi="Times New Roman"/>
          <w:sz w:val="24"/>
          <w:szCs w:val="24"/>
        </w:rPr>
        <w:t>Xλ</w:t>
      </w:r>
      <w:proofErr w:type="spellEnd"/>
      <w:r w:rsidRPr="00E726E6">
        <w:rPr>
          <w:rFonts w:ascii="Times New Roman" w:hAnsi="Times New Roman"/>
          <w:sz w:val="24"/>
          <w:szCs w:val="24"/>
        </w:rPr>
        <w:t xml:space="preserve"> ≥ 0</w:t>
      </w:r>
    </w:p>
    <w:p w14:paraId="4AD98607"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N</w:t>
      </w:r>
      <w:r w:rsidRPr="00E726E6">
        <w:rPr>
          <w:rFonts w:ascii="Times New Roman" w:hAnsi="Times New Roman"/>
          <w:sz w:val="24"/>
          <w:szCs w:val="24"/>
          <w:vertAlign w:val="subscript"/>
        </w:rPr>
        <w:t>1</w:t>
      </w:r>
      <w:r w:rsidRPr="00E726E6">
        <w:rPr>
          <w:rFonts w:ascii="Times New Roman" w:hAnsi="Times New Roman"/>
          <w:sz w:val="24"/>
          <w:szCs w:val="24"/>
        </w:rPr>
        <w:t>’λ =1</w:t>
      </w:r>
    </w:p>
    <w:p w14:paraId="15F7A9F7"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 xml:space="preserve">λ ≥ </w:t>
      </w:r>
      <w:proofErr w:type="gramStart"/>
      <w:r w:rsidRPr="00E726E6">
        <w:rPr>
          <w:rFonts w:ascii="Times New Roman" w:hAnsi="Times New Roman"/>
          <w:sz w:val="24"/>
          <w:szCs w:val="24"/>
        </w:rPr>
        <w:t xml:space="preserve">0,   </w:t>
      </w:r>
      <w:proofErr w:type="gramEnd"/>
      <w:r w:rsidRPr="00E726E6">
        <w:rPr>
          <w:rFonts w:ascii="Times New Roman" w:hAnsi="Times New Roman"/>
          <w:sz w:val="24"/>
          <w:szCs w:val="24"/>
        </w:rPr>
        <w:t xml:space="preserve">                                                                                    (6)</w:t>
      </w:r>
    </w:p>
    <w:p w14:paraId="59402007" w14:textId="398E9F91"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 xml:space="preserve">where, </w:t>
      </w:r>
      <w:proofErr w:type="spellStart"/>
      <w:r w:rsidRPr="00E726E6">
        <w:rPr>
          <w:rFonts w:ascii="Times New Roman" w:hAnsi="Times New Roman"/>
          <w:sz w:val="24"/>
          <w:szCs w:val="24"/>
        </w:rPr>
        <w:t>wi</w:t>
      </w:r>
      <w:proofErr w:type="spellEnd"/>
      <w:r w:rsidRPr="00E726E6">
        <w:rPr>
          <w:rFonts w:ascii="Times New Roman" w:hAnsi="Times New Roman"/>
          <w:sz w:val="24"/>
          <w:szCs w:val="24"/>
        </w:rPr>
        <w:t xml:space="preserve"> is </w:t>
      </w:r>
      <w:r w:rsidR="00077F1E" w:rsidRPr="00E726E6">
        <w:rPr>
          <w:rFonts w:ascii="Times New Roman" w:hAnsi="Times New Roman"/>
          <w:sz w:val="24"/>
          <w:szCs w:val="24"/>
        </w:rPr>
        <w:t xml:space="preserve">a </w:t>
      </w:r>
      <w:r w:rsidRPr="00E726E6">
        <w:rPr>
          <w:rFonts w:ascii="Times New Roman" w:hAnsi="Times New Roman"/>
          <w:sz w:val="24"/>
          <w:szCs w:val="24"/>
        </w:rPr>
        <w:t>vector of input price</w:t>
      </w:r>
      <w:r w:rsidR="00077F1E" w:rsidRPr="00E726E6">
        <w:rPr>
          <w:rFonts w:ascii="Times New Roman" w:hAnsi="Times New Roman"/>
          <w:sz w:val="24"/>
          <w:szCs w:val="24"/>
        </w:rPr>
        <w:t>s</w:t>
      </w:r>
      <w:r w:rsidRPr="00E726E6">
        <w:rPr>
          <w:rFonts w:ascii="Times New Roman" w:hAnsi="Times New Roman"/>
          <w:sz w:val="24"/>
          <w:szCs w:val="24"/>
        </w:rPr>
        <w:t xml:space="preserve"> of </w:t>
      </w:r>
      <w:r w:rsidR="00077F1E" w:rsidRPr="00E726E6">
        <w:rPr>
          <w:rFonts w:ascii="Times New Roman" w:hAnsi="Times New Roman"/>
          <w:sz w:val="24"/>
          <w:szCs w:val="24"/>
        </w:rPr>
        <w:t xml:space="preserve">the </w:t>
      </w:r>
      <w:proofErr w:type="spellStart"/>
      <w:r w:rsidRPr="00E726E6">
        <w:rPr>
          <w:rFonts w:ascii="Times New Roman" w:hAnsi="Times New Roman"/>
          <w:sz w:val="24"/>
          <w:szCs w:val="24"/>
        </w:rPr>
        <w:t>ith</w:t>
      </w:r>
      <w:proofErr w:type="spellEnd"/>
      <w:r w:rsidRPr="00E726E6">
        <w:rPr>
          <w:rFonts w:ascii="Times New Roman" w:hAnsi="Times New Roman"/>
          <w:sz w:val="24"/>
          <w:szCs w:val="24"/>
        </w:rPr>
        <w:t xml:space="preserve"> firm and xi* (which is calculated by LP) is the cost-</w:t>
      </w:r>
      <w:proofErr w:type="spellStart"/>
      <w:r w:rsidR="00077F1E" w:rsidRPr="00E726E6">
        <w:rPr>
          <w:rFonts w:ascii="Times New Roman" w:hAnsi="Times New Roman"/>
          <w:sz w:val="24"/>
          <w:szCs w:val="24"/>
        </w:rPr>
        <w:t>minimising</w:t>
      </w:r>
      <w:proofErr w:type="spellEnd"/>
      <w:r w:rsidR="00077F1E" w:rsidRPr="00E726E6">
        <w:rPr>
          <w:rFonts w:ascii="Times New Roman" w:hAnsi="Times New Roman"/>
          <w:sz w:val="24"/>
          <w:szCs w:val="24"/>
        </w:rPr>
        <w:t xml:space="preserve"> </w:t>
      </w:r>
      <w:r w:rsidRPr="00E726E6">
        <w:rPr>
          <w:rFonts w:ascii="Times New Roman" w:hAnsi="Times New Roman"/>
          <w:sz w:val="24"/>
          <w:szCs w:val="24"/>
        </w:rPr>
        <w:t xml:space="preserve">vector of input bundles of </w:t>
      </w:r>
      <w:r w:rsidR="00077F1E" w:rsidRPr="00E726E6">
        <w:rPr>
          <w:rFonts w:ascii="Times New Roman" w:hAnsi="Times New Roman"/>
          <w:sz w:val="24"/>
          <w:szCs w:val="24"/>
        </w:rPr>
        <w:t xml:space="preserve">the </w:t>
      </w:r>
      <w:proofErr w:type="spellStart"/>
      <w:r w:rsidRPr="00E726E6">
        <w:rPr>
          <w:rFonts w:ascii="Times New Roman" w:hAnsi="Times New Roman"/>
          <w:sz w:val="24"/>
          <w:szCs w:val="24"/>
        </w:rPr>
        <w:t>ith</w:t>
      </w:r>
      <w:proofErr w:type="spellEnd"/>
      <w:r w:rsidRPr="00E726E6">
        <w:rPr>
          <w:rFonts w:ascii="Times New Roman" w:hAnsi="Times New Roman"/>
          <w:sz w:val="24"/>
          <w:szCs w:val="24"/>
        </w:rPr>
        <w:t xml:space="preserve"> farm, given the input price </w:t>
      </w:r>
      <w:proofErr w:type="spellStart"/>
      <w:r w:rsidRPr="00E726E6">
        <w:rPr>
          <w:rFonts w:ascii="Times New Roman" w:hAnsi="Times New Roman"/>
          <w:sz w:val="24"/>
          <w:szCs w:val="24"/>
        </w:rPr>
        <w:t>wi</w:t>
      </w:r>
      <w:proofErr w:type="spellEnd"/>
      <w:r w:rsidRPr="00E726E6">
        <w:rPr>
          <w:rFonts w:ascii="Times New Roman" w:hAnsi="Times New Roman"/>
          <w:sz w:val="24"/>
          <w:szCs w:val="24"/>
        </w:rPr>
        <w:t xml:space="preserve"> and the output levels </w:t>
      </w:r>
      <w:proofErr w:type="spellStart"/>
      <w:r w:rsidRPr="00E726E6">
        <w:rPr>
          <w:rFonts w:ascii="Times New Roman" w:hAnsi="Times New Roman"/>
          <w:sz w:val="24"/>
          <w:szCs w:val="24"/>
        </w:rPr>
        <w:t>yi</w:t>
      </w:r>
      <w:proofErr w:type="spellEnd"/>
      <w:r w:rsidRPr="00E726E6">
        <w:rPr>
          <w:rFonts w:ascii="Times New Roman" w:hAnsi="Times New Roman"/>
          <w:sz w:val="24"/>
          <w:szCs w:val="24"/>
        </w:rPr>
        <w:t>. The economic efficiency for firm ‘</w:t>
      </w:r>
      <w:proofErr w:type="spellStart"/>
      <w:r w:rsidRPr="00E726E6">
        <w:rPr>
          <w:rFonts w:ascii="Times New Roman" w:hAnsi="Times New Roman"/>
          <w:sz w:val="24"/>
          <w:szCs w:val="24"/>
        </w:rPr>
        <w:t>i</w:t>
      </w:r>
      <w:proofErr w:type="spellEnd"/>
      <w:r w:rsidRPr="00E726E6">
        <w:rPr>
          <w:rFonts w:ascii="Times New Roman" w:hAnsi="Times New Roman"/>
          <w:sz w:val="24"/>
          <w:szCs w:val="24"/>
        </w:rPr>
        <w:t>’ was then solved by the following computation:</w:t>
      </w:r>
    </w:p>
    <w:p w14:paraId="0C198855"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 xml:space="preserve">EE = </w:t>
      </w:r>
      <w:proofErr w:type="spellStart"/>
      <w:r w:rsidRPr="00E726E6">
        <w:rPr>
          <w:rFonts w:ascii="Times New Roman" w:hAnsi="Times New Roman"/>
          <w:sz w:val="24"/>
          <w:szCs w:val="24"/>
        </w:rPr>
        <w:t>wi’x</w:t>
      </w:r>
      <w:proofErr w:type="spellEnd"/>
      <w:r w:rsidRPr="00E726E6">
        <w:rPr>
          <w:rFonts w:ascii="Times New Roman" w:hAnsi="Times New Roman"/>
          <w:sz w:val="24"/>
          <w:szCs w:val="24"/>
        </w:rPr>
        <w:t xml:space="preserve">* / </w:t>
      </w:r>
      <w:proofErr w:type="spellStart"/>
      <w:r w:rsidRPr="00E726E6">
        <w:rPr>
          <w:rFonts w:ascii="Times New Roman" w:hAnsi="Times New Roman"/>
          <w:sz w:val="24"/>
          <w:szCs w:val="24"/>
        </w:rPr>
        <w:t>wi</w:t>
      </w:r>
      <w:proofErr w:type="spellEnd"/>
      <w:r w:rsidRPr="00E726E6">
        <w:rPr>
          <w:rFonts w:ascii="Times New Roman" w:hAnsi="Times New Roman"/>
          <w:sz w:val="24"/>
          <w:szCs w:val="24"/>
        </w:rPr>
        <w:t xml:space="preserve">’ xi                                                                </w:t>
      </w:r>
      <w:proofErr w:type="gramStart"/>
      <w:r w:rsidRPr="00E726E6">
        <w:rPr>
          <w:rFonts w:ascii="Times New Roman" w:hAnsi="Times New Roman"/>
          <w:sz w:val="24"/>
          <w:szCs w:val="24"/>
        </w:rPr>
        <w:t xml:space="preserve">   (</w:t>
      </w:r>
      <w:proofErr w:type="gramEnd"/>
      <w:r w:rsidRPr="00E726E6">
        <w:rPr>
          <w:rFonts w:ascii="Times New Roman" w:hAnsi="Times New Roman"/>
          <w:sz w:val="24"/>
          <w:szCs w:val="24"/>
        </w:rPr>
        <w:t>7)</w:t>
      </w:r>
    </w:p>
    <w:p w14:paraId="4A8FEBE9" w14:textId="2F8C53B2"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That is, the observed cost is compared to the minimum cost which the firm would face if using the optimal input</w:t>
      </w:r>
    </w:p>
    <w:p w14:paraId="0E5A2AFB" w14:textId="77777777" w:rsidR="00083D2F" w:rsidRPr="00E726E6"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E726E6">
        <w:rPr>
          <w:rFonts w:ascii="Times New Roman" w:hAnsi="Times New Roman"/>
          <w:sz w:val="24"/>
          <w:szCs w:val="24"/>
        </w:rPr>
        <w:t xml:space="preserve">AE = EE / TE                                                                         </w:t>
      </w:r>
      <w:proofErr w:type="gramStart"/>
      <w:r w:rsidRPr="00E726E6">
        <w:rPr>
          <w:rFonts w:ascii="Times New Roman" w:hAnsi="Times New Roman"/>
          <w:sz w:val="24"/>
          <w:szCs w:val="24"/>
        </w:rPr>
        <w:t xml:space="preserve">   (</w:t>
      </w:r>
      <w:proofErr w:type="gramEnd"/>
      <w:r w:rsidRPr="00E726E6">
        <w:rPr>
          <w:rFonts w:ascii="Times New Roman" w:hAnsi="Times New Roman"/>
          <w:sz w:val="24"/>
          <w:szCs w:val="24"/>
        </w:rPr>
        <w:t>8)</w:t>
      </w:r>
    </w:p>
    <w:p w14:paraId="342F90CA" w14:textId="2F169F18" w:rsidR="00083D2F" w:rsidRPr="00E726E6" w:rsidRDefault="00A77639" w:rsidP="00A77639">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This measures firm i’s relative ability to allocate the input</w:t>
      </w:r>
      <w:r w:rsidR="00077F1E" w:rsidRPr="00E726E6">
        <w:rPr>
          <w:rFonts w:ascii="Times New Roman" w:hAnsi="Times New Roman"/>
          <w:sz w:val="24"/>
          <w:szCs w:val="24"/>
        </w:rPr>
        <w:t xml:space="preserve"> </w:t>
      </w:r>
      <w:r w:rsidRPr="00E726E6">
        <w:rPr>
          <w:rFonts w:ascii="Times New Roman" w:hAnsi="Times New Roman"/>
          <w:sz w:val="24"/>
          <w:szCs w:val="24"/>
        </w:rPr>
        <w:t>bundle in the cost-</w:t>
      </w:r>
      <w:proofErr w:type="spellStart"/>
      <w:r w:rsidR="00077F1E" w:rsidRPr="00E726E6">
        <w:rPr>
          <w:rFonts w:ascii="Times New Roman" w:hAnsi="Times New Roman"/>
          <w:sz w:val="24"/>
          <w:szCs w:val="24"/>
        </w:rPr>
        <w:t>minimising</w:t>
      </w:r>
      <w:proofErr w:type="spellEnd"/>
      <w:r w:rsidR="00077F1E" w:rsidRPr="00E726E6">
        <w:rPr>
          <w:rFonts w:ascii="Times New Roman" w:hAnsi="Times New Roman"/>
          <w:sz w:val="24"/>
          <w:szCs w:val="24"/>
        </w:rPr>
        <w:t xml:space="preserve"> </w:t>
      </w:r>
      <w:r w:rsidRPr="00E726E6">
        <w:rPr>
          <w:rFonts w:ascii="Times New Roman" w:hAnsi="Times New Roman"/>
          <w:sz w:val="24"/>
          <w:szCs w:val="24"/>
        </w:rPr>
        <w:t>way, given the estimated technology.</w:t>
      </w:r>
      <w:r w:rsidR="00083D2F" w:rsidRPr="00E726E6">
        <w:rPr>
          <w:rFonts w:ascii="Times New Roman" w:hAnsi="Times New Roman"/>
          <w:sz w:val="24"/>
          <w:szCs w:val="24"/>
        </w:rPr>
        <w:t xml:space="preserve"> Also, this procedure includes any slacks into the allocative efficiency measure. This is often justified on the grounds that slack reflects an inappropriate input mix </w:t>
      </w:r>
      <w:commentRangeStart w:id="6"/>
      <w:r w:rsidR="00083D2F" w:rsidRPr="00E726E6">
        <w:rPr>
          <w:rFonts w:ascii="Times New Roman" w:hAnsi="Times New Roman"/>
          <w:sz w:val="24"/>
          <w:szCs w:val="24"/>
        </w:rPr>
        <w:t>(Ferrier &amp; Lovell, 1990).</w:t>
      </w:r>
      <w:commentRangeEnd w:id="6"/>
      <w:r w:rsidR="00874238" w:rsidRPr="00E726E6">
        <w:rPr>
          <w:rStyle w:val="AklamaBavurusu"/>
        </w:rPr>
        <w:commentReference w:id="6"/>
      </w:r>
    </w:p>
    <w:p w14:paraId="1FD2524D" w14:textId="2992F5A5"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r w:rsidRPr="00E726E6">
        <w:rPr>
          <w:rFonts w:ascii="Times New Roman" w:hAnsi="Times New Roman"/>
          <w:sz w:val="24"/>
          <w:szCs w:val="24"/>
        </w:rPr>
        <w:t xml:space="preserve">All the models given above were solved for each individual sample farm.  </w:t>
      </w:r>
      <w:proofErr w:type="spellStart"/>
      <w:r w:rsidRPr="00E726E6">
        <w:rPr>
          <w:rFonts w:ascii="Times New Roman" w:hAnsi="Times New Roman"/>
          <w:sz w:val="24"/>
          <w:szCs w:val="24"/>
        </w:rPr>
        <w:t>MaxDEAX</w:t>
      </w:r>
      <w:proofErr w:type="spellEnd"/>
      <w:r w:rsidRPr="00E726E6">
        <w:rPr>
          <w:rFonts w:ascii="Times New Roman" w:hAnsi="Times New Roman"/>
          <w:sz w:val="24"/>
          <w:szCs w:val="24"/>
        </w:rPr>
        <w:t xml:space="preserve"> Version: 12.1.0.1(Windows) was used to solve all the above</w:t>
      </w:r>
      <w:r w:rsidR="00077F1E" w:rsidRPr="00E726E6">
        <w:rPr>
          <w:rFonts w:ascii="Times New Roman" w:hAnsi="Times New Roman"/>
          <w:sz w:val="24"/>
          <w:szCs w:val="24"/>
        </w:rPr>
        <w:t>-said input-</w:t>
      </w:r>
      <w:r w:rsidRPr="00E726E6">
        <w:rPr>
          <w:rFonts w:ascii="Times New Roman" w:hAnsi="Times New Roman"/>
          <w:sz w:val="24"/>
          <w:szCs w:val="24"/>
        </w:rPr>
        <w:t>oriented DEA models.</w:t>
      </w:r>
    </w:p>
    <w:p w14:paraId="62AC214C" w14:textId="77777777" w:rsidR="00083D2F" w:rsidRPr="00E726E6" w:rsidRDefault="00083D2F" w:rsidP="00083D2F">
      <w:pPr>
        <w:autoSpaceDE w:val="0"/>
        <w:autoSpaceDN w:val="0"/>
        <w:adjustRightInd w:val="0"/>
        <w:spacing w:after="0" w:line="360" w:lineRule="auto"/>
        <w:ind w:firstLine="720"/>
        <w:jc w:val="both"/>
        <w:rPr>
          <w:rFonts w:ascii="Times New Roman" w:hAnsi="Times New Roman"/>
          <w:sz w:val="24"/>
          <w:szCs w:val="24"/>
        </w:rPr>
      </w:pPr>
    </w:p>
    <w:p w14:paraId="00864BD6" w14:textId="77777777" w:rsidR="00083D2F" w:rsidRPr="00E726E6" w:rsidRDefault="00083D2F" w:rsidP="00083D2F">
      <w:pPr>
        <w:spacing w:after="0" w:line="360" w:lineRule="auto"/>
        <w:jc w:val="both"/>
        <w:rPr>
          <w:rFonts w:ascii="Times New Roman" w:eastAsia="Times New Roman" w:hAnsi="Times New Roman" w:cs="Times New Roman"/>
          <w:b/>
          <w:sz w:val="24"/>
          <w:szCs w:val="24"/>
        </w:rPr>
      </w:pPr>
      <w:r w:rsidRPr="00E726E6">
        <w:rPr>
          <w:rFonts w:ascii="Times New Roman" w:eastAsia="Times New Roman" w:hAnsi="Times New Roman" w:cs="Times New Roman"/>
          <w:b/>
          <w:sz w:val="24"/>
          <w:szCs w:val="24"/>
        </w:rPr>
        <w:t>RESULTS AND DISCUSSION</w:t>
      </w:r>
    </w:p>
    <w:p w14:paraId="3B180172" w14:textId="77777777" w:rsidR="004E70D0" w:rsidRPr="00E726E6" w:rsidRDefault="004E70D0" w:rsidP="004E70D0">
      <w:pPr>
        <w:pStyle w:val="ListeParagraf"/>
        <w:numPr>
          <w:ilvl w:val="0"/>
          <w:numId w:val="1"/>
        </w:numPr>
        <w:spacing w:after="0" w:line="360" w:lineRule="auto"/>
        <w:jc w:val="both"/>
        <w:rPr>
          <w:rFonts w:ascii="Times New Roman" w:eastAsia="Times New Roman" w:hAnsi="Times New Roman" w:cs="Times New Roman"/>
          <w:b/>
          <w:sz w:val="32"/>
          <w:szCs w:val="32"/>
        </w:rPr>
      </w:pPr>
      <w:r w:rsidRPr="00E726E6">
        <w:rPr>
          <w:rFonts w:ascii="Times New Roman" w:hAnsi="Times New Roman" w:cs="Times New Roman"/>
          <w:b/>
          <w:sz w:val="24"/>
          <w:szCs w:val="24"/>
        </w:rPr>
        <w:t>Efficiency of Member and Non-Member Farmers Using Data Envelope Analysis</w:t>
      </w:r>
    </w:p>
    <w:p w14:paraId="22FC4ECE" w14:textId="05E695FC" w:rsidR="004E70D0" w:rsidRPr="00E726E6" w:rsidRDefault="004E70D0" w:rsidP="004E70D0">
      <w:pPr>
        <w:spacing w:after="0" w:line="360" w:lineRule="auto"/>
        <w:ind w:firstLine="720"/>
        <w:jc w:val="both"/>
        <w:rPr>
          <w:rFonts w:ascii="Times New Roman" w:eastAsia="Times New Roman" w:hAnsi="Times New Roman" w:cs="Times New Roman"/>
          <w:b/>
          <w:sz w:val="36"/>
          <w:szCs w:val="36"/>
        </w:rPr>
      </w:pPr>
      <w:r w:rsidRPr="00E726E6">
        <w:rPr>
          <w:rFonts w:ascii="Times New Roman" w:hAnsi="Times New Roman" w:cs="Times New Roman"/>
          <w:sz w:val="24"/>
          <w:szCs w:val="24"/>
        </w:rPr>
        <w:t xml:space="preserve">The efficiency of member and non-member farmers was evaluated by using </w:t>
      </w:r>
      <w:r w:rsidRPr="00E726E6">
        <w:rPr>
          <w:rFonts w:ascii="Times New Roman" w:hAnsi="Times New Roman" w:cs="Times New Roman"/>
          <w:strike/>
          <w:color w:val="FF0000"/>
          <w:sz w:val="24"/>
          <w:szCs w:val="24"/>
        </w:rPr>
        <w:t>Data Envelopment Analysis (</w:t>
      </w:r>
      <w:r w:rsidRPr="00E726E6">
        <w:rPr>
          <w:rFonts w:ascii="Times New Roman" w:hAnsi="Times New Roman" w:cs="Times New Roman"/>
          <w:sz w:val="24"/>
          <w:szCs w:val="24"/>
        </w:rPr>
        <w:t xml:space="preserve">DEA) to understand the impact of FPO membership on farm performance. Efficiency measures such as Technical Efficiency (TE), Allocative Efficiency (AE), and Economic Efficiency (EE) were calculated to assess resource </w:t>
      </w:r>
      <w:proofErr w:type="spellStart"/>
      <w:r w:rsidR="00077F1E" w:rsidRPr="00E726E6">
        <w:rPr>
          <w:rFonts w:ascii="Times New Roman" w:hAnsi="Times New Roman" w:cs="Times New Roman"/>
          <w:sz w:val="24"/>
          <w:szCs w:val="24"/>
        </w:rPr>
        <w:t>utilisation</w:t>
      </w:r>
      <w:proofErr w:type="spellEnd"/>
      <w:r w:rsidRPr="00E726E6">
        <w:rPr>
          <w:rFonts w:ascii="Times New Roman" w:hAnsi="Times New Roman" w:cs="Times New Roman"/>
          <w:sz w:val="24"/>
          <w:szCs w:val="24"/>
        </w:rPr>
        <w:t>, input allocation, and overall cost-effectiveness. The findings, presented through tables, highlighted that member farmers generally exhibited higher efficiency levels, reflecting the benefits of collective resources, better market access, and improved decision-making support from FPOs. This analysis provided valuable insights into the role of FPOs in enhancing farm productivity and strengthening the farm economy.</w:t>
      </w:r>
    </w:p>
    <w:p w14:paraId="4467F25A" w14:textId="77777777" w:rsidR="004E70D0" w:rsidRPr="00E726E6" w:rsidRDefault="004E70D0" w:rsidP="00101240">
      <w:pPr>
        <w:pStyle w:val="ListeParagraf"/>
        <w:numPr>
          <w:ilvl w:val="1"/>
          <w:numId w:val="1"/>
        </w:numPr>
        <w:spacing w:after="0" w:line="360" w:lineRule="auto"/>
        <w:jc w:val="both"/>
        <w:rPr>
          <w:rFonts w:ascii="Times New Roman" w:eastAsia="Times New Roman" w:hAnsi="Times New Roman" w:cs="Times New Roman"/>
          <w:b/>
          <w:sz w:val="28"/>
          <w:szCs w:val="28"/>
        </w:rPr>
      </w:pPr>
      <w:r w:rsidRPr="00E726E6">
        <w:rPr>
          <w:rFonts w:ascii="Times New Roman" w:hAnsi="Times New Roman" w:cs="Times New Roman"/>
          <w:b/>
          <w:sz w:val="24"/>
          <w:szCs w:val="24"/>
        </w:rPr>
        <w:t xml:space="preserve">Efficiency Analysis of Agriculture Commodity (Soybean) Farms Using </w:t>
      </w:r>
      <w:commentRangeStart w:id="7"/>
      <w:r w:rsidRPr="00E726E6">
        <w:rPr>
          <w:rFonts w:ascii="Times New Roman" w:hAnsi="Times New Roman" w:cs="Times New Roman"/>
          <w:b/>
          <w:sz w:val="24"/>
          <w:szCs w:val="24"/>
        </w:rPr>
        <w:t>DEA</w:t>
      </w:r>
      <w:commentRangeEnd w:id="7"/>
      <w:r w:rsidR="006362B3" w:rsidRPr="00E726E6">
        <w:rPr>
          <w:rStyle w:val="AklamaBavurusu"/>
        </w:rPr>
        <w:commentReference w:id="7"/>
      </w:r>
    </w:p>
    <w:p w14:paraId="62C94567" w14:textId="5E8093C1" w:rsidR="004E70D0" w:rsidRPr="00E726E6" w:rsidRDefault="004E70D0" w:rsidP="004E70D0">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lastRenderedPageBreak/>
        <w:t xml:space="preserve">The efficiency analysis of </w:t>
      </w:r>
      <w:r w:rsidR="00077F1E" w:rsidRPr="00E726E6">
        <w:rPr>
          <w:rFonts w:ascii="Times New Roman" w:eastAsia="Times New Roman" w:hAnsi="Times New Roman" w:cs="Times New Roman"/>
          <w:sz w:val="24"/>
          <w:szCs w:val="24"/>
        </w:rPr>
        <w:t xml:space="preserve">the </w:t>
      </w:r>
      <w:r w:rsidRPr="00E726E6">
        <w:rPr>
          <w:rFonts w:ascii="Times New Roman" w:eastAsia="Times New Roman" w:hAnsi="Times New Roman" w:cs="Times New Roman"/>
          <w:sz w:val="24"/>
          <w:szCs w:val="24"/>
        </w:rPr>
        <w:t xml:space="preserve">Agriculture Commodity (Soybean) for member and non-member farmers was conducted by using </w:t>
      </w:r>
      <w:r w:rsidRPr="00E726E6">
        <w:rPr>
          <w:rFonts w:ascii="Times New Roman" w:eastAsia="Times New Roman" w:hAnsi="Times New Roman" w:cs="Times New Roman"/>
          <w:strike/>
          <w:color w:val="FF0000"/>
          <w:sz w:val="24"/>
          <w:szCs w:val="24"/>
        </w:rPr>
        <w:t>Data Envelopment Analysis</w:t>
      </w:r>
      <w:r w:rsidRPr="00E726E6">
        <w:rPr>
          <w:rFonts w:ascii="Times New Roman" w:eastAsia="Times New Roman" w:hAnsi="Times New Roman" w:cs="Times New Roman"/>
          <w:color w:val="FF0000"/>
          <w:sz w:val="24"/>
          <w:szCs w:val="24"/>
        </w:rPr>
        <w:t xml:space="preserve"> </w:t>
      </w:r>
      <w:r w:rsidRPr="00E726E6">
        <w:rPr>
          <w:rFonts w:ascii="Times New Roman" w:eastAsia="Times New Roman" w:hAnsi="Times New Roman" w:cs="Times New Roman"/>
          <w:sz w:val="24"/>
          <w:szCs w:val="24"/>
        </w:rPr>
        <w:t xml:space="preserve">(DEA) to assess their performance in resource </w:t>
      </w:r>
      <w:proofErr w:type="spellStart"/>
      <w:r w:rsidR="00077F1E" w:rsidRPr="00E726E6">
        <w:rPr>
          <w:rFonts w:ascii="Times New Roman" w:eastAsia="Times New Roman" w:hAnsi="Times New Roman" w:cs="Times New Roman"/>
          <w:sz w:val="24"/>
          <w:szCs w:val="24"/>
        </w:rPr>
        <w:t>utilisation</w:t>
      </w:r>
      <w:proofErr w:type="spellEnd"/>
      <w:r w:rsidR="00077F1E"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and cost-effe</w:t>
      </w:r>
      <w:r w:rsidR="001440FF" w:rsidRPr="00E726E6">
        <w:rPr>
          <w:rFonts w:ascii="Times New Roman" w:eastAsia="Times New Roman" w:hAnsi="Times New Roman" w:cs="Times New Roman"/>
          <w:sz w:val="24"/>
          <w:szCs w:val="24"/>
        </w:rPr>
        <w:t>ctiveness</w:t>
      </w:r>
      <w:commentRangeStart w:id="8"/>
      <w:r w:rsidR="001440FF" w:rsidRPr="00E726E6">
        <w:rPr>
          <w:rFonts w:ascii="Times New Roman" w:eastAsia="Times New Roman" w:hAnsi="Times New Roman" w:cs="Times New Roman"/>
          <w:sz w:val="24"/>
          <w:szCs w:val="24"/>
        </w:rPr>
        <w:t xml:space="preserve">. Table </w:t>
      </w:r>
      <w:r w:rsidRPr="00E726E6">
        <w:rPr>
          <w:rFonts w:ascii="Times New Roman" w:eastAsia="Times New Roman" w:hAnsi="Times New Roman" w:cs="Times New Roman"/>
          <w:sz w:val="24"/>
          <w:szCs w:val="24"/>
        </w:rPr>
        <w:t>1</w:t>
      </w:r>
      <w:r w:rsidR="001440FF"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and F</w:t>
      </w:r>
      <w:r w:rsidR="001440FF" w:rsidRPr="00E726E6">
        <w:rPr>
          <w:rFonts w:ascii="Times New Roman" w:eastAsia="Times New Roman" w:hAnsi="Times New Roman" w:cs="Times New Roman"/>
          <w:sz w:val="24"/>
          <w:szCs w:val="24"/>
        </w:rPr>
        <w:t>ig</w:t>
      </w:r>
      <w:r w:rsidR="00077F1E" w:rsidRPr="00E726E6">
        <w:rPr>
          <w:rFonts w:ascii="Times New Roman" w:eastAsia="Times New Roman" w:hAnsi="Times New Roman" w:cs="Times New Roman"/>
          <w:sz w:val="24"/>
          <w:szCs w:val="24"/>
        </w:rPr>
        <w:t>.</w:t>
      </w:r>
      <w:r w:rsidR="001440FF"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 xml:space="preserve">1. </w:t>
      </w:r>
      <w:commentRangeEnd w:id="8"/>
      <w:r w:rsidR="00874238" w:rsidRPr="00E726E6">
        <w:rPr>
          <w:rStyle w:val="AklamaBavurusu"/>
        </w:rPr>
        <w:commentReference w:id="8"/>
      </w:r>
      <w:r w:rsidRPr="00E726E6">
        <w:rPr>
          <w:rFonts w:ascii="Times New Roman" w:eastAsia="Times New Roman" w:hAnsi="Times New Roman" w:cs="Times New Roman"/>
          <w:sz w:val="24"/>
          <w:szCs w:val="24"/>
        </w:rPr>
        <w:t>The result reve</w:t>
      </w:r>
      <w:r w:rsidR="00077F1E" w:rsidRPr="00E726E6">
        <w:rPr>
          <w:rFonts w:ascii="Times New Roman" w:eastAsia="Times New Roman" w:hAnsi="Times New Roman" w:cs="Times New Roman"/>
          <w:sz w:val="24"/>
          <w:szCs w:val="24"/>
        </w:rPr>
        <w:t>a</w:t>
      </w:r>
      <w:r w:rsidRPr="00E726E6">
        <w:rPr>
          <w:rFonts w:ascii="Times New Roman" w:eastAsia="Times New Roman" w:hAnsi="Times New Roman" w:cs="Times New Roman"/>
          <w:sz w:val="24"/>
          <w:szCs w:val="24"/>
        </w:rPr>
        <w:t xml:space="preserve">led </w:t>
      </w:r>
      <w:r w:rsidR="00077F1E" w:rsidRPr="00E726E6">
        <w:rPr>
          <w:rFonts w:ascii="Times New Roman" w:eastAsia="Times New Roman" w:hAnsi="Times New Roman" w:cs="Times New Roman"/>
          <w:sz w:val="24"/>
          <w:szCs w:val="24"/>
        </w:rPr>
        <w:t xml:space="preserve">the </w:t>
      </w:r>
      <w:r w:rsidRPr="00E726E6">
        <w:rPr>
          <w:rFonts w:ascii="Times New Roman" w:eastAsia="Times New Roman" w:hAnsi="Times New Roman" w:cs="Times New Roman"/>
          <w:sz w:val="24"/>
          <w:szCs w:val="24"/>
        </w:rPr>
        <w:t xml:space="preserve">percentage average efficiencies and the distribution of sample agricultural commodity farms according to technical efficiency levels. Member farmers had a higher average technical efficiency of 87 </w:t>
      </w:r>
      <w:commentRangeStart w:id="9"/>
      <w:r w:rsidRPr="00E726E6">
        <w:rPr>
          <w:rFonts w:ascii="Times New Roman" w:eastAsia="Times New Roman" w:hAnsi="Times New Roman" w:cs="Times New Roman"/>
          <w:sz w:val="24"/>
          <w:szCs w:val="24"/>
        </w:rPr>
        <w:t>per cent</w:t>
      </w:r>
      <w:commentRangeEnd w:id="9"/>
      <w:r w:rsidR="006362B3" w:rsidRPr="00E726E6">
        <w:rPr>
          <w:rStyle w:val="AklamaBavurusu"/>
        </w:rPr>
        <w:commentReference w:id="9"/>
      </w:r>
      <w:r w:rsidRPr="00E726E6">
        <w:rPr>
          <w:rFonts w:ascii="Times New Roman" w:eastAsia="Times New Roman" w:hAnsi="Times New Roman" w:cs="Times New Roman"/>
          <w:sz w:val="24"/>
          <w:szCs w:val="24"/>
        </w:rPr>
        <w:t xml:space="preserve">, whereas non-members recorded 79 per cent, indicating that members </w:t>
      </w:r>
      <w:proofErr w:type="spellStart"/>
      <w:r w:rsidR="00784835" w:rsidRPr="00E726E6">
        <w:rPr>
          <w:rFonts w:ascii="Times New Roman" w:eastAsia="Times New Roman" w:hAnsi="Times New Roman" w:cs="Times New Roman"/>
          <w:sz w:val="24"/>
          <w:szCs w:val="24"/>
        </w:rPr>
        <w:t>utilised</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 xml:space="preserve">their resources more effectively to </w:t>
      </w:r>
      <w:proofErr w:type="spellStart"/>
      <w:r w:rsidR="00784835" w:rsidRPr="00E726E6">
        <w:rPr>
          <w:rFonts w:ascii="Times New Roman" w:eastAsia="Times New Roman" w:hAnsi="Times New Roman" w:cs="Times New Roman"/>
          <w:sz w:val="24"/>
          <w:szCs w:val="24"/>
        </w:rPr>
        <w:t>maximise</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output. Allocative efficiency was also high for both groups, with member farmers achieving 96 per cent and non-members 94 per cent. The marginal difference suggested that non-member farmers were relatively efficient in selecting the optimal input mix at given input prices, though members had an advantage of better market information and access to inputs. Economic efficiency was notably higher for members at 83 per cent compared to 74 per cent for non-members, reflecting the combined benefits of technical and allocative efficiency. The higher efficiency of member farmers indicated that participation in FPOs contributed to cost reduction and improved profitability through collective bargaining and market access.</w:t>
      </w:r>
    </w:p>
    <w:p w14:paraId="5E787109" w14:textId="05B13606" w:rsidR="008207E3" w:rsidRPr="00E726E6" w:rsidRDefault="00083D2F" w:rsidP="008207E3">
      <w:pPr>
        <w:pStyle w:val="ResimYazs"/>
        <w:jc w:val="both"/>
        <w:rPr>
          <w:sz w:val="24"/>
        </w:rPr>
      </w:pPr>
      <w:r w:rsidRPr="00E726E6">
        <w:rPr>
          <w:sz w:val="24"/>
        </w:rPr>
        <w:t xml:space="preserve">Table 1. </w:t>
      </w:r>
      <w:r w:rsidR="008207E3" w:rsidRPr="00E726E6">
        <w:rPr>
          <w:sz w:val="24"/>
        </w:rPr>
        <w:t xml:space="preserve">Average Efficiencies and </w:t>
      </w:r>
      <w:r w:rsidR="00784835" w:rsidRPr="00E726E6">
        <w:rPr>
          <w:sz w:val="24"/>
        </w:rPr>
        <w:t xml:space="preserve">Their </w:t>
      </w:r>
      <w:r w:rsidR="008207E3" w:rsidRPr="00E726E6">
        <w:rPr>
          <w:sz w:val="24"/>
        </w:rPr>
        <w:t xml:space="preserve">Distribution According to Technical </w:t>
      </w:r>
      <w:commentRangeStart w:id="10"/>
      <w:r w:rsidR="008207E3" w:rsidRPr="00E726E6">
        <w:rPr>
          <w:sz w:val="24"/>
        </w:rPr>
        <w:t xml:space="preserve">Efficiencies  </w:t>
      </w:r>
    </w:p>
    <w:p w14:paraId="4D954055" w14:textId="77777777" w:rsidR="008207E3" w:rsidRPr="00E726E6" w:rsidRDefault="008207E3" w:rsidP="008207E3">
      <w:pPr>
        <w:pStyle w:val="ResimYazs"/>
        <w:jc w:val="both"/>
        <w:rPr>
          <w:sz w:val="24"/>
        </w:rPr>
      </w:pPr>
      <w:r w:rsidRPr="00E726E6">
        <w:rPr>
          <w:sz w:val="24"/>
        </w:rPr>
        <w:t xml:space="preserve">               of Sample o</w:t>
      </w:r>
      <w:r w:rsidR="00101240" w:rsidRPr="00E726E6">
        <w:rPr>
          <w:sz w:val="24"/>
        </w:rPr>
        <w:t>f Agricultural</w:t>
      </w:r>
      <w:r w:rsidRPr="00E726E6">
        <w:rPr>
          <w:sz w:val="24"/>
        </w:rPr>
        <w:t xml:space="preserve"> Commodity (Soybean) Farms </w:t>
      </w:r>
      <w:commentRangeEnd w:id="10"/>
      <w:r w:rsidR="006362B3" w:rsidRPr="00E726E6">
        <w:rPr>
          <w:rStyle w:val="AklamaBavurusu"/>
          <w:rFonts w:asciiTheme="minorHAnsi" w:eastAsiaTheme="minorHAnsi" w:hAnsiTheme="minorHAnsi" w:cstheme="minorBidi"/>
          <w:b w:val="0"/>
          <w:bCs w:val="0"/>
        </w:rPr>
        <w:commentReference w:id="10"/>
      </w:r>
    </w:p>
    <w:p w14:paraId="71D1E374" w14:textId="77777777" w:rsidR="001440FF" w:rsidRPr="00E726E6" w:rsidRDefault="001440FF" w:rsidP="001440FF">
      <w:pPr>
        <w:spacing w:after="0"/>
        <w:jc w:val="center"/>
        <w:rPr>
          <w:rFonts w:ascii="Times New Roman" w:hAnsi="Times New Roman" w:cs="Times New Roman"/>
          <w:b/>
          <w:bCs/>
          <w:sz w:val="24"/>
          <w:szCs w:val="24"/>
        </w:rPr>
      </w:pPr>
      <w:commentRangeStart w:id="11"/>
      <w:r w:rsidRPr="00E726E6">
        <w:rPr>
          <w:rFonts w:ascii="Times New Roman" w:hAnsi="Times New Roman" w:cs="Times New Roman"/>
          <w:b/>
          <w:bCs/>
          <w:sz w:val="24"/>
          <w:szCs w:val="24"/>
        </w:rPr>
        <w:t xml:space="preserve">                                                                                                                            (In %)</w:t>
      </w:r>
      <w:commentRangeEnd w:id="11"/>
      <w:r w:rsidR="006362B3" w:rsidRPr="00E726E6">
        <w:rPr>
          <w:rStyle w:val="AklamaBavurusu"/>
        </w:rPr>
        <w:commentReference w:id="11"/>
      </w:r>
    </w:p>
    <w:tbl>
      <w:tblPr>
        <w:tblW w:w="89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664"/>
        <w:gridCol w:w="2047"/>
        <w:gridCol w:w="2156"/>
      </w:tblGrid>
      <w:tr w:rsidR="00083D2F" w:rsidRPr="00E726E6" w14:paraId="13474B72" w14:textId="77777777" w:rsidTr="00083D2F">
        <w:trPr>
          <w:trHeight w:val="337"/>
        </w:trPr>
        <w:tc>
          <w:tcPr>
            <w:tcW w:w="1121" w:type="dxa"/>
          </w:tcPr>
          <w:p w14:paraId="1C0FCC88" w14:textId="77777777" w:rsidR="00083D2F" w:rsidRPr="00E726E6" w:rsidRDefault="00083D2F" w:rsidP="00083D2F">
            <w:pPr>
              <w:spacing w:after="0"/>
              <w:jc w:val="center"/>
              <w:rPr>
                <w:rFonts w:ascii="Times New Roman" w:hAnsi="Times New Roman"/>
                <w:b/>
                <w:color w:val="000000"/>
                <w:sz w:val="24"/>
              </w:rPr>
            </w:pPr>
            <w:r w:rsidRPr="00E726E6">
              <w:rPr>
                <w:rFonts w:ascii="Times New Roman" w:hAnsi="Times New Roman"/>
                <w:b/>
                <w:color w:val="000000"/>
                <w:sz w:val="24"/>
              </w:rPr>
              <w:t>Sr. No</w:t>
            </w:r>
          </w:p>
        </w:tc>
        <w:tc>
          <w:tcPr>
            <w:tcW w:w="3664" w:type="dxa"/>
            <w:noWrap/>
            <w:hideMark/>
          </w:tcPr>
          <w:p w14:paraId="25264CC2" w14:textId="77777777" w:rsidR="00083D2F" w:rsidRPr="00E726E6" w:rsidRDefault="00083D2F" w:rsidP="00083D2F">
            <w:pPr>
              <w:spacing w:after="0"/>
              <w:jc w:val="center"/>
              <w:rPr>
                <w:rFonts w:ascii="Times New Roman" w:hAnsi="Times New Roman"/>
                <w:b/>
                <w:color w:val="000000"/>
                <w:sz w:val="24"/>
              </w:rPr>
            </w:pPr>
            <w:r w:rsidRPr="00E726E6">
              <w:rPr>
                <w:rFonts w:ascii="Times New Roman" w:hAnsi="Times New Roman"/>
                <w:b/>
                <w:color w:val="000000"/>
                <w:sz w:val="24"/>
              </w:rPr>
              <w:t>Particular</w:t>
            </w:r>
          </w:p>
        </w:tc>
        <w:tc>
          <w:tcPr>
            <w:tcW w:w="2047" w:type="dxa"/>
            <w:noWrap/>
            <w:hideMark/>
          </w:tcPr>
          <w:p w14:paraId="495B6FAA" w14:textId="77777777" w:rsidR="00083D2F" w:rsidRPr="00E726E6" w:rsidRDefault="00083D2F" w:rsidP="00083D2F">
            <w:pPr>
              <w:spacing w:after="0"/>
              <w:jc w:val="center"/>
              <w:rPr>
                <w:rFonts w:ascii="Times New Roman" w:hAnsi="Times New Roman"/>
                <w:b/>
                <w:color w:val="000000"/>
                <w:sz w:val="24"/>
              </w:rPr>
            </w:pPr>
            <w:r w:rsidRPr="00E726E6">
              <w:rPr>
                <w:rFonts w:ascii="Times New Roman" w:hAnsi="Times New Roman"/>
                <w:b/>
                <w:color w:val="000000"/>
                <w:sz w:val="24"/>
              </w:rPr>
              <w:t>Member (N=30)</w:t>
            </w:r>
          </w:p>
        </w:tc>
        <w:tc>
          <w:tcPr>
            <w:tcW w:w="2156" w:type="dxa"/>
            <w:noWrap/>
            <w:hideMark/>
          </w:tcPr>
          <w:p w14:paraId="53D7A7A5" w14:textId="77777777" w:rsidR="00083D2F" w:rsidRPr="00E726E6" w:rsidRDefault="00083D2F" w:rsidP="00083D2F">
            <w:pPr>
              <w:spacing w:after="0"/>
              <w:jc w:val="center"/>
              <w:rPr>
                <w:rFonts w:ascii="Times New Roman" w:hAnsi="Times New Roman"/>
                <w:b/>
                <w:color w:val="000000"/>
                <w:sz w:val="24"/>
              </w:rPr>
            </w:pPr>
            <w:r w:rsidRPr="00E726E6">
              <w:rPr>
                <w:rFonts w:ascii="Times New Roman" w:hAnsi="Times New Roman"/>
                <w:b/>
                <w:color w:val="000000"/>
                <w:sz w:val="24"/>
              </w:rPr>
              <w:t>Non-Member (N=30)</w:t>
            </w:r>
          </w:p>
        </w:tc>
      </w:tr>
      <w:tr w:rsidR="00083D2F" w:rsidRPr="00E726E6" w14:paraId="47DE1F59" w14:textId="77777777" w:rsidTr="00083D2F">
        <w:trPr>
          <w:trHeight w:val="337"/>
        </w:trPr>
        <w:tc>
          <w:tcPr>
            <w:tcW w:w="1121" w:type="dxa"/>
          </w:tcPr>
          <w:p w14:paraId="31261A79"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1</w:t>
            </w:r>
          </w:p>
        </w:tc>
        <w:tc>
          <w:tcPr>
            <w:tcW w:w="3664" w:type="dxa"/>
            <w:noWrap/>
            <w:hideMark/>
          </w:tcPr>
          <w:p w14:paraId="1DD2676E" w14:textId="77777777" w:rsidR="00083D2F" w:rsidRPr="00E726E6" w:rsidRDefault="00083D2F" w:rsidP="00083D2F">
            <w:pPr>
              <w:spacing w:after="0"/>
              <w:rPr>
                <w:rFonts w:ascii="Times New Roman" w:hAnsi="Times New Roman"/>
                <w:color w:val="000000"/>
                <w:sz w:val="24"/>
              </w:rPr>
            </w:pPr>
            <w:r w:rsidRPr="00E726E6">
              <w:rPr>
                <w:rFonts w:ascii="Times New Roman" w:hAnsi="Times New Roman"/>
                <w:color w:val="000000"/>
                <w:sz w:val="24"/>
              </w:rPr>
              <w:t xml:space="preserve">Technical Efficiency </w:t>
            </w:r>
          </w:p>
        </w:tc>
        <w:tc>
          <w:tcPr>
            <w:tcW w:w="2047" w:type="dxa"/>
            <w:noWrap/>
            <w:vAlign w:val="center"/>
            <w:hideMark/>
          </w:tcPr>
          <w:p w14:paraId="2BD6A7C7"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87</w:t>
            </w:r>
          </w:p>
        </w:tc>
        <w:tc>
          <w:tcPr>
            <w:tcW w:w="2156" w:type="dxa"/>
            <w:noWrap/>
            <w:vAlign w:val="center"/>
            <w:hideMark/>
          </w:tcPr>
          <w:p w14:paraId="64EF3556"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79</w:t>
            </w:r>
          </w:p>
        </w:tc>
      </w:tr>
      <w:tr w:rsidR="00083D2F" w:rsidRPr="00E726E6" w14:paraId="0519A4E9" w14:textId="77777777" w:rsidTr="00083D2F">
        <w:trPr>
          <w:trHeight w:val="337"/>
        </w:trPr>
        <w:tc>
          <w:tcPr>
            <w:tcW w:w="1121" w:type="dxa"/>
          </w:tcPr>
          <w:p w14:paraId="2F6583E2"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2</w:t>
            </w:r>
          </w:p>
        </w:tc>
        <w:tc>
          <w:tcPr>
            <w:tcW w:w="3664" w:type="dxa"/>
            <w:noWrap/>
            <w:hideMark/>
          </w:tcPr>
          <w:p w14:paraId="648133D1" w14:textId="77777777" w:rsidR="00083D2F" w:rsidRPr="00E726E6" w:rsidRDefault="00083D2F" w:rsidP="00083D2F">
            <w:pPr>
              <w:spacing w:after="0"/>
              <w:rPr>
                <w:rFonts w:ascii="Times New Roman" w:hAnsi="Times New Roman"/>
                <w:color w:val="000000"/>
                <w:sz w:val="24"/>
              </w:rPr>
            </w:pPr>
            <w:r w:rsidRPr="00E726E6">
              <w:rPr>
                <w:rFonts w:ascii="Times New Roman" w:hAnsi="Times New Roman"/>
                <w:color w:val="000000"/>
                <w:sz w:val="24"/>
              </w:rPr>
              <w:t>Allocative Efficiency</w:t>
            </w:r>
          </w:p>
        </w:tc>
        <w:tc>
          <w:tcPr>
            <w:tcW w:w="2047" w:type="dxa"/>
            <w:noWrap/>
            <w:vAlign w:val="center"/>
            <w:hideMark/>
          </w:tcPr>
          <w:p w14:paraId="4BADB40A"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96</w:t>
            </w:r>
          </w:p>
        </w:tc>
        <w:tc>
          <w:tcPr>
            <w:tcW w:w="2156" w:type="dxa"/>
            <w:noWrap/>
            <w:vAlign w:val="center"/>
            <w:hideMark/>
          </w:tcPr>
          <w:p w14:paraId="61E0B8AD"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94</w:t>
            </w:r>
          </w:p>
        </w:tc>
      </w:tr>
      <w:tr w:rsidR="00083D2F" w:rsidRPr="00E726E6" w14:paraId="6B64CF2D" w14:textId="77777777" w:rsidTr="00083D2F">
        <w:trPr>
          <w:trHeight w:val="337"/>
        </w:trPr>
        <w:tc>
          <w:tcPr>
            <w:tcW w:w="1121" w:type="dxa"/>
          </w:tcPr>
          <w:p w14:paraId="43D82CE0"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3</w:t>
            </w:r>
          </w:p>
        </w:tc>
        <w:tc>
          <w:tcPr>
            <w:tcW w:w="3664" w:type="dxa"/>
            <w:noWrap/>
            <w:hideMark/>
          </w:tcPr>
          <w:p w14:paraId="573E69FC" w14:textId="77777777" w:rsidR="00083D2F" w:rsidRPr="00E726E6" w:rsidRDefault="00083D2F" w:rsidP="00083D2F">
            <w:pPr>
              <w:spacing w:after="0"/>
              <w:rPr>
                <w:rFonts w:ascii="Times New Roman" w:hAnsi="Times New Roman"/>
                <w:color w:val="000000"/>
                <w:sz w:val="24"/>
              </w:rPr>
            </w:pPr>
            <w:r w:rsidRPr="00E726E6">
              <w:rPr>
                <w:rFonts w:ascii="Times New Roman" w:hAnsi="Times New Roman"/>
                <w:color w:val="000000"/>
                <w:sz w:val="24"/>
              </w:rPr>
              <w:t>Economic Efficiency</w:t>
            </w:r>
          </w:p>
        </w:tc>
        <w:tc>
          <w:tcPr>
            <w:tcW w:w="2047" w:type="dxa"/>
            <w:noWrap/>
            <w:vAlign w:val="center"/>
            <w:hideMark/>
          </w:tcPr>
          <w:p w14:paraId="1074D5DF"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83</w:t>
            </w:r>
          </w:p>
        </w:tc>
        <w:tc>
          <w:tcPr>
            <w:tcW w:w="2156" w:type="dxa"/>
            <w:noWrap/>
            <w:vAlign w:val="center"/>
            <w:hideMark/>
          </w:tcPr>
          <w:p w14:paraId="6D3D8002"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74</w:t>
            </w:r>
          </w:p>
        </w:tc>
      </w:tr>
      <w:tr w:rsidR="00083D2F" w:rsidRPr="00E726E6" w14:paraId="0DD9741C" w14:textId="77777777" w:rsidTr="00083D2F">
        <w:trPr>
          <w:trHeight w:val="337"/>
        </w:trPr>
        <w:tc>
          <w:tcPr>
            <w:tcW w:w="1121" w:type="dxa"/>
          </w:tcPr>
          <w:p w14:paraId="156CD455"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4</w:t>
            </w:r>
          </w:p>
        </w:tc>
        <w:tc>
          <w:tcPr>
            <w:tcW w:w="3664" w:type="dxa"/>
            <w:noWrap/>
            <w:hideMark/>
          </w:tcPr>
          <w:p w14:paraId="0B1A7269" w14:textId="77777777" w:rsidR="00083D2F" w:rsidRPr="00E726E6" w:rsidRDefault="00083D2F" w:rsidP="00083D2F">
            <w:pPr>
              <w:spacing w:after="0"/>
              <w:rPr>
                <w:rFonts w:ascii="Times New Roman" w:hAnsi="Times New Roman"/>
                <w:color w:val="000000"/>
                <w:sz w:val="24"/>
              </w:rPr>
            </w:pPr>
            <w:r w:rsidRPr="00E726E6">
              <w:rPr>
                <w:rFonts w:ascii="Times New Roman" w:hAnsi="Times New Roman"/>
                <w:color w:val="000000"/>
                <w:sz w:val="24"/>
              </w:rPr>
              <w:t xml:space="preserve">Pure Technical Efficiency </w:t>
            </w:r>
          </w:p>
        </w:tc>
        <w:tc>
          <w:tcPr>
            <w:tcW w:w="2047" w:type="dxa"/>
            <w:noWrap/>
            <w:vAlign w:val="center"/>
            <w:hideMark/>
          </w:tcPr>
          <w:p w14:paraId="10A3DC19"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89</w:t>
            </w:r>
          </w:p>
        </w:tc>
        <w:tc>
          <w:tcPr>
            <w:tcW w:w="2156" w:type="dxa"/>
            <w:noWrap/>
            <w:vAlign w:val="center"/>
            <w:hideMark/>
          </w:tcPr>
          <w:p w14:paraId="793F562A"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81</w:t>
            </w:r>
          </w:p>
        </w:tc>
      </w:tr>
      <w:tr w:rsidR="00083D2F" w:rsidRPr="00E726E6" w14:paraId="485011A6" w14:textId="77777777" w:rsidTr="00083D2F">
        <w:trPr>
          <w:trHeight w:val="337"/>
        </w:trPr>
        <w:tc>
          <w:tcPr>
            <w:tcW w:w="1121" w:type="dxa"/>
          </w:tcPr>
          <w:p w14:paraId="6A480A8B"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5</w:t>
            </w:r>
          </w:p>
        </w:tc>
        <w:tc>
          <w:tcPr>
            <w:tcW w:w="3664" w:type="dxa"/>
            <w:noWrap/>
            <w:hideMark/>
          </w:tcPr>
          <w:p w14:paraId="68C9756C" w14:textId="77777777" w:rsidR="00083D2F" w:rsidRPr="00E726E6" w:rsidRDefault="00083D2F" w:rsidP="00083D2F">
            <w:pPr>
              <w:spacing w:after="0"/>
              <w:rPr>
                <w:rFonts w:ascii="Times New Roman" w:hAnsi="Times New Roman"/>
                <w:color w:val="000000"/>
                <w:sz w:val="24"/>
              </w:rPr>
            </w:pPr>
            <w:r w:rsidRPr="00E726E6">
              <w:rPr>
                <w:rFonts w:ascii="Times New Roman" w:hAnsi="Times New Roman"/>
                <w:color w:val="000000"/>
                <w:sz w:val="24"/>
              </w:rPr>
              <w:t>Scale Efficiency</w:t>
            </w:r>
          </w:p>
        </w:tc>
        <w:tc>
          <w:tcPr>
            <w:tcW w:w="2047" w:type="dxa"/>
            <w:noWrap/>
            <w:vAlign w:val="center"/>
            <w:hideMark/>
          </w:tcPr>
          <w:p w14:paraId="13AAA4E7"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98</w:t>
            </w:r>
          </w:p>
        </w:tc>
        <w:tc>
          <w:tcPr>
            <w:tcW w:w="2156" w:type="dxa"/>
            <w:noWrap/>
            <w:vAlign w:val="center"/>
            <w:hideMark/>
          </w:tcPr>
          <w:p w14:paraId="1484DE47"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98</w:t>
            </w:r>
          </w:p>
        </w:tc>
      </w:tr>
      <w:tr w:rsidR="00083D2F" w:rsidRPr="00E726E6" w14:paraId="24E9DB50" w14:textId="77777777" w:rsidTr="00083D2F">
        <w:trPr>
          <w:trHeight w:val="337"/>
        </w:trPr>
        <w:tc>
          <w:tcPr>
            <w:tcW w:w="8988" w:type="dxa"/>
            <w:gridSpan w:val="4"/>
          </w:tcPr>
          <w:p w14:paraId="42C1EE90" w14:textId="77777777" w:rsidR="00083D2F" w:rsidRPr="00E726E6" w:rsidRDefault="00083D2F" w:rsidP="00083D2F">
            <w:pPr>
              <w:spacing w:after="0"/>
              <w:rPr>
                <w:rFonts w:ascii="Times New Roman" w:hAnsi="Times New Roman"/>
                <w:b/>
                <w:color w:val="000000"/>
                <w:sz w:val="24"/>
              </w:rPr>
            </w:pPr>
            <w:r w:rsidRPr="00E726E6">
              <w:rPr>
                <w:rFonts w:ascii="Times New Roman" w:hAnsi="Times New Roman"/>
                <w:b/>
                <w:color w:val="000000"/>
                <w:sz w:val="24"/>
              </w:rPr>
              <w:t>Technical Efficiency Range (percentage) </w:t>
            </w:r>
          </w:p>
        </w:tc>
      </w:tr>
      <w:tr w:rsidR="00083D2F" w:rsidRPr="00E726E6" w14:paraId="67CFFA26" w14:textId="77777777" w:rsidTr="00083D2F">
        <w:trPr>
          <w:trHeight w:val="337"/>
        </w:trPr>
        <w:tc>
          <w:tcPr>
            <w:tcW w:w="1121" w:type="dxa"/>
          </w:tcPr>
          <w:p w14:paraId="3A8F4D1A"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I</w:t>
            </w:r>
          </w:p>
        </w:tc>
        <w:tc>
          <w:tcPr>
            <w:tcW w:w="3664" w:type="dxa"/>
            <w:noWrap/>
            <w:hideMark/>
          </w:tcPr>
          <w:p w14:paraId="268DAB66" w14:textId="77777777" w:rsidR="00083D2F" w:rsidRPr="00E726E6" w:rsidRDefault="00083D2F" w:rsidP="00083D2F">
            <w:pPr>
              <w:spacing w:after="0"/>
              <w:rPr>
                <w:rFonts w:ascii="Times New Roman" w:hAnsi="Times New Roman"/>
                <w:color w:val="000000"/>
                <w:sz w:val="24"/>
              </w:rPr>
            </w:pPr>
            <w:r w:rsidRPr="00E726E6">
              <w:rPr>
                <w:rFonts w:ascii="Times New Roman" w:hAnsi="Times New Roman"/>
                <w:color w:val="000000"/>
                <w:sz w:val="24"/>
              </w:rPr>
              <w:t>&lt; 50</w:t>
            </w:r>
          </w:p>
        </w:tc>
        <w:tc>
          <w:tcPr>
            <w:tcW w:w="2047" w:type="dxa"/>
            <w:noWrap/>
            <w:vAlign w:val="center"/>
            <w:hideMark/>
          </w:tcPr>
          <w:p w14:paraId="23F53070"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0</w:t>
            </w:r>
          </w:p>
        </w:tc>
        <w:tc>
          <w:tcPr>
            <w:tcW w:w="2156" w:type="dxa"/>
            <w:noWrap/>
            <w:vAlign w:val="center"/>
            <w:hideMark/>
          </w:tcPr>
          <w:p w14:paraId="104FFE00"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0</w:t>
            </w:r>
          </w:p>
        </w:tc>
      </w:tr>
      <w:tr w:rsidR="00083D2F" w:rsidRPr="00E726E6" w14:paraId="4A9FDD1C" w14:textId="77777777" w:rsidTr="00083D2F">
        <w:trPr>
          <w:trHeight w:val="337"/>
        </w:trPr>
        <w:tc>
          <w:tcPr>
            <w:tcW w:w="1121" w:type="dxa"/>
          </w:tcPr>
          <w:p w14:paraId="30BC6DD4"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II</w:t>
            </w:r>
          </w:p>
        </w:tc>
        <w:tc>
          <w:tcPr>
            <w:tcW w:w="3664" w:type="dxa"/>
            <w:noWrap/>
            <w:hideMark/>
          </w:tcPr>
          <w:p w14:paraId="47CE38AE" w14:textId="77777777" w:rsidR="00083D2F" w:rsidRPr="00E726E6" w:rsidRDefault="00083D2F" w:rsidP="00083D2F">
            <w:pPr>
              <w:spacing w:after="0"/>
              <w:rPr>
                <w:rFonts w:ascii="Times New Roman" w:hAnsi="Times New Roman"/>
                <w:color w:val="000000"/>
                <w:sz w:val="24"/>
              </w:rPr>
            </w:pPr>
            <w:r w:rsidRPr="00E726E6">
              <w:rPr>
                <w:rFonts w:ascii="Times New Roman" w:hAnsi="Times New Roman"/>
                <w:color w:val="000000"/>
                <w:sz w:val="24"/>
              </w:rPr>
              <w:t>50-70</w:t>
            </w:r>
          </w:p>
        </w:tc>
        <w:tc>
          <w:tcPr>
            <w:tcW w:w="2047" w:type="dxa"/>
            <w:noWrap/>
            <w:vAlign w:val="center"/>
            <w:hideMark/>
          </w:tcPr>
          <w:p w14:paraId="4D613CCF"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6.7</w:t>
            </w:r>
          </w:p>
        </w:tc>
        <w:tc>
          <w:tcPr>
            <w:tcW w:w="2156" w:type="dxa"/>
            <w:noWrap/>
            <w:vAlign w:val="center"/>
            <w:hideMark/>
          </w:tcPr>
          <w:p w14:paraId="2666A39F"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73</w:t>
            </w:r>
          </w:p>
        </w:tc>
      </w:tr>
      <w:tr w:rsidR="00083D2F" w:rsidRPr="00E726E6" w14:paraId="0046D6B2" w14:textId="77777777" w:rsidTr="00083D2F">
        <w:trPr>
          <w:trHeight w:val="337"/>
        </w:trPr>
        <w:tc>
          <w:tcPr>
            <w:tcW w:w="1121" w:type="dxa"/>
          </w:tcPr>
          <w:p w14:paraId="71F2468C"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III</w:t>
            </w:r>
          </w:p>
        </w:tc>
        <w:tc>
          <w:tcPr>
            <w:tcW w:w="3664" w:type="dxa"/>
            <w:noWrap/>
            <w:hideMark/>
          </w:tcPr>
          <w:p w14:paraId="76895EB8" w14:textId="77777777" w:rsidR="00083D2F" w:rsidRPr="00E726E6" w:rsidRDefault="00083D2F" w:rsidP="00083D2F">
            <w:pPr>
              <w:spacing w:after="0"/>
              <w:rPr>
                <w:rFonts w:ascii="Times New Roman" w:hAnsi="Times New Roman"/>
                <w:color w:val="000000"/>
                <w:sz w:val="24"/>
              </w:rPr>
            </w:pPr>
            <w:r w:rsidRPr="00E726E6">
              <w:rPr>
                <w:rFonts w:ascii="Times New Roman" w:hAnsi="Times New Roman"/>
                <w:color w:val="000000"/>
                <w:sz w:val="24"/>
              </w:rPr>
              <w:t>70-90</w:t>
            </w:r>
          </w:p>
        </w:tc>
        <w:tc>
          <w:tcPr>
            <w:tcW w:w="2047" w:type="dxa"/>
            <w:noWrap/>
            <w:vAlign w:val="center"/>
            <w:hideMark/>
          </w:tcPr>
          <w:p w14:paraId="0F03AE69"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56.6</w:t>
            </w:r>
          </w:p>
        </w:tc>
        <w:tc>
          <w:tcPr>
            <w:tcW w:w="2156" w:type="dxa"/>
            <w:noWrap/>
            <w:vAlign w:val="center"/>
            <w:hideMark/>
          </w:tcPr>
          <w:p w14:paraId="1B46A579"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27</w:t>
            </w:r>
          </w:p>
        </w:tc>
      </w:tr>
      <w:tr w:rsidR="00083D2F" w:rsidRPr="00E726E6" w14:paraId="3A8E2F58" w14:textId="77777777" w:rsidTr="00083D2F">
        <w:trPr>
          <w:trHeight w:val="337"/>
        </w:trPr>
        <w:tc>
          <w:tcPr>
            <w:tcW w:w="1121" w:type="dxa"/>
          </w:tcPr>
          <w:p w14:paraId="38A725EF"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IV</w:t>
            </w:r>
          </w:p>
        </w:tc>
        <w:tc>
          <w:tcPr>
            <w:tcW w:w="3664" w:type="dxa"/>
            <w:noWrap/>
            <w:hideMark/>
          </w:tcPr>
          <w:p w14:paraId="7F670F4C" w14:textId="77777777" w:rsidR="00083D2F" w:rsidRPr="00E726E6" w:rsidRDefault="00083D2F" w:rsidP="00083D2F">
            <w:pPr>
              <w:spacing w:after="0"/>
              <w:rPr>
                <w:rFonts w:ascii="Times New Roman" w:hAnsi="Times New Roman"/>
                <w:color w:val="000000"/>
                <w:sz w:val="24"/>
              </w:rPr>
            </w:pPr>
            <w:r w:rsidRPr="00E726E6">
              <w:rPr>
                <w:rFonts w:ascii="Times New Roman" w:hAnsi="Times New Roman"/>
                <w:color w:val="000000"/>
                <w:sz w:val="24"/>
              </w:rPr>
              <w:t>90-100</w:t>
            </w:r>
          </w:p>
        </w:tc>
        <w:tc>
          <w:tcPr>
            <w:tcW w:w="2047" w:type="dxa"/>
            <w:noWrap/>
            <w:vAlign w:val="center"/>
            <w:hideMark/>
          </w:tcPr>
          <w:p w14:paraId="2FC2DE28"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36.7</w:t>
            </w:r>
          </w:p>
        </w:tc>
        <w:tc>
          <w:tcPr>
            <w:tcW w:w="2156" w:type="dxa"/>
            <w:noWrap/>
            <w:vAlign w:val="center"/>
            <w:hideMark/>
          </w:tcPr>
          <w:p w14:paraId="61D16EA2" w14:textId="77777777" w:rsidR="00083D2F" w:rsidRPr="00E726E6" w:rsidRDefault="00083D2F" w:rsidP="00083D2F">
            <w:pPr>
              <w:spacing w:after="0"/>
              <w:jc w:val="center"/>
              <w:rPr>
                <w:rFonts w:ascii="Times New Roman" w:hAnsi="Times New Roman"/>
                <w:color w:val="000000"/>
                <w:sz w:val="24"/>
              </w:rPr>
            </w:pPr>
            <w:r w:rsidRPr="00E726E6">
              <w:rPr>
                <w:rFonts w:ascii="Times New Roman" w:hAnsi="Times New Roman"/>
                <w:color w:val="000000"/>
                <w:sz w:val="24"/>
              </w:rPr>
              <w:t>0</w:t>
            </w:r>
          </w:p>
        </w:tc>
      </w:tr>
    </w:tbl>
    <w:p w14:paraId="7BBB0B6C" w14:textId="5620365B" w:rsidR="004E70D0" w:rsidRPr="00E726E6" w:rsidRDefault="004E70D0" w:rsidP="004E70D0">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 xml:space="preserve">Pure technical efficiency was recorded at 89 per cent for members and 81 per cent for non-members, showing that members operated closer to the production frontier. However, both groups exhibited equally high scale efficiency at 98 per cent, suggesting that farms were operated at an optimal scale and differences in overall efficiency were primarily due to technical factors rather than scale-related constraints. The distribution of farms across technical efficiency ranges further highlighted </w:t>
      </w:r>
      <w:r w:rsidR="00784835" w:rsidRPr="00E726E6">
        <w:rPr>
          <w:rFonts w:ascii="Times New Roman" w:eastAsia="Times New Roman" w:hAnsi="Times New Roman" w:cs="Times New Roman"/>
          <w:sz w:val="24"/>
          <w:szCs w:val="24"/>
        </w:rPr>
        <w:t xml:space="preserve">the </w:t>
      </w:r>
      <w:r w:rsidRPr="00E726E6">
        <w:rPr>
          <w:rFonts w:ascii="Times New Roman" w:eastAsia="Times New Roman" w:hAnsi="Times New Roman" w:cs="Times New Roman"/>
          <w:sz w:val="24"/>
          <w:szCs w:val="24"/>
        </w:rPr>
        <w:t>disparity between members and non-</w:t>
      </w:r>
      <w:r w:rsidRPr="00E726E6">
        <w:rPr>
          <w:rFonts w:ascii="Times New Roman" w:eastAsia="Times New Roman" w:hAnsi="Times New Roman" w:cs="Times New Roman"/>
          <w:sz w:val="24"/>
          <w:szCs w:val="24"/>
        </w:rPr>
        <w:lastRenderedPageBreak/>
        <w:t xml:space="preserve">members. In the 90–100 per cent efficiency range, 36.7 per cent of member farms achieved high technical efficiency, while none of the non-member farms reached this level. On the other hand, 73 per cent of non-member farms fell within the 50–70 per cent efficiency range, compared to only 6.7 per cent for member farms. This indicated that a majority of non-members faced challenges in resource </w:t>
      </w:r>
      <w:proofErr w:type="spellStart"/>
      <w:r w:rsidR="00784835" w:rsidRPr="00E726E6">
        <w:rPr>
          <w:rFonts w:ascii="Times New Roman" w:eastAsia="Times New Roman" w:hAnsi="Times New Roman" w:cs="Times New Roman"/>
          <w:sz w:val="24"/>
          <w:szCs w:val="24"/>
        </w:rPr>
        <w:t>utilisation</w:t>
      </w:r>
      <w:proofErr w:type="spellEnd"/>
      <w:r w:rsidRPr="00E726E6">
        <w:rPr>
          <w:rFonts w:ascii="Times New Roman" w:eastAsia="Times New Roman" w:hAnsi="Times New Roman" w:cs="Times New Roman"/>
          <w:sz w:val="24"/>
          <w:szCs w:val="24"/>
        </w:rPr>
        <w:t>, whereas FPO members consistently performed at higher efficiency levels.</w:t>
      </w:r>
    </w:p>
    <w:p w14:paraId="51B220E0" w14:textId="140293DC" w:rsidR="00101240" w:rsidRPr="00E726E6" w:rsidRDefault="004E70D0" w:rsidP="00101240">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 xml:space="preserve">Overall, the findings suggested that FPO membership had a positive impact on farm efficiency, with members outperforming non-members in all efficiency measures. The advantages of collective resources, technical support, and better market access contributed to these improvements. The results </w:t>
      </w:r>
      <w:proofErr w:type="spellStart"/>
      <w:r w:rsidR="00784835" w:rsidRPr="00E726E6">
        <w:rPr>
          <w:rFonts w:ascii="Times New Roman" w:eastAsia="Times New Roman" w:hAnsi="Times New Roman" w:cs="Times New Roman"/>
          <w:sz w:val="24"/>
          <w:szCs w:val="24"/>
        </w:rPr>
        <w:t>emphasised</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the need for policy interventions to promote farmer participation in FPOs, which could enhance farm productivity and economic sustainability.</w:t>
      </w:r>
    </w:p>
    <w:p w14:paraId="39A407EB" w14:textId="77777777" w:rsidR="001440FF" w:rsidRPr="00E726E6" w:rsidRDefault="00101240" w:rsidP="00101240">
      <w:pPr>
        <w:spacing w:after="0" w:line="360" w:lineRule="auto"/>
        <w:jc w:val="both"/>
        <w:rPr>
          <w:rFonts w:ascii="Times New Roman" w:eastAsia="Times New Roman" w:hAnsi="Times New Roman" w:cs="Times New Roman"/>
          <w:sz w:val="24"/>
          <w:szCs w:val="24"/>
        </w:rPr>
      </w:pPr>
      <w:r w:rsidRPr="00E726E6">
        <w:rPr>
          <w:rFonts w:ascii="Times New Roman" w:eastAsia="Times New Roman" w:hAnsi="Times New Roman" w:cs="Times New Roman"/>
          <w:b/>
          <w:bCs/>
          <w:sz w:val="24"/>
          <w:szCs w:val="24"/>
        </w:rPr>
        <w:t xml:space="preserve">1.2 </w:t>
      </w:r>
      <w:r w:rsidR="001440FF" w:rsidRPr="00E726E6">
        <w:rPr>
          <w:rFonts w:ascii="Times New Roman" w:hAnsi="Times New Roman" w:cs="Times New Roman"/>
          <w:b/>
          <w:sz w:val="24"/>
          <w:szCs w:val="24"/>
        </w:rPr>
        <w:t>Efficiency Analysis of Vegetable (Onion) Farms Using DEA</w:t>
      </w:r>
    </w:p>
    <w:p w14:paraId="64D09457" w14:textId="41EF0D3A" w:rsidR="001440FF" w:rsidRPr="00E726E6" w:rsidRDefault="00AD5E7C" w:rsidP="001440FF">
      <w:pPr>
        <w:pStyle w:val="ResimYazs"/>
        <w:jc w:val="both"/>
        <w:rPr>
          <w:sz w:val="24"/>
        </w:rPr>
      </w:pPr>
      <w:r w:rsidRPr="00E726E6">
        <w:rPr>
          <w:sz w:val="24"/>
        </w:rPr>
        <w:t>Table 2</w:t>
      </w:r>
      <w:r w:rsidR="00083D2F" w:rsidRPr="00E726E6">
        <w:rPr>
          <w:sz w:val="24"/>
        </w:rPr>
        <w:t xml:space="preserve">. </w:t>
      </w:r>
      <w:r w:rsidR="001440FF" w:rsidRPr="00E726E6">
        <w:rPr>
          <w:sz w:val="24"/>
        </w:rPr>
        <w:t xml:space="preserve">Average Efficiencies and </w:t>
      </w:r>
      <w:r w:rsidR="00784835" w:rsidRPr="00E726E6">
        <w:rPr>
          <w:sz w:val="24"/>
        </w:rPr>
        <w:t xml:space="preserve">Their </w:t>
      </w:r>
      <w:r w:rsidR="001440FF" w:rsidRPr="00E726E6">
        <w:rPr>
          <w:sz w:val="24"/>
        </w:rPr>
        <w:t xml:space="preserve">Distribution According </w:t>
      </w:r>
      <w:proofErr w:type="gramStart"/>
      <w:r w:rsidR="001440FF" w:rsidRPr="00E726E6">
        <w:rPr>
          <w:color w:val="FF0000"/>
          <w:sz w:val="24"/>
        </w:rPr>
        <w:t>To</w:t>
      </w:r>
      <w:proofErr w:type="gramEnd"/>
      <w:r w:rsidR="001440FF" w:rsidRPr="00E726E6">
        <w:rPr>
          <w:sz w:val="24"/>
        </w:rPr>
        <w:t xml:space="preserve"> Technical </w:t>
      </w:r>
      <w:commentRangeStart w:id="12"/>
      <w:r w:rsidR="001440FF" w:rsidRPr="00E726E6">
        <w:rPr>
          <w:sz w:val="24"/>
        </w:rPr>
        <w:t xml:space="preserve">Efficiencies  </w:t>
      </w:r>
    </w:p>
    <w:p w14:paraId="30D7C2DF" w14:textId="77777777" w:rsidR="00083D2F" w:rsidRPr="00E726E6" w:rsidRDefault="001440FF" w:rsidP="001440FF">
      <w:pPr>
        <w:pStyle w:val="ResimYazs"/>
        <w:jc w:val="both"/>
        <w:rPr>
          <w:sz w:val="24"/>
        </w:rPr>
      </w:pPr>
      <w:r w:rsidRPr="00E726E6">
        <w:rPr>
          <w:sz w:val="24"/>
        </w:rPr>
        <w:t xml:space="preserve">                  of Sample of Vegetable (Onion) Farms  </w:t>
      </w:r>
      <w:commentRangeEnd w:id="12"/>
      <w:r w:rsidR="006362B3" w:rsidRPr="00E726E6">
        <w:rPr>
          <w:rStyle w:val="AklamaBavurusu"/>
          <w:rFonts w:asciiTheme="minorHAnsi" w:eastAsiaTheme="minorHAnsi" w:hAnsiTheme="minorHAnsi" w:cstheme="minorBidi"/>
          <w:b w:val="0"/>
          <w:bCs w:val="0"/>
        </w:rPr>
        <w:commentReference w:id="12"/>
      </w:r>
    </w:p>
    <w:p w14:paraId="605BA2C0" w14:textId="77777777" w:rsidR="001440FF" w:rsidRPr="00E726E6" w:rsidRDefault="001440FF" w:rsidP="001440FF">
      <w:pPr>
        <w:spacing w:after="0"/>
        <w:jc w:val="right"/>
        <w:rPr>
          <w:rFonts w:ascii="Times New Roman" w:hAnsi="Times New Roman" w:cs="Times New Roman"/>
          <w:b/>
          <w:bCs/>
          <w:sz w:val="24"/>
          <w:szCs w:val="24"/>
        </w:rPr>
      </w:pPr>
      <w:r w:rsidRPr="00E726E6">
        <w:rPr>
          <w:rFonts w:ascii="Times New Roman" w:hAnsi="Times New Roman" w:cs="Times New Roman"/>
          <w:b/>
          <w:bCs/>
          <w:sz w:val="24"/>
          <w:szCs w:val="24"/>
        </w:rPr>
        <w:t>(In %)</w:t>
      </w:r>
    </w:p>
    <w:tbl>
      <w:tblPr>
        <w:tblW w:w="906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611"/>
        <w:gridCol w:w="2081"/>
        <w:gridCol w:w="2312"/>
      </w:tblGrid>
      <w:tr w:rsidR="00083D2F" w:rsidRPr="00E726E6" w14:paraId="76D3BAE8" w14:textId="77777777" w:rsidTr="0053013B">
        <w:trPr>
          <w:trHeight w:val="324"/>
        </w:trPr>
        <w:tc>
          <w:tcPr>
            <w:tcW w:w="1063" w:type="dxa"/>
            <w:noWrap/>
            <w:hideMark/>
          </w:tcPr>
          <w:p w14:paraId="367F935E" w14:textId="77777777" w:rsidR="00083D2F" w:rsidRPr="00E726E6" w:rsidRDefault="00083D2F" w:rsidP="00AD5E7C">
            <w:pPr>
              <w:spacing w:after="0"/>
              <w:jc w:val="center"/>
              <w:rPr>
                <w:rFonts w:ascii="Times New Roman" w:hAnsi="Times New Roman"/>
                <w:b/>
                <w:color w:val="000000"/>
                <w:sz w:val="24"/>
                <w:szCs w:val="24"/>
              </w:rPr>
            </w:pPr>
            <w:r w:rsidRPr="00E726E6">
              <w:rPr>
                <w:rFonts w:ascii="Times New Roman" w:hAnsi="Times New Roman"/>
                <w:b/>
                <w:color w:val="000000"/>
                <w:sz w:val="24"/>
                <w:szCs w:val="24"/>
              </w:rPr>
              <w:t>Sr. No</w:t>
            </w:r>
          </w:p>
        </w:tc>
        <w:tc>
          <w:tcPr>
            <w:tcW w:w="3611" w:type="dxa"/>
            <w:noWrap/>
            <w:hideMark/>
          </w:tcPr>
          <w:p w14:paraId="57453B0A" w14:textId="77777777" w:rsidR="00083D2F" w:rsidRPr="00E726E6" w:rsidRDefault="00083D2F" w:rsidP="00AD5E7C">
            <w:pPr>
              <w:spacing w:after="0"/>
              <w:jc w:val="center"/>
              <w:rPr>
                <w:rFonts w:ascii="Times New Roman" w:hAnsi="Times New Roman"/>
                <w:b/>
                <w:color w:val="000000"/>
                <w:sz w:val="24"/>
                <w:szCs w:val="24"/>
              </w:rPr>
            </w:pPr>
            <w:r w:rsidRPr="00E726E6">
              <w:rPr>
                <w:rFonts w:ascii="Times New Roman" w:hAnsi="Times New Roman"/>
                <w:b/>
                <w:color w:val="000000"/>
                <w:sz w:val="24"/>
                <w:szCs w:val="24"/>
              </w:rPr>
              <w:t>Particular</w:t>
            </w:r>
          </w:p>
        </w:tc>
        <w:tc>
          <w:tcPr>
            <w:tcW w:w="2081" w:type="dxa"/>
            <w:noWrap/>
            <w:hideMark/>
          </w:tcPr>
          <w:p w14:paraId="15F6C9D3" w14:textId="77777777" w:rsidR="00083D2F" w:rsidRPr="00E726E6" w:rsidRDefault="00083D2F" w:rsidP="00AD5E7C">
            <w:pPr>
              <w:spacing w:after="0"/>
              <w:jc w:val="center"/>
              <w:rPr>
                <w:rFonts w:ascii="Times New Roman" w:hAnsi="Times New Roman"/>
                <w:b/>
                <w:color w:val="000000"/>
                <w:sz w:val="24"/>
              </w:rPr>
            </w:pPr>
            <w:r w:rsidRPr="00E726E6">
              <w:rPr>
                <w:rFonts w:ascii="Times New Roman" w:hAnsi="Times New Roman"/>
                <w:b/>
                <w:color w:val="000000"/>
                <w:sz w:val="24"/>
              </w:rPr>
              <w:t>Member (N=30)</w:t>
            </w:r>
          </w:p>
        </w:tc>
        <w:tc>
          <w:tcPr>
            <w:tcW w:w="2312" w:type="dxa"/>
            <w:noWrap/>
            <w:hideMark/>
          </w:tcPr>
          <w:p w14:paraId="37A9594D" w14:textId="77777777" w:rsidR="00083D2F" w:rsidRPr="00E726E6" w:rsidRDefault="00083D2F" w:rsidP="00AD5E7C">
            <w:pPr>
              <w:spacing w:after="0"/>
              <w:jc w:val="center"/>
              <w:rPr>
                <w:rFonts w:ascii="Times New Roman" w:hAnsi="Times New Roman"/>
                <w:b/>
                <w:color w:val="000000"/>
                <w:sz w:val="24"/>
              </w:rPr>
            </w:pPr>
            <w:r w:rsidRPr="00E726E6">
              <w:rPr>
                <w:rFonts w:ascii="Times New Roman" w:hAnsi="Times New Roman"/>
                <w:b/>
                <w:color w:val="000000"/>
                <w:sz w:val="24"/>
              </w:rPr>
              <w:t>Non-Member (N=30)</w:t>
            </w:r>
          </w:p>
        </w:tc>
      </w:tr>
      <w:tr w:rsidR="00083D2F" w:rsidRPr="00E726E6" w14:paraId="3A447F19" w14:textId="77777777" w:rsidTr="0053013B">
        <w:trPr>
          <w:trHeight w:val="324"/>
        </w:trPr>
        <w:tc>
          <w:tcPr>
            <w:tcW w:w="1063" w:type="dxa"/>
            <w:noWrap/>
            <w:hideMark/>
          </w:tcPr>
          <w:p w14:paraId="33B6519D"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1</w:t>
            </w:r>
          </w:p>
        </w:tc>
        <w:tc>
          <w:tcPr>
            <w:tcW w:w="3611" w:type="dxa"/>
            <w:noWrap/>
            <w:hideMark/>
          </w:tcPr>
          <w:p w14:paraId="7465CD46" w14:textId="77777777" w:rsidR="00083D2F" w:rsidRPr="00E726E6" w:rsidRDefault="00083D2F" w:rsidP="00AD5E7C">
            <w:pPr>
              <w:spacing w:after="0"/>
              <w:rPr>
                <w:rFonts w:ascii="Times New Roman" w:hAnsi="Times New Roman"/>
                <w:color w:val="000000"/>
                <w:sz w:val="24"/>
                <w:szCs w:val="24"/>
              </w:rPr>
            </w:pPr>
            <w:r w:rsidRPr="00E726E6">
              <w:rPr>
                <w:rFonts w:ascii="Times New Roman" w:hAnsi="Times New Roman"/>
                <w:color w:val="000000"/>
                <w:sz w:val="24"/>
                <w:szCs w:val="24"/>
              </w:rPr>
              <w:t xml:space="preserve">Technical Efficiency </w:t>
            </w:r>
          </w:p>
        </w:tc>
        <w:tc>
          <w:tcPr>
            <w:tcW w:w="2081" w:type="dxa"/>
            <w:noWrap/>
            <w:vAlign w:val="center"/>
            <w:hideMark/>
          </w:tcPr>
          <w:p w14:paraId="0080DD16"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89</w:t>
            </w:r>
          </w:p>
        </w:tc>
        <w:tc>
          <w:tcPr>
            <w:tcW w:w="2312" w:type="dxa"/>
            <w:noWrap/>
            <w:vAlign w:val="center"/>
            <w:hideMark/>
          </w:tcPr>
          <w:p w14:paraId="6AAE42C5"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89</w:t>
            </w:r>
          </w:p>
        </w:tc>
      </w:tr>
      <w:tr w:rsidR="00083D2F" w:rsidRPr="00E726E6" w14:paraId="52529171" w14:textId="77777777" w:rsidTr="0053013B">
        <w:trPr>
          <w:trHeight w:val="324"/>
        </w:trPr>
        <w:tc>
          <w:tcPr>
            <w:tcW w:w="1063" w:type="dxa"/>
            <w:noWrap/>
            <w:hideMark/>
          </w:tcPr>
          <w:p w14:paraId="70CCA6DD"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2</w:t>
            </w:r>
          </w:p>
        </w:tc>
        <w:tc>
          <w:tcPr>
            <w:tcW w:w="3611" w:type="dxa"/>
            <w:noWrap/>
            <w:hideMark/>
          </w:tcPr>
          <w:p w14:paraId="762A62BE" w14:textId="77777777" w:rsidR="00083D2F" w:rsidRPr="00E726E6" w:rsidRDefault="00083D2F" w:rsidP="00AD5E7C">
            <w:pPr>
              <w:spacing w:after="0"/>
              <w:rPr>
                <w:rFonts w:ascii="Times New Roman" w:hAnsi="Times New Roman"/>
                <w:color w:val="000000"/>
                <w:sz w:val="24"/>
                <w:szCs w:val="24"/>
              </w:rPr>
            </w:pPr>
            <w:r w:rsidRPr="00E726E6">
              <w:rPr>
                <w:rFonts w:ascii="Times New Roman" w:hAnsi="Times New Roman"/>
                <w:color w:val="000000"/>
                <w:sz w:val="24"/>
                <w:szCs w:val="24"/>
              </w:rPr>
              <w:t>Allocative Efficiency</w:t>
            </w:r>
          </w:p>
        </w:tc>
        <w:tc>
          <w:tcPr>
            <w:tcW w:w="2081" w:type="dxa"/>
            <w:noWrap/>
            <w:vAlign w:val="center"/>
            <w:hideMark/>
          </w:tcPr>
          <w:p w14:paraId="531B19F8"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99.8</w:t>
            </w:r>
          </w:p>
        </w:tc>
        <w:tc>
          <w:tcPr>
            <w:tcW w:w="2312" w:type="dxa"/>
            <w:noWrap/>
            <w:vAlign w:val="center"/>
            <w:hideMark/>
          </w:tcPr>
          <w:p w14:paraId="51C01E2D"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60</w:t>
            </w:r>
          </w:p>
        </w:tc>
      </w:tr>
      <w:tr w:rsidR="00083D2F" w:rsidRPr="00E726E6" w14:paraId="4BAF3266" w14:textId="77777777" w:rsidTr="0053013B">
        <w:trPr>
          <w:trHeight w:val="324"/>
        </w:trPr>
        <w:tc>
          <w:tcPr>
            <w:tcW w:w="1063" w:type="dxa"/>
            <w:noWrap/>
            <w:hideMark/>
          </w:tcPr>
          <w:p w14:paraId="44A287DF"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3</w:t>
            </w:r>
          </w:p>
        </w:tc>
        <w:tc>
          <w:tcPr>
            <w:tcW w:w="3611" w:type="dxa"/>
            <w:noWrap/>
            <w:hideMark/>
          </w:tcPr>
          <w:p w14:paraId="2A435E77" w14:textId="77777777" w:rsidR="00083D2F" w:rsidRPr="00E726E6" w:rsidRDefault="00083D2F" w:rsidP="00AD5E7C">
            <w:pPr>
              <w:spacing w:after="0"/>
              <w:rPr>
                <w:rFonts w:ascii="Times New Roman" w:hAnsi="Times New Roman"/>
                <w:color w:val="000000"/>
                <w:sz w:val="24"/>
                <w:szCs w:val="24"/>
              </w:rPr>
            </w:pPr>
            <w:r w:rsidRPr="00E726E6">
              <w:rPr>
                <w:rFonts w:ascii="Times New Roman" w:hAnsi="Times New Roman"/>
                <w:color w:val="000000"/>
                <w:sz w:val="24"/>
                <w:szCs w:val="24"/>
              </w:rPr>
              <w:t>Economic Efficiency</w:t>
            </w:r>
          </w:p>
        </w:tc>
        <w:tc>
          <w:tcPr>
            <w:tcW w:w="2081" w:type="dxa"/>
            <w:noWrap/>
            <w:vAlign w:val="center"/>
            <w:hideMark/>
          </w:tcPr>
          <w:p w14:paraId="758BB6A5"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89</w:t>
            </w:r>
          </w:p>
        </w:tc>
        <w:tc>
          <w:tcPr>
            <w:tcW w:w="2312" w:type="dxa"/>
            <w:noWrap/>
            <w:vAlign w:val="center"/>
            <w:hideMark/>
          </w:tcPr>
          <w:p w14:paraId="0BEAD9B9"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54</w:t>
            </w:r>
          </w:p>
        </w:tc>
      </w:tr>
      <w:tr w:rsidR="00083D2F" w:rsidRPr="00E726E6" w14:paraId="054CF72E" w14:textId="77777777" w:rsidTr="0053013B">
        <w:trPr>
          <w:trHeight w:val="324"/>
        </w:trPr>
        <w:tc>
          <w:tcPr>
            <w:tcW w:w="1063" w:type="dxa"/>
            <w:noWrap/>
            <w:hideMark/>
          </w:tcPr>
          <w:p w14:paraId="1B2D42A2"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4</w:t>
            </w:r>
          </w:p>
        </w:tc>
        <w:tc>
          <w:tcPr>
            <w:tcW w:w="3611" w:type="dxa"/>
            <w:noWrap/>
            <w:hideMark/>
          </w:tcPr>
          <w:p w14:paraId="3261F095" w14:textId="77777777" w:rsidR="00083D2F" w:rsidRPr="00E726E6" w:rsidRDefault="00083D2F" w:rsidP="00AD5E7C">
            <w:pPr>
              <w:spacing w:after="0"/>
              <w:rPr>
                <w:rFonts w:ascii="Times New Roman" w:hAnsi="Times New Roman"/>
                <w:color w:val="000000"/>
                <w:sz w:val="24"/>
                <w:szCs w:val="24"/>
              </w:rPr>
            </w:pPr>
            <w:r w:rsidRPr="00E726E6">
              <w:rPr>
                <w:rFonts w:ascii="Times New Roman" w:hAnsi="Times New Roman"/>
                <w:color w:val="000000"/>
                <w:sz w:val="24"/>
                <w:szCs w:val="24"/>
              </w:rPr>
              <w:t xml:space="preserve">Pure Technical Efficiency </w:t>
            </w:r>
          </w:p>
        </w:tc>
        <w:tc>
          <w:tcPr>
            <w:tcW w:w="2081" w:type="dxa"/>
            <w:noWrap/>
            <w:vAlign w:val="center"/>
            <w:hideMark/>
          </w:tcPr>
          <w:p w14:paraId="725752A7"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92</w:t>
            </w:r>
          </w:p>
        </w:tc>
        <w:tc>
          <w:tcPr>
            <w:tcW w:w="2312" w:type="dxa"/>
            <w:noWrap/>
            <w:vAlign w:val="center"/>
            <w:hideMark/>
          </w:tcPr>
          <w:p w14:paraId="1B0AB84C"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92</w:t>
            </w:r>
          </w:p>
        </w:tc>
      </w:tr>
      <w:tr w:rsidR="00083D2F" w:rsidRPr="00E726E6" w14:paraId="55881828" w14:textId="77777777" w:rsidTr="0053013B">
        <w:trPr>
          <w:trHeight w:val="324"/>
        </w:trPr>
        <w:tc>
          <w:tcPr>
            <w:tcW w:w="1063" w:type="dxa"/>
            <w:noWrap/>
            <w:hideMark/>
          </w:tcPr>
          <w:p w14:paraId="74B362B2"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5</w:t>
            </w:r>
          </w:p>
        </w:tc>
        <w:tc>
          <w:tcPr>
            <w:tcW w:w="3611" w:type="dxa"/>
            <w:noWrap/>
            <w:hideMark/>
          </w:tcPr>
          <w:p w14:paraId="20DE2F57" w14:textId="77777777" w:rsidR="00083D2F" w:rsidRPr="00E726E6" w:rsidRDefault="00083D2F" w:rsidP="00AD5E7C">
            <w:pPr>
              <w:spacing w:after="0"/>
              <w:rPr>
                <w:rFonts w:ascii="Times New Roman" w:hAnsi="Times New Roman"/>
                <w:color w:val="000000"/>
                <w:sz w:val="24"/>
                <w:szCs w:val="24"/>
              </w:rPr>
            </w:pPr>
            <w:r w:rsidRPr="00E726E6">
              <w:rPr>
                <w:rFonts w:ascii="Times New Roman" w:hAnsi="Times New Roman"/>
                <w:color w:val="000000"/>
                <w:sz w:val="24"/>
                <w:szCs w:val="24"/>
              </w:rPr>
              <w:t>Scale Efficiency</w:t>
            </w:r>
          </w:p>
        </w:tc>
        <w:tc>
          <w:tcPr>
            <w:tcW w:w="2081" w:type="dxa"/>
            <w:noWrap/>
            <w:vAlign w:val="center"/>
            <w:hideMark/>
          </w:tcPr>
          <w:p w14:paraId="06CAED02"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97</w:t>
            </w:r>
          </w:p>
        </w:tc>
        <w:tc>
          <w:tcPr>
            <w:tcW w:w="2312" w:type="dxa"/>
            <w:noWrap/>
            <w:vAlign w:val="center"/>
            <w:hideMark/>
          </w:tcPr>
          <w:p w14:paraId="31F31562"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96</w:t>
            </w:r>
          </w:p>
        </w:tc>
      </w:tr>
      <w:tr w:rsidR="00083D2F" w:rsidRPr="00E726E6" w14:paraId="49455F46" w14:textId="77777777" w:rsidTr="0053013B">
        <w:trPr>
          <w:trHeight w:val="324"/>
        </w:trPr>
        <w:tc>
          <w:tcPr>
            <w:tcW w:w="9067" w:type="dxa"/>
            <w:gridSpan w:val="4"/>
            <w:noWrap/>
            <w:hideMark/>
          </w:tcPr>
          <w:p w14:paraId="6113A247" w14:textId="77777777" w:rsidR="00083D2F" w:rsidRPr="00E726E6" w:rsidRDefault="00083D2F" w:rsidP="00AD5E7C">
            <w:pPr>
              <w:spacing w:after="0"/>
              <w:rPr>
                <w:rFonts w:ascii="Times New Roman" w:hAnsi="Times New Roman"/>
                <w:color w:val="000000"/>
                <w:sz w:val="24"/>
                <w:szCs w:val="24"/>
              </w:rPr>
            </w:pPr>
            <w:r w:rsidRPr="00E726E6">
              <w:rPr>
                <w:rFonts w:ascii="Times New Roman" w:hAnsi="Times New Roman"/>
                <w:color w:val="000000"/>
                <w:sz w:val="24"/>
                <w:szCs w:val="24"/>
              </w:rPr>
              <w:t> </w:t>
            </w:r>
            <w:r w:rsidRPr="00E726E6">
              <w:rPr>
                <w:rFonts w:ascii="Times New Roman" w:hAnsi="Times New Roman"/>
                <w:b/>
                <w:color w:val="000000"/>
                <w:sz w:val="24"/>
                <w:szCs w:val="24"/>
              </w:rPr>
              <w:t>Technical Efficiency Range (percentage) </w:t>
            </w:r>
          </w:p>
        </w:tc>
      </w:tr>
      <w:tr w:rsidR="00083D2F" w:rsidRPr="00E726E6" w14:paraId="29C3B671" w14:textId="77777777" w:rsidTr="0053013B">
        <w:trPr>
          <w:trHeight w:val="324"/>
        </w:trPr>
        <w:tc>
          <w:tcPr>
            <w:tcW w:w="1063" w:type="dxa"/>
            <w:noWrap/>
            <w:hideMark/>
          </w:tcPr>
          <w:p w14:paraId="0564E656"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I</w:t>
            </w:r>
          </w:p>
        </w:tc>
        <w:tc>
          <w:tcPr>
            <w:tcW w:w="3611" w:type="dxa"/>
            <w:noWrap/>
            <w:hideMark/>
          </w:tcPr>
          <w:p w14:paraId="0AE525EC" w14:textId="77777777" w:rsidR="00083D2F" w:rsidRPr="00E726E6" w:rsidRDefault="00083D2F" w:rsidP="00AD5E7C">
            <w:pPr>
              <w:spacing w:after="0"/>
              <w:rPr>
                <w:rFonts w:ascii="Times New Roman" w:hAnsi="Times New Roman"/>
                <w:color w:val="000000"/>
                <w:sz w:val="24"/>
                <w:szCs w:val="24"/>
              </w:rPr>
            </w:pPr>
            <w:r w:rsidRPr="00E726E6">
              <w:rPr>
                <w:rFonts w:ascii="Times New Roman" w:hAnsi="Times New Roman"/>
                <w:color w:val="000000"/>
                <w:sz w:val="24"/>
                <w:szCs w:val="24"/>
              </w:rPr>
              <w:t>&lt; 50</w:t>
            </w:r>
          </w:p>
        </w:tc>
        <w:tc>
          <w:tcPr>
            <w:tcW w:w="2081" w:type="dxa"/>
            <w:noWrap/>
            <w:vAlign w:val="center"/>
            <w:hideMark/>
          </w:tcPr>
          <w:p w14:paraId="13EC7673"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0</w:t>
            </w:r>
          </w:p>
        </w:tc>
        <w:tc>
          <w:tcPr>
            <w:tcW w:w="2312" w:type="dxa"/>
            <w:noWrap/>
            <w:vAlign w:val="center"/>
            <w:hideMark/>
          </w:tcPr>
          <w:p w14:paraId="7188D797"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0</w:t>
            </w:r>
          </w:p>
        </w:tc>
      </w:tr>
      <w:tr w:rsidR="00083D2F" w:rsidRPr="00E726E6" w14:paraId="30EB58C8" w14:textId="77777777" w:rsidTr="0053013B">
        <w:trPr>
          <w:trHeight w:val="324"/>
        </w:trPr>
        <w:tc>
          <w:tcPr>
            <w:tcW w:w="1063" w:type="dxa"/>
            <w:noWrap/>
            <w:hideMark/>
          </w:tcPr>
          <w:p w14:paraId="543AC6D2"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II</w:t>
            </w:r>
          </w:p>
        </w:tc>
        <w:tc>
          <w:tcPr>
            <w:tcW w:w="3611" w:type="dxa"/>
            <w:noWrap/>
            <w:hideMark/>
          </w:tcPr>
          <w:p w14:paraId="6DEA41D9" w14:textId="77777777" w:rsidR="00083D2F" w:rsidRPr="00E726E6" w:rsidRDefault="00083D2F" w:rsidP="00AD5E7C">
            <w:pPr>
              <w:spacing w:after="0"/>
              <w:rPr>
                <w:rFonts w:ascii="Times New Roman" w:hAnsi="Times New Roman"/>
                <w:color w:val="000000"/>
                <w:sz w:val="24"/>
                <w:szCs w:val="24"/>
              </w:rPr>
            </w:pPr>
            <w:r w:rsidRPr="00E726E6">
              <w:rPr>
                <w:rFonts w:ascii="Times New Roman" w:hAnsi="Times New Roman"/>
                <w:color w:val="000000"/>
                <w:sz w:val="24"/>
                <w:szCs w:val="24"/>
              </w:rPr>
              <w:t>50-70</w:t>
            </w:r>
          </w:p>
        </w:tc>
        <w:tc>
          <w:tcPr>
            <w:tcW w:w="2081" w:type="dxa"/>
            <w:noWrap/>
            <w:vAlign w:val="center"/>
            <w:hideMark/>
          </w:tcPr>
          <w:p w14:paraId="4EED20AF"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0.0</w:t>
            </w:r>
          </w:p>
        </w:tc>
        <w:tc>
          <w:tcPr>
            <w:tcW w:w="2312" w:type="dxa"/>
            <w:noWrap/>
            <w:vAlign w:val="center"/>
            <w:hideMark/>
          </w:tcPr>
          <w:p w14:paraId="7A0BC757"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0</w:t>
            </w:r>
          </w:p>
        </w:tc>
      </w:tr>
      <w:tr w:rsidR="00083D2F" w:rsidRPr="00E726E6" w14:paraId="2A5F56AF" w14:textId="77777777" w:rsidTr="0053013B">
        <w:trPr>
          <w:trHeight w:val="324"/>
        </w:trPr>
        <w:tc>
          <w:tcPr>
            <w:tcW w:w="1063" w:type="dxa"/>
            <w:noWrap/>
            <w:hideMark/>
          </w:tcPr>
          <w:p w14:paraId="4FB9B404"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III</w:t>
            </w:r>
          </w:p>
        </w:tc>
        <w:tc>
          <w:tcPr>
            <w:tcW w:w="3611" w:type="dxa"/>
            <w:noWrap/>
            <w:hideMark/>
          </w:tcPr>
          <w:p w14:paraId="223BE29C" w14:textId="77777777" w:rsidR="00083D2F" w:rsidRPr="00E726E6" w:rsidRDefault="00083D2F" w:rsidP="00AD5E7C">
            <w:pPr>
              <w:spacing w:after="0"/>
              <w:rPr>
                <w:rFonts w:ascii="Times New Roman" w:hAnsi="Times New Roman"/>
                <w:color w:val="000000"/>
                <w:sz w:val="24"/>
                <w:szCs w:val="24"/>
              </w:rPr>
            </w:pPr>
            <w:r w:rsidRPr="00E726E6">
              <w:rPr>
                <w:rFonts w:ascii="Times New Roman" w:hAnsi="Times New Roman"/>
                <w:color w:val="000000"/>
                <w:sz w:val="24"/>
                <w:szCs w:val="24"/>
              </w:rPr>
              <w:t>70-90</w:t>
            </w:r>
          </w:p>
        </w:tc>
        <w:tc>
          <w:tcPr>
            <w:tcW w:w="2081" w:type="dxa"/>
            <w:noWrap/>
            <w:vAlign w:val="center"/>
            <w:hideMark/>
          </w:tcPr>
          <w:p w14:paraId="6E713663"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66.7</w:t>
            </w:r>
          </w:p>
        </w:tc>
        <w:tc>
          <w:tcPr>
            <w:tcW w:w="2312" w:type="dxa"/>
            <w:noWrap/>
            <w:vAlign w:val="center"/>
            <w:hideMark/>
          </w:tcPr>
          <w:p w14:paraId="08406B41"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66.6</w:t>
            </w:r>
          </w:p>
        </w:tc>
      </w:tr>
      <w:tr w:rsidR="00083D2F" w:rsidRPr="00E726E6" w14:paraId="4032FE11" w14:textId="77777777" w:rsidTr="0053013B">
        <w:trPr>
          <w:trHeight w:val="324"/>
        </w:trPr>
        <w:tc>
          <w:tcPr>
            <w:tcW w:w="1063" w:type="dxa"/>
            <w:noWrap/>
            <w:hideMark/>
          </w:tcPr>
          <w:p w14:paraId="268D48A6"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IV</w:t>
            </w:r>
          </w:p>
        </w:tc>
        <w:tc>
          <w:tcPr>
            <w:tcW w:w="3611" w:type="dxa"/>
            <w:noWrap/>
            <w:hideMark/>
          </w:tcPr>
          <w:p w14:paraId="1528D050" w14:textId="77777777" w:rsidR="00083D2F" w:rsidRPr="00E726E6" w:rsidRDefault="00083D2F" w:rsidP="00AD5E7C">
            <w:pPr>
              <w:spacing w:after="0"/>
              <w:rPr>
                <w:rFonts w:ascii="Times New Roman" w:hAnsi="Times New Roman"/>
                <w:color w:val="000000"/>
                <w:sz w:val="24"/>
                <w:szCs w:val="24"/>
              </w:rPr>
            </w:pPr>
            <w:r w:rsidRPr="00E726E6">
              <w:rPr>
                <w:rFonts w:ascii="Times New Roman" w:hAnsi="Times New Roman"/>
                <w:color w:val="000000"/>
                <w:sz w:val="24"/>
                <w:szCs w:val="24"/>
              </w:rPr>
              <w:t>90-100</w:t>
            </w:r>
          </w:p>
        </w:tc>
        <w:tc>
          <w:tcPr>
            <w:tcW w:w="2081" w:type="dxa"/>
            <w:noWrap/>
            <w:vAlign w:val="center"/>
            <w:hideMark/>
          </w:tcPr>
          <w:p w14:paraId="59CC55E4"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33.3</w:t>
            </w:r>
          </w:p>
        </w:tc>
        <w:tc>
          <w:tcPr>
            <w:tcW w:w="2312" w:type="dxa"/>
            <w:noWrap/>
            <w:vAlign w:val="center"/>
            <w:hideMark/>
          </w:tcPr>
          <w:p w14:paraId="0F07FAF3" w14:textId="77777777" w:rsidR="00083D2F" w:rsidRPr="00E726E6" w:rsidRDefault="00083D2F" w:rsidP="00AD5E7C">
            <w:pPr>
              <w:spacing w:after="0"/>
              <w:jc w:val="center"/>
              <w:rPr>
                <w:rFonts w:ascii="Times New Roman" w:hAnsi="Times New Roman"/>
                <w:color w:val="000000"/>
                <w:sz w:val="24"/>
                <w:szCs w:val="24"/>
              </w:rPr>
            </w:pPr>
            <w:r w:rsidRPr="00E726E6">
              <w:rPr>
                <w:rFonts w:ascii="Times New Roman" w:hAnsi="Times New Roman"/>
                <w:color w:val="000000"/>
                <w:sz w:val="24"/>
                <w:szCs w:val="24"/>
              </w:rPr>
              <w:t>33.4</w:t>
            </w:r>
          </w:p>
        </w:tc>
      </w:tr>
    </w:tbl>
    <w:p w14:paraId="7F499815" w14:textId="0ADB4DA7" w:rsidR="001440FF" w:rsidRPr="00E726E6" w:rsidRDefault="001440FF" w:rsidP="001440FF">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The efficiency analysis of member and non-member vegetable (Onion) farms was undertaken to evaluate their performance in resource allocation and cost-effectiveness</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and depicted in Table 2 and Fig</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2. The analysis </w:t>
      </w:r>
      <w:r w:rsidRPr="00E726E6">
        <w:rPr>
          <w:rFonts w:ascii="Times New Roman" w:eastAsia="Times New Roman" w:hAnsi="Times New Roman" w:cs="Times New Roman"/>
          <w:bCs/>
          <w:sz w:val="24"/>
          <w:szCs w:val="24"/>
        </w:rPr>
        <w:t>shows</w:t>
      </w:r>
      <w:r w:rsidRPr="00E726E6">
        <w:rPr>
          <w:rFonts w:ascii="Times New Roman" w:eastAsia="Times New Roman" w:hAnsi="Times New Roman" w:cs="Times New Roman"/>
          <w:sz w:val="24"/>
          <w:szCs w:val="24"/>
        </w:rPr>
        <w:t xml:space="preserve"> the percentage average efficiencies and the distribution of sample farms according to technical efficiency levels. Interestingly, both member and non-member farmers achieved the same average technical efficiency of 89 per cent, indicating that both groups had effectively converted inputs into outputs. Pure technical efficiency was also identical at 92 per cent for both groups, suggesting that farmers, regardless of membership status, were equally skilled in </w:t>
      </w:r>
      <w:proofErr w:type="spellStart"/>
      <w:r w:rsidR="00784835" w:rsidRPr="00E726E6">
        <w:rPr>
          <w:rFonts w:ascii="Times New Roman" w:eastAsia="Times New Roman" w:hAnsi="Times New Roman" w:cs="Times New Roman"/>
          <w:sz w:val="24"/>
          <w:szCs w:val="24"/>
        </w:rPr>
        <w:t>utilising</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their resources.</w:t>
      </w:r>
    </w:p>
    <w:p w14:paraId="455C4987" w14:textId="1A3EC282" w:rsidR="00AD5E7C" w:rsidRPr="00E726E6" w:rsidRDefault="001440FF" w:rsidP="001440FF">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lastRenderedPageBreak/>
        <w:t xml:space="preserve">However, </w:t>
      </w:r>
      <w:r w:rsidR="00784835" w:rsidRPr="00E726E6">
        <w:rPr>
          <w:rFonts w:ascii="Times New Roman" w:eastAsia="Times New Roman" w:hAnsi="Times New Roman" w:cs="Times New Roman"/>
          <w:sz w:val="24"/>
          <w:szCs w:val="24"/>
        </w:rPr>
        <w:t xml:space="preserve">a </w:t>
      </w:r>
      <w:r w:rsidRPr="00E726E6">
        <w:rPr>
          <w:rFonts w:ascii="Times New Roman" w:eastAsia="Times New Roman" w:hAnsi="Times New Roman" w:cs="Times New Roman"/>
          <w:sz w:val="24"/>
          <w:szCs w:val="24"/>
        </w:rPr>
        <w:t>significant difference was observed in allocative efficiency, where member farmers achieved 99.8 per cent and non-members only reached 60 per cent. This indicated that member farmers made better input choices relative to prices, likely due to access to market information, training, and collective decision-making through FPOs. Consequently, economic efficiency was much higher for members at 89 per cent, compared to only 54 per cent for non-members, highlighting the combined effect of better technical and allocative efficiency in lowering the production costs and increasing profitability for member farmers.</w:t>
      </w:r>
    </w:p>
    <w:p w14:paraId="007D891A" w14:textId="77777777" w:rsidR="00101240" w:rsidRPr="00E726E6" w:rsidRDefault="00101240" w:rsidP="00101240">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Scale efficiency remained high for both of the groups, with members recording 97 per cent and non-members 96 per cent, suggesting that most farms were operating close to their optimal scale. The distribution of farms across technical efficiency ranges showed a similar pattern for both groups, with approximately 66.7 per cent for member farms and 66.6 per cent for non-member farms falling within the 70–90 per cent range. Additionally, 33.3 per cent of member farms and 33.4 per cent of non-member farms operated within the range of 90–100 per cent range, further reinforcing the similarity in technical efficiency.</w:t>
      </w:r>
    </w:p>
    <w:p w14:paraId="6B0161BD" w14:textId="38B5E900" w:rsidR="00101240" w:rsidRPr="00E726E6" w:rsidRDefault="00101240" w:rsidP="00101240">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In briefs, the analysis indicated that though member and non-member vegetable farmers had comparable technical and pure technical efficiency, FPO membership had a substantial impact on allocative and economic efficiency. The higher allocative efficiency among members suggested that FPOs played a crucial role in improving input decision-making, likely through better access to collective resources, price information, and advisory services. These findings highlighted the importance of FPOs</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strengthening to enhance farm-level decision-making and promote sustainable economic outcomes for vegetable farmers.</w:t>
      </w:r>
    </w:p>
    <w:p w14:paraId="2F0F91D0" w14:textId="77777777" w:rsidR="00101240" w:rsidRPr="00E726E6" w:rsidRDefault="00101240" w:rsidP="00101240">
      <w:pPr>
        <w:pStyle w:val="NormalWeb"/>
        <w:numPr>
          <w:ilvl w:val="1"/>
          <w:numId w:val="2"/>
        </w:numPr>
        <w:spacing w:before="0" w:beforeAutospacing="0" w:after="0" w:afterAutospacing="0" w:line="360" w:lineRule="auto"/>
        <w:jc w:val="both"/>
        <w:rPr>
          <w:b/>
        </w:rPr>
      </w:pPr>
      <w:r w:rsidRPr="00E726E6">
        <w:rPr>
          <w:b/>
        </w:rPr>
        <w:t>Efficiency Analysis of Fruit (Pomegranate) Farms Using DEA</w:t>
      </w:r>
    </w:p>
    <w:p w14:paraId="0359AB36" w14:textId="058AA95E" w:rsidR="00101240" w:rsidRPr="00E726E6" w:rsidRDefault="00101240" w:rsidP="00101240">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The efficiency analysis of fruit (Pomegranate) farms for member</w:t>
      </w:r>
      <w:r w:rsidR="00784835" w:rsidRPr="00E726E6">
        <w:rPr>
          <w:rFonts w:ascii="Times New Roman" w:eastAsia="Times New Roman" w:hAnsi="Times New Roman" w:cs="Times New Roman"/>
          <w:sz w:val="24"/>
          <w:szCs w:val="24"/>
        </w:rPr>
        <w:t>s</w:t>
      </w:r>
      <w:r w:rsidRPr="00E726E6">
        <w:rPr>
          <w:rFonts w:ascii="Times New Roman" w:eastAsia="Times New Roman" w:hAnsi="Times New Roman" w:cs="Times New Roman"/>
          <w:sz w:val="24"/>
          <w:szCs w:val="24"/>
        </w:rPr>
        <w:t xml:space="preserve"> and non-member</w:t>
      </w:r>
      <w:r w:rsidR="00784835" w:rsidRPr="00E726E6">
        <w:rPr>
          <w:rFonts w:ascii="Times New Roman" w:eastAsia="Times New Roman" w:hAnsi="Times New Roman" w:cs="Times New Roman"/>
          <w:sz w:val="24"/>
          <w:szCs w:val="24"/>
        </w:rPr>
        <w:t>s</w:t>
      </w:r>
      <w:r w:rsidRPr="00E726E6">
        <w:rPr>
          <w:rFonts w:ascii="Times New Roman" w:eastAsia="Times New Roman" w:hAnsi="Times New Roman" w:cs="Times New Roman"/>
          <w:sz w:val="24"/>
          <w:szCs w:val="24"/>
        </w:rPr>
        <w:t xml:space="preserve"> was conducted by using </w:t>
      </w:r>
      <w:r w:rsidRPr="00E726E6">
        <w:rPr>
          <w:rFonts w:ascii="Times New Roman" w:eastAsia="Times New Roman" w:hAnsi="Times New Roman" w:cs="Times New Roman"/>
          <w:strike/>
          <w:color w:val="FF0000"/>
          <w:sz w:val="24"/>
          <w:szCs w:val="24"/>
        </w:rPr>
        <w:t>Data Envelopment Analysis (</w:t>
      </w:r>
      <w:r w:rsidRPr="00E726E6">
        <w:rPr>
          <w:rFonts w:ascii="Times New Roman" w:eastAsia="Times New Roman" w:hAnsi="Times New Roman" w:cs="Times New Roman"/>
          <w:sz w:val="24"/>
          <w:szCs w:val="24"/>
        </w:rPr>
        <w:t xml:space="preserve">DEA) to assess their performance in resource </w:t>
      </w:r>
      <w:proofErr w:type="spellStart"/>
      <w:r w:rsidR="00784835" w:rsidRPr="00E726E6">
        <w:rPr>
          <w:rFonts w:ascii="Times New Roman" w:eastAsia="Times New Roman" w:hAnsi="Times New Roman" w:cs="Times New Roman"/>
          <w:sz w:val="24"/>
          <w:szCs w:val="24"/>
        </w:rPr>
        <w:t>utilisation</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and cost-</w:t>
      </w:r>
      <w:r w:rsidR="00342348" w:rsidRPr="00E726E6">
        <w:rPr>
          <w:rFonts w:ascii="Times New Roman" w:eastAsia="Times New Roman" w:hAnsi="Times New Roman" w:cs="Times New Roman"/>
          <w:sz w:val="24"/>
          <w:szCs w:val="24"/>
        </w:rPr>
        <w:t>effectiveness. Table 3</w:t>
      </w:r>
      <w:r w:rsidRPr="00E726E6">
        <w:rPr>
          <w:rFonts w:ascii="Times New Roman" w:eastAsia="Times New Roman" w:hAnsi="Times New Roman" w:cs="Times New Roman"/>
          <w:sz w:val="24"/>
          <w:szCs w:val="24"/>
        </w:rPr>
        <w:t xml:space="preserve"> and F</w:t>
      </w:r>
      <w:r w:rsidR="00342348" w:rsidRPr="00E726E6">
        <w:rPr>
          <w:rFonts w:ascii="Times New Roman" w:eastAsia="Times New Roman" w:hAnsi="Times New Roman" w:cs="Times New Roman"/>
          <w:sz w:val="24"/>
          <w:szCs w:val="24"/>
        </w:rPr>
        <w:t>ig</w:t>
      </w:r>
      <w:r w:rsidR="00784835" w:rsidRPr="00E726E6">
        <w:rPr>
          <w:rFonts w:ascii="Times New Roman" w:eastAsia="Times New Roman" w:hAnsi="Times New Roman" w:cs="Times New Roman"/>
          <w:sz w:val="24"/>
          <w:szCs w:val="24"/>
        </w:rPr>
        <w:t>.</w:t>
      </w:r>
      <w:r w:rsidR="00342348" w:rsidRPr="00E726E6">
        <w:rPr>
          <w:rFonts w:ascii="Times New Roman" w:eastAsia="Times New Roman" w:hAnsi="Times New Roman" w:cs="Times New Roman"/>
          <w:sz w:val="24"/>
          <w:szCs w:val="24"/>
        </w:rPr>
        <w:t xml:space="preserve"> 3</w:t>
      </w:r>
      <w:r w:rsidRPr="00E726E6">
        <w:rPr>
          <w:rFonts w:ascii="Times New Roman" w:eastAsia="Times New Roman" w:hAnsi="Times New Roman" w:cs="Times New Roman"/>
          <w:sz w:val="24"/>
          <w:szCs w:val="24"/>
        </w:rPr>
        <w:t xml:space="preserve"> illustrate the percentage average efficiencies and the distribution of sample farms according to technical efficiency levels. Member farmers achieved a higher average technical efficiency of 83 per cent, compared to 71 per cent for non-member farmers, indicating that members </w:t>
      </w:r>
      <w:proofErr w:type="spellStart"/>
      <w:r w:rsidR="00784835" w:rsidRPr="00E726E6">
        <w:rPr>
          <w:rFonts w:ascii="Times New Roman" w:eastAsia="Times New Roman" w:hAnsi="Times New Roman" w:cs="Times New Roman"/>
          <w:sz w:val="24"/>
          <w:szCs w:val="24"/>
        </w:rPr>
        <w:t>utilised</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 xml:space="preserve">their resources more effectively to </w:t>
      </w:r>
      <w:proofErr w:type="spellStart"/>
      <w:r w:rsidR="00784835" w:rsidRPr="00E726E6">
        <w:rPr>
          <w:rFonts w:ascii="Times New Roman" w:eastAsia="Times New Roman" w:hAnsi="Times New Roman" w:cs="Times New Roman"/>
          <w:sz w:val="24"/>
          <w:szCs w:val="24"/>
        </w:rPr>
        <w:t>maximise</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 xml:space="preserve">output. Pure technical efficiency was also notably higher for members at 88 per cent, while non-members recorded only 51 per cent, </w:t>
      </w:r>
      <w:r w:rsidR="00784835" w:rsidRPr="00E726E6">
        <w:rPr>
          <w:rFonts w:ascii="Times New Roman" w:eastAsia="Times New Roman" w:hAnsi="Times New Roman" w:cs="Times New Roman"/>
          <w:sz w:val="24"/>
          <w:szCs w:val="24"/>
        </w:rPr>
        <w:t xml:space="preserve">suggesting </w:t>
      </w:r>
      <w:r w:rsidRPr="00E726E6">
        <w:rPr>
          <w:rFonts w:ascii="Times New Roman" w:eastAsia="Times New Roman" w:hAnsi="Times New Roman" w:cs="Times New Roman"/>
          <w:sz w:val="24"/>
          <w:szCs w:val="24"/>
        </w:rPr>
        <w:t>that member farmers operated closer to the production frontier due to better technical knowledge and support through FPOs.</w:t>
      </w:r>
    </w:p>
    <w:p w14:paraId="2209F782" w14:textId="77777777" w:rsidR="00101240" w:rsidRPr="00E726E6" w:rsidRDefault="00101240" w:rsidP="00101240">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lastRenderedPageBreak/>
        <w:t>Interestingly, allocative efficiency was higher for non-member farmers at 99 per cent, compared to 93.2 per cent for members. This indicated that non-members were more precise in selecting the optimal input combination of given input prices, potentially because fruit cultivation requires careful input decisions, which even non-members may prioritize to remain competitive. Despite this, economic efficiency remained relatively similar, with member farmers at 78 per cent and non-members at 77 per cent, reflecting the trade-off between technical and allocative efficiencies.</w:t>
      </w:r>
    </w:p>
    <w:p w14:paraId="7368F53D" w14:textId="339041BB" w:rsidR="00101240" w:rsidRPr="00E726E6" w:rsidRDefault="00AD5E7C" w:rsidP="00101240">
      <w:pPr>
        <w:pStyle w:val="ResimYazs"/>
        <w:jc w:val="both"/>
        <w:rPr>
          <w:sz w:val="24"/>
        </w:rPr>
      </w:pPr>
      <w:r w:rsidRPr="00E726E6">
        <w:rPr>
          <w:sz w:val="24"/>
        </w:rPr>
        <w:t>Table 3</w:t>
      </w:r>
      <w:r w:rsidR="00083D2F" w:rsidRPr="00E726E6">
        <w:rPr>
          <w:sz w:val="24"/>
        </w:rPr>
        <w:t xml:space="preserve">. </w:t>
      </w:r>
      <w:r w:rsidR="00101240" w:rsidRPr="00E726E6">
        <w:rPr>
          <w:sz w:val="24"/>
        </w:rPr>
        <w:t xml:space="preserve">Average Efficiencies and </w:t>
      </w:r>
      <w:r w:rsidR="00784835" w:rsidRPr="00E726E6">
        <w:rPr>
          <w:sz w:val="24"/>
        </w:rPr>
        <w:t xml:space="preserve">Their </w:t>
      </w:r>
      <w:r w:rsidR="00101240" w:rsidRPr="00E726E6">
        <w:rPr>
          <w:sz w:val="24"/>
        </w:rPr>
        <w:t xml:space="preserve">Distribution According </w:t>
      </w:r>
      <w:proofErr w:type="gramStart"/>
      <w:r w:rsidR="00101240" w:rsidRPr="00E726E6">
        <w:rPr>
          <w:sz w:val="24"/>
        </w:rPr>
        <w:t>To</w:t>
      </w:r>
      <w:proofErr w:type="gramEnd"/>
      <w:r w:rsidR="00101240" w:rsidRPr="00E726E6">
        <w:rPr>
          <w:sz w:val="24"/>
        </w:rPr>
        <w:t xml:space="preserve"> Technical Efficiencies    </w:t>
      </w:r>
    </w:p>
    <w:p w14:paraId="1C951C26" w14:textId="77777777" w:rsidR="00101240" w:rsidRPr="00E726E6" w:rsidRDefault="00101240" w:rsidP="00101240">
      <w:pPr>
        <w:pStyle w:val="ResimYazs"/>
        <w:jc w:val="both"/>
        <w:rPr>
          <w:sz w:val="24"/>
        </w:rPr>
      </w:pPr>
      <w:r w:rsidRPr="00E726E6">
        <w:rPr>
          <w:sz w:val="24"/>
        </w:rPr>
        <w:t xml:space="preserve">                 of Sample of Fruit (Pomegranate) Farms </w:t>
      </w:r>
    </w:p>
    <w:p w14:paraId="1F65A25E" w14:textId="77777777" w:rsidR="00101240" w:rsidRPr="00E726E6" w:rsidRDefault="00101240" w:rsidP="00101240">
      <w:pPr>
        <w:spacing w:after="0"/>
        <w:jc w:val="right"/>
        <w:rPr>
          <w:rFonts w:ascii="Times New Roman" w:hAnsi="Times New Roman" w:cs="Times New Roman"/>
          <w:b/>
          <w:bCs/>
          <w:sz w:val="24"/>
        </w:rPr>
      </w:pPr>
      <w:r w:rsidRPr="00E726E6">
        <w:rPr>
          <w:rFonts w:ascii="Times New Roman" w:hAnsi="Times New Roman" w:cs="Times New Roman"/>
          <w:b/>
          <w:bCs/>
          <w:sz w:val="24"/>
        </w:rPr>
        <w:t>(In %)</w:t>
      </w:r>
    </w:p>
    <w:tbl>
      <w:tblPr>
        <w:tblW w:w="91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869"/>
        <w:gridCol w:w="2192"/>
        <w:gridCol w:w="2077"/>
      </w:tblGrid>
      <w:tr w:rsidR="00083D2F" w:rsidRPr="00E726E6" w14:paraId="0717EB55" w14:textId="77777777" w:rsidTr="0053013B">
        <w:trPr>
          <w:trHeight w:val="311"/>
        </w:trPr>
        <w:tc>
          <w:tcPr>
            <w:tcW w:w="977" w:type="dxa"/>
            <w:noWrap/>
            <w:hideMark/>
          </w:tcPr>
          <w:p w14:paraId="1912AB58" w14:textId="77777777" w:rsidR="00083D2F" w:rsidRPr="00E726E6" w:rsidRDefault="00083D2F" w:rsidP="00AD5E7C">
            <w:pPr>
              <w:spacing w:after="0" w:line="360" w:lineRule="auto"/>
              <w:jc w:val="center"/>
              <w:rPr>
                <w:rFonts w:ascii="Times New Roman" w:hAnsi="Times New Roman" w:cs="Calibri"/>
                <w:b/>
                <w:color w:val="000000"/>
                <w:sz w:val="24"/>
                <w:szCs w:val="24"/>
              </w:rPr>
            </w:pPr>
            <w:commentRangeStart w:id="13"/>
            <w:r w:rsidRPr="00E726E6">
              <w:rPr>
                <w:rFonts w:ascii="Times New Roman" w:hAnsi="Times New Roman" w:cs="Calibri"/>
                <w:b/>
                <w:color w:val="000000"/>
                <w:sz w:val="24"/>
                <w:szCs w:val="24"/>
              </w:rPr>
              <w:t xml:space="preserve">Sr. </w:t>
            </w:r>
            <w:commentRangeEnd w:id="13"/>
            <w:r w:rsidR="006362B3" w:rsidRPr="00E726E6">
              <w:rPr>
                <w:rStyle w:val="AklamaBavurusu"/>
              </w:rPr>
              <w:commentReference w:id="13"/>
            </w:r>
            <w:r w:rsidRPr="00E726E6">
              <w:rPr>
                <w:rFonts w:ascii="Times New Roman" w:hAnsi="Times New Roman" w:cs="Calibri"/>
                <w:b/>
                <w:color w:val="000000"/>
                <w:sz w:val="24"/>
                <w:szCs w:val="24"/>
              </w:rPr>
              <w:t>No</w:t>
            </w:r>
          </w:p>
        </w:tc>
        <w:tc>
          <w:tcPr>
            <w:tcW w:w="3869" w:type="dxa"/>
            <w:noWrap/>
            <w:hideMark/>
          </w:tcPr>
          <w:p w14:paraId="7C441579" w14:textId="77777777" w:rsidR="00083D2F" w:rsidRPr="00E726E6" w:rsidRDefault="00083D2F" w:rsidP="00AD5E7C">
            <w:pPr>
              <w:spacing w:after="0" w:line="360" w:lineRule="auto"/>
              <w:jc w:val="center"/>
              <w:rPr>
                <w:rFonts w:ascii="Times New Roman" w:hAnsi="Times New Roman" w:cs="Calibri"/>
                <w:b/>
                <w:color w:val="000000"/>
                <w:sz w:val="24"/>
                <w:szCs w:val="24"/>
              </w:rPr>
            </w:pPr>
            <w:r w:rsidRPr="00E726E6">
              <w:rPr>
                <w:rFonts w:ascii="Times New Roman" w:hAnsi="Times New Roman" w:cs="Calibri"/>
                <w:b/>
                <w:color w:val="000000"/>
                <w:sz w:val="24"/>
                <w:szCs w:val="24"/>
              </w:rPr>
              <w:t>Particular</w:t>
            </w:r>
          </w:p>
        </w:tc>
        <w:tc>
          <w:tcPr>
            <w:tcW w:w="2192" w:type="dxa"/>
            <w:noWrap/>
            <w:hideMark/>
          </w:tcPr>
          <w:p w14:paraId="5AF8C03C" w14:textId="77777777" w:rsidR="00083D2F" w:rsidRPr="00E726E6" w:rsidRDefault="00083D2F" w:rsidP="00AD5E7C">
            <w:pPr>
              <w:spacing w:after="0" w:line="360" w:lineRule="auto"/>
              <w:jc w:val="center"/>
              <w:rPr>
                <w:rFonts w:ascii="Times New Roman" w:hAnsi="Times New Roman"/>
                <w:b/>
                <w:color w:val="000000"/>
                <w:sz w:val="24"/>
              </w:rPr>
            </w:pPr>
            <w:r w:rsidRPr="00E726E6">
              <w:rPr>
                <w:rFonts w:ascii="Times New Roman" w:hAnsi="Times New Roman"/>
                <w:b/>
                <w:color w:val="000000"/>
                <w:sz w:val="24"/>
              </w:rPr>
              <w:t>Member (N=30)</w:t>
            </w:r>
          </w:p>
        </w:tc>
        <w:tc>
          <w:tcPr>
            <w:tcW w:w="2077" w:type="dxa"/>
            <w:noWrap/>
            <w:hideMark/>
          </w:tcPr>
          <w:p w14:paraId="13F3B29D" w14:textId="77777777" w:rsidR="00083D2F" w:rsidRPr="00E726E6" w:rsidRDefault="00083D2F" w:rsidP="00AD5E7C">
            <w:pPr>
              <w:spacing w:after="0" w:line="360" w:lineRule="auto"/>
              <w:jc w:val="center"/>
              <w:rPr>
                <w:rFonts w:ascii="Times New Roman" w:hAnsi="Times New Roman"/>
                <w:b/>
                <w:color w:val="000000"/>
                <w:sz w:val="24"/>
              </w:rPr>
            </w:pPr>
            <w:r w:rsidRPr="00E726E6">
              <w:rPr>
                <w:rFonts w:ascii="Times New Roman" w:hAnsi="Times New Roman"/>
                <w:b/>
                <w:color w:val="000000"/>
                <w:sz w:val="24"/>
              </w:rPr>
              <w:t>Non-Member (N=30)</w:t>
            </w:r>
          </w:p>
        </w:tc>
      </w:tr>
      <w:tr w:rsidR="00083D2F" w:rsidRPr="00E726E6" w14:paraId="4AAE7EC5" w14:textId="77777777" w:rsidTr="0053013B">
        <w:trPr>
          <w:trHeight w:val="311"/>
        </w:trPr>
        <w:tc>
          <w:tcPr>
            <w:tcW w:w="977" w:type="dxa"/>
            <w:noWrap/>
            <w:hideMark/>
          </w:tcPr>
          <w:p w14:paraId="3BABDB7E"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1</w:t>
            </w:r>
          </w:p>
        </w:tc>
        <w:tc>
          <w:tcPr>
            <w:tcW w:w="3869" w:type="dxa"/>
            <w:noWrap/>
            <w:hideMark/>
          </w:tcPr>
          <w:p w14:paraId="4B1052C7" w14:textId="77777777" w:rsidR="00083D2F" w:rsidRPr="00E726E6" w:rsidRDefault="00083D2F" w:rsidP="00AD5E7C">
            <w:pPr>
              <w:spacing w:after="0" w:line="360" w:lineRule="auto"/>
              <w:rPr>
                <w:rFonts w:ascii="Times New Roman" w:hAnsi="Times New Roman" w:cs="Calibri"/>
                <w:color w:val="000000"/>
                <w:sz w:val="24"/>
                <w:szCs w:val="24"/>
              </w:rPr>
            </w:pPr>
            <w:r w:rsidRPr="00E726E6">
              <w:rPr>
                <w:rFonts w:ascii="Times New Roman" w:hAnsi="Times New Roman" w:cs="Calibri"/>
                <w:color w:val="000000"/>
                <w:sz w:val="24"/>
                <w:szCs w:val="24"/>
              </w:rPr>
              <w:t xml:space="preserve">Technical Efficiency </w:t>
            </w:r>
          </w:p>
        </w:tc>
        <w:tc>
          <w:tcPr>
            <w:tcW w:w="2192" w:type="dxa"/>
            <w:noWrap/>
            <w:vAlign w:val="center"/>
            <w:hideMark/>
          </w:tcPr>
          <w:p w14:paraId="4C448C9C"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83</w:t>
            </w:r>
          </w:p>
        </w:tc>
        <w:tc>
          <w:tcPr>
            <w:tcW w:w="2077" w:type="dxa"/>
            <w:noWrap/>
            <w:vAlign w:val="center"/>
            <w:hideMark/>
          </w:tcPr>
          <w:p w14:paraId="7CD32139"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71</w:t>
            </w:r>
          </w:p>
        </w:tc>
      </w:tr>
      <w:tr w:rsidR="00083D2F" w:rsidRPr="00E726E6" w14:paraId="3C01D8A5" w14:textId="77777777" w:rsidTr="0053013B">
        <w:trPr>
          <w:trHeight w:val="311"/>
        </w:trPr>
        <w:tc>
          <w:tcPr>
            <w:tcW w:w="977" w:type="dxa"/>
            <w:noWrap/>
            <w:hideMark/>
          </w:tcPr>
          <w:p w14:paraId="2342172C"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2</w:t>
            </w:r>
          </w:p>
        </w:tc>
        <w:tc>
          <w:tcPr>
            <w:tcW w:w="3869" w:type="dxa"/>
            <w:noWrap/>
            <w:hideMark/>
          </w:tcPr>
          <w:p w14:paraId="397FB107" w14:textId="77777777" w:rsidR="00083D2F" w:rsidRPr="00E726E6" w:rsidRDefault="00083D2F" w:rsidP="00AD5E7C">
            <w:pPr>
              <w:spacing w:after="0" w:line="360" w:lineRule="auto"/>
              <w:rPr>
                <w:rFonts w:ascii="Times New Roman" w:hAnsi="Times New Roman" w:cs="Calibri"/>
                <w:color w:val="000000"/>
                <w:sz w:val="24"/>
                <w:szCs w:val="24"/>
              </w:rPr>
            </w:pPr>
            <w:r w:rsidRPr="00E726E6">
              <w:rPr>
                <w:rFonts w:ascii="Times New Roman" w:hAnsi="Times New Roman" w:cs="Calibri"/>
                <w:color w:val="000000"/>
                <w:sz w:val="24"/>
                <w:szCs w:val="24"/>
              </w:rPr>
              <w:t>Allocative Efficiency</w:t>
            </w:r>
          </w:p>
        </w:tc>
        <w:tc>
          <w:tcPr>
            <w:tcW w:w="2192" w:type="dxa"/>
            <w:noWrap/>
            <w:vAlign w:val="center"/>
            <w:hideMark/>
          </w:tcPr>
          <w:p w14:paraId="72B71C4D"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93.2</w:t>
            </w:r>
          </w:p>
        </w:tc>
        <w:tc>
          <w:tcPr>
            <w:tcW w:w="2077" w:type="dxa"/>
            <w:noWrap/>
            <w:vAlign w:val="center"/>
            <w:hideMark/>
          </w:tcPr>
          <w:p w14:paraId="75C5B01A"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99</w:t>
            </w:r>
          </w:p>
        </w:tc>
      </w:tr>
      <w:tr w:rsidR="00083D2F" w:rsidRPr="00E726E6" w14:paraId="7763F34F" w14:textId="77777777" w:rsidTr="0053013B">
        <w:trPr>
          <w:trHeight w:val="311"/>
        </w:trPr>
        <w:tc>
          <w:tcPr>
            <w:tcW w:w="977" w:type="dxa"/>
            <w:noWrap/>
            <w:hideMark/>
          </w:tcPr>
          <w:p w14:paraId="2DE10DE1"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3</w:t>
            </w:r>
          </w:p>
        </w:tc>
        <w:tc>
          <w:tcPr>
            <w:tcW w:w="3869" w:type="dxa"/>
            <w:noWrap/>
            <w:hideMark/>
          </w:tcPr>
          <w:p w14:paraId="2DDE45B5" w14:textId="77777777" w:rsidR="00083D2F" w:rsidRPr="00E726E6" w:rsidRDefault="00083D2F" w:rsidP="00AD5E7C">
            <w:pPr>
              <w:spacing w:after="0" w:line="360" w:lineRule="auto"/>
              <w:rPr>
                <w:rFonts w:ascii="Times New Roman" w:hAnsi="Times New Roman" w:cs="Calibri"/>
                <w:color w:val="000000"/>
                <w:sz w:val="24"/>
                <w:szCs w:val="24"/>
              </w:rPr>
            </w:pPr>
            <w:r w:rsidRPr="00E726E6">
              <w:rPr>
                <w:rFonts w:ascii="Times New Roman" w:hAnsi="Times New Roman" w:cs="Calibri"/>
                <w:color w:val="000000"/>
                <w:sz w:val="24"/>
                <w:szCs w:val="24"/>
              </w:rPr>
              <w:t>Economic Efficiency</w:t>
            </w:r>
          </w:p>
        </w:tc>
        <w:tc>
          <w:tcPr>
            <w:tcW w:w="2192" w:type="dxa"/>
            <w:noWrap/>
            <w:vAlign w:val="center"/>
            <w:hideMark/>
          </w:tcPr>
          <w:p w14:paraId="432509D8"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78</w:t>
            </w:r>
          </w:p>
        </w:tc>
        <w:tc>
          <w:tcPr>
            <w:tcW w:w="2077" w:type="dxa"/>
            <w:noWrap/>
            <w:vAlign w:val="center"/>
            <w:hideMark/>
          </w:tcPr>
          <w:p w14:paraId="7EF77C2E"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77</w:t>
            </w:r>
          </w:p>
        </w:tc>
      </w:tr>
      <w:tr w:rsidR="00083D2F" w:rsidRPr="00E726E6" w14:paraId="099519F6" w14:textId="77777777" w:rsidTr="0053013B">
        <w:trPr>
          <w:trHeight w:val="311"/>
        </w:trPr>
        <w:tc>
          <w:tcPr>
            <w:tcW w:w="977" w:type="dxa"/>
            <w:noWrap/>
            <w:hideMark/>
          </w:tcPr>
          <w:p w14:paraId="507A0E9E"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4</w:t>
            </w:r>
          </w:p>
        </w:tc>
        <w:tc>
          <w:tcPr>
            <w:tcW w:w="3869" w:type="dxa"/>
            <w:noWrap/>
            <w:hideMark/>
          </w:tcPr>
          <w:p w14:paraId="758F930B" w14:textId="77777777" w:rsidR="00083D2F" w:rsidRPr="00E726E6" w:rsidRDefault="00083D2F" w:rsidP="00AD5E7C">
            <w:pPr>
              <w:spacing w:after="0" w:line="360" w:lineRule="auto"/>
              <w:rPr>
                <w:rFonts w:ascii="Times New Roman" w:hAnsi="Times New Roman" w:cs="Calibri"/>
                <w:color w:val="000000"/>
                <w:sz w:val="24"/>
                <w:szCs w:val="24"/>
              </w:rPr>
            </w:pPr>
            <w:r w:rsidRPr="00E726E6">
              <w:rPr>
                <w:rFonts w:ascii="Times New Roman" w:hAnsi="Times New Roman" w:cs="Calibri"/>
                <w:color w:val="000000"/>
                <w:sz w:val="24"/>
                <w:szCs w:val="24"/>
              </w:rPr>
              <w:t xml:space="preserve">Pure Technical Efficiency </w:t>
            </w:r>
          </w:p>
        </w:tc>
        <w:tc>
          <w:tcPr>
            <w:tcW w:w="2192" w:type="dxa"/>
            <w:noWrap/>
            <w:vAlign w:val="center"/>
            <w:hideMark/>
          </w:tcPr>
          <w:p w14:paraId="2009106C"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88</w:t>
            </w:r>
          </w:p>
        </w:tc>
        <w:tc>
          <w:tcPr>
            <w:tcW w:w="2077" w:type="dxa"/>
            <w:noWrap/>
            <w:vAlign w:val="center"/>
            <w:hideMark/>
          </w:tcPr>
          <w:p w14:paraId="16C7C9CA"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51</w:t>
            </w:r>
          </w:p>
        </w:tc>
      </w:tr>
      <w:tr w:rsidR="00083D2F" w:rsidRPr="00E726E6" w14:paraId="1C0C8B98" w14:textId="77777777" w:rsidTr="0053013B">
        <w:trPr>
          <w:trHeight w:val="311"/>
        </w:trPr>
        <w:tc>
          <w:tcPr>
            <w:tcW w:w="977" w:type="dxa"/>
            <w:noWrap/>
            <w:hideMark/>
          </w:tcPr>
          <w:p w14:paraId="3811A219"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5</w:t>
            </w:r>
          </w:p>
        </w:tc>
        <w:tc>
          <w:tcPr>
            <w:tcW w:w="3869" w:type="dxa"/>
            <w:noWrap/>
            <w:hideMark/>
          </w:tcPr>
          <w:p w14:paraId="1784679C" w14:textId="77777777" w:rsidR="00083D2F" w:rsidRPr="00E726E6" w:rsidRDefault="00083D2F" w:rsidP="00AD5E7C">
            <w:pPr>
              <w:spacing w:after="0" w:line="360" w:lineRule="auto"/>
              <w:rPr>
                <w:rFonts w:ascii="Times New Roman" w:hAnsi="Times New Roman" w:cs="Calibri"/>
                <w:color w:val="000000"/>
                <w:sz w:val="24"/>
                <w:szCs w:val="24"/>
              </w:rPr>
            </w:pPr>
            <w:r w:rsidRPr="00E726E6">
              <w:rPr>
                <w:rFonts w:ascii="Times New Roman" w:hAnsi="Times New Roman" w:cs="Calibri"/>
                <w:color w:val="000000"/>
                <w:sz w:val="24"/>
                <w:szCs w:val="24"/>
              </w:rPr>
              <w:t>Scale Efficiency</w:t>
            </w:r>
          </w:p>
        </w:tc>
        <w:tc>
          <w:tcPr>
            <w:tcW w:w="2192" w:type="dxa"/>
            <w:noWrap/>
            <w:vAlign w:val="center"/>
            <w:hideMark/>
          </w:tcPr>
          <w:p w14:paraId="4D878CEF"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94</w:t>
            </w:r>
          </w:p>
        </w:tc>
        <w:tc>
          <w:tcPr>
            <w:tcW w:w="2077" w:type="dxa"/>
            <w:noWrap/>
            <w:vAlign w:val="center"/>
            <w:hideMark/>
          </w:tcPr>
          <w:p w14:paraId="64368EAE"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93</w:t>
            </w:r>
          </w:p>
        </w:tc>
      </w:tr>
      <w:tr w:rsidR="00083D2F" w:rsidRPr="00E726E6" w14:paraId="3B76329E" w14:textId="77777777" w:rsidTr="0053013B">
        <w:trPr>
          <w:trHeight w:val="311"/>
        </w:trPr>
        <w:tc>
          <w:tcPr>
            <w:tcW w:w="9115" w:type="dxa"/>
            <w:gridSpan w:val="4"/>
            <w:noWrap/>
            <w:hideMark/>
          </w:tcPr>
          <w:p w14:paraId="28540CA7" w14:textId="77777777" w:rsidR="00083D2F" w:rsidRPr="00E726E6" w:rsidRDefault="00083D2F" w:rsidP="00AD5E7C">
            <w:pPr>
              <w:spacing w:after="0" w:line="360" w:lineRule="auto"/>
              <w:rPr>
                <w:rFonts w:ascii="Times New Roman" w:hAnsi="Times New Roman" w:cs="Calibri"/>
                <w:b/>
                <w:color w:val="000000"/>
                <w:sz w:val="24"/>
                <w:szCs w:val="24"/>
              </w:rPr>
            </w:pPr>
            <w:r w:rsidRPr="00E726E6">
              <w:rPr>
                <w:rFonts w:ascii="Times New Roman" w:hAnsi="Times New Roman" w:cs="Calibri"/>
                <w:b/>
                <w:color w:val="000000"/>
                <w:sz w:val="24"/>
                <w:szCs w:val="24"/>
              </w:rPr>
              <w:t> Technical Efficiency Range (percentage) </w:t>
            </w:r>
          </w:p>
        </w:tc>
      </w:tr>
      <w:tr w:rsidR="00083D2F" w:rsidRPr="00E726E6" w14:paraId="0BE2F1B6" w14:textId="77777777" w:rsidTr="0053013B">
        <w:trPr>
          <w:trHeight w:val="311"/>
        </w:trPr>
        <w:tc>
          <w:tcPr>
            <w:tcW w:w="977" w:type="dxa"/>
            <w:noWrap/>
            <w:hideMark/>
          </w:tcPr>
          <w:p w14:paraId="4080A9F8"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I</w:t>
            </w:r>
          </w:p>
        </w:tc>
        <w:tc>
          <w:tcPr>
            <w:tcW w:w="3869" w:type="dxa"/>
            <w:noWrap/>
            <w:hideMark/>
          </w:tcPr>
          <w:p w14:paraId="23056F61" w14:textId="77777777" w:rsidR="00083D2F" w:rsidRPr="00E726E6" w:rsidRDefault="00083D2F" w:rsidP="00AD5E7C">
            <w:pPr>
              <w:spacing w:after="0" w:line="360" w:lineRule="auto"/>
              <w:rPr>
                <w:rFonts w:ascii="Times New Roman" w:hAnsi="Times New Roman" w:cs="Calibri"/>
                <w:color w:val="000000"/>
                <w:sz w:val="24"/>
                <w:szCs w:val="24"/>
              </w:rPr>
            </w:pPr>
            <w:r w:rsidRPr="00E726E6">
              <w:rPr>
                <w:rFonts w:ascii="Times New Roman" w:hAnsi="Times New Roman" w:cs="Calibri"/>
                <w:color w:val="000000"/>
                <w:sz w:val="24"/>
                <w:szCs w:val="24"/>
              </w:rPr>
              <w:t>&lt; 50</w:t>
            </w:r>
          </w:p>
        </w:tc>
        <w:tc>
          <w:tcPr>
            <w:tcW w:w="2192" w:type="dxa"/>
            <w:noWrap/>
            <w:vAlign w:val="center"/>
            <w:hideMark/>
          </w:tcPr>
          <w:p w14:paraId="228E9F60"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0</w:t>
            </w:r>
          </w:p>
        </w:tc>
        <w:tc>
          <w:tcPr>
            <w:tcW w:w="2077" w:type="dxa"/>
            <w:noWrap/>
            <w:vAlign w:val="center"/>
            <w:hideMark/>
          </w:tcPr>
          <w:p w14:paraId="5484F61F"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0</w:t>
            </w:r>
          </w:p>
        </w:tc>
      </w:tr>
      <w:tr w:rsidR="00083D2F" w:rsidRPr="00E726E6" w14:paraId="20479D59" w14:textId="77777777" w:rsidTr="0053013B">
        <w:trPr>
          <w:trHeight w:val="311"/>
        </w:trPr>
        <w:tc>
          <w:tcPr>
            <w:tcW w:w="977" w:type="dxa"/>
            <w:noWrap/>
            <w:hideMark/>
          </w:tcPr>
          <w:p w14:paraId="1C5F7C8E"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II</w:t>
            </w:r>
          </w:p>
        </w:tc>
        <w:tc>
          <w:tcPr>
            <w:tcW w:w="3869" w:type="dxa"/>
            <w:noWrap/>
            <w:hideMark/>
          </w:tcPr>
          <w:p w14:paraId="163A1839" w14:textId="77777777" w:rsidR="00083D2F" w:rsidRPr="00E726E6" w:rsidRDefault="00083D2F" w:rsidP="00AD5E7C">
            <w:pPr>
              <w:spacing w:after="0" w:line="360" w:lineRule="auto"/>
              <w:rPr>
                <w:rFonts w:ascii="Times New Roman" w:hAnsi="Times New Roman" w:cs="Calibri"/>
                <w:color w:val="000000"/>
                <w:sz w:val="24"/>
                <w:szCs w:val="24"/>
              </w:rPr>
            </w:pPr>
            <w:r w:rsidRPr="00E726E6">
              <w:rPr>
                <w:rFonts w:ascii="Times New Roman" w:hAnsi="Times New Roman" w:cs="Calibri"/>
                <w:color w:val="000000"/>
                <w:sz w:val="24"/>
                <w:szCs w:val="24"/>
              </w:rPr>
              <w:t>50-70</w:t>
            </w:r>
          </w:p>
        </w:tc>
        <w:tc>
          <w:tcPr>
            <w:tcW w:w="2192" w:type="dxa"/>
            <w:noWrap/>
            <w:vAlign w:val="center"/>
            <w:hideMark/>
          </w:tcPr>
          <w:p w14:paraId="4DC004DE"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3.3</w:t>
            </w:r>
          </w:p>
        </w:tc>
        <w:tc>
          <w:tcPr>
            <w:tcW w:w="2077" w:type="dxa"/>
            <w:noWrap/>
            <w:vAlign w:val="center"/>
            <w:hideMark/>
          </w:tcPr>
          <w:p w14:paraId="5A87A166"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63</w:t>
            </w:r>
          </w:p>
        </w:tc>
      </w:tr>
      <w:tr w:rsidR="00083D2F" w:rsidRPr="00E726E6" w14:paraId="7C6EAF14" w14:textId="77777777" w:rsidTr="0053013B">
        <w:trPr>
          <w:trHeight w:val="311"/>
        </w:trPr>
        <w:tc>
          <w:tcPr>
            <w:tcW w:w="977" w:type="dxa"/>
            <w:noWrap/>
            <w:hideMark/>
          </w:tcPr>
          <w:p w14:paraId="766C2A42"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III</w:t>
            </w:r>
          </w:p>
        </w:tc>
        <w:tc>
          <w:tcPr>
            <w:tcW w:w="3869" w:type="dxa"/>
            <w:noWrap/>
            <w:hideMark/>
          </w:tcPr>
          <w:p w14:paraId="2E9E1865" w14:textId="77777777" w:rsidR="00083D2F" w:rsidRPr="00E726E6" w:rsidRDefault="00083D2F" w:rsidP="00AD5E7C">
            <w:pPr>
              <w:spacing w:after="0" w:line="360" w:lineRule="auto"/>
              <w:rPr>
                <w:rFonts w:ascii="Times New Roman" w:hAnsi="Times New Roman" w:cs="Calibri"/>
                <w:color w:val="000000"/>
                <w:sz w:val="24"/>
                <w:szCs w:val="24"/>
              </w:rPr>
            </w:pPr>
            <w:r w:rsidRPr="00E726E6">
              <w:rPr>
                <w:rFonts w:ascii="Times New Roman" w:hAnsi="Times New Roman" w:cs="Calibri"/>
                <w:color w:val="000000"/>
                <w:sz w:val="24"/>
                <w:szCs w:val="24"/>
              </w:rPr>
              <w:t>70-90</w:t>
            </w:r>
          </w:p>
        </w:tc>
        <w:tc>
          <w:tcPr>
            <w:tcW w:w="2192" w:type="dxa"/>
            <w:noWrap/>
            <w:vAlign w:val="center"/>
            <w:hideMark/>
          </w:tcPr>
          <w:p w14:paraId="021A9C42"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73.3</w:t>
            </w:r>
          </w:p>
        </w:tc>
        <w:tc>
          <w:tcPr>
            <w:tcW w:w="2077" w:type="dxa"/>
            <w:noWrap/>
            <w:vAlign w:val="center"/>
            <w:hideMark/>
          </w:tcPr>
          <w:p w14:paraId="51E940FB"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30.0</w:t>
            </w:r>
          </w:p>
        </w:tc>
      </w:tr>
      <w:tr w:rsidR="00083D2F" w:rsidRPr="00E726E6" w14:paraId="462EAFF6" w14:textId="77777777" w:rsidTr="0053013B">
        <w:trPr>
          <w:trHeight w:val="311"/>
        </w:trPr>
        <w:tc>
          <w:tcPr>
            <w:tcW w:w="977" w:type="dxa"/>
            <w:noWrap/>
            <w:hideMark/>
          </w:tcPr>
          <w:p w14:paraId="3D3F9790"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IV</w:t>
            </w:r>
          </w:p>
        </w:tc>
        <w:tc>
          <w:tcPr>
            <w:tcW w:w="3869" w:type="dxa"/>
            <w:noWrap/>
            <w:hideMark/>
          </w:tcPr>
          <w:p w14:paraId="4BA64E8C" w14:textId="77777777" w:rsidR="00083D2F" w:rsidRPr="00E726E6" w:rsidRDefault="00083D2F" w:rsidP="00AD5E7C">
            <w:pPr>
              <w:spacing w:after="0" w:line="360" w:lineRule="auto"/>
              <w:rPr>
                <w:rFonts w:ascii="Times New Roman" w:hAnsi="Times New Roman" w:cs="Calibri"/>
                <w:color w:val="000000"/>
                <w:sz w:val="24"/>
                <w:szCs w:val="24"/>
              </w:rPr>
            </w:pPr>
            <w:r w:rsidRPr="00E726E6">
              <w:rPr>
                <w:rFonts w:ascii="Times New Roman" w:hAnsi="Times New Roman" w:cs="Calibri"/>
                <w:color w:val="000000"/>
                <w:sz w:val="24"/>
                <w:szCs w:val="24"/>
              </w:rPr>
              <w:t>90-100</w:t>
            </w:r>
          </w:p>
        </w:tc>
        <w:tc>
          <w:tcPr>
            <w:tcW w:w="2192" w:type="dxa"/>
            <w:noWrap/>
            <w:vAlign w:val="center"/>
            <w:hideMark/>
          </w:tcPr>
          <w:p w14:paraId="46202587"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23.4</w:t>
            </w:r>
          </w:p>
        </w:tc>
        <w:tc>
          <w:tcPr>
            <w:tcW w:w="2077" w:type="dxa"/>
            <w:noWrap/>
            <w:vAlign w:val="center"/>
            <w:hideMark/>
          </w:tcPr>
          <w:p w14:paraId="5A4C8F9F" w14:textId="77777777" w:rsidR="00083D2F" w:rsidRPr="00E726E6" w:rsidRDefault="00083D2F" w:rsidP="00AD5E7C">
            <w:pPr>
              <w:spacing w:after="0" w:line="360" w:lineRule="auto"/>
              <w:jc w:val="center"/>
              <w:rPr>
                <w:rFonts w:ascii="Times New Roman" w:hAnsi="Times New Roman" w:cs="Calibri"/>
                <w:color w:val="000000"/>
                <w:sz w:val="24"/>
                <w:szCs w:val="24"/>
              </w:rPr>
            </w:pPr>
            <w:r w:rsidRPr="00E726E6">
              <w:rPr>
                <w:rFonts w:ascii="Times New Roman" w:hAnsi="Times New Roman" w:cs="Calibri"/>
                <w:color w:val="000000"/>
                <w:sz w:val="24"/>
                <w:szCs w:val="24"/>
              </w:rPr>
              <w:t>7.0</w:t>
            </w:r>
          </w:p>
        </w:tc>
      </w:tr>
    </w:tbl>
    <w:p w14:paraId="08214B1C" w14:textId="403680D2" w:rsidR="00101240" w:rsidRPr="00E726E6" w:rsidRDefault="00101240" w:rsidP="00101240">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 xml:space="preserve">Scale efficiency was high for both the groups, with members at 94 per cent and non-members </w:t>
      </w:r>
      <w:r w:rsidR="00784835" w:rsidRPr="00E726E6">
        <w:rPr>
          <w:rFonts w:ascii="Times New Roman" w:eastAsia="Times New Roman" w:hAnsi="Times New Roman" w:cs="Times New Roman"/>
          <w:sz w:val="24"/>
          <w:szCs w:val="24"/>
        </w:rPr>
        <w:t xml:space="preserve">at </w:t>
      </w:r>
      <w:r w:rsidRPr="00E726E6">
        <w:rPr>
          <w:rFonts w:ascii="Times New Roman" w:eastAsia="Times New Roman" w:hAnsi="Times New Roman" w:cs="Times New Roman"/>
          <w:sz w:val="24"/>
          <w:szCs w:val="24"/>
        </w:rPr>
        <w:t>93 per cent, indicating that most of the farms operated near their optimal scale. However, the distribution of farms across technical efficiency ranges highlighted significant differences. Among member farmers, 73.3 per cent fell within the 70–90 per cent efficiency range, and 23.4 per cent operated in the 90–100 per cent range. In contrast, 63 per cent of non-member farms fell within the 50–70 per cent range, with only 7 per cent reaching the 90–100 per cent range.</w:t>
      </w:r>
    </w:p>
    <w:p w14:paraId="004B2361" w14:textId="05F8C29F" w:rsidR="00AD5E7C" w:rsidRPr="00E726E6" w:rsidRDefault="00101240" w:rsidP="00101240">
      <w:pPr>
        <w:pStyle w:val="NormalWeb"/>
        <w:spacing w:before="0" w:beforeAutospacing="0" w:after="0" w:afterAutospacing="0" w:line="360" w:lineRule="auto"/>
        <w:ind w:firstLine="720"/>
        <w:jc w:val="both"/>
      </w:pPr>
      <w:r w:rsidRPr="00E726E6">
        <w:t xml:space="preserve">These findings suggested that though the non-member fruit farmers were relatively effective in input selection, member farmers benefited from higher technical and pure technical efficiency, likely due to access to collective resources, training, and extension services through FPOs. The results </w:t>
      </w:r>
      <w:proofErr w:type="spellStart"/>
      <w:r w:rsidR="00784835" w:rsidRPr="00E726E6">
        <w:t>emphasised</w:t>
      </w:r>
      <w:proofErr w:type="spellEnd"/>
      <w:r w:rsidR="00784835" w:rsidRPr="00E726E6">
        <w:t xml:space="preserve"> </w:t>
      </w:r>
      <w:r w:rsidRPr="00E726E6">
        <w:t xml:space="preserve">the role of FPOs in improving technical </w:t>
      </w:r>
      <w:r w:rsidRPr="00E726E6">
        <w:lastRenderedPageBreak/>
        <w:t>efficiency and bridging knowledge gaps, ultimately contributing to better farm performance and sustainable production practices. Strengthening the technical capacity of non-member farmers through wider FPO outreach and training initiatives could further enhance overall efficiency and economic outcomes in fruit farming.</w:t>
      </w:r>
    </w:p>
    <w:p w14:paraId="5D98E82C" w14:textId="77777777" w:rsidR="00101240" w:rsidRPr="00E726E6" w:rsidRDefault="00101240" w:rsidP="00966ABC">
      <w:pPr>
        <w:pStyle w:val="NormalWeb"/>
        <w:numPr>
          <w:ilvl w:val="1"/>
          <w:numId w:val="2"/>
        </w:numPr>
        <w:spacing w:before="0" w:beforeAutospacing="0" w:after="0" w:afterAutospacing="0" w:line="360" w:lineRule="auto"/>
        <w:jc w:val="both"/>
        <w:rPr>
          <w:b/>
        </w:rPr>
      </w:pPr>
      <w:r w:rsidRPr="00E726E6">
        <w:rPr>
          <w:b/>
        </w:rPr>
        <w:t>Efficiency Analysis of Livestock Rearing (Goat) Farms Using DEA</w:t>
      </w:r>
    </w:p>
    <w:p w14:paraId="4E0FD912" w14:textId="6AB14445" w:rsidR="00966ABC" w:rsidRPr="00E726E6" w:rsidRDefault="00966ABC" w:rsidP="00966ABC">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 xml:space="preserve">The efficiency analysis of member and non-member livestock-rearing farms was conducted to evaluate their resource </w:t>
      </w:r>
      <w:proofErr w:type="spellStart"/>
      <w:r w:rsidR="00784835" w:rsidRPr="00E726E6">
        <w:rPr>
          <w:rFonts w:ascii="Times New Roman" w:eastAsia="Times New Roman" w:hAnsi="Times New Roman" w:cs="Times New Roman"/>
          <w:sz w:val="24"/>
          <w:szCs w:val="24"/>
        </w:rPr>
        <w:t>utilisation</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and cost-effectiveness. Table 4.31and Fig</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4.13 depicted the percentage average efficiencies and the distribution of sample farms according to their technical efficiency levels. Member farmers achieved a significantly higher average technical efficiency of 90 per cent, compared to only 52 per cent for non-member farmers, indicating that members </w:t>
      </w:r>
      <w:proofErr w:type="spellStart"/>
      <w:r w:rsidR="00784835" w:rsidRPr="00E726E6">
        <w:rPr>
          <w:rFonts w:ascii="Times New Roman" w:eastAsia="Times New Roman" w:hAnsi="Times New Roman" w:cs="Times New Roman"/>
          <w:sz w:val="24"/>
          <w:szCs w:val="24"/>
        </w:rPr>
        <w:t>utilised</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 xml:space="preserve">their resources much more effectively to </w:t>
      </w:r>
      <w:proofErr w:type="spellStart"/>
      <w:r w:rsidR="00784835" w:rsidRPr="00E726E6">
        <w:rPr>
          <w:rFonts w:ascii="Times New Roman" w:eastAsia="Times New Roman" w:hAnsi="Times New Roman" w:cs="Times New Roman"/>
          <w:sz w:val="24"/>
          <w:szCs w:val="24"/>
        </w:rPr>
        <w:t>maximise</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output. Pure technical efficiency was also notably higher for members at 99 per cent, while non-members recorded 90 per cent, suggesting that member farmers were operating very close to the production frontier, likely due to access to technical knowledge, veterinary services, and management practices facilitated through FPOs.</w:t>
      </w:r>
    </w:p>
    <w:p w14:paraId="51075DC8" w14:textId="77777777" w:rsidR="00AD5E7C" w:rsidRPr="00E726E6" w:rsidRDefault="00AD5E7C" w:rsidP="00AD5E7C">
      <w:pPr>
        <w:pStyle w:val="ResimYazs"/>
        <w:jc w:val="both"/>
        <w:rPr>
          <w:sz w:val="24"/>
        </w:rPr>
      </w:pPr>
      <w:r w:rsidRPr="00E726E6">
        <w:rPr>
          <w:sz w:val="24"/>
        </w:rPr>
        <w:t>Table 4</w:t>
      </w:r>
      <w:r w:rsidR="00083D2F" w:rsidRPr="00E726E6">
        <w:rPr>
          <w:sz w:val="24"/>
        </w:rPr>
        <w:t xml:space="preserve">. Percentage Average Efficiencies &amp; Distribution of Sample of Livestock </w:t>
      </w:r>
    </w:p>
    <w:p w14:paraId="22A59E1F" w14:textId="77777777" w:rsidR="00083D2F" w:rsidRPr="00E726E6" w:rsidRDefault="00AD5E7C" w:rsidP="00AD5E7C">
      <w:pPr>
        <w:pStyle w:val="ResimYazs"/>
        <w:jc w:val="both"/>
        <w:rPr>
          <w:sz w:val="24"/>
        </w:rPr>
      </w:pPr>
      <w:r w:rsidRPr="00E726E6">
        <w:rPr>
          <w:sz w:val="24"/>
        </w:rPr>
        <w:t xml:space="preserve">              </w:t>
      </w:r>
      <w:r w:rsidR="00083D2F" w:rsidRPr="00E726E6">
        <w:rPr>
          <w:sz w:val="24"/>
        </w:rPr>
        <w:t>Rearing Farms According to Technical Efficiencies</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3735"/>
        <w:gridCol w:w="2005"/>
        <w:gridCol w:w="2429"/>
      </w:tblGrid>
      <w:tr w:rsidR="00083D2F" w:rsidRPr="00E726E6" w14:paraId="642B5374" w14:textId="77777777" w:rsidTr="0053013B">
        <w:trPr>
          <w:trHeight w:val="318"/>
        </w:trPr>
        <w:tc>
          <w:tcPr>
            <w:tcW w:w="1055" w:type="dxa"/>
            <w:noWrap/>
            <w:hideMark/>
          </w:tcPr>
          <w:p w14:paraId="46AFC448" w14:textId="77777777" w:rsidR="00083D2F" w:rsidRPr="00E726E6" w:rsidRDefault="00083D2F" w:rsidP="00AD5E7C">
            <w:pPr>
              <w:spacing w:after="0"/>
              <w:jc w:val="center"/>
              <w:rPr>
                <w:rFonts w:ascii="Times New Roman" w:hAnsi="Times New Roman" w:cs="Calibri"/>
                <w:b/>
                <w:color w:val="000000"/>
                <w:sz w:val="24"/>
                <w:szCs w:val="24"/>
              </w:rPr>
            </w:pPr>
            <w:r w:rsidRPr="00E726E6">
              <w:rPr>
                <w:rFonts w:ascii="Times New Roman" w:hAnsi="Times New Roman" w:cs="Calibri"/>
                <w:b/>
                <w:color w:val="000000"/>
                <w:sz w:val="24"/>
                <w:szCs w:val="24"/>
              </w:rPr>
              <w:t>Sr. No</w:t>
            </w:r>
          </w:p>
        </w:tc>
        <w:tc>
          <w:tcPr>
            <w:tcW w:w="3735" w:type="dxa"/>
            <w:noWrap/>
            <w:hideMark/>
          </w:tcPr>
          <w:p w14:paraId="6009E0C3" w14:textId="77777777" w:rsidR="00083D2F" w:rsidRPr="00E726E6" w:rsidRDefault="00083D2F" w:rsidP="00AD5E7C">
            <w:pPr>
              <w:spacing w:after="0"/>
              <w:jc w:val="center"/>
              <w:rPr>
                <w:rFonts w:ascii="Times New Roman" w:hAnsi="Times New Roman" w:cs="Calibri"/>
                <w:b/>
                <w:color w:val="000000"/>
                <w:sz w:val="24"/>
                <w:szCs w:val="24"/>
              </w:rPr>
            </w:pPr>
            <w:r w:rsidRPr="00E726E6">
              <w:rPr>
                <w:rFonts w:ascii="Times New Roman" w:hAnsi="Times New Roman" w:cs="Calibri"/>
                <w:b/>
                <w:color w:val="000000"/>
                <w:sz w:val="24"/>
                <w:szCs w:val="24"/>
              </w:rPr>
              <w:t>Particular</w:t>
            </w:r>
          </w:p>
        </w:tc>
        <w:tc>
          <w:tcPr>
            <w:tcW w:w="2005" w:type="dxa"/>
            <w:noWrap/>
            <w:hideMark/>
          </w:tcPr>
          <w:p w14:paraId="7600742D" w14:textId="77777777" w:rsidR="00083D2F" w:rsidRPr="00E726E6" w:rsidRDefault="00083D2F" w:rsidP="00AD5E7C">
            <w:pPr>
              <w:spacing w:after="0"/>
              <w:jc w:val="center"/>
              <w:rPr>
                <w:rFonts w:ascii="Times New Roman" w:hAnsi="Times New Roman"/>
                <w:b/>
                <w:color w:val="000000"/>
                <w:sz w:val="24"/>
              </w:rPr>
            </w:pPr>
            <w:r w:rsidRPr="00E726E6">
              <w:rPr>
                <w:rFonts w:ascii="Times New Roman" w:hAnsi="Times New Roman"/>
                <w:b/>
                <w:color w:val="000000"/>
                <w:sz w:val="24"/>
              </w:rPr>
              <w:t>Member (N=30)</w:t>
            </w:r>
          </w:p>
        </w:tc>
        <w:tc>
          <w:tcPr>
            <w:tcW w:w="2429" w:type="dxa"/>
            <w:noWrap/>
            <w:hideMark/>
          </w:tcPr>
          <w:p w14:paraId="0A75CC4D" w14:textId="77777777" w:rsidR="00083D2F" w:rsidRPr="00E726E6" w:rsidRDefault="00083D2F" w:rsidP="00AD5E7C">
            <w:pPr>
              <w:spacing w:after="0"/>
              <w:jc w:val="center"/>
              <w:rPr>
                <w:rFonts w:ascii="Times New Roman" w:hAnsi="Times New Roman"/>
                <w:b/>
                <w:color w:val="000000"/>
                <w:sz w:val="24"/>
              </w:rPr>
            </w:pPr>
            <w:r w:rsidRPr="00E726E6">
              <w:rPr>
                <w:rFonts w:ascii="Times New Roman" w:hAnsi="Times New Roman"/>
                <w:b/>
                <w:color w:val="000000"/>
                <w:sz w:val="24"/>
              </w:rPr>
              <w:t>Non-Member (N=30)</w:t>
            </w:r>
          </w:p>
        </w:tc>
      </w:tr>
      <w:tr w:rsidR="00083D2F" w:rsidRPr="00E726E6" w14:paraId="3CA9D0D9" w14:textId="77777777" w:rsidTr="0053013B">
        <w:trPr>
          <w:trHeight w:val="318"/>
        </w:trPr>
        <w:tc>
          <w:tcPr>
            <w:tcW w:w="1055" w:type="dxa"/>
            <w:noWrap/>
            <w:hideMark/>
          </w:tcPr>
          <w:p w14:paraId="6D2D6CCB"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1</w:t>
            </w:r>
          </w:p>
        </w:tc>
        <w:tc>
          <w:tcPr>
            <w:tcW w:w="3735" w:type="dxa"/>
            <w:noWrap/>
            <w:hideMark/>
          </w:tcPr>
          <w:p w14:paraId="02B397EB" w14:textId="77777777" w:rsidR="00083D2F" w:rsidRPr="00E726E6" w:rsidRDefault="00083D2F" w:rsidP="00AD5E7C">
            <w:pPr>
              <w:spacing w:after="0"/>
              <w:rPr>
                <w:rFonts w:ascii="Times New Roman" w:hAnsi="Times New Roman" w:cs="Calibri"/>
                <w:color w:val="000000"/>
                <w:sz w:val="24"/>
                <w:szCs w:val="24"/>
              </w:rPr>
            </w:pPr>
            <w:r w:rsidRPr="00E726E6">
              <w:rPr>
                <w:rFonts w:ascii="Times New Roman" w:hAnsi="Times New Roman" w:cs="Calibri"/>
                <w:color w:val="000000"/>
                <w:sz w:val="24"/>
                <w:szCs w:val="24"/>
              </w:rPr>
              <w:t xml:space="preserve">Technical Efficiency </w:t>
            </w:r>
          </w:p>
        </w:tc>
        <w:tc>
          <w:tcPr>
            <w:tcW w:w="2005" w:type="dxa"/>
            <w:noWrap/>
            <w:vAlign w:val="center"/>
            <w:hideMark/>
          </w:tcPr>
          <w:p w14:paraId="3ED7C2B3"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90</w:t>
            </w:r>
          </w:p>
        </w:tc>
        <w:tc>
          <w:tcPr>
            <w:tcW w:w="2429" w:type="dxa"/>
            <w:noWrap/>
            <w:vAlign w:val="center"/>
            <w:hideMark/>
          </w:tcPr>
          <w:p w14:paraId="76552CEF"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52</w:t>
            </w:r>
          </w:p>
        </w:tc>
      </w:tr>
      <w:tr w:rsidR="00083D2F" w:rsidRPr="00E726E6" w14:paraId="5482EB74" w14:textId="77777777" w:rsidTr="0053013B">
        <w:trPr>
          <w:trHeight w:val="318"/>
        </w:trPr>
        <w:tc>
          <w:tcPr>
            <w:tcW w:w="1055" w:type="dxa"/>
            <w:noWrap/>
            <w:hideMark/>
          </w:tcPr>
          <w:p w14:paraId="59BDF0C5"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2</w:t>
            </w:r>
          </w:p>
        </w:tc>
        <w:tc>
          <w:tcPr>
            <w:tcW w:w="3735" w:type="dxa"/>
            <w:noWrap/>
            <w:hideMark/>
          </w:tcPr>
          <w:p w14:paraId="66CA8A88" w14:textId="77777777" w:rsidR="00083D2F" w:rsidRPr="00E726E6" w:rsidRDefault="00083D2F" w:rsidP="00AD5E7C">
            <w:pPr>
              <w:spacing w:after="0"/>
              <w:rPr>
                <w:rFonts w:ascii="Times New Roman" w:hAnsi="Times New Roman" w:cs="Calibri"/>
                <w:color w:val="000000"/>
                <w:sz w:val="24"/>
                <w:szCs w:val="24"/>
              </w:rPr>
            </w:pPr>
            <w:r w:rsidRPr="00E726E6">
              <w:rPr>
                <w:rFonts w:ascii="Times New Roman" w:hAnsi="Times New Roman" w:cs="Calibri"/>
                <w:color w:val="000000"/>
                <w:sz w:val="24"/>
                <w:szCs w:val="24"/>
              </w:rPr>
              <w:t>Allocative Efficiency</w:t>
            </w:r>
          </w:p>
        </w:tc>
        <w:tc>
          <w:tcPr>
            <w:tcW w:w="2005" w:type="dxa"/>
            <w:noWrap/>
            <w:vAlign w:val="center"/>
            <w:hideMark/>
          </w:tcPr>
          <w:p w14:paraId="033182DD"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79.2</w:t>
            </w:r>
          </w:p>
        </w:tc>
        <w:tc>
          <w:tcPr>
            <w:tcW w:w="2429" w:type="dxa"/>
            <w:noWrap/>
            <w:vAlign w:val="center"/>
            <w:hideMark/>
          </w:tcPr>
          <w:p w14:paraId="1D760AA4"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87</w:t>
            </w:r>
          </w:p>
        </w:tc>
      </w:tr>
      <w:tr w:rsidR="00083D2F" w:rsidRPr="00E726E6" w14:paraId="32E2A241" w14:textId="77777777" w:rsidTr="0053013B">
        <w:trPr>
          <w:trHeight w:val="318"/>
        </w:trPr>
        <w:tc>
          <w:tcPr>
            <w:tcW w:w="1055" w:type="dxa"/>
            <w:noWrap/>
            <w:hideMark/>
          </w:tcPr>
          <w:p w14:paraId="3D8FA29F"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3</w:t>
            </w:r>
          </w:p>
        </w:tc>
        <w:tc>
          <w:tcPr>
            <w:tcW w:w="3735" w:type="dxa"/>
            <w:noWrap/>
            <w:hideMark/>
          </w:tcPr>
          <w:p w14:paraId="4A5E93AA" w14:textId="77777777" w:rsidR="00083D2F" w:rsidRPr="00E726E6" w:rsidRDefault="00083D2F" w:rsidP="00AD5E7C">
            <w:pPr>
              <w:spacing w:after="0"/>
              <w:rPr>
                <w:rFonts w:ascii="Times New Roman" w:hAnsi="Times New Roman" w:cs="Calibri"/>
                <w:color w:val="000000"/>
                <w:sz w:val="24"/>
                <w:szCs w:val="24"/>
              </w:rPr>
            </w:pPr>
            <w:r w:rsidRPr="00E726E6">
              <w:rPr>
                <w:rFonts w:ascii="Times New Roman" w:hAnsi="Times New Roman" w:cs="Calibri"/>
                <w:color w:val="000000"/>
                <w:sz w:val="24"/>
                <w:szCs w:val="24"/>
              </w:rPr>
              <w:t>Economic Efficiency</w:t>
            </w:r>
          </w:p>
        </w:tc>
        <w:tc>
          <w:tcPr>
            <w:tcW w:w="2005" w:type="dxa"/>
            <w:noWrap/>
            <w:vAlign w:val="center"/>
            <w:hideMark/>
          </w:tcPr>
          <w:p w14:paraId="2953BBCC"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72</w:t>
            </w:r>
          </w:p>
        </w:tc>
        <w:tc>
          <w:tcPr>
            <w:tcW w:w="2429" w:type="dxa"/>
            <w:noWrap/>
            <w:vAlign w:val="center"/>
            <w:hideMark/>
          </w:tcPr>
          <w:p w14:paraId="0C584F30"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46</w:t>
            </w:r>
          </w:p>
        </w:tc>
      </w:tr>
      <w:tr w:rsidR="00083D2F" w:rsidRPr="00E726E6" w14:paraId="12E44178" w14:textId="77777777" w:rsidTr="0053013B">
        <w:trPr>
          <w:trHeight w:val="318"/>
        </w:trPr>
        <w:tc>
          <w:tcPr>
            <w:tcW w:w="1055" w:type="dxa"/>
            <w:noWrap/>
            <w:hideMark/>
          </w:tcPr>
          <w:p w14:paraId="3B776BD5"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4</w:t>
            </w:r>
          </w:p>
        </w:tc>
        <w:tc>
          <w:tcPr>
            <w:tcW w:w="3735" w:type="dxa"/>
            <w:noWrap/>
            <w:hideMark/>
          </w:tcPr>
          <w:p w14:paraId="6F70AA82" w14:textId="77777777" w:rsidR="00083D2F" w:rsidRPr="00E726E6" w:rsidRDefault="00083D2F" w:rsidP="00AD5E7C">
            <w:pPr>
              <w:spacing w:after="0"/>
              <w:rPr>
                <w:rFonts w:ascii="Times New Roman" w:hAnsi="Times New Roman" w:cs="Calibri"/>
                <w:color w:val="000000"/>
                <w:sz w:val="24"/>
                <w:szCs w:val="24"/>
              </w:rPr>
            </w:pPr>
            <w:r w:rsidRPr="00E726E6">
              <w:rPr>
                <w:rFonts w:ascii="Times New Roman" w:hAnsi="Times New Roman" w:cs="Calibri"/>
                <w:color w:val="000000"/>
                <w:sz w:val="24"/>
                <w:szCs w:val="24"/>
              </w:rPr>
              <w:t xml:space="preserve">Pure Technical Efficiency </w:t>
            </w:r>
          </w:p>
        </w:tc>
        <w:tc>
          <w:tcPr>
            <w:tcW w:w="2005" w:type="dxa"/>
            <w:noWrap/>
            <w:vAlign w:val="center"/>
            <w:hideMark/>
          </w:tcPr>
          <w:p w14:paraId="504A3F27"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99</w:t>
            </w:r>
          </w:p>
        </w:tc>
        <w:tc>
          <w:tcPr>
            <w:tcW w:w="2429" w:type="dxa"/>
            <w:noWrap/>
            <w:vAlign w:val="center"/>
            <w:hideMark/>
          </w:tcPr>
          <w:p w14:paraId="4B6593CF"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90</w:t>
            </w:r>
          </w:p>
        </w:tc>
      </w:tr>
      <w:tr w:rsidR="00083D2F" w:rsidRPr="00E726E6" w14:paraId="628E331E" w14:textId="77777777" w:rsidTr="0053013B">
        <w:trPr>
          <w:trHeight w:val="318"/>
        </w:trPr>
        <w:tc>
          <w:tcPr>
            <w:tcW w:w="1055" w:type="dxa"/>
            <w:noWrap/>
            <w:hideMark/>
          </w:tcPr>
          <w:p w14:paraId="59B06731"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5</w:t>
            </w:r>
          </w:p>
        </w:tc>
        <w:tc>
          <w:tcPr>
            <w:tcW w:w="3735" w:type="dxa"/>
            <w:noWrap/>
            <w:hideMark/>
          </w:tcPr>
          <w:p w14:paraId="5F73B165" w14:textId="77777777" w:rsidR="00083D2F" w:rsidRPr="00E726E6" w:rsidRDefault="00083D2F" w:rsidP="00AD5E7C">
            <w:pPr>
              <w:spacing w:after="0"/>
              <w:rPr>
                <w:rFonts w:ascii="Times New Roman" w:hAnsi="Times New Roman" w:cs="Calibri"/>
                <w:color w:val="000000"/>
                <w:sz w:val="24"/>
                <w:szCs w:val="24"/>
              </w:rPr>
            </w:pPr>
            <w:r w:rsidRPr="00E726E6">
              <w:rPr>
                <w:rFonts w:ascii="Times New Roman" w:hAnsi="Times New Roman" w:cs="Calibri"/>
                <w:color w:val="000000"/>
                <w:sz w:val="24"/>
                <w:szCs w:val="24"/>
              </w:rPr>
              <w:t>Scale Efficiency</w:t>
            </w:r>
          </w:p>
        </w:tc>
        <w:tc>
          <w:tcPr>
            <w:tcW w:w="2005" w:type="dxa"/>
            <w:noWrap/>
            <w:vAlign w:val="center"/>
            <w:hideMark/>
          </w:tcPr>
          <w:p w14:paraId="74694D6C"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90</w:t>
            </w:r>
          </w:p>
        </w:tc>
        <w:tc>
          <w:tcPr>
            <w:tcW w:w="2429" w:type="dxa"/>
            <w:noWrap/>
            <w:vAlign w:val="center"/>
            <w:hideMark/>
          </w:tcPr>
          <w:p w14:paraId="06CC315B"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59</w:t>
            </w:r>
          </w:p>
        </w:tc>
      </w:tr>
      <w:tr w:rsidR="00083D2F" w:rsidRPr="00E726E6" w14:paraId="7117A1B2" w14:textId="77777777" w:rsidTr="0053013B">
        <w:trPr>
          <w:trHeight w:val="318"/>
        </w:trPr>
        <w:tc>
          <w:tcPr>
            <w:tcW w:w="9224" w:type="dxa"/>
            <w:gridSpan w:val="4"/>
            <w:noWrap/>
            <w:hideMark/>
          </w:tcPr>
          <w:p w14:paraId="044BF58C" w14:textId="77777777" w:rsidR="00083D2F" w:rsidRPr="00E726E6" w:rsidRDefault="00083D2F" w:rsidP="00AD5E7C">
            <w:pPr>
              <w:spacing w:after="0"/>
              <w:rPr>
                <w:rFonts w:ascii="Times New Roman" w:hAnsi="Times New Roman" w:cs="Calibri"/>
                <w:b/>
                <w:color w:val="000000"/>
                <w:sz w:val="24"/>
                <w:szCs w:val="24"/>
              </w:rPr>
            </w:pPr>
            <w:r w:rsidRPr="00E726E6">
              <w:rPr>
                <w:rFonts w:ascii="Times New Roman" w:hAnsi="Times New Roman" w:cs="Calibri"/>
                <w:b/>
                <w:color w:val="000000"/>
                <w:sz w:val="24"/>
                <w:szCs w:val="24"/>
              </w:rPr>
              <w:t>Technical Efficiency Range (percentage)  </w:t>
            </w:r>
          </w:p>
        </w:tc>
      </w:tr>
      <w:tr w:rsidR="00083D2F" w:rsidRPr="00E726E6" w14:paraId="7ECCDEA5" w14:textId="77777777" w:rsidTr="0053013B">
        <w:trPr>
          <w:trHeight w:val="318"/>
        </w:trPr>
        <w:tc>
          <w:tcPr>
            <w:tcW w:w="1055" w:type="dxa"/>
            <w:noWrap/>
            <w:hideMark/>
          </w:tcPr>
          <w:p w14:paraId="32A31F74"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I</w:t>
            </w:r>
          </w:p>
        </w:tc>
        <w:tc>
          <w:tcPr>
            <w:tcW w:w="3735" w:type="dxa"/>
            <w:noWrap/>
            <w:hideMark/>
          </w:tcPr>
          <w:p w14:paraId="36FA6D4C" w14:textId="77777777" w:rsidR="00083D2F" w:rsidRPr="00E726E6" w:rsidRDefault="00083D2F" w:rsidP="00AD5E7C">
            <w:pPr>
              <w:spacing w:after="0"/>
              <w:rPr>
                <w:rFonts w:ascii="Times New Roman" w:hAnsi="Times New Roman" w:cs="Calibri"/>
                <w:color w:val="000000"/>
                <w:sz w:val="24"/>
                <w:szCs w:val="24"/>
              </w:rPr>
            </w:pPr>
            <w:r w:rsidRPr="00E726E6">
              <w:rPr>
                <w:rFonts w:ascii="Times New Roman" w:hAnsi="Times New Roman" w:cs="Calibri"/>
                <w:color w:val="000000"/>
                <w:sz w:val="24"/>
                <w:szCs w:val="24"/>
              </w:rPr>
              <w:t>&lt; 50</w:t>
            </w:r>
          </w:p>
        </w:tc>
        <w:tc>
          <w:tcPr>
            <w:tcW w:w="2005" w:type="dxa"/>
            <w:noWrap/>
            <w:vAlign w:val="center"/>
            <w:hideMark/>
          </w:tcPr>
          <w:p w14:paraId="403FD360"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0</w:t>
            </w:r>
          </w:p>
        </w:tc>
        <w:tc>
          <w:tcPr>
            <w:tcW w:w="2429" w:type="dxa"/>
            <w:noWrap/>
            <w:vAlign w:val="center"/>
            <w:hideMark/>
          </w:tcPr>
          <w:p w14:paraId="6B9CF0C0"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53</w:t>
            </w:r>
          </w:p>
        </w:tc>
      </w:tr>
      <w:tr w:rsidR="00083D2F" w:rsidRPr="00E726E6" w14:paraId="74A3E031" w14:textId="77777777" w:rsidTr="0053013B">
        <w:trPr>
          <w:trHeight w:val="318"/>
        </w:trPr>
        <w:tc>
          <w:tcPr>
            <w:tcW w:w="1055" w:type="dxa"/>
            <w:noWrap/>
            <w:hideMark/>
          </w:tcPr>
          <w:p w14:paraId="14866B89"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II</w:t>
            </w:r>
          </w:p>
        </w:tc>
        <w:tc>
          <w:tcPr>
            <w:tcW w:w="3735" w:type="dxa"/>
            <w:noWrap/>
            <w:hideMark/>
          </w:tcPr>
          <w:p w14:paraId="03D82989" w14:textId="77777777" w:rsidR="00083D2F" w:rsidRPr="00E726E6" w:rsidRDefault="00083D2F" w:rsidP="00AD5E7C">
            <w:pPr>
              <w:spacing w:after="0"/>
              <w:rPr>
                <w:rFonts w:ascii="Times New Roman" w:hAnsi="Times New Roman" w:cs="Calibri"/>
                <w:color w:val="000000"/>
                <w:sz w:val="24"/>
                <w:szCs w:val="24"/>
              </w:rPr>
            </w:pPr>
            <w:r w:rsidRPr="00E726E6">
              <w:rPr>
                <w:rFonts w:ascii="Times New Roman" w:hAnsi="Times New Roman" w:cs="Calibri"/>
                <w:color w:val="000000"/>
                <w:sz w:val="24"/>
                <w:szCs w:val="24"/>
              </w:rPr>
              <w:t>50-70</w:t>
            </w:r>
          </w:p>
        </w:tc>
        <w:tc>
          <w:tcPr>
            <w:tcW w:w="2005" w:type="dxa"/>
            <w:noWrap/>
            <w:vAlign w:val="center"/>
            <w:hideMark/>
          </w:tcPr>
          <w:p w14:paraId="16BE1A2E"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13.3</w:t>
            </w:r>
          </w:p>
        </w:tc>
        <w:tc>
          <w:tcPr>
            <w:tcW w:w="2429" w:type="dxa"/>
            <w:noWrap/>
            <w:vAlign w:val="center"/>
            <w:hideMark/>
          </w:tcPr>
          <w:p w14:paraId="15FF0D09"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33</w:t>
            </w:r>
          </w:p>
        </w:tc>
      </w:tr>
      <w:tr w:rsidR="00083D2F" w:rsidRPr="00E726E6" w14:paraId="5D52DD01" w14:textId="77777777" w:rsidTr="0053013B">
        <w:trPr>
          <w:trHeight w:val="318"/>
        </w:trPr>
        <w:tc>
          <w:tcPr>
            <w:tcW w:w="1055" w:type="dxa"/>
            <w:noWrap/>
            <w:hideMark/>
          </w:tcPr>
          <w:p w14:paraId="4DDCB468"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III</w:t>
            </w:r>
          </w:p>
        </w:tc>
        <w:tc>
          <w:tcPr>
            <w:tcW w:w="3735" w:type="dxa"/>
            <w:noWrap/>
            <w:hideMark/>
          </w:tcPr>
          <w:p w14:paraId="2701D652" w14:textId="77777777" w:rsidR="00083D2F" w:rsidRPr="00E726E6" w:rsidRDefault="00083D2F" w:rsidP="00AD5E7C">
            <w:pPr>
              <w:spacing w:after="0"/>
              <w:rPr>
                <w:rFonts w:ascii="Times New Roman" w:hAnsi="Times New Roman" w:cs="Calibri"/>
                <w:color w:val="000000"/>
                <w:sz w:val="24"/>
                <w:szCs w:val="24"/>
              </w:rPr>
            </w:pPr>
            <w:r w:rsidRPr="00E726E6">
              <w:rPr>
                <w:rFonts w:ascii="Times New Roman" w:hAnsi="Times New Roman" w:cs="Calibri"/>
                <w:color w:val="000000"/>
                <w:sz w:val="24"/>
                <w:szCs w:val="24"/>
              </w:rPr>
              <w:t>70-90</w:t>
            </w:r>
          </w:p>
        </w:tc>
        <w:tc>
          <w:tcPr>
            <w:tcW w:w="2005" w:type="dxa"/>
            <w:noWrap/>
            <w:vAlign w:val="center"/>
            <w:hideMark/>
          </w:tcPr>
          <w:p w14:paraId="0C87C7C8"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16.7</w:t>
            </w:r>
          </w:p>
        </w:tc>
        <w:tc>
          <w:tcPr>
            <w:tcW w:w="2429" w:type="dxa"/>
            <w:noWrap/>
            <w:vAlign w:val="center"/>
            <w:hideMark/>
          </w:tcPr>
          <w:p w14:paraId="5007FBC7"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13.4</w:t>
            </w:r>
          </w:p>
        </w:tc>
      </w:tr>
      <w:tr w:rsidR="00083D2F" w:rsidRPr="00E726E6" w14:paraId="41165424" w14:textId="77777777" w:rsidTr="0053013B">
        <w:trPr>
          <w:trHeight w:val="318"/>
        </w:trPr>
        <w:tc>
          <w:tcPr>
            <w:tcW w:w="1055" w:type="dxa"/>
            <w:noWrap/>
            <w:hideMark/>
          </w:tcPr>
          <w:p w14:paraId="4EF555CA"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IV</w:t>
            </w:r>
          </w:p>
        </w:tc>
        <w:tc>
          <w:tcPr>
            <w:tcW w:w="3735" w:type="dxa"/>
            <w:noWrap/>
            <w:hideMark/>
          </w:tcPr>
          <w:p w14:paraId="34E90BD6" w14:textId="77777777" w:rsidR="00083D2F" w:rsidRPr="00E726E6" w:rsidRDefault="00083D2F" w:rsidP="00AD5E7C">
            <w:pPr>
              <w:spacing w:after="0"/>
              <w:rPr>
                <w:rFonts w:ascii="Times New Roman" w:hAnsi="Times New Roman" w:cs="Calibri"/>
                <w:color w:val="000000"/>
                <w:sz w:val="24"/>
                <w:szCs w:val="24"/>
              </w:rPr>
            </w:pPr>
            <w:r w:rsidRPr="00E726E6">
              <w:rPr>
                <w:rFonts w:ascii="Times New Roman" w:hAnsi="Times New Roman" w:cs="Calibri"/>
                <w:color w:val="000000"/>
                <w:sz w:val="24"/>
                <w:szCs w:val="24"/>
              </w:rPr>
              <w:t>90-100</w:t>
            </w:r>
          </w:p>
        </w:tc>
        <w:tc>
          <w:tcPr>
            <w:tcW w:w="2005" w:type="dxa"/>
            <w:noWrap/>
            <w:vAlign w:val="center"/>
            <w:hideMark/>
          </w:tcPr>
          <w:p w14:paraId="6B77E855"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70.0</w:t>
            </w:r>
          </w:p>
        </w:tc>
        <w:tc>
          <w:tcPr>
            <w:tcW w:w="2429" w:type="dxa"/>
            <w:noWrap/>
            <w:vAlign w:val="center"/>
            <w:hideMark/>
          </w:tcPr>
          <w:p w14:paraId="7218EBAE" w14:textId="77777777" w:rsidR="00083D2F" w:rsidRPr="00E726E6" w:rsidRDefault="00083D2F" w:rsidP="00AD5E7C">
            <w:pPr>
              <w:spacing w:after="0"/>
              <w:jc w:val="center"/>
              <w:rPr>
                <w:rFonts w:ascii="Times New Roman" w:hAnsi="Times New Roman" w:cs="Calibri"/>
                <w:color w:val="000000"/>
                <w:sz w:val="24"/>
                <w:szCs w:val="24"/>
              </w:rPr>
            </w:pPr>
            <w:r w:rsidRPr="00E726E6">
              <w:rPr>
                <w:rFonts w:ascii="Times New Roman" w:hAnsi="Times New Roman" w:cs="Calibri"/>
                <w:color w:val="000000"/>
                <w:sz w:val="24"/>
                <w:szCs w:val="24"/>
              </w:rPr>
              <w:t>0.0</w:t>
            </w:r>
          </w:p>
        </w:tc>
      </w:tr>
    </w:tbl>
    <w:p w14:paraId="10A6D281" w14:textId="2D94FD55" w:rsidR="00966ABC" w:rsidRPr="00E726E6" w:rsidRDefault="00966ABC" w:rsidP="00966ABC">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Allocative efficiency was higher for non-member farmers at 87 per cent, compared to 79.2 per cent for members. This indicated that non-members were more precise in selecting the optimal input combination at given input prices, possibly because livestock farmers outside of FPOs might rely more on traditional cost-</w:t>
      </w:r>
      <w:proofErr w:type="spellStart"/>
      <w:r w:rsidR="00784835" w:rsidRPr="00E726E6">
        <w:rPr>
          <w:rFonts w:ascii="Times New Roman" w:eastAsia="Times New Roman" w:hAnsi="Times New Roman" w:cs="Times New Roman"/>
          <w:sz w:val="24"/>
          <w:szCs w:val="24"/>
        </w:rPr>
        <w:t>minimisation</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 xml:space="preserve">practices. However, despite their higher allocative efficiency, non-members struggled with technical inefficiency, which pulled down their overall economic efficiency to 46 per cent, compared to 72 per cent for members. The higher economic efficiency among members highlighted the combined </w:t>
      </w:r>
      <w:r w:rsidRPr="00E726E6">
        <w:rPr>
          <w:rFonts w:ascii="Times New Roman" w:eastAsia="Times New Roman" w:hAnsi="Times New Roman" w:cs="Times New Roman"/>
          <w:sz w:val="24"/>
          <w:szCs w:val="24"/>
        </w:rPr>
        <w:lastRenderedPageBreak/>
        <w:t>benefits of strong technical capabilities and near-optimal resource allocation, which helped to reduce production costs and enhance profitability.</w:t>
      </w:r>
    </w:p>
    <w:p w14:paraId="6AE66824" w14:textId="77777777" w:rsidR="00AD5E7C" w:rsidRPr="00E726E6" w:rsidRDefault="00966ABC" w:rsidP="00966ABC">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Scale efficiency showed a substantial gap, with members reaching at 90 per cent while non-members lagged by 59 per cent. This suggested that member farmers were more likely to operate at an optimal scale, possibly benefiting from collective access to inputs, markets, and financial resources through FPOs, whereas non-members may have struggled with suboptimal herd sizes or production structures.</w:t>
      </w:r>
    </w:p>
    <w:p w14:paraId="24361FA5" w14:textId="4B51163C" w:rsidR="00966ABC" w:rsidRPr="00E726E6" w:rsidRDefault="00966ABC" w:rsidP="00966ABC">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 xml:space="preserve">The distribution of farms across technical efficiency ranges further highlighted the disparities. Among member farmers, 70 per cent operated within the 90–100 per cent range, and no farms fell below 50 per cent efficiency. In contrast, over half (53%) </w:t>
      </w:r>
      <w:r w:rsidR="00784835" w:rsidRPr="00E726E6">
        <w:rPr>
          <w:rFonts w:ascii="Times New Roman" w:eastAsia="Times New Roman" w:hAnsi="Times New Roman" w:cs="Times New Roman"/>
          <w:sz w:val="24"/>
          <w:szCs w:val="24"/>
        </w:rPr>
        <w:t xml:space="preserve">of </w:t>
      </w:r>
      <w:r w:rsidRPr="00E726E6">
        <w:rPr>
          <w:rFonts w:ascii="Times New Roman" w:eastAsia="Times New Roman" w:hAnsi="Times New Roman" w:cs="Times New Roman"/>
          <w:sz w:val="24"/>
          <w:szCs w:val="24"/>
        </w:rPr>
        <w:t>non-member</w:t>
      </w:r>
      <w:r w:rsidR="00784835" w:rsidRPr="00E726E6">
        <w:rPr>
          <w:rFonts w:ascii="Times New Roman" w:eastAsia="Times New Roman" w:hAnsi="Times New Roman" w:cs="Times New Roman"/>
          <w:sz w:val="24"/>
          <w:szCs w:val="24"/>
        </w:rPr>
        <w:t>s</w:t>
      </w:r>
      <w:r w:rsidRPr="00E726E6">
        <w:rPr>
          <w:rFonts w:ascii="Times New Roman" w:eastAsia="Times New Roman" w:hAnsi="Times New Roman" w:cs="Times New Roman"/>
          <w:sz w:val="24"/>
          <w:szCs w:val="24"/>
        </w:rPr>
        <w:t xml:space="preserve"> of the farms operated below 50 per cent efficiency</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and none reached the 90–100 per cent range. This stark contrast suggested that the majority of non-member livestock farmers faced severe technical inefficiencies, which limited their overall performance.</w:t>
      </w:r>
    </w:p>
    <w:p w14:paraId="4B68CC71" w14:textId="4B644534" w:rsidR="00966ABC" w:rsidRPr="00E726E6" w:rsidRDefault="00966ABC" w:rsidP="00966ABC">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 xml:space="preserve">These findings underscore the critical role of FPOs in enhancing the technical and scale efficiency of livestock farms. Membership provided access to better training, veterinary care, bulk input purchasing, and </w:t>
      </w:r>
      <w:proofErr w:type="spellStart"/>
      <w:r w:rsidR="00784835" w:rsidRPr="00E726E6">
        <w:rPr>
          <w:rFonts w:ascii="Times New Roman" w:eastAsia="Times New Roman" w:hAnsi="Times New Roman" w:cs="Times New Roman"/>
          <w:sz w:val="24"/>
          <w:szCs w:val="24"/>
        </w:rPr>
        <w:t>organised</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 xml:space="preserve">marketing, all of </w:t>
      </w:r>
      <w:r w:rsidR="00784835" w:rsidRPr="00E726E6">
        <w:rPr>
          <w:rFonts w:ascii="Times New Roman" w:eastAsia="Times New Roman" w:hAnsi="Times New Roman" w:cs="Times New Roman"/>
          <w:sz w:val="24"/>
          <w:szCs w:val="24"/>
        </w:rPr>
        <w:t xml:space="preserve">which </w:t>
      </w:r>
      <w:r w:rsidRPr="00E726E6">
        <w:rPr>
          <w:rFonts w:ascii="Times New Roman" w:eastAsia="Times New Roman" w:hAnsi="Times New Roman" w:cs="Times New Roman"/>
          <w:sz w:val="24"/>
          <w:szCs w:val="24"/>
        </w:rPr>
        <w:t>contributed to higher productivity and better economic outcomes. Strengthening FPOs</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support services and encouraging broader farmer participation could help to bridge the efficiency gap and promote more sustainable and profitable livestock farming practices.</w:t>
      </w:r>
    </w:p>
    <w:p w14:paraId="0E77DA2E" w14:textId="77777777" w:rsidR="00AD5E7C" w:rsidRPr="00E726E6" w:rsidRDefault="00CB761C" w:rsidP="00AD5E7C">
      <w:pPr>
        <w:spacing w:after="0" w:line="360" w:lineRule="auto"/>
        <w:jc w:val="both"/>
        <w:rPr>
          <w:rFonts w:ascii="Times New Roman" w:eastAsia="Times New Roman" w:hAnsi="Times New Roman" w:cs="Times New Roman"/>
          <w:sz w:val="24"/>
          <w:szCs w:val="24"/>
        </w:rPr>
      </w:pPr>
      <w:r w:rsidRPr="00E726E6">
        <w:rPr>
          <w:rFonts w:ascii="Times New Roman" w:eastAsia="Times New Roman" w:hAnsi="Times New Roman" w:cs="Times New Roman"/>
          <w:b/>
          <w:bCs/>
          <w:sz w:val="24"/>
          <w:szCs w:val="24"/>
        </w:rPr>
        <w:t xml:space="preserve">CONCLUSION </w:t>
      </w:r>
    </w:p>
    <w:p w14:paraId="26F9C2FF" w14:textId="27E1C3A3" w:rsidR="00966ABC" w:rsidRPr="00E726E6" w:rsidRDefault="00966ABC" w:rsidP="00966ABC">
      <w:pPr>
        <w:spacing w:after="0" w:line="360" w:lineRule="auto"/>
        <w:ind w:firstLine="720"/>
        <w:jc w:val="both"/>
      </w:pPr>
      <w:r w:rsidRPr="00E726E6">
        <w:rPr>
          <w:rFonts w:ascii="Times New Roman" w:eastAsia="Times New Roman" w:hAnsi="Times New Roman" w:cs="Times New Roman"/>
          <w:sz w:val="24"/>
          <w:szCs w:val="24"/>
        </w:rPr>
        <w:t xml:space="preserve">The analysis revealed that </w:t>
      </w:r>
      <w:r w:rsidR="00784835" w:rsidRPr="00E726E6">
        <w:rPr>
          <w:rFonts w:ascii="Times New Roman" w:eastAsia="Times New Roman" w:hAnsi="Times New Roman" w:cs="Times New Roman"/>
          <w:sz w:val="24"/>
          <w:szCs w:val="24"/>
        </w:rPr>
        <w:t>Farmer-</w:t>
      </w:r>
      <w:r w:rsidRPr="00E726E6">
        <w:rPr>
          <w:rFonts w:ascii="Times New Roman" w:eastAsia="Times New Roman" w:hAnsi="Times New Roman" w:cs="Times New Roman"/>
          <w:sz w:val="24"/>
          <w:szCs w:val="24"/>
        </w:rPr>
        <w:t xml:space="preserve">Producer </w:t>
      </w:r>
      <w:proofErr w:type="spellStart"/>
      <w:r w:rsidR="00784835" w:rsidRPr="00E726E6">
        <w:rPr>
          <w:rFonts w:ascii="Times New Roman" w:eastAsia="Times New Roman" w:hAnsi="Times New Roman" w:cs="Times New Roman"/>
          <w:sz w:val="24"/>
          <w:szCs w:val="24"/>
        </w:rPr>
        <w:t>Organisations</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 xml:space="preserve">(FPOs) had a significant positive impact on </w:t>
      </w:r>
      <w:r w:rsidR="00784835" w:rsidRPr="00E726E6">
        <w:rPr>
          <w:rFonts w:ascii="Times New Roman" w:eastAsia="Times New Roman" w:hAnsi="Times New Roman" w:cs="Times New Roman"/>
          <w:sz w:val="24"/>
          <w:szCs w:val="24"/>
        </w:rPr>
        <w:t xml:space="preserve">the </w:t>
      </w:r>
      <w:r w:rsidRPr="00E726E6">
        <w:rPr>
          <w:rFonts w:ascii="Times New Roman" w:eastAsia="Times New Roman" w:hAnsi="Times New Roman" w:cs="Times New Roman"/>
          <w:sz w:val="24"/>
          <w:szCs w:val="24"/>
        </w:rPr>
        <w:t>farm economy across various sectors, including agriculture, horticulture, vegetable production, and livestock rearing. Member farmers consistently exhibited higher technical, economic, and scale efficiencies compared to non-members, highlighting the benefits of collective resource management, better market access, and enhanced technical knowledge. Although non-members demonstrated relatively high allocative efficiency in some cases, their lower technical efficiency limited overall economic gains. FPOs</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membership helped farmers </w:t>
      </w:r>
      <w:proofErr w:type="spellStart"/>
      <w:r w:rsidR="00784835" w:rsidRPr="00E726E6">
        <w:rPr>
          <w:rFonts w:ascii="Times New Roman" w:eastAsia="Times New Roman" w:hAnsi="Times New Roman" w:cs="Times New Roman"/>
          <w:sz w:val="24"/>
          <w:szCs w:val="24"/>
        </w:rPr>
        <w:t>optimise</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 xml:space="preserve">production processes, reduce costs, and improve profitability, </w:t>
      </w:r>
      <w:proofErr w:type="spellStart"/>
      <w:r w:rsidR="00784835" w:rsidRPr="00E726E6">
        <w:rPr>
          <w:rFonts w:ascii="Times New Roman" w:eastAsia="Times New Roman" w:hAnsi="Times New Roman" w:cs="Times New Roman"/>
          <w:sz w:val="24"/>
          <w:szCs w:val="24"/>
        </w:rPr>
        <w:t>emphasising</w:t>
      </w:r>
      <w:proofErr w:type="spellEnd"/>
      <w:r w:rsidR="00784835" w:rsidRPr="00E726E6">
        <w:rPr>
          <w:rFonts w:ascii="Times New Roman" w:eastAsia="Times New Roman" w:hAnsi="Times New Roman" w:cs="Times New Roman"/>
          <w:sz w:val="24"/>
          <w:szCs w:val="24"/>
        </w:rPr>
        <w:t xml:space="preserve"> </w:t>
      </w:r>
      <w:r w:rsidRPr="00E726E6">
        <w:rPr>
          <w:rFonts w:ascii="Times New Roman" w:eastAsia="Times New Roman" w:hAnsi="Times New Roman" w:cs="Times New Roman"/>
          <w:sz w:val="24"/>
          <w:szCs w:val="24"/>
        </w:rPr>
        <w:t>the importance of strengthening FPOs to enhance farm sustainability and rural livelihoods.</w:t>
      </w:r>
      <w:r w:rsidRPr="00E726E6">
        <w:t xml:space="preserve"> </w:t>
      </w:r>
    </w:p>
    <w:p w14:paraId="56BA7186" w14:textId="4ABC77CD" w:rsidR="00966ABC" w:rsidRDefault="00966ABC" w:rsidP="00966ABC">
      <w:pPr>
        <w:spacing w:after="0" w:line="360" w:lineRule="auto"/>
        <w:ind w:firstLine="720"/>
        <w:jc w:val="both"/>
        <w:rPr>
          <w:rFonts w:ascii="Times New Roman" w:eastAsia="Times New Roman" w:hAnsi="Times New Roman" w:cs="Times New Roman"/>
          <w:sz w:val="24"/>
          <w:szCs w:val="24"/>
        </w:rPr>
      </w:pPr>
      <w:r w:rsidRPr="00E726E6">
        <w:rPr>
          <w:rFonts w:ascii="Times New Roman" w:eastAsia="Times New Roman" w:hAnsi="Times New Roman" w:cs="Times New Roman"/>
          <w:sz w:val="24"/>
          <w:szCs w:val="24"/>
        </w:rPr>
        <w:t>From the above results</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it is concluded that the null hypothesis put forth that there is no significant impact of FPO on farmers</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income is rejected</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a</w:t>
      </w:r>
      <w:r w:rsidR="008E76DE" w:rsidRPr="00E726E6">
        <w:rPr>
          <w:rFonts w:ascii="Times New Roman" w:eastAsia="Times New Roman" w:hAnsi="Times New Roman" w:cs="Times New Roman"/>
          <w:sz w:val="24"/>
          <w:szCs w:val="24"/>
        </w:rPr>
        <w:t xml:space="preserve">nd hence the </w:t>
      </w:r>
      <w:r w:rsidRPr="00E726E6">
        <w:rPr>
          <w:rFonts w:ascii="Times New Roman" w:eastAsia="Times New Roman" w:hAnsi="Times New Roman" w:cs="Times New Roman"/>
          <w:sz w:val="24"/>
          <w:szCs w:val="24"/>
        </w:rPr>
        <w:t xml:space="preserve">alternative hypothesis that there is </w:t>
      </w:r>
      <w:r w:rsidR="00784835" w:rsidRPr="00E726E6">
        <w:rPr>
          <w:rFonts w:ascii="Times New Roman" w:eastAsia="Times New Roman" w:hAnsi="Times New Roman" w:cs="Times New Roman"/>
          <w:sz w:val="24"/>
          <w:szCs w:val="24"/>
        </w:rPr>
        <w:t xml:space="preserve">a </w:t>
      </w:r>
      <w:r w:rsidRPr="00E726E6">
        <w:rPr>
          <w:rFonts w:ascii="Times New Roman" w:eastAsia="Times New Roman" w:hAnsi="Times New Roman" w:cs="Times New Roman"/>
          <w:sz w:val="24"/>
          <w:szCs w:val="24"/>
        </w:rPr>
        <w:t>significant impact of FPO on farmers</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income</w:t>
      </w:r>
      <w:r w:rsidR="00784835" w:rsidRPr="00E726E6">
        <w:rPr>
          <w:rFonts w:ascii="Times New Roman" w:eastAsia="Times New Roman" w:hAnsi="Times New Roman" w:cs="Times New Roman"/>
          <w:sz w:val="24"/>
          <w:szCs w:val="24"/>
        </w:rPr>
        <w:t>,</w:t>
      </w:r>
      <w:r w:rsidRPr="00E726E6">
        <w:rPr>
          <w:rFonts w:ascii="Times New Roman" w:eastAsia="Times New Roman" w:hAnsi="Times New Roman" w:cs="Times New Roman"/>
          <w:sz w:val="24"/>
          <w:szCs w:val="24"/>
        </w:rPr>
        <w:t xml:space="preserve"> is accepted. Similar results were noted by </w:t>
      </w:r>
      <w:proofErr w:type="spellStart"/>
      <w:r w:rsidRPr="00E726E6">
        <w:rPr>
          <w:rFonts w:ascii="Times New Roman" w:eastAsia="Times New Roman" w:hAnsi="Times New Roman" w:cs="Times New Roman"/>
          <w:bCs/>
          <w:sz w:val="24"/>
          <w:szCs w:val="24"/>
        </w:rPr>
        <w:t>Prabhavati</w:t>
      </w:r>
      <w:proofErr w:type="spellEnd"/>
      <w:r w:rsidRPr="00E726E6">
        <w:rPr>
          <w:rFonts w:ascii="Times New Roman" w:eastAsia="Times New Roman" w:hAnsi="Times New Roman" w:cs="Times New Roman"/>
          <w:bCs/>
          <w:sz w:val="24"/>
          <w:szCs w:val="24"/>
        </w:rPr>
        <w:t xml:space="preserve"> </w:t>
      </w:r>
      <w:commentRangeStart w:id="14"/>
      <w:r w:rsidRPr="00E726E6">
        <w:rPr>
          <w:rFonts w:ascii="Times New Roman" w:eastAsia="Times New Roman" w:hAnsi="Times New Roman" w:cs="Times New Roman"/>
          <w:bCs/>
          <w:sz w:val="24"/>
          <w:szCs w:val="24"/>
        </w:rPr>
        <w:t xml:space="preserve">et </w:t>
      </w:r>
      <w:r w:rsidRPr="00E726E6">
        <w:rPr>
          <w:rFonts w:ascii="Times New Roman" w:eastAsia="Times New Roman" w:hAnsi="Times New Roman" w:cs="Times New Roman"/>
          <w:bCs/>
          <w:i/>
          <w:sz w:val="24"/>
          <w:szCs w:val="24"/>
        </w:rPr>
        <w:t>al</w:t>
      </w:r>
      <w:commentRangeEnd w:id="14"/>
      <w:r w:rsidR="006362B3" w:rsidRPr="00E726E6">
        <w:rPr>
          <w:rStyle w:val="AklamaBavurusu"/>
        </w:rPr>
        <w:commentReference w:id="14"/>
      </w:r>
      <w:r w:rsidRPr="00E726E6">
        <w:rPr>
          <w:rFonts w:ascii="Times New Roman" w:eastAsia="Times New Roman" w:hAnsi="Times New Roman" w:cs="Times New Roman"/>
          <w:bCs/>
          <w:sz w:val="24"/>
          <w:szCs w:val="24"/>
        </w:rPr>
        <w:t>,2022 and Singh</w:t>
      </w:r>
      <w:r w:rsidRPr="00773315">
        <w:rPr>
          <w:rFonts w:ascii="Times New Roman" w:eastAsia="Times New Roman" w:hAnsi="Times New Roman" w:cs="Times New Roman"/>
          <w:bCs/>
          <w:sz w:val="24"/>
          <w:szCs w:val="24"/>
        </w:rPr>
        <w:t xml:space="preserve"> and Vatta,2019</w:t>
      </w:r>
      <w:r>
        <w:rPr>
          <w:rFonts w:ascii="Times New Roman" w:eastAsia="Times New Roman" w:hAnsi="Times New Roman" w:cs="Times New Roman"/>
          <w:sz w:val="24"/>
          <w:szCs w:val="24"/>
        </w:rPr>
        <w:t>.</w:t>
      </w:r>
    </w:p>
    <w:p w14:paraId="49A2070F" w14:textId="77777777" w:rsidR="00966ABC" w:rsidRDefault="00966ABC" w:rsidP="00CB761C">
      <w:pPr>
        <w:spacing w:after="0" w:line="360" w:lineRule="auto"/>
        <w:jc w:val="both"/>
        <w:rPr>
          <w:rFonts w:ascii="Times New Roman" w:eastAsia="Times New Roman" w:hAnsi="Times New Roman" w:cs="Times New Roman"/>
          <w:b/>
          <w:bCs/>
          <w:sz w:val="24"/>
          <w:szCs w:val="24"/>
        </w:rPr>
      </w:pPr>
    </w:p>
    <w:p w14:paraId="67F59B12" w14:textId="77777777" w:rsidR="009C0EAD" w:rsidRDefault="009C0EAD" w:rsidP="009C0EAD">
      <w:pPr>
        <w:tabs>
          <w:tab w:val="left" w:pos="4011"/>
        </w:tabs>
        <w:rPr>
          <w:rFonts w:ascii="Times New Roman" w:hAnsi="Times New Roman" w:cs="Times New Roman"/>
          <w:b/>
          <w:sz w:val="24"/>
        </w:rPr>
      </w:pPr>
      <w:r>
        <w:rPr>
          <w:rFonts w:ascii="Times New Roman" w:eastAsia="Times New Roman" w:hAnsi="Times New Roman" w:cs="Times New Roman"/>
          <w:b/>
          <w:bCs/>
          <w:sz w:val="24"/>
          <w:szCs w:val="24"/>
        </w:rPr>
        <w:br w:type="page"/>
      </w:r>
    </w:p>
    <w:p w14:paraId="544AEC76" w14:textId="77777777" w:rsidR="009C0EAD" w:rsidRDefault="009C0EAD" w:rsidP="009C0EAD">
      <w:pPr>
        <w:pStyle w:val="ResimYazs"/>
        <w:spacing w:line="360" w:lineRule="auto"/>
        <w:jc w:val="both"/>
        <w:rPr>
          <w:sz w:val="24"/>
        </w:rPr>
      </w:pPr>
      <w:r w:rsidRPr="00764E71">
        <w:rPr>
          <w:noProof/>
          <w:sz w:val="22"/>
          <w:lang w:val="tr-TR" w:eastAsia="tr-TR"/>
        </w:rPr>
        <w:lastRenderedPageBreak/>
        <w:drawing>
          <wp:inline distT="0" distB="0" distL="0" distR="0" wp14:anchorId="08A95575" wp14:editId="6340145C">
            <wp:extent cx="5634181" cy="3611418"/>
            <wp:effectExtent l="0" t="0" r="24130" b="27305"/>
            <wp:docPr id="13" name="Chart 13" title="Average Efficiency of sample of agril. commodity Farm"/>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5E4C6C"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11A6B81C" w14:textId="77777777" w:rsidR="009C0EAD"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43F1BABA" w14:textId="77777777" w:rsidR="009C0EAD" w:rsidRPr="00994F9F" w:rsidRDefault="009C0EAD" w:rsidP="009C0EAD">
      <w:pPr>
        <w:spacing w:line="240" w:lineRule="auto"/>
        <w:jc w:val="both"/>
        <w:rPr>
          <w:rFonts w:ascii="Times New Roman" w:hAnsi="Times New Roman" w:cs="Times New Roman"/>
          <w:b/>
          <w:bCs/>
          <w:sz w:val="24"/>
          <w:szCs w:val="24"/>
        </w:rPr>
      </w:pPr>
    </w:p>
    <w:p w14:paraId="2B954006" w14:textId="77777777" w:rsidR="009C0EAD" w:rsidRPr="001F7138" w:rsidRDefault="009C0EAD" w:rsidP="009C0EAD">
      <w:r w:rsidRPr="00444AB7">
        <w:rPr>
          <w:b/>
          <w:noProof/>
          <w:lang w:val="tr-TR" w:eastAsia="tr-TR"/>
        </w:rPr>
        <w:drawing>
          <wp:inline distT="0" distB="0" distL="0" distR="0" wp14:anchorId="2C5A09BB" wp14:editId="15340B86">
            <wp:extent cx="5708072" cy="3251200"/>
            <wp:effectExtent l="0" t="0" r="26035" b="2540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C5E07A" w14:textId="77777777" w:rsidR="009C0EAD" w:rsidRDefault="009C0EAD" w:rsidP="009C0EAD">
      <w:pPr>
        <w:pStyle w:val="ResimYazs"/>
        <w:spacing w:line="360" w:lineRule="auto"/>
        <w:jc w:val="center"/>
        <w:rPr>
          <w:sz w:val="24"/>
        </w:rPr>
      </w:pPr>
      <w:r>
        <w:rPr>
          <w:sz w:val="24"/>
        </w:rPr>
        <w:t>Fig 1</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w:t>
      </w:r>
    </w:p>
    <w:p w14:paraId="1D4167F0" w14:textId="77777777" w:rsidR="009C0EAD" w:rsidRDefault="009C0EAD" w:rsidP="009C0EAD">
      <w:pPr>
        <w:pStyle w:val="ResimYazs"/>
        <w:spacing w:line="360" w:lineRule="auto"/>
        <w:jc w:val="center"/>
        <w:rPr>
          <w:sz w:val="24"/>
        </w:rPr>
      </w:pPr>
      <w:r>
        <w:rPr>
          <w:sz w:val="24"/>
        </w:rPr>
        <w:t>of Sample</w:t>
      </w:r>
      <w:r w:rsidRPr="00D70B4A">
        <w:rPr>
          <w:sz w:val="24"/>
        </w:rPr>
        <w:t xml:space="preserve"> </w:t>
      </w:r>
      <w:proofErr w:type="spellStart"/>
      <w:r w:rsidRPr="00D70B4A">
        <w:rPr>
          <w:sz w:val="24"/>
        </w:rPr>
        <w:t>Agril</w:t>
      </w:r>
      <w:proofErr w:type="spellEnd"/>
      <w:r w:rsidRPr="00D70B4A">
        <w:rPr>
          <w:sz w:val="24"/>
        </w:rPr>
        <w:t>. Commodity</w:t>
      </w:r>
      <w:r>
        <w:rPr>
          <w:sz w:val="24"/>
        </w:rPr>
        <w:t xml:space="preserve"> (Soybean) </w:t>
      </w:r>
      <w:r w:rsidRPr="00D70B4A">
        <w:rPr>
          <w:sz w:val="24"/>
        </w:rPr>
        <w:t>Farms</w:t>
      </w:r>
    </w:p>
    <w:p w14:paraId="713D1DD4" w14:textId="77777777" w:rsidR="009C0EAD" w:rsidRDefault="009C0EAD" w:rsidP="009C0EAD">
      <w:pPr>
        <w:tabs>
          <w:tab w:val="left" w:pos="4011"/>
        </w:tabs>
        <w:rPr>
          <w:rFonts w:ascii="Times New Roman" w:hAnsi="Times New Roman" w:cs="Times New Roman"/>
          <w:b/>
          <w:sz w:val="24"/>
        </w:rPr>
      </w:pPr>
    </w:p>
    <w:p w14:paraId="50AE3E55" w14:textId="77777777" w:rsidR="009C0EAD" w:rsidRDefault="009C0EAD" w:rsidP="009C0EAD">
      <w:pPr>
        <w:tabs>
          <w:tab w:val="left" w:pos="4011"/>
        </w:tabs>
        <w:jc w:val="center"/>
        <w:rPr>
          <w:rFonts w:ascii="Times New Roman" w:hAnsi="Times New Roman" w:cs="Times New Roman"/>
          <w:b/>
          <w:sz w:val="24"/>
        </w:rPr>
      </w:pPr>
      <w:r w:rsidRPr="00994F9F">
        <w:rPr>
          <w:noProof/>
          <w:color w:val="FF0000"/>
          <w:lang w:val="tr-TR" w:eastAsia="tr-TR"/>
        </w:rPr>
        <w:lastRenderedPageBreak/>
        <w:drawing>
          <wp:inline distT="0" distB="0" distL="0" distR="0" wp14:anchorId="08AADD30" wp14:editId="1DF4352F">
            <wp:extent cx="5708073" cy="3435927"/>
            <wp:effectExtent l="0" t="0" r="26035" b="1270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9A2782"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7FEA7DE4" w14:textId="77777777" w:rsidR="009C0EAD"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61EC8199" w14:textId="77777777" w:rsidR="009C0EAD" w:rsidRDefault="009C0EAD" w:rsidP="009C0EAD">
      <w:pPr>
        <w:tabs>
          <w:tab w:val="left" w:pos="4011"/>
        </w:tabs>
        <w:rPr>
          <w:rFonts w:ascii="Times New Roman" w:hAnsi="Times New Roman" w:cs="Times New Roman"/>
          <w:b/>
          <w:sz w:val="24"/>
        </w:rPr>
      </w:pPr>
    </w:p>
    <w:p w14:paraId="4934A878" w14:textId="77777777" w:rsidR="009C0EAD" w:rsidRDefault="009C0EAD" w:rsidP="009C0EAD">
      <w:pPr>
        <w:tabs>
          <w:tab w:val="left" w:pos="4011"/>
        </w:tabs>
        <w:jc w:val="center"/>
        <w:rPr>
          <w:rFonts w:ascii="Times New Roman" w:hAnsi="Times New Roman" w:cs="Times New Roman"/>
          <w:b/>
          <w:sz w:val="24"/>
        </w:rPr>
      </w:pPr>
      <w:r w:rsidRPr="00444AB7">
        <w:rPr>
          <w:b/>
          <w:noProof/>
          <w:lang w:val="tr-TR" w:eastAsia="tr-TR"/>
        </w:rPr>
        <w:drawing>
          <wp:inline distT="0" distB="0" distL="0" distR="0" wp14:anchorId="3CA90F23" wp14:editId="3CB67AFF">
            <wp:extent cx="5708073" cy="3408218"/>
            <wp:effectExtent l="0" t="0" r="26035" b="2095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2FCDED" w14:textId="77777777" w:rsidR="009C0EAD" w:rsidRDefault="009C0EAD" w:rsidP="009C0EAD">
      <w:pPr>
        <w:pStyle w:val="ResimYazs"/>
        <w:spacing w:line="360" w:lineRule="auto"/>
        <w:jc w:val="center"/>
        <w:rPr>
          <w:sz w:val="24"/>
        </w:rPr>
      </w:pPr>
      <w:r>
        <w:rPr>
          <w:sz w:val="24"/>
        </w:rPr>
        <w:t>Fig 2</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 of</w:t>
      </w:r>
    </w:p>
    <w:p w14:paraId="38FBB7C4" w14:textId="77777777" w:rsidR="009C0EAD" w:rsidRDefault="009C0EAD" w:rsidP="009C0EAD">
      <w:pPr>
        <w:pStyle w:val="ResimYazs"/>
        <w:spacing w:line="360" w:lineRule="auto"/>
        <w:jc w:val="center"/>
        <w:rPr>
          <w:sz w:val="24"/>
        </w:rPr>
      </w:pPr>
      <w:r w:rsidRPr="00D70B4A">
        <w:rPr>
          <w:sz w:val="24"/>
        </w:rPr>
        <w:t xml:space="preserve">Sample </w:t>
      </w:r>
      <w:r>
        <w:rPr>
          <w:sz w:val="24"/>
        </w:rPr>
        <w:t xml:space="preserve">Vegetable (Onion) </w:t>
      </w:r>
      <w:r w:rsidRPr="00D70B4A">
        <w:rPr>
          <w:sz w:val="24"/>
        </w:rPr>
        <w:t>Farms</w:t>
      </w:r>
    </w:p>
    <w:p w14:paraId="2BC5BCA9" w14:textId="77777777" w:rsidR="009C0EAD" w:rsidRDefault="009C0EAD" w:rsidP="009C0EAD"/>
    <w:p w14:paraId="5BE36CCB" w14:textId="77777777" w:rsidR="009C0EAD" w:rsidRPr="004B6146" w:rsidRDefault="009C0EAD" w:rsidP="009C0EAD">
      <w:r w:rsidRPr="004B6146">
        <w:rPr>
          <w:b/>
          <w:noProof/>
          <w:lang w:val="tr-TR" w:eastAsia="tr-TR"/>
        </w:rPr>
        <w:lastRenderedPageBreak/>
        <w:drawing>
          <wp:inline distT="0" distB="0" distL="0" distR="0" wp14:anchorId="3F9954D7" wp14:editId="78588B87">
            <wp:extent cx="5791200" cy="3158836"/>
            <wp:effectExtent l="0" t="0" r="19050" b="2286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D199F0"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0A0B5F23"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714D781C" w14:textId="77777777" w:rsidR="009C0EAD" w:rsidRDefault="009C0EAD" w:rsidP="009C0EAD">
      <w:pPr>
        <w:tabs>
          <w:tab w:val="left" w:pos="4011"/>
        </w:tabs>
        <w:jc w:val="center"/>
        <w:rPr>
          <w:rFonts w:ascii="Times New Roman" w:hAnsi="Times New Roman" w:cs="Times New Roman"/>
          <w:b/>
          <w:sz w:val="24"/>
        </w:rPr>
      </w:pPr>
    </w:p>
    <w:p w14:paraId="4405C56E" w14:textId="77777777" w:rsidR="009C0EAD" w:rsidRDefault="009C0EAD" w:rsidP="009C0EAD">
      <w:pPr>
        <w:tabs>
          <w:tab w:val="left" w:pos="6298"/>
        </w:tabs>
        <w:rPr>
          <w:rFonts w:ascii="Times New Roman" w:hAnsi="Times New Roman" w:cs="Times New Roman"/>
          <w:sz w:val="24"/>
        </w:rPr>
      </w:pPr>
      <w:r>
        <w:rPr>
          <w:noProof/>
          <w:lang w:val="tr-TR" w:eastAsia="tr-TR"/>
        </w:rPr>
        <w:drawing>
          <wp:inline distT="0" distB="0" distL="0" distR="0" wp14:anchorId="77EDA88F" wp14:editId="73687327">
            <wp:extent cx="5791200" cy="3343563"/>
            <wp:effectExtent l="0" t="0" r="19050"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73DF29" w14:textId="1B1B1956" w:rsidR="009C0EAD" w:rsidRDefault="009C0EAD" w:rsidP="009C0EAD">
      <w:pPr>
        <w:pStyle w:val="ResimYazs"/>
        <w:spacing w:line="360" w:lineRule="auto"/>
        <w:jc w:val="center"/>
        <w:rPr>
          <w:sz w:val="24"/>
        </w:rPr>
      </w:pPr>
      <w:r>
        <w:rPr>
          <w:sz w:val="24"/>
        </w:rPr>
        <w:t>Fig 3</w:t>
      </w:r>
      <w:r w:rsidRPr="00CB58BB">
        <w:rPr>
          <w:sz w:val="24"/>
        </w:rPr>
        <w:t>.</w:t>
      </w:r>
      <w:r>
        <w:rPr>
          <w:b w:val="0"/>
          <w:sz w:val="24"/>
        </w:rPr>
        <w:t xml:space="preserve"> </w:t>
      </w:r>
      <w:r>
        <w:rPr>
          <w:sz w:val="24"/>
        </w:rPr>
        <w:t xml:space="preserve">Average Efficiencies and </w:t>
      </w:r>
      <w:r w:rsidR="00784835">
        <w:rPr>
          <w:sz w:val="24"/>
        </w:rPr>
        <w:t xml:space="preserve">their </w:t>
      </w:r>
      <w:r w:rsidRPr="00D70B4A">
        <w:rPr>
          <w:sz w:val="24"/>
        </w:rPr>
        <w:t>Distribution According to Technical Efficiencies of</w:t>
      </w:r>
    </w:p>
    <w:p w14:paraId="7444E555" w14:textId="77777777" w:rsidR="009C0EAD" w:rsidRDefault="009C0EAD" w:rsidP="009C0EAD">
      <w:pPr>
        <w:pStyle w:val="ResimYazs"/>
        <w:spacing w:line="360" w:lineRule="auto"/>
        <w:jc w:val="center"/>
        <w:rPr>
          <w:sz w:val="24"/>
        </w:rPr>
      </w:pPr>
      <w:r>
        <w:rPr>
          <w:sz w:val="24"/>
        </w:rPr>
        <w:t xml:space="preserve">Sample Fruits (Pomegranate) </w:t>
      </w:r>
      <w:r w:rsidRPr="00D70B4A">
        <w:rPr>
          <w:sz w:val="24"/>
        </w:rPr>
        <w:t>Farms</w:t>
      </w:r>
    </w:p>
    <w:p w14:paraId="121EEBFD" w14:textId="77777777" w:rsidR="009C0EAD" w:rsidRDefault="009C0EAD" w:rsidP="009C0EAD">
      <w:pPr>
        <w:jc w:val="center"/>
      </w:pPr>
    </w:p>
    <w:p w14:paraId="474FF0FF" w14:textId="77777777" w:rsidR="009C0EAD" w:rsidRDefault="009C0EAD" w:rsidP="009C0EAD">
      <w:pPr>
        <w:tabs>
          <w:tab w:val="left" w:pos="2938"/>
        </w:tabs>
        <w:rPr>
          <w:rFonts w:ascii="Times New Roman" w:hAnsi="Times New Roman" w:cs="Times New Roman"/>
          <w:sz w:val="24"/>
        </w:rPr>
      </w:pPr>
      <w:r>
        <w:rPr>
          <w:noProof/>
          <w:lang w:val="tr-TR" w:eastAsia="tr-TR"/>
        </w:rPr>
        <w:lastRenderedPageBreak/>
        <w:drawing>
          <wp:inline distT="0" distB="0" distL="0" distR="0" wp14:anchorId="09168D17" wp14:editId="412F70D0">
            <wp:extent cx="5754254" cy="3583709"/>
            <wp:effectExtent l="0" t="0" r="18415" b="1714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DD474B"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2404EE3A"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6C33E2B6" w14:textId="77777777" w:rsidR="009C0EAD" w:rsidRDefault="009C0EAD" w:rsidP="009C0EAD">
      <w:pPr>
        <w:tabs>
          <w:tab w:val="left" w:pos="2938"/>
        </w:tabs>
        <w:rPr>
          <w:rFonts w:ascii="Times New Roman" w:hAnsi="Times New Roman" w:cs="Times New Roman"/>
          <w:sz w:val="24"/>
        </w:rPr>
      </w:pPr>
    </w:p>
    <w:p w14:paraId="1D8D5070" w14:textId="77777777" w:rsidR="009C0EAD" w:rsidRDefault="009C0EAD" w:rsidP="009C0EAD">
      <w:pPr>
        <w:tabs>
          <w:tab w:val="left" w:pos="2938"/>
        </w:tabs>
        <w:rPr>
          <w:rFonts w:ascii="Times New Roman" w:hAnsi="Times New Roman" w:cs="Times New Roman"/>
          <w:sz w:val="24"/>
        </w:rPr>
      </w:pPr>
      <w:r>
        <w:rPr>
          <w:noProof/>
          <w:lang w:val="tr-TR" w:eastAsia="tr-TR"/>
        </w:rPr>
        <w:drawing>
          <wp:inline distT="0" distB="0" distL="0" distR="0" wp14:anchorId="5407C403" wp14:editId="48F788DF">
            <wp:extent cx="5828145" cy="3472873"/>
            <wp:effectExtent l="0" t="0" r="20320" b="1333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5396F4" w14:textId="79A7B8E7" w:rsidR="009C0EAD" w:rsidRDefault="009C0EAD" w:rsidP="009C0EAD">
      <w:pPr>
        <w:pStyle w:val="ResimYazs"/>
        <w:spacing w:line="360" w:lineRule="auto"/>
        <w:jc w:val="center"/>
        <w:rPr>
          <w:sz w:val="24"/>
        </w:rPr>
      </w:pPr>
      <w:r>
        <w:rPr>
          <w:sz w:val="24"/>
        </w:rPr>
        <w:t>Fig 4</w:t>
      </w:r>
      <w:r w:rsidRPr="00CB58BB">
        <w:rPr>
          <w:sz w:val="24"/>
        </w:rPr>
        <w:t>.</w:t>
      </w:r>
      <w:r>
        <w:rPr>
          <w:b w:val="0"/>
          <w:sz w:val="24"/>
        </w:rPr>
        <w:t xml:space="preserve"> </w:t>
      </w:r>
      <w:r>
        <w:rPr>
          <w:sz w:val="24"/>
        </w:rPr>
        <w:t xml:space="preserve">Average Efficiencies </w:t>
      </w:r>
      <w:r w:rsidRPr="008F4347">
        <w:rPr>
          <w:sz w:val="24"/>
          <w:highlight w:val="yellow"/>
        </w:rPr>
        <w:t xml:space="preserve">and </w:t>
      </w:r>
      <w:r w:rsidR="00784835" w:rsidRPr="008F4347">
        <w:rPr>
          <w:sz w:val="24"/>
          <w:highlight w:val="yellow"/>
        </w:rPr>
        <w:t xml:space="preserve">their </w:t>
      </w:r>
      <w:r w:rsidRPr="008F4347">
        <w:rPr>
          <w:sz w:val="24"/>
          <w:highlight w:val="yellow"/>
        </w:rPr>
        <w:t xml:space="preserve">Distribution According to </w:t>
      </w:r>
      <w:r w:rsidR="00784835" w:rsidRPr="008F4347">
        <w:rPr>
          <w:sz w:val="24"/>
          <w:highlight w:val="yellow"/>
        </w:rPr>
        <w:t xml:space="preserve">the </w:t>
      </w:r>
      <w:r w:rsidRPr="008F4347">
        <w:rPr>
          <w:sz w:val="24"/>
          <w:highlight w:val="yellow"/>
        </w:rPr>
        <w:t>Technical</w:t>
      </w:r>
      <w:r w:rsidRPr="00D70B4A">
        <w:rPr>
          <w:sz w:val="24"/>
        </w:rPr>
        <w:t xml:space="preserve"> Efficiencies of</w:t>
      </w:r>
    </w:p>
    <w:p w14:paraId="0ED2E64F" w14:textId="326D6CC1" w:rsidR="009C0EAD" w:rsidRPr="00E726E6" w:rsidRDefault="009C0EAD" w:rsidP="009C0EAD">
      <w:pPr>
        <w:pStyle w:val="ResimYazs"/>
        <w:spacing w:line="360" w:lineRule="auto"/>
        <w:jc w:val="center"/>
        <w:rPr>
          <w:sz w:val="24"/>
        </w:rPr>
      </w:pPr>
      <w:r w:rsidRPr="00E726E6">
        <w:rPr>
          <w:sz w:val="24"/>
        </w:rPr>
        <w:lastRenderedPageBreak/>
        <w:t xml:space="preserve">Sample Livestock </w:t>
      </w:r>
      <w:r w:rsidR="00784835" w:rsidRPr="00E726E6">
        <w:rPr>
          <w:sz w:val="24"/>
        </w:rPr>
        <w:t xml:space="preserve">Rearing </w:t>
      </w:r>
      <w:r w:rsidRPr="00E726E6">
        <w:rPr>
          <w:sz w:val="24"/>
        </w:rPr>
        <w:t>(Goat) Farms</w:t>
      </w:r>
    </w:p>
    <w:p w14:paraId="4BDA2C1B" w14:textId="77777777" w:rsidR="00CB761C" w:rsidRPr="00E726E6" w:rsidRDefault="00CB761C" w:rsidP="009C0EAD">
      <w:pPr>
        <w:pStyle w:val="ResimYazs"/>
        <w:spacing w:line="360" w:lineRule="auto"/>
        <w:rPr>
          <w:sz w:val="24"/>
        </w:rPr>
      </w:pPr>
      <w:r w:rsidRPr="00E726E6">
        <w:rPr>
          <w:sz w:val="24"/>
          <w:szCs w:val="24"/>
        </w:rPr>
        <w:t xml:space="preserve">POLICY IMPLICATIONS </w:t>
      </w:r>
    </w:p>
    <w:p w14:paraId="0BDAE59F" w14:textId="666F6CA4" w:rsidR="00A77639" w:rsidRDefault="008E76DE" w:rsidP="00A77639">
      <w:pPr>
        <w:spacing w:after="0" w:line="360" w:lineRule="auto"/>
        <w:ind w:firstLine="720"/>
        <w:jc w:val="both"/>
        <w:rPr>
          <w:rFonts w:ascii="Times New Roman" w:hAnsi="Times New Roman" w:cs="Times New Roman"/>
          <w:sz w:val="24"/>
          <w:szCs w:val="24"/>
        </w:rPr>
      </w:pPr>
      <w:r w:rsidRPr="00E726E6">
        <w:rPr>
          <w:rFonts w:ascii="Times New Roman" w:hAnsi="Times New Roman" w:cs="Times New Roman"/>
          <w:sz w:val="24"/>
          <w:szCs w:val="24"/>
        </w:rPr>
        <w:t xml:space="preserve">A focused policy should aim at </w:t>
      </w:r>
      <w:r w:rsidRPr="00E726E6">
        <w:rPr>
          <w:rStyle w:val="Gl"/>
          <w:rFonts w:ascii="Times New Roman" w:hAnsi="Times New Roman" w:cs="Times New Roman"/>
          <w:b w:val="0"/>
          <w:bCs w:val="0"/>
          <w:sz w:val="24"/>
          <w:szCs w:val="24"/>
        </w:rPr>
        <w:t xml:space="preserve">strengthening </w:t>
      </w:r>
      <w:r w:rsidR="00B525F8" w:rsidRPr="00E726E6">
        <w:rPr>
          <w:rStyle w:val="Gl"/>
          <w:rFonts w:ascii="Times New Roman" w:hAnsi="Times New Roman" w:cs="Times New Roman"/>
          <w:b w:val="0"/>
          <w:bCs w:val="0"/>
          <w:sz w:val="24"/>
          <w:szCs w:val="24"/>
        </w:rPr>
        <w:t>Farmer-</w:t>
      </w:r>
      <w:r w:rsidRPr="00E726E6">
        <w:rPr>
          <w:rStyle w:val="Gl"/>
          <w:rFonts w:ascii="Times New Roman" w:hAnsi="Times New Roman" w:cs="Times New Roman"/>
          <w:b w:val="0"/>
          <w:bCs w:val="0"/>
          <w:sz w:val="24"/>
          <w:szCs w:val="24"/>
        </w:rPr>
        <w:t xml:space="preserve">Producer </w:t>
      </w:r>
      <w:proofErr w:type="spellStart"/>
      <w:r w:rsidR="00B525F8" w:rsidRPr="00E726E6">
        <w:rPr>
          <w:rStyle w:val="Gl"/>
          <w:rFonts w:ascii="Times New Roman" w:hAnsi="Times New Roman" w:cs="Times New Roman"/>
          <w:b w:val="0"/>
          <w:bCs w:val="0"/>
          <w:sz w:val="24"/>
          <w:szCs w:val="24"/>
        </w:rPr>
        <w:t>Organisations</w:t>
      </w:r>
      <w:proofErr w:type="spellEnd"/>
      <w:r w:rsidR="00B525F8" w:rsidRPr="00E726E6">
        <w:rPr>
          <w:rStyle w:val="Gl"/>
          <w:rFonts w:ascii="Times New Roman" w:hAnsi="Times New Roman" w:cs="Times New Roman"/>
          <w:b w:val="0"/>
          <w:bCs w:val="0"/>
          <w:sz w:val="24"/>
          <w:szCs w:val="24"/>
        </w:rPr>
        <w:t xml:space="preserve"> </w:t>
      </w:r>
      <w:r w:rsidRPr="00E726E6">
        <w:rPr>
          <w:rStyle w:val="Gl"/>
          <w:rFonts w:ascii="Times New Roman" w:hAnsi="Times New Roman" w:cs="Times New Roman"/>
          <w:b w:val="0"/>
          <w:bCs w:val="0"/>
          <w:sz w:val="24"/>
          <w:szCs w:val="24"/>
        </w:rPr>
        <w:t>(FPOs) through enhanced institutional support, financial access and market linkages</w:t>
      </w:r>
      <w:r w:rsidRPr="00E726E6">
        <w:rPr>
          <w:rFonts w:ascii="Times New Roman" w:hAnsi="Times New Roman" w:cs="Times New Roman"/>
          <w:b/>
          <w:bCs/>
          <w:sz w:val="24"/>
          <w:szCs w:val="24"/>
        </w:rPr>
        <w:t>,</w:t>
      </w:r>
      <w:r w:rsidRPr="00E726E6">
        <w:rPr>
          <w:rFonts w:ascii="Times New Roman" w:hAnsi="Times New Roman" w:cs="Times New Roman"/>
          <w:sz w:val="24"/>
          <w:szCs w:val="24"/>
        </w:rPr>
        <w:t xml:space="preserve"> thereby enabling member farmers to </w:t>
      </w:r>
      <w:proofErr w:type="spellStart"/>
      <w:r w:rsidR="00B525F8" w:rsidRPr="00E726E6">
        <w:rPr>
          <w:rFonts w:ascii="Times New Roman" w:hAnsi="Times New Roman" w:cs="Times New Roman"/>
          <w:sz w:val="24"/>
          <w:szCs w:val="24"/>
        </w:rPr>
        <w:t>optimise</w:t>
      </w:r>
      <w:proofErr w:type="spellEnd"/>
      <w:r w:rsidR="00B525F8" w:rsidRPr="00E726E6">
        <w:rPr>
          <w:rFonts w:ascii="Times New Roman" w:hAnsi="Times New Roman" w:cs="Times New Roman"/>
          <w:sz w:val="24"/>
          <w:szCs w:val="24"/>
        </w:rPr>
        <w:t xml:space="preserve"> </w:t>
      </w:r>
      <w:r w:rsidRPr="00E726E6">
        <w:rPr>
          <w:rFonts w:ascii="Times New Roman" w:hAnsi="Times New Roman" w:cs="Times New Roman"/>
          <w:sz w:val="24"/>
          <w:szCs w:val="24"/>
        </w:rPr>
        <w:t>production efficiency, reduce costs and secure better prices. This integrated approach will not only improve farm-level profitability and income but also contribute to long-term farm sustainability and rural livelihood security.</w:t>
      </w:r>
    </w:p>
    <w:p w14:paraId="67A7C81F" w14:textId="77777777" w:rsidR="00A77639" w:rsidRDefault="00A77639" w:rsidP="00A77639">
      <w:pPr>
        <w:spacing w:after="0" w:line="360" w:lineRule="auto"/>
        <w:jc w:val="both"/>
        <w:rPr>
          <w:rFonts w:ascii="Times New Roman" w:hAnsi="Times New Roman" w:cs="Times New Roman"/>
          <w:b/>
          <w:bCs/>
          <w:sz w:val="24"/>
          <w:szCs w:val="24"/>
        </w:rPr>
      </w:pPr>
      <w:r w:rsidRPr="00A77639">
        <w:rPr>
          <w:rFonts w:ascii="Times New Roman" w:hAnsi="Times New Roman" w:cs="Times New Roman"/>
          <w:b/>
          <w:bCs/>
          <w:sz w:val="24"/>
          <w:szCs w:val="24"/>
        </w:rPr>
        <w:t>DISCLAIMER (ARTIFICIAL INTELLIGENCE)</w:t>
      </w:r>
    </w:p>
    <w:p w14:paraId="2AB5326B" w14:textId="19EEC81A" w:rsidR="00A77639" w:rsidRDefault="00A77639" w:rsidP="00A77639">
      <w:pPr>
        <w:spacing w:after="0" w:line="360" w:lineRule="auto"/>
        <w:ind w:firstLine="720"/>
        <w:jc w:val="both"/>
        <w:rPr>
          <w:rFonts w:ascii="Times New Roman" w:hAnsi="Times New Roman" w:cs="Times New Roman"/>
        </w:rPr>
      </w:pPr>
      <w:r w:rsidRPr="00A77639">
        <w:rPr>
          <w:rFonts w:ascii="Times New Roman" w:hAnsi="Times New Roman" w:cs="Times New Roman"/>
        </w:rPr>
        <w:t>Author(s) hereby declare that NO generative AI technologies such as Large Language Models (</w:t>
      </w:r>
      <w:proofErr w:type="spellStart"/>
      <w:r w:rsidRPr="00A77639">
        <w:rPr>
          <w:rFonts w:ascii="Times New Roman" w:hAnsi="Times New Roman" w:cs="Times New Roman"/>
        </w:rPr>
        <w:t>ChatGPT</w:t>
      </w:r>
      <w:proofErr w:type="spellEnd"/>
      <w:r w:rsidRPr="00A77639">
        <w:rPr>
          <w:rFonts w:ascii="Times New Roman" w:hAnsi="Times New Roman" w:cs="Times New Roman"/>
        </w:rPr>
        <w:t xml:space="preserve">, COPILOT, </w:t>
      </w:r>
      <w:proofErr w:type="spellStart"/>
      <w:r w:rsidRPr="00A77639">
        <w:rPr>
          <w:rFonts w:ascii="Times New Roman" w:hAnsi="Times New Roman" w:cs="Times New Roman"/>
        </w:rPr>
        <w:t>etc</w:t>
      </w:r>
      <w:proofErr w:type="spellEnd"/>
      <w:r w:rsidRPr="00A77639">
        <w:rPr>
          <w:rFonts w:ascii="Times New Roman" w:hAnsi="Times New Roman" w:cs="Times New Roman"/>
        </w:rPr>
        <w:t xml:space="preserve">) and text-to-image generators have been used during </w:t>
      </w:r>
      <w:r w:rsidR="0064034C">
        <w:rPr>
          <w:rFonts w:ascii="Times New Roman" w:hAnsi="Times New Roman" w:cs="Times New Roman"/>
        </w:rPr>
        <w:t xml:space="preserve">the </w:t>
      </w:r>
      <w:r w:rsidRPr="00A77639">
        <w:rPr>
          <w:rFonts w:ascii="Times New Roman" w:hAnsi="Times New Roman" w:cs="Times New Roman"/>
        </w:rPr>
        <w:t>writing or editing of this manuscript</w:t>
      </w:r>
      <w:r>
        <w:rPr>
          <w:rFonts w:ascii="Times New Roman" w:hAnsi="Times New Roman" w:cs="Times New Roman"/>
        </w:rPr>
        <w:t>.</w:t>
      </w:r>
    </w:p>
    <w:p w14:paraId="045BEE98" w14:textId="77777777" w:rsidR="00A77639" w:rsidRDefault="00A77639" w:rsidP="00A77639">
      <w:pPr>
        <w:spacing w:after="0" w:line="360" w:lineRule="auto"/>
        <w:jc w:val="both"/>
        <w:rPr>
          <w:rFonts w:ascii="Times New Roman" w:hAnsi="Times New Roman" w:cs="Times New Roman"/>
          <w:b/>
          <w:bCs/>
          <w:sz w:val="24"/>
          <w:szCs w:val="24"/>
          <w:shd w:val="clear" w:color="auto" w:fill="FFFFFF"/>
        </w:rPr>
      </w:pPr>
      <w:r w:rsidRPr="00A77639">
        <w:rPr>
          <w:rFonts w:ascii="Times New Roman" w:hAnsi="Times New Roman" w:cs="Times New Roman"/>
          <w:b/>
          <w:bCs/>
          <w:sz w:val="24"/>
          <w:szCs w:val="24"/>
          <w:shd w:val="clear" w:color="auto" w:fill="FFFFFF"/>
        </w:rPr>
        <w:t>COMPETING INTERESTS</w:t>
      </w:r>
    </w:p>
    <w:p w14:paraId="55DCE7C7" w14:textId="77777777" w:rsidR="00A77639" w:rsidRPr="00A77639" w:rsidRDefault="00A77639" w:rsidP="004A27BA">
      <w:pPr>
        <w:spacing w:after="0" w:line="360" w:lineRule="auto"/>
        <w:ind w:firstLine="720"/>
        <w:jc w:val="both"/>
        <w:rPr>
          <w:rFonts w:ascii="Times New Roman" w:eastAsia="Times New Roman" w:hAnsi="Times New Roman" w:cs="Times New Roman"/>
          <w:b/>
          <w:bCs/>
          <w:sz w:val="28"/>
          <w:szCs w:val="28"/>
        </w:rPr>
      </w:pPr>
      <w:r>
        <w:rPr>
          <w:rFonts w:ascii="Times New Roman" w:hAnsi="Times New Roman" w:cs="Times New Roman"/>
          <w:sz w:val="24"/>
          <w:szCs w:val="24"/>
          <w:shd w:val="clear" w:color="auto" w:fill="FFFFFF"/>
        </w:rPr>
        <w:t>Authors have</w:t>
      </w:r>
      <w:r w:rsidR="004A27BA">
        <w:rPr>
          <w:rFonts w:ascii="Times New Roman" w:hAnsi="Times New Roman" w:cs="Times New Roman"/>
          <w:sz w:val="24"/>
          <w:szCs w:val="24"/>
          <w:shd w:val="clear" w:color="auto" w:fill="FFFFFF"/>
        </w:rPr>
        <w:t xml:space="preserve"> declared that no </w:t>
      </w:r>
      <w:r w:rsidRPr="00A77639">
        <w:rPr>
          <w:rFonts w:ascii="Times New Roman" w:hAnsi="Times New Roman" w:cs="Times New Roman"/>
          <w:sz w:val="24"/>
          <w:szCs w:val="24"/>
          <w:shd w:val="clear" w:color="auto" w:fill="FFFFFF"/>
        </w:rPr>
        <w:t>competing interests exist.</w:t>
      </w:r>
    </w:p>
    <w:p w14:paraId="16B49DBB" w14:textId="77777777" w:rsidR="00AD5E7C" w:rsidRDefault="00CB761C" w:rsidP="00AD5E7C">
      <w:pPr>
        <w:spacing w:after="0" w:line="240" w:lineRule="auto"/>
        <w:rPr>
          <w:rFonts w:ascii="Times New Roman" w:eastAsia="Times New Roman" w:hAnsi="Times New Roman" w:cs="Times New Roman"/>
          <w:b/>
          <w:sz w:val="24"/>
          <w:szCs w:val="24"/>
        </w:rPr>
      </w:pPr>
      <w:commentRangeStart w:id="15"/>
      <w:r w:rsidRPr="00CB761C">
        <w:rPr>
          <w:rFonts w:ascii="Times New Roman" w:eastAsia="Times New Roman" w:hAnsi="Times New Roman" w:cs="Times New Roman"/>
          <w:b/>
          <w:sz w:val="24"/>
          <w:szCs w:val="24"/>
        </w:rPr>
        <w:t>REFERENCES</w:t>
      </w:r>
      <w:commentRangeEnd w:id="15"/>
      <w:r w:rsidR="006E0C61">
        <w:rPr>
          <w:rStyle w:val="AklamaBavurusu"/>
        </w:rPr>
        <w:commentReference w:id="15"/>
      </w:r>
    </w:p>
    <w:p w14:paraId="2A13B9A5" w14:textId="77777777" w:rsidR="002F49B2" w:rsidRPr="00AD5E7C" w:rsidRDefault="002F49B2" w:rsidP="00AD5E7C">
      <w:pPr>
        <w:spacing w:after="0" w:line="240" w:lineRule="auto"/>
        <w:rPr>
          <w:rFonts w:ascii="Times New Roman" w:eastAsia="Times New Roman" w:hAnsi="Times New Roman" w:cs="Times New Roman"/>
          <w:b/>
          <w:sz w:val="24"/>
          <w:szCs w:val="24"/>
        </w:rPr>
      </w:pPr>
    </w:p>
    <w:p w14:paraId="51C5B6F2" w14:textId="77777777" w:rsidR="008E76DE" w:rsidRPr="002F49B2" w:rsidRDefault="004A27BA" w:rsidP="002F49B2">
      <w:pPr>
        <w:spacing w:after="0" w:line="360" w:lineRule="auto"/>
        <w:ind w:left="990"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Adhikari</w:t>
      </w:r>
      <w:proofErr w:type="spellEnd"/>
      <w:r>
        <w:rPr>
          <w:rFonts w:ascii="Times New Roman" w:eastAsia="Times New Roman" w:hAnsi="Times New Roman" w:cs="Times New Roman"/>
          <w:sz w:val="24"/>
          <w:szCs w:val="24"/>
        </w:rPr>
        <w:t xml:space="preserve">, C.B. </w:t>
      </w:r>
      <w:r w:rsidR="008E76DE" w:rsidRPr="002F49B2">
        <w:rPr>
          <w:rFonts w:ascii="Times New Roman" w:eastAsia="Times New Roman" w:hAnsi="Times New Roman" w:cs="Times New Roman"/>
          <w:sz w:val="24"/>
          <w:szCs w:val="24"/>
        </w:rPr>
        <w:t xml:space="preserve">and </w:t>
      </w:r>
      <w:proofErr w:type="spellStart"/>
      <w:r w:rsidR="008E76DE" w:rsidRPr="002F49B2">
        <w:rPr>
          <w:rFonts w:ascii="Times New Roman" w:eastAsia="Times New Roman" w:hAnsi="Times New Roman" w:cs="Times New Roman"/>
          <w:sz w:val="24"/>
          <w:szCs w:val="24"/>
        </w:rPr>
        <w:t>Bjorndal</w:t>
      </w:r>
      <w:proofErr w:type="spellEnd"/>
      <w:r w:rsidR="008E76DE" w:rsidRPr="002F49B2">
        <w:rPr>
          <w:rFonts w:ascii="Times New Roman" w:eastAsia="Times New Roman" w:hAnsi="Times New Roman" w:cs="Times New Roman"/>
          <w:sz w:val="24"/>
          <w:szCs w:val="24"/>
        </w:rPr>
        <w:t xml:space="preserve"> T. 2012. Analyses of technical</w:t>
      </w:r>
      <w:r w:rsidR="008E76DE">
        <w:rPr>
          <w:rFonts w:ascii="Times New Roman" w:eastAsia="Times New Roman" w:hAnsi="Times New Roman" w:cs="Times New Roman"/>
          <w:sz w:val="24"/>
          <w:szCs w:val="24"/>
        </w:rPr>
        <w:t xml:space="preserve"> </w:t>
      </w:r>
      <w:r w:rsidR="008E76DE" w:rsidRPr="002F49B2">
        <w:rPr>
          <w:rFonts w:ascii="Times New Roman" w:eastAsia="Times New Roman" w:hAnsi="Times New Roman" w:cs="Times New Roman"/>
          <w:sz w:val="24"/>
          <w:szCs w:val="24"/>
        </w:rPr>
        <w:t>efficiency using SDF and DEA models: evidence from</w:t>
      </w:r>
      <w:r w:rsidR="008E76DE">
        <w:rPr>
          <w:rFonts w:ascii="Times New Roman" w:eastAsia="Times New Roman" w:hAnsi="Times New Roman" w:cs="Times New Roman"/>
          <w:sz w:val="24"/>
          <w:szCs w:val="24"/>
        </w:rPr>
        <w:t xml:space="preserve"> </w:t>
      </w:r>
      <w:r w:rsidR="008E76DE" w:rsidRPr="002F49B2">
        <w:rPr>
          <w:rFonts w:ascii="Times New Roman" w:eastAsia="Times New Roman" w:hAnsi="Times New Roman" w:cs="Times New Roman"/>
          <w:sz w:val="24"/>
          <w:szCs w:val="24"/>
        </w:rPr>
        <w:t xml:space="preserve">Nepalese agriculture. </w:t>
      </w:r>
      <w:r w:rsidR="008E76DE" w:rsidRPr="002F49B2">
        <w:rPr>
          <w:rFonts w:ascii="Times New Roman" w:eastAsia="Times New Roman" w:hAnsi="Times New Roman" w:cs="Times New Roman"/>
          <w:i/>
          <w:sz w:val="24"/>
          <w:szCs w:val="24"/>
        </w:rPr>
        <w:t xml:space="preserve">Applied Economics, </w:t>
      </w:r>
      <w:r w:rsidR="008E76DE" w:rsidRPr="002F49B2">
        <w:rPr>
          <w:rFonts w:ascii="Times New Roman" w:eastAsia="Times New Roman" w:hAnsi="Times New Roman" w:cs="Times New Roman"/>
          <w:b/>
          <w:i/>
          <w:sz w:val="24"/>
          <w:szCs w:val="24"/>
        </w:rPr>
        <w:t>44:</w:t>
      </w:r>
      <w:r w:rsidR="008E76DE" w:rsidRPr="002F49B2">
        <w:rPr>
          <w:rFonts w:ascii="Times New Roman" w:eastAsia="Times New Roman" w:hAnsi="Times New Roman" w:cs="Times New Roman"/>
          <w:i/>
          <w:sz w:val="24"/>
          <w:szCs w:val="24"/>
        </w:rPr>
        <w:t xml:space="preserve"> 3297–3308</w:t>
      </w:r>
      <w:r w:rsidR="008E76DE" w:rsidRPr="002F49B2">
        <w:rPr>
          <w:rFonts w:ascii="Times New Roman" w:eastAsia="Times New Roman" w:hAnsi="Times New Roman" w:cs="Times New Roman"/>
          <w:sz w:val="24"/>
          <w:szCs w:val="24"/>
        </w:rPr>
        <w:t>.</w:t>
      </w:r>
    </w:p>
    <w:p w14:paraId="2908511C"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Bhatt, M.S. and Bhatt, S. A. 2014. Technical efficiency and </w:t>
      </w:r>
      <w:proofErr w:type="spellStart"/>
      <w:r w:rsidRPr="002F49B2">
        <w:rPr>
          <w:rFonts w:ascii="Times New Roman" w:eastAsia="Times New Roman" w:hAnsi="Times New Roman" w:cs="Times New Roman"/>
          <w:sz w:val="24"/>
          <w:szCs w:val="24"/>
        </w:rPr>
        <w:t>farmsize</w:t>
      </w:r>
      <w:proofErr w:type="spellEnd"/>
      <w:r w:rsidRPr="002F49B2">
        <w:rPr>
          <w:rFonts w:ascii="Times New Roman" w:eastAsia="Times New Roman" w:hAnsi="Times New Roman" w:cs="Times New Roman"/>
          <w:sz w:val="24"/>
          <w:szCs w:val="24"/>
        </w:rPr>
        <w:t xml:space="preserve"> productivity―micro level evidence from Jammu &amp;Kashmir. </w:t>
      </w:r>
      <w:r w:rsidRPr="002F49B2">
        <w:rPr>
          <w:rFonts w:ascii="Times New Roman" w:eastAsia="Times New Roman" w:hAnsi="Times New Roman" w:cs="Times New Roman"/>
          <w:i/>
          <w:sz w:val="24"/>
          <w:szCs w:val="24"/>
        </w:rPr>
        <w:t xml:space="preserve">International Journal of Food and Agricultural Economics, </w:t>
      </w:r>
      <w:r w:rsidRPr="002F49B2">
        <w:rPr>
          <w:rFonts w:ascii="Times New Roman" w:eastAsia="Times New Roman" w:hAnsi="Times New Roman" w:cs="Times New Roman"/>
          <w:b/>
          <w:i/>
          <w:sz w:val="24"/>
          <w:szCs w:val="24"/>
        </w:rPr>
        <w:t>2(4):</w:t>
      </w:r>
      <w:r w:rsidRPr="002F49B2">
        <w:rPr>
          <w:rFonts w:ascii="Times New Roman" w:eastAsia="Times New Roman" w:hAnsi="Times New Roman" w:cs="Times New Roman"/>
          <w:i/>
          <w:sz w:val="24"/>
          <w:szCs w:val="24"/>
        </w:rPr>
        <w:t xml:space="preserve"> 27-49.</w:t>
      </w:r>
    </w:p>
    <w:p w14:paraId="3F1C67ED"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proofErr w:type="spellStart"/>
      <w:r w:rsidRPr="002F49B2">
        <w:rPr>
          <w:rFonts w:ascii="Times New Roman" w:eastAsia="Times New Roman" w:hAnsi="Times New Roman" w:cs="Times New Roman"/>
          <w:sz w:val="24"/>
          <w:szCs w:val="24"/>
        </w:rPr>
        <w:t>Charnes</w:t>
      </w:r>
      <w:proofErr w:type="spellEnd"/>
      <w:r w:rsidRPr="002F49B2">
        <w:rPr>
          <w:rFonts w:ascii="Times New Roman" w:eastAsia="Times New Roman" w:hAnsi="Times New Roman" w:cs="Times New Roman"/>
          <w:sz w:val="24"/>
          <w:szCs w:val="24"/>
        </w:rPr>
        <w:t>, A., Cooper, W.W and Rhodes, E. 1978. Measuring</w:t>
      </w:r>
      <w:r>
        <w:rPr>
          <w:rFonts w:ascii="Times New Roman" w:eastAsia="Times New Roman" w:hAnsi="Times New Roman" w:cs="Times New Roman"/>
          <w:sz w:val="24"/>
          <w:szCs w:val="24"/>
        </w:rPr>
        <w:t xml:space="preserve"> </w:t>
      </w:r>
      <w:r w:rsidRPr="002F49B2">
        <w:rPr>
          <w:rFonts w:ascii="Times New Roman" w:eastAsia="Times New Roman" w:hAnsi="Times New Roman" w:cs="Times New Roman"/>
          <w:sz w:val="24"/>
          <w:szCs w:val="24"/>
        </w:rPr>
        <w:t xml:space="preserve">the efficiency of DMUs, </w:t>
      </w:r>
      <w:r w:rsidRPr="002F49B2">
        <w:rPr>
          <w:rFonts w:ascii="Times New Roman" w:eastAsia="Times New Roman" w:hAnsi="Times New Roman" w:cs="Times New Roman"/>
          <w:i/>
          <w:sz w:val="24"/>
          <w:szCs w:val="24"/>
        </w:rPr>
        <w:t xml:space="preserve">European Journal of Operational Research, </w:t>
      </w:r>
      <w:r w:rsidRPr="002F49B2">
        <w:rPr>
          <w:rFonts w:ascii="Times New Roman" w:eastAsia="Times New Roman" w:hAnsi="Times New Roman" w:cs="Times New Roman"/>
          <w:b/>
          <w:i/>
          <w:sz w:val="24"/>
          <w:szCs w:val="24"/>
        </w:rPr>
        <w:t>2</w:t>
      </w:r>
      <w:r w:rsidRPr="002F49B2">
        <w:rPr>
          <w:rFonts w:ascii="Times New Roman" w:eastAsia="Times New Roman" w:hAnsi="Times New Roman" w:cs="Times New Roman"/>
          <w:i/>
          <w:sz w:val="24"/>
          <w:szCs w:val="24"/>
        </w:rPr>
        <w:t>: 429-444.</w:t>
      </w:r>
    </w:p>
    <w:p w14:paraId="3FCBD740"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commentRangeStart w:id="16"/>
      <w:proofErr w:type="spellStart"/>
      <w:r w:rsidRPr="002F49B2">
        <w:rPr>
          <w:rFonts w:ascii="Times New Roman" w:eastAsia="Times New Roman" w:hAnsi="Times New Roman" w:cs="Times New Roman"/>
          <w:sz w:val="24"/>
          <w:szCs w:val="24"/>
        </w:rPr>
        <w:t>Coelli</w:t>
      </w:r>
      <w:proofErr w:type="spellEnd"/>
      <w:r w:rsidRPr="002F49B2">
        <w:rPr>
          <w:rFonts w:ascii="Times New Roman" w:eastAsia="Times New Roman" w:hAnsi="Times New Roman" w:cs="Times New Roman"/>
          <w:sz w:val="24"/>
          <w:szCs w:val="24"/>
        </w:rPr>
        <w:t xml:space="preserve">, T., Rahman, S. and </w:t>
      </w:r>
      <w:proofErr w:type="spellStart"/>
      <w:r w:rsidRPr="002F49B2">
        <w:rPr>
          <w:rFonts w:ascii="Times New Roman" w:eastAsia="Times New Roman" w:hAnsi="Times New Roman" w:cs="Times New Roman"/>
          <w:sz w:val="24"/>
          <w:szCs w:val="24"/>
        </w:rPr>
        <w:t>Thirtle</w:t>
      </w:r>
      <w:proofErr w:type="spellEnd"/>
      <w:r w:rsidRPr="002F49B2">
        <w:rPr>
          <w:rFonts w:ascii="Times New Roman" w:eastAsia="Times New Roman" w:hAnsi="Times New Roman" w:cs="Times New Roman"/>
          <w:sz w:val="24"/>
          <w:szCs w:val="24"/>
        </w:rPr>
        <w:t xml:space="preserve">, C. 2005. Technical, Allocative, Cost and Scale Efficiencies in Bangladesh Rice Cultivation: A Non-Parametric Approach. </w:t>
      </w:r>
      <w:r w:rsidRPr="002F49B2">
        <w:rPr>
          <w:rFonts w:ascii="Times New Roman" w:eastAsia="Times New Roman" w:hAnsi="Times New Roman" w:cs="Times New Roman"/>
          <w:i/>
          <w:sz w:val="24"/>
          <w:szCs w:val="24"/>
        </w:rPr>
        <w:t xml:space="preserve">Journal of Agricultural Economics, </w:t>
      </w:r>
      <w:r w:rsidRPr="002F49B2">
        <w:rPr>
          <w:rFonts w:ascii="Times New Roman" w:eastAsia="Times New Roman" w:hAnsi="Times New Roman" w:cs="Times New Roman"/>
          <w:b/>
          <w:i/>
          <w:sz w:val="24"/>
          <w:szCs w:val="24"/>
        </w:rPr>
        <w:t xml:space="preserve">53(3): </w:t>
      </w:r>
      <w:r w:rsidRPr="002F49B2">
        <w:rPr>
          <w:rFonts w:ascii="Times New Roman" w:eastAsia="Times New Roman" w:hAnsi="Times New Roman" w:cs="Times New Roman"/>
          <w:i/>
          <w:sz w:val="24"/>
          <w:szCs w:val="24"/>
        </w:rPr>
        <w:t>607-626.</w:t>
      </w:r>
      <w:commentRangeEnd w:id="16"/>
      <w:r w:rsidR="00C82F1A">
        <w:rPr>
          <w:rStyle w:val="AklamaBavurusu"/>
        </w:rPr>
        <w:commentReference w:id="16"/>
      </w:r>
    </w:p>
    <w:p w14:paraId="0A0D7829"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proofErr w:type="spellStart"/>
      <w:r w:rsidRPr="002F49B2">
        <w:rPr>
          <w:rFonts w:ascii="Times New Roman" w:eastAsia="Times New Roman" w:hAnsi="Times New Roman" w:cs="Times New Roman"/>
          <w:sz w:val="24"/>
          <w:szCs w:val="24"/>
        </w:rPr>
        <w:t>Coelli</w:t>
      </w:r>
      <w:proofErr w:type="spellEnd"/>
      <w:r w:rsidRPr="002F49B2">
        <w:rPr>
          <w:rFonts w:ascii="Times New Roman" w:eastAsia="Times New Roman" w:hAnsi="Times New Roman" w:cs="Times New Roman"/>
          <w:sz w:val="24"/>
          <w:szCs w:val="24"/>
        </w:rPr>
        <w:t xml:space="preserve">, T., Rao, D.S.P. and </w:t>
      </w:r>
      <w:proofErr w:type="spellStart"/>
      <w:r w:rsidRPr="002F49B2">
        <w:rPr>
          <w:rFonts w:ascii="Times New Roman" w:eastAsia="Times New Roman" w:hAnsi="Times New Roman" w:cs="Times New Roman"/>
          <w:sz w:val="24"/>
          <w:szCs w:val="24"/>
        </w:rPr>
        <w:t>Battese</w:t>
      </w:r>
      <w:proofErr w:type="spellEnd"/>
      <w:r w:rsidRPr="002F49B2">
        <w:rPr>
          <w:rFonts w:ascii="Times New Roman" w:eastAsia="Times New Roman" w:hAnsi="Times New Roman" w:cs="Times New Roman"/>
          <w:sz w:val="24"/>
          <w:szCs w:val="24"/>
        </w:rPr>
        <w:t>, G. 1998. An Introduction to Efficiency and Productivity Analysis, Kluwer Academic Publishers, Boston.</w:t>
      </w:r>
    </w:p>
    <w:p w14:paraId="41C7826E"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Farrell M. 1957. The measurement of productive efficiency Journal of the Royal Statistical Society, Series A, 120: 253–281. </w:t>
      </w:r>
      <w:proofErr w:type="spellStart"/>
      <w:r w:rsidRPr="002F49B2">
        <w:rPr>
          <w:rFonts w:ascii="Times New Roman" w:eastAsia="Times New Roman" w:hAnsi="Times New Roman" w:cs="Times New Roman"/>
          <w:sz w:val="24"/>
          <w:szCs w:val="24"/>
        </w:rPr>
        <w:t>Kavand</w:t>
      </w:r>
      <w:proofErr w:type="spellEnd"/>
      <w:r w:rsidRPr="002F49B2">
        <w:rPr>
          <w:rFonts w:ascii="Times New Roman" w:eastAsia="Times New Roman" w:hAnsi="Times New Roman" w:cs="Times New Roman"/>
          <w:sz w:val="24"/>
          <w:szCs w:val="24"/>
        </w:rPr>
        <w:t xml:space="preserve">, H. and </w:t>
      </w:r>
      <w:proofErr w:type="spellStart"/>
      <w:r w:rsidRPr="002F49B2">
        <w:rPr>
          <w:rFonts w:ascii="Times New Roman" w:eastAsia="Times New Roman" w:hAnsi="Times New Roman" w:cs="Times New Roman"/>
          <w:sz w:val="24"/>
          <w:szCs w:val="24"/>
        </w:rPr>
        <w:t>Sargazi</w:t>
      </w:r>
      <w:proofErr w:type="spellEnd"/>
      <w:r w:rsidRPr="002F49B2">
        <w:rPr>
          <w:rFonts w:ascii="Times New Roman" w:eastAsia="Times New Roman" w:hAnsi="Times New Roman" w:cs="Times New Roman"/>
          <w:sz w:val="24"/>
          <w:szCs w:val="24"/>
        </w:rPr>
        <w:t xml:space="preserve">, A.R. 2016. Determination of efficiency types of </w:t>
      </w:r>
      <w:proofErr w:type="spellStart"/>
      <w:r w:rsidRPr="002F49B2">
        <w:rPr>
          <w:rFonts w:ascii="Times New Roman" w:eastAsia="Times New Roman" w:hAnsi="Times New Roman" w:cs="Times New Roman"/>
          <w:sz w:val="24"/>
          <w:szCs w:val="24"/>
        </w:rPr>
        <w:t>Borujerd</w:t>
      </w:r>
      <w:proofErr w:type="spellEnd"/>
      <w:r w:rsidRPr="002F49B2">
        <w:rPr>
          <w:rFonts w:ascii="Times New Roman" w:eastAsia="Times New Roman" w:hAnsi="Times New Roman" w:cs="Times New Roman"/>
          <w:sz w:val="24"/>
          <w:szCs w:val="24"/>
        </w:rPr>
        <w:t xml:space="preserve"> sugar beet growers using data envelopment analysis (DEA). </w:t>
      </w:r>
      <w:r w:rsidRPr="002F49B2">
        <w:rPr>
          <w:rFonts w:ascii="Times New Roman" w:eastAsia="Times New Roman" w:hAnsi="Times New Roman" w:cs="Times New Roman"/>
          <w:i/>
          <w:sz w:val="24"/>
          <w:szCs w:val="24"/>
        </w:rPr>
        <w:t xml:space="preserve">Journal of Sugar and Beet, </w:t>
      </w:r>
      <w:r w:rsidRPr="002F49B2">
        <w:rPr>
          <w:rFonts w:ascii="Times New Roman" w:eastAsia="Times New Roman" w:hAnsi="Times New Roman" w:cs="Times New Roman"/>
          <w:b/>
          <w:i/>
          <w:sz w:val="24"/>
          <w:szCs w:val="24"/>
        </w:rPr>
        <w:t>31(2):</w:t>
      </w:r>
      <w:r w:rsidRPr="002F49B2">
        <w:rPr>
          <w:rFonts w:ascii="Times New Roman" w:eastAsia="Times New Roman" w:hAnsi="Times New Roman" w:cs="Times New Roman"/>
          <w:i/>
          <w:sz w:val="24"/>
          <w:szCs w:val="24"/>
        </w:rPr>
        <w:t xml:space="preserve"> 209-201.</w:t>
      </w:r>
    </w:p>
    <w:p w14:paraId="1DE37F05"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proofErr w:type="spellStart"/>
      <w:r w:rsidRPr="002F49B2">
        <w:rPr>
          <w:rFonts w:ascii="Times New Roman" w:eastAsia="Times New Roman" w:hAnsi="Times New Roman" w:cs="Times New Roman"/>
          <w:sz w:val="24"/>
          <w:szCs w:val="24"/>
        </w:rPr>
        <w:t>Ozalp</w:t>
      </w:r>
      <w:proofErr w:type="spellEnd"/>
      <w:r w:rsidRPr="002F49B2">
        <w:rPr>
          <w:rFonts w:ascii="Times New Roman" w:eastAsia="Times New Roman" w:hAnsi="Times New Roman" w:cs="Times New Roman"/>
          <w:sz w:val="24"/>
          <w:szCs w:val="24"/>
        </w:rPr>
        <w:t xml:space="preserve">, A. and Yilmaz, I., 2015. Productivity and efficiency analysis of Pomegranate production in Antalya province of Turkey. </w:t>
      </w:r>
      <w:proofErr w:type="spellStart"/>
      <w:r w:rsidRPr="002F49B2">
        <w:rPr>
          <w:rFonts w:ascii="Times New Roman" w:eastAsia="Times New Roman" w:hAnsi="Times New Roman" w:cs="Times New Roman"/>
          <w:i/>
          <w:sz w:val="24"/>
          <w:szCs w:val="24"/>
        </w:rPr>
        <w:t>Acta</w:t>
      </w:r>
      <w:proofErr w:type="spellEnd"/>
      <w:r w:rsidRPr="002F49B2">
        <w:rPr>
          <w:rFonts w:ascii="Times New Roman" w:eastAsia="Times New Roman" w:hAnsi="Times New Roman" w:cs="Times New Roman"/>
          <w:i/>
          <w:sz w:val="24"/>
          <w:szCs w:val="24"/>
        </w:rPr>
        <w:t xml:space="preserve"> Horticulture, 1089: 197-204.</w:t>
      </w:r>
    </w:p>
    <w:p w14:paraId="3B8C9A1D" w14:textId="77777777" w:rsidR="008E76DE" w:rsidRPr="008E76DE" w:rsidRDefault="008E76DE" w:rsidP="008E76DE">
      <w:pPr>
        <w:pStyle w:val="ResimYazs"/>
        <w:spacing w:line="360" w:lineRule="auto"/>
        <w:ind w:left="1080" w:hanging="1080"/>
        <w:jc w:val="both"/>
        <w:rPr>
          <w:b w:val="0"/>
          <w:i/>
          <w:sz w:val="24"/>
          <w:szCs w:val="24"/>
        </w:rPr>
      </w:pPr>
      <w:commentRangeStart w:id="17"/>
      <w:proofErr w:type="spellStart"/>
      <w:r w:rsidRPr="00C26F0B">
        <w:rPr>
          <w:b w:val="0"/>
          <w:sz w:val="24"/>
          <w:szCs w:val="24"/>
        </w:rPr>
        <w:lastRenderedPageBreak/>
        <w:t>Prabhavathi</w:t>
      </w:r>
      <w:proofErr w:type="spellEnd"/>
      <w:r w:rsidRPr="00C26F0B">
        <w:rPr>
          <w:b w:val="0"/>
          <w:sz w:val="24"/>
          <w:szCs w:val="24"/>
        </w:rPr>
        <w:t xml:space="preserve">, Y., </w:t>
      </w:r>
      <w:proofErr w:type="spellStart"/>
      <w:proofErr w:type="gramStart"/>
      <w:r w:rsidRPr="00C26F0B">
        <w:rPr>
          <w:b w:val="0"/>
          <w:sz w:val="24"/>
          <w:szCs w:val="24"/>
        </w:rPr>
        <w:t>Siddayya</w:t>
      </w:r>
      <w:proofErr w:type="spellEnd"/>
      <w:r w:rsidRPr="00C26F0B">
        <w:rPr>
          <w:b w:val="0"/>
          <w:sz w:val="24"/>
          <w:szCs w:val="24"/>
        </w:rPr>
        <w:t xml:space="preserve"> ,</w:t>
      </w:r>
      <w:proofErr w:type="gramEnd"/>
      <w:r w:rsidRPr="00C26F0B">
        <w:rPr>
          <w:b w:val="0"/>
          <w:sz w:val="24"/>
          <w:szCs w:val="24"/>
        </w:rPr>
        <w:t xml:space="preserve"> Girish, M. R. ,</w:t>
      </w:r>
      <w:proofErr w:type="spellStart"/>
      <w:r w:rsidRPr="00C26F0B">
        <w:rPr>
          <w:b w:val="0"/>
          <w:sz w:val="24"/>
          <w:szCs w:val="24"/>
        </w:rPr>
        <w:t>Ganapathy</w:t>
      </w:r>
      <w:proofErr w:type="spellEnd"/>
      <w:r w:rsidRPr="00C26F0B">
        <w:rPr>
          <w:b w:val="0"/>
          <w:sz w:val="24"/>
          <w:szCs w:val="24"/>
        </w:rPr>
        <w:t>, M. S.</w:t>
      </w:r>
      <w:r w:rsidR="004A27BA">
        <w:rPr>
          <w:b w:val="0"/>
          <w:sz w:val="24"/>
          <w:szCs w:val="24"/>
        </w:rPr>
        <w:t xml:space="preserve">  </w:t>
      </w:r>
      <w:proofErr w:type="spellStart"/>
      <w:r w:rsidR="004A27BA">
        <w:rPr>
          <w:b w:val="0"/>
          <w:sz w:val="24"/>
          <w:szCs w:val="24"/>
        </w:rPr>
        <w:t>Mahin</w:t>
      </w:r>
      <w:proofErr w:type="spellEnd"/>
      <w:r w:rsidR="004A27BA">
        <w:rPr>
          <w:b w:val="0"/>
          <w:sz w:val="24"/>
          <w:szCs w:val="24"/>
        </w:rPr>
        <w:t xml:space="preserve"> Sharif and Rama </w:t>
      </w:r>
      <w:commentRangeEnd w:id="17"/>
      <w:r w:rsidR="006F5769">
        <w:rPr>
          <w:rStyle w:val="AklamaBavurusu"/>
          <w:rFonts w:asciiTheme="minorHAnsi" w:eastAsiaTheme="minorHAnsi" w:hAnsiTheme="minorHAnsi" w:cstheme="minorBidi"/>
          <w:b w:val="0"/>
          <w:bCs w:val="0"/>
        </w:rPr>
        <w:commentReference w:id="17"/>
      </w:r>
      <w:r w:rsidR="004A27BA">
        <w:rPr>
          <w:b w:val="0"/>
          <w:sz w:val="24"/>
          <w:szCs w:val="24"/>
        </w:rPr>
        <w:t xml:space="preserve">Chandra, C. T. 2022. Financial Performance </w:t>
      </w:r>
      <w:r w:rsidRPr="00C26F0B">
        <w:rPr>
          <w:b w:val="0"/>
          <w:sz w:val="24"/>
          <w:szCs w:val="24"/>
        </w:rPr>
        <w:t xml:space="preserve">Analysis of Farmer Producer Companies in the State of Andhra Pradesh. </w:t>
      </w:r>
      <w:r w:rsidRPr="00C26F0B">
        <w:rPr>
          <w:b w:val="0"/>
          <w:i/>
          <w:sz w:val="24"/>
          <w:szCs w:val="24"/>
        </w:rPr>
        <w:t xml:space="preserve">Mysore J. Agric. Sci., </w:t>
      </w:r>
      <w:r w:rsidRPr="00C26F0B">
        <w:rPr>
          <w:i/>
          <w:sz w:val="24"/>
          <w:szCs w:val="24"/>
        </w:rPr>
        <w:t>56 (4):</w:t>
      </w:r>
      <w:r w:rsidRPr="00C26F0B">
        <w:rPr>
          <w:b w:val="0"/>
          <w:i/>
          <w:sz w:val="24"/>
          <w:szCs w:val="24"/>
        </w:rPr>
        <w:t>331-341.</w:t>
      </w:r>
    </w:p>
    <w:p w14:paraId="1C012653"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Ray, J., Paul, D., </w:t>
      </w:r>
      <w:proofErr w:type="spellStart"/>
      <w:r w:rsidRPr="002F49B2">
        <w:rPr>
          <w:rFonts w:ascii="Times New Roman" w:eastAsia="Times New Roman" w:hAnsi="Times New Roman" w:cs="Times New Roman"/>
          <w:sz w:val="24"/>
          <w:szCs w:val="24"/>
        </w:rPr>
        <w:t>Mitra</w:t>
      </w:r>
      <w:proofErr w:type="spellEnd"/>
      <w:r w:rsidRPr="002F49B2">
        <w:rPr>
          <w:rFonts w:ascii="Times New Roman" w:eastAsia="Times New Roman" w:hAnsi="Times New Roman" w:cs="Times New Roman"/>
          <w:sz w:val="24"/>
          <w:szCs w:val="24"/>
        </w:rPr>
        <w:t xml:space="preserve">, A., Chaudhuri, R. and Sarkar, D. 2016. A case study on resource-use efficiency in Onion cultivation in West Bengal, </w:t>
      </w:r>
      <w:r w:rsidRPr="002F49B2">
        <w:rPr>
          <w:rFonts w:ascii="Times New Roman" w:eastAsia="Times New Roman" w:hAnsi="Times New Roman" w:cs="Times New Roman"/>
          <w:i/>
          <w:sz w:val="24"/>
          <w:szCs w:val="24"/>
        </w:rPr>
        <w:t xml:space="preserve">India. Economic Affairs, </w:t>
      </w:r>
      <w:r w:rsidRPr="002F49B2">
        <w:rPr>
          <w:rFonts w:ascii="Times New Roman" w:eastAsia="Times New Roman" w:hAnsi="Times New Roman" w:cs="Times New Roman"/>
          <w:b/>
          <w:i/>
          <w:sz w:val="24"/>
          <w:szCs w:val="24"/>
        </w:rPr>
        <w:t>61(2):</w:t>
      </w:r>
      <w:r w:rsidRPr="002F49B2">
        <w:rPr>
          <w:rFonts w:ascii="Times New Roman" w:eastAsia="Times New Roman" w:hAnsi="Times New Roman" w:cs="Times New Roman"/>
          <w:i/>
          <w:sz w:val="24"/>
          <w:szCs w:val="24"/>
        </w:rPr>
        <w:t xml:space="preserve"> 321-326.</w:t>
      </w:r>
    </w:p>
    <w:p w14:paraId="7328052E" w14:textId="77777777" w:rsidR="008E76DE" w:rsidRPr="00C26F0B" w:rsidRDefault="008E76DE" w:rsidP="008E76DE">
      <w:pPr>
        <w:pStyle w:val="ResimYazs"/>
        <w:spacing w:line="360" w:lineRule="auto"/>
        <w:ind w:left="1080" w:hanging="1080"/>
        <w:jc w:val="both"/>
        <w:rPr>
          <w:b w:val="0"/>
          <w:i/>
          <w:sz w:val="24"/>
          <w:szCs w:val="24"/>
        </w:rPr>
      </w:pPr>
      <w:r w:rsidRPr="00C26F0B">
        <w:rPr>
          <w:b w:val="0"/>
          <w:sz w:val="24"/>
          <w:szCs w:val="24"/>
        </w:rPr>
        <w:t>Singh, G. an</w:t>
      </w:r>
      <w:r w:rsidR="004A27BA">
        <w:rPr>
          <w:b w:val="0"/>
          <w:sz w:val="24"/>
          <w:szCs w:val="24"/>
        </w:rPr>
        <w:t xml:space="preserve">d </w:t>
      </w:r>
      <w:proofErr w:type="spellStart"/>
      <w:r w:rsidR="004A27BA">
        <w:rPr>
          <w:b w:val="0"/>
          <w:sz w:val="24"/>
          <w:szCs w:val="24"/>
        </w:rPr>
        <w:t>Vatta</w:t>
      </w:r>
      <w:proofErr w:type="spellEnd"/>
      <w:r w:rsidR="004A27BA">
        <w:rPr>
          <w:b w:val="0"/>
          <w:sz w:val="24"/>
          <w:szCs w:val="24"/>
        </w:rPr>
        <w:t xml:space="preserve">, K. 2019. Assessing the </w:t>
      </w:r>
      <w:r w:rsidRPr="00C26F0B">
        <w:rPr>
          <w:b w:val="0"/>
          <w:sz w:val="24"/>
          <w:szCs w:val="24"/>
        </w:rPr>
        <w:t>economic impacts of farmer producer organizations: a case study in Gujarat, India</w:t>
      </w:r>
      <w:r w:rsidRPr="00C26F0B">
        <w:rPr>
          <w:b w:val="0"/>
          <w:i/>
          <w:sz w:val="24"/>
          <w:szCs w:val="24"/>
        </w:rPr>
        <w:t>. Agricultural Economics Research Review 2019, 32 (Conference Number), 139-148.</w:t>
      </w:r>
    </w:p>
    <w:p w14:paraId="615BBD68"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commentRangeStart w:id="18"/>
      <w:r w:rsidRPr="002F49B2">
        <w:rPr>
          <w:rFonts w:ascii="Times New Roman" w:eastAsia="Times New Roman" w:hAnsi="Times New Roman" w:cs="Times New Roman"/>
          <w:sz w:val="24"/>
          <w:szCs w:val="24"/>
        </w:rPr>
        <w:t>Singh, T. and Kaur, B. 2014. Application of Data Envelopment A</w:t>
      </w:r>
      <w:r w:rsidR="004A27BA">
        <w:rPr>
          <w:rFonts w:ascii="Times New Roman" w:eastAsia="Times New Roman" w:hAnsi="Times New Roman" w:cs="Times New Roman"/>
          <w:sz w:val="24"/>
          <w:szCs w:val="24"/>
        </w:rPr>
        <w:t xml:space="preserve">nalysis (DEA) for assessing the </w:t>
      </w:r>
      <w:r w:rsidRPr="002F49B2">
        <w:rPr>
          <w:rFonts w:ascii="Times New Roman" w:eastAsia="Times New Roman" w:hAnsi="Times New Roman" w:cs="Times New Roman"/>
          <w:sz w:val="24"/>
          <w:szCs w:val="24"/>
        </w:rPr>
        <w:t xml:space="preserve">efficiency of Laser Land Leveling Technology in Punjab Agriculture. </w:t>
      </w:r>
      <w:r w:rsidRPr="002F49B2">
        <w:rPr>
          <w:rFonts w:ascii="Times New Roman" w:eastAsia="Times New Roman" w:hAnsi="Times New Roman" w:cs="Times New Roman"/>
          <w:i/>
          <w:sz w:val="24"/>
          <w:szCs w:val="24"/>
        </w:rPr>
        <w:t xml:space="preserve">Economic Affairs, </w:t>
      </w:r>
      <w:r w:rsidRPr="002F49B2">
        <w:rPr>
          <w:rFonts w:ascii="Times New Roman" w:eastAsia="Times New Roman" w:hAnsi="Times New Roman" w:cs="Times New Roman"/>
          <w:b/>
          <w:i/>
          <w:sz w:val="24"/>
          <w:szCs w:val="24"/>
        </w:rPr>
        <w:t>59(2):</w:t>
      </w:r>
      <w:r w:rsidRPr="002F49B2">
        <w:rPr>
          <w:rFonts w:ascii="Times New Roman" w:eastAsia="Times New Roman" w:hAnsi="Times New Roman" w:cs="Times New Roman"/>
          <w:i/>
          <w:sz w:val="24"/>
          <w:szCs w:val="24"/>
        </w:rPr>
        <w:t xml:space="preserve"> 251-261.</w:t>
      </w:r>
      <w:commentRangeEnd w:id="18"/>
      <w:r w:rsidR="00874238">
        <w:rPr>
          <w:rStyle w:val="AklamaBavurusu"/>
        </w:rPr>
        <w:commentReference w:id="18"/>
      </w:r>
    </w:p>
    <w:p w14:paraId="177E16D3"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Suresh, A. 2015. Efficiency of Agricultural Production in India: An Analysis using Non-Parametric Approach. </w:t>
      </w:r>
      <w:r w:rsidRPr="002F49B2">
        <w:rPr>
          <w:rFonts w:ascii="Times New Roman" w:eastAsia="Times New Roman" w:hAnsi="Times New Roman" w:cs="Times New Roman"/>
          <w:i/>
          <w:sz w:val="24"/>
          <w:szCs w:val="24"/>
        </w:rPr>
        <w:t xml:space="preserve">Indian Journal of Agricultural Economics, </w:t>
      </w:r>
      <w:r w:rsidRPr="002F49B2">
        <w:rPr>
          <w:rFonts w:ascii="Times New Roman" w:eastAsia="Times New Roman" w:hAnsi="Times New Roman" w:cs="Times New Roman"/>
          <w:b/>
          <w:i/>
          <w:sz w:val="24"/>
          <w:szCs w:val="24"/>
        </w:rPr>
        <w:t>70(4):</w:t>
      </w:r>
      <w:r w:rsidRPr="002F49B2">
        <w:rPr>
          <w:rFonts w:ascii="Times New Roman" w:eastAsia="Times New Roman" w:hAnsi="Times New Roman" w:cs="Times New Roman"/>
          <w:i/>
          <w:sz w:val="24"/>
          <w:szCs w:val="24"/>
        </w:rPr>
        <w:t xml:space="preserve"> 471-486.</w:t>
      </w:r>
    </w:p>
    <w:p w14:paraId="5B3E6089" w14:textId="1E64A0B3" w:rsidR="008E76DE" w:rsidRDefault="008E76DE" w:rsidP="008E76DE">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Suresh, K. and </w:t>
      </w:r>
      <w:proofErr w:type="spellStart"/>
      <w:r w:rsidRPr="002F49B2">
        <w:rPr>
          <w:rFonts w:ascii="Times New Roman" w:eastAsia="Times New Roman" w:hAnsi="Times New Roman" w:cs="Times New Roman"/>
          <w:sz w:val="24"/>
          <w:szCs w:val="24"/>
        </w:rPr>
        <w:t>Chandrakanth</w:t>
      </w:r>
      <w:proofErr w:type="spellEnd"/>
      <w:r w:rsidRPr="002F49B2">
        <w:rPr>
          <w:rFonts w:ascii="Times New Roman" w:eastAsia="Times New Roman" w:hAnsi="Times New Roman" w:cs="Times New Roman"/>
          <w:sz w:val="24"/>
          <w:szCs w:val="24"/>
        </w:rPr>
        <w:t xml:space="preserve">, M.G. 2016. Economic efficiency of improved red gram variety (BRG-2) in Karnataka: a DEA analysis. </w:t>
      </w:r>
      <w:r w:rsidRPr="002F49B2">
        <w:rPr>
          <w:rFonts w:ascii="Times New Roman" w:eastAsia="Times New Roman" w:hAnsi="Times New Roman" w:cs="Times New Roman"/>
          <w:i/>
          <w:sz w:val="24"/>
          <w:szCs w:val="24"/>
        </w:rPr>
        <w:t xml:space="preserve">Economic Affairs, </w:t>
      </w:r>
      <w:r w:rsidRPr="002F49B2">
        <w:rPr>
          <w:rFonts w:ascii="Times New Roman" w:eastAsia="Times New Roman" w:hAnsi="Times New Roman" w:cs="Times New Roman"/>
          <w:b/>
          <w:i/>
          <w:sz w:val="24"/>
          <w:szCs w:val="24"/>
        </w:rPr>
        <w:t>61(1):</w:t>
      </w:r>
      <w:r w:rsidRPr="002F49B2">
        <w:rPr>
          <w:rFonts w:ascii="Times New Roman" w:eastAsia="Times New Roman" w:hAnsi="Times New Roman" w:cs="Times New Roman"/>
          <w:i/>
          <w:sz w:val="24"/>
          <w:szCs w:val="24"/>
        </w:rPr>
        <w:t xml:space="preserve"> 81-88.</w:t>
      </w:r>
    </w:p>
    <w:p w14:paraId="613536E4" w14:textId="463A5939" w:rsidR="001477A7" w:rsidRPr="00E726E6" w:rsidRDefault="001477A7" w:rsidP="008E76DE">
      <w:pPr>
        <w:spacing w:after="0" w:line="360" w:lineRule="auto"/>
        <w:ind w:left="990" w:hanging="990"/>
        <w:jc w:val="both"/>
        <w:rPr>
          <w:rFonts w:ascii="Times New Roman" w:eastAsia="Times New Roman" w:hAnsi="Times New Roman" w:cs="Times New Roman"/>
          <w:i/>
          <w:sz w:val="24"/>
          <w:szCs w:val="24"/>
        </w:rPr>
      </w:pPr>
      <w:proofErr w:type="spellStart"/>
      <w:r w:rsidRPr="00E726E6">
        <w:rPr>
          <w:rFonts w:ascii="Times New Roman" w:eastAsia="Times New Roman" w:hAnsi="Times New Roman" w:cs="Times New Roman"/>
          <w:i/>
          <w:sz w:val="24"/>
          <w:szCs w:val="24"/>
        </w:rPr>
        <w:t>Radadiya</w:t>
      </w:r>
      <w:proofErr w:type="spellEnd"/>
      <w:r w:rsidRPr="00E726E6">
        <w:rPr>
          <w:rFonts w:ascii="Times New Roman" w:eastAsia="Times New Roman" w:hAnsi="Times New Roman" w:cs="Times New Roman"/>
          <w:i/>
          <w:sz w:val="24"/>
          <w:szCs w:val="24"/>
        </w:rPr>
        <w:t xml:space="preserve">, A., &amp; Lad, Y. A. </w:t>
      </w:r>
      <w:commentRangeStart w:id="19"/>
      <w:r w:rsidRPr="00E726E6">
        <w:rPr>
          <w:rFonts w:ascii="Times New Roman" w:eastAsia="Times New Roman" w:hAnsi="Times New Roman" w:cs="Times New Roman"/>
          <w:i/>
          <w:sz w:val="24"/>
          <w:szCs w:val="24"/>
        </w:rPr>
        <w:t xml:space="preserve">(2024). </w:t>
      </w:r>
      <w:commentRangeEnd w:id="19"/>
      <w:r w:rsidR="006F5769" w:rsidRPr="00E726E6">
        <w:rPr>
          <w:rStyle w:val="AklamaBavurusu"/>
        </w:rPr>
        <w:commentReference w:id="19"/>
      </w:r>
      <w:r w:rsidRPr="00E726E6">
        <w:rPr>
          <w:rFonts w:ascii="Times New Roman" w:eastAsia="Times New Roman" w:hAnsi="Times New Roman" w:cs="Times New Roman"/>
          <w:i/>
          <w:sz w:val="24"/>
          <w:szCs w:val="24"/>
        </w:rPr>
        <w:t xml:space="preserve">Assessing the impact of farmer producer companies on farmers and addressing constraints faced by member farmers. </w:t>
      </w:r>
      <w:commentRangeStart w:id="20"/>
      <w:r w:rsidRPr="00E726E6">
        <w:rPr>
          <w:rFonts w:ascii="Times New Roman" w:eastAsia="Times New Roman" w:hAnsi="Times New Roman" w:cs="Times New Roman"/>
          <w:i/>
          <w:color w:val="FF0000"/>
          <w:sz w:val="24"/>
          <w:szCs w:val="24"/>
        </w:rPr>
        <w:t xml:space="preserve">New Delhi: </w:t>
      </w:r>
      <w:commentRangeEnd w:id="20"/>
      <w:r w:rsidR="006F5769" w:rsidRPr="00E726E6">
        <w:rPr>
          <w:rStyle w:val="AklamaBavurusu"/>
        </w:rPr>
        <w:commentReference w:id="20"/>
      </w:r>
      <w:r w:rsidR="004062B7" w:rsidRPr="00E726E6">
        <w:rPr>
          <w:rFonts w:ascii="Times New Roman" w:eastAsia="Times New Roman" w:hAnsi="Times New Roman" w:cs="Times New Roman"/>
          <w:i/>
          <w:sz w:val="24"/>
          <w:szCs w:val="24"/>
        </w:rPr>
        <w:t xml:space="preserve">The Pharma Innovation Journal </w:t>
      </w:r>
      <w:commentRangeStart w:id="21"/>
      <w:r w:rsidR="004062B7" w:rsidRPr="00E726E6">
        <w:rPr>
          <w:rFonts w:ascii="Times New Roman" w:eastAsia="Times New Roman" w:hAnsi="Times New Roman" w:cs="Times New Roman"/>
          <w:i/>
          <w:sz w:val="24"/>
          <w:szCs w:val="24"/>
        </w:rPr>
        <w:t>2023; SP-12(12): 2092-2097</w:t>
      </w:r>
      <w:commentRangeEnd w:id="21"/>
      <w:r w:rsidR="00900F22" w:rsidRPr="00E726E6">
        <w:rPr>
          <w:rStyle w:val="AklamaBavurusu"/>
        </w:rPr>
        <w:commentReference w:id="21"/>
      </w:r>
    </w:p>
    <w:p w14:paraId="477DC948" w14:textId="67A2504A" w:rsidR="007925E7" w:rsidRDefault="008C41F2" w:rsidP="008E76DE">
      <w:pPr>
        <w:spacing w:after="0" w:line="360" w:lineRule="auto"/>
        <w:ind w:left="990" w:hanging="990"/>
        <w:jc w:val="both"/>
        <w:rPr>
          <w:rFonts w:ascii="Times New Roman" w:eastAsia="Times New Roman" w:hAnsi="Times New Roman" w:cs="Times New Roman"/>
          <w:i/>
          <w:sz w:val="24"/>
          <w:szCs w:val="24"/>
        </w:rPr>
      </w:pPr>
      <w:r w:rsidRPr="00E726E6">
        <w:rPr>
          <w:rFonts w:ascii="Times New Roman" w:eastAsia="Times New Roman" w:hAnsi="Times New Roman" w:cs="Times New Roman"/>
          <w:i/>
          <w:sz w:val="24"/>
          <w:szCs w:val="24"/>
        </w:rPr>
        <w:t xml:space="preserve">C. </w:t>
      </w:r>
      <w:proofErr w:type="spellStart"/>
      <w:r w:rsidRPr="00E726E6">
        <w:rPr>
          <w:rFonts w:ascii="Times New Roman" w:eastAsia="Times New Roman" w:hAnsi="Times New Roman" w:cs="Times New Roman"/>
          <w:i/>
          <w:sz w:val="24"/>
          <w:szCs w:val="24"/>
        </w:rPr>
        <w:t>Sinega</w:t>
      </w:r>
      <w:proofErr w:type="spellEnd"/>
      <w:r w:rsidRPr="00E726E6">
        <w:rPr>
          <w:rFonts w:ascii="Times New Roman" w:eastAsia="Times New Roman" w:hAnsi="Times New Roman" w:cs="Times New Roman"/>
          <w:i/>
          <w:sz w:val="24"/>
          <w:szCs w:val="24"/>
        </w:rPr>
        <w:t xml:space="preserve">, R. </w:t>
      </w:r>
      <w:proofErr w:type="spellStart"/>
      <w:r w:rsidRPr="00E726E6">
        <w:rPr>
          <w:rFonts w:ascii="Times New Roman" w:eastAsia="Times New Roman" w:hAnsi="Times New Roman" w:cs="Times New Roman"/>
          <w:i/>
          <w:sz w:val="24"/>
          <w:szCs w:val="24"/>
        </w:rPr>
        <w:t>Agila</w:t>
      </w:r>
      <w:proofErr w:type="spellEnd"/>
      <w:r w:rsidRPr="00E726E6">
        <w:rPr>
          <w:rFonts w:ascii="Times New Roman" w:eastAsia="Times New Roman" w:hAnsi="Times New Roman" w:cs="Times New Roman"/>
          <w:i/>
          <w:sz w:val="24"/>
          <w:szCs w:val="24"/>
        </w:rPr>
        <w:t xml:space="preserve">, </w:t>
      </w:r>
      <w:proofErr w:type="spellStart"/>
      <w:proofErr w:type="gramStart"/>
      <w:r w:rsidRPr="00E726E6">
        <w:rPr>
          <w:rFonts w:ascii="Times New Roman" w:eastAsia="Times New Roman" w:hAnsi="Times New Roman" w:cs="Times New Roman"/>
          <w:i/>
          <w:sz w:val="24"/>
          <w:szCs w:val="24"/>
        </w:rPr>
        <w:t>M.Nirmala</w:t>
      </w:r>
      <w:proofErr w:type="spellEnd"/>
      <w:proofErr w:type="gramEnd"/>
      <w:r w:rsidRPr="00E726E6">
        <w:rPr>
          <w:rFonts w:ascii="Times New Roman" w:eastAsia="Times New Roman" w:hAnsi="Times New Roman" w:cs="Times New Roman"/>
          <w:i/>
          <w:sz w:val="24"/>
          <w:szCs w:val="24"/>
        </w:rPr>
        <w:t xml:space="preserve"> Devi, S. Kanaka &amp; </w:t>
      </w:r>
      <w:proofErr w:type="spellStart"/>
      <w:r w:rsidRPr="00E726E6">
        <w:rPr>
          <w:rFonts w:ascii="Times New Roman" w:eastAsia="Times New Roman" w:hAnsi="Times New Roman" w:cs="Times New Roman"/>
          <w:i/>
          <w:sz w:val="24"/>
          <w:szCs w:val="24"/>
        </w:rPr>
        <w:t>R.Gangai</w:t>
      </w:r>
      <w:proofErr w:type="spellEnd"/>
      <w:r w:rsidRPr="00E726E6">
        <w:rPr>
          <w:rFonts w:ascii="Times New Roman" w:eastAsia="Times New Roman" w:hAnsi="Times New Roman" w:cs="Times New Roman"/>
          <w:i/>
          <w:sz w:val="24"/>
          <w:szCs w:val="24"/>
        </w:rPr>
        <w:t xml:space="preserve"> </w:t>
      </w:r>
      <w:proofErr w:type="spellStart"/>
      <w:r w:rsidRPr="00E726E6">
        <w:rPr>
          <w:rFonts w:ascii="Times New Roman" w:eastAsia="Times New Roman" w:hAnsi="Times New Roman" w:cs="Times New Roman"/>
          <w:i/>
          <w:sz w:val="24"/>
          <w:szCs w:val="24"/>
        </w:rPr>
        <w:t>Selvi</w:t>
      </w:r>
      <w:proofErr w:type="spellEnd"/>
      <w:r w:rsidRPr="00E726E6">
        <w:rPr>
          <w:rFonts w:ascii="Times New Roman" w:eastAsia="Times New Roman" w:hAnsi="Times New Roman" w:cs="Times New Roman"/>
          <w:i/>
          <w:sz w:val="24"/>
          <w:szCs w:val="24"/>
        </w:rPr>
        <w:t xml:space="preserve">. (2024). Boosting Cooperative Success: Evaluating the Performance of Farmer Producer Organizations in </w:t>
      </w:r>
      <w:proofErr w:type="spellStart"/>
      <w:r w:rsidRPr="00E726E6">
        <w:rPr>
          <w:rFonts w:ascii="Times New Roman" w:eastAsia="Times New Roman" w:hAnsi="Times New Roman" w:cs="Times New Roman"/>
          <w:i/>
          <w:sz w:val="24"/>
          <w:szCs w:val="24"/>
        </w:rPr>
        <w:t>Tiruvallur</w:t>
      </w:r>
      <w:proofErr w:type="spellEnd"/>
      <w:r w:rsidRPr="00E726E6">
        <w:rPr>
          <w:rFonts w:ascii="Times New Roman" w:eastAsia="Times New Roman" w:hAnsi="Times New Roman" w:cs="Times New Roman"/>
          <w:i/>
          <w:sz w:val="24"/>
          <w:szCs w:val="24"/>
        </w:rPr>
        <w:t xml:space="preserve"> District, Tamil Nadu, India. Journal of Scientific Research and Reports, 30(8), 470–476. </w:t>
      </w:r>
      <w:hyperlink r:id="rId16" w:history="1">
        <w:r w:rsidR="00DA29F1" w:rsidRPr="00E726E6">
          <w:rPr>
            <w:rStyle w:val="Kpr"/>
            <w:rFonts w:ascii="Times New Roman" w:eastAsia="Times New Roman" w:hAnsi="Times New Roman" w:cs="Times New Roman"/>
            <w:i/>
            <w:sz w:val="24"/>
            <w:szCs w:val="24"/>
          </w:rPr>
          <w:t>https://doi.org/10.9734/jsrr/2024/v30i82270</w:t>
        </w:r>
      </w:hyperlink>
    </w:p>
    <w:p w14:paraId="096EB351" w14:textId="58EF036B" w:rsidR="00DA29F1" w:rsidRDefault="00DA29F1" w:rsidP="008E76DE">
      <w:pPr>
        <w:spacing w:after="0" w:line="360" w:lineRule="auto"/>
        <w:ind w:left="990" w:hanging="990"/>
        <w:jc w:val="both"/>
        <w:rPr>
          <w:rFonts w:ascii="Times New Roman" w:eastAsia="Times New Roman" w:hAnsi="Times New Roman" w:cs="Times New Roman"/>
          <w:i/>
          <w:sz w:val="24"/>
          <w:szCs w:val="24"/>
        </w:rPr>
      </w:pPr>
    </w:p>
    <w:p w14:paraId="030A5758" w14:textId="77777777" w:rsidR="00083D2F" w:rsidRPr="00083D2F" w:rsidRDefault="00083D2F" w:rsidP="002F49B2">
      <w:pPr>
        <w:spacing w:after="0" w:line="240" w:lineRule="auto"/>
        <w:ind w:left="990" w:hanging="990"/>
        <w:rPr>
          <w:rFonts w:ascii="Times New Roman" w:eastAsia="Times New Roman" w:hAnsi="Times New Roman" w:cs="Times New Roman"/>
          <w:sz w:val="24"/>
          <w:szCs w:val="24"/>
        </w:rPr>
      </w:pPr>
    </w:p>
    <w:p w14:paraId="3EC569D7" w14:textId="77777777" w:rsidR="00083D2F" w:rsidRDefault="00083D2F" w:rsidP="002F49B2">
      <w:pPr>
        <w:pStyle w:val="NormalWeb"/>
        <w:spacing w:before="0" w:beforeAutospacing="0" w:after="0" w:afterAutospacing="0" w:line="360" w:lineRule="auto"/>
        <w:ind w:left="990" w:hanging="990"/>
        <w:jc w:val="both"/>
      </w:pPr>
      <w:bookmarkStart w:id="22" w:name="_GoBack"/>
      <w:bookmarkEnd w:id="22"/>
    </w:p>
    <w:p w14:paraId="367A30A7" w14:textId="77777777" w:rsidR="00927326" w:rsidRPr="00927326" w:rsidRDefault="00927326" w:rsidP="002F49B2">
      <w:pPr>
        <w:ind w:left="990" w:hanging="990"/>
        <w:jc w:val="both"/>
      </w:pPr>
    </w:p>
    <w:sectPr w:rsidR="00927326" w:rsidRPr="00927326" w:rsidSect="00927326">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seven" w:date="2025-10-09T15:04:00Z" w:initials="İ">
    <w:p w14:paraId="5B959E34" w14:textId="58D87518" w:rsidR="003F1699" w:rsidRDefault="003F1699">
      <w:pPr>
        <w:pStyle w:val="AklamaMetni"/>
      </w:pPr>
      <w:r>
        <w:rPr>
          <w:rStyle w:val="AklamaBavurusu"/>
        </w:rPr>
        <w:annotationRef/>
      </w:r>
      <w:r w:rsidRPr="003F1699">
        <w:t>The definition of this abbreviation is not given</w:t>
      </w:r>
    </w:p>
  </w:comment>
  <w:comment w:id="1" w:author="İseven" w:date="2025-10-09T15:07:00Z" w:initials="İ">
    <w:p w14:paraId="3BB2EE40" w14:textId="5410506F" w:rsidR="003F1699" w:rsidRDefault="003F1699">
      <w:pPr>
        <w:pStyle w:val="AklamaMetni"/>
      </w:pPr>
      <w:r>
        <w:rPr>
          <w:rStyle w:val="AklamaBavurusu"/>
        </w:rPr>
        <w:annotationRef/>
      </w:r>
      <w:r>
        <w:t>?</w:t>
      </w:r>
    </w:p>
  </w:comment>
  <w:comment w:id="2" w:author="İseven" w:date="2025-10-09T15:07:00Z" w:initials="İ">
    <w:p w14:paraId="10EA84F9" w14:textId="5265E659" w:rsidR="003F1699" w:rsidRDefault="003F1699">
      <w:pPr>
        <w:pStyle w:val="AklamaMetni"/>
      </w:pPr>
      <w:r>
        <w:rPr>
          <w:rStyle w:val="AklamaBavurusu"/>
        </w:rPr>
        <w:annotationRef/>
      </w:r>
      <w:r>
        <w:t>?</w:t>
      </w:r>
    </w:p>
  </w:comment>
  <w:comment w:id="3" w:author="İseven" w:date="2025-10-09T15:35:00Z" w:initials="İ">
    <w:p w14:paraId="18A3D57A" w14:textId="7FF224FF" w:rsidR="006362B3" w:rsidRDefault="006362B3">
      <w:pPr>
        <w:pStyle w:val="AklamaMetni"/>
      </w:pPr>
      <w:r>
        <w:rPr>
          <w:rStyle w:val="AklamaBavurusu"/>
        </w:rPr>
        <w:annotationRef/>
      </w:r>
      <w:r>
        <w:t>O</w:t>
      </w:r>
      <w:r w:rsidRPr="006362B3">
        <w:t>nly abbreviations should be given</w:t>
      </w:r>
    </w:p>
  </w:comment>
  <w:comment w:id="4" w:author="İseven" w:date="2025-10-09T15:39:00Z" w:initials="İ">
    <w:p w14:paraId="2C1373FA" w14:textId="5FB93394" w:rsidR="00874238" w:rsidRDefault="00874238">
      <w:pPr>
        <w:pStyle w:val="AklamaMetni"/>
      </w:pPr>
      <w:r>
        <w:rPr>
          <w:rStyle w:val="AklamaBavurusu"/>
        </w:rPr>
        <w:annotationRef/>
      </w:r>
      <w:r w:rsidRPr="00874238">
        <w:t xml:space="preserve">This </w:t>
      </w:r>
      <w:r>
        <w:t>referen</w:t>
      </w:r>
      <w:r w:rsidRPr="00874238">
        <w:t xml:space="preserve">ce is not in the </w:t>
      </w:r>
      <w:r>
        <w:t>referen</w:t>
      </w:r>
      <w:r w:rsidRPr="00874238">
        <w:t>ces.</w:t>
      </w:r>
    </w:p>
  </w:comment>
  <w:comment w:id="5" w:author="İseven" w:date="2025-10-09T15:40:00Z" w:initials="İ">
    <w:p w14:paraId="327A92FF" w14:textId="1C9A2872" w:rsidR="00874238" w:rsidRDefault="00874238">
      <w:pPr>
        <w:pStyle w:val="AklamaMetni"/>
      </w:pPr>
      <w:r>
        <w:rPr>
          <w:rStyle w:val="AklamaBavurusu"/>
        </w:rPr>
        <w:annotationRef/>
      </w:r>
      <w:r w:rsidRPr="00874238">
        <w:t xml:space="preserve">This </w:t>
      </w:r>
      <w:r>
        <w:t>referen</w:t>
      </w:r>
      <w:r w:rsidRPr="00874238">
        <w:t xml:space="preserve">ce is not in the </w:t>
      </w:r>
      <w:r>
        <w:t>referen</w:t>
      </w:r>
      <w:r w:rsidRPr="00874238">
        <w:t>ces.</w:t>
      </w:r>
    </w:p>
  </w:comment>
  <w:comment w:id="6" w:author="İseven" w:date="2025-10-09T15:41:00Z" w:initials="İ">
    <w:p w14:paraId="610E68B7" w14:textId="655DED1E" w:rsidR="00874238" w:rsidRDefault="00874238">
      <w:pPr>
        <w:pStyle w:val="AklamaMetni"/>
      </w:pPr>
      <w:r>
        <w:rPr>
          <w:rStyle w:val="AklamaBavurusu"/>
        </w:rPr>
        <w:annotationRef/>
      </w:r>
      <w:r w:rsidRPr="00874238">
        <w:t xml:space="preserve">This </w:t>
      </w:r>
      <w:r>
        <w:t>referen</w:t>
      </w:r>
      <w:r w:rsidRPr="00874238">
        <w:t xml:space="preserve">ce is not in the </w:t>
      </w:r>
      <w:r>
        <w:t>referen</w:t>
      </w:r>
      <w:r w:rsidRPr="00874238">
        <w:t>ces.</w:t>
      </w:r>
    </w:p>
  </w:comment>
  <w:comment w:id="7" w:author="İseven" w:date="2025-10-09T15:32:00Z" w:initials="İ">
    <w:p w14:paraId="2E673AA9" w14:textId="090B85D1" w:rsidR="006362B3" w:rsidRDefault="006362B3">
      <w:pPr>
        <w:pStyle w:val="AklamaMetni"/>
      </w:pPr>
      <w:r>
        <w:rPr>
          <w:rStyle w:val="AklamaBavurusu"/>
        </w:rPr>
        <w:annotationRef/>
      </w:r>
      <w:r>
        <w:t>?</w:t>
      </w:r>
    </w:p>
  </w:comment>
  <w:comment w:id="8" w:author="İseven" w:date="2025-10-09T15:42:00Z" w:initials="İ">
    <w:p w14:paraId="5F5E9088" w14:textId="0ABB308C" w:rsidR="00874238" w:rsidRDefault="00874238">
      <w:pPr>
        <w:pStyle w:val="AklamaMetni"/>
      </w:pPr>
      <w:r>
        <w:rPr>
          <w:rStyle w:val="AklamaBavurusu"/>
        </w:rPr>
        <w:annotationRef/>
      </w:r>
      <w:r>
        <w:t>?</w:t>
      </w:r>
    </w:p>
  </w:comment>
  <w:comment w:id="9" w:author="İseven" w:date="2025-10-09T15:25:00Z" w:initials="İ">
    <w:p w14:paraId="3894F560" w14:textId="302942E3" w:rsidR="006362B3" w:rsidRDefault="006362B3">
      <w:pPr>
        <w:pStyle w:val="AklamaMetni"/>
      </w:pPr>
      <w:r>
        <w:rPr>
          <w:rStyle w:val="AklamaBavurusu"/>
        </w:rPr>
        <w:annotationRef/>
      </w:r>
      <w:r>
        <w:t>?</w:t>
      </w:r>
    </w:p>
  </w:comment>
  <w:comment w:id="10" w:author="İseven" w:date="2025-10-09T15:31:00Z" w:initials="İ">
    <w:p w14:paraId="257905BC" w14:textId="0DBEA078" w:rsidR="006362B3" w:rsidRDefault="006362B3">
      <w:pPr>
        <w:pStyle w:val="AklamaMetni"/>
      </w:pPr>
      <w:r>
        <w:rPr>
          <w:rStyle w:val="AklamaBavurusu"/>
        </w:rPr>
        <w:annotationRef/>
      </w:r>
      <w:r>
        <w:t>?</w:t>
      </w:r>
    </w:p>
  </w:comment>
  <w:comment w:id="11" w:author="İseven" w:date="2025-10-09T15:32:00Z" w:initials="İ">
    <w:p w14:paraId="651EE22D" w14:textId="2A76E621" w:rsidR="006362B3" w:rsidRDefault="006362B3">
      <w:pPr>
        <w:pStyle w:val="AklamaMetni"/>
      </w:pPr>
      <w:r>
        <w:rPr>
          <w:rStyle w:val="AklamaBavurusu"/>
        </w:rPr>
        <w:annotationRef/>
      </w:r>
      <w:r>
        <w:t>?</w:t>
      </w:r>
    </w:p>
  </w:comment>
  <w:comment w:id="12" w:author="İseven" w:date="2025-10-09T15:27:00Z" w:initials="İ">
    <w:p w14:paraId="39F7C2F3" w14:textId="77ED1546" w:rsidR="006362B3" w:rsidRDefault="006362B3">
      <w:pPr>
        <w:pStyle w:val="AklamaMetni"/>
      </w:pPr>
      <w:r>
        <w:rPr>
          <w:rStyle w:val="AklamaBavurusu"/>
        </w:rPr>
        <w:annotationRef/>
      </w:r>
      <w:r>
        <w:t>?</w:t>
      </w:r>
    </w:p>
  </w:comment>
  <w:comment w:id="13" w:author="İseven" w:date="2025-10-09T15:31:00Z" w:initials="İ">
    <w:p w14:paraId="5D561B55" w14:textId="43D6E0C0" w:rsidR="006362B3" w:rsidRDefault="006362B3">
      <w:pPr>
        <w:pStyle w:val="AklamaMetni"/>
      </w:pPr>
      <w:r>
        <w:rPr>
          <w:rStyle w:val="AklamaBavurusu"/>
        </w:rPr>
        <w:annotationRef/>
      </w:r>
      <w:r>
        <w:t>?</w:t>
      </w:r>
    </w:p>
  </w:comment>
  <w:comment w:id="14" w:author="İseven" w:date="2025-10-09T15:33:00Z" w:initials="İ">
    <w:p w14:paraId="1A194864" w14:textId="3D3732CF" w:rsidR="006362B3" w:rsidRDefault="006362B3">
      <w:pPr>
        <w:pStyle w:val="AklamaMetni"/>
      </w:pPr>
      <w:r>
        <w:rPr>
          <w:rStyle w:val="AklamaBavurusu"/>
        </w:rPr>
        <w:annotationRef/>
      </w:r>
      <w:r>
        <w:t>It is italic or not?</w:t>
      </w:r>
    </w:p>
  </w:comment>
  <w:comment w:id="15" w:author="İseven" w:date="2025-10-09T15:17:00Z" w:initials="İ">
    <w:p w14:paraId="77D9327B" w14:textId="15A00D43" w:rsidR="006E0C61" w:rsidRDefault="006E0C61">
      <w:pPr>
        <w:pStyle w:val="AklamaMetni"/>
      </w:pPr>
      <w:r>
        <w:rPr>
          <w:rStyle w:val="AklamaBavurusu"/>
        </w:rPr>
        <w:annotationRef/>
      </w:r>
      <w:r w:rsidRPr="006E0C61">
        <w:t>The writing of the references should be reviewed according to the spelling rules.</w:t>
      </w:r>
    </w:p>
  </w:comment>
  <w:comment w:id="16" w:author="İseven" w:date="2025-10-09T15:38:00Z" w:initials="İ">
    <w:p w14:paraId="30A5EE7E" w14:textId="5AFF6294" w:rsidR="00C82F1A" w:rsidRDefault="00C82F1A">
      <w:pPr>
        <w:pStyle w:val="AklamaMetni"/>
      </w:pPr>
      <w:r>
        <w:rPr>
          <w:rStyle w:val="AklamaBavurusu"/>
        </w:rPr>
        <w:annotationRef/>
      </w:r>
      <w:r w:rsidRPr="00C82F1A">
        <w:t xml:space="preserve">This </w:t>
      </w:r>
      <w:r>
        <w:t>referen</w:t>
      </w:r>
      <w:r w:rsidRPr="00C82F1A">
        <w:t>ce is not used in the main text.</w:t>
      </w:r>
    </w:p>
  </w:comment>
  <w:comment w:id="17" w:author="İseven" w:date="2025-10-09T15:19:00Z" w:initials="İ">
    <w:p w14:paraId="2B1A6704" w14:textId="1CD594CB" w:rsidR="006F5769" w:rsidRDefault="006F5769">
      <w:pPr>
        <w:pStyle w:val="AklamaMetni"/>
      </w:pPr>
      <w:r>
        <w:rPr>
          <w:rStyle w:val="AklamaBavurusu"/>
        </w:rPr>
        <w:annotationRef/>
      </w:r>
      <w:r>
        <w:t>?</w:t>
      </w:r>
    </w:p>
  </w:comment>
  <w:comment w:id="18" w:author="İseven" w:date="2025-10-09T15:44:00Z" w:initials="İ">
    <w:p w14:paraId="01162EFC" w14:textId="06DA4BF1" w:rsidR="00874238" w:rsidRDefault="00874238">
      <w:pPr>
        <w:pStyle w:val="AklamaMetni"/>
      </w:pPr>
      <w:r>
        <w:rPr>
          <w:rStyle w:val="AklamaBavurusu"/>
        </w:rPr>
        <w:annotationRef/>
      </w:r>
      <w:r w:rsidRPr="00C82F1A">
        <w:t xml:space="preserve">This </w:t>
      </w:r>
      <w:r>
        <w:t>referen</w:t>
      </w:r>
      <w:r w:rsidRPr="00C82F1A">
        <w:t>ce is not used in the main text.</w:t>
      </w:r>
    </w:p>
  </w:comment>
  <w:comment w:id="19" w:author="İseven" w:date="2025-10-09T15:21:00Z" w:initials="İ">
    <w:p w14:paraId="1D9F7B45" w14:textId="154E7BEC" w:rsidR="006F5769" w:rsidRDefault="006F5769">
      <w:pPr>
        <w:pStyle w:val="AklamaMetni"/>
      </w:pPr>
      <w:r>
        <w:rPr>
          <w:rStyle w:val="AklamaBavurusu"/>
        </w:rPr>
        <w:annotationRef/>
      </w:r>
      <w:r>
        <w:t>Or 2023?</w:t>
      </w:r>
    </w:p>
  </w:comment>
  <w:comment w:id="20" w:author="İseven" w:date="2025-10-09T15:22:00Z" w:initials="İ">
    <w:p w14:paraId="7EF4C53A" w14:textId="089F0C06" w:rsidR="006F5769" w:rsidRDefault="006F5769">
      <w:pPr>
        <w:pStyle w:val="AklamaMetni"/>
      </w:pPr>
      <w:r>
        <w:rPr>
          <w:rStyle w:val="AklamaBavurusu"/>
        </w:rPr>
        <w:annotationRef/>
      </w:r>
      <w:r>
        <w:t>?</w:t>
      </w:r>
    </w:p>
  </w:comment>
  <w:comment w:id="21" w:author="İseven" w:date="2025-10-09T15:15:00Z" w:initials="İ">
    <w:p w14:paraId="4FE811AF" w14:textId="077E01B1" w:rsidR="00900F22" w:rsidRDefault="00900F22">
      <w:pPr>
        <w:pStyle w:val="AklamaMetni"/>
      </w:pPr>
      <w:r>
        <w:rPr>
          <w:rStyle w:val="AklamaBavurusu"/>
        </w:rPr>
        <w:annotationRef/>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959E34" w15:done="0"/>
  <w15:commentEx w15:paraId="3BB2EE40" w15:done="0"/>
  <w15:commentEx w15:paraId="10EA84F9" w15:done="0"/>
  <w15:commentEx w15:paraId="18A3D57A" w15:done="0"/>
  <w15:commentEx w15:paraId="2C1373FA" w15:done="0"/>
  <w15:commentEx w15:paraId="327A92FF" w15:done="0"/>
  <w15:commentEx w15:paraId="610E68B7" w15:done="0"/>
  <w15:commentEx w15:paraId="2E673AA9" w15:done="0"/>
  <w15:commentEx w15:paraId="5F5E9088" w15:done="0"/>
  <w15:commentEx w15:paraId="3894F560" w15:done="0"/>
  <w15:commentEx w15:paraId="257905BC" w15:done="0"/>
  <w15:commentEx w15:paraId="651EE22D" w15:done="0"/>
  <w15:commentEx w15:paraId="39F7C2F3" w15:done="0"/>
  <w15:commentEx w15:paraId="5D561B55" w15:done="0"/>
  <w15:commentEx w15:paraId="1A194864" w15:done="0"/>
  <w15:commentEx w15:paraId="77D9327B" w15:done="0"/>
  <w15:commentEx w15:paraId="30A5EE7E" w15:done="0"/>
  <w15:commentEx w15:paraId="2B1A6704" w15:done="0"/>
  <w15:commentEx w15:paraId="01162EFC" w15:done="0"/>
  <w15:commentEx w15:paraId="1D9F7B45" w15:done="0"/>
  <w15:commentEx w15:paraId="7EF4C53A" w15:done="0"/>
  <w15:commentEx w15:paraId="4FE811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3ABB"/>
    <w:multiLevelType w:val="multilevel"/>
    <w:tmpl w:val="B76C2A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1062D0"/>
    <w:multiLevelType w:val="multilevel"/>
    <w:tmpl w:val="BFFA9506"/>
    <w:lvl w:ilvl="0">
      <w:start w:val="1"/>
      <w:numFmt w:val="decimal"/>
      <w:lvlText w:val="%1."/>
      <w:lvlJc w:val="left"/>
      <w:pPr>
        <w:ind w:left="720" w:hanging="360"/>
      </w:pPr>
      <w:rPr>
        <w:rFonts w:ascii="Times New Roman" w:eastAsiaTheme="minorHAnsi" w:hAnsi="Times New Roman" w:cs="Times New Roman"/>
        <w:sz w:val="22"/>
      </w:rPr>
    </w:lvl>
    <w:lvl w:ilvl="1">
      <w:start w:val="1"/>
      <w:numFmt w:val="decimal"/>
      <w:isLgl/>
      <w:lvlText w:val="%1.%2"/>
      <w:lvlJc w:val="left"/>
      <w:pPr>
        <w:ind w:left="720" w:hanging="360"/>
      </w:pPr>
      <w:rPr>
        <w:rFonts w:eastAsiaTheme="minorHAnsi" w:hint="default"/>
        <w:sz w:val="24"/>
      </w:rPr>
    </w:lvl>
    <w:lvl w:ilvl="2">
      <w:start w:val="1"/>
      <w:numFmt w:val="decimal"/>
      <w:isLgl/>
      <w:lvlText w:val="%1.%2.%3"/>
      <w:lvlJc w:val="left"/>
      <w:pPr>
        <w:ind w:left="1080" w:hanging="720"/>
      </w:pPr>
      <w:rPr>
        <w:rFonts w:eastAsiaTheme="minorHAnsi" w:hint="default"/>
        <w:sz w:val="24"/>
      </w:rPr>
    </w:lvl>
    <w:lvl w:ilvl="3">
      <w:start w:val="1"/>
      <w:numFmt w:val="decimal"/>
      <w:isLgl/>
      <w:lvlText w:val="%1.%2.%3.%4"/>
      <w:lvlJc w:val="left"/>
      <w:pPr>
        <w:ind w:left="1440" w:hanging="1080"/>
      </w:pPr>
      <w:rPr>
        <w:rFonts w:eastAsiaTheme="minorHAnsi" w:hint="default"/>
        <w:sz w:val="24"/>
      </w:rPr>
    </w:lvl>
    <w:lvl w:ilvl="4">
      <w:start w:val="1"/>
      <w:numFmt w:val="decimal"/>
      <w:isLgl/>
      <w:lvlText w:val="%1.%2.%3.%4.%5"/>
      <w:lvlJc w:val="left"/>
      <w:pPr>
        <w:ind w:left="1440" w:hanging="1080"/>
      </w:pPr>
      <w:rPr>
        <w:rFonts w:eastAsiaTheme="minorHAnsi" w:hint="default"/>
        <w:sz w:val="24"/>
      </w:rPr>
    </w:lvl>
    <w:lvl w:ilvl="5">
      <w:start w:val="1"/>
      <w:numFmt w:val="decimal"/>
      <w:isLgl/>
      <w:lvlText w:val="%1.%2.%3.%4.%5.%6"/>
      <w:lvlJc w:val="left"/>
      <w:pPr>
        <w:ind w:left="1800" w:hanging="1440"/>
      </w:pPr>
      <w:rPr>
        <w:rFonts w:eastAsiaTheme="minorHAnsi" w:hint="default"/>
        <w:sz w:val="24"/>
      </w:rPr>
    </w:lvl>
    <w:lvl w:ilvl="6">
      <w:start w:val="1"/>
      <w:numFmt w:val="decimal"/>
      <w:isLgl/>
      <w:lvlText w:val="%1.%2.%3.%4.%5.%6.%7"/>
      <w:lvlJc w:val="left"/>
      <w:pPr>
        <w:ind w:left="1800" w:hanging="1440"/>
      </w:pPr>
      <w:rPr>
        <w:rFonts w:eastAsiaTheme="minorHAnsi" w:hint="default"/>
        <w:sz w:val="24"/>
      </w:rPr>
    </w:lvl>
    <w:lvl w:ilvl="7">
      <w:start w:val="1"/>
      <w:numFmt w:val="decimal"/>
      <w:isLgl/>
      <w:lvlText w:val="%1.%2.%3.%4.%5.%6.%7.%8"/>
      <w:lvlJc w:val="left"/>
      <w:pPr>
        <w:ind w:left="2160" w:hanging="1800"/>
      </w:pPr>
      <w:rPr>
        <w:rFonts w:eastAsiaTheme="minorHAnsi" w:hint="default"/>
        <w:sz w:val="24"/>
      </w:rPr>
    </w:lvl>
    <w:lvl w:ilvl="8">
      <w:start w:val="1"/>
      <w:numFmt w:val="decimal"/>
      <w:isLgl/>
      <w:lvlText w:val="%1.%2.%3.%4.%5.%6.%7.%8.%9"/>
      <w:lvlJc w:val="left"/>
      <w:pPr>
        <w:ind w:left="2520" w:hanging="2160"/>
      </w:pPr>
      <w:rPr>
        <w:rFonts w:eastAsiaTheme="minorHAnsi" w:hint="default"/>
        <w:sz w:val="24"/>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even">
    <w15:presenceInfo w15:providerId="None" w15:userId="İse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GysDAzszA3NTMzNjBU0lEKTi0uzszPAykwrAUAdRl7lywAAAA="/>
  </w:docVars>
  <w:rsids>
    <w:rsidRoot w:val="00370246"/>
    <w:rsid w:val="00077F1E"/>
    <w:rsid w:val="00083D2F"/>
    <w:rsid w:val="00101240"/>
    <w:rsid w:val="00134693"/>
    <w:rsid w:val="001440FF"/>
    <w:rsid w:val="001477A7"/>
    <w:rsid w:val="00160BAF"/>
    <w:rsid w:val="001D1BFA"/>
    <w:rsid w:val="002230A5"/>
    <w:rsid w:val="00237FB1"/>
    <w:rsid w:val="002F49B2"/>
    <w:rsid w:val="003370F8"/>
    <w:rsid w:val="00342348"/>
    <w:rsid w:val="00370246"/>
    <w:rsid w:val="003B4E9F"/>
    <w:rsid w:val="003F1699"/>
    <w:rsid w:val="004062B7"/>
    <w:rsid w:val="00421A60"/>
    <w:rsid w:val="004A27BA"/>
    <w:rsid w:val="004E70D0"/>
    <w:rsid w:val="005018E8"/>
    <w:rsid w:val="00532522"/>
    <w:rsid w:val="005B2640"/>
    <w:rsid w:val="005C5282"/>
    <w:rsid w:val="006362B3"/>
    <w:rsid w:val="0064034C"/>
    <w:rsid w:val="006E0C61"/>
    <w:rsid w:val="006F5769"/>
    <w:rsid w:val="00784835"/>
    <w:rsid w:val="007925E7"/>
    <w:rsid w:val="008207E3"/>
    <w:rsid w:val="008339BE"/>
    <w:rsid w:val="00874238"/>
    <w:rsid w:val="008C41F2"/>
    <w:rsid w:val="008E76DE"/>
    <w:rsid w:val="008F4347"/>
    <w:rsid w:val="00900F22"/>
    <w:rsid w:val="00927326"/>
    <w:rsid w:val="00941B10"/>
    <w:rsid w:val="00966ABC"/>
    <w:rsid w:val="009C0EAD"/>
    <w:rsid w:val="00A54231"/>
    <w:rsid w:val="00A625DD"/>
    <w:rsid w:val="00A77639"/>
    <w:rsid w:val="00AD5E7C"/>
    <w:rsid w:val="00B35289"/>
    <w:rsid w:val="00B40374"/>
    <w:rsid w:val="00B525F8"/>
    <w:rsid w:val="00B54319"/>
    <w:rsid w:val="00B94EA7"/>
    <w:rsid w:val="00C82F1A"/>
    <w:rsid w:val="00CA40F7"/>
    <w:rsid w:val="00CB761C"/>
    <w:rsid w:val="00CF7096"/>
    <w:rsid w:val="00D92ABD"/>
    <w:rsid w:val="00DA29F1"/>
    <w:rsid w:val="00DB2BB4"/>
    <w:rsid w:val="00E726E6"/>
    <w:rsid w:val="00FB405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34D6"/>
  <w15:docId w15:val="{E452786A-CBB9-448D-BBCF-52A4CF82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27326"/>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27326"/>
    <w:rPr>
      <w:b/>
      <w:bCs/>
    </w:rPr>
  </w:style>
  <w:style w:type="paragraph" w:styleId="ResimYazs">
    <w:name w:val="caption"/>
    <w:basedOn w:val="Normal"/>
    <w:next w:val="Normal"/>
    <w:qFormat/>
    <w:rsid w:val="00083D2F"/>
    <w:pPr>
      <w:spacing w:after="0" w:line="240" w:lineRule="auto"/>
    </w:pPr>
    <w:rPr>
      <w:rFonts w:ascii="Times New Roman" w:eastAsia="Times New Roman" w:hAnsi="Times New Roman" w:cs="Times New Roman"/>
      <w:b/>
      <w:bCs/>
      <w:sz w:val="20"/>
      <w:szCs w:val="20"/>
    </w:rPr>
  </w:style>
  <w:style w:type="paragraph" w:styleId="AralkYok">
    <w:name w:val="No Spacing"/>
    <w:uiPriority w:val="1"/>
    <w:qFormat/>
    <w:rsid w:val="00AD5E7C"/>
    <w:pPr>
      <w:spacing w:after="0" w:line="240" w:lineRule="auto"/>
    </w:pPr>
  </w:style>
  <w:style w:type="character" w:styleId="Kpr">
    <w:name w:val="Hyperlink"/>
    <w:basedOn w:val="VarsaylanParagrafYazTipi"/>
    <w:uiPriority w:val="99"/>
    <w:unhideWhenUsed/>
    <w:rsid w:val="00AD5E7C"/>
    <w:rPr>
      <w:color w:val="0000FF" w:themeColor="hyperlink"/>
      <w:u w:val="single"/>
    </w:rPr>
  </w:style>
  <w:style w:type="paragraph" w:styleId="ListeParagraf">
    <w:name w:val="List Paragraph"/>
    <w:basedOn w:val="Normal"/>
    <w:uiPriority w:val="34"/>
    <w:qFormat/>
    <w:rsid w:val="004E70D0"/>
    <w:pPr>
      <w:ind w:left="720"/>
      <w:contextualSpacing/>
    </w:pPr>
  </w:style>
  <w:style w:type="paragraph" w:styleId="BalonMetni">
    <w:name w:val="Balloon Text"/>
    <w:basedOn w:val="Normal"/>
    <w:link w:val="BalonMetniChar"/>
    <w:uiPriority w:val="99"/>
    <w:semiHidden/>
    <w:unhideWhenUsed/>
    <w:rsid w:val="009C0E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0EAD"/>
    <w:rPr>
      <w:rFonts w:ascii="Tahoma" w:hAnsi="Tahoma" w:cs="Tahoma"/>
      <w:sz w:val="16"/>
      <w:szCs w:val="16"/>
    </w:rPr>
  </w:style>
  <w:style w:type="character" w:customStyle="1" w:styleId="UnresolvedMention">
    <w:name w:val="Unresolved Mention"/>
    <w:basedOn w:val="VarsaylanParagrafYazTipi"/>
    <w:uiPriority w:val="99"/>
    <w:semiHidden/>
    <w:unhideWhenUsed/>
    <w:rsid w:val="00DA29F1"/>
    <w:rPr>
      <w:color w:val="605E5C"/>
      <w:shd w:val="clear" w:color="auto" w:fill="E1DFDD"/>
    </w:rPr>
  </w:style>
  <w:style w:type="character" w:styleId="AklamaBavurusu">
    <w:name w:val="annotation reference"/>
    <w:basedOn w:val="VarsaylanParagrafYazTipi"/>
    <w:uiPriority w:val="99"/>
    <w:semiHidden/>
    <w:unhideWhenUsed/>
    <w:rsid w:val="003F1699"/>
    <w:rPr>
      <w:sz w:val="16"/>
      <w:szCs w:val="16"/>
    </w:rPr>
  </w:style>
  <w:style w:type="paragraph" w:styleId="AklamaMetni">
    <w:name w:val="annotation text"/>
    <w:basedOn w:val="Normal"/>
    <w:link w:val="AklamaMetniChar"/>
    <w:uiPriority w:val="99"/>
    <w:semiHidden/>
    <w:unhideWhenUsed/>
    <w:rsid w:val="003F169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F1699"/>
    <w:rPr>
      <w:sz w:val="20"/>
      <w:szCs w:val="20"/>
    </w:rPr>
  </w:style>
  <w:style w:type="paragraph" w:styleId="AklamaKonusu">
    <w:name w:val="annotation subject"/>
    <w:basedOn w:val="AklamaMetni"/>
    <w:next w:val="AklamaMetni"/>
    <w:link w:val="AklamaKonusuChar"/>
    <w:uiPriority w:val="99"/>
    <w:semiHidden/>
    <w:unhideWhenUsed/>
    <w:rsid w:val="003F1699"/>
    <w:rPr>
      <w:b/>
      <w:bCs/>
    </w:rPr>
  </w:style>
  <w:style w:type="character" w:customStyle="1" w:styleId="AklamaKonusuChar">
    <w:name w:val="Açıklama Konusu Char"/>
    <w:basedOn w:val="AklamaMetniChar"/>
    <w:link w:val="AklamaKonusu"/>
    <w:uiPriority w:val="99"/>
    <w:semiHidden/>
    <w:rsid w:val="003F16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903650">
      <w:bodyDiv w:val="1"/>
      <w:marLeft w:val="0"/>
      <w:marRight w:val="0"/>
      <w:marTop w:val="0"/>
      <w:marBottom w:val="0"/>
      <w:divBdr>
        <w:top w:val="none" w:sz="0" w:space="0" w:color="auto"/>
        <w:left w:val="none" w:sz="0" w:space="0" w:color="auto"/>
        <w:bottom w:val="none" w:sz="0" w:space="0" w:color="auto"/>
        <w:right w:val="none" w:sz="0" w:space="0" w:color="auto"/>
      </w:divBdr>
    </w:div>
    <w:div w:id="1464813963">
      <w:bodyDiv w:val="1"/>
      <w:marLeft w:val="0"/>
      <w:marRight w:val="0"/>
      <w:marTop w:val="0"/>
      <w:marBottom w:val="0"/>
      <w:divBdr>
        <w:top w:val="none" w:sz="0" w:space="0" w:color="auto"/>
        <w:left w:val="none" w:sz="0" w:space="0" w:color="auto"/>
        <w:bottom w:val="none" w:sz="0" w:space="0" w:color="auto"/>
        <w:right w:val="none" w:sz="0" w:space="0" w:color="auto"/>
      </w:divBdr>
      <w:divsChild>
        <w:div w:id="214315948">
          <w:marLeft w:val="0"/>
          <w:marRight w:val="0"/>
          <w:marTop w:val="0"/>
          <w:marBottom w:val="0"/>
          <w:divBdr>
            <w:top w:val="none" w:sz="0" w:space="0" w:color="auto"/>
            <w:left w:val="none" w:sz="0" w:space="0" w:color="auto"/>
            <w:bottom w:val="none" w:sz="0" w:space="0" w:color="auto"/>
            <w:right w:val="none" w:sz="0" w:space="0" w:color="auto"/>
          </w:divBdr>
        </w:div>
      </w:divsChild>
    </w:div>
    <w:div w:id="1576428646">
      <w:bodyDiv w:val="1"/>
      <w:marLeft w:val="0"/>
      <w:marRight w:val="0"/>
      <w:marTop w:val="0"/>
      <w:marBottom w:val="0"/>
      <w:divBdr>
        <w:top w:val="none" w:sz="0" w:space="0" w:color="auto"/>
        <w:left w:val="none" w:sz="0" w:space="0" w:color="auto"/>
        <w:bottom w:val="none" w:sz="0" w:space="0" w:color="auto"/>
        <w:right w:val="none" w:sz="0" w:space="0" w:color="auto"/>
      </w:divBdr>
      <w:divsChild>
        <w:div w:id="101001735">
          <w:marLeft w:val="0"/>
          <w:marRight w:val="0"/>
          <w:marTop w:val="0"/>
          <w:marBottom w:val="0"/>
          <w:divBdr>
            <w:top w:val="none" w:sz="0" w:space="0" w:color="auto"/>
            <w:left w:val="none" w:sz="0" w:space="0" w:color="auto"/>
            <w:bottom w:val="none" w:sz="0" w:space="0" w:color="auto"/>
            <w:right w:val="none" w:sz="0" w:space="0" w:color="auto"/>
          </w:divBdr>
        </w:div>
      </w:divsChild>
    </w:div>
    <w:div w:id="168166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jsrr/2024/v30i82270" TargetMode="Externa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m\Desktop\DE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u="none" strike="noStrike" baseline="0">
                <a:effectLst/>
                <a:latin typeface="Times New Roman" panose="02020603050405020304" pitchFamily="18" charset="0"/>
                <a:cs typeface="Times New Roman" panose="02020603050405020304" pitchFamily="18" charset="0"/>
              </a:rPr>
              <a:t>Average Efficiencies (%)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Sheet4!$H$6</c:f>
              <c:strCache>
                <c:ptCount val="1"/>
                <c:pt idx="0">
                  <c:v>Member (N=30)</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Sheet4!$G$7:$G$11</c:f>
              <c:strCache>
                <c:ptCount val="5"/>
                <c:pt idx="0">
                  <c:v>TE</c:v>
                </c:pt>
                <c:pt idx="1">
                  <c:v>AE</c:v>
                </c:pt>
                <c:pt idx="2">
                  <c:v>EE</c:v>
                </c:pt>
                <c:pt idx="3">
                  <c:v>PTE</c:v>
                </c:pt>
                <c:pt idx="4">
                  <c:v>SE</c:v>
                </c:pt>
              </c:strCache>
            </c:strRef>
          </c:cat>
          <c:val>
            <c:numRef>
              <c:f>Sheet4!$H$7:$H$11</c:f>
              <c:numCache>
                <c:formatCode>General</c:formatCode>
                <c:ptCount val="5"/>
                <c:pt idx="0">
                  <c:v>87</c:v>
                </c:pt>
                <c:pt idx="1">
                  <c:v>96</c:v>
                </c:pt>
                <c:pt idx="2">
                  <c:v>83</c:v>
                </c:pt>
                <c:pt idx="3">
                  <c:v>89</c:v>
                </c:pt>
                <c:pt idx="4">
                  <c:v>98</c:v>
                </c:pt>
              </c:numCache>
            </c:numRef>
          </c:val>
          <c:extLst>
            <c:ext xmlns:c16="http://schemas.microsoft.com/office/drawing/2014/chart" uri="{C3380CC4-5D6E-409C-BE32-E72D297353CC}">
              <c16:uniqueId val="{00000000-0AD1-4956-8276-0DA6AE3E9D09}"/>
            </c:ext>
          </c:extLst>
        </c:ser>
        <c:ser>
          <c:idx val="1"/>
          <c:order val="1"/>
          <c:tx>
            <c:strRef>
              <c:f>Sheet4!$I$6</c:f>
              <c:strCache>
                <c:ptCount val="1"/>
                <c:pt idx="0">
                  <c:v>Non-Member (N=30)</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Sheet4!$G$7:$G$11</c:f>
              <c:strCache>
                <c:ptCount val="5"/>
                <c:pt idx="0">
                  <c:v>TE</c:v>
                </c:pt>
                <c:pt idx="1">
                  <c:v>AE</c:v>
                </c:pt>
                <c:pt idx="2">
                  <c:v>EE</c:v>
                </c:pt>
                <c:pt idx="3">
                  <c:v>PTE</c:v>
                </c:pt>
                <c:pt idx="4">
                  <c:v>SE</c:v>
                </c:pt>
              </c:strCache>
            </c:strRef>
          </c:cat>
          <c:val>
            <c:numRef>
              <c:f>Sheet4!$I$7:$I$11</c:f>
              <c:numCache>
                <c:formatCode>General</c:formatCode>
                <c:ptCount val="5"/>
                <c:pt idx="0">
                  <c:v>79</c:v>
                </c:pt>
                <c:pt idx="1">
                  <c:v>94</c:v>
                </c:pt>
                <c:pt idx="2">
                  <c:v>74</c:v>
                </c:pt>
                <c:pt idx="3">
                  <c:v>81</c:v>
                </c:pt>
                <c:pt idx="4">
                  <c:v>98</c:v>
                </c:pt>
              </c:numCache>
            </c:numRef>
          </c:val>
          <c:extLst>
            <c:ext xmlns:c16="http://schemas.microsoft.com/office/drawing/2014/chart" uri="{C3380CC4-5D6E-409C-BE32-E72D297353CC}">
              <c16:uniqueId val="{00000001-0AD1-4956-8276-0DA6AE3E9D09}"/>
            </c:ext>
          </c:extLst>
        </c:ser>
        <c:dLbls>
          <c:showLegendKey val="0"/>
          <c:showVal val="1"/>
          <c:showCatName val="0"/>
          <c:showSerName val="0"/>
          <c:showPercent val="0"/>
          <c:showBubbleSize val="0"/>
        </c:dLbls>
        <c:gapWidth val="150"/>
        <c:shape val="box"/>
        <c:axId val="147151104"/>
        <c:axId val="155374720"/>
        <c:axId val="0"/>
      </c:bar3DChart>
      <c:catAx>
        <c:axId val="147151104"/>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tr-TR"/>
          </a:p>
        </c:txPr>
        <c:crossAx val="155374720"/>
        <c:crosses val="autoZero"/>
        <c:auto val="1"/>
        <c:lblAlgn val="ctr"/>
        <c:lblOffset val="100"/>
        <c:noMultiLvlLbl val="0"/>
      </c:catAx>
      <c:valAx>
        <c:axId val="155374720"/>
        <c:scaling>
          <c:orientation val="minMax"/>
        </c:scaling>
        <c:delete val="1"/>
        <c:axPos val="l"/>
        <c:numFmt formatCode="General" sourceLinked="1"/>
        <c:majorTickMark val="out"/>
        <c:minorTickMark val="none"/>
        <c:tickLblPos val="nextTo"/>
        <c:crossAx val="147151104"/>
        <c:crosses val="autoZero"/>
        <c:crossBetween val="between"/>
      </c:valAx>
    </c:plotArea>
    <c:legend>
      <c:legendPos val="t"/>
      <c:overlay val="0"/>
      <c:txPr>
        <a:bodyPr/>
        <a:lstStyle/>
        <a:p>
          <a:pPr>
            <a:defRPr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Technical</a:t>
            </a:r>
            <a:r>
              <a:rPr lang="en-US" sz="1400" baseline="0">
                <a:latin typeface="Times New Roman" panose="02020603050405020304" pitchFamily="18" charset="0"/>
                <a:cs typeface="Times New Roman" panose="02020603050405020304" pitchFamily="18" charset="0"/>
              </a:rPr>
              <a:t> Efficiency Range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Sheet4!$C$21</c:f>
              <c:strCache>
                <c:ptCount val="1"/>
                <c:pt idx="0">
                  <c:v>Member</c:v>
                </c:pt>
              </c:strCache>
            </c:strRef>
          </c:tx>
          <c:spPr>
            <a:solidFill>
              <a:srgbClr val="FFC000"/>
            </a:solidFill>
          </c:spPr>
          <c:invertIfNegative val="0"/>
          <c:dLbls>
            <c:spPr>
              <a:noFill/>
              <a:ln>
                <a:noFill/>
              </a:ln>
              <a:effectLst/>
            </c:spPr>
            <c:txPr>
              <a:bodyPr/>
              <a:lstStyle/>
              <a:p>
                <a:pPr>
                  <a:defRPr b="1"/>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Sheet4!$B$22:$B$25</c:f>
              <c:strCache>
                <c:ptCount val="4"/>
                <c:pt idx="0">
                  <c:v>&lt; 50</c:v>
                </c:pt>
                <c:pt idx="1">
                  <c:v>50-70</c:v>
                </c:pt>
                <c:pt idx="2">
                  <c:v>70-90</c:v>
                </c:pt>
                <c:pt idx="3">
                  <c:v>90-100</c:v>
                </c:pt>
              </c:strCache>
            </c:strRef>
          </c:cat>
          <c:val>
            <c:numRef>
              <c:f>Sheet4!$C$22:$C$25</c:f>
              <c:numCache>
                <c:formatCode>General</c:formatCode>
                <c:ptCount val="4"/>
                <c:pt idx="0">
                  <c:v>0</c:v>
                </c:pt>
                <c:pt idx="1">
                  <c:v>6.7</c:v>
                </c:pt>
                <c:pt idx="2">
                  <c:v>56.6</c:v>
                </c:pt>
                <c:pt idx="3">
                  <c:v>36.700000000000003</c:v>
                </c:pt>
              </c:numCache>
            </c:numRef>
          </c:val>
          <c:extLst>
            <c:ext xmlns:c16="http://schemas.microsoft.com/office/drawing/2014/chart" uri="{C3380CC4-5D6E-409C-BE32-E72D297353CC}">
              <c16:uniqueId val="{00000000-7F84-4B2C-97F1-138CD6D96697}"/>
            </c:ext>
          </c:extLst>
        </c:ser>
        <c:ser>
          <c:idx val="1"/>
          <c:order val="1"/>
          <c:tx>
            <c:strRef>
              <c:f>Sheet4!$D$21</c:f>
              <c:strCache>
                <c:ptCount val="1"/>
                <c:pt idx="0">
                  <c:v>Non-Member</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Sheet4!$B$22:$B$25</c:f>
              <c:strCache>
                <c:ptCount val="4"/>
                <c:pt idx="0">
                  <c:v>&lt; 50</c:v>
                </c:pt>
                <c:pt idx="1">
                  <c:v>50-70</c:v>
                </c:pt>
                <c:pt idx="2">
                  <c:v>70-90</c:v>
                </c:pt>
                <c:pt idx="3">
                  <c:v>90-100</c:v>
                </c:pt>
              </c:strCache>
            </c:strRef>
          </c:cat>
          <c:val>
            <c:numRef>
              <c:f>Sheet4!$D$22:$D$25</c:f>
              <c:numCache>
                <c:formatCode>General</c:formatCode>
                <c:ptCount val="4"/>
                <c:pt idx="0">
                  <c:v>0</c:v>
                </c:pt>
                <c:pt idx="1">
                  <c:v>73</c:v>
                </c:pt>
                <c:pt idx="2">
                  <c:v>27</c:v>
                </c:pt>
                <c:pt idx="3">
                  <c:v>0</c:v>
                </c:pt>
              </c:numCache>
            </c:numRef>
          </c:val>
          <c:extLst>
            <c:ext xmlns:c16="http://schemas.microsoft.com/office/drawing/2014/chart" uri="{C3380CC4-5D6E-409C-BE32-E72D297353CC}">
              <c16:uniqueId val="{00000001-7F84-4B2C-97F1-138CD6D96697}"/>
            </c:ext>
          </c:extLst>
        </c:ser>
        <c:dLbls>
          <c:showLegendKey val="0"/>
          <c:showVal val="1"/>
          <c:showCatName val="0"/>
          <c:showSerName val="0"/>
          <c:showPercent val="0"/>
          <c:showBubbleSize val="0"/>
        </c:dLbls>
        <c:gapWidth val="150"/>
        <c:shape val="box"/>
        <c:axId val="147244928"/>
        <c:axId val="147246464"/>
        <c:axId val="0"/>
      </c:bar3DChart>
      <c:catAx>
        <c:axId val="147244928"/>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tr-TR"/>
          </a:p>
        </c:txPr>
        <c:crossAx val="147246464"/>
        <c:crosses val="autoZero"/>
        <c:auto val="1"/>
        <c:lblAlgn val="ctr"/>
        <c:lblOffset val="100"/>
        <c:noMultiLvlLbl val="0"/>
      </c:catAx>
      <c:valAx>
        <c:axId val="147246464"/>
        <c:scaling>
          <c:orientation val="minMax"/>
        </c:scaling>
        <c:delete val="1"/>
        <c:axPos val="l"/>
        <c:numFmt formatCode="General" sourceLinked="1"/>
        <c:majorTickMark val="out"/>
        <c:minorTickMark val="none"/>
        <c:tickLblPos val="nextTo"/>
        <c:crossAx val="147244928"/>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Average Efficiencies (%)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Sheet5!$H$5</c:f>
              <c:strCache>
                <c:ptCount val="1"/>
                <c:pt idx="0">
                  <c:v>Member (N=30)</c:v>
                </c:pt>
              </c:strCache>
            </c:strRef>
          </c:tx>
          <c:spPr>
            <a:solidFill>
              <a:srgbClr val="00DA63"/>
            </a:solidFill>
          </c:spPr>
          <c:invertIfNegative val="0"/>
          <c:dLbls>
            <c:spPr>
              <a:noFill/>
              <a:ln>
                <a:noFill/>
              </a:ln>
              <a:effectLst/>
            </c:spPr>
            <c:txPr>
              <a:bodyPr/>
              <a:lstStyle/>
              <a:p>
                <a:pPr>
                  <a:defRPr b="1"/>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Sheet5!$G$6:$G$10</c:f>
              <c:strCache>
                <c:ptCount val="5"/>
                <c:pt idx="0">
                  <c:v>TE</c:v>
                </c:pt>
                <c:pt idx="1">
                  <c:v>AE</c:v>
                </c:pt>
                <c:pt idx="2">
                  <c:v>EE</c:v>
                </c:pt>
                <c:pt idx="3">
                  <c:v>PTE</c:v>
                </c:pt>
                <c:pt idx="4">
                  <c:v>SE</c:v>
                </c:pt>
              </c:strCache>
            </c:strRef>
          </c:cat>
          <c:val>
            <c:numRef>
              <c:f>Sheet5!$H$6:$H$10</c:f>
              <c:numCache>
                <c:formatCode>General</c:formatCode>
                <c:ptCount val="5"/>
                <c:pt idx="0">
                  <c:v>89</c:v>
                </c:pt>
                <c:pt idx="1">
                  <c:v>99.8</c:v>
                </c:pt>
                <c:pt idx="2">
                  <c:v>89</c:v>
                </c:pt>
                <c:pt idx="3">
                  <c:v>92</c:v>
                </c:pt>
                <c:pt idx="4">
                  <c:v>97</c:v>
                </c:pt>
              </c:numCache>
            </c:numRef>
          </c:val>
          <c:extLst>
            <c:ext xmlns:c16="http://schemas.microsoft.com/office/drawing/2014/chart" uri="{C3380CC4-5D6E-409C-BE32-E72D297353CC}">
              <c16:uniqueId val="{00000000-FA90-4DB8-9561-F0424319D100}"/>
            </c:ext>
          </c:extLst>
        </c:ser>
        <c:ser>
          <c:idx val="1"/>
          <c:order val="1"/>
          <c:tx>
            <c:strRef>
              <c:f>Sheet5!$I$5</c:f>
              <c:strCache>
                <c:ptCount val="1"/>
                <c:pt idx="0">
                  <c:v>Non-Member (N=30)</c:v>
                </c:pt>
              </c:strCache>
            </c:strRef>
          </c:tx>
          <c:spPr>
            <a:solidFill>
              <a:srgbClr val="FF33CC"/>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Sheet5!$G$6:$G$10</c:f>
              <c:strCache>
                <c:ptCount val="5"/>
                <c:pt idx="0">
                  <c:v>TE</c:v>
                </c:pt>
                <c:pt idx="1">
                  <c:v>AE</c:v>
                </c:pt>
                <c:pt idx="2">
                  <c:v>EE</c:v>
                </c:pt>
                <c:pt idx="3">
                  <c:v>PTE</c:v>
                </c:pt>
                <c:pt idx="4">
                  <c:v>SE</c:v>
                </c:pt>
              </c:strCache>
            </c:strRef>
          </c:cat>
          <c:val>
            <c:numRef>
              <c:f>Sheet5!$I$6:$I$10</c:f>
              <c:numCache>
                <c:formatCode>General</c:formatCode>
                <c:ptCount val="5"/>
                <c:pt idx="0">
                  <c:v>89</c:v>
                </c:pt>
                <c:pt idx="1">
                  <c:v>60</c:v>
                </c:pt>
                <c:pt idx="2">
                  <c:v>54</c:v>
                </c:pt>
                <c:pt idx="3">
                  <c:v>92</c:v>
                </c:pt>
                <c:pt idx="4">
                  <c:v>96</c:v>
                </c:pt>
              </c:numCache>
            </c:numRef>
          </c:val>
          <c:extLst>
            <c:ext xmlns:c16="http://schemas.microsoft.com/office/drawing/2014/chart" uri="{C3380CC4-5D6E-409C-BE32-E72D297353CC}">
              <c16:uniqueId val="{00000001-FA90-4DB8-9561-F0424319D100}"/>
            </c:ext>
          </c:extLst>
        </c:ser>
        <c:dLbls>
          <c:showLegendKey val="0"/>
          <c:showVal val="1"/>
          <c:showCatName val="0"/>
          <c:showSerName val="0"/>
          <c:showPercent val="0"/>
          <c:showBubbleSize val="0"/>
        </c:dLbls>
        <c:gapWidth val="150"/>
        <c:shape val="box"/>
        <c:axId val="164452224"/>
        <c:axId val="164453760"/>
        <c:axId val="0"/>
      </c:bar3DChart>
      <c:catAx>
        <c:axId val="164452224"/>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tr-TR"/>
          </a:p>
        </c:txPr>
        <c:crossAx val="164453760"/>
        <c:crosses val="autoZero"/>
        <c:auto val="1"/>
        <c:lblAlgn val="ctr"/>
        <c:lblOffset val="100"/>
        <c:noMultiLvlLbl val="0"/>
      </c:catAx>
      <c:valAx>
        <c:axId val="164453760"/>
        <c:scaling>
          <c:orientation val="minMax"/>
        </c:scaling>
        <c:delete val="1"/>
        <c:axPos val="l"/>
        <c:numFmt formatCode="General" sourceLinked="1"/>
        <c:majorTickMark val="out"/>
        <c:minorTickMark val="none"/>
        <c:tickLblPos val="nextTo"/>
        <c:crossAx val="164452224"/>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Sheet5!$H$14</c:f>
              <c:strCache>
                <c:ptCount val="1"/>
                <c:pt idx="0">
                  <c:v>Member (N=30)</c:v>
                </c:pt>
              </c:strCache>
            </c:strRef>
          </c:tx>
          <c:spPr>
            <a:solidFill>
              <a:srgbClr val="FFC000"/>
            </a:solidFill>
          </c:spPr>
          <c:invertIfNegative val="0"/>
          <c:dLbls>
            <c:spPr>
              <a:noFill/>
              <a:ln>
                <a:noFill/>
              </a:ln>
              <a:effectLst/>
            </c:spPr>
            <c:txPr>
              <a:bodyPr/>
              <a:lstStyle/>
              <a:p>
                <a:pPr>
                  <a:defRPr b="1"/>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Sheet5!$G$15:$G$18</c:f>
              <c:strCache>
                <c:ptCount val="4"/>
                <c:pt idx="0">
                  <c:v>&lt; 50</c:v>
                </c:pt>
                <c:pt idx="1">
                  <c:v>50-70</c:v>
                </c:pt>
                <c:pt idx="2">
                  <c:v>70-90</c:v>
                </c:pt>
                <c:pt idx="3">
                  <c:v>90-100</c:v>
                </c:pt>
              </c:strCache>
            </c:strRef>
          </c:cat>
          <c:val>
            <c:numRef>
              <c:f>Sheet5!$H$15:$H$18</c:f>
              <c:numCache>
                <c:formatCode>General</c:formatCode>
                <c:ptCount val="4"/>
                <c:pt idx="0">
                  <c:v>0</c:v>
                </c:pt>
                <c:pt idx="1">
                  <c:v>0</c:v>
                </c:pt>
                <c:pt idx="2">
                  <c:v>66.7</c:v>
                </c:pt>
                <c:pt idx="3">
                  <c:v>33.299999999999997</c:v>
                </c:pt>
              </c:numCache>
            </c:numRef>
          </c:val>
          <c:extLst>
            <c:ext xmlns:c16="http://schemas.microsoft.com/office/drawing/2014/chart" uri="{C3380CC4-5D6E-409C-BE32-E72D297353CC}">
              <c16:uniqueId val="{00000000-FC4C-452D-94F2-8A4327FEDAE2}"/>
            </c:ext>
          </c:extLst>
        </c:ser>
        <c:ser>
          <c:idx val="1"/>
          <c:order val="1"/>
          <c:tx>
            <c:strRef>
              <c:f>Sheet5!$I$14</c:f>
              <c:strCache>
                <c:ptCount val="1"/>
                <c:pt idx="0">
                  <c:v>Non-Member (N=30)</c:v>
                </c:pt>
              </c:strCache>
            </c:strRef>
          </c:tx>
          <c:invertIfNegative val="0"/>
          <c:dLbls>
            <c:spPr>
              <a:noFill/>
              <a:ln>
                <a:noFill/>
              </a:ln>
              <a:effectLst/>
            </c:spPr>
            <c:txPr>
              <a:bodyPr/>
              <a:lstStyle/>
              <a:p>
                <a:pPr>
                  <a:defRPr b="1"/>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Sheet5!$G$15:$G$18</c:f>
              <c:strCache>
                <c:ptCount val="4"/>
                <c:pt idx="0">
                  <c:v>&lt; 50</c:v>
                </c:pt>
                <c:pt idx="1">
                  <c:v>50-70</c:v>
                </c:pt>
                <c:pt idx="2">
                  <c:v>70-90</c:v>
                </c:pt>
                <c:pt idx="3">
                  <c:v>90-100</c:v>
                </c:pt>
              </c:strCache>
            </c:strRef>
          </c:cat>
          <c:val>
            <c:numRef>
              <c:f>Sheet5!$I$15:$I$18</c:f>
              <c:numCache>
                <c:formatCode>General</c:formatCode>
                <c:ptCount val="4"/>
                <c:pt idx="0">
                  <c:v>0</c:v>
                </c:pt>
                <c:pt idx="1">
                  <c:v>0</c:v>
                </c:pt>
                <c:pt idx="2">
                  <c:v>66.599999999999994</c:v>
                </c:pt>
                <c:pt idx="3">
                  <c:v>33.4</c:v>
                </c:pt>
              </c:numCache>
            </c:numRef>
          </c:val>
          <c:extLst>
            <c:ext xmlns:c16="http://schemas.microsoft.com/office/drawing/2014/chart" uri="{C3380CC4-5D6E-409C-BE32-E72D297353CC}">
              <c16:uniqueId val="{00000001-FC4C-452D-94F2-8A4327FEDAE2}"/>
            </c:ext>
          </c:extLst>
        </c:ser>
        <c:dLbls>
          <c:showLegendKey val="0"/>
          <c:showVal val="1"/>
          <c:showCatName val="0"/>
          <c:showSerName val="0"/>
          <c:showPercent val="0"/>
          <c:showBubbleSize val="0"/>
        </c:dLbls>
        <c:gapWidth val="150"/>
        <c:shape val="box"/>
        <c:axId val="164484992"/>
        <c:axId val="164486528"/>
        <c:axId val="0"/>
      </c:bar3DChart>
      <c:catAx>
        <c:axId val="164484992"/>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tr-TR"/>
          </a:p>
        </c:txPr>
        <c:crossAx val="164486528"/>
        <c:crosses val="autoZero"/>
        <c:auto val="1"/>
        <c:lblAlgn val="ctr"/>
        <c:lblOffset val="100"/>
        <c:noMultiLvlLbl val="0"/>
      </c:catAx>
      <c:valAx>
        <c:axId val="164486528"/>
        <c:scaling>
          <c:orientation val="minMax"/>
        </c:scaling>
        <c:delete val="1"/>
        <c:axPos val="l"/>
        <c:numFmt formatCode="General" sourceLinked="1"/>
        <c:majorTickMark val="out"/>
        <c:minorTickMark val="none"/>
        <c:tickLblPos val="nextTo"/>
        <c:crossAx val="164484992"/>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Average</a:t>
            </a:r>
            <a:r>
              <a:rPr lang="en-US" sz="1400" baseline="0">
                <a:latin typeface="Times New Roman" panose="02020603050405020304" pitchFamily="18" charset="0"/>
                <a:cs typeface="Times New Roman" panose="02020603050405020304" pitchFamily="18" charset="0"/>
              </a:rPr>
              <a:t> Efficiencies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Sheet6!$I$15</c:f>
              <c:strCache>
                <c:ptCount val="1"/>
                <c:pt idx="0">
                  <c:v>Member (N=30)</c:v>
                </c:pt>
              </c:strCache>
            </c:strRef>
          </c:tx>
          <c:spPr>
            <a:solidFill>
              <a:srgbClr val="00DA63"/>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Sheet6!$H$9:$H$13</c:f>
              <c:strCache>
                <c:ptCount val="5"/>
                <c:pt idx="0">
                  <c:v>TE</c:v>
                </c:pt>
                <c:pt idx="1">
                  <c:v>AE</c:v>
                </c:pt>
                <c:pt idx="2">
                  <c:v>EE</c:v>
                </c:pt>
                <c:pt idx="3">
                  <c:v>PTE</c:v>
                </c:pt>
                <c:pt idx="4">
                  <c:v>SE</c:v>
                </c:pt>
              </c:strCache>
            </c:strRef>
          </c:cat>
          <c:val>
            <c:numRef>
              <c:f>Sheet6!$I$9:$I$13</c:f>
              <c:numCache>
                <c:formatCode>General</c:formatCode>
                <c:ptCount val="5"/>
                <c:pt idx="0">
                  <c:v>83</c:v>
                </c:pt>
                <c:pt idx="1">
                  <c:v>93.2</c:v>
                </c:pt>
                <c:pt idx="2">
                  <c:v>78</c:v>
                </c:pt>
                <c:pt idx="3">
                  <c:v>88</c:v>
                </c:pt>
                <c:pt idx="4">
                  <c:v>94</c:v>
                </c:pt>
              </c:numCache>
            </c:numRef>
          </c:val>
          <c:extLst>
            <c:ext xmlns:c16="http://schemas.microsoft.com/office/drawing/2014/chart" uri="{C3380CC4-5D6E-409C-BE32-E72D297353CC}">
              <c16:uniqueId val="{00000000-F898-45AF-8A60-8C5DD4130863}"/>
            </c:ext>
          </c:extLst>
        </c:ser>
        <c:ser>
          <c:idx val="1"/>
          <c:order val="1"/>
          <c:tx>
            <c:strRef>
              <c:f>Sheet6!$J$15</c:f>
              <c:strCache>
                <c:ptCount val="1"/>
                <c:pt idx="0">
                  <c:v>Non-Member (N=30)</c:v>
                </c:pt>
              </c:strCache>
            </c:strRef>
          </c:tx>
          <c:spPr>
            <a:solidFill>
              <a:srgbClr val="FF33CC"/>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Sheet6!$H$9:$H$13</c:f>
              <c:strCache>
                <c:ptCount val="5"/>
                <c:pt idx="0">
                  <c:v>TE</c:v>
                </c:pt>
                <c:pt idx="1">
                  <c:v>AE</c:v>
                </c:pt>
                <c:pt idx="2">
                  <c:v>EE</c:v>
                </c:pt>
                <c:pt idx="3">
                  <c:v>PTE</c:v>
                </c:pt>
                <c:pt idx="4">
                  <c:v>SE</c:v>
                </c:pt>
              </c:strCache>
            </c:strRef>
          </c:cat>
          <c:val>
            <c:numRef>
              <c:f>Sheet6!$J$9:$J$13</c:f>
              <c:numCache>
                <c:formatCode>General</c:formatCode>
                <c:ptCount val="5"/>
                <c:pt idx="0">
                  <c:v>71</c:v>
                </c:pt>
                <c:pt idx="1">
                  <c:v>99</c:v>
                </c:pt>
                <c:pt idx="2">
                  <c:v>77</c:v>
                </c:pt>
                <c:pt idx="3">
                  <c:v>51</c:v>
                </c:pt>
                <c:pt idx="4">
                  <c:v>93</c:v>
                </c:pt>
              </c:numCache>
            </c:numRef>
          </c:val>
          <c:extLst>
            <c:ext xmlns:c16="http://schemas.microsoft.com/office/drawing/2014/chart" uri="{C3380CC4-5D6E-409C-BE32-E72D297353CC}">
              <c16:uniqueId val="{00000001-F898-45AF-8A60-8C5DD4130863}"/>
            </c:ext>
          </c:extLst>
        </c:ser>
        <c:dLbls>
          <c:showLegendKey val="0"/>
          <c:showVal val="1"/>
          <c:showCatName val="0"/>
          <c:showSerName val="0"/>
          <c:showPercent val="0"/>
          <c:showBubbleSize val="0"/>
        </c:dLbls>
        <c:gapWidth val="150"/>
        <c:shape val="box"/>
        <c:axId val="149255680"/>
        <c:axId val="149257216"/>
        <c:axId val="0"/>
      </c:bar3DChart>
      <c:catAx>
        <c:axId val="149255680"/>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tr-TR"/>
          </a:p>
        </c:txPr>
        <c:crossAx val="149257216"/>
        <c:crosses val="autoZero"/>
        <c:auto val="1"/>
        <c:lblAlgn val="ctr"/>
        <c:lblOffset val="100"/>
        <c:noMultiLvlLbl val="0"/>
      </c:catAx>
      <c:valAx>
        <c:axId val="149257216"/>
        <c:scaling>
          <c:orientation val="minMax"/>
        </c:scaling>
        <c:delete val="1"/>
        <c:axPos val="l"/>
        <c:numFmt formatCode="General" sourceLinked="1"/>
        <c:majorTickMark val="out"/>
        <c:minorTickMark val="none"/>
        <c:tickLblPos val="nextTo"/>
        <c:crossAx val="149255680"/>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Sheet6!$I$15</c:f>
              <c:strCache>
                <c:ptCount val="1"/>
                <c:pt idx="0">
                  <c:v>Member (N=30)</c:v>
                </c:pt>
              </c:strCache>
            </c:strRef>
          </c:tx>
          <c:spPr>
            <a:solidFill>
              <a:srgbClr val="FFC000"/>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Sheet6!$H$16:$H$19</c:f>
              <c:strCache>
                <c:ptCount val="4"/>
                <c:pt idx="0">
                  <c:v>&lt; 50</c:v>
                </c:pt>
                <c:pt idx="1">
                  <c:v>50-70</c:v>
                </c:pt>
                <c:pt idx="2">
                  <c:v>70-90</c:v>
                </c:pt>
                <c:pt idx="3">
                  <c:v>90-100</c:v>
                </c:pt>
              </c:strCache>
            </c:strRef>
          </c:cat>
          <c:val>
            <c:numRef>
              <c:f>Sheet6!$I$16:$I$19</c:f>
              <c:numCache>
                <c:formatCode>General</c:formatCode>
                <c:ptCount val="4"/>
                <c:pt idx="0">
                  <c:v>0</c:v>
                </c:pt>
                <c:pt idx="1">
                  <c:v>3.3</c:v>
                </c:pt>
                <c:pt idx="2">
                  <c:v>73.3</c:v>
                </c:pt>
                <c:pt idx="3">
                  <c:v>23.4</c:v>
                </c:pt>
              </c:numCache>
            </c:numRef>
          </c:val>
          <c:extLst>
            <c:ext xmlns:c16="http://schemas.microsoft.com/office/drawing/2014/chart" uri="{C3380CC4-5D6E-409C-BE32-E72D297353CC}">
              <c16:uniqueId val="{00000000-F9CC-4CB9-BD55-680573487A43}"/>
            </c:ext>
          </c:extLst>
        </c:ser>
        <c:ser>
          <c:idx val="1"/>
          <c:order val="1"/>
          <c:tx>
            <c:strRef>
              <c:f>Sheet6!$J$15</c:f>
              <c:strCache>
                <c:ptCount val="1"/>
                <c:pt idx="0">
                  <c:v>Non-Member (N=30)</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Sheet6!$H$16:$H$19</c:f>
              <c:strCache>
                <c:ptCount val="4"/>
                <c:pt idx="0">
                  <c:v>&lt; 50</c:v>
                </c:pt>
                <c:pt idx="1">
                  <c:v>50-70</c:v>
                </c:pt>
                <c:pt idx="2">
                  <c:v>70-90</c:v>
                </c:pt>
                <c:pt idx="3">
                  <c:v>90-100</c:v>
                </c:pt>
              </c:strCache>
            </c:strRef>
          </c:cat>
          <c:val>
            <c:numRef>
              <c:f>Sheet6!$J$16:$J$19</c:f>
              <c:numCache>
                <c:formatCode>General</c:formatCode>
                <c:ptCount val="4"/>
                <c:pt idx="0">
                  <c:v>0</c:v>
                </c:pt>
                <c:pt idx="1">
                  <c:v>63</c:v>
                </c:pt>
                <c:pt idx="2">
                  <c:v>30</c:v>
                </c:pt>
                <c:pt idx="3">
                  <c:v>7</c:v>
                </c:pt>
              </c:numCache>
            </c:numRef>
          </c:val>
          <c:extLst>
            <c:ext xmlns:c16="http://schemas.microsoft.com/office/drawing/2014/chart" uri="{C3380CC4-5D6E-409C-BE32-E72D297353CC}">
              <c16:uniqueId val="{00000001-F9CC-4CB9-BD55-680573487A43}"/>
            </c:ext>
          </c:extLst>
        </c:ser>
        <c:dLbls>
          <c:showLegendKey val="0"/>
          <c:showVal val="1"/>
          <c:showCatName val="0"/>
          <c:showSerName val="0"/>
          <c:showPercent val="0"/>
          <c:showBubbleSize val="0"/>
        </c:dLbls>
        <c:gapWidth val="150"/>
        <c:shape val="box"/>
        <c:axId val="149300736"/>
        <c:axId val="149302272"/>
        <c:axId val="0"/>
      </c:bar3DChart>
      <c:catAx>
        <c:axId val="149300736"/>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tr-TR"/>
          </a:p>
        </c:txPr>
        <c:crossAx val="149302272"/>
        <c:crosses val="autoZero"/>
        <c:auto val="1"/>
        <c:lblAlgn val="ctr"/>
        <c:lblOffset val="100"/>
        <c:noMultiLvlLbl val="0"/>
      </c:catAx>
      <c:valAx>
        <c:axId val="149302272"/>
        <c:scaling>
          <c:orientation val="minMax"/>
        </c:scaling>
        <c:delete val="1"/>
        <c:axPos val="l"/>
        <c:numFmt formatCode="General" sourceLinked="1"/>
        <c:majorTickMark val="out"/>
        <c:minorTickMark val="none"/>
        <c:tickLblPos val="nextTo"/>
        <c:crossAx val="149300736"/>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Average Efficiencies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Sheet7!$H$6</c:f>
              <c:strCache>
                <c:ptCount val="1"/>
                <c:pt idx="0">
                  <c:v>Member (N=30)</c:v>
                </c:pt>
              </c:strCache>
            </c:strRef>
          </c:tx>
          <c:spPr>
            <a:solidFill>
              <a:srgbClr val="00DA63"/>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Sheet7!$G$7:$G$11</c:f>
              <c:strCache>
                <c:ptCount val="5"/>
                <c:pt idx="0">
                  <c:v>TE</c:v>
                </c:pt>
                <c:pt idx="1">
                  <c:v>AE</c:v>
                </c:pt>
                <c:pt idx="2">
                  <c:v>EE</c:v>
                </c:pt>
                <c:pt idx="3">
                  <c:v>PTE</c:v>
                </c:pt>
                <c:pt idx="4">
                  <c:v>SE</c:v>
                </c:pt>
              </c:strCache>
            </c:strRef>
          </c:cat>
          <c:val>
            <c:numRef>
              <c:f>Sheet7!$H$7:$H$11</c:f>
              <c:numCache>
                <c:formatCode>General</c:formatCode>
                <c:ptCount val="5"/>
                <c:pt idx="0">
                  <c:v>90</c:v>
                </c:pt>
                <c:pt idx="1">
                  <c:v>79.2</c:v>
                </c:pt>
                <c:pt idx="2">
                  <c:v>72</c:v>
                </c:pt>
                <c:pt idx="3">
                  <c:v>99</c:v>
                </c:pt>
                <c:pt idx="4">
                  <c:v>90</c:v>
                </c:pt>
              </c:numCache>
            </c:numRef>
          </c:val>
          <c:extLst>
            <c:ext xmlns:c16="http://schemas.microsoft.com/office/drawing/2014/chart" uri="{C3380CC4-5D6E-409C-BE32-E72D297353CC}">
              <c16:uniqueId val="{00000000-557B-412D-9D9B-00A1DC1CE733}"/>
            </c:ext>
          </c:extLst>
        </c:ser>
        <c:ser>
          <c:idx val="1"/>
          <c:order val="1"/>
          <c:tx>
            <c:strRef>
              <c:f>Sheet7!$I$6</c:f>
              <c:strCache>
                <c:ptCount val="1"/>
                <c:pt idx="0">
                  <c:v>Non-Member (N=30)</c:v>
                </c:pt>
              </c:strCache>
            </c:strRef>
          </c:tx>
          <c:spPr>
            <a:solidFill>
              <a:srgbClr val="FF33CC"/>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Sheet7!$G$7:$G$11</c:f>
              <c:strCache>
                <c:ptCount val="5"/>
                <c:pt idx="0">
                  <c:v>TE</c:v>
                </c:pt>
                <c:pt idx="1">
                  <c:v>AE</c:v>
                </c:pt>
                <c:pt idx="2">
                  <c:v>EE</c:v>
                </c:pt>
                <c:pt idx="3">
                  <c:v>PTE</c:v>
                </c:pt>
                <c:pt idx="4">
                  <c:v>SE</c:v>
                </c:pt>
              </c:strCache>
            </c:strRef>
          </c:cat>
          <c:val>
            <c:numRef>
              <c:f>Sheet7!$I$7:$I$11</c:f>
              <c:numCache>
                <c:formatCode>General</c:formatCode>
                <c:ptCount val="5"/>
                <c:pt idx="0">
                  <c:v>52</c:v>
                </c:pt>
                <c:pt idx="1">
                  <c:v>87</c:v>
                </c:pt>
                <c:pt idx="2">
                  <c:v>46</c:v>
                </c:pt>
                <c:pt idx="3">
                  <c:v>90</c:v>
                </c:pt>
                <c:pt idx="4">
                  <c:v>59</c:v>
                </c:pt>
              </c:numCache>
            </c:numRef>
          </c:val>
          <c:extLst>
            <c:ext xmlns:c16="http://schemas.microsoft.com/office/drawing/2014/chart" uri="{C3380CC4-5D6E-409C-BE32-E72D297353CC}">
              <c16:uniqueId val="{00000001-557B-412D-9D9B-00A1DC1CE733}"/>
            </c:ext>
          </c:extLst>
        </c:ser>
        <c:dLbls>
          <c:showLegendKey val="0"/>
          <c:showVal val="1"/>
          <c:showCatName val="0"/>
          <c:showSerName val="0"/>
          <c:showPercent val="0"/>
          <c:showBubbleSize val="0"/>
        </c:dLbls>
        <c:gapWidth val="150"/>
        <c:shape val="box"/>
        <c:axId val="149349504"/>
        <c:axId val="149351040"/>
        <c:axId val="0"/>
      </c:bar3DChart>
      <c:catAx>
        <c:axId val="149349504"/>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tr-TR"/>
          </a:p>
        </c:txPr>
        <c:crossAx val="149351040"/>
        <c:crosses val="autoZero"/>
        <c:auto val="1"/>
        <c:lblAlgn val="ctr"/>
        <c:lblOffset val="100"/>
        <c:noMultiLvlLbl val="0"/>
      </c:catAx>
      <c:valAx>
        <c:axId val="149351040"/>
        <c:scaling>
          <c:orientation val="minMax"/>
        </c:scaling>
        <c:delete val="1"/>
        <c:axPos val="l"/>
        <c:numFmt formatCode="General" sourceLinked="1"/>
        <c:majorTickMark val="none"/>
        <c:minorTickMark val="none"/>
        <c:tickLblPos val="nextTo"/>
        <c:crossAx val="149349504"/>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Sheet7!$H$13</c:f>
              <c:strCache>
                <c:ptCount val="1"/>
                <c:pt idx="0">
                  <c:v>Member (N=30)</c:v>
                </c:pt>
              </c:strCache>
            </c:strRef>
          </c:tx>
          <c:spPr>
            <a:solidFill>
              <a:srgbClr val="FFC000"/>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Sheet7!$G$14:$G$17</c:f>
              <c:strCache>
                <c:ptCount val="4"/>
                <c:pt idx="0">
                  <c:v>&lt; 50</c:v>
                </c:pt>
                <c:pt idx="1">
                  <c:v>50-70</c:v>
                </c:pt>
                <c:pt idx="2">
                  <c:v>70-90</c:v>
                </c:pt>
                <c:pt idx="3">
                  <c:v>90-100</c:v>
                </c:pt>
              </c:strCache>
            </c:strRef>
          </c:cat>
          <c:val>
            <c:numRef>
              <c:f>Sheet7!$H$14:$H$17</c:f>
              <c:numCache>
                <c:formatCode>General</c:formatCode>
                <c:ptCount val="4"/>
                <c:pt idx="0">
                  <c:v>0</c:v>
                </c:pt>
                <c:pt idx="1">
                  <c:v>13.3</c:v>
                </c:pt>
                <c:pt idx="2">
                  <c:v>16.7</c:v>
                </c:pt>
                <c:pt idx="3">
                  <c:v>70</c:v>
                </c:pt>
              </c:numCache>
            </c:numRef>
          </c:val>
          <c:extLst>
            <c:ext xmlns:c16="http://schemas.microsoft.com/office/drawing/2014/chart" uri="{C3380CC4-5D6E-409C-BE32-E72D297353CC}">
              <c16:uniqueId val="{00000000-BEF3-456C-91A2-727073B13DB6}"/>
            </c:ext>
          </c:extLst>
        </c:ser>
        <c:ser>
          <c:idx val="1"/>
          <c:order val="1"/>
          <c:tx>
            <c:strRef>
              <c:f>Sheet7!$I$13</c:f>
              <c:strCache>
                <c:ptCount val="1"/>
                <c:pt idx="0">
                  <c:v>Non-Member (N=30)</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Sheet7!$G$14:$G$17</c:f>
              <c:strCache>
                <c:ptCount val="4"/>
                <c:pt idx="0">
                  <c:v>&lt; 50</c:v>
                </c:pt>
                <c:pt idx="1">
                  <c:v>50-70</c:v>
                </c:pt>
                <c:pt idx="2">
                  <c:v>70-90</c:v>
                </c:pt>
                <c:pt idx="3">
                  <c:v>90-100</c:v>
                </c:pt>
              </c:strCache>
            </c:strRef>
          </c:cat>
          <c:val>
            <c:numRef>
              <c:f>Sheet7!$I$14:$I$17</c:f>
              <c:numCache>
                <c:formatCode>General</c:formatCode>
                <c:ptCount val="4"/>
                <c:pt idx="0">
                  <c:v>53</c:v>
                </c:pt>
                <c:pt idx="1">
                  <c:v>33</c:v>
                </c:pt>
                <c:pt idx="2">
                  <c:v>13.4</c:v>
                </c:pt>
                <c:pt idx="3">
                  <c:v>0</c:v>
                </c:pt>
              </c:numCache>
            </c:numRef>
          </c:val>
          <c:extLst>
            <c:ext xmlns:c16="http://schemas.microsoft.com/office/drawing/2014/chart" uri="{C3380CC4-5D6E-409C-BE32-E72D297353CC}">
              <c16:uniqueId val="{00000001-BEF3-456C-91A2-727073B13DB6}"/>
            </c:ext>
          </c:extLst>
        </c:ser>
        <c:dLbls>
          <c:showLegendKey val="0"/>
          <c:showVal val="1"/>
          <c:showCatName val="0"/>
          <c:showSerName val="0"/>
          <c:showPercent val="0"/>
          <c:showBubbleSize val="0"/>
        </c:dLbls>
        <c:gapWidth val="150"/>
        <c:shape val="box"/>
        <c:axId val="149443328"/>
        <c:axId val="149444864"/>
        <c:axId val="0"/>
      </c:bar3DChart>
      <c:catAx>
        <c:axId val="149443328"/>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tr-TR"/>
          </a:p>
        </c:txPr>
        <c:crossAx val="149444864"/>
        <c:crosses val="autoZero"/>
        <c:auto val="1"/>
        <c:lblAlgn val="ctr"/>
        <c:lblOffset val="100"/>
        <c:noMultiLvlLbl val="0"/>
      </c:catAx>
      <c:valAx>
        <c:axId val="149444864"/>
        <c:scaling>
          <c:orientation val="minMax"/>
        </c:scaling>
        <c:delete val="1"/>
        <c:axPos val="l"/>
        <c:numFmt formatCode="General" sourceLinked="1"/>
        <c:majorTickMark val="out"/>
        <c:minorTickMark val="none"/>
        <c:tickLblPos val="nextTo"/>
        <c:crossAx val="149443328"/>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0.69091</cdr:x>
      <cdr:y>0.07407</cdr:y>
    </cdr:from>
    <cdr:to>
      <cdr:x>0.96162</cdr:x>
      <cdr:y>0.35017</cdr:y>
    </cdr:to>
    <cdr:sp macro="" textlink="">
      <cdr:nvSpPr>
        <cdr:cNvPr id="2" name="Text Box 1"/>
        <cdr:cNvSpPr txBox="1"/>
      </cdr:nvSpPr>
      <cdr:spPr>
        <a:xfrm xmlns:a="http://schemas.openxmlformats.org/drawingml/2006/main">
          <a:off x="3158836" y="203200"/>
          <a:ext cx="1237673" cy="7573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26E3D-64AE-452C-B4E4-53277C95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18</Pages>
  <Words>4556</Words>
  <Characters>25972</Characters>
  <Application>Microsoft Office Word</Application>
  <DocSecurity>0</DocSecurity>
  <Lines>216</Lines>
  <Paragraphs>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İseven</cp:lastModifiedBy>
  <cp:revision>46</cp:revision>
  <dcterms:created xsi:type="dcterms:W3CDTF">2025-02-05T09:36:00Z</dcterms:created>
  <dcterms:modified xsi:type="dcterms:W3CDTF">2025-10-09T12:49:00Z</dcterms:modified>
  <cp:contentStatus/>
</cp:coreProperties>
</file>