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10162" w14:textId="1486DBB7" w:rsidR="00D803B6" w:rsidRPr="00B426DC" w:rsidRDefault="00856FF7" w:rsidP="00D803B6">
      <w:pPr>
        <w:spacing w:before="100" w:beforeAutospacing="1" w:after="100" w:afterAutospacing="1" w:line="240" w:lineRule="auto"/>
        <w:jc w:val="both"/>
        <w:rPr>
          <w:rFonts w:ascii="Times New Roman" w:eastAsia="Times New Roman" w:hAnsi="Times New Roman" w:cs="Times New Roman"/>
          <w:b/>
          <w:bCs/>
          <w:sz w:val="28"/>
          <w:szCs w:val="28"/>
        </w:rPr>
      </w:pPr>
      <w:r>
        <w:rPr>
          <w:rFonts w:ascii="Arial" w:hAnsi="Arial" w:cs="Arial"/>
          <w:b/>
          <w:bCs/>
          <w:color w:val="131314"/>
          <w:sz w:val="28"/>
          <w:szCs w:val="28"/>
          <w:shd w:val="clear" w:color="auto" w:fill="FFFFFF"/>
        </w:rPr>
        <w:t>Effect</w:t>
      </w:r>
      <w:r w:rsidR="00662F14" w:rsidRPr="00B426DC">
        <w:rPr>
          <w:rFonts w:ascii="Arial" w:hAnsi="Arial" w:cs="Arial"/>
          <w:b/>
          <w:bCs/>
          <w:color w:val="131314"/>
          <w:sz w:val="28"/>
          <w:szCs w:val="28"/>
          <w:shd w:val="clear" w:color="auto" w:fill="FFFFFF"/>
        </w:rPr>
        <w:t xml:space="preserve"> of integrated </w:t>
      </w:r>
      <w:r>
        <w:rPr>
          <w:rFonts w:ascii="Arial" w:hAnsi="Arial" w:cs="Arial"/>
          <w:b/>
          <w:bCs/>
          <w:color w:val="131314"/>
          <w:sz w:val="28"/>
          <w:szCs w:val="28"/>
          <w:shd w:val="clear" w:color="auto" w:fill="FFFFFF"/>
        </w:rPr>
        <w:t>nutrient</w:t>
      </w:r>
      <w:r w:rsidR="00662F14" w:rsidRPr="00B426DC">
        <w:rPr>
          <w:rFonts w:ascii="Arial" w:hAnsi="Arial" w:cs="Arial"/>
          <w:b/>
          <w:bCs/>
          <w:color w:val="131314"/>
          <w:sz w:val="28"/>
          <w:szCs w:val="28"/>
          <w:shd w:val="clear" w:color="auto" w:fill="FFFFFF"/>
        </w:rPr>
        <w:t xml:space="preserve"> management on </w:t>
      </w:r>
      <w:r w:rsidR="00D803B6" w:rsidRPr="00B426DC">
        <w:rPr>
          <w:rFonts w:ascii="Arial" w:hAnsi="Arial" w:cs="Arial"/>
          <w:b/>
          <w:bCs/>
          <w:color w:val="131314"/>
          <w:sz w:val="28"/>
          <w:szCs w:val="28"/>
          <w:shd w:val="clear" w:color="auto" w:fill="FFFFFF"/>
        </w:rPr>
        <w:t>productivity and</w:t>
      </w:r>
      <w:r w:rsidR="00662F14" w:rsidRPr="00B426DC">
        <w:rPr>
          <w:rFonts w:ascii="Arial" w:hAnsi="Arial" w:cs="Arial"/>
          <w:b/>
          <w:bCs/>
          <w:color w:val="131314"/>
          <w:sz w:val="28"/>
          <w:szCs w:val="28"/>
          <w:shd w:val="clear" w:color="auto" w:fill="FFFFFF"/>
        </w:rPr>
        <w:t xml:space="preserve"> </w:t>
      </w:r>
      <w:r w:rsidR="00D803B6" w:rsidRPr="00B426DC">
        <w:rPr>
          <w:rFonts w:ascii="Arial" w:hAnsi="Arial" w:cs="Arial"/>
          <w:b/>
          <w:bCs/>
          <w:color w:val="131314"/>
          <w:sz w:val="28"/>
          <w:szCs w:val="28"/>
          <w:shd w:val="clear" w:color="auto" w:fill="FFFFFF"/>
        </w:rPr>
        <w:t>profitability</w:t>
      </w:r>
      <w:r w:rsidR="00662F14" w:rsidRPr="00B426DC">
        <w:rPr>
          <w:rFonts w:ascii="Arial" w:hAnsi="Arial" w:cs="Arial"/>
          <w:b/>
          <w:bCs/>
          <w:color w:val="131314"/>
          <w:sz w:val="28"/>
          <w:szCs w:val="28"/>
          <w:shd w:val="clear" w:color="auto" w:fill="FFFFFF"/>
        </w:rPr>
        <w:t xml:space="preserve"> of betel vine (</w:t>
      </w:r>
      <w:r w:rsidR="00662F14" w:rsidRPr="00B426DC">
        <w:rPr>
          <w:rFonts w:ascii="Arial" w:hAnsi="Arial" w:cs="Arial"/>
          <w:b/>
          <w:bCs/>
          <w:i/>
          <w:color w:val="131314"/>
          <w:sz w:val="28"/>
          <w:szCs w:val="28"/>
          <w:shd w:val="clear" w:color="auto" w:fill="FFFFFF"/>
        </w:rPr>
        <w:t xml:space="preserve">Piper </w:t>
      </w:r>
      <w:proofErr w:type="spellStart"/>
      <w:r w:rsidR="00662F14" w:rsidRPr="00B426DC">
        <w:rPr>
          <w:rFonts w:ascii="Arial" w:hAnsi="Arial" w:cs="Arial"/>
          <w:b/>
          <w:bCs/>
          <w:i/>
          <w:color w:val="131314"/>
          <w:sz w:val="28"/>
          <w:szCs w:val="28"/>
          <w:shd w:val="clear" w:color="auto" w:fill="FFFFFF"/>
        </w:rPr>
        <w:t>betle</w:t>
      </w:r>
      <w:proofErr w:type="spellEnd"/>
      <w:r w:rsidR="00662F14" w:rsidRPr="00B426DC">
        <w:rPr>
          <w:rFonts w:ascii="Arial" w:hAnsi="Arial" w:cs="Arial"/>
          <w:b/>
          <w:bCs/>
          <w:i/>
          <w:color w:val="131314"/>
          <w:sz w:val="28"/>
          <w:szCs w:val="28"/>
          <w:shd w:val="clear" w:color="auto" w:fill="FFFFFF"/>
        </w:rPr>
        <w:t xml:space="preserve"> </w:t>
      </w:r>
      <w:r w:rsidR="00662F14" w:rsidRPr="00B426DC">
        <w:rPr>
          <w:rFonts w:ascii="Arial" w:hAnsi="Arial" w:cs="Arial"/>
          <w:b/>
          <w:bCs/>
          <w:color w:val="131314"/>
          <w:sz w:val="28"/>
          <w:szCs w:val="28"/>
          <w:shd w:val="clear" w:color="auto" w:fill="FFFFFF"/>
        </w:rPr>
        <w:t xml:space="preserve">L.) in </w:t>
      </w:r>
      <w:r w:rsidR="007573E2" w:rsidRPr="00A33DB4">
        <w:rPr>
          <w:rFonts w:ascii="Arial" w:hAnsi="Arial" w:cs="Arial"/>
          <w:b/>
          <w:bCs/>
          <w:color w:val="131314"/>
          <w:sz w:val="28"/>
          <w:szCs w:val="28"/>
          <w:highlight w:val="yellow"/>
          <w:shd w:val="clear" w:color="auto" w:fill="FFFFFF"/>
        </w:rPr>
        <w:t>the</w:t>
      </w:r>
      <w:r w:rsidR="007573E2">
        <w:rPr>
          <w:rFonts w:ascii="Arial" w:hAnsi="Arial" w:cs="Arial"/>
          <w:b/>
          <w:bCs/>
          <w:color w:val="131314"/>
          <w:sz w:val="28"/>
          <w:szCs w:val="28"/>
          <w:shd w:val="clear" w:color="auto" w:fill="FFFFFF"/>
        </w:rPr>
        <w:t xml:space="preserve"> </w:t>
      </w:r>
      <w:r w:rsidR="00662F14" w:rsidRPr="00B426DC">
        <w:rPr>
          <w:rFonts w:ascii="Arial" w:hAnsi="Arial" w:cs="Arial"/>
          <w:b/>
          <w:bCs/>
          <w:color w:val="131314"/>
          <w:sz w:val="28"/>
          <w:szCs w:val="28"/>
          <w:shd w:val="clear" w:color="auto" w:fill="FFFFFF"/>
        </w:rPr>
        <w:t xml:space="preserve">Coastal region of </w:t>
      </w:r>
      <w:r w:rsidR="007F1DFF">
        <w:rPr>
          <w:rFonts w:ascii="Arial" w:hAnsi="Arial" w:cs="Arial"/>
          <w:b/>
          <w:bCs/>
          <w:color w:val="131314"/>
          <w:sz w:val="28"/>
          <w:szCs w:val="28"/>
          <w:shd w:val="clear" w:color="auto" w:fill="FFFFFF"/>
        </w:rPr>
        <w:t>Odisha</w:t>
      </w:r>
    </w:p>
    <w:p w14:paraId="2ACB85EC" w14:textId="77777777" w:rsidR="007F1DFF" w:rsidRDefault="007F1DFF"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CDD6D4C" w14:textId="77777777" w:rsidR="007F1DFF" w:rsidRDefault="008C08A9"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35B6F026" w14:textId="20F7E834" w:rsidR="003741A2" w:rsidRPr="007F1DFF" w:rsidRDefault="00364FA4"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33DB4">
        <w:rPr>
          <w:rFonts w:ascii="Times New Roman" w:eastAsia="Times New Roman" w:hAnsi="Times New Roman" w:cs="Times New Roman"/>
          <w:sz w:val="24"/>
          <w:szCs w:val="24"/>
          <w:highlight w:val="yellow"/>
        </w:rPr>
        <w:t xml:space="preserve">Integrated Nutrient Management not only ensures efficient nutrient </w:t>
      </w:r>
      <w:r w:rsidR="006F6F51" w:rsidRPr="006F6F51">
        <w:rPr>
          <w:rFonts w:ascii="Times New Roman" w:eastAsia="Times New Roman" w:hAnsi="Times New Roman" w:cs="Times New Roman"/>
          <w:color w:val="FF0000"/>
          <w:sz w:val="24"/>
          <w:szCs w:val="24"/>
          <w:highlight w:val="yellow"/>
        </w:rPr>
        <w:t>utilization</w:t>
      </w:r>
      <w:r w:rsidRPr="00A33DB4">
        <w:rPr>
          <w:rFonts w:ascii="Times New Roman" w:eastAsia="Times New Roman" w:hAnsi="Times New Roman" w:cs="Times New Roman"/>
          <w:sz w:val="24"/>
          <w:szCs w:val="24"/>
          <w:highlight w:val="yellow"/>
        </w:rPr>
        <w:t xml:space="preserve"> but also enhances soil organic matter, microbial activity, and long-term ecological stability. Betel vine (</w:t>
      </w:r>
      <w:r w:rsidRPr="00A33DB4">
        <w:rPr>
          <w:rFonts w:ascii="Times New Roman" w:eastAsia="Times New Roman" w:hAnsi="Times New Roman" w:cs="Times New Roman"/>
          <w:i/>
          <w:iCs/>
          <w:sz w:val="24"/>
          <w:szCs w:val="24"/>
          <w:highlight w:val="yellow"/>
        </w:rPr>
        <w:t xml:space="preserve">Piper </w:t>
      </w:r>
      <w:proofErr w:type="spellStart"/>
      <w:r w:rsidRPr="00A33DB4">
        <w:rPr>
          <w:rFonts w:ascii="Times New Roman" w:eastAsia="Times New Roman" w:hAnsi="Times New Roman" w:cs="Times New Roman"/>
          <w:i/>
          <w:iCs/>
          <w:sz w:val="24"/>
          <w:szCs w:val="24"/>
          <w:highlight w:val="yellow"/>
        </w:rPr>
        <w:t>betle</w:t>
      </w:r>
      <w:proofErr w:type="spellEnd"/>
      <w:r w:rsidRPr="00A33DB4">
        <w:rPr>
          <w:rFonts w:ascii="Times New Roman" w:eastAsia="Times New Roman" w:hAnsi="Times New Roman" w:cs="Times New Roman"/>
          <w:sz w:val="24"/>
          <w:szCs w:val="24"/>
          <w:highlight w:val="yellow"/>
        </w:rPr>
        <w:t xml:space="preserve"> L.) is a perennial, dioecious, evergreen climber of the family </w:t>
      </w:r>
      <w:proofErr w:type="spellStart"/>
      <w:r w:rsidRPr="006F6F51">
        <w:rPr>
          <w:rFonts w:ascii="Times New Roman" w:eastAsia="Times New Roman" w:hAnsi="Times New Roman" w:cs="Times New Roman"/>
          <w:i/>
          <w:color w:val="FF0000"/>
          <w:sz w:val="24"/>
          <w:szCs w:val="24"/>
          <w:highlight w:val="yellow"/>
        </w:rPr>
        <w:t>Piperaceae</w:t>
      </w:r>
      <w:proofErr w:type="spellEnd"/>
      <w:r w:rsidRPr="00A33DB4">
        <w:rPr>
          <w:rFonts w:ascii="Times New Roman" w:eastAsia="Times New Roman" w:hAnsi="Times New Roman" w:cs="Times New Roman"/>
          <w:sz w:val="24"/>
          <w:szCs w:val="24"/>
          <w:highlight w:val="yellow"/>
        </w:rPr>
        <w:t>, cultivated primarily for its leaves, which are valued for mastication, medicinal use, and cultural significance across South and Southeast Asia.</w:t>
      </w:r>
      <w:r w:rsidRPr="00364FA4">
        <w:rPr>
          <w:rFonts w:ascii="Times New Roman" w:eastAsia="Times New Roman" w:hAnsi="Times New Roman" w:cs="Times New Roman"/>
          <w:sz w:val="24"/>
          <w:szCs w:val="24"/>
        </w:rPr>
        <w:t xml:space="preserve"> </w:t>
      </w:r>
      <w:r w:rsidR="00CF6A89" w:rsidRPr="00A33DB4">
        <w:rPr>
          <w:rFonts w:ascii="Times New Roman" w:eastAsia="Times New Roman" w:hAnsi="Times New Roman" w:cs="Times New Roman"/>
          <w:sz w:val="24"/>
          <w:szCs w:val="24"/>
          <w:highlight w:val="yellow"/>
        </w:rPr>
        <w:t>The paper aims</w:t>
      </w:r>
      <w:r w:rsidRPr="00A33DB4">
        <w:rPr>
          <w:rFonts w:ascii="Times New Roman" w:eastAsia="Times New Roman" w:hAnsi="Times New Roman" w:cs="Times New Roman"/>
          <w:sz w:val="24"/>
          <w:szCs w:val="24"/>
          <w:highlight w:val="yellow"/>
        </w:rPr>
        <w:t xml:space="preserve"> to </w:t>
      </w:r>
      <w:r w:rsidR="00CF6A89" w:rsidRPr="00A33DB4">
        <w:rPr>
          <w:rFonts w:ascii="Times New Roman" w:eastAsia="Times New Roman" w:hAnsi="Times New Roman" w:cs="Times New Roman"/>
          <w:sz w:val="24"/>
          <w:szCs w:val="24"/>
          <w:highlight w:val="yellow"/>
        </w:rPr>
        <w:t xml:space="preserve">effect of integrated nutrient management on </w:t>
      </w:r>
      <w:r w:rsidR="001917AA">
        <w:rPr>
          <w:rFonts w:ascii="Times New Roman" w:eastAsia="Times New Roman" w:hAnsi="Times New Roman" w:cs="Times New Roman"/>
          <w:sz w:val="24"/>
          <w:szCs w:val="24"/>
          <w:highlight w:val="yellow"/>
        </w:rPr>
        <w:t xml:space="preserve">the </w:t>
      </w:r>
      <w:r w:rsidR="00CF6A89" w:rsidRPr="00A33DB4">
        <w:rPr>
          <w:rFonts w:ascii="Times New Roman" w:eastAsia="Times New Roman" w:hAnsi="Times New Roman" w:cs="Times New Roman"/>
          <w:sz w:val="24"/>
          <w:szCs w:val="24"/>
          <w:highlight w:val="yellow"/>
        </w:rPr>
        <w:t>productivity and profitability of betel vine (</w:t>
      </w:r>
      <w:r w:rsidR="00CF6A89" w:rsidRPr="00A33DB4">
        <w:rPr>
          <w:rFonts w:ascii="Times New Roman" w:eastAsia="Times New Roman" w:hAnsi="Times New Roman" w:cs="Times New Roman"/>
          <w:i/>
          <w:iCs/>
          <w:sz w:val="24"/>
          <w:szCs w:val="24"/>
          <w:highlight w:val="yellow"/>
        </w:rPr>
        <w:t xml:space="preserve">Piper </w:t>
      </w:r>
      <w:proofErr w:type="spellStart"/>
      <w:r w:rsidR="00CF6A89" w:rsidRPr="00A33DB4">
        <w:rPr>
          <w:rFonts w:ascii="Times New Roman" w:eastAsia="Times New Roman" w:hAnsi="Times New Roman" w:cs="Times New Roman"/>
          <w:i/>
          <w:iCs/>
          <w:sz w:val="24"/>
          <w:szCs w:val="24"/>
          <w:highlight w:val="yellow"/>
        </w:rPr>
        <w:t>betle</w:t>
      </w:r>
      <w:proofErr w:type="spellEnd"/>
      <w:r w:rsidR="00CF6A89" w:rsidRPr="00A33DB4">
        <w:rPr>
          <w:rFonts w:ascii="Times New Roman" w:eastAsia="Times New Roman" w:hAnsi="Times New Roman" w:cs="Times New Roman"/>
          <w:sz w:val="24"/>
          <w:szCs w:val="24"/>
          <w:highlight w:val="yellow"/>
        </w:rPr>
        <w:t>) in the coastal region of Odisha.</w:t>
      </w:r>
      <w:r w:rsidR="00CF6A89">
        <w:rPr>
          <w:rFonts w:ascii="Times New Roman" w:eastAsia="Times New Roman" w:hAnsi="Times New Roman" w:cs="Times New Roman"/>
          <w:sz w:val="24"/>
          <w:szCs w:val="24"/>
        </w:rPr>
        <w:t xml:space="preserve"> </w:t>
      </w:r>
      <w:r w:rsidR="003741A2" w:rsidRPr="003741A2">
        <w:rPr>
          <w:rFonts w:ascii="Times New Roman" w:eastAsia="Times New Roman" w:hAnsi="Times New Roman" w:cs="Times New Roman"/>
          <w:sz w:val="24"/>
          <w:szCs w:val="24"/>
        </w:rPr>
        <w:t xml:space="preserve">An on-farm multi-location trial was conducted in three districts of Odisha, namely </w:t>
      </w:r>
      <w:proofErr w:type="spellStart"/>
      <w:r w:rsidR="003741A2" w:rsidRPr="003741A2">
        <w:rPr>
          <w:rFonts w:ascii="Times New Roman" w:eastAsia="Times New Roman" w:hAnsi="Times New Roman" w:cs="Times New Roman"/>
          <w:sz w:val="24"/>
          <w:szCs w:val="24"/>
        </w:rPr>
        <w:t>Ganjam</w:t>
      </w:r>
      <w:proofErr w:type="spellEnd"/>
      <w:r w:rsidR="003741A2" w:rsidRPr="003741A2">
        <w:rPr>
          <w:rFonts w:ascii="Times New Roman" w:eastAsia="Times New Roman" w:hAnsi="Times New Roman" w:cs="Times New Roman"/>
          <w:sz w:val="24"/>
          <w:szCs w:val="24"/>
        </w:rPr>
        <w:t xml:space="preserve">, </w:t>
      </w:r>
      <w:proofErr w:type="spellStart"/>
      <w:r w:rsidR="003741A2" w:rsidRPr="003741A2">
        <w:rPr>
          <w:rFonts w:ascii="Times New Roman" w:eastAsia="Times New Roman" w:hAnsi="Times New Roman" w:cs="Times New Roman"/>
          <w:sz w:val="24"/>
          <w:szCs w:val="24"/>
        </w:rPr>
        <w:t>Balasore</w:t>
      </w:r>
      <w:proofErr w:type="spellEnd"/>
      <w:r w:rsidR="003741A2" w:rsidRPr="003741A2">
        <w:rPr>
          <w:rFonts w:ascii="Times New Roman" w:eastAsia="Times New Roman" w:hAnsi="Times New Roman" w:cs="Times New Roman"/>
          <w:sz w:val="24"/>
          <w:szCs w:val="24"/>
        </w:rPr>
        <w:t xml:space="preserve">, and </w:t>
      </w:r>
      <w:proofErr w:type="spellStart"/>
      <w:r w:rsidR="003741A2" w:rsidRPr="003741A2">
        <w:rPr>
          <w:rFonts w:ascii="Times New Roman" w:eastAsia="Times New Roman" w:hAnsi="Times New Roman" w:cs="Times New Roman"/>
          <w:sz w:val="24"/>
          <w:szCs w:val="24"/>
        </w:rPr>
        <w:t>Jagatsinghpur</w:t>
      </w:r>
      <w:proofErr w:type="spellEnd"/>
      <w:r w:rsidR="003741A2" w:rsidRPr="003741A2">
        <w:rPr>
          <w:rFonts w:ascii="Times New Roman" w:eastAsia="Times New Roman" w:hAnsi="Times New Roman" w:cs="Times New Roman"/>
          <w:sz w:val="24"/>
          <w:szCs w:val="24"/>
        </w:rPr>
        <w:t xml:space="preserve">, during </w:t>
      </w:r>
      <w:proofErr w:type="spellStart"/>
      <w:r w:rsidR="003741A2" w:rsidRPr="003741A2">
        <w:rPr>
          <w:rFonts w:ascii="Times New Roman" w:eastAsia="Times New Roman" w:hAnsi="Times New Roman" w:cs="Times New Roman"/>
          <w:sz w:val="24"/>
          <w:szCs w:val="24"/>
        </w:rPr>
        <w:t>Kharif</w:t>
      </w:r>
      <w:proofErr w:type="spellEnd"/>
      <w:r w:rsidR="003741A2" w:rsidRPr="003741A2">
        <w:rPr>
          <w:rFonts w:ascii="Times New Roman" w:eastAsia="Times New Roman" w:hAnsi="Times New Roman" w:cs="Times New Roman"/>
          <w:sz w:val="24"/>
          <w:szCs w:val="24"/>
        </w:rPr>
        <w:t xml:space="preserve"> </w:t>
      </w:r>
      <w:r w:rsidR="003741A2" w:rsidRPr="006F6F51">
        <w:rPr>
          <w:rFonts w:ascii="Times New Roman" w:eastAsia="Times New Roman" w:hAnsi="Times New Roman" w:cs="Times New Roman"/>
          <w:color w:val="FF0000"/>
          <w:sz w:val="24"/>
          <w:szCs w:val="24"/>
        </w:rPr>
        <w:t>2021-</w:t>
      </w:r>
      <w:r w:rsidR="006F6F51" w:rsidRPr="006F6F51">
        <w:rPr>
          <w:rFonts w:ascii="Times New Roman" w:eastAsia="Times New Roman" w:hAnsi="Times New Roman" w:cs="Times New Roman"/>
          <w:color w:val="FF0000"/>
          <w:sz w:val="24"/>
          <w:szCs w:val="24"/>
        </w:rPr>
        <w:t>202</w:t>
      </w:r>
      <w:r w:rsidR="003741A2" w:rsidRPr="006F6F51">
        <w:rPr>
          <w:rFonts w:ascii="Times New Roman" w:eastAsia="Times New Roman" w:hAnsi="Times New Roman" w:cs="Times New Roman"/>
          <w:color w:val="FF0000"/>
          <w:sz w:val="24"/>
          <w:szCs w:val="24"/>
        </w:rPr>
        <w:t>2 and 2022-2</w:t>
      </w:r>
      <w:r w:rsidR="006F6F51" w:rsidRPr="006F6F51">
        <w:rPr>
          <w:rFonts w:ascii="Times New Roman" w:eastAsia="Times New Roman" w:hAnsi="Times New Roman" w:cs="Times New Roman"/>
          <w:color w:val="FF0000"/>
          <w:sz w:val="24"/>
          <w:szCs w:val="24"/>
        </w:rPr>
        <w:t>02</w:t>
      </w:r>
      <w:r w:rsidR="003741A2" w:rsidRPr="006F6F51">
        <w:rPr>
          <w:rFonts w:ascii="Times New Roman" w:eastAsia="Times New Roman" w:hAnsi="Times New Roman" w:cs="Times New Roman"/>
          <w:color w:val="FF0000"/>
          <w:sz w:val="24"/>
          <w:szCs w:val="24"/>
        </w:rPr>
        <w:t>3</w:t>
      </w:r>
      <w:r w:rsidR="003741A2" w:rsidRPr="003741A2">
        <w:rPr>
          <w:rFonts w:ascii="Times New Roman" w:eastAsia="Times New Roman" w:hAnsi="Times New Roman" w:cs="Times New Roman"/>
          <w:sz w:val="24"/>
          <w:szCs w:val="24"/>
        </w:rPr>
        <w:t xml:space="preserve"> to evaluate the impact of Integrated Nutrient Management (INM) on the growth and yield of betel vine (</w:t>
      </w:r>
      <w:r w:rsidR="003741A2" w:rsidRPr="00171C76">
        <w:rPr>
          <w:rFonts w:ascii="Times New Roman" w:eastAsia="Times New Roman" w:hAnsi="Times New Roman" w:cs="Times New Roman"/>
          <w:i/>
          <w:iCs/>
          <w:sz w:val="24"/>
          <w:szCs w:val="24"/>
        </w:rPr>
        <w:t xml:space="preserve">Piper </w:t>
      </w:r>
      <w:proofErr w:type="spellStart"/>
      <w:r w:rsidR="003741A2" w:rsidRPr="00171C76">
        <w:rPr>
          <w:rFonts w:ascii="Times New Roman" w:eastAsia="Times New Roman" w:hAnsi="Times New Roman" w:cs="Times New Roman"/>
          <w:i/>
          <w:iCs/>
          <w:sz w:val="24"/>
          <w:szCs w:val="24"/>
        </w:rPr>
        <w:t>betle</w:t>
      </w:r>
      <w:proofErr w:type="spellEnd"/>
      <w:r w:rsidR="003741A2" w:rsidRPr="003741A2">
        <w:rPr>
          <w:rFonts w:ascii="Times New Roman" w:eastAsia="Times New Roman" w:hAnsi="Times New Roman" w:cs="Times New Roman"/>
          <w:sz w:val="24"/>
          <w:szCs w:val="24"/>
        </w:rPr>
        <w:t xml:space="preserve"> L.). The study aimed to identify the most suitable combination of organic and inorganic nutrient sources for </w:t>
      </w:r>
      <w:r w:rsidR="006F6F51" w:rsidRPr="006F6F51">
        <w:rPr>
          <w:rFonts w:ascii="Times New Roman" w:eastAsia="Times New Roman" w:hAnsi="Times New Roman" w:cs="Times New Roman"/>
          <w:color w:val="FF0000"/>
          <w:sz w:val="24"/>
          <w:szCs w:val="24"/>
          <w:highlight w:val="yellow"/>
        </w:rPr>
        <w:t>optimizing</w:t>
      </w:r>
      <w:r w:rsidR="007573E2" w:rsidRPr="00A33DB4">
        <w:rPr>
          <w:rFonts w:ascii="Times New Roman" w:eastAsia="Times New Roman" w:hAnsi="Times New Roman" w:cs="Times New Roman"/>
          <w:sz w:val="24"/>
          <w:szCs w:val="24"/>
          <w:highlight w:val="yellow"/>
        </w:rPr>
        <w:t xml:space="preserve"> </w:t>
      </w:r>
      <w:r w:rsidR="003741A2" w:rsidRPr="003741A2">
        <w:rPr>
          <w:rFonts w:ascii="Times New Roman" w:eastAsia="Times New Roman" w:hAnsi="Times New Roman" w:cs="Times New Roman"/>
          <w:sz w:val="24"/>
          <w:szCs w:val="24"/>
        </w:rPr>
        <w:t xml:space="preserve">vine length, leaf yield, and overall economic benefits. The experiment was laid out in a </w:t>
      </w:r>
      <w:r w:rsidR="006F6F51" w:rsidRPr="006F6F51">
        <w:rPr>
          <w:rFonts w:ascii="Times New Roman" w:eastAsia="Times New Roman" w:hAnsi="Times New Roman" w:cs="Times New Roman"/>
          <w:color w:val="FF0000"/>
          <w:sz w:val="24"/>
          <w:szCs w:val="24"/>
          <w:highlight w:val="yellow"/>
        </w:rPr>
        <w:t>Randomized</w:t>
      </w:r>
      <w:r w:rsidR="007573E2" w:rsidRPr="00A33DB4">
        <w:rPr>
          <w:rFonts w:ascii="Times New Roman" w:eastAsia="Times New Roman" w:hAnsi="Times New Roman" w:cs="Times New Roman"/>
          <w:sz w:val="24"/>
          <w:szCs w:val="24"/>
          <w:highlight w:val="yellow"/>
        </w:rPr>
        <w:t xml:space="preserve"> </w:t>
      </w:r>
      <w:r w:rsidR="003741A2" w:rsidRPr="003741A2">
        <w:rPr>
          <w:rFonts w:ascii="Times New Roman" w:eastAsia="Times New Roman" w:hAnsi="Times New Roman" w:cs="Times New Roman"/>
          <w:sz w:val="24"/>
          <w:szCs w:val="24"/>
        </w:rPr>
        <w:t>Block Design (RBD) with three treatments and seven replications. Results revealed that the application of 50% NPK (STD), mustard oil cake (</w:t>
      </w:r>
      <w:proofErr w:type="spellStart"/>
      <w:r w:rsidR="003741A2" w:rsidRPr="003741A2">
        <w:rPr>
          <w:rFonts w:ascii="Times New Roman" w:eastAsia="Times New Roman" w:hAnsi="Times New Roman" w:cs="Times New Roman"/>
          <w:sz w:val="24"/>
          <w:szCs w:val="24"/>
        </w:rPr>
        <w:t>MoC</w:t>
      </w:r>
      <w:proofErr w:type="spellEnd"/>
      <w:r w:rsidR="003741A2" w:rsidRPr="003741A2">
        <w:rPr>
          <w:rFonts w:ascii="Times New Roman" w:eastAsia="Times New Roman" w:hAnsi="Times New Roman" w:cs="Times New Roman"/>
          <w:sz w:val="24"/>
          <w:szCs w:val="24"/>
        </w:rPr>
        <w:t xml:space="preserve">) @ 1.5 t/ha, vermicompost (VC) @ 10 t/ha, and </w:t>
      </w:r>
      <w:r w:rsidR="00A33DB4" w:rsidRPr="00A33DB4">
        <w:rPr>
          <w:rFonts w:ascii="Times New Roman" w:eastAsia="Times New Roman" w:hAnsi="Times New Roman" w:cs="Times New Roman"/>
          <w:sz w:val="24"/>
          <w:szCs w:val="24"/>
          <w:highlight w:val="yellow"/>
        </w:rPr>
        <w:t>a</w:t>
      </w:r>
      <w:r w:rsidR="00A33DB4">
        <w:rPr>
          <w:rFonts w:ascii="Times New Roman" w:eastAsia="Times New Roman" w:hAnsi="Times New Roman" w:cs="Times New Roman"/>
          <w:sz w:val="24"/>
          <w:szCs w:val="24"/>
        </w:rPr>
        <w:t xml:space="preserve"> </w:t>
      </w:r>
      <w:r w:rsidR="003741A2" w:rsidRPr="003741A2">
        <w:rPr>
          <w:rFonts w:ascii="Times New Roman" w:eastAsia="Times New Roman" w:hAnsi="Times New Roman" w:cs="Times New Roman"/>
          <w:sz w:val="24"/>
          <w:szCs w:val="24"/>
        </w:rPr>
        <w:t xml:space="preserve">consortia biofertilizer @ 12 kg/ha significantly improved vine length (4.86 m), leaf yield per vine (73.57 leaves), hundred fresh leaf weight (276.52 g), and total leaf yield per hectare per year (1,623,980 leaves). The findings suggest that integrating organic and inorganic </w:t>
      </w:r>
      <w:proofErr w:type="gramStart"/>
      <w:r w:rsidR="006F6F51" w:rsidRPr="006F6F51">
        <w:rPr>
          <w:rFonts w:ascii="Times New Roman" w:eastAsia="Times New Roman" w:hAnsi="Times New Roman" w:cs="Times New Roman"/>
          <w:color w:val="FF0000"/>
          <w:sz w:val="24"/>
          <w:szCs w:val="24"/>
          <w:highlight w:val="yellow"/>
        </w:rPr>
        <w:t>fertilizer’s</w:t>
      </w:r>
      <w:proofErr w:type="gramEnd"/>
      <w:r w:rsidR="007573E2" w:rsidRPr="00A33DB4">
        <w:rPr>
          <w:rFonts w:ascii="Times New Roman" w:eastAsia="Times New Roman" w:hAnsi="Times New Roman" w:cs="Times New Roman"/>
          <w:sz w:val="24"/>
          <w:szCs w:val="24"/>
          <w:highlight w:val="yellow"/>
        </w:rPr>
        <w:t xml:space="preserve"> </w:t>
      </w:r>
      <w:r w:rsidR="003741A2" w:rsidRPr="003741A2">
        <w:rPr>
          <w:rFonts w:ascii="Times New Roman" w:eastAsia="Times New Roman" w:hAnsi="Times New Roman" w:cs="Times New Roman"/>
          <w:sz w:val="24"/>
          <w:szCs w:val="24"/>
        </w:rPr>
        <w:t>enhances betel vine productivity while maintaining soil health and sustainability.</w:t>
      </w:r>
      <w:r w:rsidR="00CF6A89">
        <w:rPr>
          <w:rFonts w:ascii="Times New Roman" w:eastAsia="Times New Roman" w:hAnsi="Times New Roman" w:cs="Times New Roman"/>
          <w:sz w:val="24"/>
          <w:szCs w:val="24"/>
        </w:rPr>
        <w:t xml:space="preserve"> </w:t>
      </w:r>
      <w:r w:rsidR="00CF6A89" w:rsidRPr="00A33DB4">
        <w:rPr>
          <w:rFonts w:ascii="Times New Roman" w:eastAsia="Times New Roman" w:hAnsi="Times New Roman" w:cs="Times New Roman"/>
          <w:sz w:val="24"/>
          <w:szCs w:val="24"/>
          <w:highlight w:val="yellow"/>
        </w:rPr>
        <w:t xml:space="preserve">Based on the findings, it was concluded that betel vine recorded the highest vine length, number of leaves per vine, hundred fresh leaf weight, and leaf yield per hectare per year when treated with an integrated dose of </w:t>
      </w:r>
      <w:r w:rsidR="006F6F51" w:rsidRPr="006F6F51">
        <w:rPr>
          <w:rFonts w:ascii="Times New Roman" w:eastAsia="Times New Roman" w:hAnsi="Times New Roman" w:cs="Times New Roman"/>
          <w:color w:val="FF0000"/>
          <w:sz w:val="24"/>
          <w:szCs w:val="24"/>
          <w:highlight w:val="yellow"/>
        </w:rPr>
        <w:t>fertilizer</w:t>
      </w:r>
      <w:r w:rsidR="00CF6A89" w:rsidRPr="006F6F51">
        <w:rPr>
          <w:rFonts w:ascii="Times New Roman" w:eastAsia="Times New Roman" w:hAnsi="Times New Roman" w:cs="Times New Roman"/>
          <w:color w:val="FF0000"/>
          <w:sz w:val="24"/>
          <w:szCs w:val="24"/>
          <w:highlight w:val="yellow"/>
        </w:rPr>
        <w:t xml:space="preserve"> </w:t>
      </w:r>
      <w:r w:rsidR="00CF6A89" w:rsidRPr="00A33DB4">
        <w:rPr>
          <w:rFonts w:ascii="Times New Roman" w:eastAsia="Times New Roman" w:hAnsi="Times New Roman" w:cs="Times New Roman"/>
          <w:sz w:val="24"/>
          <w:szCs w:val="24"/>
          <w:highlight w:val="yellow"/>
        </w:rPr>
        <w:t>based on soil test values, along with mustard oil cake, vermicompost, and consortia biofertilizer.</w:t>
      </w:r>
    </w:p>
    <w:p w14:paraId="4627BF17" w14:textId="19A3762E" w:rsidR="007F1DFF" w:rsidRDefault="003741A2" w:rsidP="00171C76">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rPr>
      </w:pPr>
      <w:r w:rsidRPr="007F1DFF">
        <w:rPr>
          <w:rFonts w:ascii="Times New Roman" w:eastAsia="Times New Roman" w:hAnsi="Times New Roman" w:cs="Times New Roman"/>
          <w:bCs/>
          <w:sz w:val="27"/>
          <w:szCs w:val="27"/>
        </w:rPr>
        <w:t xml:space="preserve">Key </w:t>
      </w:r>
      <w:r w:rsidR="007F1DFF" w:rsidRPr="007F1DFF">
        <w:rPr>
          <w:rFonts w:ascii="Times New Roman" w:eastAsia="Times New Roman" w:hAnsi="Times New Roman" w:cs="Times New Roman"/>
          <w:bCs/>
          <w:sz w:val="27"/>
          <w:szCs w:val="27"/>
        </w:rPr>
        <w:t>words</w:t>
      </w:r>
      <w:r w:rsidRPr="007F1DFF">
        <w:rPr>
          <w:rFonts w:ascii="Times New Roman" w:eastAsia="Times New Roman" w:hAnsi="Times New Roman" w:cs="Times New Roman"/>
          <w:bCs/>
          <w:sz w:val="27"/>
          <w:szCs w:val="27"/>
        </w:rPr>
        <w:t>:</w:t>
      </w:r>
      <w:r w:rsidR="007F1DFF" w:rsidRPr="007F1DFF">
        <w:rPr>
          <w:rFonts w:ascii="Times New Roman" w:eastAsia="Times New Roman" w:hAnsi="Times New Roman" w:cs="Times New Roman"/>
          <w:bCs/>
          <w:sz w:val="27"/>
          <w:szCs w:val="27"/>
        </w:rPr>
        <w:t xml:space="preserve"> </w:t>
      </w:r>
      <w:r w:rsidR="007573E2" w:rsidRPr="00A33DB4">
        <w:rPr>
          <w:rFonts w:ascii="Times New Roman" w:eastAsia="Times New Roman" w:hAnsi="Times New Roman" w:cs="Times New Roman"/>
          <w:bCs/>
          <w:sz w:val="27"/>
          <w:szCs w:val="27"/>
          <w:highlight w:val="yellow"/>
        </w:rPr>
        <w:t xml:space="preserve">Integrated Nutrient </w:t>
      </w:r>
      <w:r w:rsidR="006F6F51" w:rsidRPr="006F6F51">
        <w:rPr>
          <w:rFonts w:ascii="Times New Roman" w:eastAsia="Times New Roman" w:hAnsi="Times New Roman" w:cs="Times New Roman"/>
          <w:bCs/>
          <w:color w:val="FF0000"/>
          <w:sz w:val="27"/>
          <w:szCs w:val="27"/>
          <w:highlight w:val="yellow"/>
        </w:rPr>
        <w:t>Management</w:t>
      </w:r>
      <w:r w:rsidR="006F6F51" w:rsidRPr="006F6F51">
        <w:rPr>
          <w:rFonts w:ascii="Times New Roman" w:eastAsia="Times New Roman" w:hAnsi="Times New Roman" w:cs="Times New Roman"/>
          <w:bCs/>
          <w:color w:val="FF0000"/>
          <w:sz w:val="27"/>
          <w:szCs w:val="27"/>
        </w:rPr>
        <w:t>,</w:t>
      </w:r>
      <w:r w:rsidR="007F1DFF" w:rsidRPr="007F1DFF">
        <w:rPr>
          <w:rFonts w:ascii="Times New Roman" w:eastAsia="Times New Roman" w:hAnsi="Times New Roman" w:cs="Times New Roman"/>
          <w:bCs/>
          <w:sz w:val="27"/>
          <w:szCs w:val="27"/>
        </w:rPr>
        <w:t xml:space="preserve"> Productiv</w:t>
      </w:r>
      <w:r w:rsidR="007F1DFF">
        <w:rPr>
          <w:rFonts w:ascii="Times New Roman" w:eastAsia="Times New Roman" w:hAnsi="Times New Roman" w:cs="Times New Roman"/>
          <w:bCs/>
          <w:sz w:val="27"/>
          <w:szCs w:val="27"/>
        </w:rPr>
        <w:t>it</w:t>
      </w:r>
      <w:r w:rsidR="007F1DFF" w:rsidRPr="007F1DFF">
        <w:rPr>
          <w:rFonts w:ascii="Times New Roman" w:eastAsia="Times New Roman" w:hAnsi="Times New Roman" w:cs="Times New Roman"/>
          <w:bCs/>
          <w:sz w:val="27"/>
          <w:szCs w:val="27"/>
        </w:rPr>
        <w:t>y, Profitability, Betel vine, Coastal region, Odisha</w:t>
      </w:r>
      <w:r w:rsidR="007F1DFF" w:rsidRPr="007F1DFF">
        <w:rPr>
          <w:rFonts w:ascii="Times New Roman" w:eastAsia="Times New Roman" w:hAnsi="Times New Roman" w:cs="Times New Roman"/>
          <w:b/>
          <w:bCs/>
          <w:color w:val="FF0000"/>
          <w:sz w:val="27"/>
          <w:szCs w:val="27"/>
        </w:rPr>
        <w:t xml:space="preserve"> </w:t>
      </w:r>
    </w:p>
    <w:p w14:paraId="4A51B965" w14:textId="77777777" w:rsidR="005945FD" w:rsidRDefault="005945FD"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42373A" w14:textId="77777777" w:rsidR="003741A2" w:rsidRDefault="003741A2"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Introduction:</w:t>
      </w:r>
    </w:p>
    <w:p w14:paraId="534D7640" w14:textId="1F6A485B" w:rsidR="00E50693" w:rsidRPr="00121AA4" w:rsidRDefault="00E50693" w:rsidP="00D53FE9">
      <w:pPr>
        <w:pStyle w:val="NormalWeb"/>
        <w:spacing w:line="360" w:lineRule="auto"/>
        <w:jc w:val="both"/>
      </w:pPr>
      <w:r w:rsidRPr="00121AA4">
        <w:t>Betel vine (</w:t>
      </w:r>
      <w:r w:rsidRPr="00121AA4">
        <w:rPr>
          <w:rStyle w:val="Vurgu"/>
        </w:rPr>
        <w:t xml:space="preserve">Piper </w:t>
      </w:r>
      <w:proofErr w:type="spellStart"/>
      <w:r w:rsidRPr="00121AA4">
        <w:rPr>
          <w:rStyle w:val="Vurgu"/>
        </w:rPr>
        <w:t>betle</w:t>
      </w:r>
      <w:proofErr w:type="spellEnd"/>
      <w:r w:rsidRPr="00121AA4">
        <w:t xml:space="preserve"> L.) is a perennial, dioecious, evergreen climber of the family </w:t>
      </w:r>
      <w:proofErr w:type="spellStart"/>
      <w:r w:rsidRPr="00121AA4">
        <w:rPr>
          <w:rStyle w:val="Vurgu"/>
        </w:rPr>
        <w:t>Piperaceae</w:t>
      </w:r>
      <w:proofErr w:type="spellEnd"/>
      <w:r w:rsidRPr="00121AA4">
        <w:t>, cultivated primarily for its leaves</w:t>
      </w:r>
      <w:r w:rsidR="007573E2">
        <w:t>,</w:t>
      </w:r>
      <w:r w:rsidRPr="00121AA4">
        <w:t xml:space="preserve"> which are valued for mastication, medicinal use, and cultural significance across South and Southeast Asia </w:t>
      </w:r>
      <w:r w:rsidR="006F6F51">
        <w:t>“</w:t>
      </w:r>
      <w:r w:rsidR="006F6F51" w:rsidRPr="006F6F51">
        <w:rPr>
          <w:color w:val="FF0000"/>
        </w:rPr>
        <w:t>a</w:t>
      </w:r>
      <w:r w:rsidR="006F6F51" w:rsidRPr="006F6F51">
        <w:rPr>
          <w:i/>
          <w:color w:val="FF0000"/>
        </w:rPr>
        <w:t>nd or &amp;, only one of them must be used in the entire text</w:t>
      </w:r>
      <w:r w:rsidR="006F6F51" w:rsidRPr="006F6F51">
        <w:t xml:space="preserve"> </w:t>
      </w:r>
      <w:r w:rsidRPr="00121AA4">
        <w:t xml:space="preserve">(Das &amp; </w:t>
      </w:r>
      <w:proofErr w:type="spellStart"/>
      <w:r w:rsidRPr="00121AA4">
        <w:t>Mallick</w:t>
      </w:r>
      <w:proofErr w:type="spellEnd"/>
      <w:r w:rsidRPr="00121AA4">
        <w:t>, 2010)</w:t>
      </w:r>
      <w:r w:rsidR="006F6F51">
        <w:t>”</w:t>
      </w:r>
      <w:r w:rsidRPr="00121AA4">
        <w:t xml:space="preserve">. </w:t>
      </w:r>
      <w:r w:rsidR="007573E2" w:rsidRPr="00A33DB4">
        <w:rPr>
          <w:highlight w:val="yellow"/>
        </w:rPr>
        <w:t xml:space="preserve">It is an evergreen, perennial, dioecious climbing herb and presents itself as an important cash crop.  Leaf is a rich source of eugenol, chavicol, methyl chavicol (used in perfumery and medicine), and protein, minerals, vitamins and amino acids (Banik </w:t>
      </w:r>
      <w:r w:rsidR="007573E2" w:rsidRPr="00A33DB4">
        <w:rPr>
          <w:i/>
          <w:iCs/>
          <w:highlight w:val="yellow"/>
        </w:rPr>
        <w:t>et al</w:t>
      </w:r>
      <w:r w:rsidR="007573E2" w:rsidRPr="00A33DB4">
        <w:rPr>
          <w:highlight w:val="yellow"/>
        </w:rPr>
        <w:t>., 2024</w:t>
      </w:r>
      <w:r w:rsidR="00364FA4">
        <w:rPr>
          <w:highlight w:val="yellow"/>
        </w:rPr>
        <w:t xml:space="preserve">; </w:t>
      </w:r>
      <w:r w:rsidR="00364FA4" w:rsidRPr="00A33DB4">
        <w:rPr>
          <w:highlight w:val="yellow"/>
        </w:rPr>
        <w:t>Panda &amp; Panda, 2022</w:t>
      </w:r>
      <w:r w:rsidR="007573E2" w:rsidRPr="00A33DB4">
        <w:rPr>
          <w:highlight w:val="yellow"/>
        </w:rPr>
        <w:t>).</w:t>
      </w:r>
      <w:r w:rsidR="007573E2">
        <w:t xml:space="preserve"> </w:t>
      </w:r>
      <w:r w:rsidRPr="00121AA4">
        <w:t xml:space="preserve">The species is believed </w:t>
      </w:r>
      <w:r w:rsidRPr="00121AA4">
        <w:lastRenderedPageBreak/>
        <w:t xml:space="preserve">to have originated in Malaysia (Chattopadhyay &amp; Maity, 1967). In India, betel vine cultivation is an age-old practice, commercially grown in states such as Assam, West Bengal, Bihar, Uttar Pradesh, Odisha, Karnataka, Kerala, Andhra Pradesh, Tamil Nadu, Meghalaya, and Tripura (Chandini, 2020). Odisha, particularly its coastal districts, is one of the traditional </w:t>
      </w:r>
      <w:proofErr w:type="spellStart"/>
      <w:r w:rsidR="007573E2" w:rsidRPr="00A33DB4">
        <w:rPr>
          <w:highlight w:val="yellow"/>
        </w:rPr>
        <w:t>centres</w:t>
      </w:r>
      <w:proofErr w:type="spellEnd"/>
      <w:r w:rsidR="007573E2" w:rsidRPr="00121AA4">
        <w:t xml:space="preserve"> </w:t>
      </w:r>
      <w:r w:rsidRPr="00121AA4">
        <w:t>of betel vine cultivation, where the crop contributes substantially to rural employment and household income.</w:t>
      </w:r>
    </w:p>
    <w:p w14:paraId="5DBE4858" w14:textId="33305495" w:rsidR="00E50693" w:rsidRPr="00121AA4" w:rsidRDefault="00E50693" w:rsidP="00D53FE9">
      <w:pPr>
        <w:pStyle w:val="NormalWeb"/>
        <w:spacing w:line="360" w:lineRule="auto"/>
        <w:jc w:val="both"/>
      </w:pPr>
      <w:r w:rsidRPr="00121AA4">
        <w:t xml:space="preserve">Despite its socio-economic importance, betel vine cultivation faces several challenges. Being a perennial and nutrient-exhaustive crop, continuous </w:t>
      </w:r>
      <w:r w:rsidR="006F6F51" w:rsidRPr="006F6F51">
        <w:rPr>
          <w:color w:val="FF0000"/>
        </w:rPr>
        <w:t>mono-cropping</w:t>
      </w:r>
      <w:r w:rsidRPr="00121AA4">
        <w:t xml:space="preserve"> and imbalanced </w:t>
      </w:r>
      <w:r w:rsidR="006F6F51" w:rsidRPr="006F6F51">
        <w:rPr>
          <w:color w:val="FF0000"/>
          <w:highlight w:val="yellow"/>
        </w:rPr>
        <w:t>fertilizers</w:t>
      </w:r>
      <w:r w:rsidR="007573E2" w:rsidRPr="006F6F51">
        <w:rPr>
          <w:color w:val="FF0000"/>
        </w:rPr>
        <w:t xml:space="preserve"> </w:t>
      </w:r>
      <w:r w:rsidRPr="00121AA4">
        <w:t>use often lead to soil fertility depletion, lower productivity, and deterioration in leaf quality. Conventional reliance solely on either organic or inorganic nutrient sources has proved inadequate to sustain long-term productivity and soil health.</w:t>
      </w:r>
    </w:p>
    <w:p w14:paraId="67EA42AA" w14:textId="5F9DCF7C" w:rsidR="00E50693" w:rsidRPr="00121AA4" w:rsidRDefault="00E50693" w:rsidP="00D53FE9">
      <w:pPr>
        <w:pStyle w:val="NormalWeb"/>
        <w:spacing w:line="360" w:lineRule="auto"/>
        <w:jc w:val="both"/>
      </w:pPr>
      <w:r w:rsidRPr="00121AA4">
        <w:t xml:space="preserve">Integrated Nutrient Management (INM) has emerged as a viable strategy for addressing these challenges by combining organic manures, </w:t>
      </w:r>
      <w:r w:rsidR="006F6F51" w:rsidRPr="006F6F51">
        <w:rPr>
          <w:color w:val="FF0000"/>
        </w:rPr>
        <w:t>bio fertilizers</w:t>
      </w:r>
      <w:r w:rsidRPr="00121AA4">
        <w:t xml:space="preserve">, and inorganic </w:t>
      </w:r>
      <w:r w:rsidR="006F6F51" w:rsidRPr="006F6F51">
        <w:rPr>
          <w:color w:val="FF0000"/>
          <w:highlight w:val="yellow"/>
        </w:rPr>
        <w:t>fertilizer’s</w:t>
      </w:r>
      <w:r w:rsidR="007573E2" w:rsidRPr="006F6F51">
        <w:rPr>
          <w:color w:val="FF0000"/>
          <w:highlight w:val="yellow"/>
        </w:rPr>
        <w:t xml:space="preserve"> </w:t>
      </w:r>
      <w:r w:rsidRPr="00121AA4">
        <w:t xml:space="preserve">in a balanced manner. </w:t>
      </w:r>
      <w:r w:rsidR="00364FA4" w:rsidRPr="00A33DB4">
        <w:rPr>
          <w:highlight w:val="yellow"/>
        </w:rPr>
        <w:t xml:space="preserve">It is a modified farming method, has the potential to effectively </w:t>
      </w:r>
      <w:proofErr w:type="spellStart"/>
      <w:r w:rsidR="00364FA4" w:rsidRPr="00A33DB4">
        <w:rPr>
          <w:highlight w:val="yellow"/>
        </w:rPr>
        <w:t>utilise</w:t>
      </w:r>
      <w:proofErr w:type="spellEnd"/>
      <w:r w:rsidR="00364FA4" w:rsidRPr="00A33DB4">
        <w:rPr>
          <w:highlight w:val="yellow"/>
        </w:rPr>
        <w:t xml:space="preserve"> organic and inorganic resources, to improve the quality of soils and crops, and to make farming more economically viable and sustainable (Padbhushan </w:t>
      </w:r>
      <w:r w:rsidR="00364FA4" w:rsidRPr="00A33DB4">
        <w:rPr>
          <w:i/>
          <w:iCs/>
          <w:highlight w:val="yellow"/>
        </w:rPr>
        <w:t>et al</w:t>
      </w:r>
      <w:r w:rsidR="00364FA4" w:rsidRPr="00A33DB4">
        <w:rPr>
          <w:highlight w:val="yellow"/>
        </w:rPr>
        <w:t>., 2021).</w:t>
      </w:r>
      <w:r w:rsidR="00364FA4" w:rsidRPr="00364FA4">
        <w:t xml:space="preserve"> </w:t>
      </w:r>
      <w:r w:rsidRPr="00121AA4">
        <w:t xml:space="preserve">INM not only ensures efficient nutrient </w:t>
      </w:r>
      <w:r w:rsidR="006F6F51" w:rsidRPr="006F6F51">
        <w:rPr>
          <w:color w:val="FF0000"/>
          <w:highlight w:val="yellow"/>
        </w:rPr>
        <w:t>utilizations</w:t>
      </w:r>
      <w:r w:rsidR="007573E2" w:rsidRPr="006F6F51">
        <w:rPr>
          <w:color w:val="FF0000"/>
          <w:highlight w:val="yellow"/>
        </w:rPr>
        <w:t xml:space="preserve"> </w:t>
      </w:r>
      <w:r w:rsidRPr="00121AA4">
        <w:t>but also enhances soil organic matter, microbial activity, and long-term ecological stability (</w:t>
      </w:r>
      <w:proofErr w:type="spellStart"/>
      <w:r w:rsidRPr="00121AA4">
        <w:t>Debanath</w:t>
      </w:r>
      <w:proofErr w:type="spellEnd"/>
      <w:r w:rsidRPr="00121AA4">
        <w:t xml:space="preserve"> et al., 1985; Chandini, 2020). Recent studies confirm that the integration of oil cakes, </w:t>
      </w:r>
      <w:proofErr w:type="spellStart"/>
      <w:r w:rsidRPr="00121AA4">
        <w:t>vermicompost</w:t>
      </w:r>
      <w:proofErr w:type="spellEnd"/>
      <w:r w:rsidRPr="00121AA4">
        <w:t xml:space="preserve">, and chemical </w:t>
      </w:r>
      <w:proofErr w:type="spellStart"/>
      <w:r w:rsidR="007573E2" w:rsidRPr="00A33DB4">
        <w:rPr>
          <w:highlight w:val="yellow"/>
        </w:rPr>
        <w:t>fertilisers</w:t>
      </w:r>
      <w:proofErr w:type="spellEnd"/>
      <w:r w:rsidR="007573E2" w:rsidRPr="00A33DB4">
        <w:rPr>
          <w:highlight w:val="yellow"/>
        </w:rPr>
        <w:t xml:space="preserve"> </w:t>
      </w:r>
      <w:r w:rsidRPr="00121AA4">
        <w:t xml:space="preserve">significantly improves vine growth, leaf yield, and quality attributes of betel vine under diverse agro-ecological zones (Bar </w:t>
      </w:r>
      <w:r w:rsidR="0000508E">
        <w:t>and</w:t>
      </w:r>
      <w:r w:rsidRPr="00121AA4">
        <w:t xml:space="preserve"> </w:t>
      </w:r>
      <w:proofErr w:type="spellStart"/>
      <w:r w:rsidRPr="00121AA4">
        <w:t>Pariari</w:t>
      </w:r>
      <w:proofErr w:type="spellEnd"/>
      <w:r w:rsidRPr="00121AA4">
        <w:t xml:space="preserve">, 2020; </w:t>
      </w:r>
      <w:proofErr w:type="spellStart"/>
      <w:r w:rsidRPr="00121AA4">
        <w:t>Alam</w:t>
      </w:r>
      <w:proofErr w:type="spellEnd"/>
      <w:r w:rsidRPr="00121AA4">
        <w:t xml:space="preserve"> et al., 2025). Evidence from other perennial and horticultural crops further demonstrates that INM enhances nutrient use efficiency, soil fertility, and profitability while reducing environmental risks (</w:t>
      </w:r>
      <w:proofErr w:type="spellStart"/>
      <w:r w:rsidRPr="00121AA4">
        <w:t>Debbarmac</w:t>
      </w:r>
      <w:proofErr w:type="spellEnd"/>
      <w:r w:rsidRPr="00121AA4">
        <w:t xml:space="preserve"> et al., 2024; Kumar et al., 2023).</w:t>
      </w:r>
    </w:p>
    <w:p w14:paraId="210C66C6" w14:textId="442DBCB6" w:rsidR="00E50693" w:rsidRPr="00121AA4" w:rsidRDefault="00E50693" w:rsidP="00D53FE9">
      <w:pPr>
        <w:pStyle w:val="NormalWeb"/>
        <w:spacing w:line="360" w:lineRule="auto"/>
        <w:jc w:val="both"/>
      </w:pPr>
      <w:r w:rsidRPr="00121AA4">
        <w:t xml:space="preserve">Considering these benefits and the limited systematic field evaluations in Odisha’s coastal region, the present on-farm multi-location trial was undertaken to evaluate the effect of INM </w:t>
      </w:r>
      <w:r w:rsidRPr="006F6F51">
        <w:rPr>
          <w:color w:val="FF0000"/>
        </w:rPr>
        <w:t>on growth</w:t>
      </w:r>
      <w:r w:rsidRPr="00121AA4">
        <w:t>, yield, and profitability of betel vine. The study aimed to identify the most suitable combination of organic and inorganic nutrient sources that would ensure higher productivity, profitability, and sustainability in betel vine cultivation</w:t>
      </w:r>
    </w:p>
    <w:p w14:paraId="73CF8CCC" w14:textId="29AD64D7" w:rsidR="003741A2" w:rsidRPr="006F6F51" w:rsidRDefault="003741A2" w:rsidP="00D53FE9">
      <w:pPr>
        <w:spacing w:before="100" w:beforeAutospacing="1" w:after="100" w:afterAutospacing="1" w:line="360" w:lineRule="auto"/>
        <w:jc w:val="both"/>
        <w:outlineLvl w:val="2"/>
        <w:rPr>
          <w:rFonts w:ascii="Times New Roman" w:eastAsia="Times New Roman" w:hAnsi="Times New Roman" w:cs="Times New Roman"/>
          <w:b/>
          <w:bCs/>
          <w:color w:val="FF0000"/>
          <w:sz w:val="27"/>
          <w:szCs w:val="27"/>
        </w:rPr>
      </w:pPr>
      <w:r w:rsidRPr="006F6F51">
        <w:rPr>
          <w:rFonts w:ascii="Times New Roman" w:eastAsia="Times New Roman" w:hAnsi="Times New Roman" w:cs="Times New Roman"/>
          <w:b/>
          <w:bCs/>
          <w:color w:val="FF0000"/>
          <w:sz w:val="27"/>
          <w:szCs w:val="27"/>
        </w:rPr>
        <w:t>Materials and Methods</w:t>
      </w:r>
    </w:p>
    <w:p w14:paraId="7C596A43" w14:textId="577E821A" w:rsidR="003741A2" w:rsidRPr="003741A2" w:rsidRDefault="003741A2" w:rsidP="00D53FE9">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lastRenderedPageBreak/>
        <w:t>This on-f</w:t>
      </w:r>
      <w:r w:rsidR="00063000">
        <w:rPr>
          <w:rFonts w:ascii="Times New Roman" w:eastAsia="Times New Roman" w:hAnsi="Times New Roman" w:cs="Times New Roman"/>
          <w:sz w:val="24"/>
          <w:szCs w:val="24"/>
        </w:rPr>
        <w:t>arm trial was conducted during k</w:t>
      </w:r>
      <w:r w:rsidRPr="003741A2">
        <w:rPr>
          <w:rFonts w:ascii="Times New Roman" w:eastAsia="Times New Roman" w:hAnsi="Times New Roman" w:cs="Times New Roman"/>
          <w:sz w:val="24"/>
          <w:szCs w:val="24"/>
        </w:rPr>
        <w:t xml:space="preserve">harif 2021-22 and </w:t>
      </w:r>
      <w:r w:rsidR="00E50693">
        <w:rPr>
          <w:rFonts w:ascii="Times New Roman" w:eastAsia="Times New Roman" w:hAnsi="Times New Roman" w:cs="Times New Roman"/>
          <w:sz w:val="24"/>
          <w:szCs w:val="24"/>
        </w:rPr>
        <w:t xml:space="preserve">kharif </w:t>
      </w:r>
      <w:r w:rsidRPr="003741A2">
        <w:rPr>
          <w:rFonts w:ascii="Times New Roman" w:eastAsia="Times New Roman" w:hAnsi="Times New Roman" w:cs="Times New Roman"/>
          <w:sz w:val="24"/>
          <w:szCs w:val="24"/>
        </w:rPr>
        <w:t>2022-23 under the supervision</w:t>
      </w:r>
      <w:r w:rsidR="008C08A9">
        <w:rPr>
          <w:rFonts w:ascii="Times New Roman" w:eastAsia="Times New Roman" w:hAnsi="Times New Roman" w:cs="Times New Roman"/>
          <w:sz w:val="24"/>
          <w:szCs w:val="24"/>
        </w:rPr>
        <w:t xml:space="preserve"> of </w:t>
      </w:r>
      <w:r w:rsidR="00063000">
        <w:rPr>
          <w:rFonts w:ascii="Times New Roman" w:eastAsia="Times New Roman" w:hAnsi="Times New Roman" w:cs="Times New Roman"/>
          <w:sz w:val="24"/>
          <w:szCs w:val="24"/>
        </w:rPr>
        <w:t xml:space="preserve">different </w:t>
      </w:r>
      <w:r w:rsidR="008C08A9">
        <w:rPr>
          <w:rFonts w:ascii="Times New Roman" w:eastAsia="Times New Roman" w:hAnsi="Times New Roman" w:cs="Times New Roman"/>
          <w:sz w:val="24"/>
          <w:szCs w:val="24"/>
        </w:rPr>
        <w:t>Krishi Vigyan Kendra (KVK</w:t>
      </w:r>
      <w:r w:rsidR="00063000">
        <w:rPr>
          <w:rFonts w:ascii="Times New Roman" w:eastAsia="Times New Roman" w:hAnsi="Times New Roman" w:cs="Times New Roman"/>
          <w:sz w:val="24"/>
          <w:szCs w:val="24"/>
        </w:rPr>
        <w:t>s</w:t>
      </w:r>
      <w:r w:rsidR="008C08A9">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Balasore</w:t>
      </w:r>
      <w:proofErr w:type="spellEnd"/>
      <w:r w:rsidRPr="003741A2">
        <w:rPr>
          <w:rFonts w:ascii="Times New Roman" w:eastAsia="Times New Roman" w:hAnsi="Times New Roman" w:cs="Times New Roman"/>
          <w:sz w:val="24"/>
          <w:szCs w:val="24"/>
        </w:rPr>
        <w:t xml:space="preserve">, </w:t>
      </w:r>
      <w:proofErr w:type="spellStart"/>
      <w:r w:rsidR="008C08A9" w:rsidRPr="003741A2">
        <w:rPr>
          <w:rFonts w:ascii="Times New Roman" w:eastAsia="Times New Roman" w:hAnsi="Times New Roman" w:cs="Times New Roman"/>
          <w:sz w:val="24"/>
          <w:szCs w:val="24"/>
        </w:rPr>
        <w:t>Ganjam</w:t>
      </w:r>
      <w:proofErr w:type="spellEnd"/>
      <w:r w:rsidR="008C08A9" w:rsidRPr="003741A2">
        <w:rPr>
          <w:rFonts w:ascii="Times New Roman" w:eastAsia="Times New Roman" w:hAnsi="Times New Roman" w:cs="Times New Roman"/>
          <w:sz w:val="24"/>
          <w:szCs w:val="24"/>
        </w:rPr>
        <w:t xml:space="preserve">-II </w:t>
      </w:r>
      <w:r w:rsidRPr="003741A2">
        <w:rPr>
          <w:rFonts w:ascii="Times New Roman" w:eastAsia="Times New Roman" w:hAnsi="Times New Roman" w:cs="Times New Roman"/>
          <w:sz w:val="24"/>
          <w:szCs w:val="24"/>
        </w:rPr>
        <w:t xml:space="preserve">and </w:t>
      </w:r>
      <w:proofErr w:type="spellStart"/>
      <w:r w:rsidRPr="003741A2">
        <w:rPr>
          <w:rFonts w:ascii="Times New Roman" w:eastAsia="Times New Roman" w:hAnsi="Times New Roman" w:cs="Times New Roman"/>
          <w:sz w:val="24"/>
          <w:szCs w:val="24"/>
        </w:rPr>
        <w:t>Jagatsinghpur</w:t>
      </w:r>
      <w:proofErr w:type="spellEnd"/>
      <w:r w:rsidRPr="003741A2">
        <w:rPr>
          <w:rFonts w:ascii="Times New Roman" w:eastAsia="Times New Roman" w:hAnsi="Times New Roman" w:cs="Times New Roman"/>
          <w:sz w:val="24"/>
          <w:szCs w:val="24"/>
        </w:rPr>
        <w:t xml:space="preserve">. The experiment followed a </w:t>
      </w:r>
      <w:proofErr w:type="spellStart"/>
      <w:r w:rsidR="007573E2" w:rsidRPr="00A33DB4">
        <w:rPr>
          <w:rFonts w:ascii="Times New Roman" w:eastAsia="Times New Roman" w:hAnsi="Times New Roman" w:cs="Times New Roman"/>
          <w:sz w:val="24"/>
          <w:szCs w:val="24"/>
          <w:highlight w:val="yellow"/>
        </w:rPr>
        <w:t>Randomised</w:t>
      </w:r>
      <w:proofErr w:type="spellEnd"/>
      <w:r w:rsidR="007573E2" w:rsidRPr="00A33DB4">
        <w:rPr>
          <w:rFonts w:ascii="Times New Roman" w:eastAsia="Times New Roman" w:hAnsi="Times New Roman" w:cs="Times New Roman"/>
          <w:sz w:val="24"/>
          <w:szCs w:val="24"/>
          <w:highlight w:val="yellow"/>
        </w:rPr>
        <w:t xml:space="preserve"> </w:t>
      </w:r>
      <w:r w:rsidRPr="003741A2">
        <w:rPr>
          <w:rFonts w:ascii="Times New Roman" w:eastAsia="Times New Roman" w:hAnsi="Times New Roman" w:cs="Times New Roman"/>
          <w:sz w:val="24"/>
          <w:szCs w:val="24"/>
        </w:rPr>
        <w:t>Block Design (RBD) with three treatments and seven replications.</w:t>
      </w:r>
      <w:r w:rsidR="00365975" w:rsidRPr="00365975">
        <w:t xml:space="preserve"> </w:t>
      </w:r>
      <w:r w:rsidR="00365975" w:rsidRPr="00365975">
        <w:rPr>
          <w:rFonts w:ascii="Times New Roman" w:eastAsia="Times New Roman" w:hAnsi="Times New Roman" w:cs="Times New Roman"/>
          <w:sz w:val="24"/>
          <w:szCs w:val="24"/>
        </w:rPr>
        <w:t xml:space="preserve">Before the initiation of the experiment, soil samples were randomly collected from different spots of the experimental fields in the three districts at a depth of 0–15 cm. A composite sample was prepared, shade-dried, processed, and </w:t>
      </w:r>
      <w:proofErr w:type="spellStart"/>
      <w:r w:rsidR="007573E2" w:rsidRPr="00A33DB4">
        <w:rPr>
          <w:rFonts w:ascii="Times New Roman" w:eastAsia="Times New Roman" w:hAnsi="Times New Roman" w:cs="Times New Roman"/>
          <w:sz w:val="24"/>
          <w:szCs w:val="24"/>
          <w:highlight w:val="yellow"/>
        </w:rPr>
        <w:t>analysed</w:t>
      </w:r>
      <w:proofErr w:type="spellEnd"/>
      <w:r w:rsidR="007573E2" w:rsidRPr="00A33DB4">
        <w:rPr>
          <w:rFonts w:ascii="Times New Roman" w:eastAsia="Times New Roman" w:hAnsi="Times New Roman" w:cs="Times New Roman"/>
          <w:sz w:val="24"/>
          <w:szCs w:val="24"/>
          <w:highlight w:val="yellow"/>
        </w:rPr>
        <w:t xml:space="preserve"> </w:t>
      </w:r>
      <w:r w:rsidR="00365975" w:rsidRPr="00365975">
        <w:rPr>
          <w:rFonts w:ascii="Times New Roman" w:eastAsia="Times New Roman" w:hAnsi="Times New Roman" w:cs="Times New Roman"/>
          <w:sz w:val="24"/>
          <w:szCs w:val="24"/>
        </w:rPr>
        <w:t xml:space="preserve">for </w:t>
      </w:r>
      <w:r w:rsidR="007573E2" w:rsidRPr="00A33DB4">
        <w:rPr>
          <w:rFonts w:ascii="Times New Roman" w:eastAsia="Times New Roman" w:hAnsi="Times New Roman" w:cs="Times New Roman"/>
          <w:sz w:val="24"/>
          <w:szCs w:val="24"/>
          <w:highlight w:val="yellow"/>
        </w:rPr>
        <w:t>physicochemical</w:t>
      </w:r>
      <w:r w:rsidR="00365975" w:rsidRPr="00365975">
        <w:rPr>
          <w:rFonts w:ascii="Times New Roman" w:eastAsia="Times New Roman" w:hAnsi="Times New Roman" w:cs="Times New Roman"/>
          <w:sz w:val="24"/>
          <w:szCs w:val="24"/>
        </w:rPr>
        <w:t xml:space="preserve"> properties. Soil pH and electrical conductivity (EC) were determined in a 1:2.5 soil-to-water suspension following Jackson (1973). Organic carbon content was estimated using the Walkley and Black (1934) method. Available nitrogen</w:t>
      </w:r>
      <w:r w:rsidR="009879DC">
        <w:rPr>
          <w:rFonts w:ascii="Times New Roman" w:eastAsia="Times New Roman" w:hAnsi="Times New Roman" w:cs="Times New Roman"/>
          <w:sz w:val="24"/>
          <w:szCs w:val="24"/>
        </w:rPr>
        <w:t xml:space="preserve"> was determined by the alkaline</w:t>
      </w:r>
      <w:r w:rsidR="0000508E">
        <w:rPr>
          <w:rFonts w:ascii="Times New Roman" w:eastAsia="Times New Roman" w:hAnsi="Times New Roman" w:cs="Times New Roman"/>
          <w:sz w:val="24"/>
          <w:szCs w:val="24"/>
        </w:rPr>
        <w:t xml:space="preserve"> </w:t>
      </w:r>
      <w:proofErr w:type="spellStart"/>
      <w:r w:rsidR="00365975" w:rsidRPr="00365975">
        <w:rPr>
          <w:rFonts w:ascii="Times New Roman" w:eastAsia="Times New Roman" w:hAnsi="Times New Roman" w:cs="Times New Roman"/>
          <w:sz w:val="24"/>
          <w:szCs w:val="24"/>
        </w:rPr>
        <w:t>KMnO</w:t>
      </w:r>
      <w:proofErr w:type="spellEnd"/>
      <w:r w:rsidR="00365975" w:rsidRPr="00365975">
        <w:rPr>
          <w:rFonts w:ascii="Cambria Math" w:eastAsia="Times New Roman" w:hAnsi="Cambria Math" w:cs="Cambria Math"/>
          <w:sz w:val="24"/>
          <w:szCs w:val="24"/>
        </w:rPr>
        <w:t>₄</w:t>
      </w:r>
      <w:r w:rsidR="00365975" w:rsidRPr="00365975">
        <w:rPr>
          <w:rFonts w:ascii="Times New Roman" w:eastAsia="Times New Roman" w:hAnsi="Times New Roman" w:cs="Times New Roman"/>
          <w:sz w:val="24"/>
          <w:szCs w:val="24"/>
        </w:rPr>
        <w:t xml:space="preserve"> method (</w:t>
      </w:r>
      <w:proofErr w:type="spellStart"/>
      <w:r w:rsidR="00365975" w:rsidRPr="00365975">
        <w:rPr>
          <w:rFonts w:ascii="Times New Roman" w:eastAsia="Times New Roman" w:hAnsi="Times New Roman" w:cs="Times New Roman"/>
          <w:sz w:val="24"/>
          <w:szCs w:val="24"/>
        </w:rPr>
        <w:t>Subbiah</w:t>
      </w:r>
      <w:proofErr w:type="spellEnd"/>
      <w:r w:rsidR="00365975" w:rsidRPr="00365975">
        <w:rPr>
          <w:rFonts w:ascii="Times New Roman" w:eastAsia="Times New Roman" w:hAnsi="Times New Roman" w:cs="Times New Roman"/>
          <w:sz w:val="24"/>
          <w:szCs w:val="24"/>
        </w:rPr>
        <w:t xml:space="preserve"> </w:t>
      </w:r>
      <w:r w:rsidR="0000508E">
        <w:rPr>
          <w:rFonts w:ascii="Times New Roman" w:eastAsia="Times New Roman" w:hAnsi="Times New Roman" w:cs="Times New Roman"/>
          <w:sz w:val="24"/>
          <w:szCs w:val="24"/>
        </w:rPr>
        <w:t>and</w:t>
      </w:r>
      <w:r w:rsidR="00365975" w:rsidRPr="00365975">
        <w:rPr>
          <w:rFonts w:ascii="Times New Roman" w:eastAsia="Times New Roman" w:hAnsi="Times New Roman" w:cs="Times New Roman"/>
          <w:sz w:val="24"/>
          <w:szCs w:val="24"/>
        </w:rPr>
        <w:t xml:space="preserve"> Asija, 1956), while available phosphorus and potassium were </w:t>
      </w:r>
      <w:proofErr w:type="spellStart"/>
      <w:r w:rsidR="007573E2" w:rsidRPr="00A33DB4">
        <w:rPr>
          <w:rFonts w:ascii="Times New Roman" w:eastAsia="Times New Roman" w:hAnsi="Times New Roman" w:cs="Times New Roman"/>
          <w:sz w:val="24"/>
          <w:szCs w:val="24"/>
          <w:highlight w:val="yellow"/>
        </w:rPr>
        <w:t>analysed</w:t>
      </w:r>
      <w:proofErr w:type="spellEnd"/>
      <w:r w:rsidR="007573E2" w:rsidRPr="00A33DB4">
        <w:rPr>
          <w:rFonts w:ascii="Times New Roman" w:eastAsia="Times New Roman" w:hAnsi="Times New Roman" w:cs="Times New Roman"/>
          <w:sz w:val="24"/>
          <w:szCs w:val="24"/>
          <w:highlight w:val="yellow"/>
        </w:rPr>
        <w:t xml:space="preserve"> </w:t>
      </w:r>
      <w:r w:rsidR="00365975" w:rsidRPr="00365975">
        <w:rPr>
          <w:rFonts w:ascii="Times New Roman" w:eastAsia="Times New Roman" w:hAnsi="Times New Roman" w:cs="Times New Roman"/>
          <w:sz w:val="24"/>
          <w:szCs w:val="24"/>
        </w:rPr>
        <w:t xml:space="preserve">as per standard protocols. Soil texture was assessed using the </w:t>
      </w:r>
      <w:proofErr w:type="spellStart"/>
      <w:r w:rsidR="00365975" w:rsidRPr="00365975">
        <w:rPr>
          <w:rFonts w:ascii="Times New Roman" w:eastAsia="Times New Roman" w:hAnsi="Times New Roman" w:cs="Times New Roman"/>
          <w:sz w:val="24"/>
          <w:szCs w:val="24"/>
        </w:rPr>
        <w:t>Bouyoucos</w:t>
      </w:r>
      <w:proofErr w:type="spellEnd"/>
      <w:r w:rsidR="00365975" w:rsidRPr="00365975">
        <w:rPr>
          <w:rFonts w:ascii="Times New Roman" w:eastAsia="Times New Roman" w:hAnsi="Times New Roman" w:cs="Times New Roman"/>
          <w:sz w:val="24"/>
          <w:szCs w:val="24"/>
        </w:rPr>
        <w:t xml:space="preserve"> hydrometer method (Piper, 1966).</w:t>
      </w:r>
      <w:r w:rsidR="007573E2">
        <w:rPr>
          <w:rFonts w:ascii="Times New Roman" w:eastAsia="Times New Roman" w:hAnsi="Times New Roman" w:cs="Times New Roman"/>
          <w:sz w:val="24"/>
          <w:szCs w:val="24"/>
        </w:rPr>
        <w:t xml:space="preserve"> </w:t>
      </w:r>
      <w:r w:rsidR="00365975" w:rsidRPr="00365975">
        <w:rPr>
          <w:rFonts w:ascii="Times New Roman" w:eastAsia="Times New Roman" w:hAnsi="Times New Roman" w:cs="Times New Roman"/>
          <w:sz w:val="24"/>
          <w:szCs w:val="24"/>
        </w:rPr>
        <w:t>The soils of the experimental sites were classified as sandy loam to loamy in texture, acidic in reactio</w:t>
      </w:r>
      <w:r w:rsidR="005E7033">
        <w:rPr>
          <w:rFonts w:ascii="Times New Roman" w:eastAsia="Times New Roman" w:hAnsi="Times New Roman" w:cs="Times New Roman"/>
          <w:sz w:val="24"/>
          <w:szCs w:val="24"/>
        </w:rPr>
        <w:t>n (pH</w:t>
      </w:r>
      <w:r w:rsidR="006F6F51" w:rsidRPr="006F6F51">
        <w:rPr>
          <w:rFonts w:ascii="Times New Roman" w:eastAsia="Times New Roman" w:hAnsi="Times New Roman" w:cs="Times New Roman"/>
          <w:color w:val="FF0000"/>
          <w:sz w:val="24"/>
          <w:szCs w:val="24"/>
        </w:rPr>
        <w:t>=</w:t>
      </w:r>
      <w:r w:rsidR="005E7033" w:rsidRPr="006F6F51">
        <w:rPr>
          <w:rFonts w:ascii="Times New Roman" w:eastAsia="Times New Roman" w:hAnsi="Times New Roman" w:cs="Times New Roman"/>
          <w:color w:val="FF0000"/>
          <w:sz w:val="24"/>
          <w:szCs w:val="24"/>
        </w:rPr>
        <w:t xml:space="preserve"> </w:t>
      </w:r>
      <w:r w:rsidR="005E7033">
        <w:rPr>
          <w:rFonts w:ascii="Times New Roman" w:eastAsia="Times New Roman" w:hAnsi="Times New Roman" w:cs="Times New Roman"/>
          <w:sz w:val="24"/>
          <w:szCs w:val="24"/>
        </w:rPr>
        <w:t>5.77–5.94</w:t>
      </w:r>
      <w:r w:rsidR="009879DC">
        <w:rPr>
          <w:rFonts w:ascii="Times New Roman" w:eastAsia="Times New Roman" w:hAnsi="Times New Roman" w:cs="Times New Roman"/>
          <w:sz w:val="24"/>
          <w:szCs w:val="24"/>
        </w:rPr>
        <w:t>)</w:t>
      </w:r>
      <w:r w:rsidR="007573E2">
        <w:rPr>
          <w:rFonts w:ascii="Times New Roman" w:eastAsia="Times New Roman" w:hAnsi="Times New Roman" w:cs="Times New Roman"/>
          <w:sz w:val="24"/>
          <w:szCs w:val="24"/>
        </w:rPr>
        <w:t>,</w:t>
      </w:r>
      <w:r w:rsidR="00365975" w:rsidRPr="00365975">
        <w:rPr>
          <w:rFonts w:ascii="Times New Roman" w:eastAsia="Times New Roman" w:hAnsi="Times New Roman" w:cs="Times New Roman"/>
          <w:sz w:val="24"/>
          <w:szCs w:val="24"/>
        </w:rPr>
        <w:t xml:space="preserve"> and </w:t>
      </w:r>
      <w:proofErr w:type="spellStart"/>
      <w:r w:rsidR="007573E2" w:rsidRPr="00A33DB4">
        <w:rPr>
          <w:rFonts w:ascii="Times New Roman" w:eastAsia="Times New Roman" w:hAnsi="Times New Roman" w:cs="Times New Roman"/>
          <w:sz w:val="24"/>
          <w:szCs w:val="24"/>
          <w:highlight w:val="yellow"/>
        </w:rPr>
        <w:t>characterised</w:t>
      </w:r>
      <w:proofErr w:type="spellEnd"/>
      <w:r w:rsidR="007573E2" w:rsidRPr="00A33DB4">
        <w:rPr>
          <w:rFonts w:ascii="Times New Roman" w:eastAsia="Times New Roman" w:hAnsi="Times New Roman" w:cs="Times New Roman"/>
          <w:sz w:val="24"/>
          <w:szCs w:val="24"/>
          <w:highlight w:val="yellow"/>
        </w:rPr>
        <w:t xml:space="preserve"> </w:t>
      </w:r>
      <w:r w:rsidR="00365975" w:rsidRPr="00365975">
        <w:rPr>
          <w:rFonts w:ascii="Times New Roman" w:eastAsia="Times New Roman" w:hAnsi="Times New Roman" w:cs="Times New Roman"/>
          <w:sz w:val="24"/>
          <w:szCs w:val="24"/>
        </w:rPr>
        <w:t>by low available nitrogen (</w:t>
      </w:r>
      <w:r w:rsidR="009879DC">
        <w:rPr>
          <w:rFonts w:ascii="Times New Roman" w:eastAsia="Times New Roman" w:hAnsi="Times New Roman" w:cs="Times New Roman"/>
          <w:sz w:val="24"/>
          <w:szCs w:val="24"/>
        </w:rPr>
        <w:t>197-238</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¹) and organic carbon (</w:t>
      </w:r>
      <w:r w:rsidR="009879DC">
        <w:rPr>
          <w:rFonts w:ascii="Times New Roman" w:eastAsia="Times New Roman" w:hAnsi="Times New Roman" w:cs="Times New Roman"/>
          <w:sz w:val="24"/>
          <w:szCs w:val="24"/>
        </w:rPr>
        <w:t>4.2-4.7</w:t>
      </w:r>
      <w:r w:rsidR="006F6F51">
        <w:rPr>
          <w:rFonts w:ascii="Times New Roman" w:eastAsia="Times New Roman" w:hAnsi="Times New Roman" w:cs="Times New Roman"/>
          <w:sz w:val="24"/>
          <w:szCs w:val="24"/>
        </w:rPr>
        <w:t xml:space="preserve"> </w:t>
      </w:r>
      <w:r w:rsidR="009879DC" w:rsidRPr="006F6F51">
        <w:rPr>
          <w:rFonts w:ascii="Times New Roman" w:hAnsi="Times New Roman" w:cs="Times New Roman"/>
          <w:color w:val="FF0000"/>
          <w:sz w:val="24"/>
          <w:szCs w:val="24"/>
        </w:rPr>
        <w:t>g</w:t>
      </w:r>
      <w:r w:rsidR="006F6F51" w:rsidRPr="006F6F51">
        <w:rPr>
          <w:rFonts w:ascii="Times New Roman" w:hAnsi="Times New Roman" w:cs="Times New Roman"/>
          <w:color w:val="FF0000"/>
          <w:sz w:val="24"/>
          <w:szCs w:val="24"/>
        </w:rPr>
        <w:t xml:space="preserve"> </w:t>
      </w:r>
      <w:r w:rsidR="009879DC" w:rsidRPr="006F6F51">
        <w:rPr>
          <w:rFonts w:ascii="Times New Roman" w:hAnsi="Times New Roman" w:cs="Times New Roman"/>
          <w:color w:val="FF0000"/>
          <w:sz w:val="24"/>
          <w:szCs w:val="24"/>
        </w:rPr>
        <w:t>kg</w:t>
      </w:r>
      <w:r w:rsidR="009879DC" w:rsidRPr="006F6F51">
        <w:rPr>
          <w:rFonts w:ascii="Times New Roman" w:hAnsi="Times New Roman" w:cs="Times New Roman"/>
          <w:color w:val="FF0000"/>
          <w:sz w:val="24"/>
          <w:szCs w:val="24"/>
          <w:vertAlign w:val="superscript"/>
        </w:rPr>
        <w:t>-1</w:t>
      </w:r>
      <w:r w:rsidR="00365975" w:rsidRPr="00365975">
        <w:rPr>
          <w:rFonts w:ascii="Times New Roman" w:eastAsia="Times New Roman" w:hAnsi="Times New Roman" w:cs="Times New Roman"/>
          <w:sz w:val="24"/>
          <w:szCs w:val="24"/>
        </w:rPr>
        <w:t>). Available phosphorus (1</w:t>
      </w:r>
      <w:r w:rsidR="009879DC">
        <w:rPr>
          <w:rFonts w:ascii="Times New Roman" w:eastAsia="Times New Roman" w:hAnsi="Times New Roman" w:cs="Times New Roman"/>
          <w:sz w:val="24"/>
          <w:szCs w:val="24"/>
        </w:rPr>
        <w:t>4.2-19.3</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 xml:space="preserve">¹) and </w:t>
      </w:r>
      <w:r w:rsidR="009879DC">
        <w:rPr>
          <w:rFonts w:ascii="Times New Roman" w:eastAsia="Times New Roman" w:hAnsi="Times New Roman" w:cs="Times New Roman"/>
          <w:sz w:val="24"/>
          <w:szCs w:val="24"/>
        </w:rPr>
        <w:t xml:space="preserve">available </w:t>
      </w:r>
      <w:r w:rsidR="00365975" w:rsidRPr="00365975">
        <w:rPr>
          <w:rFonts w:ascii="Times New Roman" w:eastAsia="Times New Roman" w:hAnsi="Times New Roman" w:cs="Times New Roman"/>
          <w:sz w:val="24"/>
          <w:szCs w:val="24"/>
        </w:rPr>
        <w:t>potassium (1</w:t>
      </w:r>
      <w:r w:rsidR="009879DC">
        <w:rPr>
          <w:rFonts w:ascii="Times New Roman" w:eastAsia="Times New Roman" w:hAnsi="Times New Roman" w:cs="Times New Roman"/>
          <w:sz w:val="24"/>
          <w:szCs w:val="24"/>
        </w:rPr>
        <w:t>23-167</w:t>
      </w:r>
      <w:r w:rsidR="0000508E">
        <w:rPr>
          <w:rFonts w:ascii="Times New Roman" w:eastAsia="Times New Roman" w:hAnsi="Times New Roman" w:cs="Times New Roman"/>
          <w:sz w:val="24"/>
          <w:szCs w:val="24"/>
        </w:rPr>
        <w:t xml:space="preserve"> </w:t>
      </w:r>
      <w:r w:rsidR="007573E2" w:rsidRPr="00A33DB4">
        <w:rPr>
          <w:rFonts w:ascii="Times New Roman" w:eastAsia="Times New Roman" w:hAnsi="Times New Roman" w:cs="Times New Roman"/>
          <w:sz w:val="24"/>
          <w:szCs w:val="24"/>
          <w:highlight w:val="yellow"/>
        </w:rPr>
        <w:t>kg ha</w:t>
      </w:r>
      <w:r w:rsidR="00365975" w:rsidRPr="00365975">
        <w:rPr>
          <w:rFonts w:ascii="Cambria Math" w:eastAsia="Times New Roman" w:hAnsi="Cambria Math" w:cs="Cambria Math"/>
          <w:sz w:val="24"/>
          <w:szCs w:val="24"/>
        </w:rPr>
        <w:t>⁻</w:t>
      </w:r>
      <w:r w:rsidR="009879DC">
        <w:rPr>
          <w:rFonts w:ascii="Times New Roman" w:eastAsia="Times New Roman" w:hAnsi="Times New Roman" w:cs="Times New Roman"/>
          <w:sz w:val="24"/>
          <w:szCs w:val="24"/>
        </w:rPr>
        <w:t>¹)</w:t>
      </w:r>
      <w:r w:rsidR="00365975" w:rsidRPr="00365975">
        <w:rPr>
          <w:rFonts w:ascii="Times New Roman" w:eastAsia="Times New Roman" w:hAnsi="Times New Roman" w:cs="Times New Roman"/>
          <w:sz w:val="24"/>
          <w:szCs w:val="24"/>
        </w:rPr>
        <w:t>.</w:t>
      </w:r>
      <w:r w:rsidR="00D41C35">
        <w:rPr>
          <w:rFonts w:ascii="Times New Roman" w:eastAsia="Times New Roman" w:hAnsi="Times New Roman" w:cs="Times New Roman"/>
          <w:sz w:val="24"/>
          <w:szCs w:val="24"/>
        </w:rPr>
        <w:t xml:space="preserve"> The treatments detail </w:t>
      </w:r>
      <w:proofErr w:type="gramStart"/>
      <w:r w:rsidR="00D41C35">
        <w:rPr>
          <w:rFonts w:ascii="Times New Roman" w:eastAsia="Times New Roman" w:hAnsi="Times New Roman" w:cs="Times New Roman"/>
          <w:sz w:val="24"/>
          <w:szCs w:val="24"/>
        </w:rPr>
        <w:t>are</w:t>
      </w:r>
      <w:proofErr w:type="gramEnd"/>
      <w:r w:rsidR="00D41C35">
        <w:rPr>
          <w:rFonts w:ascii="Times New Roman" w:eastAsia="Times New Roman" w:hAnsi="Times New Roman" w:cs="Times New Roman"/>
          <w:sz w:val="24"/>
          <w:szCs w:val="24"/>
        </w:rPr>
        <w:t xml:space="preserve"> Farmers</w:t>
      </w:r>
      <w:r w:rsidRPr="008C08A9">
        <w:rPr>
          <w:rFonts w:ascii="Times New Roman" w:eastAsia="Times New Roman" w:hAnsi="Times New Roman" w:cs="Times New Roman"/>
          <w:bCs/>
          <w:sz w:val="24"/>
          <w:szCs w:val="24"/>
        </w:rPr>
        <w:t xml:space="preserve"> Practice:</w:t>
      </w:r>
      <w:r w:rsidRPr="008C08A9">
        <w:rPr>
          <w:rFonts w:ascii="Times New Roman" w:eastAsia="Times New Roman" w:hAnsi="Times New Roman" w:cs="Times New Roman"/>
          <w:sz w:val="24"/>
          <w:szCs w:val="24"/>
        </w:rPr>
        <w:t xml:space="preserve"> 100 kg N, 50 kg P</w:t>
      </w:r>
      <w:r w:rsidRPr="008C08A9">
        <w:rPr>
          <w:rFonts w:ascii="Cambria Math" w:eastAsia="Times New Roman" w:hAnsi="Cambria Math" w:cs="Times New Roman"/>
          <w:sz w:val="24"/>
          <w:szCs w:val="24"/>
        </w:rPr>
        <w:t>₂</w:t>
      </w:r>
      <w:r w:rsidRPr="008C08A9">
        <w:rPr>
          <w:rFonts w:ascii="Times New Roman" w:eastAsia="Times New Roman" w:hAnsi="Times New Roman" w:cs="Times New Roman"/>
          <w:sz w:val="24"/>
          <w:szCs w:val="24"/>
        </w:rPr>
        <w:t>O</w:t>
      </w:r>
      <w:r w:rsidRPr="008C08A9">
        <w:rPr>
          <w:rFonts w:ascii="Cambria Math" w:eastAsia="Times New Roman" w:hAnsi="Cambria Math" w:cs="Times New Roman"/>
          <w:sz w:val="24"/>
          <w:szCs w:val="24"/>
        </w:rPr>
        <w:t>₅</w:t>
      </w:r>
      <w:r w:rsidRPr="008C08A9">
        <w:rPr>
          <w:rFonts w:ascii="Times New Roman" w:eastAsia="Times New Roman" w:hAnsi="Times New Roman" w:cs="Times New Roman"/>
          <w:sz w:val="24"/>
          <w:szCs w:val="24"/>
        </w:rPr>
        <w:t>, and 30 kg K</w:t>
      </w:r>
      <w:r w:rsidRPr="008C08A9">
        <w:rPr>
          <w:rFonts w:ascii="Cambria Math" w:eastAsia="Times New Roman" w:hAnsi="Cambria Math" w:cs="Times New Roman"/>
          <w:sz w:val="24"/>
          <w:szCs w:val="24"/>
        </w:rPr>
        <w:t>₂</w:t>
      </w:r>
      <w:r w:rsidR="000E102D">
        <w:rPr>
          <w:rFonts w:ascii="Times New Roman" w:eastAsia="Times New Roman" w:hAnsi="Times New Roman" w:cs="Times New Roman"/>
          <w:sz w:val="24"/>
          <w:szCs w:val="24"/>
        </w:rPr>
        <w:t xml:space="preserve">O +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3 q/ha,</w:t>
      </w:r>
      <w:r w:rsidR="00D41C35">
        <w:rPr>
          <w:rFonts w:ascii="Times New Roman" w:eastAsia="Times New Roman" w:hAnsi="Times New Roman" w:cs="Times New Roman"/>
          <w:sz w:val="24"/>
          <w:szCs w:val="24"/>
        </w:rPr>
        <w:t xml:space="preserve"> </w:t>
      </w:r>
      <w:r w:rsidR="000E102D">
        <w:rPr>
          <w:rFonts w:ascii="Times New Roman" w:eastAsia="Times New Roman" w:hAnsi="Times New Roman" w:cs="Times New Roman"/>
          <w:sz w:val="24"/>
          <w:szCs w:val="24"/>
        </w:rPr>
        <w:t>Technology Option</w:t>
      </w:r>
      <w:r w:rsidR="000E102D">
        <w:rPr>
          <w:rFonts w:ascii="Times New Roman" w:eastAsia="Times New Roman" w:hAnsi="Times New Roman" w:cs="Times New Roman"/>
          <w:bCs/>
          <w:sz w:val="24"/>
          <w:szCs w:val="24"/>
        </w:rPr>
        <w:t xml:space="preserve"> </w:t>
      </w:r>
      <w:r w:rsidRPr="008C08A9">
        <w:rPr>
          <w:rFonts w:ascii="Times New Roman" w:eastAsia="Times New Roman" w:hAnsi="Times New Roman" w:cs="Times New Roman"/>
          <w:bCs/>
          <w:sz w:val="24"/>
          <w:szCs w:val="24"/>
        </w:rPr>
        <w:t>(TO1):</w:t>
      </w:r>
      <w:r w:rsidRPr="008C08A9">
        <w:rPr>
          <w:rFonts w:ascii="Times New Roman" w:eastAsia="Times New Roman" w:hAnsi="Times New Roman" w:cs="Times New Roman"/>
          <w:sz w:val="24"/>
          <w:szCs w:val="24"/>
        </w:rPr>
        <w:t xml:space="preserve"> Soil Test Dose (STD) NPK </w:t>
      </w:r>
      <w:r w:rsidR="000E102D">
        <w:rPr>
          <w:rFonts w:ascii="Times New Roman" w:eastAsia="Times New Roman" w:hAnsi="Times New Roman" w:cs="Times New Roman"/>
          <w:sz w:val="24"/>
          <w:szCs w:val="24"/>
        </w:rPr>
        <w:t xml:space="preserve">+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1.5 t/ha + VC @ 10 t/ha and Technology Option (</w:t>
      </w:r>
      <w:r w:rsidRPr="008C08A9">
        <w:rPr>
          <w:rFonts w:ascii="Times New Roman" w:eastAsia="Times New Roman" w:hAnsi="Times New Roman" w:cs="Times New Roman"/>
          <w:bCs/>
          <w:sz w:val="24"/>
          <w:szCs w:val="24"/>
        </w:rPr>
        <w:t>TO2):</w:t>
      </w:r>
      <w:r w:rsidRPr="008C08A9">
        <w:rPr>
          <w:rFonts w:ascii="Times New Roman" w:eastAsia="Times New Roman" w:hAnsi="Times New Roman" w:cs="Times New Roman"/>
          <w:sz w:val="24"/>
          <w:szCs w:val="24"/>
        </w:rPr>
        <w:t xml:space="preserve"> STD (50% NPK) + </w:t>
      </w:r>
      <w:proofErr w:type="spellStart"/>
      <w:r w:rsidRPr="008C08A9">
        <w:rPr>
          <w:rFonts w:ascii="Times New Roman" w:eastAsia="Times New Roman" w:hAnsi="Times New Roman" w:cs="Times New Roman"/>
          <w:sz w:val="24"/>
          <w:szCs w:val="24"/>
        </w:rPr>
        <w:t>MoC</w:t>
      </w:r>
      <w:proofErr w:type="spellEnd"/>
      <w:r w:rsidRPr="008C08A9">
        <w:rPr>
          <w:rFonts w:ascii="Times New Roman" w:eastAsia="Times New Roman" w:hAnsi="Times New Roman" w:cs="Times New Roman"/>
          <w:sz w:val="24"/>
          <w:szCs w:val="24"/>
        </w:rPr>
        <w:t xml:space="preserve"> @ 1.5 t/ha + VC @ 10 t/ha + consortia </w:t>
      </w:r>
      <w:proofErr w:type="spellStart"/>
      <w:r w:rsidRPr="008C08A9">
        <w:rPr>
          <w:rFonts w:ascii="Times New Roman" w:eastAsia="Times New Roman" w:hAnsi="Times New Roman" w:cs="Times New Roman"/>
          <w:sz w:val="24"/>
          <w:szCs w:val="24"/>
        </w:rPr>
        <w:t>biofertilizer</w:t>
      </w:r>
      <w:proofErr w:type="spellEnd"/>
      <w:r w:rsidRPr="008C08A9">
        <w:rPr>
          <w:rFonts w:ascii="Times New Roman" w:eastAsia="Times New Roman" w:hAnsi="Times New Roman" w:cs="Times New Roman"/>
          <w:sz w:val="24"/>
          <w:szCs w:val="24"/>
        </w:rPr>
        <w:t xml:space="preserve"> (</w:t>
      </w:r>
      <w:proofErr w:type="spellStart"/>
      <w:r w:rsidRPr="008C08A9">
        <w:rPr>
          <w:rFonts w:ascii="Times New Roman" w:eastAsia="Times New Roman" w:hAnsi="Times New Roman" w:cs="Times New Roman"/>
          <w:i/>
          <w:sz w:val="24"/>
          <w:szCs w:val="24"/>
        </w:rPr>
        <w:t>Azotobacter</w:t>
      </w:r>
      <w:proofErr w:type="spellEnd"/>
      <w:r w:rsidRPr="008C08A9">
        <w:rPr>
          <w:rFonts w:ascii="Times New Roman" w:eastAsia="Times New Roman" w:hAnsi="Times New Roman" w:cs="Times New Roman"/>
          <w:i/>
          <w:sz w:val="24"/>
          <w:szCs w:val="24"/>
        </w:rPr>
        <w:t xml:space="preserve">, </w:t>
      </w:r>
      <w:proofErr w:type="spellStart"/>
      <w:r w:rsidRPr="008C08A9">
        <w:rPr>
          <w:rFonts w:ascii="Times New Roman" w:eastAsia="Times New Roman" w:hAnsi="Times New Roman" w:cs="Times New Roman"/>
          <w:i/>
          <w:sz w:val="24"/>
          <w:szCs w:val="24"/>
        </w:rPr>
        <w:t>Azospirillum</w:t>
      </w:r>
      <w:proofErr w:type="spellEnd"/>
      <w:r w:rsidRPr="008C08A9">
        <w:rPr>
          <w:rFonts w:ascii="Times New Roman" w:eastAsia="Times New Roman" w:hAnsi="Times New Roman" w:cs="Times New Roman"/>
          <w:i/>
          <w:sz w:val="24"/>
          <w:szCs w:val="24"/>
        </w:rPr>
        <w:t xml:space="preserve">, </w:t>
      </w:r>
      <w:r w:rsidRPr="006F6F51">
        <w:rPr>
          <w:rFonts w:ascii="Times New Roman" w:eastAsia="Times New Roman" w:hAnsi="Times New Roman" w:cs="Times New Roman"/>
          <w:color w:val="FF0000"/>
          <w:sz w:val="24"/>
          <w:szCs w:val="24"/>
        </w:rPr>
        <w:t>and</w:t>
      </w:r>
      <w:r w:rsidRPr="008C08A9">
        <w:rPr>
          <w:rFonts w:ascii="Times New Roman" w:eastAsia="Times New Roman" w:hAnsi="Times New Roman" w:cs="Times New Roman"/>
          <w:i/>
          <w:sz w:val="24"/>
          <w:szCs w:val="24"/>
        </w:rPr>
        <w:t xml:space="preserve"> PSB</w:t>
      </w:r>
      <w:r w:rsidRPr="003741A2">
        <w:rPr>
          <w:rFonts w:ascii="Times New Roman" w:eastAsia="Times New Roman" w:hAnsi="Times New Roman" w:cs="Times New Roman"/>
          <w:sz w:val="24"/>
          <w:szCs w:val="24"/>
        </w:rPr>
        <w:t xml:space="preserve">) @ 12 kg/ha. The biofertilizer was incubated with 300 kg VC and 15 kg lime at 30% moisture for one week before application in the </w:t>
      </w:r>
      <w:proofErr w:type="spellStart"/>
      <w:r w:rsidRPr="003741A2">
        <w:rPr>
          <w:rFonts w:ascii="Times New Roman" w:eastAsia="Times New Roman" w:hAnsi="Times New Roman" w:cs="Times New Roman"/>
          <w:sz w:val="24"/>
          <w:szCs w:val="24"/>
        </w:rPr>
        <w:t>rhizosphere.NPK</w:t>
      </w:r>
      <w:proofErr w:type="spellEnd"/>
      <w:r w:rsidRPr="003741A2">
        <w:rPr>
          <w:rFonts w:ascii="Times New Roman" w:eastAsia="Times New Roman" w:hAnsi="Times New Roman" w:cs="Times New Roman"/>
          <w:sz w:val="24"/>
          <w:szCs w:val="24"/>
        </w:rPr>
        <w:t xml:space="preserve">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Pr="003741A2">
        <w:rPr>
          <w:rFonts w:ascii="Times New Roman" w:eastAsia="Times New Roman" w:hAnsi="Times New Roman" w:cs="Times New Roman"/>
          <w:sz w:val="24"/>
          <w:szCs w:val="24"/>
        </w:rPr>
        <w:t xml:space="preserve">were applied through urea, single super phosphate, and muriate of potash. Manures and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Pr="003741A2">
        <w:rPr>
          <w:rFonts w:ascii="Times New Roman" w:eastAsia="Times New Roman" w:hAnsi="Times New Roman" w:cs="Times New Roman"/>
          <w:sz w:val="24"/>
          <w:szCs w:val="24"/>
        </w:rPr>
        <w:t xml:space="preserve">were applied in three split doses at four-month intervals. Standard irrigation and cultural practices were followed as per </w:t>
      </w:r>
      <w:r w:rsidR="0000508E">
        <w:rPr>
          <w:rFonts w:ascii="Times New Roman" w:eastAsia="Times New Roman" w:hAnsi="Times New Roman" w:cs="Times New Roman"/>
          <w:sz w:val="24"/>
          <w:szCs w:val="24"/>
        </w:rPr>
        <w:t>package recommendations (</w:t>
      </w:r>
      <w:proofErr w:type="spellStart"/>
      <w:r w:rsidR="0000508E">
        <w:rPr>
          <w:rFonts w:ascii="Times New Roman" w:eastAsia="Times New Roman" w:hAnsi="Times New Roman" w:cs="Times New Roman"/>
          <w:sz w:val="24"/>
          <w:szCs w:val="24"/>
        </w:rPr>
        <w:t>Panse</w:t>
      </w:r>
      <w:proofErr w:type="spellEnd"/>
      <w:r w:rsidR="0000508E">
        <w:rPr>
          <w:rFonts w:ascii="Times New Roman" w:eastAsia="Times New Roman" w:hAnsi="Times New Roman" w:cs="Times New Roman"/>
          <w:sz w:val="24"/>
          <w:szCs w:val="24"/>
        </w:rPr>
        <w:t xml:space="preserv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1995). Vines were lowered twice a year and covered with soil and organic matter to enhance root development.</w:t>
      </w:r>
      <w:r w:rsidR="00063000">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Observations on vine growth and yield parameters were recorded from five randomly selected plants per treatment. Statistical analysis was performed as per standar</w:t>
      </w:r>
      <w:r w:rsidR="0000508E">
        <w:rPr>
          <w:rFonts w:ascii="Times New Roman" w:eastAsia="Times New Roman" w:hAnsi="Times New Roman" w:cs="Times New Roman"/>
          <w:sz w:val="24"/>
          <w:szCs w:val="24"/>
        </w:rPr>
        <w:t xml:space="preserve">d procedures outlined by </w:t>
      </w:r>
      <w:proofErr w:type="spellStart"/>
      <w:r w:rsidR="0000508E">
        <w:rPr>
          <w:rFonts w:ascii="Times New Roman" w:eastAsia="Times New Roman" w:hAnsi="Times New Roman" w:cs="Times New Roman"/>
          <w:sz w:val="24"/>
          <w:szCs w:val="24"/>
        </w:rPr>
        <w:t>Panse</w:t>
      </w:r>
      <w:proofErr w:type="spellEnd"/>
      <w:r w:rsidR="0000508E">
        <w:rPr>
          <w:rFonts w:ascii="Times New Roman" w:eastAsia="Times New Roman" w:hAnsi="Times New Roman" w:cs="Times New Roman"/>
          <w:sz w:val="24"/>
          <w:szCs w:val="24"/>
        </w:rPr>
        <w:t xml:space="preserv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xml:space="preserve"> (1995).</w:t>
      </w:r>
    </w:p>
    <w:p w14:paraId="0D4E8BCC"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1955C38A"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0A3B41FA" w14:textId="77777777" w:rsidR="003741A2" w:rsidRPr="003741A2" w:rsidRDefault="003741A2" w:rsidP="00CF5D0D">
      <w:pPr>
        <w:spacing w:after="0" w:line="36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Results and Discussion</w:t>
      </w:r>
      <w:r w:rsidR="00171C76">
        <w:rPr>
          <w:rFonts w:ascii="Times New Roman" w:eastAsia="Times New Roman" w:hAnsi="Times New Roman" w:cs="Times New Roman"/>
          <w:b/>
          <w:bCs/>
          <w:sz w:val="28"/>
          <w:szCs w:val="28"/>
        </w:rPr>
        <w:t>:</w:t>
      </w:r>
    </w:p>
    <w:p w14:paraId="1E5EDA2E" w14:textId="77777777" w:rsidR="004308BD" w:rsidRPr="0018436F" w:rsidRDefault="004308BD" w:rsidP="00CF5D0D">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Vine Length</w:t>
      </w:r>
    </w:p>
    <w:p w14:paraId="37E4DFB1" w14:textId="471DD507" w:rsidR="004308BD" w:rsidRDefault="004308BD" w:rsidP="007322AB">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lastRenderedPageBreak/>
        <w:t>Vine length was significantly influenced by nutrient management treatments (Table 2). The Farmer’s Practice (FP) recorded a mean vine length of 3.12 m. Application of STD (50% NPK) along with 1.5 t/ha mustard oil cake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and 10 t/ha vermicompost (VC) in T</w:t>
      </w:r>
      <w:r w:rsidR="007322AB">
        <w:rPr>
          <w:rFonts w:ascii="Times New Roman" w:eastAsia="Times New Roman" w:hAnsi="Times New Roman" w:cs="Times New Roman"/>
          <w:sz w:val="24"/>
          <w:szCs w:val="24"/>
        </w:rPr>
        <w:t>O1</w:t>
      </w:r>
      <w:r w:rsidRPr="004308BD">
        <w:rPr>
          <w:rFonts w:ascii="Times New Roman" w:eastAsia="Times New Roman" w:hAnsi="Times New Roman" w:cs="Times New Roman"/>
          <w:sz w:val="24"/>
          <w:szCs w:val="24"/>
        </w:rPr>
        <w:t xml:space="preserve"> increased vine length to 4.31 m, representing a 38.1% improvement over FP. </w:t>
      </w:r>
      <w:r w:rsidR="0018436F" w:rsidRPr="004308BD">
        <w:rPr>
          <w:rFonts w:ascii="Times New Roman" w:eastAsia="Times New Roman" w:hAnsi="Times New Roman" w:cs="Times New Roman"/>
          <w:sz w:val="24"/>
          <w:szCs w:val="24"/>
        </w:rPr>
        <w:t>T</w:t>
      </w:r>
      <w:r w:rsidR="0018436F">
        <w:rPr>
          <w:rFonts w:ascii="Times New Roman" w:eastAsia="Times New Roman" w:hAnsi="Times New Roman" w:cs="Times New Roman"/>
          <w:sz w:val="24"/>
          <w:szCs w:val="24"/>
        </w:rPr>
        <w:t xml:space="preserve">O2 </w:t>
      </w:r>
      <w:r w:rsidRPr="004308BD">
        <w:rPr>
          <w:rFonts w:ascii="Times New Roman" w:eastAsia="Times New Roman" w:hAnsi="Times New Roman" w:cs="Times New Roman"/>
          <w:sz w:val="24"/>
          <w:szCs w:val="24"/>
        </w:rPr>
        <w:t xml:space="preserve">(STD 50% NPK +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xml:space="preserve"> 1.5 t/ha + VC 10 t/ha + consortia biofertilizer 12 kg/ha) further enhanced vine length to 4.86 m, which was significantly higher than all other treatments. The increased vine growth in T</w:t>
      </w:r>
      <w:r w:rsidR="0018436F">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may be attributed to enhanced nutrient uptake, particularly nitrogen and micronutrients, which promote carbohydrate accumulation and metabolic activity, as reported by</w:t>
      </w:r>
      <w:r w:rsidR="0000508E">
        <w:rPr>
          <w:rFonts w:ascii="Times New Roman" w:eastAsia="Times New Roman" w:hAnsi="Times New Roman" w:cs="Times New Roman"/>
          <w:sz w:val="24"/>
          <w:szCs w:val="24"/>
        </w:rPr>
        <w:t xml:space="preserve"> Preethy et al. (2016)</w:t>
      </w:r>
      <w:r w:rsidR="006F6F51" w:rsidRPr="006F6F51">
        <w:rPr>
          <w:rFonts w:ascii="Times New Roman" w:eastAsia="Times New Roman" w:hAnsi="Times New Roman" w:cs="Times New Roman"/>
          <w:color w:val="FF0000"/>
          <w:sz w:val="24"/>
          <w:szCs w:val="24"/>
        </w:rPr>
        <w:t>;</w:t>
      </w:r>
      <w:r w:rsidR="0000508E" w:rsidRPr="006F6F51">
        <w:rPr>
          <w:rFonts w:ascii="Times New Roman" w:eastAsia="Times New Roman" w:hAnsi="Times New Roman" w:cs="Times New Roman"/>
          <w:color w:val="FF0000"/>
          <w:sz w:val="24"/>
          <w:szCs w:val="24"/>
        </w:rPr>
        <w:t xml:space="preserve"> </w:t>
      </w:r>
      <w:r w:rsidR="0000508E">
        <w:rPr>
          <w:rFonts w:ascii="Times New Roman" w:eastAsia="Times New Roman" w:hAnsi="Times New Roman" w:cs="Times New Roman"/>
          <w:sz w:val="24"/>
          <w:szCs w:val="24"/>
        </w:rPr>
        <w:t>Bar 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w:t>
      </w:r>
    </w:p>
    <w:p w14:paraId="5E823F23" w14:textId="77777777" w:rsidR="006F6F51" w:rsidRPr="004308BD" w:rsidRDefault="006F6F51" w:rsidP="007322AB">
      <w:pPr>
        <w:spacing w:after="0" w:line="360" w:lineRule="auto"/>
        <w:jc w:val="both"/>
        <w:rPr>
          <w:rFonts w:ascii="Times New Roman" w:eastAsia="Times New Roman" w:hAnsi="Times New Roman" w:cs="Times New Roman"/>
          <w:sz w:val="24"/>
          <w:szCs w:val="24"/>
        </w:rPr>
      </w:pPr>
    </w:p>
    <w:p w14:paraId="62665FFE"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Number of Leaves per Vine</w:t>
      </w:r>
    </w:p>
    <w:p w14:paraId="0C7D732F" w14:textId="0EFD8820"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Leaves are the main economic product of </w:t>
      </w:r>
      <w:r w:rsidR="007573E2" w:rsidRPr="00A33DB4">
        <w:rPr>
          <w:rFonts w:ascii="Times New Roman" w:eastAsia="Times New Roman" w:hAnsi="Times New Roman" w:cs="Times New Roman"/>
          <w:sz w:val="24"/>
          <w:szCs w:val="24"/>
          <w:highlight w:val="yellow"/>
        </w:rPr>
        <w:t>the</w:t>
      </w:r>
      <w:r w:rsidR="007573E2">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betel vine. Treatment</w:t>
      </w:r>
      <w:r w:rsidR="007531A6">
        <w:rPr>
          <w:rFonts w:ascii="Times New Roman" w:eastAsia="Times New Roman" w:hAnsi="Times New Roman" w:cs="Times New Roman"/>
          <w:sz w:val="24"/>
          <w:szCs w:val="24"/>
        </w:rPr>
        <w:t xml:space="preserve"> Option</w:t>
      </w:r>
      <w:r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produced the highest number of leaves per vine (73.57), which was 11% higher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6F6F51">
        <w:rPr>
          <w:rFonts w:ascii="Times New Roman" w:eastAsia="Times New Roman" w:hAnsi="Times New Roman" w:cs="Times New Roman"/>
          <w:color w:val="FF0000"/>
          <w:sz w:val="24"/>
          <w:szCs w:val="24"/>
        </w:rPr>
        <w:t>TO1</w:t>
      </w:r>
      <w:r w:rsidR="006F6F51" w:rsidRPr="006F6F51">
        <w:rPr>
          <w:rFonts w:ascii="Times New Roman" w:eastAsia="Times New Roman" w:hAnsi="Times New Roman" w:cs="Times New Roman"/>
          <w:color w:val="FF0000"/>
          <w:sz w:val="24"/>
          <w:szCs w:val="24"/>
        </w:rPr>
        <w:t>) and</w:t>
      </w:r>
      <w:r w:rsidRPr="004308BD">
        <w:rPr>
          <w:rFonts w:ascii="Times New Roman" w:eastAsia="Times New Roman" w:hAnsi="Times New Roman" w:cs="Times New Roman"/>
          <w:sz w:val="24"/>
          <w:szCs w:val="24"/>
        </w:rPr>
        <w:t xml:space="preserve"> 26% higher than FP. This improvement is attributed to balanced nutrient supply</w:t>
      </w:r>
      <w:r w:rsidR="007573E2">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enhancing vegetative growth and physiological activity. Similar trends have been reported by Maiti et al. (1995), Saikia et al. </w:t>
      </w:r>
      <w:r w:rsidRPr="006F6F51">
        <w:rPr>
          <w:rFonts w:ascii="Times New Roman" w:eastAsia="Times New Roman" w:hAnsi="Times New Roman" w:cs="Times New Roman"/>
          <w:sz w:val="24"/>
          <w:szCs w:val="24"/>
          <w:lang w:val="de-DE"/>
        </w:rPr>
        <w:t xml:space="preserve">(1995), Dey et al. (2003), Das et al. (2010), </w:t>
      </w:r>
      <w:r w:rsidR="006F6F51" w:rsidRPr="006F6F51">
        <w:rPr>
          <w:rFonts w:ascii="Times New Roman" w:eastAsia="Times New Roman" w:hAnsi="Times New Roman" w:cs="Times New Roman"/>
          <w:color w:val="FF0000"/>
          <w:sz w:val="24"/>
          <w:szCs w:val="24"/>
          <w:lang w:val="de-DE"/>
        </w:rPr>
        <w:t>an</w:t>
      </w:r>
      <w:r w:rsidRPr="006F6F51">
        <w:rPr>
          <w:rFonts w:ascii="Times New Roman" w:eastAsia="Times New Roman" w:hAnsi="Times New Roman" w:cs="Times New Roman"/>
          <w:color w:val="FF0000"/>
          <w:sz w:val="24"/>
          <w:szCs w:val="24"/>
          <w:lang w:val="de-DE"/>
        </w:rPr>
        <w:t xml:space="preserve"> </w:t>
      </w:r>
      <w:r w:rsidRPr="006F6F51">
        <w:rPr>
          <w:rFonts w:ascii="Times New Roman" w:eastAsia="Times New Roman" w:hAnsi="Times New Roman" w:cs="Times New Roman"/>
          <w:sz w:val="24"/>
          <w:szCs w:val="24"/>
          <w:lang w:val="de-DE"/>
        </w:rPr>
        <w:t xml:space="preserve">Imam et al. </w:t>
      </w:r>
      <w:r w:rsidRPr="004308BD">
        <w:rPr>
          <w:rFonts w:ascii="Times New Roman" w:eastAsia="Times New Roman" w:hAnsi="Times New Roman" w:cs="Times New Roman"/>
          <w:sz w:val="24"/>
          <w:szCs w:val="24"/>
        </w:rPr>
        <w:t>(2012), confirming the role of integrated nutrient management (INM) in improving leaf yield.</w:t>
      </w:r>
    </w:p>
    <w:p w14:paraId="43B898BB"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Hundred Fresh Leaf Weight</w:t>
      </w:r>
    </w:p>
    <w:p w14:paraId="1BC822CA" w14:textId="0D9E5B7C"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Significant differences were observed in the fresh weight of 100 leaves.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2</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recorded the highest weight (276.52 g), which was 4.24% greater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1</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and 13.96% higher than FP (Table 2). The increased leaf biomass is attributed to improved nutrient availability and uptake, which enhance leaf expansion and thickness. These findings are consistent with Umesha et al. (2011)</w:t>
      </w:r>
      <w:r w:rsidR="00FF4179" w:rsidRPr="00FF4179">
        <w:rPr>
          <w:rFonts w:ascii="Times New Roman" w:eastAsia="Times New Roman" w:hAnsi="Times New Roman" w:cs="Times New Roman"/>
          <w:color w:val="FF0000"/>
          <w:sz w:val="24"/>
          <w:szCs w:val="24"/>
        </w:rPr>
        <w:t>;</w:t>
      </w:r>
      <w:r w:rsidRPr="00FF4179">
        <w:rPr>
          <w:rFonts w:ascii="Times New Roman" w:eastAsia="Times New Roman" w:hAnsi="Times New Roman" w:cs="Times New Roman"/>
          <w:color w:val="FF0000"/>
          <w:sz w:val="24"/>
          <w:szCs w:val="24"/>
        </w:rPr>
        <w:t xml:space="preserve"> </w:t>
      </w:r>
      <w:proofErr w:type="spellStart"/>
      <w:r w:rsidRPr="004308BD">
        <w:rPr>
          <w:rFonts w:ascii="Times New Roman" w:eastAsia="Times New Roman" w:hAnsi="Times New Roman" w:cs="Times New Roman"/>
          <w:sz w:val="24"/>
          <w:szCs w:val="24"/>
        </w:rPr>
        <w:t>Hegde</w:t>
      </w:r>
      <w:proofErr w:type="spellEnd"/>
      <w:r w:rsidRPr="004308BD">
        <w:rPr>
          <w:rFonts w:ascii="Times New Roman" w:eastAsia="Times New Roman" w:hAnsi="Times New Roman" w:cs="Times New Roman"/>
          <w:sz w:val="24"/>
          <w:szCs w:val="24"/>
        </w:rPr>
        <w:t xml:space="preserve"> et al. (2012), who observed higher leaf weight under integrated nutrient management.</w:t>
      </w:r>
    </w:p>
    <w:p w14:paraId="67EB6597" w14:textId="77777777" w:rsidR="004308BD" w:rsidRPr="00EF429A" w:rsidRDefault="004308BD" w:rsidP="00EF429A">
      <w:pPr>
        <w:spacing w:after="0" w:line="360" w:lineRule="auto"/>
        <w:jc w:val="both"/>
        <w:rPr>
          <w:rFonts w:ascii="Times New Roman" w:eastAsia="Times New Roman" w:hAnsi="Times New Roman" w:cs="Times New Roman"/>
          <w:b/>
          <w:bCs/>
          <w:sz w:val="24"/>
          <w:szCs w:val="24"/>
        </w:rPr>
      </w:pPr>
      <w:r w:rsidRPr="00EF429A">
        <w:rPr>
          <w:rFonts w:ascii="Times New Roman" w:eastAsia="Times New Roman" w:hAnsi="Times New Roman" w:cs="Times New Roman"/>
          <w:b/>
          <w:bCs/>
          <w:sz w:val="24"/>
          <w:szCs w:val="24"/>
        </w:rPr>
        <w:t>Leaf Yield per Hectare per Year</w:t>
      </w:r>
    </w:p>
    <w:p w14:paraId="4CA53343" w14:textId="6829FE65" w:rsidR="004308BD" w:rsidRDefault="004308BD" w:rsidP="00EF429A">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Annual leaf yield per hectare was significantly affected by nutrient management.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achieved the highest yield (1,623,980 leaves), followed by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FF4179">
        <w:rPr>
          <w:rFonts w:ascii="Times New Roman" w:eastAsia="Times New Roman" w:hAnsi="Times New Roman" w:cs="Times New Roman"/>
          <w:color w:val="FF0000"/>
          <w:sz w:val="24"/>
          <w:szCs w:val="24"/>
        </w:rPr>
        <w:t>TO</w:t>
      </w:r>
      <w:r w:rsidR="00EF429A" w:rsidRPr="00FF4179">
        <w:rPr>
          <w:rFonts w:ascii="Times New Roman" w:eastAsia="Times New Roman" w:hAnsi="Times New Roman" w:cs="Times New Roman"/>
          <w:color w:val="FF0000"/>
          <w:sz w:val="24"/>
          <w:szCs w:val="24"/>
          <w:vertAlign w:val="subscript"/>
        </w:rPr>
        <w:t>1</w:t>
      </w:r>
      <w:r w:rsidR="00FF4179" w:rsidRPr="00FF4179">
        <w:rPr>
          <w:rFonts w:ascii="Times New Roman" w:eastAsia="Times New Roman" w:hAnsi="Times New Roman" w:cs="Times New Roman"/>
          <w:color w:val="FF0000"/>
          <w:sz w:val="24"/>
          <w:szCs w:val="24"/>
        </w:rPr>
        <w:t>) (</w:t>
      </w:r>
      <w:r w:rsidRPr="00FF4179">
        <w:rPr>
          <w:rFonts w:ascii="Times New Roman" w:eastAsia="Times New Roman" w:hAnsi="Times New Roman" w:cs="Times New Roman"/>
          <w:color w:val="FF0000"/>
          <w:sz w:val="24"/>
          <w:szCs w:val="24"/>
        </w:rPr>
        <w:t>1</w:t>
      </w:r>
      <w:r w:rsidRPr="004308BD">
        <w:rPr>
          <w:rFonts w:ascii="Times New Roman" w:eastAsia="Times New Roman" w:hAnsi="Times New Roman" w:cs="Times New Roman"/>
          <w:sz w:val="24"/>
          <w:szCs w:val="24"/>
        </w:rPr>
        <w:t xml:space="preserve">,512,595 leaves) and FP (1,196,390 leaves) (Table 2). The superior leaf yield under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is due to </w:t>
      </w:r>
      <w:proofErr w:type="spellStart"/>
      <w:r w:rsidR="007573E2" w:rsidRPr="00A33DB4">
        <w:rPr>
          <w:rFonts w:ascii="Times New Roman" w:eastAsia="Times New Roman" w:hAnsi="Times New Roman" w:cs="Times New Roman"/>
          <w:sz w:val="24"/>
          <w:szCs w:val="24"/>
          <w:highlight w:val="yellow"/>
        </w:rPr>
        <w:t>optimised</w:t>
      </w:r>
      <w:proofErr w:type="spellEnd"/>
      <w:r w:rsidR="007573E2" w:rsidRPr="00A33DB4">
        <w:rPr>
          <w:rFonts w:ascii="Times New Roman" w:eastAsia="Times New Roman" w:hAnsi="Times New Roman" w:cs="Times New Roman"/>
          <w:sz w:val="24"/>
          <w:szCs w:val="24"/>
          <w:highlight w:val="yellow"/>
        </w:rPr>
        <w:t xml:space="preserve"> </w:t>
      </w:r>
      <w:proofErr w:type="spellStart"/>
      <w:r w:rsidR="007573E2" w:rsidRPr="00A33DB4">
        <w:rPr>
          <w:rFonts w:ascii="Times New Roman" w:eastAsia="Times New Roman" w:hAnsi="Times New Roman" w:cs="Times New Roman"/>
          <w:sz w:val="24"/>
          <w:szCs w:val="24"/>
          <w:highlight w:val="yellow"/>
        </w:rPr>
        <w:t>utilisation</w:t>
      </w:r>
      <w:proofErr w:type="spellEnd"/>
      <w:r w:rsidRPr="00A33DB4">
        <w:rPr>
          <w:rFonts w:ascii="Times New Roman" w:eastAsia="Times New Roman" w:hAnsi="Times New Roman" w:cs="Times New Roman"/>
          <w:sz w:val="24"/>
          <w:szCs w:val="24"/>
          <w:highlight w:val="yellow"/>
        </w:rPr>
        <w:t xml:space="preserve"> </w:t>
      </w:r>
      <w:r w:rsidRPr="004308BD">
        <w:rPr>
          <w:rFonts w:ascii="Times New Roman" w:eastAsia="Times New Roman" w:hAnsi="Times New Roman" w:cs="Times New Roman"/>
          <w:sz w:val="24"/>
          <w:szCs w:val="24"/>
        </w:rPr>
        <w:t xml:space="preserve">of both organic and inorganic nitrogen sources, confirming the advantage of INM over single-source </w:t>
      </w:r>
      <w:proofErr w:type="spellStart"/>
      <w:r w:rsidR="007573E2" w:rsidRPr="00A33DB4">
        <w:rPr>
          <w:rFonts w:ascii="Times New Roman" w:eastAsia="Times New Roman" w:hAnsi="Times New Roman" w:cs="Times New Roman"/>
          <w:sz w:val="24"/>
          <w:szCs w:val="24"/>
          <w:highlight w:val="yellow"/>
        </w:rPr>
        <w:t>fertilisation</w:t>
      </w:r>
      <w:proofErr w:type="spellEnd"/>
      <w:r w:rsidRPr="004308BD">
        <w:rPr>
          <w:rFonts w:ascii="Times New Roman" w:eastAsia="Times New Roman" w:hAnsi="Times New Roman" w:cs="Times New Roman"/>
          <w:sz w:val="24"/>
          <w:szCs w:val="24"/>
        </w:rPr>
        <w:t xml:space="preserve">. These results align with Dey et al. (2003), Imam et al. (2012), and Bar </w:t>
      </w:r>
      <w:r w:rsidR="0000508E">
        <w:rPr>
          <w:rFonts w:ascii="Times New Roman" w:eastAsia="Times New Roman" w:hAnsi="Times New Roman" w:cs="Times New Roman"/>
          <w:sz w:val="24"/>
          <w:szCs w:val="24"/>
        </w:rPr>
        <w:t>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 who reported maximum leaf production when chemical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Pr="004308BD">
        <w:rPr>
          <w:rFonts w:ascii="Times New Roman" w:eastAsia="Times New Roman" w:hAnsi="Times New Roman" w:cs="Times New Roman"/>
          <w:sz w:val="24"/>
          <w:szCs w:val="24"/>
        </w:rPr>
        <w:t>were supplemented with organic manures and biofertilizers.</w:t>
      </w:r>
    </w:p>
    <w:p w14:paraId="78AC7045" w14:textId="77777777" w:rsidR="00CF5D0D" w:rsidRPr="00FA0F61" w:rsidRDefault="00CF5D0D" w:rsidP="00CF5D0D">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Economics</w:t>
      </w:r>
    </w:p>
    <w:p w14:paraId="0A5C0C98" w14:textId="2E115C28" w:rsidR="00CF5D0D" w:rsidRDefault="00CF5D0D" w:rsidP="00CF5D0D">
      <w:pPr>
        <w:spacing w:after="0"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 xml:space="preserve">Economics is a critical factor in the adoption of any agricultural technology. Farmers are more likely to adopt a practice if it offers a profitable return. The data related </w:t>
      </w:r>
      <w:r w:rsidRPr="00FF4179">
        <w:rPr>
          <w:rFonts w:ascii="Times New Roman" w:eastAsia="Times New Roman" w:hAnsi="Times New Roman" w:cs="Times New Roman"/>
          <w:color w:val="FF0000"/>
          <w:sz w:val="24"/>
          <w:szCs w:val="24"/>
        </w:rPr>
        <w:t>to cost</w:t>
      </w:r>
      <w:r w:rsidRPr="003741A2">
        <w:rPr>
          <w:rFonts w:ascii="Times New Roman" w:eastAsia="Times New Roman" w:hAnsi="Times New Roman" w:cs="Times New Roman"/>
          <w:sz w:val="24"/>
          <w:szCs w:val="24"/>
        </w:rPr>
        <w:t xml:space="preserve"> of cultivation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gross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net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and the benefit-cost (B:C) ratio are presented in Table 3. The maximum total cost of cultivation (Rs. 176,400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calculated for treatment TO</w:t>
      </w:r>
      <w:r w:rsidRPr="006E3CE1">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w:t>
      </w:r>
      <w:r w:rsidRPr="006E3CE1">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xml:space="preserve"> (Rs. 175,200). The highest gross return (Rs. 487,194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453,778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highest net return (Rs. 310,794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278,578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B:C ratio was highest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TO1, and then FP.</w:t>
      </w:r>
    </w:p>
    <w:p w14:paraId="085BCAB6" w14:textId="6B0940D9" w:rsidR="00171C76" w:rsidRPr="00FF4179" w:rsidRDefault="003741A2" w:rsidP="00171C76">
      <w:pPr>
        <w:spacing w:before="100" w:beforeAutospacing="1" w:after="100" w:afterAutospacing="1" w:line="240" w:lineRule="auto"/>
        <w:jc w:val="both"/>
        <w:rPr>
          <w:rFonts w:ascii="Times New Roman" w:eastAsia="Times New Roman" w:hAnsi="Times New Roman" w:cs="Times New Roman"/>
          <w:b/>
          <w:bCs/>
          <w:color w:val="FF0000"/>
          <w:sz w:val="28"/>
          <w:szCs w:val="28"/>
        </w:rPr>
      </w:pPr>
      <w:r w:rsidRPr="00FF4179">
        <w:rPr>
          <w:rFonts w:ascii="Times New Roman" w:eastAsia="Times New Roman" w:hAnsi="Times New Roman" w:cs="Times New Roman"/>
          <w:b/>
          <w:bCs/>
          <w:color w:val="FF0000"/>
          <w:sz w:val="28"/>
          <w:szCs w:val="28"/>
        </w:rPr>
        <w:t>Conclusion</w:t>
      </w:r>
    </w:p>
    <w:p w14:paraId="447C5107" w14:textId="3C7FF5B6" w:rsidR="007F1DFF"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 xml:space="preserve"> Based on the findings, it was concluded that betel vine recorded the highest vine length, number of leaves per vine, hundred fresh leaf weight, and leaf yield per hectare per year when treated with an integrated dose of </w:t>
      </w:r>
      <w:proofErr w:type="spellStart"/>
      <w:r w:rsidR="007573E2" w:rsidRPr="00A33DB4">
        <w:rPr>
          <w:rFonts w:ascii="Times New Roman" w:eastAsia="Times New Roman" w:hAnsi="Times New Roman" w:cs="Times New Roman"/>
          <w:sz w:val="24"/>
          <w:szCs w:val="24"/>
          <w:highlight w:val="yellow"/>
        </w:rPr>
        <w:t>fertiliser</w:t>
      </w:r>
      <w:proofErr w:type="spellEnd"/>
      <w:r w:rsidR="007573E2" w:rsidRPr="003741A2">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based on soil test values, along with mustard oil cake, vermicompost, and consortia biofertili</w:t>
      </w:r>
      <w:r w:rsidR="005945FD">
        <w:rPr>
          <w:rFonts w:ascii="Times New Roman" w:eastAsia="Times New Roman" w:hAnsi="Times New Roman" w:cs="Times New Roman"/>
          <w:sz w:val="24"/>
          <w:szCs w:val="24"/>
        </w:rPr>
        <w:t>z</w:t>
      </w:r>
      <w:r w:rsidRPr="003741A2">
        <w:rPr>
          <w:rFonts w:ascii="Times New Roman" w:eastAsia="Times New Roman" w:hAnsi="Times New Roman" w:cs="Times New Roman"/>
          <w:sz w:val="24"/>
          <w:szCs w:val="24"/>
        </w:rPr>
        <w:t>er. The economic analysis also confirmed that treatment TO</w:t>
      </w:r>
      <w:r w:rsidRPr="005945FD">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xml:space="preserve"> was the most profitable, supporting the integrated approach for sustainable betel vine production.</w:t>
      </w:r>
    </w:p>
    <w:p w14:paraId="703D5A1F" w14:textId="77777777" w:rsidR="003741A2" w:rsidRPr="005945FD" w:rsidRDefault="003741A2" w:rsidP="00FF4179">
      <w:pPr>
        <w:spacing w:before="100" w:beforeAutospacing="1" w:after="100" w:afterAutospacing="1" w:line="240" w:lineRule="auto"/>
        <w:jc w:val="both"/>
        <w:rPr>
          <w:rFonts w:ascii="Times New Roman" w:eastAsia="Times New Roman" w:hAnsi="Times New Roman" w:cs="Times New Roman"/>
          <w:sz w:val="24"/>
          <w:szCs w:val="24"/>
        </w:rPr>
      </w:pPr>
      <w:r w:rsidRPr="005945FD">
        <w:rPr>
          <w:rFonts w:ascii="Times New Roman" w:eastAsia="Times New Roman" w:hAnsi="Times New Roman" w:cs="Times New Roman"/>
          <w:b/>
          <w:bCs/>
          <w:sz w:val="24"/>
          <w:szCs w:val="24"/>
        </w:rPr>
        <w:t xml:space="preserve">Table 1. </w:t>
      </w:r>
      <w:r w:rsidR="005945FD" w:rsidRPr="005945FD">
        <w:rPr>
          <w:rFonts w:ascii="Times New Roman" w:eastAsia="Times New Roman" w:hAnsi="Times New Roman" w:cs="Times New Roman"/>
          <w:b/>
          <w:bCs/>
          <w:sz w:val="24"/>
          <w:szCs w:val="24"/>
        </w:rPr>
        <w:t>Chemical properties of the experimental soils</w:t>
      </w:r>
    </w:p>
    <w:tbl>
      <w:tblPr>
        <w:tblStyle w:val="TabloKlavuzu"/>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603"/>
        <w:gridCol w:w="1946"/>
        <w:gridCol w:w="1838"/>
      </w:tblGrid>
      <w:tr w:rsidR="008C08A9" w:rsidRPr="00284B63" w14:paraId="40340E5A" w14:textId="77777777" w:rsidTr="008C08A9">
        <w:trPr>
          <w:trHeight w:val="253"/>
        </w:trPr>
        <w:tc>
          <w:tcPr>
            <w:tcW w:w="2019" w:type="pct"/>
          </w:tcPr>
          <w:p w14:paraId="7CB75CA1" w14:textId="77777777" w:rsidR="008C08A9" w:rsidRPr="00284B63" w:rsidRDefault="008C08A9" w:rsidP="00BA7FDC">
            <w:pPr>
              <w:spacing w:line="276" w:lineRule="auto"/>
              <w:ind w:right="-144"/>
              <w:rPr>
                <w:rFonts w:ascii="Times New Roman" w:hAnsi="Times New Roman" w:cs="Times New Roman"/>
                <w:b/>
                <w:sz w:val="24"/>
                <w:szCs w:val="24"/>
              </w:rPr>
            </w:pPr>
            <w:r w:rsidRPr="00284B63">
              <w:rPr>
                <w:rFonts w:ascii="Times New Roman" w:hAnsi="Times New Roman" w:cs="Times New Roman"/>
                <w:b/>
                <w:sz w:val="24"/>
                <w:szCs w:val="24"/>
              </w:rPr>
              <w:t>Initial Soil Parameters</w:t>
            </w:r>
          </w:p>
        </w:tc>
        <w:tc>
          <w:tcPr>
            <w:tcW w:w="887" w:type="pct"/>
          </w:tcPr>
          <w:p w14:paraId="216998FB" w14:textId="77777777" w:rsidR="008C08A9" w:rsidRPr="00284B63" w:rsidRDefault="008C08A9" w:rsidP="00BA7FDC">
            <w:pPr>
              <w:spacing w:line="276" w:lineRule="auto"/>
              <w:ind w:right="-144"/>
              <w:jc w:val="center"/>
              <w:rPr>
                <w:rFonts w:ascii="Times New Roman" w:hAnsi="Times New Roman" w:cs="Times New Roman"/>
                <w:b/>
                <w:sz w:val="24"/>
                <w:szCs w:val="24"/>
              </w:rPr>
            </w:pPr>
            <w:r w:rsidRPr="00284B63">
              <w:rPr>
                <w:rFonts w:ascii="Times New Roman" w:hAnsi="Times New Roman" w:cs="Times New Roman"/>
                <w:b/>
                <w:sz w:val="24"/>
                <w:szCs w:val="24"/>
              </w:rPr>
              <w:t>Balasore</w:t>
            </w:r>
          </w:p>
        </w:tc>
        <w:tc>
          <w:tcPr>
            <w:tcW w:w="1077" w:type="pct"/>
          </w:tcPr>
          <w:p w14:paraId="6B1E9ED6" w14:textId="77777777" w:rsidR="008C08A9" w:rsidRPr="00284B63" w:rsidRDefault="008C08A9" w:rsidP="00BA7FDC">
            <w:pPr>
              <w:spacing w:line="276" w:lineRule="auto"/>
              <w:ind w:right="-144"/>
              <w:jc w:val="center"/>
              <w:rPr>
                <w:rFonts w:ascii="Times New Roman" w:hAnsi="Times New Roman" w:cs="Times New Roman"/>
                <w:b/>
                <w:sz w:val="24"/>
                <w:szCs w:val="24"/>
              </w:rPr>
            </w:pPr>
            <w:r w:rsidRPr="00284B63">
              <w:rPr>
                <w:rFonts w:ascii="Times New Roman" w:hAnsi="Times New Roman" w:cs="Times New Roman"/>
                <w:b/>
                <w:sz w:val="24"/>
                <w:szCs w:val="24"/>
              </w:rPr>
              <w:t>Ganjam-II</w:t>
            </w:r>
          </w:p>
        </w:tc>
        <w:tc>
          <w:tcPr>
            <w:tcW w:w="1017" w:type="pct"/>
          </w:tcPr>
          <w:p w14:paraId="10C066CA"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Jagatsingpur</w:t>
            </w:r>
            <w:proofErr w:type="spellEnd"/>
          </w:p>
        </w:tc>
      </w:tr>
      <w:tr w:rsidR="008C08A9" w:rsidRPr="00284B63" w14:paraId="500A0165" w14:textId="77777777" w:rsidTr="008C08A9">
        <w:trPr>
          <w:trHeight w:val="380"/>
        </w:trPr>
        <w:tc>
          <w:tcPr>
            <w:tcW w:w="2019" w:type="pct"/>
          </w:tcPr>
          <w:p w14:paraId="28176AA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pH</w:t>
            </w:r>
          </w:p>
        </w:tc>
        <w:tc>
          <w:tcPr>
            <w:tcW w:w="887" w:type="pct"/>
          </w:tcPr>
          <w:p w14:paraId="2563B8AD" w14:textId="77777777" w:rsidR="008C08A9" w:rsidRPr="008C08A9" w:rsidRDefault="008C08A9" w:rsidP="00BA7FDC">
            <w:pPr>
              <w:spacing w:line="276" w:lineRule="auto"/>
              <w:ind w:right="-144"/>
              <w:jc w:val="center"/>
              <w:rPr>
                <w:rFonts w:ascii="Times New Roman" w:hAnsi="Times New Roman" w:cs="Times New Roman"/>
                <w:sz w:val="24"/>
                <w:szCs w:val="24"/>
              </w:rPr>
            </w:pPr>
            <w:r w:rsidRPr="008C08A9">
              <w:rPr>
                <w:rFonts w:ascii="Times New Roman" w:hAnsi="Times New Roman" w:cs="Times New Roman"/>
                <w:sz w:val="24"/>
                <w:szCs w:val="24"/>
              </w:rPr>
              <w:t>5.</w:t>
            </w:r>
            <w:r w:rsidR="00BA7FDC">
              <w:rPr>
                <w:rFonts w:ascii="Times New Roman" w:hAnsi="Times New Roman" w:cs="Times New Roman"/>
                <w:sz w:val="24"/>
                <w:szCs w:val="24"/>
              </w:rPr>
              <w:t>94</w:t>
            </w:r>
          </w:p>
        </w:tc>
        <w:tc>
          <w:tcPr>
            <w:tcW w:w="1077" w:type="pct"/>
          </w:tcPr>
          <w:p w14:paraId="7DB0922C"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5.77</w:t>
            </w:r>
          </w:p>
        </w:tc>
        <w:tc>
          <w:tcPr>
            <w:tcW w:w="1017" w:type="pct"/>
          </w:tcPr>
          <w:p w14:paraId="79E48D34"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5.85</w:t>
            </w:r>
          </w:p>
        </w:tc>
      </w:tr>
      <w:tr w:rsidR="008C08A9" w:rsidRPr="00284B63" w14:paraId="0A32CDF7" w14:textId="77777777" w:rsidTr="008C08A9">
        <w:trPr>
          <w:trHeight w:val="253"/>
        </w:trPr>
        <w:tc>
          <w:tcPr>
            <w:tcW w:w="2019" w:type="pct"/>
          </w:tcPr>
          <w:p w14:paraId="2AE4631F" w14:textId="64D19DB8" w:rsidR="008C08A9" w:rsidRPr="00FF4179" w:rsidRDefault="008C08A9" w:rsidP="00BA7FDC">
            <w:pPr>
              <w:spacing w:line="276" w:lineRule="auto"/>
              <w:ind w:right="-144"/>
              <w:rPr>
                <w:rFonts w:ascii="Times New Roman" w:hAnsi="Times New Roman" w:cs="Times New Roman"/>
                <w:color w:val="FF0000"/>
                <w:sz w:val="24"/>
                <w:szCs w:val="24"/>
              </w:rPr>
            </w:pPr>
            <w:r w:rsidRPr="00FF4179">
              <w:rPr>
                <w:rFonts w:ascii="Times New Roman" w:hAnsi="Times New Roman" w:cs="Times New Roman"/>
                <w:color w:val="FF0000"/>
                <w:sz w:val="24"/>
                <w:szCs w:val="24"/>
              </w:rPr>
              <w:t>EC</w:t>
            </w:r>
            <w:r w:rsidR="00FF4179" w:rsidRPr="00FF4179">
              <w:rPr>
                <w:rFonts w:ascii="Times New Roman" w:hAnsi="Times New Roman" w:cs="Times New Roman"/>
                <w:color w:val="FF0000"/>
                <w:sz w:val="24"/>
                <w:szCs w:val="24"/>
              </w:rPr>
              <w:t xml:space="preserve"> </w:t>
            </w:r>
            <w:r w:rsidRPr="00FF4179">
              <w:rPr>
                <w:rFonts w:ascii="Times New Roman" w:hAnsi="Times New Roman" w:cs="Times New Roman"/>
                <w:color w:val="FF0000"/>
                <w:sz w:val="24"/>
                <w:szCs w:val="24"/>
              </w:rPr>
              <w:t>(dSm</w:t>
            </w:r>
            <w:r w:rsidRPr="00FF4179">
              <w:rPr>
                <w:rFonts w:ascii="Times New Roman" w:hAnsi="Times New Roman" w:cs="Times New Roman"/>
                <w:color w:val="FF0000"/>
                <w:sz w:val="24"/>
                <w:szCs w:val="24"/>
                <w:vertAlign w:val="superscript"/>
              </w:rPr>
              <w:t>-1</w:t>
            </w:r>
            <w:r w:rsidRPr="00FF4179">
              <w:rPr>
                <w:rFonts w:ascii="Times New Roman" w:hAnsi="Times New Roman" w:cs="Times New Roman"/>
                <w:color w:val="FF0000"/>
                <w:sz w:val="24"/>
                <w:szCs w:val="24"/>
              </w:rPr>
              <w:t>)</w:t>
            </w:r>
          </w:p>
        </w:tc>
        <w:tc>
          <w:tcPr>
            <w:tcW w:w="887" w:type="pct"/>
          </w:tcPr>
          <w:p w14:paraId="16BB7787"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0.17</w:t>
            </w:r>
          </w:p>
        </w:tc>
        <w:tc>
          <w:tcPr>
            <w:tcW w:w="1077" w:type="pct"/>
          </w:tcPr>
          <w:p w14:paraId="30E532A9"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0.12</w:t>
            </w:r>
          </w:p>
        </w:tc>
        <w:tc>
          <w:tcPr>
            <w:tcW w:w="1017" w:type="pct"/>
          </w:tcPr>
          <w:p w14:paraId="63D55535"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0.21</w:t>
            </w:r>
          </w:p>
        </w:tc>
      </w:tr>
      <w:tr w:rsidR="008C08A9" w:rsidRPr="00284B63" w14:paraId="698508EF" w14:textId="77777777" w:rsidTr="008C08A9">
        <w:trPr>
          <w:trHeight w:val="253"/>
        </w:trPr>
        <w:tc>
          <w:tcPr>
            <w:tcW w:w="2019" w:type="pct"/>
          </w:tcPr>
          <w:p w14:paraId="5A142BEF"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Organic carbon (g kg</w:t>
            </w:r>
            <w:r w:rsidRPr="00284B63">
              <w:rPr>
                <w:rFonts w:ascii="Times New Roman" w:hAnsi="Times New Roman" w:cs="Times New Roman"/>
                <w:sz w:val="24"/>
                <w:szCs w:val="24"/>
                <w:vertAlign w:val="superscript"/>
              </w:rPr>
              <w:t xml:space="preserve">-1 </w:t>
            </w:r>
            <w:r w:rsidRPr="00284B63">
              <w:rPr>
                <w:rFonts w:ascii="Times New Roman" w:hAnsi="Times New Roman" w:cs="Times New Roman"/>
                <w:sz w:val="24"/>
                <w:szCs w:val="24"/>
              </w:rPr>
              <w:t>Soil)</w:t>
            </w:r>
          </w:p>
        </w:tc>
        <w:tc>
          <w:tcPr>
            <w:tcW w:w="887" w:type="pct"/>
          </w:tcPr>
          <w:p w14:paraId="52E65A4C"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4.2</w:t>
            </w:r>
          </w:p>
        </w:tc>
        <w:tc>
          <w:tcPr>
            <w:tcW w:w="1077" w:type="pct"/>
          </w:tcPr>
          <w:p w14:paraId="6A22F3B8"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4.5</w:t>
            </w:r>
          </w:p>
        </w:tc>
        <w:tc>
          <w:tcPr>
            <w:tcW w:w="1017" w:type="pct"/>
          </w:tcPr>
          <w:p w14:paraId="59ECB914"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4.7</w:t>
            </w:r>
          </w:p>
        </w:tc>
      </w:tr>
      <w:tr w:rsidR="008C08A9" w:rsidRPr="00284B63" w14:paraId="31AFCF75" w14:textId="77777777" w:rsidTr="008C08A9">
        <w:trPr>
          <w:trHeight w:val="253"/>
        </w:trPr>
        <w:tc>
          <w:tcPr>
            <w:tcW w:w="2019" w:type="pct"/>
          </w:tcPr>
          <w:p w14:paraId="2FB49C68"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Nitrogen</w:t>
            </w:r>
            <w:r w:rsidR="005945FD">
              <w:rPr>
                <w:rFonts w:ascii="Times New Roman" w:hAnsi="Times New Roman" w:cs="Times New Roman"/>
                <w:sz w:val="24"/>
                <w:szCs w:val="24"/>
              </w:rPr>
              <w:t xml:space="preserve"> </w:t>
            </w: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3EE1049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197</w:t>
            </w:r>
          </w:p>
        </w:tc>
        <w:tc>
          <w:tcPr>
            <w:tcW w:w="1077" w:type="pct"/>
          </w:tcPr>
          <w:p w14:paraId="597AFC23"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22</w:t>
            </w:r>
            <w:r w:rsidR="008C08A9" w:rsidRPr="00284B63">
              <w:rPr>
                <w:rFonts w:ascii="Times New Roman" w:hAnsi="Times New Roman" w:cs="Times New Roman"/>
                <w:sz w:val="24"/>
                <w:szCs w:val="24"/>
              </w:rPr>
              <w:t>4</w:t>
            </w:r>
          </w:p>
        </w:tc>
        <w:tc>
          <w:tcPr>
            <w:tcW w:w="1017" w:type="pct"/>
          </w:tcPr>
          <w:p w14:paraId="5E27A347"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238</w:t>
            </w:r>
          </w:p>
        </w:tc>
      </w:tr>
      <w:tr w:rsidR="008C08A9" w:rsidRPr="00284B63" w14:paraId="57EE035C" w14:textId="77777777" w:rsidTr="008C08A9">
        <w:trPr>
          <w:trHeight w:val="253"/>
        </w:trPr>
        <w:tc>
          <w:tcPr>
            <w:tcW w:w="2019" w:type="pct"/>
          </w:tcPr>
          <w:p w14:paraId="40B68E3A" w14:textId="77777777" w:rsidR="008C08A9"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Phosphorus (</w:t>
            </w:r>
            <w:r w:rsidRPr="00FF4179">
              <w:rPr>
                <w:rFonts w:ascii="Times New Roman" w:hAnsi="Times New Roman" w:cs="Times New Roman"/>
                <w:color w:val="FF0000"/>
                <w:sz w:val="24"/>
                <w:szCs w:val="24"/>
              </w:rPr>
              <w:t xml:space="preserve">Bray’s </w:t>
            </w:r>
            <w:r w:rsidRPr="00FF4179">
              <w:rPr>
                <w:rFonts w:ascii="Times New Roman" w:hAnsi="Times New Roman" w:cs="Times New Roman"/>
                <w:color w:val="FF0000"/>
                <w:sz w:val="24"/>
                <w:szCs w:val="24"/>
                <w:vertAlign w:val="superscript"/>
              </w:rPr>
              <w:t>-1</w:t>
            </w:r>
            <w:r w:rsidRPr="00FF4179">
              <w:rPr>
                <w:rFonts w:ascii="Times New Roman" w:hAnsi="Times New Roman" w:cs="Times New Roman"/>
                <w:color w:val="FF0000"/>
                <w:sz w:val="24"/>
                <w:szCs w:val="24"/>
              </w:rPr>
              <w:t>)</w:t>
            </w:r>
            <w:r w:rsidRPr="00284B63">
              <w:rPr>
                <w:rFonts w:ascii="Times New Roman" w:hAnsi="Times New Roman" w:cs="Times New Roman"/>
                <w:sz w:val="24"/>
                <w:szCs w:val="24"/>
              </w:rPr>
              <w:t xml:space="preserve"> </w:t>
            </w:r>
          </w:p>
          <w:p w14:paraId="367B0EED"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29F87B5B"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14.2</w:t>
            </w:r>
          </w:p>
        </w:tc>
        <w:tc>
          <w:tcPr>
            <w:tcW w:w="1077" w:type="pct"/>
          </w:tcPr>
          <w:p w14:paraId="3CA1230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w:t>
            </w:r>
            <w:r w:rsidR="008C08A9" w:rsidRPr="00284B63">
              <w:rPr>
                <w:rFonts w:ascii="Times New Roman" w:hAnsi="Times New Roman" w:cs="Times New Roman"/>
                <w:sz w:val="24"/>
                <w:szCs w:val="24"/>
              </w:rPr>
              <w:t>.3</w:t>
            </w:r>
          </w:p>
        </w:tc>
        <w:tc>
          <w:tcPr>
            <w:tcW w:w="1017" w:type="pct"/>
          </w:tcPr>
          <w:p w14:paraId="0CCAB77E"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w:t>
            </w:r>
            <w:r w:rsidR="00BA7FDC">
              <w:rPr>
                <w:rFonts w:ascii="Times New Roman" w:hAnsi="Times New Roman" w:cs="Times New Roman"/>
                <w:sz w:val="24"/>
                <w:szCs w:val="24"/>
              </w:rPr>
              <w:t>8</w:t>
            </w:r>
            <w:r w:rsidRPr="00284B63">
              <w:rPr>
                <w:rFonts w:ascii="Times New Roman" w:hAnsi="Times New Roman" w:cs="Times New Roman"/>
                <w:sz w:val="24"/>
                <w:szCs w:val="24"/>
              </w:rPr>
              <w:t>.8</w:t>
            </w:r>
          </w:p>
        </w:tc>
      </w:tr>
      <w:tr w:rsidR="008C08A9" w:rsidRPr="00284B63" w14:paraId="3F7B0C59" w14:textId="77777777" w:rsidTr="008C08A9">
        <w:trPr>
          <w:trHeight w:val="253"/>
        </w:trPr>
        <w:tc>
          <w:tcPr>
            <w:tcW w:w="2019" w:type="pct"/>
          </w:tcPr>
          <w:p w14:paraId="6103CF2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Potassium (kg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6A2F69ED"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12</w:t>
            </w:r>
            <w:r w:rsidR="008C08A9" w:rsidRPr="00284B63">
              <w:rPr>
                <w:rFonts w:ascii="Times New Roman" w:hAnsi="Times New Roman" w:cs="Times New Roman"/>
                <w:sz w:val="24"/>
                <w:szCs w:val="24"/>
              </w:rPr>
              <w:t>3</w:t>
            </w:r>
          </w:p>
        </w:tc>
        <w:tc>
          <w:tcPr>
            <w:tcW w:w="1077" w:type="pct"/>
          </w:tcPr>
          <w:p w14:paraId="37FFA9FA"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167</w:t>
            </w:r>
          </w:p>
        </w:tc>
        <w:tc>
          <w:tcPr>
            <w:tcW w:w="1017" w:type="pct"/>
          </w:tcPr>
          <w:p w14:paraId="66289F7B"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14</w:t>
            </w:r>
            <w:r w:rsidR="008C08A9" w:rsidRPr="00284B63">
              <w:rPr>
                <w:rFonts w:ascii="Times New Roman" w:hAnsi="Times New Roman" w:cs="Times New Roman"/>
                <w:sz w:val="24"/>
                <w:szCs w:val="24"/>
              </w:rPr>
              <w:t>7</w:t>
            </w:r>
          </w:p>
        </w:tc>
      </w:tr>
    </w:tbl>
    <w:p w14:paraId="0214E23C" w14:textId="77777777" w:rsidR="003741A2" w:rsidRPr="003741A2" w:rsidRDefault="003741A2" w:rsidP="00FF4179">
      <w:pPr>
        <w:spacing w:before="100" w:beforeAutospacing="1" w:after="0" w:line="240" w:lineRule="auto"/>
        <w:jc w:val="both"/>
        <w:rPr>
          <w:rFonts w:ascii="Times New Roman" w:eastAsia="Times New Roman" w:hAnsi="Times New Roman" w:cs="Times New Roman"/>
          <w:b/>
          <w:bCs/>
          <w:sz w:val="24"/>
          <w:szCs w:val="24"/>
        </w:rPr>
      </w:pPr>
      <w:r w:rsidRPr="003741A2">
        <w:rPr>
          <w:rFonts w:ascii="Times New Roman" w:eastAsia="Times New Roman" w:hAnsi="Times New Roman" w:cs="Times New Roman"/>
          <w:b/>
          <w:bCs/>
          <w:sz w:val="24"/>
          <w:szCs w:val="24"/>
        </w:rPr>
        <w:t xml:space="preserve">Table 2. </w:t>
      </w:r>
      <w:r w:rsidR="005945FD">
        <w:rPr>
          <w:rFonts w:ascii="Times New Roman" w:eastAsia="Times New Roman" w:hAnsi="Times New Roman" w:cs="Times New Roman"/>
          <w:b/>
          <w:bCs/>
          <w:sz w:val="24"/>
          <w:szCs w:val="24"/>
        </w:rPr>
        <w:t>E</w:t>
      </w:r>
      <w:r w:rsidR="005945FD" w:rsidRPr="003741A2">
        <w:rPr>
          <w:rFonts w:ascii="Times New Roman" w:eastAsia="Times New Roman" w:hAnsi="Times New Roman" w:cs="Times New Roman"/>
          <w:b/>
          <w:bCs/>
          <w:sz w:val="24"/>
          <w:szCs w:val="24"/>
        </w:rPr>
        <w:t>ffect of different treatments on yield and yield-contributing characters of betel leaf during 2021-22 and 2022-23</w:t>
      </w:r>
    </w:p>
    <w:p w14:paraId="7637C7E6" w14:textId="77777777" w:rsidR="003741A2" w:rsidRPr="00171C76" w:rsidRDefault="003741A2" w:rsidP="00FF4179">
      <w:pPr>
        <w:spacing w:after="0" w:line="240" w:lineRule="auto"/>
        <w:jc w:val="both"/>
        <w:rPr>
          <w:rFonts w:ascii="Times New Roman" w:eastAsia="Times New Roman" w:hAnsi="Times New Roman" w:cs="Times New Roman"/>
          <w:sz w:val="24"/>
          <w:szCs w:val="24"/>
        </w:rPr>
      </w:pPr>
    </w:p>
    <w:tbl>
      <w:tblPr>
        <w:tblStyle w:val="TabloKlavuzu"/>
        <w:tblpPr w:vertAnchor="text" w:horzAnchor="margin" w:tblpY="1"/>
        <w:tblW w:w="5000" w:type="pct"/>
        <w:tblCellMar>
          <w:left w:w="45" w:type="dxa"/>
          <w:right w:w="45" w:type="dxa"/>
        </w:tblCellMar>
        <w:tblLook w:val="04A0" w:firstRow="1" w:lastRow="0" w:firstColumn="1" w:lastColumn="0" w:noHBand="0" w:noVBand="1"/>
      </w:tblPr>
      <w:tblGrid>
        <w:gridCol w:w="3289"/>
        <w:gridCol w:w="1344"/>
        <w:gridCol w:w="1853"/>
        <w:gridCol w:w="1262"/>
        <w:gridCol w:w="1369"/>
      </w:tblGrid>
      <w:tr w:rsidR="00FF0E93" w:rsidRPr="00284B63" w14:paraId="32FE5555" w14:textId="77777777" w:rsidTr="00717331">
        <w:trPr>
          <w:trHeight w:val="978"/>
        </w:trPr>
        <w:tc>
          <w:tcPr>
            <w:tcW w:w="1804" w:type="pct"/>
            <w:tcBorders>
              <w:top w:val="single" w:sz="4" w:space="0" w:color="auto"/>
              <w:left w:val="single" w:sz="4" w:space="0" w:color="auto"/>
              <w:bottom w:val="single" w:sz="4" w:space="0" w:color="auto"/>
              <w:right w:val="single" w:sz="4" w:space="0" w:color="auto"/>
            </w:tcBorders>
          </w:tcPr>
          <w:p w14:paraId="54FCB3EC" w14:textId="77777777" w:rsidR="00FF0E93" w:rsidRPr="00284B63" w:rsidRDefault="00FF0E93" w:rsidP="00853DC9">
            <w:pPr>
              <w:autoSpaceDE w:val="0"/>
              <w:autoSpaceDN w:val="0"/>
              <w:adjustRightInd w:val="0"/>
              <w:jc w:val="center"/>
              <w:rPr>
                <w:rFonts w:ascii="Times New Roman" w:hAnsi="Times New Roman" w:cs="Times New Roman"/>
                <w:b/>
                <w:sz w:val="24"/>
                <w:szCs w:val="24"/>
              </w:rPr>
            </w:pPr>
            <w:r w:rsidRPr="00284B63">
              <w:rPr>
                <w:rFonts w:ascii="Times New Roman" w:hAnsi="Times New Roman" w:cs="Times New Roman"/>
                <w:b/>
                <w:sz w:val="24"/>
                <w:szCs w:val="24"/>
              </w:rPr>
              <w:t>Treatments</w:t>
            </w:r>
          </w:p>
        </w:tc>
        <w:tc>
          <w:tcPr>
            <w:tcW w:w="737" w:type="pct"/>
            <w:tcBorders>
              <w:top w:val="single" w:sz="4" w:space="0" w:color="auto"/>
              <w:left w:val="single" w:sz="4" w:space="0" w:color="auto"/>
              <w:bottom w:val="single" w:sz="4" w:space="0" w:color="auto"/>
              <w:right w:val="single" w:sz="4" w:space="0" w:color="auto"/>
            </w:tcBorders>
          </w:tcPr>
          <w:p w14:paraId="7D8F4EC1"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Vine length(m)</w:t>
            </w:r>
          </w:p>
        </w:tc>
        <w:tc>
          <w:tcPr>
            <w:tcW w:w="1016" w:type="pct"/>
            <w:tcBorders>
              <w:top w:val="single" w:sz="4" w:space="0" w:color="auto"/>
              <w:left w:val="single" w:sz="4" w:space="0" w:color="auto"/>
              <w:bottom w:val="single" w:sz="4" w:space="0" w:color="auto"/>
              <w:right w:val="single" w:sz="4" w:space="0" w:color="auto"/>
            </w:tcBorders>
          </w:tcPr>
          <w:p w14:paraId="7DCD4323" w14:textId="2F44D65C" w:rsidR="00FF0E93" w:rsidRPr="00284B63" w:rsidRDefault="00FF0E93" w:rsidP="00FF417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No. of leaves/vine</w:t>
            </w:r>
            <w:r w:rsidRPr="00284B63">
              <w:rPr>
                <w:rFonts w:ascii="Times New Roman" w:hAnsi="Times New Roman" w:cs="Times New Roman"/>
                <w:b/>
                <w:bCs/>
              </w:rPr>
              <w:t>(</w:t>
            </w:r>
            <w:r w:rsidRPr="00FF4179">
              <w:rPr>
                <w:rFonts w:ascii="Times New Roman" w:hAnsi="Times New Roman" w:cs="Times New Roman"/>
                <w:b/>
                <w:bCs/>
                <w:color w:val="FF0000"/>
              </w:rPr>
              <w:t xml:space="preserve">on </w:t>
            </w:r>
            <w:r w:rsidR="007573E2" w:rsidRPr="00FF4179">
              <w:rPr>
                <w:rFonts w:ascii="Times New Roman" w:hAnsi="Times New Roman" w:cs="Times New Roman"/>
                <w:b/>
                <w:bCs/>
                <w:color w:val="FF0000"/>
              </w:rPr>
              <w:t xml:space="preserve"> </w:t>
            </w:r>
            <w:r w:rsidRPr="00FF4179">
              <w:rPr>
                <w:rFonts w:ascii="Times New Roman" w:hAnsi="Times New Roman" w:cs="Times New Roman"/>
                <w:b/>
                <w:bCs/>
                <w:color w:val="FF0000"/>
              </w:rPr>
              <w:t xml:space="preserve">number </w:t>
            </w:r>
            <w:r w:rsidRPr="00284B63">
              <w:rPr>
                <w:rFonts w:ascii="Times New Roman" w:hAnsi="Times New Roman" w:cs="Times New Roman"/>
                <w:b/>
                <w:bCs/>
              </w:rPr>
              <w:t>basis)</w:t>
            </w:r>
          </w:p>
        </w:tc>
        <w:tc>
          <w:tcPr>
            <w:tcW w:w="692" w:type="pct"/>
            <w:tcBorders>
              <w:top w:val="single" w:sz="4" w:space="0" w:color="auto"/>
              <w:left w:val="single" w:sz="4" w:space="0" w:color="auto"/>
              <w:bottom w:val="single" w:sz="4" w:space="0" w:color="auto"/>
              <w:right w:val="single" w:sz="4" w:space="0" w:color="auto"/>
            </w:tcBorders>
          </w:tcPr>
          <w:p w14:paraId="46958DD3" w14:textId="77777777" w:rsidR="00FF0E93" w:rsidRPr="00284B63" w:rsidRDefault="00FF0E93" w:rsidP="00853DC9">
            <w:pPr>
              <w:rPr>
                <w:rFonts w:ascii="Times New Roman" w:hAnsi="Times New Roman" w:cs="Times New Roman"/>
                <w:b/>
                <w:sz w:val="24"/>
                <w:szCs w:val="24"/>
              </w:rPr>
            </w:pPr>
            <w:r w:rsidRPr="00284B63">
              <w:rPr>
                <w:rFonts w:ascii="Times New Roman" w:hAnsi="Times New Roman" w:cs="Times New Roman"/>
                <w:b/>
                <w:bCs/>
                <w:sz w:val="24"/>
                <w:szCs w:val="24"/>
                <w:lang w:val="en-US"/>
              </w:rPr>
              <w:t>Hundred fresh leaf weight (g)</w:t>
            </w:r>
          </w:p>
          <w:p w14:paraId="726EB815"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p>
        </w:tc>
        <w:tc>
          <w:tcPr>
            <w:tcW w:w="751" w:type="pct"/>
            <w:tcBorders>
              <w:top w:val="single" w:sz="4" w:space="0" w:color="auto"/>
              <w:left w:val="single" w:sz="4" w:space="0" w:color="auto"/>
              <w:bottom w:val="single" w:sz="4" w:space="0" w:color="auto"/>
              <w:right w:val="single" w:sz="4" w:space="0" w:color="auto"/>
            </w:tcBorders>
          </w:tcPr>
          <w:p w14:paraId="1C98F511" w14:textId="1402218F"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bCs/>
              </w:rPr>
              <w:t xml:space="preserve">Leaf </w:t>
            </w:r>
            <w:r w:rsidR="007573E2" w:rsidRPr="00A33DB4">
              <w:rPr>
                <w:rFonts w:ascii="Times New Roman" w:hAnsi="Times New Roman" w:cs="Times New Roman"/>
                <w:b/>
                <w:bCs/>
                <w:highlight w:val="yellow"/>
              </w:rPr>
              <w:t>yield/ha</w:t>
            </w:r>
            <w:r w:rsidRPr="00284B63">
              <w:rPr>
                <w:rFonts w:ascii="Times New Roman" w:hAnsi="Times New Roman" w:cs="Times New Roman"/>
                <w:b/>
                <w:bCs/>
              </w:rPr>
              <w:t xml:space="preserve">/year (on </w:t>
            </w:r>
            <w:r w:rsidR="007573E2" w:rsidRPr="00A33DB4">
              <w:rPr>
                <w:rFonts w:ascii="Times New Roman" w:hAnsi="Times New Roman" w:cs="Times New Roman"/>
                <w:b/>
                <w:bCs/>
                <w:highlight w:val="yellow"/>
              </w:rPr>
              <w:t>a</w:t>
            </w:r>
            <w:r w:rsidR="007573E2">
              <w:rPr>
                <w:rFonts w:ascii="Times New Roman" w:hAnsi="Times New Roman" w:cs="Times New Roman"/>
                <w:b/>
                <w:bCs/>
              </w:rPr>
              <w:t xml:space="preserve"> </w:t>
            </w:r>
            <w:r w:rsidRPr="00284B63">
              <w:rPr>
                <w:rFonts w:ascii="Times New Roman" w:hAnsi="Times New Roman" w:cs="Times New Roman"/>
                <w:b/>
                <w:bCs/>
              </w:rPr>
              <w:t>number basis)</w:t>
            </w:r>
          </w:p>
        </w:tc>
      </w:tr>
      <w:tr w:rsidR="00FF0E93" w:rsidRPr="00284B63" w14:paraId="7E2572E1" w14:textId="77777777" w:rsidTr="00717331">
        <w:trPr>
          <w:trHeight w:val="576"/>
        </w:trPr>
        <w:tc>
          <w:tcPr>
            <w:tcW w:w="1804" w:type="pct"/>
            <w:tcBorders>
              <w:top w:val="single" w:sz="4" w:space="0" w:color="auto"/>
              <w:left w:val="single" w:sz="4" w:space="0" w:color="auto"/>
              <w:bottom w:val="single" w:sz="4" w:space="0" w:color="auto"/>
              <w:right w:val="single" w:sz="4" w:space="0" w:color="auto"/>
            </w:tcBorders>
          </w:tcPr>
          <w:p w14:paraId="621C74A5" w14:textId="77777777" w:rsidR="00FF0E93" w:rsidRPr="006F6F51" w:rsidRDefault="00FF0E93" w:rsidP="00853DC9">
            <w:pPr>
              <w:autoSpaceDE w:val="0"/>
              <w:autoSpaceDN w:val="0"/>
              <w:adjustRightInd w:val="0"/>
              <w:jc w:val="center"/>
              <w:rPr>
                <w:rFonts w:ascii="Times New Roman" w:hAnsi="Times New Roman" w:cs="Times New Roman"/>
                <w:sz w:val="24"/>
                <w:szCs w:val="24"/>
                <w:lang w:val="de-DE"/>
              </w:rPr>
            </w:pPr>
            <w:proofErr w:type="gramStart"/>
            <w:r w:rsidRPr="006F6F51">
              <w:rPr>
                <w:rFonts w:ascii="Times New Roman" w:hAnsi="Times New Roman" w:cs="Times New Roman"/>
                <w:b/>
                <w:bCs/>
                <w:sz w:val="24"/>
                <w:szCs w:val="24"/>
                <w:lang w:val="de-DE"/>
              </w:rPr>
              <w:t>FP :</w:t>
            </w:r>
            <w:proofErr w:type="gramEnd"/>
            <w:r w:rsidRPr="006F6F51">
              <w:rPr>
                <w:rFonts w:ascii="Times New Roman" w:hAnsi="Times New Roman" w:cs="Times New Roman"/>
                <w:sz w:val="24"/>
                <w:szCs w:val="24"/>
                <w:lang w:val="de-DE"/>
              </w:rPr>
              <w:t xml:space="preserve"> N:P</w:t>
            </w:r>
            <w:r w:rsidRPr="006F6F51">
              <w:rPr>
                <w:rFonts w:ascii="Times New Roman" w:hAnsi="Times New Roman" w:cs="Times New Roman"/>
                <w:sz w:val="24"/>
                <w:szCs w:val="24"/>
                <w:vertAlign w:val="subscript"/>
                <w:lang w:val="de-DE"/>
              </w:rPr>
              <w:t>2</w:t>
            </w:r>
            <w:r w:rsidRPr="006F6F51">
              <w:rPr>
                <w:rFonts w:ascii="Times New Roman" w:hAnsi="Times New Roman" w:cs="Times New Roman"/>
                <w:sz w:val="24"/>
                <w:szCs w:val="24"/>
                <w:lang w:val="de-DE"/>
              </w:rPr>
              <w:t>O</w:t>
            </w:r>
            <w:r w:rsidRPr="006F6F51">
              <w:rPr>
                <w:rFonts w:ascii="Times New Roman" w:hAnsi="Times New Roman" w:cs="Times New Roman"/>
                <w:sz w:val="24"/>
                <w:szCs w:val="24"/>
                <w:vertAlign w:val="subscript"/>
                <w:lang w:val="de-DE"/>
              </w:rPr>
              <w:t>5</w:t>
            </w:r>
            <w:r w:rsidRPr="006F6F51">
              <w:rPr>
                <w:rFonts w:ascii="Times New Roman" w:hAnsi="Times New Roman" w:cs="Times New Roman"/>
                <w:sz w:val="24"/>
                <w:szCs w:val="24"/>
                <w:lang w:val="de-DE"/>
              </w:rPr>
              <w:t>:K</w:t>
            </w:r>
            <w:r w:rsidRPr="006F6F51">
              <w:rPr>
                <w:rFonts w:ascii="Times New Roman" w:hAnsi="Times New Roman" w:cs="Times New Roman"/>
                <w:sz w:val="24"/>
                <w:szCs w:val="24"/>
                <w:vertAlign w:val="subscript"/>
                <w:lang w:val="de-DE"/>
              </w:rPr>
              <w:t>2</w:t>
            </w:r>
            <w:r w:rsidRPr="006F6F51">
              <w:rPr>
                <w:rFonts w:ascii="Times New Roman" w:hAnsi="Times New Roman" w:cs="Times New Roman"/>
                <w:sz w:val="24"/>
                <w:szCs w:val="24"/>
                <w:lang w:val="de-DE"/>
              </w:rPr>
              <w:t>O</w:t>
            </w:r>
          </w:p>
          <w:p w14:paraId="78B3C4D1" w14:textId="77777777" w:rsidR="00FF0E93" w:rsidRPr="006F6F51" w:rsidRDefault="00FF0E93" w:rsidP="00853DC9">
            <w:pPr>
              <w:autoSpaceDE w:val="0"/>
              <w:autoSpaceDN w:val="0"/>
              <w:adjustRightInd w:val="0"/>
              <w:jc w:val="center"/>
              <w:rPr>
                <w:rFonts w:ascii="Times New Roman" w:hAnsi="Times New Roman" w:cs="Times New Roman"/>
                <w:sz w:val="24"/>
                <w:szCs w:val="24"/>
                <w:lang w:val="de-DE"/>
              </w:rPr>
            </w:pPr>
            <w:r w:rsidRPr="006F6F51">
              <w:rPr>
                <w:rFonts w:ascii="Times New Roman" w:hAnsi="Times New Roman" w:cs="Times New Roman"/>
                <w:sz w:val="24"/>
                <w:szCs w:val="24"/>
                <w:lang w:val="de-DE"/>
              </w:rPr>
              <w:t>@100:50:30+MoC@3q/ha</w:t>
            </w:r>
          </w:p>
        </w:tc>
        <w:tc>
          <w:tcPr>
            <w:tcW w:w="737" w:type="pct"/>
            <w:tcBorders>
              <w:top w:val="single" w:sz="4" w:space="0" w:color="auto"/>
              <w:left w:val="single" w:sz="4" w:space="0" w:color="auto"/>
              <w:bottom w:val="single" w:sz="4" w:space="0" w:color="auto"/>
              <w:right w:val="single" w:sz="4" w:space="0" w:color="auto"/>
            </w:tcBorders>
          </w:tcPr>
          <w:p w14:paraId="23926ED4"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3.12</w:t>
            </w:r>
          </w:p>
        </w:tc>
        <w:tc>
          <w:tcPr>
            <w:tcW w:w="1016" w:type="pct"/>
            <w:tcBorders>
              <w:top w:val="single" w:sz="4" w:space="0" w:color="auto"/>
              <w:left w:val="single" w:sz="4" w:space="0" w:color="auto"/>
              <w:bottom w:val="single" w:sz="4" w:space="0" w:color="auto"/>
              <w:right w:val="single" w:sz="4" w:space="0" w:color="auto"/>
            </w:tcBorders>
          </w:tcPr>
          <w:p w14:paraId="43B279E1"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58.35</w:t>
            </w:r>
          </w:p>
        </w:tc>
        <w:tc>
          <w:tcPr>
            <w:tcW w:w="692" w:type="pct"/>
            <w:tcBorders>
              <w:top w:val="single" w:sz="4" w:space="0" w:color="auto"/>
              <w:left w:val="single" w:sz="4" w:space="0" w:color="auto"/>
              <w:bottom w:val="single" w:sz="4" w:space="0" w:color="auto"/>
              <w:right w:val="single" w:sz="4" w:space="0" w:color="auto"/>
            </w:tcBorders>
          </w:tcPr>
          <w:p w14:paraId="30FA95C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lang w:val="en-US"/>
              </w:rPr>
            </w:pPr>
            <w:r w:rsidRPr="00284B63">
              <w:rPr>
                <w:rFonts w:ascii="Times New Roman" w:hAnsi="Times New Roman" w:cs="Times New Roman"/>
                <w:sz w:val="24"/>
                <w:szCs w:val="24"/>
                <w:lang w:val="en-US"/>
              </w:rPr>
              <w:t>242.64</w:t>
            </w:r>
          </w:p>
        </w:tc>
        <w:tc>
          <w:tcPr>
            <w:tcW w:w="751" w:type="pct"/>
            <w:tcBorders>
              <w:top w:val="single" w:sz="4" w:space="0" w:color="auto"/>
              <w:left w:val="single" w:sz="4" w:space="0" w:color="auto"/>
              <w:bottom w:val="single" w:sz="4" w:space="0" w:color="auto"/>
              <w:right w:val="single" w:sz="4" w:space="0" w:color="auto"/>
            </w:tcBorders>
          </w:tcPr>
          <w:p w14:paraId="1851333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11,96,390</w:t>
            </w:r>
          </w:p>
        </w:tc>
      </w:tr>
      <w:tr w:rsidR="00FF0E93" w:rsidRPr="00284B63" w14:paraId="2E31A809" w14:textId="77777777" w:rsidTr="00717331">
        <w:trPr>
          <w:trHeight w:val="307"/>
        </w:trPr>
        <w:tc>
          <w:tcPr>
            <w:tcW w:w="1804" w:type="pct"/>
            <w:tcBorders>
              <w:top w:val="single" w:sz="4" w:space="0" w:color="auto"/>
              <w:left w:val="single" w:sz="4" w:space="0" w:color="auto"/>
              <w:bottom w:val="single" w:sz="4" w:space="0" w:color="auto"/>
              <w:right w:val="single" w:sz="4" w:space="0" w:color="auto"/>
            </w:tcBorders>
          </w:tcPr>
          <w:p w14:paraId="7DB515A6"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1</w:t>
            </w:r>
            <w:r w:rsidRPr="00860A1D">
              <w:rPr>
                <w:rFonts w:ascii="Times New Roman" w:hAnsi="Times New Roman" w:cs="Times New Roman"/>
                <w:b/>
                <w:bCs/>
                <w:sz w:val="24"/>
                <w:szCs w:val="24"/>
              </w:rPr>
              <w:t>:</w:t>
            </w:r>
            <w:r>
              <w:rPr>
                <w:rFonts w:ascii="Times New Roman" w:hAnsi="Times New Roman" w:cs="Times New Roman"/>
                <w:sz w:val="24"/>
                <w:szCs w:val="24"/>
                <w:vertAlign w:val="subscript"/>
              </w:rPr>
              <w:t xml:space="preserve"> </w:t>
            </w:r>
            <w:r w:rsidRPr="00284B63">
              <w:rPr>
                <w:rFonts w:ascii="Times New Roman" w:hAnsi="Times New Roman" w:cs="Times New Roman"/>
                <w:sz w:val="24"/>
                <w:szCs w:val="24"/>
              </w:rPr>
              <w:t xml:space="preserve">STD(50% NPK)+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w:t>
            </w:r>
            <w:r w:rsidRPr="00284B63">
              <w:rPr>
                <w:rFonts w:ascii="Times New Roman" w:hAnsi="Times New Roman" w:cs="Times New Roman"/>
                <w:sz w:val="24"/>
                <w:szCs w:val="24"/>
              </w:rPr>
              <w:lastRenderedPageBreak/>
              <w:t>@1.5t/ha+VC@10t/ha</w:t>
            </w:r>
          </w:p>
        </w:tc>
        <w:tc>
          <w:tcPr>
            <w:tcW w:w="737" w:type="pct"/>
            <w:tcBorders>
              <w:top w:val="single" w:sz="4" w:space="0" w:color="auto"/>
              <w:left w:val="single" w:sz="4" w:space="0" w:color="auto"/>
              <w:bottom w:val="single" w:sz="4" w:space="0" w:color="auto"/>
              <w:right w:val="single" w:sz="4" w:space="0" w:color="auto"/>
            </w:tcBorders>
          </w:tcPr>
          <w:p w14:paraId="270C8182"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lastRenderedPageBreak/>
              <w:t>4.31</w:t>
            </w:r>
          </w:p>
        </w:tc>
        <w:tc>
          <w:tcPr>
            <w:tcW w:w="1016" w:type="pct"/>
            <w:tcBorders>
              <w:top w:val="single" w:sz="4" w:space="0" w:color="auto"/>
              <w:left w:val="single" w:sz="4" w:space="0" w:color="auto"/>
              <w:bottom w:val="single" w:sz="4" w:space="0" w:color="auto"/>
              <w:right w:val="single" w:sz="4" w:space="0" w:color="auto"/>
            </w:tcBorders>
          </w:tcPr>
          <w:p w14:paraId="25D129F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66.27</w:t>
            </w:r>
          </w:p>
        </w:tc>
        <w:tc>
          <w:tcPr>
            <w:tcW w:w="692" w:type="pct"/>
            <w:tcBorders>
              <w:top w:val="single" w:sz="4" w:space="0" w:color="auto"/>
              <w:left w:val="single" w:sz="4" w:space="0" w:color="auto"/>
              <w:bottom w:val="single" w:sz="4" w:space="0" w:color="auto"/>
              <w:right w:val="single" w:sz="4" w:space="0" w:color="auto"/>
            </w:tcBorders>
          </w:tcPr>
          <w:p w14:paraId="644415D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265.27</w:t>
            </w:r>
          </w:p>
        </w:tc>
        <w:tc>
          <w:tcPr>
            <w:tcW w:w="751" w:type="pct"/>
            <w:tcBorders>
              <w:top w:val="single" w:sz="4" w:space="0" w:color="auto"/>
              <w:left w:val="single" w:sz="4" w:space="0" w:color="auto"/>
              <w:bottom w:val="single" w:sz="4" w:space="0" w:color="auto"/>
              <w:right w:val="single" w:sz="4" w:space="0" w:color="auto"/>
            </w:tcBorders>
          </w:tcPr>
          <w:p w14:paraId="2305BD08"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15,12,595</w:t>
            </w:r>
          </w:p>
        </w:tc>
      </w:tr>
      <w:tr w:rsidR="00FF0E93" w:rsidRPr="00284B63" w14:paraId="36BE9BA2" w14:textId="77777777" w:rsidTr="00717331">
        <w:trPr>
          <w:trHeight w:val="883"/>
        </w:trPr>
        <w:tc>
          <w:tcPr>
            <w:tcW w:w="1804" w:type="pct"/>
            <w:tcBorders>
              <w:top w:val="single" w:sz="4" w:space="0" w:color="auto"/>
              <w:left w:val="single" w:sz="4" w:space="0" w:color="auto"/>
              <w:bottom w:val="single" w:sz="4" w:space="0" w:color="auto"/>
              <w:right w:val="single" w:sz="4" w:space="0" w:color="auto"/>
            </w:tcBorders>
          </w:tcPr>
          <w:p w14:paraId="420829BA"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lastRenderedPageBreak/>
              <w:t>TO</w:t>
            </w:r>
            <w:r w:rsidRPr="00860A1D">
              <w:rPr>
                <w:rFonts w:ascii="Times New Roman" w:hAnsi="Times New Roman" w:cs="Times New Roman"/>
                <w:b/>
                <w:bCs/>
                <w:sz w:val="24"/>
                <w:szCs w:val="24"/>
                <w:vertAlign w:val="subscript"/>
              </w:rPr>
              <w:t>2</w:t>
            </w:r>
            <w:r w:rsidRPr="00860A1D">
              <w:rPr>
                <w:rFonts w:ascii="Times New Roman" w:hAnsi="Times New Roman" w:cs="Times New Roman"/>
                <w:b/>
                <w:bCs/>
                <w:sz w:val="24"/>
                <w:szCs w:val="24"/>
              </w:rPr>
              <w:t>:</w:t>
            </w:r>
            <w:r>
              <w:rPr>
                <w:rFonts w:ascii="Times New Roman" w:hAnsi="Times New Roman" w:cs="Times New Roman"/>
                <w:sz w:val="24"/>
                <w:szCs w:val="24"/>
              </w:rPr>
              <w:t xml:space="preserve"> </w:t>
            </w:r>
            <w:r w:rsidRPr="00860A1D">
              <w:rPr>
                <w:rFonts w:ascii="Times New Roman" w:hAnsi="Times New Roman" w:cs="Times New Roman"/>
                <w:sz w:val="24"/>
                <w:szCs w:val="24"/>
              </w:rPr>
              <w:t>STD</w:t>
            </w:r>
            <w:r w:rsidRPr="00284B63">
              <w:rPr>
                <w:rFonts w:ascii="Times New Roman" w:hAnsi="Times New Roman" w:cs="Times New Roman"/>
                <w:sz w:val="24"/>
                <w:szCs w:val="24"/>
              </w:rPr>
              <w:t xml:space="preserve">(50% NPK)+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 Consortia BF@ 12kg/ha</w:t>
            </w:r>
          </w:p>
        </w:tc>
        <w:tc>
          <w:tcPr>
            <w:tcW w:w="737" w:type="pct"/>
            <w:tcBorders>
              <w:top w:val="single" w:sz="4" w:space="0" w:color="auto"/>
              <w:left w:val="single" w:sz="4" w:space="0" w:color="auto"/>
              <w:bottom w:val="single" w:sz="4" w:space="0" w:color="auto"/>
              <w:right w:val="single" w:sz="4" w:space="0" w:color="auto"/>
            </w:tcBorders>
          </w:tcPr>
          <w:p w14:paraId="4E3590D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4.86</w:t>
            </w:r>
          </w:p>
        </w:tc>
        <w:tc>
          <w:tcPr>
            <w:tcW w:w="1016" w:type="pct"/>
            <w:tcBorders>
              <w:top w:val="single" w:sz="4" w:space="0" w:color="auto"/>
              <w:left w:val="single" w:sz="4" w:space="0" w:color="auto"/>
              <w:bottom w:val="single" w:sz="4" w:space="0" w:color="auto"/>
              <w:right w:val="single" w:sz="4" w:space="0" w:color="auto"/>
            </w:tcBorders>
          </w:tcPr>
          <w:p w14:paraId="7802AB3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73.57</w:t>
            </w:r>
          </w:p>
        </w:tc>
        <w:tc>
          <w:tcPr>
            <w:tcW w:w="692" w:type="pct"/>
            <w:tcBorders>
              <w:top w:val="single" w:sz="4" w:space="0" w:color="auto"/>
              <w:left w:val="single" w:sz="4" w:space="0" w:color="auto"/>
              <w:bottom w:val="single" w:sz="4" w:space="0" w:color="auto"/>
              <w:right w:val="single" w:sz="4" w:space="0" w:color="auto"/>
            </w:tcBorders>
          </w:tcPr>
          <w:p w14:paraId="196F941C"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276.52</w:t>
            </w:r>
          </w:p>
        </w:tc>
        <w:tc>
          <w:tcPr>
            <w:tcW w:w="751" w:type="pct"/>
            <w:tcBorders>
              <w:top w:val="single" w:sz="4" w:space="0" w:color="auto"/>
              <w:left w:val="single" w:sz="4" w:space="0" w:color="auto"/>
              <w:bottom w:val="single" w:sz="4" w:space="0" w:color="auto"/>
              <w:right w:val="single" w:sz="4" w:space="0" w:color="auto"/>
            </w:tcBorders>
          </w:tcPr>
          <w:p w14:paraId="6891A6F3"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16,23,980</w:t>
            </w:r>
          </w:p>
        </w:tc>
      </w:tr>
      <w:tr w:rsidR="00FF0E93" w:rsidRPr="00284B63" w14:paraId="3C0900DE" w14:textId="77777777" w:rsidTr="00717331">
        <w:trPr>
          <w:trHeight w:val="306"/>
        </w:trPr>
        <w:tc>
          <w:tcPr>
            <w:tcW w:w="1804" w:type="pct"/>
            <w:tcBorders>
              <w:top w:val="single" w:sz="4" w:space="0" w:color="auto"/>
              <w:left w:val="single" w:sz="4" w:space="0" w:color="auto"/>
              <w:bottom w:val="single" w:sz="4" w:space="0" w:color="auto"/>
              <w:right w:val="single" w:sz="4" w:space="0" w:color="auto"/>
            </w:tcBorders>
          </w:tcPr>
          <w:p w14:paraId="49656A2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CD</w:t>
            </w:r>
            <w:r w:rsidR="00717331">
              <w:rPr>
                <w:rFonts w:ascii="Times New Roman" w:hAnsi="Times New Roman" w:cs="Times New Roman"/>
                <w:sz w:val="24"/>
                <w:szCs w:val="24"/>
              </w:rPr>
              <w:t xml:space="preserve"> </w:t>
            </w:r>
            <w:r w:rsidRPr="00284B63">
              <w:rPr>
                <w:rFonts w:ascii="Times New Roman" w:hAnsi="Times New Roman" w:cs="Times New Roman"/>
                <w:sz w:val="24"/>
                <w:szCs w:val="24"/>
              </w:rPr>
              <w:t>(</w:t>
            </w:r>
            <w:r w:rsidR="00717331">
              <w:rPr>
                <w:rFonts w:ascii="Times New Roman" w:hAnsi="Times New Roman" w:cs="Times New Roman"/>
                <w:sz w:val="24"/>
                <w:szCs w:val="24"/>
              </w:rPr>
              <w:t>p=</w:t>
            </w:r>
            <w:r w:rsidRPr="00284B63">
              <w:rPr>
                <w:rFonts w:ascii="Times New Roman" w:hAnsi="Times New Roman" w:cs="Times New Roman"/>
                <w:sz w:val="24"/>
                <w:szCs w:val="24"/>
              </w:rPr>
              <w:t>0.05)</w:t>
            </w:r>
          </w:p>
        </w:tc>
        <w:tc>
          <w:tcPr>
            <w:tcW w:w="737" w:type="pct"/>
            <w:tcBorders>
              <w:top w:val="single" w:sz="4" w:space="0" w:color="auto"/>
              <w:left w:val="single" w:sz="4" w:space="0" w:color="auto"/>
              <w:bottom w:val="single" w:sz="4" w:space="0" w:color="auto"/>
              <w:right w:val="single" w:sz="4" w:space="0" w:color="auto"/>
            </w:tcBorders>
          </w:tcPr>
          <w:p w14:paraId="52A5F48B"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0.48</w:t>
            </w:r>
          </w:p>
        </w:tc>
        <w:tc>
          <w:tcPr>
            <w:tcW w:w="1016" w:type="pct"/>
            <w:tcBorders>
              <w:top w:val="single" w:sz="4" w:space="0" w:color="auto"/>
              <w:left w:val="single" w:sz="4" w:space="0" w:color="auto"/>
              <w:bottom w:val="single" w:sz="4" w:space="0" w:color="auto"/>
              <w:right w:val="single" w:sz="4" w:space="0" w:color="auto"/>
            </w:tcBorders>
          </w:tcPr>
          <w:p w14:paraId="43A34FF0"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5.16</w:t>
            </w:r>
          </w:p>
        </w:tc>
        <w:tc>
          <w:tcPr>
            <w:tcW w:w="692" w:type="pct"/>
            <w:tcBorders>
              <w:top w:val="single" w:sz="4" w:space="0" w:color="auto"/>
              <w:left w:val="single" w:sz="4" w:space="0" w:color="auto"/>
              <w:bottom w:val="single" w:sz="4" w:space="0" w:color="auto"/>
              <w:right w:val="single" w:sz="4" w:space="0" w:color="auto"/>
            </w:tcBorders>
          </w:tcPr>
          <w:p w14:paraId="6B3E830D"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4.89</w:t>
            </w:r>
          </w:p>
        </w:tc>
        <w:tc>
          <w:tcPr>
            <w:tcW w:w="751" w:type="pct"/>
            <w:tcBorders>
              <w:top w:val="single" w:sz="4" w:space="0" w:color="auto"/>
              <w:left w:val="single" w:sz="4" w:space="0" w:color="auto"/>
              <w:bottom w:val="single" w:sz="4" w:space="0" w:color="auto"/>
              <w:right w:val="single" w:sz="4" w:space="0" w:color="auto"/>
            </w:tcBorders>
          </w:tcPr>
          <w:p w14:paraId="583673E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102548.62</w:t>
            </w:r>
          </w:p>
        </w:tc>
      </w:tr>
    </w:tbl>
    <w:p w14:paraId="407314F9"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p w14:paraId="19F86382" w14:textId="77777777" w:rsidR="005945FD" w:rsidRPr="0038570A" w:rsidRDefault="005945FD" w:rsidP="005945FD">
      <w:pPr>
        <w:spacing w:after="0" w:line="360" w:lineRule="auto"/>
        <w:jc w:val="both"/>
        <w:textAlignment w:val="top"/>
        <w:rPr>
          <w:rFonts w:ascii="Times New Roman" w:eastAsia="Times New Roman" w:hAnsi="Times New Roman" w:cs="Times New Roman"/>
          <w:b/>
          <w:bCs/>
          <w:iCs/>
          <w:sz w:val="24"/>
          <w:szCs w:val="24"/>
        </w:rPr>
      </w:pPr>
      <w:r w:rsidRPr="0038570A">
        <w:rPr>
          <w:rFonts w:ascii="Times New Roman" w:eastAsia="Times New Roman" w:hAnsi="Times New Roman" w:cs="Times New Roman"/>
          <w:b/>
          <w:bCs/>
          <w:iCs/>
          <w:sz w:val="24"/>
          <w:szCs w:val="24"/>
        </w:rPr>
        <w:t>DISCLAIMER (ARTIFICIAL INTELLIGENCE)</w:t>
      </w:r>
    </w:p>
    <w:p w14:paraId="690E3DE7" w14:textId="7E5117EB" w:rsid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FF4179">
        <w:rPr>
          <w:rFonts w:ascii="Times New Roman" w:eastAsia="Times New Roman" w:hAnsi="Times New Roman" w:cs="Times New Roman"/>
          <w:iCs/>
          <w:color w:val="FF0000"/>
          <w:sz w:val="24"/>
          <w:szCs w:val="24"/>
        </w:rPr>
        <w:t>Author(s) hereby</w:t>
      </w:r>
      <w:r w:rsidRPr="0038570A">
        <w:rPr>
          <w:rFonts w:ascii="Times New Roman" w:eastAsia="Times New Roman" w:hAnsi="Times New Roman" w:cs="Times New Roman"/>
          <w:iCs/>
          <w:sz w:val="24"/>
          <w:szCs w:val="24"/>
        </w:rPr>
        <w:t xml:space="preserve"> declare that NO generative AI technologies such as Large Language Models (Chat PT, COPILOT, </w:t>
      </w:r>
      <w:proofErr w:type="spellStart"/>
      <w:r w:rsidRPr="0038570A">
        <w:rPr>
          <w:rFonts w:ascii="Times New Roman" w:eastAsia="Times New Roman" w:hAnsi="Times New Roman" w:cs="Times New Roman"/>
          <w:iCs/>
          <w:sz w:val="24"/>
          <w:szCs w:val="24"/>
        </w:rPr>
        <w:t>etc</w:t>
      </w:r>
      <w:proofErr w:type="spellEnd"/>
      <w:r w:rsidRPr="0038570A">
        <w:rPr>
          <w:rFonts w:ascii="Times New Roman" w:eastAsia="Times New Roman" w:hAnsi="Times New Roman" w:cs="Times New Roman"/>
          <w:iCs/>
          <w:sz w:val="24"/>
          <w:szCs w:val="24"/>
        </w:rPr>
        <w:t xml:space="preserve">) and text-to-image generators have been used during writing or editing of manuscripts. </w:t>
      </w:r>
    </w:p>
    <w:p w14:paraId="6269B24A" w14:textId="1A0547C6" w:rsidR="003741A2" w:rsidRPr="005945FD" w:rsidRDefault="005945FD" w:rsidP="005945FD">
      <w:pPr>
        <w:spacing w:after="0" w:line="360" w:lineRule="auto"/>
        <w:jc w:val="both"/>
        <w:textAlignment w:val="top"/>
        <w:rPr>
          <w:rFonts w:ascii="Times New Roman" w:eastAsia="Times New Roman" w:hAnsi="Times New Roman" w:cs="Times New Roman"/>
          <w:iCs/>
          <w:sz w:val="24"/>
          <w:szCs w:val="24"/>
        </w:rPr>
      </w:pPr>
      <w:proofErr w:type="gramStart"/>
      <w:r w:rsidRPr="00171C76">
        <w:rPr>
          <w:rFonts w:ascii="Times New Roman" w:eastAsia="Times New Roman" w:hAnsi="Times New Roman" w:cs="Times New Roman"/>
          <w:b/>
          <w:bCs/>
          <w:sz w:val="28"/>
          <w:szCs w:val="28"/>
        </w:rPr>
        <w:t>REFERENCES</w:t>
      </w:r>
      <w:r w:rsidR="00FF4179">
        <w:rPr>
          <w:rFonts w:ascii="Times New Roman" w:eastAsia="Times New Roman" w:hAnsi="Times New Roman" w:cs="Times New Roman"/>
          <w:b/>
          <w:bCs/>
          <w:sz w:val="28"/>
          <w:szCs w:val="28"/>
        </w:rPr>
        <w:t xml:space="preserve">  </w:t>
      </w:r>
      <w:r w:rsidR="00FF4179" w:rsidRPr="00FF4179">
        <w:rPr>
          <w:rFonts w:ascii="Times New Roman" w:eastAsia="Times New Roman" w:hAnsi="Times New Roman" w:cs="Times New Roman"/>
          <w:b/>
          <w:bCs/>
          <w:color w:val="FF0000"/>
          <w:sz w:val="28"/>
          <w:szCs w:val="28"/>
        </w:rPr>
        <w:t>The</w:t>
      </w:r>
      <w:proofErr w:type="gramEnd"/>
      <w:r w:rsidR="00FF4179" w:rsidRPr="00FF4179">
        <w:rPr>
          <w:rFonts w:ascii="Times New Roman" w:eastAsia="Times New Roman" w:hAnsi="Times New Roman" w:cs="Times New Roman"/>
          <w:b/>
          <w:bCs/>
          <w:color w:val="FF0000"/>
          <w:sz w:val="28"/>
          <w:szCs w:val="28"/>
        </w:rPr>
        <w:t xml:space="preserve"> reporting of references should be uniform</w:t>
      </w:r>
    </w:p>
    <w:p w14:paraId="0BE9A5E4" w14:textId="77777777" w:rsidR="00373374" w:rsidRPr="00373374" w:rsidRDefault="00373374" w:rsidP="00373374">
      <w:pPr>
        <w:pStyle w:val="ListeParagraf"/>
        <w:numPr>
          <w:ilvl w:val="0"/>
          <w:numId w:val="7"/>
        </w:numPr>
        <w:spacing w:after="0" w:line="240" w:lineRule="auto"/>
        <w:jc w:val="both"/>
        <w:rPr>
          <w:rFonts w:ascii="Times New Roman" w:hAnsi="Times New Roman" w:cs="Times New Roman"/>
          <w:sz w:val="24"/>
          <w:szCs w:val="24"/>
        </w:rPr>
      </w:pPr>
      <w:r w:rsidRPr="00373374">
        <w:rPr>
          <w:rFonts w:ascii="Times New Roman" w:hAnsi="Times New Roman" w:cs="Times New Roman"/>
          <w:sz w:val="24"/>
          <w:szCs w:val="24"/>
        </w:rPr>
        <w:t>Alam, M. A., Obaidullah, A. J. M., Naher, S., &amp; others. (2025). Exploring genotypic variation in growth and yield traits of betel vine (</w:t>
      </w:r>
      <w:r w:rsidRPr="00373374">
        <w:rPr>
          <w:rStyle w:val="Vurgu"/>
          <w:rFonts w:ascii="Times New Roman" w:hAnsi="Times New Roman" w:cs="Times New Roman"/>
          <w:sz w:val="24"/>
          <w:szCs w:val="24"/>
        </w:rPr>
        <w:t xml:space="preserve">Piper </w:t>
      </w:r>
      <w:proofErr w:type="spellStart"/>
      <w:r w:rsidRPr="00373374">
        <w:rPr>
          <w:rStyle w:val="Vurgu"/>
          <w:rFonts w:ascii="Times New Roman" w:hAnsi="Times New Roman" w:cs="Times New Roman"/>
          <w:sz w:val="24"/>
          <w:szCs w:val="24"/>
        </w:rPr>
        <w:t>betle</w:t>
      </w:r>
      <w:proofErr w:type="spellEnd"/>
      <w:r w:rsidRPr="00373374">
        <w:rPr>
          <w:rFonts w:ascii="Times New Roman" w:hAnsi="Times New Roman" w:cs="Times New Roman"/>
          <w:sz w:val="24"/>
          <w:szCs w:val="24"/>
        </w:rPr>
        <w:t xml:space="preserve"> L.) genotypes. </w:t>
      </w:r>
      <w:r w:rsidRPr="00373374">
        <w:rPr>
          <w:rStyle w:val="Vurgu"/>
          <w:rFonts w:ascii="Times New Roman" w:hAnsi="Times New Roman" w:cs="Times New Roman"/>
          <w:sz w:val="24"/>
          <w:szCs w:val="24"/>
        </w:rPr>
        <w:t>Bangladesh Journal of Agriculture</w:t>
      </w:r>
      <w:r w:rsidRPr="00373374">
        <w:rPr>
          <w:rFonts w:ascii="Times New Roman" w:hAnsi="Times New Roman" w:cs="Times New Roman"/>
          <w:sz w:val="24"/>
          <w:szCs w:val="24"/>
        </w:rPr>
        <w:t xml:space="preserve">, </w:t>
      </w:r>
      <w:r w:rsidRPr="00373374">
        <w:rPr>
          <w:rStyle w:val="Gl"/>
          <w:rFonts w:ascii="Times New Roman" w:hAnsi="Times New Roman" w:cs="Times New Roman"/>
          <w:sz w:val="24"/>
          <w:szCs w:val="24"/>
        </w:rPr>
        <w:t>48</w:t>
      </w:r>
      <w:r w:rsidRPr="00373374">
        <w:rPr>
          <w:rFonts w:ascii="Times New Roman" w:hAnsi="Times New Roman" w:cs="Times New Roman"/>
          <w:sz w:val="24"/>
          <w:szCs w:val="24"/>
        </w:rPr>
        <w:t>(2).</w:t>
      </w:r>
      <w:r w:rsidRPr="00373374">
        <w:rPr>
          <w:rFonts w:ascii="Times New Roman" w:hAnsi="Times New Roman" w:cs="Times New Roman"/>
          <w:sz w:val="24"/>
          <w:szCs w:val="24"/>
        </w:rPr>
        <w:br/>
      </w:r>
      <w:r w:rsidRPr="00373374">
        <w:rPr>
          <w:rStyle w:val="Vurgu"/>
          <w:rFonts w:ascii="Times New Roman" w:hAnsi="Times New Roman" w:cs="Times New Roman"/>
          <w:sz w:val="24"/>
          <w:szCs w:val="24"/>
        </w:rPr>
        <w:t>Relevance:</w:t>
      </w:r>
      <w:r w:rsidRPr="00373374">
        <w:rPr>
          <w:rFonts w:ascii="Times New Roman" w:hAnsi="Times New Roman" w:cs="Times New Roman"/>
          <w:sz w:val="24"/>
          <w:szCs w:val="24"/>
        </w:rPr>
        <w:t xml:space="preserve"> Though more on genotypic variation, useful for discussing cultivar influences in betel vine performance. </w:t>
      </w:r>
    </w:p>
    <w:p w14:paraId="1D8DC99D" w14:textId="77777777" w:rsidR="00373374" w:rsidRDefault="00373374" w:rsidP="00373374">
      <w:pPr>
        <w:pStyle w:val="NormalWeb"/>
        <w:numPr>
          <w:ilvl w:val="0"/>
          <w:numId w:val="7"/>
        </w:numPr>
        <w:jc w:val="both"/>
      </w:pPr>
      <w:r>
        <w:t xml:space="preserve">Bar, A., &amp; </w:t>
      </w:r>
      <w:proofErr w:type="spellStart"/>
      <w:r>
        <w:t>Pariari</w:t>
      </w:r>
      <w:proofErr w:type="spellEnd"/>
      <w:r>
        <w:t>, A. (2020). Evaluation of integrated nitrogen management on vine and leaf characters of betel vine (</w:t>
      </w:r>
      <w:r>
        <w:rPr>
          <w:rStyle w:val="Vurgu"/>
        </w:rPr>
        <w:t xml:space="preserve">Piper </w:t>
      </w:r>
      <w:proofErr w:type="spellStart"/>
      <w:r>
        <w:rPr>
          <w:rStyle w:val="Vurgu"/>
        </w:rPr>
        <w:t>betle</w:t>
      </w:r>
      <w:proofErr w:type="spellEnd"/>
      <w:r>
        <w:t xml:space="preserve"> L.) cultivars in the new alluvial zone of West Bengal. </w:t>
      </w:r>
      <w:r>
        <w:rPr>
          <w:rStyle w:val="Vurgu"/>
        </w:rPr>
        <w:t>Journal of Pharmacognosy and Phytochemistry</w:t>
      </w:r>
      <w:r>
        <w:t>, 9(3).</w:t>
      </w:r>
    </w:p>
    <w:p w14:paraId="637C3ED6" w14:textId="77777777" w:rsidR="00373374" w:rsidRPr="00171C76" w:rsidRDefault="00373374" w:rsidP="00373374">
      <w:pPr>
        <w:pStyle w:val="NormalWeb"/>
        <w:numPr>
          <w:ilvl w:val="0"/>
          <w:numId w:val="7"/>
        </w:numPr>
        <w:jc w:val="both"/>
      </w:pPr>
      <w:r w:rsidRPr="00171C76">
        <w:t>Chandini, S. (1989). PhD Thesis, Kerala Agricultural University, Thrissur, p.130.</w:t>
      </w:r>
    </w:p>
    <w:p w14:paraId="3083776D" w14:textId="77777777" w:rsidR="00373374" w:rsidRPr="00373374" w:rsidRDefault="00373374" w:rsidP="00373374">
      <w:pPr>
        <w:pStyle w:val="ListeParagraf"/>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73374">
        <w:rPr>
          <w:rFonts w:ascii="Times New Roman" w:eastAsia="Times New Roman" w:hAnsi="Times New Roman" w:cs="Times New Roman"/>
          <w:sz w:val="24"/>
          <w:szCs w:val="24"/>
        </w:rPr>
        <w:t xml:space="preserve">Chandini, S. (2020). </w:t>
      </w:r>
      <w:r w:rsidRPr="00373374">
        <w:rPr>
          <w:rFonts w:ascii="Times New Roman" w:eastAsia="Times New Roman" w:hAnsi="Times New Roman" w:cs="Times New Roman"/>
          <w:i/>
          <w:iCs/>
          <w:sz w:val="24"/>
          <w:szCs w:val="24"/>
        </w:rPr>
        <w:t>Nutrient manag</w:t>
      </w:r>
      <w:bookmarkStart w:id="0" w:name="_GoBack"/>
      <w:bookmarkEnd w:id="0"/>
      <w:r w:rsidRPr="00373374">
        <w:rPr>
          <w:rFonts w:ascii="Times New Roman" w:eastAsia="Times New Roman" w:hAnsi="Times New Roman" w:cs="Times New Roman"/>
          <w:i/>
          <w:iCs/>
          <w:sz w:val="24"/>
          <w:szCs w:val="24"/>
        </w:rPr>
        <w:t>ement in betel vine cultivation</w:t>
      </w:r>
      <w:r w:rsidRPr="00373374">
        <w:rPr>
          <w:rFonts w:ascii="Times New Roman" w:eastAsia="Times New Roman" w:hAnsi="Times New Roman" w:cs="Times New Roman"/>
          <w:sz w:val="24"/>
          <w:szCs w:val="24"/>
        </w:rPr>
        <w:t>. Kerala Agricultural University, Thrissur.</w:t>
      </w:r>
    </w:p>
    <w:p w14:paraId="3E8968B7"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 xml:space="preserve">Chattopadhyay, S. B., &amp; Maity, S. (1967). </w:t>
      </w:r>
      <w:r w:rsidRPr="00121AA4">
        <w:rPr>
          <w:rFonts w:ascii="Times New Roman" w:eastAsia="Times New Roman" w:hAnsi="Times New Roman" w:cs="Times New Roman"/>
          <w:i/>
          <w:iCs/>
          <w:sz w:val="24"/>
          <w:szCs w:val="24"/>
        </w:rPr>
        <w:t xml:space="preserve">Diseases of </w:t>
      </w:r>
      <w:proofErr w:type="spellStart"/>
      <w:r w:rsidRPr="00121AA4">
        <w:rPr>
          <w:rFonts w:ascii="Times New Roman" w:eastAsia="Times New Roman" w:hAnsi="Times New Roman" w:cs="Times New Roman"/>
          <w:i/>
          <w:iCs/>
          <w:sz w:val="24"/>
          <w:szCs w:val="24"/>
        </w:rPr>
        <w:t>betelvine</w:t>
      </w:r>
      <w:proofErr w:type="spellEnd"/>
      <w:r w:rsidRPr="00121AA4">
        <w:rPr>
          <w:rFonts w:ascii="Times New Roman" w:eastAsia="Times New Roman" w:hAnsi="Times New Roman" w:cs="Times New Roman"/>
          <w:i/>
          <w:iCs/>
          <w:sz w:val="24"/>
          <w:szCs w:val="24"/>
        </w:rPr>
        <w:t xml:space="preserve"> and spices</w:t>
      </w:r>
      <w:r w:rsidRPr="00215C17">
        <w:rPr>
          <w:rFonts w:ascii="Times New Roman" w:eastAsia="Times New Roman" w:hAnsi="Times New Roman" w:cs="Times New Roman"/>
          <w:sz w:val="24"/>
          <w:szCs w:val="24"/>
        </w:rPr>
        <w:t>. Indian Council of Agricultural Research, New Delhi.</w:t>
      </w:r>
    </w:p>
    <w:p w14:paraId="3882FF56" w14:textId="77777777" w:rsidR="00373374" w:rsidRPr="00171C76" w:rsidRDefault="00373374" w:rsidP="00373374">
      <w:pPr>
        <w:pStyle w:val="NormalWeb"/>
        <w:numPr>
          <w:ilvl w:val="0"/>
          <w:numId w:val="7"/>
        </w:numPr>
        <w:spacing w:line="360" w:lineRule="auto"/>
        <w:jc w:val="both"/>
      </w:pPr>
      <w:r w:rsidRPr="00171C76">
        <w:t xml:space="preserve">Chattopadhyay, S.B. and Maity, S. (1967). Diseases of </w:t>
      </w:r>
      <w:proofErr w:type="spellStart"/>
      <w:r w:rsidRPr="00171C76">
        <w:t>Betelvine</w:t>
      </w:r>
      <w:proofErr w:type="spellEnd"/>
      <w:r w:rsidRPr="00171C76">
        <w:t xml:space="preserve"> and Spices. ICAR, New Delhi.</w:t>
      </w:r>
    </w:p>
    <w:p w14:paraId="148A4B54"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F6F51">
        <w:rPr>
          <w:rFonts w:ascii="Times New Roman" w:eastAsia="Times New Roman" w:hAnsi="Times New Roman" w:cs="Times New Roman"/>
          <w:sz w:val="24"/>
          <w:szCs w:val="24"/>
          <w:lang w:val="de-DE"/>
        </w:rPr>
        <w:t xml:space="preserve">Das, B. K., &amp; </w:t>
      </w:r>
      <w:proofErr w:type="spellStart"/>
      <w:r w:rsidRPr="006F6F51">
        <w:rPr>
          <w:rFonts w:ascii="Times New Roman" w:eastAsia="Times New Roman" w:hAnsi="Times New Roman" w:cs="Times New Roman"/>
          <w:sz w:val="24"/>
          <w:szCs w:val="24"/>
          <w:lang w:val="de-DE"/>
        </w:rPr>
        <w:t>Mallick</w:t>
      </w:r>
      <w:proofErr w:type="spellEnd"/>
      <w:r w:rsidRPr="006F6F51">
        <w:rPr>
          <w:rFonts w:ascii="Times New Roman" w:eastAsia="Times New Roman" w:hAnsi="Times New Roman" w:cs="Times New Roman"/>
          <w:sz w:val="24"/>
          <w:szCs w:val="24"/>
          <w:lang w:val="de-DE"/>
        </w:rPr>
        <w:t xml:space="preserve">, S. K. (2010). </w:t>
      </w:r>
      <w:r w:rsidRPr="00215C17">
        <w:rPr>
          <w:rFonts w:ascii="Times New Roman" w:eastAsia="Times New Roman" w:hAnsi="Times New Roman" w:cs="Times New Roman"/>
          <w:sz w:val="24"/>
          <w:szCs w:val="24"/>
        </w:rPr>
        <w:t>Screening of betel vine cultivars for resistance to betel vine whitefly (</w:t>
      </w:r>
      <w:proofErr w:type="spellStart"/>
      <w:r w:rsidRPr="00121AA4">
        <w:rPr>
          <w:rFonts w:ascii="Times New Roman" w:eastAsia="Times New Roman" w:hAnsi="Times New Roman" w:cs="Times New Roman"/>
          <w:i/>
          <w:iCs/>
          <w:sz w:val="24"/>
          <w:szCs w:val="24"/>
        </w:rPr>
        <w:t>Dialeurodes</w:t>
      </w:r>
      <w:proofErr w:type="spellEnd"/>
      <w:r w:rsidRPr="00121AA4">
        <w:rPr>
          <w:rFonts w:ascii="Times New Roman" w:eastAsia="Times New Roman" w:hAnsi="Times New Roman" w:cs="Times New Roman"/>
          <w:i/>
          <w:iCs/>
          <w:sz w:val="24"/>
          <w:szCs w:val="24"/>
        </w:rPr>
        <w:t xml:space="preserve"> </w:t>
      </w:r>
      <w:proofErr w:type="spellStart"/>
      <w:r w:rsidRPr="00121AA4">
        <w:rPr>
          <w:rFonts w:ascii="Times New Roman" w:eastAsia="Times New Roman" w:hAnsi="Times New Roman" w:cs="Times New Roman"/>
          <w:i/>
          <w:iCs/>
          <w:sz w:val="24"/>
          <w:szCs w:val="24"/>
        </w:rPr>
        <w:t>eugeniae</w:t>
      </w:r>
      <w:proofErr w:type="spellEnd"/>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i/>
          <w:iCs/>
          <w:sz w:val="24"/>
          <w:szCs w:val="24"/>
        </w:rPr>
        <w:t>Environment and Ecology</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28</w:t>
      </w:r>
      <w:r w:rsidRPr="00215C17">
        <w:rPr>
          <w:rFonts w:ascii="Times New Roman" w:eastAsia="Times New Roman" w:hAnsi="Times New Roman" w:cs="Times New Roman"/>
          <w:sz w:val="24"/>
          <w:szCs w:val="24"/>
        </w:rPr>
        <w:t>(1), 16–19.</w:t>
      </w:r>
    </w:p>
    <w:p w14:paraId="18789B20" w14:textId="77777777" w:rsidR="00373374" w:rsidRPr="00171C76" w:rsidRDefault="00373374" w:rsidP="00373374">
      <w:pPr>
        <w:pStyle w:val="NormalWeb"/>
        <w:numPr>
          <w:ilvl w:val="0"/>
          <w:numId w:val="7"/>
        </w:numPr>
        <w:spacing w:line="360" w:lineRule="auto"/>
        <w:jc w:val="both"/>
      </w:pPr>
      <w:r w:rsidRPr="00171C76">
        <w:t>Das, B.K. and Mallick, S.K. (2010). Screening of Betel vine Cultivars for Resistance to Betel vine Whitefly. Pest Management in Horticultural Ecosystems, 16: 87-94.</w:t>
      </w:r>
    </w:p>
    <w:p w14:paraId="65E3EAA5" w14:textId="77777777" w:rsidR="00373374"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15C17">
        <w:rPr>
          <w:rFonts w:ascii="Times New Roman" w:eastAsia="Times New Roman" w:hAnsi="Times New Roman" w:cs="Times New Roman"/>
          <w:sz w:val="24"/>
          <w:szCs w:val="24"/>
        </w:rPr>
        <w:t>Debanath</w:t>
      </w:r>
      <w:proofErr w:type="spellEnd"/>
      <w:r w:rsidRPr="00215C17">
        <w:rPr>
          <w:rFonts w:ascii="Times New Roman" w:eastAsia="Times New Roman" w:hAnsi="Times New Roman" w:cs="Times New Roman"/>
          <w:sz w:val="24"/>
          <w:szCs w:val="24"/>
        </w:rPr>
        <w:t xml:space="preserve">, S. C., Saha, S. K., &amp; Ghosh, R. K. (1985). Effect of organic manures and fertilizers on betel vine. </w:t>
      </w:r>
      <w:r w:rsidRPr="00121AA4">
        <w:rPr>
          <w:rFonts w:ascii="Times New Roman" w:eastAsia="Times New Roman" w:hAnsi="Times New Roman" w:cs="Times New Roman"/>
          <w:i/>
          <w:iCs/>
          <w:sz w:val="24"/>
          <w:szCs w:val="24"/>
        </w:rPr>
        <w:t>Indian Agriculture</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29</w:t>
      </w:r>
      <w:r w:rsidRPr="00215C17">
        <w:rPr>
          <w:rFonts w:ascii="Times New Roman" w:eastAsia="Times New Roman" w:hAnsi="Times New Roman" w:cs="Times New Roman"/>
          <w:sz w:val="24"/>
          <w:szCs w:val="24"/>
        </w:rPr>
        <w:t>(3), 183–188.</w:t>
      </w:r>
    </w:p>
    <w:p w14:paraId="73ADBBD7" w14:textId="77777777" w:rsidR="00FC0035" w:rsidRDefault="00373374" w:rsidP="00FC0035">
      <w:pPr>
        <w:pStyle w:val="NormalWeb"/>
        <w:numPr>
          <w:ilvl w:val="0"/>
          <w:numId w:val="7"/>
        </w:numPr>
        <w:jc w:val="both"/>
      </w:pPr>
      <w:proofErr w:type="spellStart"/>
      <w:r w:rsidRPr="00121AA4">
        <w:t>Debbarmac</w:t>
      </w:r>
      <w:proofErr w:type="spellEnd"/>
      <w:r w:rsidRPr="00121AA4">
        <w:t>, S. (2024). Impact of Integrated Nutrient Management on Yield, Soil, and Plant Nutrient Status in Sweet Orange (</w:t>
      </w:r>
      <w:r w:rsidRPr="00121AA4">
        <w:rPr>
          <w:rStyle w:val="Vurgu"/>
        </w:rPr>
        <w:t>Citrus sinensis</w:t>
      </w:r>
      <w:r w:rsidRPr="00121AA4">
        <w:t xml:space="preserve"> L.) cv. Phule Mosambi. </w:t>
      </w:r>
      <w:r w:rsidRPr="00121AA4">
        <w:rPr>
          <w:rStyle w:val="Vurgu"/>
        </w:rPr>
        <w:t>Communications in Soil Science and Plant Analysis</w:t>
      </w:r>
      <w:r w:rsidRPr="00121AA4">
        <w:t xml:space="preserve">, </w:t>
      </w:r>
      <w:r w:rsidRPr="00121AA4">
        <w:rPr>
          <w:rStyle w:val="Gl"/>
        </w:rPr>
        <w:t>55</w:t>
      </w:r>
      <w:r w:rsidRPr="00121AA4">
        <w:t>(16), 2379–2392.</w:t>
      </w:r>
    </w:p>
    <w:p w14:paraId="6B0C29A1" w14:textId="77777777" w:rsidR="00373374" w:rsidRPr="00171C76" w:rsidRDefault="00373374" w:rsidP="00FC0035">
      <w:pPr>
        <w:pStyle w:val="NormalWeb"/>
        <w:numPr>
          <w:ilvl w:val="0"/>
          <w:numId w:val="7"/>
        </w:numPr>
        <w:jc w:val="both"/>
      </w:pPr>
      <w:r w:rsidRPr="00171C76">
        <w:t xml:space="preserve">Dey, M., </w:t>
      </w:r>
      <w:proofErr w:type="spellStart"/>
      <w:r w:rsidRPr="00171C76">
        <w:t>Pariari</w:t>
      </w:r>
      <w:proofErr w:type="spellEnd"/>
      <w:r w:rsidRPr="00171C76">
        <w:t xml:space="preserve">, A., Sharangi, A.B. and Chatterjee, R. (2003). Response of different nitrogen sources on growth and yield of </w:t>
      </w:r>
      <w:proofErr w:type="spellStart"/>
      <w:r w:rsidRPr="00171C76">
        <w:t>betelvine</w:t>
      </w:r>
      <w:proofErr w:type="spellEnd"/>
      <w:r w:rsidRPr="00171C76">
        <w:t>. South Indian Horticulture, 51(1/6): 244-248.</w:t>
      </w:r>
    </w:p>
    <w:p w14:paraId="4CA5EF83" w14:textId="3FF99CB3" w:rsidR="00373374" w:rsidRPr="00121AA4" w:rsidRDefault="00373374" w:rsidP="00FC0035">
      <w:pPr>
        <w:pStyle w:val="NormalWeb"/>
        <w:numPr>
          <w:ilvl w:val="0"/>
          <w:numId w:val="7"/>
        </w:numPr>
        <w:jc w:val="both"/>
      </w:pPr>
      <w:r w:rsidRPr="00C55F63">
        <w:rPr>
          <w:rStyle w:val="Gl"/>
          <w:b w:val="0"/>
          <w:bCs w:val="0"/>
        </w:rPr>
        <w:t xml:space="preserve">Effects of integrated nutrient management on performance of </w:t>
      </w:r>
      <w:proofErr w:type="spellStart"/>
      <w:r w:rsidRPr="00C55F63">
        <w:rPr>
          <w:rStyle w:val="Gl"/>
          <w:b w:val="0"/>
          <w:bCs w:val="0"/>
        </w:rPr>
        <w:t>bhringraj</w:t>
      </w:r>
      <w:proofErr w:type="spellEnd"/>
      <w:r w:rsidRPr="00C55F63">
        <w:rPr>
          <w:rStyle w:val="Gl"/>
          <w:b w:val="0"/>
          <w:bCs w:val="0"/>
        </w:rPr>
        <w:t xml:space="preserve"> (</w:t>
      </w:r>
      <w:proofErr w:type="spellStart"/>
      <w:r w:rsidRPr="00FF4179">
        <w:rPr>
          <w:rStyle w:val="Gl"/>
          <w:b w:val="0"/>
          <w:bCs w:val="0"/>
          <w:i/>
          <w:color w:val="FF0000"/>
        </w:rPr>
        <w:t>Eclipta</w:t>
      </w:r>
      <w:proofErr w:type="spellEnd"/>
      <w:r w:rsidRPr="00FF4179">
        <w:rPr>
          <w:rStyle w:val="Gl"/>
          <w:b w:val="0"/>
          <w:bCs w:val="0"/>
          <w:i/>
          <w:color w:val="FF0000"/>
        </w:rPr>
        <w:t xml:space="preserve"> </w:t>
      </w:r>
      <w:proofErr w:type="spellStart"/>
      <w:r w:rsidRPr="00FF4179">
        <w:rPr>
          <w:rStyle w:val="Gl"/>
          <w:b w:val="0"/>
          <w:bCs w:val="0"/>
          <w:i/>
          <w:color w:val="FF0000"/>
        </w:rPr>
        <w:t>prostrata</w:t>
      </w:r>
      <w:proofErr w:type="spellEnd"/>
      <w:r w:rsidRPr="00C55F63">
        <w:rPr>
          <w:rStyle w:val="Gl"/>
          <w:b w:val="0"/>
          <w:bCs w:val="0"/>
        </w:rPr>
        <w:t xml:space="preserve"> L.</w:t>
      </w:r>
      <w:r w:rsidRPr="00121AA4">
        <w:rPr>
          <w:rStyle w:val="Gl"/>
        </w:rPr>
        <w:t>)</w:t>
      </w:r>
      <w:r w:rsidRPr="00121AA4">
        <w:t xml:space="preserve"> and soil fertility under </w:t>
      </w:r>
      <w:proofErr w:type="spellStart"/>
      <w:r w:rsidRPr="00FF4179">
        <w:rPr>
          <w:i/>
        </w:rPr>
        <w:t>Grewia</w:t>
      </w:r>
      <w:proofErr w:type="spellEnd"/>
      <w:r w:rsidRPr="00FF4179">
        <w:rPr>
          <w:i/>
        </w:rPr>
        <w:t xml:space="preserve"> </w:t>
      </w:r>
      <w:proofErr w:type="spellStart"/>
      <w:r w:rsidRPr="00FF4179">
        <w:rPr>
          <w:i/>
        </w:rPr>
        <w:t>optiva</w:t>
      </w:r>
      <w:proofErr w:type="spellEnd"/>
      <w:r w:rsidRPr="00121AA4">
        <w:t xml:space="preserve">-based agroforestry system, Himachal Pradesh (2023). </w:t>
      </w:r>
      <w:r w:rsidRPr="00121AA4">
        <w:rPr>
          <w:rStyle w:val="Vurgu"/>
        </w:rPr>
        <w:t>Agroforestry Systems</w:t>
      </w:r>
      <w:r w:rsidRPr="00121AA4">
        <w:t xml:space="preserve">, </w:t>
      </w:r>
      <w:r w:rsidRPr="00FF4179">
        <w:rPr>
          <w:color w:val="FF0000"/>
        </w:rPr>
        <w:t>97</w:t>
      </w:r>
      <w:r w:rsidR="00FF4179">
        <w:rPr>
          <w:color w:val="FF0000"/>
        </w:rPr>
        <w:t>:</w:t>
      </w:r>
      <w:r w:rsidRPr="00FF4179">
        <w:rPr>
          <w:color w:val="FF0000"/>
        </w:rPr>
        <w:t xml:space="preserve"> 711–726</w:t>
      </w:r>
      <w:r w:rsidR="00FF4179" w:rsidRPr="00FF4179">
        <w:rPr>
          <w:color w:val="FF0000"/>
        </w:rPr>
        <w:t>.</w:t>
      </w:r>
    </w:p>
    <w:p w14:paraId="14E24F55" w14:textId="77777777" w:rsidR="00373374" w:rsidRPr="00171C76" w:rsidRDefault="00373374" w:rsidP="00373374">
      <w:pPr>
        <w:pStyle w:val="NormalWeb"/>
        <w:numPr>
          <w:ilvl w:val="0"/>
          <w:numId w:val="7"/>
        </w:numPr>
        <w:spacing w:line="360" w:lineRule="auto"/>
        <w:jc w:val="both"/>
      </w:pPr>
      <w:r w:rsidRPr="00171C76">
        <w:lastRenderedPageBreak/>
        <w:t>Gomez, K.A. and Gomez, A.A. (1984). Statistical Procedures for Agricultural Research. John Wiley &amp; Sons.</w:t>
      </w:r>
    </w:p>
    <w:p w14:paraId="490A2215" w14:textId="77777777" w:rsidR="00373374" w:rsidRPr="00171C76" w:rsidRDefault="00373374" w:rsidP="00373374">
      <w:pPr>
        <w:pStyle w:val="NormalWeb"/>
        <w:numPr>
          <w:ilvl w:val="0"/>
          <w:numId w:val="7"/>
        </w:numPr>
        <w:spacing w:line="360" w:lineRule="auto"/>
        <w:jc w:val="both"/>
      </w:pPr>
      <w:r w:rsidRPr="00171C76">
        <w:t xml:space="preserve">Hegde, N.K., Patil, S. and </w:t>
      </w:r>
      <w:proofErr w:type="spellStart"/>
      <w:r w:rsidRPr="00171C76">
        <w:t>Shasidar</w:t>
      </w:r>
      <w:proofErr w:type="spellEnd"/>
      <w:r w:rsidRPr="00171C76">
        <w:t>, V.S. (2012). Effect of organic nutrition on the performance of Betel vine. Indian Journal of Agricultural Sciences, 42: 367-397.</w:t>
      </w:r>
    </w:p>
    <w:p w14:paraId="24CA4DEE" w14:textId="77777777" w:rsidR="00373374" w:rsidRPr="00171C76" w:rsidRDefault="00373374" w:rsidP="00373374">
      <w:pPr>
        <w:pStyle w:val="NormalWeb"/>
        <w:numPr>
          <w:ilvl w:val="0"/>
          <w:numId w:val="7"/>
        </w:numPr>
        <w:spacing w:line="360" w:lineRule="auto"/>
        <w:jc w:val="both"/>
      </w:pPr>
      <w:r w:rsidRPr="00171C76">
        <w:t xml:space="preserve">Imam, M.N., </w:t>
      </w:r>
      <w:proofErr w:type="spellStart"/>
      <w:r w:rsidRPr="00171C76">
        <w:t>Pariari</w:t>
      </w:r>
      <w:proofErr w:type="spellEnd"/>
      <w:r w:rsidRPr="00171C76">
        <w:t xml:space="preserve">, A. and Sahu, P.K. (2012). Effect of integrated nitrogen application on growth and yield of </w:t>
      </w:r>
      <w:proofErr w:type="spellStart"/>
      <w:r w:rsidRPr="00171C76">
        <w:t>betelvine</w:t>
      </w:r>
      <w:proofErr w:type="spellEnd"/>
      <w:r w:rsidRPr="00171C76">
        <w:t>. Journal of Crop and Weed, 8(1): 141-144.</w:t>
      </w:r>
    </w:p>
    <w:p w14:paraId="001C7630" w14:textId="77777777" w:rsidR="00373374" w:rsidRPr="00121AA4" w:rsidRDefault="00373374" w:rsidP="00FC0035">
      <w:pPr>
        <w:pStyle w:val="NormalWeb"/>
        <w:numPr>
          <w:ilvl w:val="0"/>
          <w:numId w:val="7"/>
        </w:numPr>
        <w:jc w:val="both"/>
      </w:pPr>
      <w:r>
        <w:t>J</w:t>
      </w:r>
      <w:r w:rsidRPr="00121AA4">
        <w:t xml:space="preserve">ackson, M. L. (1973). </w:t>
      </w:r>
      <w:r w:rsidRPr="00121AA4">
        <w:rPr>
          <w:rStyle w:val="Vurgu"/>
        </w:rPr>
        <w:t>Soil chemical analysis</w:t>
      </w:r>
      <w:r w:rsidRPr="00121AA4">
        <w:t>. Prentice Hall of India Pvt. Ltd., New Delhi.</w:t>
      </w:r>
    </w:p>
    <w:p w14:paraId="5EEEB0EE" w14:textId="77777777" w:rsidR="00373374" w:rsidRPr="00121AA4" w:rsidRDefault="00373374" w:rsidP="00FC0035">
      <w:pPr>
        <w:pStyle w:val="NormalWeb"/>
        <w:numPr>
          <w:ilvl w:val="0"/>
          <w:numId w:val="7"/>
        </w:numPr>
        <w:jc w:val="both"/>
      </w:pPr>
      <w:r w:rsidRPr="006F6F51">
        <w:rPr>
          <w:lang w:val="de-DE"/>
        </w:rPr>
        <w:t xml:space="preserve">Kumar, V., </w:t>
      </w:r>
      <w:proofErr w:type="spellStart"/>
      <w:r w:rsidRPr="006F6F51">
        <w:rPr>
          <w:lang w:val="de-DE"/>
        </w:rPr>
        <w:t>Kundu</w:t>
      </w:r>
      <w:proofErr w:type="spellEnd"/>
      <w:r w:rsidRPr="006F6F51">
        <w:rPr>
          <w:lang w:val="de-DE"/>
        </w:rPr>
        <w:t xml:space="preserve">, M., Mir, H., Singh, M., </w:t>
      </w:r>
      <w:r w:rsidRPr="006F6F51">
        <w:rPr>
          <w:rStyle w:val="Vurgu"/>
          <w:lang w:val="de-DE"/>
        </w:rPr>
        <w:t>(et al.)</w:t>
      </w:r>
      <w:r w:rsidRPr="006F6F51">
        <w:rPr>
          <w:lang w:val="de-DE"/>
        </w:rPr>
        <w:t xml:space="preserve">. </w:t>
      </w:r>
      <w:r w:rsidRPr="00121AA4">
        <w:t xml:space="preserve">(2023). Integrated nutrient management in cape gooseberry. </w:t>
      </w:r>
      <w:r w:rsidRPr="00121AA4">
        <w:rPr>
          <w:rStyle w:val="Vurgu"/>
        </w:rPr>
        <w:t>Indian Journal of Horticulture</w:t>
      </w:r>
      <w:r w:rsidRPr="00121AA4">
        <w:t xml:space="preserve">, </w:t>
      </w:r>
      <w:r w:rsidRPr="00121AA4">
        <w:rPr>
          <w:rStyle w:val="Gl"/>
        </w:rPr>
        <w:t>80</w:t>
      </w:r>
      <w:r w:rsidRPr="00121AA4">
        <w:t>(1).</w:t>
      </w:r>
      <w:r w:rsidRPr="00121AA4">
        <w:br/>
      </w:r>
      <w:r w:rsidRPr="00121AA4">
        <w:rPr>
          <w:rStyle w:val="Vurgu"/>
        </w:rPr>
        <w:t>Useful for:</w:t>
      </w:r>
      <w:r w:rsidRPr="00121AA4">
        <w:t xml:space="preserve"> INM practices in horticultural crops with relevance to leaf / fruit quality, and use of biofertilizers, organic amendments under partial chemical fertilizers.</w:t>
      </w:r>
      <w:r w:rsidR="00FC0035" w:rsidRPr="00121AA4">
        <w:t xml:space="preserve"> </w:t>
      </w:r>
    </w:p>
    <w:p w14:paraId="06067BB9" w14:textId="77777777" w:rsidR="00373374" w:rsidRPr="00171C76" w:rsidRDefault="00373374" w:rsidP="00373374">
      <w:pPr>
        <w:pStyle w:val="NormalWeb"/>
        <w:numPr>
          <w:ilvl w:val="0"/>
          <w:numId w:val="7"/>
        </w:numPr>
        <w:spacing w:line="360" w:lineRule="auto"/>
        <w:jc w:val="both"/>
      </w:pPr>
      <w:r w:rsidRPr="00171C76">
        <w:t>Maiti, S. et al. (1995). Journal of Plantation Crops, 23 (2): 122-125.</w:t>
      </w:r>
    </w:p>
    <w:p w14:paraId="41C5213A" w14:textId="77777777" w:rsidR="00373374" w:rsidRDefault="00373374" w:rsidP="00373374">
      <w:pPr>
        <w:pStyle w:val="NormalWeb"/>
        <w:numPr>
          <w:ilvl w:val="0"/>
          <w:numId w:val="7"/>
        </w:numPr>
        <w:spacing w:line="360" w:lineRule="auto"/>
        <w:jc w:val="both"/>
      </w:pPr>
      <w:r w:rsidRPr="00171C76">
        <w:t xml:space="preserve">Panse, V.G. and </w:t>
      </w:r>
      <w:proofErr w:type="spellStart"/>
      <w:r w:rsidRPr="00171C76">
        <w:t>Sukhatme</w:t>
      </w:r>
      <w:proofErr w:type="spellEnd"/>
      <w:r w:rsidRPr="00171C76">
        <w:t>, P.V. (1995). Statistical Methods for Agricultural Workers. ICAR, New Delhi.</w:t>
      </w:r>
    </w:p>
    <w:p w14:paraId="429890AD" w14:textId="0BDB192A" w:rsidR="00373374" w:rsidRPr="00121AA4" w:rsidRDefault="00373374" w:rsidP="00FC0035">
      <w:pPr>
        <w:pStyle w:val="NormalWeb"/>
        <w:numPr>
          <w:ilvl w:val="0"/>
          <w:numId w:val="7"/>
        </w:numPr>
        <w:jc w:val="both"/>
      </w:pPr>
      <w:r w:rsidRPr="00121AA4">
        <w:t xml:space="preserve">Piper, C. S. (1966). </w:t>
      </w:r>
      <w:r w:rsidRPr="00121AA4">
        <w:rPr>
          <w:rStyle w:val="Vurgu"/>
        </w:rPr>
        <w:t>Soil and plant analysis</w:t>
      </w:r>
      <w:r w:rsidRPr="00121AA4">
        <w:t>. Hans</w:t>
      </w:r>
      <w:r w:rsidR="00540895" w:rsidRPr="00540895">
        <w:t xml:space="preserve"> Ayur</w:t>
      </w:r>
      <w:r w:rsidRPr="00121AA4">
        <w:t xml:space="preserve"> Publishers, Bombay.</w:t>
      </w:r>
    </w:p>
    <w:p w14:paraId="71F3182F" w14:textId="77777777" w:rsidR="00373374" w:rsidRDefault="00373374" w:rsidP="00373374">
      <w:pPr>
        <w:pStyle w:val="NormalWeb"/>
        <w:numPr>
          <w:ilvl w:val="0"/>
          <w:numId w:val="7"/>
        </w:numPr>
        <w:spacing w:line="360" w:lineRule="auto"/>
        <w:jc w:val="both"/>
      </w:pPr>
      <w:r w:rsidRPr="00171C76">
        <w:t>Preethy, T.T. et al. (2016). International Journal of Current Research, 8(03): 28164-208170.</w:t>
      </w:r>
    </w:p>
    <w:p w14:paraId="15F3AD07" w14:textId="77777777" w:rsidR="00373374" w:rsidRDefault="00373374" w:rsidP="00FC0035">
      <w:pPr>
        <w:pStyle w:val="NormalWeb"/>
        <w:numPr>
          <w:ilvl w:val="0"/>
          <w:numId w:val="7"/>
        </w:numPr>
        <w:jc w:val="both"/>
      </w:pPr>
      <w:r w:rsidRPr="00121AA4">
        <w:t xml:space="preserve">Subbiah, B. V., &amp; Asija, G. L. (1956). A rapid procedure for the estimation of available nitrogen in soils. </w:t>
      </w:r>
      <w:r w:rsidRPr="00121AA4">
        <w:rPr>
          <w:rStyle w:val="Vurgu"/>
        </w:rPr>
        <w:t>Current Science</w:t>
      </w:r>
      <w:r w:rsidRPr="00121AA4">
        <w:t xml:space="preserve">, </w:t>
      </w:r>
      <w:r w:rsidRPr="00FF4179">
        <w:rPr>
          <w:rStyle w:val="Gl"/>
          <w:b w:val="0"/>
          <w:color w:val="FF0000"/>
        </w:rPr>
        <w:t>25</w:t>
      </w:r>
      <w:r w:rsidRPr="00121AA4">
        <w:t>, 259–260.</w:t>
      </w:r>
    </w:p>
    <w:p w14:paraId="40419306" w14:textId="42BFF466" w:rsidR="00373374" w:rsidRDefault="00373374" w:rsidP="00FC0035">
      <w:pPr>
        <w:pStyle w:val="NormalWeb"/>
        <w:numPr>
          <w:ilvl w:val="0"/>
          <w:numId w:val="7"/>
        </w:numPr>
        <w:jc w:val="both"/>
      </w:pPr>
      <w:r w:rsidRPr="00121AA4">
        <w:t xml:space="preserve">Walkley, A., &amp; Black, I. A. (1934). An examination of the </w:t>
      </w:r>
      <w:proofErr w:type="spellStart"/>
      <w:r w:rsidRPr="00121AA4">
        <w:t>Degtjareff</w:t>
      </w:r>
      <w:proofErr w:type="spellEnd"/>
      <w:r w:rsidRPr="00121AA4">
        <w:t xml:space="preserve"> method for determining soil organic matter, and a proposed modification of the chromic acid titration method. </w:t>
      </w:r>
      <w:r w:rsidRPr="00121AA4">
        <w:rPr>
          <w:rStyle w:val="Vurgu"/>
        </w:rPr>
        <w:t>Soil Science</w:t>
      </w:r>
      <w:r w:rsidRPr="00121AA4">
        <w:t xml:space="preserve">, </w:t>
      </w:r>
      <w:r w:rsidRPr="00121AA4">
        <w:rPr>
          <w:rStyle w:val="Gl"/>
        </w:rPr>
        <w:t>37</w:t>
      </w:r>
      <w:r w:rsidRPr="00121AA4">
        <w:t>(1)</w:t>
      </w:r>
      <w:r w:rsidR="00FF4179" w:rsidRPr="00FF4179">
        <w:rPr>
          <w:color w:val="FF0000"/>
        </w:rPr>
        <w:t>:</w:t>
      </w:r>
      <w:r w:rsidRPr="00121AA4">
        <w:t xml:space="preserve"> 29–38</w:t>
      </w:r>
    </w:p>
    <w:p w14:paraId="63519129" w14:textId="2EDB3BB4" w:rsidR="007573E2" w:rsidRDefault="007573E2" w:rsidP="00F40BA1">
      <w:pPr>
        <w:pStyle w:val="NormalWeb"/>
        <w:numPr>
          <w:ilvl w:val="0"/>
          <w:numId w:val="7"/>
        </w:numPr>
        <w:jc w:val="both"/>
        <w:rPr>
          <w:highlight w:val="yellow"/>
        </w:rPr>
      </w:pPr>
      <w:proofErr w:type="spellStart"/>
      <w:r w:rsidRPr="006F6F51">
        <w:rPr>
          <w:highlight w:val="yellow"/>
          <w:lang w:val="de-DE"/>
        </w:rPr>
        <w:t>Banik</w:t>
      </w:r>
      <w:proofErr w:type="spellEnd"/>
      <w:r w:rsidRPr="006F6F51">
        <w:rPr>
          <w:highlight w:val="yellow"/>
          <w:lang w:val="de-DE"/>
        </w:rPr>
        <w:t xml:space="preserve">, S., Dutta, B., </w:t>
      </w:r>
      <w:proofErr w:type="spellStart"/>
      <w:r w:rsidRPr="006F6F51">
        <w:rPr>
          <w:highlight w:val="yellow"/>
          <w:lang w:val="de-DE"/>
        </w:rPr>
        <w:t>Medda</w:t>
      </w:r>
      <w:proofErr w:type="spellEnd"/>
      <w:r w:rsidRPr="006F6F51">
        <w:rPr>
          <w:highlight w:val="yellow"/>
          <w:lang w:val="de-DE"/>
        </w:rPr>
        <w:t xml:space="preserve">, P. S., &amp; </w:t>
      </w:r>
      <w:proofErr w:type="spellStart"/>
      <w:r w:rsidRPr="006F6F51">
        <w:rPr>
          <w:highlight w:val="yellow"/>
          <w:lang w:val="de-DE"/>
        </w:rPr>
        <w:t>Yarin</w:t>
      </w:r>
      <w:proofErr w:type="spellEnd"/>
      <w:r w:rsidRPr="006F6F51">
        <w:rPr>
          <w:highlight w:val="yellow"/>
          <w:lang w:val="de-DE"/>
        </w:rPr>
        <w:t xml:space="preserve">, T. (2024). </w:t>
      </w:r>
      <w:r w:rsidRPr="00A33DB4">
        <w:rPr>
          <w:highlight w:val="yellow"/>
        </w:rPr>
        <w:t xml:space="preserve">Performance study of </w:t>
      </w:r>
      <w:proofErr w:type="spellStart"/>
      <w:r w:rsidRPr="00A33DB4">
        <w:rPr>
          <w:highlight w:val="yellow"/>
        </w:rPr>
        <w:t>betelvine</w:t>
      </w:r>
      <w:proofErr w:type="spellEnd"/>
      <w:r w:rsidRPr="00A33DB4">
        <w:rPr>
          <w:highlight w:val="yellow"/>
        </w:rPr>
        <w:t xml:space="preserve"> (Piper </w:t>
      </w:r>
      <w:proofErr w:type="spellStart"/>
      <w:r w:rsidRPr="00A33DB4">
        <w:rPr>
          <w:highlight w:val="yellow"/>
        </w:rPr>
        <w:t>betle</w:t>
      </w:r>
      <w:proofErr w:type="spellEnd"/>
      <w:r w:rsidRPr="00A33DB4">
        <w:rPr>
          <w:highlight w:val="yellow"/>
        </w:rPr>
        <w:t xml:space="preserve"> Linn.) cultivars under varying doses of phytohormone-triacontanol. Journal of Experimental Agriculture International, 46(9), 1159–1169. </w:t>
      </w:r>
    </w:p>
    <w:p w14:paraId="2A1D46C6" w14:textId="72F97F42" w:rsidR="00364FA4" w:rsidRDefault="00364FA4" w:rsidP="00553919">
      <w:pPr>
        <w:pStyle w:val="NormalWeb"/>
        <w:numPr>
          <w:ilvl w:val="0"/>
          <w:numId w:val="7"/>
        </w:numPr>
        <w:jc w:val="both"/>
        <w:rPr>
          <w:highlight w:val="yellow"/>
        </w:rPr>
      </w:pPr>
      <w:r w:rsidRPr="00A33DB4">
        <w:rPr>
          <w:highlight w:val="yellow"/>
        </w:rPr>
        <w:t>Panda, N., &amp; Panda, A. (2022). Socio, economic and cultural importance of betel vine (</w:t>
      </w:r>
      <w:r w:rsidRPr="00FF4179">
        <w:rPr>
          <w:i/>
          <w:color w:val="FF0000"/>
          <w:highlight w:val="yellow"/>
        </w:rPr>
        <w:t xml:space="preserve">Piper </w:t>
      </w:r>
      <w:proofErr w:type="spellStart"/>
      <w:r w:rsidRPr="00FF4179">
        <w:rPr>
          <w:i/>
          <w:color w:val="FF0000"/>
          <w:highlight w:val="yellow"/>
        </w:rPr>
        <w:t>betle</w:t>
      </w:r>
      <w:proofErr w:type="spellEnd"/>
      <w:r w:rsidRPr="00A33DB4">
        <w:rPr>
          <w:highlight w:val="yellow"/>
        </w:rPr>
        <w:t xml:space="preserve"> L.) cultivation: Its present status and future perspectives. Asian Journal of Agricultural and Horticultural Research, 9(4), 249–257.  </w:t>
      </w:r>
    </w:p>
    <w:p w14:paraId="3A09631E" w14:textId="590FC851" w:rsidR="00364FA4" w:rsidRPr="00A33DB4" w:rsidRDefault="00364FA4" w:rsidP="00553919">
      <w:pPr>
        <w:pStyle w:val="NormalWeb"/>
        <w:numPr>
          <w:ilvl w:val="0"/>
          <w:numId w:val="7"/>
        </w:numPr>
        <w:jc w:val="both"/>
        <w:rPr>
          <w:highlight w:val="yellow"/>
        </w:rPr>
      </w:pPr>
      <w:r w:rsidRPr="00A33DB4">
        <w:rPr>
          <w:highlight w:val="yellow"/>
        </w:rPr>
        <w:t xml:space="preserve">Padbhushan, R., Sharma, S., Kumar, U., Rana, D. S., Kohli, A., Kaviraj, M., ... &amp; Gupta, </w:t>
      </w:r>
      <w:r w:rsidRPr="00FF4179">
        <w:rPr>
          <w:color w:val="FF0000"/>
          <w:highlight w:val="yellow"/>
        </w:rPr>
        <w:t>V.V.</w:t>
      </w:r>
      <w:r w:rsidRPr="00A33DB4">
        <w:rPr>
          <w:highlight w:val="yellow"/>
        </w:rPr>
        <w:t xml:space="preserve"> (2021). Meta-analysis approach to measure the effect of integrated nutrient management on crop performance, microbial activity, and carbon stocks in Indian soils. Frontiers in Environmental Science, 9, 724702.  </w:t>
      </w:r>
    </w:p>
    <w:sectPr w:rsidR="00364FA4" w:rsidRPr="00A33DB4" w:rsidSect="00B426D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08677" w14:textId="77777777" w:rsidR="000815D0" w:rsidRDefault="000815D0" w:rsidP="001D2A9B">
      <w:pPr>
        <w:spacing w:after="0" w:line="240" w:lineRule="auto"/>
      </w:pPr>
      <w:r>
        <w:separator/>
      </w:r>
    </w:p>
  </w:endnote>
  <w:endnote w:type="continuationSeparator" w:id="0">
    <w:p w14:paraId="73FD77AF" w14:textId="77777777" w:rsidR="000815D0" w:rsidRDefault="000815D0" w:rsidP="001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7CF5" w14:textId="77777777" w:rsidR="001D2A9B" w:rsidRDefault="001D2A9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0194" w14:textId="77777777" w:rsidR="001D2A9B" w:rsidRDefault="001D2A9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B32E" w14:textId="77777777" w:rsidR="001D2A9B" w:rsidRDefault="001D2A9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5D03" w14:textId="77777777" w:rsidR="000815D0" w:rsidRDefault="000815D0" w:rsidP="001D2A9B">
      <w:pPr>
        <w:spacing w:after="0" w:line="240" w:lineRule="auto"/>
      </w:pPr>
      <w:r>
        <w:separator/>
      </w:r>
    </w:p>
  </w:footnote>
  <w:footnote w:type="continuationSeparator" w:id="0">
    <w:p w14:paraId="065D108D" w14:textId="77777777" w:rsidR="000815D0" w:rsidRDefault="000815D0" w:rsidP="001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AA37" w14:textId="2A3FEC9B" w:rsidR="001D2A9B" w:rsidRDefault="000815D0">
    <w:pPr>
      <w:pStyle w:val="stBilgi"/>
    </w:pPr>
    <w:r>
      <w:rPr>
        <w:noProof/>
      </w:rPr>
      <w:pict w14:anchorId="6465A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51A8" w14:textId="5AA027B6" w:rsidR="001D2A9B" w:rsidRDefault="000815D0">
    <w:pPr>
      <w:pStyle w:val="stBilgi"/>
    </w:pPr>
    <w:r>
      <w:rPr>
        <w:noProof/>
      </w:rPr>
      <w:pict w14:anchorId="7825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FF7B" w14:textId="4F07200D" w:rsidR="001D2A9B" w:rsidRDefault="000815D0">
    <w:pPr>
      <w:pStyle w:val="stBilgi"/>
    </w:pPr>
    <w:r>
      <w:rPr>
        <w:noProof/>
      </w:rPr>
      <w:pict w14:anchorId="16C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5C8E"/>
    <w:multiLevelType w:val="multilevel"/>
    <w:tmpl w:val="E83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2476D"/>
    <w:multiLevelType w:val="multilevel"/>
    <w:tmpl w:val="B74C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2B6D"/>
    <w:multiLevelType w:val="multilevel"/>
    <w:tmpl w:val="3952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025D0"/>
    <w:multiLevelType w:val="multilevel"/>
    <w:tmpl w:val="881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12724"/>
    <w:multiLevelType w:val="hybridMultilevel"/>
    <w:tmpl w:val="5D88ADEC"/>
    <w:lvl w:ilvl="0" w:tplc="81AAE7F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A0056"/>
    <w:multiLevelType w:val="multilevel"/>
    <w:tmpl w:val="60F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337B9"/>
    <w:multiLevelType w:val="multilevel"/>
    <w:tmpl w:val="EE0C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LG0NDUztjQ2NzMBYiUdpeDU4uLM/DyQAqNaAIloFYEsAAAA"/>
  </w:docVars>
  <w:rsids>
    <w:rsidRoot w:val="003741A2"/>
    <w:rsid w:val="0000508E"/>
    <w:rsid w:val="0002192E"/>
    <w:rsid w:val="00032DC6"/>
    <w:rsid w:val="00063000"/>
    <w:rsid w:val="000815D0"/>
    <w:rsid w:val="0008517A"/>
    <w:rsid w:val="000B3A77"/>
    <w:rsid w:val="000E102D"/>
    <w:rsid w:val="000F5868"/>
    <w:rsid w:val="00171C76"/>
    <w:rsid w:val="00177E5C"/>
    <w:rsid w:val="00180EE7"/>
    <w:rsid w:val="0018436F"/>
    <w:rsid w:val="001917AA"/>
    <w:rsid w:val="001C32D5"/>
    <w:rsid w:val="001D2A9B"/>
    <w:rsid w:val="00231FFD"/>
    <w:rsid w:val="00241107"/>
    <w:rsid w:val="002E5781"/>
    <w:rsid w:val="00364FA4"/>
    <w:rsid w:val="00365975"/>
    <w:rsid w:val="00373374"/>
    <w:rsid w:val="003741A2"/>
    <w:rsid w:val="004211EC"/>
    <w:rsid w:val="004308BD"/>
    <w:rsid w:val="00540895"/>
    <w:rsid w:val="005945FD"/>
    <w:rsid w:val="005E7033"/>
    <w:rsid w:val="00662F14"/>
    <w:rsid w:val="006E3CE1"/>
    <w:rsid w:val="006F6F51"/>
    <w:rsid w:val="00717331"/>
    <w:rsid w:val="007322AB"/>
    <w:rsid w:val="007531A6"/>
    <w:rsid w:val="007573E2"/>
    <w:rsid w:val="007F1DFF"/>
    <w:rsid w:val="00856FF7"/>
    <w:rsid w:val="008A330D"/>
    <w:rsid w:val="008C08A9"/>
    <w:rsid w:val="008C0F8B"/>
    <w:rsid w:val="009250A6"/>
    <w:rsid w:val="009879DC"/>
    <w:rsid w:val="00A25FC9"/>
    <w:rsid w:val="00A33DB4"/>
    <w:rsid w:val="00AA1CB7"/>
    <w:rsid w:val="00AD79EE"/>
    <w:rsid w:val="00AF0D99"/>
    <w:rsid w:val="00B426DC"/>
    <w:rsid w:val="00BA7FDC"/>
    <w:rsid w:val="00C84601"/>
    <w:rsid w:val="00CF5D0D"/>
    <w:rsid w:val="00CF6A89"/>
    <w:rsid w:val="00D34B25"/>
    <w:rsid w:val="00D41C35"/>
    <w:rsid w:val="00D45DCB"/>
    <w:rsid w:val="00D53FE9"/>
    <w:rsid w:val="00D803B6"/>
    <w:rsid w:val="00E50693"/>
    <w:rsid w:val="00E64F60"/>
    <w:rsid w:val="00EF429A"/>
    <w:rsid w:val="00FA0F61"/>
    <w:rsid w:val="00FC0035"/>
    <w:rsid w:val="00FD143B"/>
    <w:rsid w:val="00FF0E93"/>
    <w:rsid w:val="00FF3356"/>
    <w:rsid w:val="00FF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4FF144"/>
  <w15:docId w15:val="{519F2F56-A3B6-41EC-8857-322C9B5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7A"/>
  </w:style>
  <w:style w:type="paragraph" w:styleId="Balk3">
    <w:name w:val="heading 3"/>
    <w:basedOn w:val="Normal"/>
    <w:link w:val="Balk3Char"/>
    <w:uiPriority w:val="9"/>
    <w:qFormat/>
    <w:rsid w:val="0037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37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741A2"/>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3741A2"/>
    <w:rPr>
      <w:rFonts w:ascii="Times New Roman" w:eastAsia="Times New Roman" w:hAnsi="Times New Roman" w:cs="Times New Roman"/>
      <w:b/>
      <w:bCs/>
      <w:sz w:val="24"/>
      <w:szCs w:val="24"/>
    </w:rPr>
  </w:style>
  <w:style w:type="paragraph" w:styleId="NormalWeb">
    <w:name w:val="Normal (Web)"/>
    <w:basedOn w:val="Normal"/>
    <w:uiPriority w:val="99"/>
    <w:unhideWhenUsed/>
    <w:rsid w:val="003741A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741A2"/>
    <w:rPr>
      <w:b/>
      <w:bCs/>
    </w:rPr>
  </w:style>
  <w:style w:type="character" w:styleId="Vurgu">
    <w:name w:val="Emphasis"/>
    <w:basedOn w:val="VarsaylanParagrafYazTipi"/>
    <w:uiPriority w:val="20"/>
    <w:qFormat/>
    <w:rsid w:val="003741A2"/>
    <w:rPr>
      <w:i/>
      <w:iCs/>
    </w:rPr>
  </w:style>
  <w:style w:type="paragraph" w:customStyle="1" w:styleId="Default">
    <w:name w:val="Default"/>
    <w:rsid w:val="003741A2"/>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eParagraf">
    <w:name w:val="List Paragraph"/>
    <w:basedOn w:val="Normal"/>
    <w:uiPriority w:val="34"/>
    <w:qFormat/>
    <w:rsid w:val="003741A2"/>
    <w:pPr>
      <w:ind w:left="720"/>
      <w:contextualSpacing/>
    </w:pPr>
  </w:style>
  <w:style w:type="table" w:styleId="TabloKlavuzu">
    <w:name w:val="Table Grid"/>
    <w:basedOn w:val="NormalTablo"/>
    <w:uiPriority w:val="39"/>
    <w:rsid w:val="00FF0E93"/>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5945FD"/>
    <w:rPr>
      <w:color w:val="0000FF" w:themeColor="hyperlink"/>
      <w:u w:val="single"/>
    </w:rPr>
  </w:style>
  <w:style w:type="character" w:customStyle="1" w:styleId="ms-1">
    <w:name w:val="ms-1"/>
    <w:basedOn w:val="VarsaylanParagrafYazTipi"/>
    <w:rsid w:val="00373374"/>
  </w:style>
  <w:style w:type="character" w:customStyle="1" w:styleId="max-w-15ch">
    <w:name w:val="max-w-[15ch]"/>
    <w:basedOn w:val="VarsaylanParagrafYazTipi"/>
    <w:rsid w:val="00373374"/>
  </w:style>
  <w:style w:type="character" w:customStyle="1" w:styleId="-me-1">
    <w:name w:val="-me-1"/>
    <w:basedOn w:val="VarsaylanParagrafYazTipi"/>
    <w:rsid w:val="00373374"/>
  </w:style>
  <w:style w:type="character" w:customStyle="1" w:styleId="UnresolvedMention">
    <w:name w:val="Unresolved Mention"/>
    <w:basedOn w:val="VarsaylanParagrafYazTipi"/>
    <w:uiPriority w:val="99"/>
    <w:semiHidden/>
    <w:unhideWhenUsed/>
    <w:rsid w:val="00AD79EE"/>
    <w:rPr>
      <w:color w:val="605E5C"/>
      <w:shd w:val="clear" w:color="auto" w:fill="E1DFDD"/>
    </w:rPr>
  </w:style>
  <w:style w:type="paragraph" w:styleId="stBilgi">
    <w:name w:val="header"/>
    <w:basedOn w:val="Normal"/>
    <w:link w:val="stBilgiChar"/>
    <w:uiPriority w:val="99"/>
    <w:unhideWhenUsed/>
    <w:rsid w:val="001D2A9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D2A9B"/>
  </w:style>
  <w:style w:type="paragraph" w:styleId="AltBilgi">
    <w:name w:val="footer"/>
    <w:basedOn w:val="Normal"/>
    <w:link w:val="AltBilgiChar"/>
    <w:uiPriority w:val="99"/>
    <w:unhideWhenUsed/>
    <w:rsid w:val="001D2A9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D2A9B"/>
  </w:style>
  <w:style w:type="paragraph" w:styleId="Dzeltme">
    <w:name w:val="Revision"/>
    <w:hidden/>
    <w:uiPriority w:val="99"/>
    <w:semiHidden/>
    <w:rsid w:val="00757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22397">
      <w:bodyDiv w:val="1"/>
      <w:marLeft w:val="0"/>
      <w:marRight w:val="0"/>
      <w:marTop w:val="0"/>
      <w:marBottom w:val="0"/>
      <w:divBdr>
        <w:top w:val="none" w:sz="0" w:space="0" w:color="auto"/>
        <w:left w:val="none" w:sz="0" w:space="0" w:color="auto"/>
        <w:bottom w:val="none" w:sz="0" w:space="0" w:color="auto"/>
        <w:right w:val="none" w:sz="0" w:space="0" w:color="auto"/>
      </w:divBdr>
    </w:div>
    <w:div w:id="1206528963">
      <w:bodyDiv w:val="1"/>
      <w:marLeft w:val="0"/>
      <w:marRight w:val="0"/>
      <w:marTop w:val="0"/>
      <w:marBottom w:val="0"/>
      <w:divBdr>
        <w:top w:val="none" w:sz="0" w:space="0" w:color="auto"/>
        <w:left w:val="none" w:sz="0" w:space="0" w:color="auto"/>
        <w:bottom w:val="none" w:sz="0" w:space="0" w:color="auto"/>
        <w:right w:val="none" w:sz="0" w:space="0" w:color="auto"/>
      </w:divBdr>
    </w:div>
    <w:div w:id="1480803589">
      <w:bodyDiv w:val="1"/>
      <w:marLeft w:val="0"/>
      <w:marRight w:val="0"/>
      <w:marTop w:val="0"/>
      <w:marBottom w:val="0"/>
      <w:divBdr>
        <w:top w:val="none" w:sz="0" w:space="0" w:color="auto"/>
        <w:left w:val="none" w:sz="0" w:space="0" w:color="auto"/>
        <w:bottom w:val="none" w:sz="0" w:space="0" w:color="auto"/>
        <w:right w:val="none" w:sz="0" w:space="0" w:color="auto"/>
      </w:divBdr>
    </w:div>
    <w:div w:id="1775511246">
      <w:bodyDiv w:val="1"/>
      <w:marLeft w:val="0"/>
      <w:marRight w:val="0"/>
      <w:marTop w:val="0"/>
      <w:marBottom w:val="0"/>
      <w:divBdr>
        <w:top w:val="none" w:sz="0" w:space="0" w:color="auto"/>
        <w:left w:val="none" w:sz="0" w:space="0" w:color="auto"/>
        <w:bottom w:val="none" w:sz="0" w:space="0" w:color="auto"/>
        <w:right w:val="none" w:sz="0" w:space="0" w:color="auto"/>
      </w:divBdr>
      <w:divsChild>
        <w:div w:id="357314655">
          <w:marLeft w:val="0"/>
          <w:marRight w:val="0"/>
          <w:marTop w:val="0"/>
          <w:marBottom w:val="0"/>
          <w:divBdr>
            <w:top w:val="none" w:sz="0" w:space="0" w:color="auto"/>
            <w:left w:val="none" w:sz="0" w:space="0" w:color="auto"/>
            <w:bottom w:val="none" w:sz="0" w:space="0" w:color="auto"/>
            <w:right w:val="none" w:sz="0" w:space="0" w:color="auto"/>
          </w:divBdr>
        </w:div>
        <w:div w:id="1156409392">
          <w:marLeft w:val="0"/>
          <w:marRight w:val="0"/>
          <w:marTop w:val="0"/>
          <w:marBottom w:val="0"/>
          <w:divBdr>
            <w:top w:val="none" w:sz="0" w:space="0" w:color="auto"/>
            <w:left w:val="none" w:sz="0" w:space="0" w:color="auto"/>
            <w:bottom w:val="none" w:sz="0" w:space="0" w:color="auto"/>
            <w:right w:val="none" w:sz="0" w:space="0" w:color="auto"/>
          </w:divBdr>
        </w:div>
        <w:div w:id="46242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AD0A7-3FE7-4FBF-8AEF-7B50523B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2558</Words>
  <Characters>14585</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Turhan</cp:lastModifiedBy>
  <cp:revision>44</cp:revision>
  <dcterms:created xsi:type="dcterms:W3CDTF">2025-03-16T07:04:00Z</dcterms:created>
  <dcterms:modified xsi:type="dcterms:W3CDTF">2025-10-17T11:17:00Z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46a16751-fea9-44ce-ba5a-9805429a0c7d</vt:lpwstr>
  </property>
</Properties>
</file>