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7C02F" w14:textId="65F26AA9" w:rsidR="00CB130B" w:rsidRDefault="00771007" w:rsidP="00A26E78">
      <w:pPr>
        <w:jc w:val="center"/>
        <w:rPr>
          <w:b/>
          <w:lang w:val="en-US"/>
        </w:rPr>
      </w:pPr>
      <w:r>
        <w:rPr>
          <w:b/>
          <w:lang w:val="en-US"/>
        </w:rPr>
        <w:t xml:space="preserve">Gender </w:t>
      </w:r>
      <w:r w:rsidR="00A804B4">
        <w:rPr>
          <w:b/>
          <w:lang w:val="en-US"/>
        </w:rPr>
        <w:t>d</w:t>
      </w:r>
      <w:r>
        <w:rPr>
          <w:b/>
          <w:lang w:val="en-US"/>
        </w:rPr>
        <w:t>isparities in</w:t>
      </w:r>
      <w:r w:rsidR="00A26E78" w:rsidRPr="00A26E78">
        <w:rPr>
          <w:b/>
          <w:lang w:val="en-US"/>
        </w:rPr>
        <w:t xml:space="preserve"> lending and income generation</w:t>
      </w:r>
      <w:r w:rsidR="00A804B4">
        <w:rPr>
          <w:b/>
          <w:lang w:val="en-US"/>
        </w:rPr>
        <w:t>:</w:t>
      </w:r>
      <w:r w:rsidR="00A26E78" w:rsidRPr="00A26E78">
        <w:rPr>
          <w:b/>
          <w:lang w:val="en-US"/>
        </w:rPr>
        <w:t xml:space="preserve"> </w:t>
      </w:r>
      <w:r w:rsidR="00A804B4">
        <w:rPr>
          <w:b/>
          <w:lang w:val="en-US"/>
        </w:rPr>
        <w:t>evidence from</w:t>
      </w:r>
      <w:r w:rsidR="00A26E78" w:rsidRPr="00A26E78">
        <w:rPr>
          <w:b/>
          <w:lang w:val="en-US"/>
        </w:rPr>
        <w:t xml:space="preserve"> entrepr</w:t>
      </w:r>
      <w:r w:rsidR="00A804B4">
        <w:rPr>
          <w:b/>
          <w:lang w:val="en-US"/>
        </w:rPr>
        <w:t>eneurs in the city of Kisangani, Democratic Republic of Congo</w:t>
      </w:r>
      <w:bookmarkStart w:id="0" w:name="_GoBack"/>
      <w:bookmarkEnd w:id="0"/>
    </w:p>
    <w:p w14:paraId="73D200A2" w14:textId="77777777" w:rsidR="007B5AF3" w:rsidRPr="00510FA8" w:rsidRDefault="007B5AF3" w:rsidP="00511C73">
      <w:pPr>
        <w:jc w:val="center"/>
        <w:rPr>
          <w:lang w:val="en-US"/>
        </w:rPr>
      </w:pPr>
    </w:p>
    <w:p w14:paraId="7B5C1186" w14:textId="77777777" w:rsidR="00A26E78" w:rsidRPr="00510FA8" w:rsidRDefault="00A26E78" w:rsidP="00A26E78">
      <w:pPr>
        <w:rPr>
          <w:b/>
          <w:lang w:val="en-US"/>
        </w:rPr>
      </w:pPr>
    </w:p>
    <w:p w14:paraId="161940E9" w14:textId="77777777" w:rsidR="00A26E78" w:rsidRDefault="00A26E78" w:rsidP="00A26E78">
      <w:pPr>
        <w:pStyle w:val="Titre1"/>
        <w:rPr>
          <w:lang w:val="en-US"/>
        </w:rPr>
      </w:pPr>
      <w:r>
        <w:rPr>
          <w:lang w:val="en-US"/>
        </w:rPr>
        <w:t>Abstract</w:t>
      </w:r>
    </w:p>
    <w:p w14:paraId="61DBEE9A" w14:textId="77777777" w:rsidR="00A26E78" w:rsidRDefault="009C6F9D" w:rsidP="009C6F9D">
      <w:pPr>
        <w:ind w:firstLine="567"/>
        <w:rPr>
          <w:lang w:val="en-US"/>
        </w:rPr>
      </w:pPr>
      <w:r w:rsidRPr="009C6F9D">
        <w:rPr>
          <w:lang w:val="en-US"/>
        </w:rPr>
        <w:t xml:space="preserve">This study examines the effect of gender on lending and income generation among small and medium-sized enterprises (SMEs) in Kisangani, Democratic Republic of Congo, </w:t>
      </w:r>
      <w:proofErr w:type="gramStart"/>
      <w:r w:rsidRPr="009C6F9D">
        <w:rPr>
          <w:lang w:val="en-US"/>
        </w:rPr>
        <w:t>using</w:t>
      </w:r>
      <w:proofErr w:type="gramEnd"/>
      <w:r w:rsidRPr="009C6F9D">
        <w:rPr>
          <w:lang w:val="en-US"/>
        </w:rPr>
        <w:t xml:space="preserve"> descriptive evidence from 267 enterprises across commerce, production, and services. The findings reveal that while female entrepreneurs were more likely than their male counterparts to provide collateral, this effort did not translate into improved loan access, as both groups experienced similarly low approval rates under the conservative and risk-averse practices of commercial banks. Despite these financing barriers, female-led SMEs demonstrated comparable revenue performance to male-led enterprises, underscoring their economic viability and potential contribution to local development. This paradox highlights the persistence of gender-based disparities in financial systems, where women’s creditworthiness and </w:t>
      </w:r>
      <w:proofErr w:type="gramStart"/>
      <w:r w:rsidRPr="009C6F9D">
        <w:rPr>
          <w:lang w:val="en-US"/>
        </w:rPr>
        <w:t>entrepreneurial</w:t>
      </w:r>
      <w:proofErr w:type="gramEnd"/>
      <w:r w:rsidRPr="009C6F9D">
        <w:rPr>
          <w:lang w:val="en-US"/>
        </w:rPr>
        <w:t xml:space="preserve"> capabilities remain undervalued, echoing trends observed across Sub-Saharan Africa. The study contributes to the literature by offering localized insights into the structural dynamics of credit access and gendered entrepreneurship in Kisangani, while also emphasizing the importance of gender-responsive financial policies. Based on these findings, it proposes more inclusive lending practices, alternative collateral frameworks, and supportive policy mechanisms to foster equitable financial access and unlock the full growth potential of SMEs as engines of sustainable and inclusive economic development in the region.</w:t>
      </w:r>
    </w:p>
    <w:p w14:paraId="4D5D807B" w14:textId="77777777" w:rsidR="00AF12CE" w:rsidRDefault="00AF12CE" w:rsidP="009C6F9D">
      <w:pPr>
        <w:ind w:firstLine="567"/>
        <w:rPr>
          <w:lang w:val="en-US"/>
        </w:rPr>
      </w:pPr>
    </w:p>
    <w:p w14:paraId="1716D62A" w14:textId="77777777" w:rsidR="00AF12CE" w:rsidRPr="00884E5A" w:rsidRDefault="00AF12CE" w:rsidP="009C6F9D">
      <w:pPr>
        <w:ind w:firstLine="567"/>
        <w:rPr>
          <w:lang w:val="en-US"/>
        </w:rPr>
      </w:pPr>
      <w:r w:rsidRPr="00884E5A">
        <w:rPr>
          <w:b/>
          <w:lang w:val="en-US"/>
        </w:rPr>
        <w:t>Keywords:</w:t>
      </w:r>
      <w:r w:rsidR="00884E5A" w:rsidRPr="00884E5A">
        <w:rPr>
          <w:lang w:val="en-US"/>
        </w:rPr>
        <w:t xml:space="preserve"> Gender, lending, income g</w:t>
      </w:r>
      <w:r w:rsidR="00884E5A">
        <w:rPr>
          <w:lang w:val="en-US"/>
        </w:rPr>
        <w:t xml:space="preserve">eneration, SMEs, Kisangani, </w:t>
      </w:r>
      <w:r w:rsidR="00884E5A" w:rsidRPr="009C6F9D">
        <w:rPr>
          <w:lang w:val="en-US"/>
        </w:rPr>
        <w:t>Democratic Republic of Congo</w:t>
      </w:r>
    </w:p>
    <w:p w14:paraId="6222B6D0" w14:textId="77777777" w:rsidR="00AF12CE" w:rsidRPr="00884E5A" w:rsidRDefault="00AF12CE" w:rsidP="009C6F9D">
      <w:pPr>
        <w:ind w:firstLine="567"/>
      </w:pPr>
      <w:r w:rsidRPr="00E100F4">
        <w:rPr>
          <w:b/>
        </w:rPr>
        <w:t xml:space="preserve">JEL </w:t>
      </w:r>
      <w:proofErr w:type="gramStart"/>
      <w:r w:rsidRPr="00E100F4">
        <w:rPr>
          <w:b/>
        </w:rPr>
        <w:t>classification:</w:t>
      </w:r>
      <w:proofErr w:type="gramEnd"/>
      <w:r w:rsidR="00E100F4">
        <w:t xml:space="preserve"> G21, J16, M13, O55</w:t>
      </w:r>
    </w:p>
    <w:p w14:paraId="68CC342F" w14:textId="77777777" w:rsidR="00A26E78" w:rsidRPr="00884E5A" w:rsidRDefault="00A26E78" w:rsidP="00A26E78">
      <w:r w:rsidRPr="00884E5A">
        <w:br w:type="page"/>
      </w:r>
    </w:p>
    <w:p w14:paraId="7CFADB1E" w14:textId="77777777" w:rsidR="00A26E78" w:rsidRDefault="00A26E78" w:rsidP="000D1863">
      <w:pPr>
        <w:pStyle w:val="Titre1"/>
        <w:numPr>
          <w:ilvl w:val="0"/>
          <w:numId w:val="1"/>
        </w:numPr>
        <w:rPr>
          <w:lang w:val="en-US"/>
        </w:rPr>
      </w:pPr>
      <w:r>
        <w:rPr>
          <w:lang w:val="en-US"/>
        </w:rPr>
        <w:lastRenderedPageBreak/>
        <w:t>Introduction</w:t>
      </w:r>
    </w:p>
    <w:p w14:paraId="3EB50B41" w14:textId="77777777" w:rsidR="00354A98" w:rsidRPr="00354A98" w:rsidRDefault="00354A98" w:rsidP="00354A98">
      <w:pPr>
        <w:ind w:firstLine="567"/>
        <w:rPr>
          <w:lang w:val="en-US"/>
        </w:rPr>
      </w:pPr>
      <w:r w:rsidRPr="00354A98">
        <w:rPr>
          <w:lang w:val="en-US"/>
        </w:rPr>
        <w:t>Entrepreneurship has in</w:t>
      </w:r>
      <w:r w:rsidR="0051461A">
        <w:rPr>
          <w:lang w:val="en-US"/>
        </w:rPr>
        <w:t>creasingly been recognized as a</w:t>
      </w:r>
      <w:r w:rsidRPr="00354A98">
        <w:rPr>
          <w:lang w:val="en-US"/>
        </w:rPr>
        <w:t xml:space="preserve"> driver of economic growth, poverty alleviation, and job creation in Sub-Saharan Africa, particularly in fragile economies such as the Democratic Republic of Congo (DRC) where formal employment opportunities remain limited (</w:t>
      </w:r>
      <w:proofErr w:type="spellStart"/>
      <w:r w:rsidRPr="00354A98">
        <w:rPr>
          <w:lang w:val="en-US"/>
        </w:rPr>
        <w:t>Acs</w:t>
      </w:r>
      <w:proofErr w:type="spellEnd"/>
      <w:r w:rsidRPr="00354A98">
        <w:rPr>
          <w:lang w:val="en-US"/>
        </w:rPr>
        <w:t xml:space="preserve"> et al., 2018; </w:t>
      </w:r>
      <w:proofErr w:type="spellStart"/>
      <w:r w:rsidRPr="00354A98">
        <w:rPr>
          <w:lang w:val="en-US"/>
        </w:rPr>
        <w:t>Minniti</w:t>
      </w:r>
      <w:proofErr w:type="spellEnd"/>
      <w:r w:rsidRPr="00354A98">
        <w:rPr>
          <w:lang w:val="en-US"/>
        </w:rPr>
        <w:t xml:space="preserve"> &amp; </w:t>
      </w:r>
      <w:proofErr w:type="spellStart"/>
      <w:r w:rsidRPr="00354A98">
        <w:rPr>
          <w:lang w:val="en-US"/>
        </w:rPr>
        <w:t>Naudé</w:t>
      </w:r>
      <w:proofErr w:type="spellEnd"/>
      <w:r w:rsidRPr="00354A98">
        <w:rPr>
          <w:lang w:val="en-US"/>
        </w:rPr>
        <w:t>, 2010). In this context, small-scale enterprises play a central role in sustaining livelihoods, especially in urban areas like Kisangani, where entrepreneurs navigate challenging socio-economic conditions marked by weak infrastructure, institutional fragility, and limited access to finance (</w:t>
      </w:r>
      <w:r w:rsidR="00B83F76">
        <w:rPr>
          <w:lang w:val="en-US"/>
        </w:rPr>
        <w:t>Business</w:t>
      </w:r>
      <w:r w:rsidRPr="00354A98">
        <w:rPr>
          <w:lang w:val="en-US"/>
        </w:rPr>
        <w:t>, 2020). Lending is a vital enabler of entrepreneurial activity, providing the capital required for business start-up, expansion, and resilience in the face of shocks. Yet, access to credit remains uneven, with gender emerging as a significant determinant of loan acquisition and utilization, particularly in African economies where women are often disproportionately constrained by structural and socio-cultural barriers (</w:t>
      </w:r>
      <w:proofErr w:type="spellStart"/>
      <w:r w:rsidRPr="00354A98">
        <w:rPr>
          <w:lang w:val="en-US"/>
        </w:rPr>
        <w:t>Fowowe</w:t>
      </w:r>
      <w:proofErr w:type="spellEnd"/>
      <w:r w:rsidRPr="00354A98">
        <w:rPr>
          <w:lang w:val="en-US"/>
        </w:rPr>
        <w:t>, 2017). Women entrepreneurs in Kisangani, despite being actively involved in trade and microenterprises, often face difficulties in securing credit due to perceptions of higher risk, lack of collateral, and discriminatory practices in lending institutions (</w:t>
      </w:r>
      <w:proofErr w:type="spellStart"/>
      <w:r w:rsidRPr="00354A98">
        <w:rPr>
          <w:lang w:val="en-US"/>
        </w:rPr>
        <w:t>Demirgüç-Kunt</w:t>
      </w:r>
      <w:proofErr w:type="spellEnd"/>
      <w:r w:rsidRPr="00354A98">
        <w:rPr>
          <w:lang w:val="en-US"/>
        </w:rPr>
        <w:t xml:space="preserve"> et al., 2022). This paradox is troubling, given that women have demonstrated significant repayment discipline and business commitment in microfinance programs across developing countries (</w:t>
      </w:r>
      <w:proofErr w:type="spellStart"/>
      <w:r w:rsidRPr="00354A98">
        <w:rPr>
          <w:lang w:val="en-US"/>
        </w:rPr>
        <w:t>D’Espallier</w:t>
      </w:r>
      <w:proofErr w:type="spellEnd"/>
      <w:r w:rsidRPr="00354A98">
        <w:rPr>
          <w:lang w:val="en-US"/>
        </w:rPr>
        <w:t xml:space="preserve"> et al., 2011), raising the question of whether gender-based disparities in lending outcomes translate into differential effects on income generation in the DRC context.</w:t>
      </w:r>
    </w:p>
    <w:p w14:paraId="427D921B" w14:textId="002434E5" w:rsidR="00A26E78" w:rsidRDefault="00354A98" w:rsidP="002D3B93">
      <w:pPr>
        <w:ind w:firstLine="567"/>
        <w:rPr>
          <w:lang w:val="en-US"/>
        </w:rPr>
      </w:pPr>
      <w:r w:rsidRPr="00354A98">
        <w:rPr>
          <w:lang w:val="en-US"/>
        </w:rPr>
        <w:t>The problem is compounded by the fact that, although entrepreneurship has been promoted as a pathway toward inclusive development, the persistent gender gap in financial access undermines its transformative</w:t>
      </w:r>
      <w:r w:rsidR="001E2AAF">
        <w:rPr>
          <w:lang w:val="en-US"/>
        </w:rPr>
        <w:t xml:space="preserve"> potential (</w:t>
      </w:r>
      <w:proofErr w:type="spellStart"/>
      <w:r w:rsidR="001E2AAF">
        <w:rPr>
          <w:lang w:val="en-US"/>
        </w:rPr>
        <w:t>Aterido</w:t>
      </w:r>
      <w:proofErr w:type="spellEnd"/>
      <w:r w:rsidR="001E2AAF">
        <w:rPr>
          <w:lang w:val="en-US"/>
        </w:rPr>
        <w:t xml:space="preserve"> et al., 2011</w:t>
      </w:r>
      <w:r w:rsidR="007014D4">
        <w:rPr>
          <w:lang w:val="en-US"/>
        </w:rPr>
        <w:t xml:space="preserve">; </w:t>
      </w:r>
      <w:r w:rsidR="007014D4" w:rsidRPr="00E62B11">
        <w:rPr>
          <w:rFonts w:eastAsia="Times New Roman" w:cs="Times New Roman"/>
          <w:szCs w:val="24"/>
          <w:lang w:val="en-US" w:eastAsia="fr-FR"/>
        </w:rPr>
        <w:t>Kelly</w:t>
      </w:r>
      <w:r w:rsidR="007014D4">
        <w:rPr>
          <w:rFonts w:eastAsia="Times New Roman" w:cs="Times New Roman"/>
          <w:szCs w:val="24"/>
          <w:lang w:val="en-US" w:eastAsia="fr-FR"/>
        </w:rPr>
        <w:t xml:space="preserve"> &amp; </w:t>
      </w:r>
      <w:proofErr w:type="spellStart"/>
      <w:r w:rsidR="007014D4">
        <w:rPr>
          <w:rFonts w:eastAsia="Times New Roman" w:cs="Times New Roman"/>
          <w:szCs w:val="24"/>
          <w:lang w:val="en-US" w:eastAsia="fr-FR"/>
        </w:rPr>
        <w:t>Ndeffo</w:t>
      </w:r>
      <w:proofErr w:type="spellEnd"/>
      <w:r w:rsidR="007014D4">
        <w:rPr>
          <w:rFonts w:eastAsia="Times New Roman" w:cs="Times New Roman"/>
          <w:szCs w:val="24"/>
          <w:lang w:val="en-US" w:eastAsia="fr-FR"/>
        </w:rPr>
        <w:t xml:space="preserve">, </w:t>
      </w:r>
      <w:r w:rsidR="007014D4" w:rsidRPr="00E62B11">
        <w:rPr>
          <w:rFonts w:eastAsia="Times New Roman" w:cs="Times New Roman"/>
          <w:szCs w:val="24"/>
          <w:lang w:val="en-US" w:eastAsia="fr-FR"/>
        </w:rPr>
        <w:t>2025</w:t>
      </w:r>
      <w:r w:rsidRPr="00354A98">
        <w:rPr>
          <w:lang w:val="en-US"/>
        </w:rPr>
        <w:t>). In Kisangani, anecdotal evidence suggests that while men often benefit from larger loans and easier negotiation processes with banks and m</w:t>
      </w:r>
      <w:r w:rsidR="00E92620">
        <w:rPr>
          <w:lang w:val="en-US"/>
        </w:rPr>
        <w:t xml:space="preserve">icrofinance institutions, women </w:t>
      </w:r>
      <w:r w:rsidRPr="00354A98">
        <w:rPr>
          <w:lang w:val="en-US"/>
        </w:rPr>
        <w:t xml:space="preserve">are restricted to smaller, short-term credit facilities, which may limit their capacity to scale up enterprises and enhance income generation. This creates a paradox whereby women are simultaneously central to household welfare and community sustenance, yet systematically disadvantaged in accessing financial resources critical for entrepreneurial success (Bruhn &amp; Love, 2014). Such contradictions necessitate empirical investigation into whether gender indeed conditions the relationship between lending and income generation among entrepreneurs in Kisangani. Therefore, the main objective of this study is to examine the effect of gender on lending and subsequent income outcomes of entrepreneurs in the city, thereby providing insights into the extent to which gender dynamics shape entrepreneurial trajectories. </w:t>
      </w:r>
    </w:p>
    <w:p w14:paraId="665AF950" w14:textId="77777777" w:rsidR="0023253C" w:rsidRPr="0023253C" w:rsidRDefault="0023253C" w:rsidP="0023253C">
      <w:pPr>
        <w:ind w:firstLine="567"/>
        <w:rPr>
          <w:lang w:val="en-US"/>
        </w:rPr>
      </w:pPr>
      <w:r w:rsidRPr="0023253C">
        <w:rPr>
          <w:lang w:val="en-US"/>
        </w:rPr>
        <w:lastRenderedPageBreak/>
        <w:t>In theoretical terms, the link between gender, access to lending, and entrepreneurial income generation is often explained through the dual frameworks of discrimination and differential endowments. Feminist economics and institutional theory posit that gendered disparities in economic outcomes are not a result of individual choices but of systemic barriers. The theory of discrimination, as outlined by Becker (</w:t>
      </w:r>
      <w:r w:rsidR="00487C8E">
        <w:rPr>
          <w:lang w:val="en-US"/>
        </w:rPr>
        <w:t>19</w:t>
      </w:r>
      <w:r w:rsidRPr="0023253C">
        <w:rPr>
          <w:lang w:val="en-US"/>
        </w:rPr>
        <w:t>7</w:t>
      </w:r>
      <w:r w:rsidR="00487C8E">
        <w:rPr>
          <w:lang w:val="en-US"/>
        </w:rPr>
        <w:t>1</w:t>
      </w:r>
      <w:r w:rsidRPr="0023253C">
        <w:rPr>
          <w:lang w:val="en-US"/>
        </w:rPr>
        <w:t>), suggests that lenders may hold prejudicial preferences, leading them to offer female entreprene</w:t>
      </w:r>
      <w:r w:rsidR="00487C8E">
        <w:rPr>
          <w:lang w:val="en-US"/>
        </w:rPr>
        <w:t xml:space="preserve">urs less favorable credit terms, </w:t>
      </w:r>
      <w:r w:rsidRPr="0023253C">
        <w:rPr>
          <w:lang w:val="en-US"/>
        </w:rPr>
        <w:t>higher interest rates or s</w:t>
      </w:r>
      <w:r w:rsidR="00487C8E">
        <w:rPr>
          <w:lang w:val="en-US"/>
        </w:rPr>
        <w:t xml:space="preserve">tricter collateral requirements, </w:t>
      </w:r>
      <w:r w:rsidRPr="0023253C">
        <w:rPr>
          <w:lang w:val="en-US"/>
        </w:rPr>
        <w:t>based on biased beliefs about women’s creditworthiness and business acumen, rather than objective risk assessments. This is frequently compounded by statistical discrimination (Phelps, 1972), where lenders, lacking perfect information, use gender as a proxy for unobservable characteristics, such as a higher perceived risk of business failure. Furthermore, structural theories emphasize differential endowments. Women entrepreneurs often operate within a distinct socio-economic context characterized by limited access to productive capital, networks, and markets, a concept explored by Brush et al. (2019) in their work on the gendered determinants of venture growth. Their businesses are frequently concentrated in highly competitive, low-profit sectors with lower capital requirements (the "crowding" hypothesis), which inherently constrains their income-generating potential. Empirically, a global body of evidence supports these theoretical claims, indicating that female-owned firms consistently receive smaller loan sizes and face higher borrowing costs than male-owned firms, even after controlling for factors like business size and age (</w:t>
      </w:r>
      <w:proofErr w:type="spellStart"/>
      <w:r w:rsidR="00A935D3" w:rsidRPr="0023253C">
        <w:rPr>
          <w:lang w:val="en-US"/>
        </w:rPr>
        <w:t>Aterido</w:t>
      </w:r>
      <w:proofErr w:type="spellEnd"/>
      <w:r w:rsidR="00A935D3" w:rsidRPr="0023253C">
        <w:rPr>
          <w:lang w:val="en-US"/>
        </w:rPr>
        <w:t xml:space="preserve"> et al., 2013</w:t>
      </w:r>
      <w:r w:rsidR="00A935D3">
        <w:rPr>
          <w:lang w:val="en-US"/>
        </w:rPr>
        <w:t xml:space="preserve">; </w:t>
      </w:r>
      <w:r w:rsidRPr="0023253C">
        <w:rPr>
          <w:lang w:val="en-US"/>
        </w:rPr>
        <w:t xml:space="preserve">Cole </w:t>
      </w:r>
      <w:r w:rsidR="00A935D3">
        <w:rPr>
          <w:lang w:val="en-US"/>
        </w:rPr>
        <w:t>et al., 2018</w:t>
      </w:r>
      <w:r w:rsidRPr="0023253C">
        <w:rPr>
          <w:lang w:val="en-US"/>
        </w:rPr>
        <w:t>).</w:t>
      </w:r>
    </w:p>
    <w:p w14:paraId="4B1B544B" w14:textId="77777777" w:rsidR="0023253C" w:rsidRDefault="0023253C" w:rsidP="0023253C">
      <w:pPr>
        <w:ind w:firstLine="567"/>
        <w:rPr>
          <w:lang w:val="en-US"/>
        </w:rPr>
      </w:pPr>
      <w:r w:rsidRPr="0023253C">
        <w:rPr>
          <w:lang w:val="en-US"/>
        </w:rPr>
        <w:t xml:space="preserve">Several empirical studies have attempted to explore facets of this gender-lending-income nexus, yet significant limitations remain, particularly in the context of a city like Kisangani in the </w:t>
      </w:r>
      <w:r w:rsidR="00BF4F51">
        <w:rPr>
          <w:lang w:val="en-US"/>
        </w:rPr>
        <w:t>DRC</w:t>
      </w:r>
      <w:r w:rsidRPr="0023253C">
        <w:rPr>
          <w:lang w:val="en-US"/>
        </w:rPr>
        <w:t xml:space="preserve">. </w:t>
      </w:r>
      <w:proofErr w:type="spellStart"/>
      <w:r w:rsidRPr="0023253C">
        <w:rPr>
          <w:lang w:val="en-US"/>
        </w:rPr>
        <w:t>Aterido</w:t>
      </w:r>
      <w:proofErr w:type="spellEnd"/>
      <w:r w:rsidR="00BF4F51">
        <w:rPr>
          <w:lang w:val="en-US"/>
        </w:rPr>
        <w:t xml:space="preserve"> et al.</w:t>
      </w:r>
      <w:r w:rsidRPr="0023253C">
        <w:rPr>
          <w:lang w:val="en-US"/>
        </w:rPr>
        <w:t xml:space="preserve"> (2013), in a comprehensive cross-country study, found that female-owned firms faced significantly higher financing obstacles, which in turn negatively affected their growth. However, such large-scale, multi-country analyses often mask critical regional and sub-national heterogeneities, applying a broad brush that cannot capture the unique institutional and cultural realities of a specific post-conflict, urban African setting. An</w:t>
      </w:r>
      <w:r w:rsidR="00345281">
        <w:rPr>
          <w:lang w:val="en-US"/>
        </w:rPr>
        <w:t xml:space="preserve">other seminal study by </w:t>
      </w:r>
      <w:proofErr w:type="spellStart"/>
      <w:r w:rsidR="00345281">
        <w:rPr>
          <w:lang w:val="en-US"/>
        </w:rPr>
        <w:t>Bardasi</w:t>
      </w:r>
      <w:proofErr w:type="spellEnd"/>
      <w:r w:rsidR="00345281">
        <w:rPr>
          <w:lang w:val="en-US"/>
        </w:rPr>
        <w:t xml:space="preserve"> et al. </w:t>
      </w:r>
      <w:r w:rsidRPr="0023253C">
        <w:rPr>
          <w:lang w:val="en-US"/>
        </w:rPr>
        <w:t xml:space="preserve">(2011) established a clear link between gender and profitability, but their focus was primarily on formal enterprises, overlooking the vast informal sector where a majority of entrepreneurs in Kisangani, particularly women, operate. The specific nexus of formal lending practices, informal income generation, and gender within a single urban economic ecosystem remains underexplored. The context of Kisangani is critical to this inquiry. As the third-largest city in the DRC and a major hub in the </w:t>
      </w:r>
      <w:proofErr w:type="spellStart"/>
      <w:r w:rsidRPr="0023253C">
        <w:rPr>
          <w:lang w:val="en-US"/>
        </w:rPr>
        <w:t>Tshopo</w:t>
      </w:r>
      <w:proofErr w:type="spellEnd"/>
      <w:r w:rsidRPr="0023253C">
        <w:rPr>
          <w:lang w:val="en-US"/>
        </w:rPr>
        <w:t xml:space="preserve"> province, its economy is characterized by a fragile post-conflict recovery, a dominant informal sector, and deeply </w:t>
      </w:r>
      <w:r w:rsidRPr="0023253C">
        <w:rPr>
          <w:lang w:val="en-US"/>
        </w:rPr>
        <w:lastRenderedPageBreak/>
        <w:t>entrenched patriarchal norms. Existing literature on gender and entrepreneurship in the DRC is scarce and often focuses on the national capital, Kinshasa, or the conflict-ridden East in broad terms, neglecting the specific economic dynamics of Kisangani. Therefore, a clear gap exists in the academic literature: a lack of empirical, context-specific research that investigates how gender directly influences the ability of entrepreneurs to secure formal credit and how that access, or lack thereof, subsequently impacts their income generation capabilities within the unique socio-economic environment of Kisangani, DRC. This study aims to fill that void by providing localized evidence to inform targeted policy and financial inclusion strategies.</w:t>
      </w:r>
    </w:p>
    <w:p w14:paraId="727DA01A" w14:textId="77777777" w:rsidR="00345281" w:rsidRDefault="00345281" w:rsidP="0023253C">
      <w:pPr>
        <w:ind w:firstLine="567"/>
        <w:rPr>
          <w:lang w:val="en-US"/>
        </w:rPr>
      </w:pPr>
      <w:r>
        <w:rPr>
          <w:lang w:val="en-US"/>
        </w:rPr>
        <w:t xml:space="preserve">As such, the present study </w:t>
      </w:r>
      <w:r w:rsidR="006A6ABB">
        <w:rPr>
          <w:lang w:val="en-US"/>
        </w:rPr>
        <w:t>contributes</w:t>
      </w:r>
      <w:r w:rsidR="00361A25">
        <w:rPr>
          <w:lang w:val="en-US"/>
        </w:rPr>
        <w:t xml:space="preserve"> </w:t>
      </w:r>
      <w:r w:rsidR="00361A25" w:rsidRPr="00361A25">
        <w:rPr>
          <w:lang w:val="en-US"/>
        </w:rPr>
        <w:t xml:space="preserve">to the literature on gender, finance, and entrepreneurship by providing novel empirical evidence on the intersection of gender, lending practices, and income generation among SMEs in Kisangani, </w:t>
      </w:r>
      <w:r w:rsidR="00E132F6">
        <w:rPr>
          <w:lang w:val="en-US"/>
        </w:rPr>
        <w:t>DRC</w:t>
      </w:r>
      <w:r w:rsidR="00361A25" w:rsidRPr="00361A25">
        <w:rPr>
          <w:lang w:val="en-US"/>
        </w:rPr>
        <w:t xml:space="preserve">, </w:t>
      </w:r>
      <w:proofErr w:type="gramStart"/>
      <w:r w:rsidR="00361A25" w:rsidRPr="00361A25">
        <w:rPr>
          <w:lang w:val="en-US"/>
        </w:rPr>
        <w:t>a</w:t>
      </w:r>
      <w:proofErr w:type="gramEnd"/>
      <w:r w:rsidR="00361A25" w:rsidRPr="00361A25">
        <w:rPr>
          <w:lang w:val="en-US"/>
        </w:rPr>
        <w:t xml:space="preserve"> context where limited research has been conducted. By employing a descriptive approach based on primary data from three leading commercial banks and 267 SMEs across commerce, production, and services, the study highlights both the persistence of gender-based disparities in credit access and the paradox of women’s demonstrated economic viability despite constrained financing opportunities. The findings enrich existing scholarship by showing that while women are more likely to provide collateral than men, this effort does not translate into greater loan access, reflecting risk-averse and restrictive banking practices. At the same time, the study demonstrates that female-led SMEs perform on par with their male counterparts in terms of revenue generation, underscoring the untapped potential of women entrepreneurs in Kisangani. In doing so, the study extends the evidence base on gendered financial inclusion in Sub-Saharan Africa, provides localized insights for the DRC’s SME sector, and advances the broader discourse on how gender-responsive financial systems can foster inclusive economic development.</w:t>
      </w:r>
    </w:p>
    <w:p w14:paraId="587403FF" w14:textId="77777777" w:rsidR="00714987" w:rsidRDefault="00081AE8" w:rsidP="001945DC">
      <w:pPr>
        <w:ind w:firstLine="567"/>
        <w:rPr>
          <w:lang w:val="en-US"/>
        </w:rPr>
      </w:pPr>
      <w:r w:rsidRPr="00C30394">
        <w:rPr>
          <w:lang w:val="en-US"/>
        </w:rPr>
        <w:t xml:space="preserve">The remainder of the paper is organized as follows: Section 2 reviews the relevant literature, Section 3 describes the </w:t>
      </w:r>
      <w:r w:rsidR="001945DC">
        <w:rPr>
          <w:lang w:val="en-US"/>
        </w:rPr>
        <w:t xml:space="preserve">material and method </w:t>
      </w:r>
      <w:r w:rsidRPr="00C30394">
        <w:rPr>
          <w:lang w:val="en-US"/>
        </w:rPr>
        <w:t xml:space="preserve">employed, Section 4 presents the findings, </w:t>
      </w:r>
      <w:r w:rsidR="001945DC">
        <w:rPr>
          <w:lang w:val="en-US"/>
        </w:rPr>
        <w:t xml:space="preserve">and </w:t>
      </w:r>
      <w:r w:rsidRPr="00C30394">
        <w:rPr>
          <w:lang w:val="en-US"/>
        </w:rPr>
        <w:t>discusses the results, and Section 5 concludes the study.</w:t>
      </w:r>
    </w:p>
    <w:p w14:paraId="75CA45E5" w14:textId="77777777" w:rsidR="00714987" w:rsidRDefault="00714987" w:rsidP="0023253C">
      <w:pPr>
        <w:ind w:firstLine="567"/>
        <w:rPr>
          <w:lang w:val="en-US"/>
        </w:rPr>
      </w:pPr>
    </w:p>
    <w:p w14:paraId="6BE8507C" w14:textId="77777777" w:rsidR="00714987" w:rsidRDefault="00714987" w:rsidP="000D1863">
      <w:pPr>
        <w:pStyle w:val="Titre1"/>
        <w:numPr>
          <w:ilvl w:val="0"/>
          <w:numId w:val="1"/>
        </w:numPr>
        <w:rPr>
          <w:lang w:val="en-US"/>
        </w:rPr>
      </w:pPr>
      <w:r>
        <w:rPr>
          <w:lang w:val="en-US"/>
        </w:rPr>
        <w:t>Review of Empirical Literature</w:t>
      </w:r>
    </w:p>
    <w:p w14:paraId="4A648D46" w14:textId="77777777" w:rsidR="00AD0487" w:rsidRDefault="003C54BD" w:rsidP="003C54BD">
      <w:pPr>
        <w:ind w:firstLine="567"/>
        <w:rPr>
          <w:lang w:val="en-US"/>
        </w:rPr>
      </w:pPr>
      <w:r w:rsidRPr="003C54BD">
        <w:rPr>
          <w:lang w:val="en-US"/>
        </w:rPr>
        <w:t xml:space="preserve">The existing literature on the nexus between gender, lending, and income generation can be broadly categorized into two interconnected strands. The first strand focuses on the influence of gender on access to credit, loan terms, and repayment behavior, examining how social, cultural, and institutional biases shape lending outcomes. </w:t>
      </w:r>
      <w:r w:rsidRPr="00AD0487">
        <w:rPr>
          <w:lang w:val="en-US"/>
        </w:rPr>
        <w:t xml:space="preserve">Studies in this category consistently reveal that gender interacts with other socio-economic factors to influence the terms, </w:t>
      </w:r>
      <w:r w:rsidRPr="00AD0487">
        <w:rPr>
          <w:lang w:val="en-US"/>
        </w:rPr>
        <w:lastRenderedPageBreak/>
        <w:t xml:space="preserve">accessibility, and effectiveness of credit for female borrowers. Beck et al. (2018), for example, analyzed borrower–loan officer interactions in Albania and documented the presence of own-gender bias, showing that first-time borrowers paired with officers of the opposite sex were less likely to return for subsequent loans, received smaller and shorter-maturity loans, and paid higher interest rates, although they did not experience higher arrears. Similarly, </w:t>
      </w:r>
      <w:proofErr w:type="spellStart"/>
      <w:r w:rsidRPr="00AD0487">
        <w:rPr>
          <w:lang w:val="en-US"/>
        </w:rPr>
        <w:t>Cozarenco</w:t>
      </w:r>
      <w:proofErr w:type="spellEnd"/>
      <w:r w:rsidRPr="00AD0487">
        <w:rPr>
          <w:lang w:val="en-US"/>
        </w:rPr>
        <w:t xml:space="preserve"> and </w:t>
      </w:r>
      <w:proofErr w:type="spellStart"/>
      <w:r w:rsidRPr="00AD0487">
        <w:rPr>
          <w:lang w:val="en-US"/>
        </w:rPr>
        <w:t>Szafarz</w:t>
      </w:r>
      <w:proofErr w:type="spellEnd"/>
      <w:r w:rsidRPr="00AD0487">
        <w:rPr>
          <w:lang w:val="en-US"/>
        </w:rPr>
        <w:t xml:space="preserve"> (2018) exploited a regulatory change imposing a EUR 10,000 microcredit ceiling and found that increased bank–MFI co-financing inadvertently led to harsher treatment of female borrowers, highlighting that seemingly neutral regulations can reinforce gendered disadvantages in lending. In Bolivia, Gonzales Martinez et al. (2020) conducted a controlled field experiment to explore the interaction of gender and ethnicity in microfinance access, demonstrating that non-indigenous women were twice as likely as men to have their loan applications approved, while indigenous women’s likelihood was only 1.5 times that of men, underscoring the importance of considering intersecting social identities in credit allocation. In a different context, </w:t>
      </w:r>
      <w:proofErr w:type="spellStart"/>
      <w:r w:rsidRPr="00AD0487">
        <w:rPr>
          <w:lang w:val="en-US"/>
        </w:rPr>
        <w:t>Alam</w:t>
      </w:r>
      <w:proofErr w:type="spellEnd"/>
      <w:r w:rsidRPr="00AD0487">
        <w:rPr>
          <w:lang w:val="en-US"/>
        </w:rPr>
        <w:t xml:space="preserve"> et al. (2021) evaluated repayment behavior among Canadian borrowers under an individual-lending microfinance model over a ten-year period and found that women exhibited slightly higher repayment rates than men, suggesting that women may represent a lower credit risk even outside group-lending structures that employ joint liability. Additionally, </w:t>
      </w:r>
      <w:proofErr w:type="spellStart"/>
      <w:r w:rsidRPr="00AD0487">
        <w:rPr>
          <w:lang w:val="en-US"/>
        </w:rPr>
        <w:t>Maulia</w:t>
      </w:r>
      <w:proofErr w:type="spellEnd"/>
      <w:r w:rsidRPr="00AD0487">
        <w:rPr>
          <w:lang w:val="en-US"/>
        </w:rPr>
        <w:t xml:space="preserve"> and </w:t>
      </w:r>
      <w:proofErr w:type="spellStart"/>
      <w:r w:rsidRPr="00AD0487">
        <w:rPr>
          <w:lang w:val="en-US"/>
        </w:rPr>
        <w:t>Gultom</w:t>
      </w:r>
      <w:proofErr w:type="spellEnd"/>
      <w:r w:rsidRPr="00AD0487">
        <w:rPr>
          <w:lang w:val="en-US"/>
        </w:rPr>
        <w:t xml:space="preserve"> (2023) examined peer-to-peer lending, showing that older lenders generally avoided high-risk loans, but older women with at least a bachelor’s degree demonstrated behaviors that diverged from this trend, highlighting how education and financial literacy can moderate gender- and age-related differences in risk-taking. </w:t>
      </w:r>
    </w:p>
    <w:p w14:paraId="0E8C8362" w14:textId="77777777" w:rsidR="003C54BD" w:rsidRPr="00AD0487" w:rsidRDefault="003C54BD" w:rsidP="003C54BD">
      <w:pPr>
        <w:ind w:firstLine="567"/>
        <w:rPr>
          <w:lang w:val="en-US"/>
        </w:rPr>
      </w:pPr>
      <w:r w:rsidRPr="003C54BD">
        <w:rPr>
          <w:lang w:val="en-US"/>
        </w:rPr>
        <w:t xml:space="preserve">The second strand of literature investigates the impact of access to credit on income generation, economic empowerment, and welfare outcomes, focusing on the extent to which financial resources translate into tangible economic benefits for women and households. </w:t>
      </w:r>
      <w:proofErr w:type="spellStart"/>
      <w:r w:rsidRPr="00AD0487">
        <w:rPr>
          <w:lang w:val="en-US"/>
        </w:rPr>
        <w:t>Kurwijila</w:t>
      </w:r>
      <w:proofErr w:type="spellEnd"/>
      <w:r w:rsidRPr="00AD0487">
        <w:rPr>
          <w:lang w:val="en-US"/>
        </w:rPr>
        <w:t xml:space="preserve"> and Due (1991) examined the allocation of funds for income-generating activities among Tanzanian women, highlighting the shift from grant-based programs administered by NGOs to loan-based schemes increasingly managed by government organizations. Their findings revealed that while loans provided a more sustainable mechanism for supporting women’s income-generating activities, inefficiencies in government administration constrained the full potential of these interventions, particularly for resource-poor rural and urban women. Angel-</w:t>
      </w:r>
      <w:proofErr w:type="spellStart"/>
      <w:r w:rsidRPr="00AD0487">
        <w:rPr>
          <w:lang w:val="en-US"/>
        </w:rPr>
        <w:t>Urdinola</w:t>
      </w:r>
      <w:proofErr w:type="spellEnd"/>
      <w:r w:rsidRPr="00AD0487">
        <w:rPr>
          <w:lang w:val="en-US"/>
        </w:rPr>
        <w:t xml:space="preserve"> and </w:t>
      </w:r>
      <w:proofErr w:type="spellStart"/>
      <w:r w:rsidRPr="00AD0487">
        <w:rPr>
          <w:lang w:val="en-US"/>
        </w:rPr>
        <w:t>Wodon</w:t>
      </w:r>
      <w:proofErr w:type="spellEnd"/>
      <w:r w:rsidRPr="00AD0487">
        <w:rPr>
          <w:lang w:val="en-US"/>
        </w:rPr>
        <w:t xml:space="preserve"> (2010) emphasized the role of intra-household decision-making in mediating the effect of financial resources on welfare, showing that households with limited credit access and employment opportunities experienced amplified impacts of household-level resource allocation decisions on individual and collective well-being. Empirically, </w:t>
      </w:r>
      <w:proofErr w:type="spellStart"/>
      <w:r w:rsidRPr="00AD0487">
        <w:rPr>
          <w:lang w:val="en-US"/>
        </w:rPr>
        <w:t>Alhassan</w:t>
      </w:r>
      <w:proofErr w:type="spellEnd"/>
      <w:r w:rsidRPr="00AD0487">
        <w:rPr>
          <w:lang w:val="en-US"/>
        </w:rPr>
        <w:t xml:space="preserve"> </w:t>
      </w:r>
      <w:r w:rsidRPr="00AD0487">
        <w:rPr>
          <w:lang w:val="en-US"/>
        </w:rPr>
        <w:lastRenderedPageBreak/>
        <w:t xml:space="preserve">and </w:t>
      </w:r>
      <w:proofErr w:type="spellStart"/>
      <w:r w:rsidRPr="00AD0487">
        <w:rPr>
          <w:lang w:val="en-US"/>
        </w:rPr>
        <w:t>Akudugu</w:t>
      </w:r>
      <w:proofErr w:type="spellEnd"/>
      <w:r w:rsidRPr="00AD0487">
        <w:rPr>
          <w:lang w:val="en-US"/>
        </w:rPr>
        <w:t xml:space="preserve"> (2012) found that access to microcredit significantly enhanced women’s income generation in the Tamale Metropolitan area of Ghana, suggesting that targeted financial interventions can play a critical role in poverty alleviation and women’s economic empowerment. Sam (2021) extended this analysis to Cambodian farmers and demonstrated that formal credit positively influenced earnings; however, men derived higher returns than women due to differences in education, financial literacy, and related capacities, illustrating that structural disparities can mediate the benefits of credit access. </w:t>
      </w:r>
      <w:r w:rsidR="00AD0487">
        <w:rPr>
          <w:lang w:val="en-US"/>
        </w:rPr>
        <w:t>T</w:t>
      </w:r>
      <w:r w:rsidRPr="00AD0487">
        <w:rPr>
          <w:lang w:val="en-US"/>
        </w:rPr>
        <w:t>he two strands of literature underscore that gender influences both the supply and utilization of credit, and that the interplay between access, social norms, and household or individual capabilities ultimately determines the extent to which lending translates into tangible economic outcomes.</w:t>
      </w:r>
    </w:p>
    <w:p w14:paraId="3F990EFC" w14:textId="77777777" w:rsidR="00714987" w:rsidRDefault="00714987" w:rsidP="00714987">
      <w:pPr>
        <w:rPr>
          <w:lang w:val="en-US"/>
        </w:rPr>
      </w:pPr>
    </w:p>
    <w:p w14:paraId="6DE09EDA" w14:textId="77777777" w:rsidR="000A535E" w:rsidRPr="00714987" w:rsidRDefault="000A535E" w:rsidP="000D1863">
      <w:pPr>
        <w:pStyle w:val="Titre1"/>
        <w:numPr>
          <w:ilvl w:val="0"/>
          <w:numId w:val="1"/>
        </w:numPr>
        <w:rPr>
          <w:lang w:val="en-US"/>
        </w:rPr>
      </w:pPr>
      <w:r>
        <w:rPr>
          <w:lang w:val="en-US"/>
        </w:rPr>
        <w:t>Material and Method</w:t>
      </w:r>
    </w:p>
    <w:p w14:paraId="5D3B1212" w14:textId="77777777" w:rsidR="0070083E" w:rsidRDefault="000D1863" w:rsidP="000D1863">
      <w:pPr>
        <w:pStyle w:val="Titre2"/>
        <w:numPr>
          <w:ilvl w:val="1"/>
          <w:numId w:val="1"/>
        </w:numPr>
        <w:rPr>
          <w:lang w:val="en-US"/>
        </w:rPr>
      </w:pPr>
      <w:r>
        <w:rPr>
          <w:lang w:val="en-US"/>
        </w:rPr>
        <w:t xml:space="preserve"> </w:t>
      </w:r>
      <w:r w:rsidR="002B35F1">
        <w:rPr>
          <w:lang w:val="en-US"/>
        </w:rPr>
        <w:t xml:space="preserve">Data and source </w:t>
      </w:r>
    </w:p>
    <w:p w14:paraId="3E312690" w14:textId="6E325DEC" w:rsidR="009741BD" w:rsidRPr="009741BD" w:rsidRDefault="009741BD" w:rsidP="009741BD">
      <w:pPr>
        <w:ind w:firstLine="567"/>
        <w:rPr>
          <w:lang w:val="en-US" w:eastAsia="fr-FR"/>
        </w:rPr>
      </w:pPr>
      <w:r w:rsidRPr="009741BD">
        <w:rPr>
          <w:lang w:val="en-US" w:eastAsia="fr-FR"/>
        </w:rPr>
        <w:t xml:space="preserve">The data used in this study are drawn from primary sources collected between 2023 and </w:t>
      </w:r>
      <w:r w:rsidR="00AC7A3E">
        <w:rPr>
          <w:lang w:val="en-US" w:eastAsia="fr-FR"/>
        </w:rPr>
        <w:t xml:space="preserve">early </w:t>
      </w:r>
      <w:r w:rsidRPr="009741BD">
        <w:rPr>
          <w:lang w:val="en-US" w:eastAsia="fr-FR"/>
        </w:rPr>
        <w:t xml:space="preserve">2025 from three commercial banks operating in the city of Kisangani, </w:t>
      </w:r>
      <w:r>
        <w:rPr>
          <w:lang w:val="en-US" w:eastAsia="fr-FR"/>
        </w:rPr>
        <w:t>DRC</w:t>
      </w:r>
      <w:r w:rsidRPr="009741BD">
        <w:rPr>
          <w:lang w:val="en-US" w:eastAsia="fr-FR"/>
        </w:rPr>
        <w:t xml:space="preserve">: Trust Merchant Bank, </w:t>
      </w:r>
      <w:proofErr w:type="spellStart"/>
      <w:r w:rsidRPr="009741BD">
        <w:rPr>
          <w:lang w:val="en-US" w:eastAsia="fr-FR"/>
        </w:rPr>
        <w:t>Rawbank</w:t>
      </w:r>
      <w:proofErr w:type="spellEnd"/>
      <w:r w:rsidRPr="009741BD">
        <w:rPr>
          <w:lang w:val="en-US" w:eastAsia="fr-FR"/>
        </w:rPr>
        <w:t>, and First Bank. A total of 267 small and medium-sized enterprises (SMEs) were surveyed, covering the three main economic sectors of commerce, production, and services. The dataset is gender-disaggregated, comprising both male- and female-owned enterprises, which allows for a robust analysis of the differential effects of gender on lending access and income generation. The focus on SMEs is particularly important, as they constitute the backbone of the Congolese economy, contributing significantly to employment creation and household income generation despite facing persistent financing constraints (</w:t>
      </w:r>
      <w:proofErr w:type="spellStart"/>
      <w:r w:rsidRPr="009741BD">
        <w:rPr>
          <w:lang w:val="en-US" w:eastAsia="fr-FR"/>
        </w:rPr>
        <w:t>Fjose</w:t>
      </w:r>
      <w:proofErr w:type="spellEnd"/>
      <w:r w:rsidR="005B30A6">
        <w:rPr>
          <w:lang w:val="en-US" w:eastAsia="fr-FR"/>
        </w:rPr>
        <w:t xml:space="preserve"> et al.</w:t>
      </w:r>
      <w:r w:rsidRPr="009741BD">
        <w:rPr>
          <w:lang w:val="en-US" w:eastAsia="fr-FR"/>
        </w:rPr>
        <w:t>, 2010</w:t>
      </w:r>
      <w:r w:rsidR="00521579">
        <w:rPr>
          <w:lang w:val="en-US" w:eastAsia="fr-FR"/>
        </w:rPr>
        <w:t xml:space="preserve">; </w:t>
      </w:r>
      <w:proofErr w:type="spellStart"/>
      <w:r w:rsidR="00521579" w:rsidRPr="00F716A5">
        <w:rPr>
          <w:lang w:val="en-US" w:eastAsia="fr-FR"/>
        </w:rPr>
        <w:t>Dhake</w:t>
      </w:r>
      <w:proofErr w:type="spellEnd"/>
      <w:r w:rsidR="00521579" w:rsidRPr="00F716A5">
        <w:rPr>
          <w:lang w:val="en-US" w:eastAsia="fr-FR"/>
        </w:rPr>
        <w:t xml:space="preserve"> &amp; </w:t>
      </w:r>
      <w:proofErr w:type="spellStart"/>
      <w:r w:rsidR="00521579" w:rsidRPr="00F716A5">
        <w:rPr>
          <w:lang w:val="en-US" w:eastAsia="fr-FR"/>
        </w:rPr>
        <w:t>Narkhede</w:t>
      </w:r>
      <w:proofErr w:type="spellEnd"/>
      <w:r w:rsidR="00521579" w:rsidRPr="00F716A5">
        <w:rPr>
          <w:lang w:val="en-US" w:eastAsia="fr-FR"/>
        </w:rPr>
        <w:t>, 2019</w:t>
      </w:r>
      <w:r w:rsidRPr="009741BD">
        <w:rPr>
          <w:lang w:val="en-US" w:eastAsia="fr-FR"/>
        </w:rPr>
        <w:t>). By collecting firm-level data directly from banks and entrepreneurs, the study ensures reliability and relevance, while capturing the lived experiences of entrepreneurs within the financial sector of Kisangani.</w:t>
      </w:r>
    </w:p>
    <w:p w14:paraId="7EA13CF9" w14:textId="77777777" w:rsidR="009741BD" w:rsidRPr="009741BD" w:rsidRDefault="009741BD" w:rsidP="009741BD">
      <w:pPr>
        <w:ind w:firstLine="567"/>
        <w:rPr>
          <w:lang w:val="en-US" w:eastAsia="fr-FR"/>
        </w:rPr>
      </w:pPr>
      <w:r w:rsidRPr="009741BD">
        <w:rPr>
          <w:lang w:val="en-US" w:eastAsia="fr-FR"/>
        </w:rPr>
        <w:t xml:space="preserve">The choice of Kisangani as the study region is justified by its unique position in the economic landscape of the DRC. As the largest city in the north-eastern part of the country and the capital of </w:t>
      </w:r>
      <w:proofErr w:type="spellStart"/>
      <w:r w:rsidRPr="009741BD">
        <w:rPr>
          <w:lang w:val="en-US" w:eastAsia="fr-FR"/>
        </w:rPr>
        <w:t>Tshopo</w:t>
      </w:r>
      <w:proofErr w:type="spellEnd"/>
      <w:r w:rsidRPr="009741BD">
        <w:rPr>
          <w:lang w:val="en-US" w:eastAsia="fr-FR"/>
        </w:rPr>
        <w:t xml:space="preserve"> Province, Kisangani serves as a major commercial hub linking the interior of the DRC to national and regional</w:t>
      </w:r>
      <w:r w:rsidR="005B30A6">
        <w:rPr>
          <w:lang w:val="en-US" w:eastAsia="fr-FR"/>
        </w:rPr>
        <w:t xml:space="preserve"> markets (</w:t>
      </w:r>
      <w:proofErr w:type="spellStart"/>
      <w:r w:rsidR="005B30A6">
        <w:rPr>
          <w:lang w:val="en-US" w:eastAsia="fr-FR"/>
        </w:rPr>
        <w:t>Nzongola-Ntalaja</w:t>
      </w:r>
      <w:proofErr w:type="spellEnd"/>
      <w:r w:rsidR="005B30A6">
        <w:rPr>
          <w:lang w:val="en-US" w:eastAsia="fr-FR"/>
        </w:rPr>
        <w:t>, 2013</w:t>
      </w:r>
      <w:r w:rsidRPr="009741BD">
        <w:rPr>
          <w:lang w:val="en-US" w:eastAsia="fr-FR"/>
        </w:rPr>
        <w:t xml:space="preserve">). Its strategic location along the Congo River makes it an important center for trade, manufacturing, and service provision. At the same time, the city reflects the structural challenges faced by entrepreneurs in many secondary urban centers in Sub-Saharan Africa, including limited financial inclusion, underdeveloped infrastructure, and persistent gender disparities in economic participation. Studying Kisangani therefore provides not only insights into the local dynamics of gender, </w:t>
      </w:r>
      <w:r w:rsidRPr="009741BD">
        <w:rPr>
          <w:lang w:val="en-US" w:eastAsia="fr-FR"/>
        </w:rPr>
        <w:lastRenderedPageBreak/>
        <w:t>lending, and income generation but also evidence that is representative of the broader economic realities of entrepreneurs in similar urban contexts in the DRC and beyond.</w:t>
      </w:r>
    </w:p>
    <w:p w14:paraId="0AAD146C" w14:textId="77777777" w:rsidR="002B35F1" w:rsidRDefault="000D1863" w:rsidP="000D1863">
      <w:pPr>
        <w:pStyle w:val="Titre2"/>
        <w:numPr>
          <w:ilvl w:val="1"/>
          <w:numId w:val="1"/>
        </w:numPr>
        <w:rPr>
          <w:lang w:val="en-US"/>
        </w:rPr>
      </w:pPr>
      <w:r>
        <w:rPr>
          <w:lang w:val="en-US"/>
        </w:rPr>
        <w:t xml:space="preserve"> </w:t>
      </w:r>
      <w:r w:rsidR="00882D56">
        <w:rPr>
          <w:lang w:val="en-US"/>
        </w:rPr>
        <w:t xml:space="preserve">Presentation of Variables </w:t>
      </w:r>
    </w:p>
    <w:p w14:paraId="2CF51F5E" w14:textId="4FD7C40B" w:rsidR="00D531BC" w:rsidRPr="00D531BC" w:rsidRDefault="00D531BC" w:rsidP="00D531BC">
      <w:pPr>
        <w:ind w:firstLine="567"/>
        <w:rPr>
          <w:lang w:val="en-US" w:eastAsia="fr-FR"/>
        </w:rPr>
      </w:pPr>
      <w:r w:rsidRPr="00D531BC">
        <w:rPr>
          <w:lang w:val="en-US" w:eastAsia="fr-FR"/>
        </w:rPr>
        <w:t xml:space="preserve">The study considers a set of variables designed to capture the relationship between gender, access to finance, and income generation among </w:t>
      </w:r>
      <w:r w:rsidR="00086720">
        <w:rPr>
          <w:lang w:val="en-US" w:eastAsia="fr-FR"/>
        </w:rPr>
        <w:t>SMEs</w:t>
      </w:r>
      <w:r w:rsidRPr="00D531BC">
        <w:rPr>
          <w:lang w:val="en-US" w:eastAsia="fr-FR"/>
        </w:rPr>
        <w:t xml:space="preserve"> in Kisangani, Democratic Republic of Congo. The primary independent variable is the gender of the entrepreneur, coded as male (M) or female (F), which allows for the investigation of whether gender differences influence lending patterns and subsequent income outcomes. This variable is </w:t>
      </w:r>
      <w:r w:rsidR="00086720">
        <w:rPr>
          <w:lang w:val="en-US" w:eastAsia="fr-FR"/>
        </w:rPr>
        <w:t>important</w:t>
      </w:r>
      <w:r w:rsidRPr="00D531BC">
        <w:rPr>
          <w:lang w:val="en-US" w:eastAsia="fr-FR"/>
        </w:rPr>
        <w:t>, as numerous studies highlight persistent gender disparities in credit markets, particularly in developing economies where female entrepreneurs often face more restrictive lending conditions</w:t>
      </w:r>
      <w:r w:rsidR="00B62171">
        <w:rPr>
          <w:lang w:val="en-US" w:eastAsia="fr-FR"/>
        </w:rPr>
        <w:t xml:space="preserve"> (</w:t>
      </w:r>
      <w:r w:rsidR="00B62171" w:rsidRPr="00354A98">
        <w:rPr>
          <w:lang w:val="en-US"/>
        </w:rPr>
        <w:t>Bruhn &amp; Love, 2014</w:t>
      </w:r>
      <w:r w:rsidR="00803E09">
        <w:rPr>
          <w:lang w:val="en-US"/>
        </w:rPr>
        <w:t>; Kelly et al., 2024</w:t>
      </w:r>
      <w:r w:rsidR="00B62171">
        <w:rPr>
          <w:lang w:val="en-US" w:eastAsia="fr-FR"/>
        </w:rPr>
        <w:t>)</w:t>
      </w:r>
      <w:r w:rsidRPr="00D531BC">
        <w:rPr>
          <w:lang w:val="en-US" w:eastAsia="fr-FR"/>
        </w:rPr>
        <w:t>. Complementing this, the sector of activity of each SME is also included, covering three main categories: commerce, production, and services. These sectors represent the dominant areas of economic activity in Kisangani and enable the study to capture structural variations in lending behavior and revenue generation across different industries.</w:t>
      </w:r>
      <w:r w:rsidR="00CF0FAA">
        <w:rPr>
          <w:lang w:val="en-US" w:eastAsia="fr-FR"/>
        </w:rPr>
        <w:t xml:space="preserve"> </w:t>
      </w:r>
    </w:p>
    <w:p w14:paraId="52C13276" w14:textId="77777777" w:rsidR="00D531BC" w:rsidRPr="00D531BC" w:rsidRDefault="00D531BC" w:rsidP="00D531BC">
      <w:pPr>
        <w:ind w:firstLine="567"/>
        <w:rPr>
          <w:lang w:val="en-US" w:eastAsia="fr-FR"/>
        </w:rPr>
      </w:pPr>
      <w:r w:rsidRPr="00D531BC">
        <w:rPr>
          <w:lang w:val="en-US" w:eastAsia="fr-FR"/>
        </w:rPr>
        <w:t xml:space="preserve">On the financial side, three continuous variables are incorporated: annual revenue, the value of collateral securities, and the amount of loan obtained, all expressed in U.S. dollars. Annual revenue serves as a proxy for income generation capacity, providing insight into the economic performance of SMEs. Collateral security value reflects the assets pledged by entrepreneurs to secure loans, an important determinant of creditworthiness in banking practices. The loan amount variable measures the financial support actually extended by banks, offering a direct assessment of the extent of lending to entrepreneurs in the study. Data were collected from 267 SMEs across three major commercial banks in Kisangani—Trust Merchant Bank, </w:t>
      </w:r>
      <w:proofErr w:type="spellStart"/>
      <w:r w:rsidRPr="00D531BC">
        <w:rPr>
          <w:lang w:val="en-US" w:eastAsia="fr-FR"/>
        </w:rPr>
        <w:t>Rawbank</w:t>
      </w:r>
      <w:proofErr w:type="spellEnd"/>
      <w:r w:rsidRPr="00D531BC">
        <w:rPr>
          <w:lang w:val="en-US" w:eastAsia="fr-FR"/>
        </w:rPr>
        <w:t>, and First Bank—institutions that dominate formal lending in the city. The inclusion of these variables makes it possible to examine not only the gender dimension of access to credit but also the interplay between collateral, loans, and revenue outcomes.</w:t>
      </w:r>
    </w:p>
    <w:p w14:paraId="58B9C67C" w14:textId="77777777" w:rsidR="00D531BC" w:rsidRDefault="00D531BC" w:rsidP="00D531BC">
      <w:pPr>
        <w:ind w:firstLine="567"/>
        <w:rPr>
          <w:lang w:val="en-US" w:eastAsia="fr-FR"/>
        </w:rPr>
      </w:pPr>
      <w:r w:rsidRPr="00D531BC">
        <w:rPr>
          <w:lang w:val="en-US" w:eastAsia="fr-FR"/>
        </w:rPr>
        <w:t xml:space="preserve">Descriptive statistics, as shown in Table 1, provide a useful overview of the distribution of these variables. The results indicate that some SMEs reported zero values for annual revenue, collateral securities, and loans, highlighting both the precarious financial situations of certain businesses and the difficulty of accessing credit under restrictive banking requirements. On average, SMEs in the sample generated an annual revenue of 190,065 USD, with maximum revenues reaching as high as 5,000,000 USD, underscoring wide disparities in firm performance. The mean collateral security value was 92,765 USD, with a range from 0 to 3,125,524 USD, reflecting substantial heterogeneity in entrepreneurs’ capacity to pledge assets. </w:t>
      </w:r>
      <w:r w:rsidRPr="00D531BC">
        <w:rPr>
          <w:lang w:val="en-US" w:eastAsia="fr-FR"/>
        </w:rPr>
        <w:lastRenderedPageBreak/>
        <w:t>In terms of borrowing, the average loan obtained was 14,764 USD, though amounts varied considerably from 0 to 500,000 USD. These variations provide a strong foundation for analyzing how gender and other factors shape lending dynamics and income generation in Kisangani’s entrepreneurial landscape.</w:t>
      </w:r>
    </w:p>
    <w:p w14:paraId="6A007948" w14:textId="77777777" w:rsidR="00A65FB2" w:rsidRPr="00596A2D" w:rsidRDefault="00A65FB2" w:rsidP="00A65FB2">
      <w:pPr>
        <w:widowControl w:val="0"/>
        <w:autoSpaceDE w:val="0"/>
        <w:autoSpaceDN w:val="0"/>
        <w:adjustRightInd w:val="0"/>
        <w:spacing w:line="240" w:lineRule="auto"/>
        <w:rPr>
          <w:rFonts w:cs="Times New Roman"/>
          <w:szCs w:val="24"/>
          <w:lang w:val="en-US"/>
        </w:rPr>
      </w:pPr>
      <w:r>
        <w:rPr>
          <w:rFonts w:cs="Times New Roman"/>
          <w:b/>
          <w:bCs/>
          <w:szCs w:val="24"/>
          <w:lang w:val="en-US"/>
        </w:rPr>
        <w:br/>
      </w:r>
      <w:r w:rsidRPr="00596A2D">
        <w:rPr>
          <w:rFonts w:cs="Times New Roman"/>
          <w:bCs/>
          <w:szCs w:val="24"/>
          <w:lang w:val="en-US"/>
        </w:rPr>
        <w:t xml:space="preserve">Table 1: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A65FB2" w14:paraId="1559BAC2" w14:textId="77777777" w:rsidTr="009A6A15">
        <w:tc>
          <w:tcPr>
            <w:tcW w:w="2508" w:type="dxa"/>
            <w:tcBorders>
              <w:top w:val="single" w:sz="4" w:space="0" w:color="auto"/>
              <w:left w:val="nil"/>
              <w:bottom w:val="single" w:sz="10" w:space="0" w:color="auto"/>
              <w:right w:val="nil"/>
            </w:tcBorders>
          </w:tcPr>
          <w:p w14:paraId="2F39B120"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Variable</w:t>
            </w:r>
          </w:p>
        </w:tc>
        <w:tc>
          <w:tcPr>
            <w:tcW w:w="800" w:type="dxa"/>
            <w:tcBorders>
              <w:top w:val="single" w:sz="4" w:space="0" w:color="auto"/>
              <w:left w:val="nil"/>
              <w:bottom w:val="single" w:sz="10" w:space="0" w:color="auto"/>
              <w:right w:val="nil"/>
            </w:tcBorders>
          </w:tcPr>
          <w:p w14:paraId="534CD6AA"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w:t>
            </w:r>
            <w:proofErr w:type="spellStart"/>
            <w:r>
              <w:rPr>
                <w:rFonts w:cs="Times New Roman"/>
                <w:szCs w:val="24"/>
                <w:lang w:val="en-US"/>
              </w:rPr>
              <w:t>Obs</w:t>
            </w:r>
            <w:proofErr w:type="spellEnd"/>
          </w:p>
        </w:tc>
        <w:tc>
          <w:tcPr>
            <w:tcW w:w="1400" w:type="dxa"/>
            <w:tcBorders>
              <w:top w:val="single" w:sz="4" w:space="0" w:color="auto"/>
              <w:left w:val="nil"/>
              <w:bottom w:val="single" w:sz="10" w:space="0" w:color="auto"/>
              <w:right w:val="nil"/>
            </w:tcBorders>
          </w:tcPr>
          <w:p w14:paraId="45D420E2"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Mean</w:t>
            </w:r>
          </w:p>
        </w:tc>
        <w:tc>
          <w:tcPr>
            <w:tcW w:w="1400" w:type="dxa"/>
            <w:tcBorders>
              <w:top w:val="single" w:sz="4" w:space="0" w:color="auto"/>
              <w:left w:val="nil"/>
              <w:bottom w:val="single" w:sz="10" w:space="0" w:color="auto"/>
              <w:right w:val="nil"/>
            </w:tcBorders>
          </w:tcPr>
          <w:p w14:paraId="75FE51DE"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Std. Dev.</w:t>
            </w:r>
          </w:p>
        </w:tc>
        <w:tc>
          <w:tcPr>
            <w:tcW w:w="1400" w:type="dxa"/>
            <w:tcBorders>
              <w:top w:val="single" w:sz="4" w:space="0" w:color="auto"/>
              <w:left w:val="nil"/>
              <w:bottom w:val="single" w:sz="10" w:space="0" w:color="auto"/>
              <w:right w:val="nil"/>
            </w:tcBorders>
          </w:tcPr>
          <w:p w14:paraId="3897B4B3"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Min</w:t>
            </w:r>
          </w:p>
        </w:tc>
        <w:tc>
          <w:tcPr>
            <w:tcW w:w="1400" w:type="dxa"/>
            <w:tcBorders>
              <w:top w:val="single" w:sz="4" w:space="0" w:color="auto"/>
              <w:left w:val="nil"/>
              <w:bottom w:val="single" w:sz="10" w:space="0" w:color="auto"/>
              <w:right w:val="nil"/>
            </w:tcBorders>
          </w:tcPr>
          <w:p w14:paraId="2EFC0507"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Max</w:t>
            </w:r>
          </w:p>
        </w:tc>
      </w:tr>
      <w:tr w:rsidR="00A65FB2" w14:paraId="61F12C30" w14:textId="77777777" w:rsidTr="009A6A15">
        <w:tc>
          <w:tcPr>
            <w:tcW w:w="2508" w:type="dxa"/>
            <w:tcBorders>
              <w:top w:val="nil"/>
              <w:left w:val="nil"/>
              <w:bottom w:val="nil"/>
              <w:right w:val="nil"/>
            </w:tcBorders>
          </w:tcPr>
          <w:p w14:paraId="2E5E5675"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Annual Revenue</w:t>
            </w:r>
          </w:p>
        </w:tc>
        <w:tc>
          <w:tcPr>
            <w:tcW w:w="800" w:type="dxa"/>
            <w:tcBorders>
              <w:top w:val="nil"/>
              <w:left w:val="nil"/>
              <w:bottom w:val="nil"/>
              <w:right w:val="nil"/>
            </w:tcBorders>
          </w:tcPr>
          <w:p w14:paraId="74277FE5"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400" w:type="dxa"/>
            <w:tcBorders>
              <w:top w:val="nil"/>
              <w:left w:val="nil"/>
              <w:bottom w:val="nil"/>
              <w:right w:val="nil"/>
            </w:tcBorders>
          </w:tcPr>
          <w:p w14:paraId="2A6279A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190065.92</w:t>
            </w:r>
          </w:p>
        </w:tc>
        <w:tc>
          <w:tcPr>
            <w:tcW w:w="1400" w:type="dxa"/>
            <w:tcBorders>
              <w:top w:val="nil"/>
              <w:left w:val="nil"/>
              <w:bottom w:val="nil"/>
              <w:right w:val="nil"/>
            </w:tcBorders>
          </w:tcPr>
          <w:p w14:paraId="1EE14F63"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443500.65</w:t>
            </w:r>
          </w:p>
        </w:tc>
        <w:tc>
          <w:tcPr>
            <w:tcW w:w="1400" w:type="dxa"/>
            <w:tcBorders>
              <w:top w:val="nil"/>
              <w:left w:val="nil"/>
              <w:bottom w:val="nil"/>
              <w:right w:val="nil"/>
            </w:tcBorders>
          </w:tcPr>
          <w:p w14:paraId="44AF556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14:paraId="156BC1A9"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5000000</w:t>
            </w:r>
          </w:p>
        </w:tc>
      </w:tr>
      <w:tr w:rsidR="00A65FB2" w14:paraId="7F15EA29" w14:textId="77777777" w:rsidTr="00A65FB2">
        <w:tc>
          <w:tcPr>
            <w:tcW w:w="2508" w:type="dxa"/>
            <w:tcBorders>
              <w:top w:val="nil"/>
              <w:left w:val="nil"/>
              <w:right w:val="nil"/>
            </w:tcBorders>
          </w:tcPr>
          <w:p w14:paraId="7C390553"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Value of Collateral</w:t>
            </w:r>
          </w:p>
        </w:tc>
        <w:tc>
          <w:tcPr>
            <w:tcW w:w="800" w:type="dxa"/>
            <w:tcBorders>
              <w:top w:val="nil"/>
              <w:left w:val="nil"/>
              <w:right w:val="nil"/>
            </w:tcBorders>
          </w:tcPr>
          <w:p w14:paraId="328E43D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400" w:type="dxa"/>
            <w:tcBorders>
              <w:top w:val="nil"/>
              <w:left w:val="nil"/>
              <w:right w:val="nil"/>
            </w:tcBorders>
          </w:tcPr>
          <w:p w14:paraId="16CCED77"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92765.01</w:t>
            </w:r>
          </w:p>
        </w:tc>
        <w:tc>
          <w:tcPr>
            <w:tcW w:w="1400" w:type="dxa"/>
            <w:tcBorders>
              <w:top w:val="nil"/>
              <w:left w:val="nil"/>
              <w:right w:val="nil"/>
            </w:tcBorders>
          </w:tcPr>
          <w:p w14:paraId="4EBEB2B7"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204967.02</w:t>
            </w:r>
          </w:p>
        </w:tc>
        <w:tc>
          <w:tcPr>
            <w:tcW w:w="1400" w:type="dxa"/>
            <w:tcBorders>
              <w:top w:val="nil"/>
              <w:left w:val="nil"/>
              <w:right w:val="nil"/>
            </w:tcBorders>
          </w:tcPr>
          <w:p w14:paraId="04DAF113"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right w:val="nil"/>
            </w:tcBorders>
          </w:tcPr>
          <w:p w14:paraId="5E5F0A2B"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3125524</w:t>
            </w:r>
          </w:p>
        </w:tc>
      </w:tr>
      <w:tr w:rsidR="00A65FB2" w14:paraId="561EDF48" w14:textId="77777777" w:rsidTr="00A65FB2">
        <w:tc>
          <w:tcPr>
            <w:tcW w:w="2508" w:type="dxa"/>
            <w:tcBorders>
              <w:top w:val="nil"/>
              <w:left w:val="nil"/>
              <w:bottom w:val="single" w:sz="4" w:space="0" w:color="auto"/>
              <w:right w:val="nil"/>
            </w:tcBorders>
          </w:tcPr>
          <w:p w14:paraId="06C51F3C"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Loan Obtained</w:t>
            </w:r>
          </w:p>
        </w:tc>
        <w:tc>
          <w:tcPr>
            <w:tcW w:w="800" w:type="dxa"/>
            <w:tcBorders>
              <w:top w:val="nil"/>
              <w:left w:val="nil"/>
              <w:bottom w:val="single" w:sz="4" w:space="0" w:color="auto"/>
              <w:right w:val="nil"/>
            </w:tcBorders>
          </w:tcPr>
          <w:p w14:paraId="534BE97B"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400" w:type="dxa"/>
            <w:tcBorders>
              <w:top w:val="nil"/>
              <w:left w:val="nil"/>
              <w:bottom w:val="single" w:sz="4" w:space="0" w:color="auto"/>
              <w:right w:val="nil"/>
            </w:tcBorders>
          </w:tcPr>
          <w:p w14:paraId="224905BA"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14764.045</w:t>
            </w:r>
          </w:p>
        </w:tc>
        <w:tc>
          <w:tcPr>
            <w:tcW w:w="1400" w:type="dxa"/>
            <w:tcBorders>
              <w:top w:val="nil"/>
              <w:left w:val="nil"/>
              <w:bottom w:val="single" w:sz="4" w:space="0" w:color="auto"/>
              <w:right w:val="nil"/>
            </w:tcBorders>
          </w:tcPr>
          <w:p w14:paraId="666D759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50866.334</w:t>
            </w:r>
          </w:p>
        </w:tc>
        <w:tc>
          <w:tcPr>
            <w:tcW w:w="1400" w:type="dxa"/>
            <w:tcBorders>
              <w:top w:val="nil"/>
              <w:left w:val="nil"/>
              <w:bottom w:val="single" w:sz="4" w:space="0" w:color="auto"/>
              <w:right w:val="nil"/>
            </w:tcBorders>
          </w:tcPr>
          <w:p w14:paraId="104493C6"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single" w:sz="4" w:space="0" w:color="auto"/>
              <w:right w:val="nil"/>
            </w:tcBorders>
          </w:tcPr>
          <w:p w14:paraId="31E5C0B6"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500000</w:t>
            </w:r>
          </w:p>
        </w:tc>
      </w:tr>
    </w:tbl>
    <w:p w14:paraId="7968ACD6" w14:textId="77777777" w:rsidR="00A65FB2" w:rsidRPr="00D531BC" w:rsidRDefault="00DA6B35" w:rsidP="00D531BC">
      <w:pPr>
        <w:ind w:firstLine="567"/>
        <w:rPr>
          <w:lang w:val="en-US" w:eastAsia="fr-FR"/>
        </w:rPr>
      </w:pPr>
      <w:r>
        <w:rPr>
          <w:lang w:val="en-US" w:eastAsia="fr-FR"/>
        </w:rPr>
        <w:t xml:space="preserve">Source: </w:t>
      </w:r>
      <w:r w:rsidRPr="00DA6B35">
        <w:rPr>
          <w:i/>
          <w:lang w:val="en-US" w:eastAsia="fr-FR"/>
        </w:rPr>
        <w:t>Author’s Construction</w:t>
      </w:r>
    </w:p>
    <w:p w14:paraId="3FBB8C39" w14:textId="4697A002" w:rsidR="00882D56" w:rsidRDefault="002B5B40" w:rsidP="002B5B40">
      <w:pPr>
        <w:ind w:firstLine="567"/>
        <w:rPr>
          <w:lang w:val="en-US"/>
        </w:rPr>
      </w:pPr>
      <w:r w:rsidRPr="002B5B40">
        <w:rPr>
          <w:lang w:val="en-US"/>
        </w:rPr>
        <w:t xml:space="preserve">The methodology employed in this study is purely descriptive, aiming to provide a systematic account of the relationship between gender, lending practices, and income generation among SMEs in Kisangani, Democratic Republic of Congo. Descriptive research is particularly suited for contexts where the objective is to capture the current state of a phenomenon, summarize patterns, and highlight disparities without inferring causal relationships (Shields &amp; </w:t>
      </w:r>
      <w:proofErr w:type="spellStart"/>
      <w:r w:rsidRPr="002B5B40">
        <w:rPr>
          <w:lang w:val="en-US"/>
        </w:rPr>
        <w:t>Rangarajan</w:t>
      </w:r>
      <w:proofErr w:type="spellEnd"/>
      <w:r w:rsidRPr="002B5B40">
        <w:rPr>
          <w:lang w:val="en-US"/>
        </w:rPr>
        <w:t>, 2013</w:t>
      </w:r>
      <w:r w:rsidR="00803E09">
        <w:rPr>
          <w:lang w:val="en-US"/>
        </w:rPr>
        <w:t>;</w:t>
      </w:r>
      <w:r w:rsidR="003445E8">
        <w:rPr>
          <w:lang w:val="en-US"/>
        </w:rPr>
        <w:t xml:space="preserve"> </w:t>
      </w:r>
      <w:proofErr w:type="spellStart"/>
      <w:r w:rsidR="003445E8" w:rsidRPr="00F716A5">
        <w:rPr>
          <w:lang w:val="en-US" w:eastAsia="fr-FR"/>
        </w:rPr>
        <w:t>Dhake</w:t>
      </w:r>
      <w:proofErr w:type="spellEnd"/>
      <w:r w:rsidR="003445E8" w:rsidRPr="00F716A5">
        <w:rPr>
          <w:lang w:val="en-US" w:eastAsia="fr-FR"/>
        </w:rPr>
        <w:t xml:space="preserve"> &amp; </w:t>
      </w:r>
      <w:proofErr w:type="spellStart"/>
      <w:r w:rsidR="003445E8" w:rsidRPr="00F716A5">
        <w:rPr>
          <w:lang w:val="en-US" w:eastAsia="fr-FR"/>
        </w:rPr>
        <w:t>Narkhede</w:t>
      </w:r>
      <w:proofErr w:type="spellEnd"/>
      <w:r w:rsidR="003445E8" w:rsidRPr="00F716A5">
        <w:rPr>
          <w:lang w:val="en-US" w:eastAsia="fr-FR"/>
        </w:rPr>
        <w:t>, 2019</w:t>
      </w:r>
      <w:r w:rsidR="003445E8">
        <w:rPr>
          <w:lang w:val="en-US" w:eastAsia="fr-FR"/>
        </w:rPr>
        <w:t>;</w:t>
      </w:r>
      <w:r w:rsidR="00803E09">
        <w:rPr>
          <w:lang w:val="en-US"/>
        </w:rPr>
        <w:t xml:space="preserve"> </w:t>
      </w:r>
      <w:r w:rsidR="00803E09" w:rsidRPr="00E62B11">
        <w:rPr>
          <w:rFonts w:eastAsia="Times New Roman" w:cs="Times New Roman"/>
          <w:szCs w:val="24"/>
          <w:lang w:val="en-US" w:eastAsia="fr-FR"/>
        </w:rPr>
        <w:t>Kelly, 2024</w:t>
      </w:r>
      <w:r w:rsidR="007C7F9A">
        <w:rPr>
          <w:rFonts w:eastAsia="Times New Roman" w:cs="Times New Roman"/>
          <w:szCs w:val="24"/>
          <w:lang w:val="en-US" w:eastAsia="fr-FR"/>
        </w:rPr>
        <w:t xml:space="preserve">; </w:t>
      </w:r>
      <w:proofErr w:type="spellStart"/>
      <w:r w:rsidR="007C7F9A">
        <w:rPr>
          <w:rFonts w:eastAsia="Times New Roman" w:cs="Times New Roman"/>
          <w:szCs w:val="24"/>
          <w:lang w:val="en-US" w:eastAsia="fr-FR"/>
        </w:rPr>
        <w:t>Wassou</w:t>
      </w:r>
      <w:proofErr w:type="spellEnd"/>
      <w:r w:rsidR="007C7F9A">
        <w:rPr>
          <w:rFonts w:eastAsia="Times New Roman" w:cs="Times New Roman"/>
          <w:szCs w:val="24"/>
          <w:lang w:val="en-US" w:eastAsia="fr-FR"/>
        </w:rPr>
        <w:t xml:space="preserve"> et al., 2024</w:t>
      </w:r>
      <w:r w:rsidRPr="002B5B40">
        <w:rPr>
          <w:lang w:val="en-US"/>
        </w:rPr>
        <w:t>). By relying on primary data collected from 267 SMEs across three major commercial banks</w:t>
      </w:r>
      <w:r w:rsidR="004D3CF8">
        <w:rPr>
          <w:lang w:val="en-US"/>
        </w:rPr>
        <w:t xml:space="preserve"> </w:t>
      </w:r>
      <w:r w:rsidRPr="002B5B40">
        <w:rPr>
          <w:lang w:val="en-US"/>
        </w:rPr>
        <w:t>the study focuses on examining how entrepreneurs’ gender, sector of activity, loan access, collateral requirements, and revenue outcomes manifest in practice. The emphasis on descriptive statistics such as means, ranges, frequencies</w:t>
      </w:r>
      <w:r w:rsidR="007C5581">
        <w:rPr>
          <w:lang w:val="en-US"/>
        </w:rPr>
        <w:t xml:space="preserve"> </w:t>
      </w:r>
      <w:r w:rsidR="00596A2D">
        <w:rPr>
          <w:lang w:val="en-US"/>
        </w:rPr>
        <w:t>and</w:t>
      </w:r>
      <w:r w:rsidR="007C5581">
        <w:rPr>
          <w:lang w:val="en-US"/>
        </w:rPr>
        <w:t xml:space="preserve"> percentages</w:t>
      </w:r>
      <w:r w:rsidRPr="002B5B40">
        <w:rPr>
          <w:lang w:val="en-US"/>
        </w:rPr>
        <w:t xml:space="preserve"> provides valuable insights into lending dynamics and financial performance, consistent with methodological approaches in SME finance research that seek to establish empirical regularities before moving into causal modeling (Saunders</w:t>
      </w:r>
      <w:r w:rsidR="005B55F0">
        <w:rPr>
          <w:lang w:val="en-US"/>
        </w:rPr>
        <w:t xml:space="preserve"> et al., 200</w:t>
      </w:r>
      <w:r w:rsidRPr="002B5B40">
        <w:rPr>
          <w:lang w:val="en-US"/>
        </w:rPr>
        <w:t>9). Moreover, gender disparities in access to credit and income generation have been widely documented in Sub-Saharan Africa, with women often facing more stringent collateral requirements and receiving smaller loan amounts than their male counterparts (</w:t>
      </w:r>
      <w:proofErr w:type="spellStart"/>
      <w:r w:rsidRPr="002B5B40">
        <w:rPr>
          <w:lang w:val="en-US"/>
        </w:rPr>
        <w:t>Aterido</w:t>
      </w:r>
      <w:proofErr w:type="spellEnd"/>
      <w:r w:rsidR="005B55F0">
        <w:rPr>
          <w:lang w:val="en-US"/>
        </w:rPr>
        <w:t xml:space="preserve"> et al.</w:t>
      </w:r>
      <w:r w:rsidRPr="002B5B40">
        <w:rPr>
          <w:lang w:val="en-US"/>
        </w:rPr>
        <w:t xml:space="preserve">, 2013; </w:t>
      </w:r>
      <w:proofErr w:type="spellStart"/>
      <w:r w:rsidRPr="002B5B40">
        <w:rPr>
          <w:lang w:val="en-US"/>
        </w:rPr>
        <w:t>Fowowe</w:t>
      </w:r>
      <w:proofErr w:type="spellEnd"/>
      <w:r w:rsidRPr="002B5B40">
        <w:rPr>
          <w:lang w:val="en-US"/>
        </w:rPr>
        <w:t xml:space="preserve">, 2017). A descriptive design thus offers an appropriate means of highlighting these inequities within Kisangani’s financial landscape, where structural barriers and institutional lending practices may disproportionately disadvantage female entrepreneurs. The approach is also aligned with previous SME studies in low-income and fragile contexts that prioritize documenting financial patterns and </w:t>
      </w:r>
      <w:proofErr w:type="spellStart"/>
      <w:r w:rsidRPr="002B5B40">
        <w:rPr>
          <w:lang w:val="en-US"/>
        </w:rPr>
        <w:t>sectoral</w:t>
      </w:r>
      <w:proofErr w:type="spellEnd"/>
      <w:r w:rsidRPr="002B5B40">
        <w:rPr>
          <w:lang w:val="en-US"/>
        </w:rPr>
        <w:t xml:space="preserve"> heterogeneity to inform policy and further research (Beck &amp; </w:t>
      </w:r>
      <w:proofErr w:type="spellStart"/>
      <w:r w:rsidRPr="002B5B40">
        <w:rPr>
          <w:lang w:val="en-US"/>
        </w:rPr>
        <w:t>Demirgüç-Kunt</w:t>
      </w:r>
      <w:proofErr w:type="spellEnd"/>
      <w:r w:rsidRPr="002B5B40">
        <w:rPr>
          <w:lang w:val="en-US"/>
        </w:rPr>
        <w:t xml:space="preserve">, 2006). </w:t>
      </w:r>
    </w:p>
    <w:p w14:paraId="18FF3190" w14:textId="77777777" w:rsidR="002F03EE" w:rsidRDefault="002F03EE" w:rsidP="002B5B40">
      <w:pPr>
        <w:ind w:firstLine="567"/>
        <w:rPr>
          <w:lang w:val="en-US"/>
        </w:rPr>
      </w:pPr>
    </w:p>
    <w:p w14:paraId="111D2666" w14:textId="77777777" w:rsidR="00C017A6" w:rsidRPr="002B5B40" w:rsidRDefault="00C017A6" w:rsidP="000D1863">
      <w:pPr>
        <w:pStyle w:val="Titre1"/>
        <w:numPr>
          <w:ilvl w:val="0"/>
          <w:numId w:val="1"/>
        </w:numPr>
        <w:rPr>
          <w:lang w:val="en-US"/>
        </w:rPr>
      </w:pPr>
      <w:r>
        <w:rPr>
          <w:lang w:val="en-US"/>
        </w:rPr>
        <w:t>Results and Discussion</w:t>
      </w:r>
    </w:p>
    <w:p w14:paraId="2656DCAA" w14:textId="5FB5BB02" w:rsidR="00DB63C9" w:rsidRPr="002F03EE" w:rsidRDefault="002F03EE" w:rsidP="008B74CC">
      <w:pPr>
        <w:ind w:firstLine="567"/>
        <w:rPr>
          <w:lang w:val="en-US"/>
        </w:rPr>
      </w:pPr>
      <w:r w:rsidRPr="002F03EE">
        <w:rPr>
          <w:lang w:val="en-US"/>
        </w:rPr>
        <w:t>The descriptive evidence pres</w:t>
      </w:r>
      <w:r w:rsidR="009A6A15">
        <w:rPr>
          <w:lang w:val="en-US"/>
        </w:rPr>
        <w:t>ented in Table 2 highlights the</w:t>
      </w:r>
      <w:r w:rsidRPr="002F03EE">
        <w:rPr>
          <w:lang w:val="en-US"/>
        </w:rPr>
        <w:t xml:space="preserve"> role of revenue generation and collateral security in determining loan approval by commercial banks in Kisangani. The </w:t>
      </w:r>
      <w:r w:rsidRPr="002F03EE">
        <w:rPr>
          <w:lang w:val="en-US"/>
        </w:rPr>
        <w:lastRenderedPageBreak/>
        <w:t xml:space="preserve">table indicates that banks systematically require both proof of sufficient annual revenue and the provision of collateral securities before granting loans. When either collateral or revenue is missing, the likelihood of obtaining credit drops drastically, with cases where loans are either rejected or only partially granted in reduced amounts. </w:t>
      </w:r>
      <w:r w:rsidR="00804508">
        <w:rPr>
          <w:lang w:val="en-US"/>
        </w:rPr>
        <w:t xml:space="preserve">Table 2 </w:t>
      </w:r>
      <w:r w:rsidRPr="002F03EE">
        <w:rPr>
          <w:lang w:val="en-US"/>
        </w:rPr>
        <w:t xml:space="preserve">also underscores the tendency of financial institutions to adopt conservative lending practices in high-risk environments such as the </w:t>
      </w:r>
      <w:r w:rsidR="00804508">
        <w:rPr>
          <w:lang w:val="en-US"/>
        </w:rPr>
        <w:t>DRC</w:t>
      </w:r>
      <w:r w:rsidRPr="002F03EE">
        <w:rPr>
          <w:lang w:val="en-US"/>
        </w:rPr>
        <w:t>, often le</w:t>
      </w:r>
      <w:r w:rsidR="00804508">
        <w:rPr>
          <w:lang w:val="en-US"/>
        </w:rPr>
        <w:t xml:space="preserve">aving small-scale entrepreneurs </w:t>
      </w:r>
      <w:r w:rsidRPr="002F03EE">
        <w:rPr>
          <w:lang w:val="en-US"/>
        </w:rPr>
        <w:t>marginalized in credit markets (</w:t>
      </w:r>
      <w:proofErr w:type="spellStart"/>
      <w:r w:rsidRPr="002F03EE">
        <w:rPr>
          <w:lang w:val="en-US"/>
        </w:rPr>
        <w:t>Aterido</w:t>
      </w:r>
      <w:proofErr w:type="spellEnd"/>
      <w:r w:rsidR="00804508">
        <w:rPr>
          <w:lang w:val="en-US"/>
        </w:rPr>
        <w:t xml:space="preserve"> et al.</w:t>
      </w:r>
      <w:r w:rsidRPr="002F03EE">
        <w:rPr>
          <w:lang w:val="en-US"/>
        </w:rPr>
        <w:t>, 2013</w:t>
      </w:r>
      <w:r w:rsidR="00974623">
        <w:rPr>
          <w:lang w:val="en-US"/>
        </w:rPr>
        <w:t xml:space="preserve">; </w:t>
      </w:r>
      <w:r w:rsidR="00974623" w:rsidRPr="00E62B11">
        <w:rPr>
          <w:rFonts w:eastAsia="Times New Roman" w:cs="Times New Roman"/>
          <w:szCs w:val="24"/>
          <w:lang w:val="en-US" w:eastAsia="fr-FR"/>
        </w:rPr>
        <w:t xml:space="preserve">Kelly &amp; </w:t>
      </w:r>
      <w:proofErr w:type="spellStart"/>
      <w:r w:rsidR="00974623" w:rsidRPr="00E62B11">
        <w:rPr>
          <w:rFonts w:eastAsia="Times New Roman" w:cs="Times New Roman"/>
          <w:szCs w:val="24"/>
          <w:lang w:val="en-US" w:eastAsia="fr-FR"/>
        </w:rPr>
        <w:t>Rutazihana</w:t>
      </w:r>
      <w:proofErr w:type="spellEnd"/>
      <w:r w:rsidR="00974623" w:rsidRPr="00E62B11">
        <w:rPr>
          <w:rFonts w:eastAsia="Times New Roman" w:cs="Times New Roman"/>
          <w:szCs w:val="24"/>
          <w:lang w:val="en-US" w:eastAsia="fr-FR"/>
        </w:rPr>
        <w:t>, 2024</w:t>
      </w:r>
      <w:r w:rsidR="00974623">
        <w:rPr>
          <w:rFonts w:eastAsia="Times New Roman" w:cs="Times New Roman"/>
          <w:szCs w:val="24"/>
          <w:lang w:val="en-US" w:eastAsia="fr-FR"/>
        </w:rPr>
        <w:t xml:space="preserve">; </w:t>
      </w:r>
      <w:proofErr w:type="spellStart"/>
      <w:r w:rsidR="00974623">
        <w:rPr>
          <w:rFonts w:eastAsia="Times New Roman" w:cs="Times New Roman"/>
          <w:szCs w:val="24"/>
          <w:lang w:val="en-US" w:eastAsia="fr-FR"/>
        </w:rPr>
        <w:t>Wassou</w:t>
      </w:r>
      <w:proofErr w:type="spellEnd"/>
      <w:r w:rsidR="00974623">
        <w:rPr>
          <w:rFonts w:eastAsia="Times New Roman" w:cs="Times New Roman"/>
          <w:szCs w:val="24"/>
          <w:lang w:val="en-US" w:eastAsia="fr-FR"/>
        </w:rPr>
        <w:t xml:space="preserve"> et al., 2025</w:t>
      </w:r>
      <w:r w:rsidRPr="002F03EE">
        <w:rPr>
          <w:lang w:val="en-US"/>
        </w:rPr>
        <w:t>). The restrictive validation process observed here reveals structural bottlenecks that constrain entrepreneurial growth, thereby reinforcing the financing gap that has long characterized African SMEs (Beck &amp; Cull, 2014).</w:t>
      </w:r>
    </w:p>
    <w:p w14:paraId="6D5C35C7" w14:textId="77777777" w:rsidR="00C017A6" w:rsidRDefault="00C017A6" w:rsidP="00A26E78">
      <w:pPr>
        <w:rPr>
          <w:lang w:val="en-US"/>
        </w:rPr>
      </w:pPr>
      <w:r>
        <w:rPr>
          <w:lang w:val="en-US"/>
        </w:rPr>
        <w:t xml:space="preserve">Table 2: </w:t>
      </w:r>
      <w:r w:rsidR="00500893">
        <w:rPr>
          <w:lang w:val="en-US"/>
        </w:rPr>
        <w:t>Condition for Loan validation by Commercial Banks</w:t>
      </w:r>
    </w:p>
    <w:tbl>
      <w:tblPr>
        <w:tblW w:w="9160" w:type="dxa"/>
        <w:tblCellMar>
          <w:left w:w="70" w:type="dxa"/>
          <w:right w:w="70" w:type="dxa"/>
        </w:tblCellMar>
        <w:tblLook w:val="04A0" w:firstRow="1" w:lastRow="0" w:firstColumn="1" w:lastColumn="0" w:noHBand="0" w:noVBand="1"/>
      </w:tblPr>
      <w:tblGrid>
        <w:gridCol w:w="2240"/>
        <w:gridCol w:w="2860"/>
        <w:gridCol w:w="4060"/>
      </w:tblGrid>
      <w:tr w:rsidR="00CB7BDD" w:rsidRPr="00470EBF" w14:paraId="27D2FE29" w14:textId="77777777" w:rsidTr="00470EBF">
        <w:trPr>
          <w:trHeight w:val="300"/>
        </w:trPr>
        <w:tc>
          <w:tcPr>
            <w:tcW w:w="2240" w:type="dxa"/>
            <w:tcBorders>
              <w:top w:val="single" w:sz="4" w:space="0" w:color="auto"/>
              <w:left w:val="nil"/>
              <w:bottom w:val="single" w:sz="4" w:space="0" w:color="auto"/>
              <w:right w:val="nil"/>
            </w:tcBorders>
            <w:noWrap/>
            <w:vAlign w:val="bottom"/>
          </w:tcPr>
          <w:p w14:paraId="05881333" w14:textId="77777777" w:rsidR="00CB7BDD" w:rsidRPr="00470EBF" w:rsidRDefault="00CB7BDD" w:rsidP="00CB7BDD">
            <w:pPr>
              <w:spacing w:line="240" w:lineRule="auto"/>
              <w:rPr>
                <w:rFonts w:eastAsia="Times New Roman" w:cs="Times New Roman"/>
                <w:b/>
                <w:color w:val="000000"/>
              </w:rPr>
            </w:pPr>
            <w:proofErr w:type="spellStart"/>
            <w:r w:rsidRPr="00470EBF">
              <w:rPr>
                <w:rFonts w:eastAsia="Times New Roman" w:cs="Times New Roman"/>
                <w:b/>
                <w:color w:val="000000"/>
              </w:rPr>
              <w:t>Annual</w:t>
            </w:r>
            <w:proofErr w:type="spellEnd"/>
            <w:r w:rsidRPr="00470EBF">
              <w:rPr>
                <w:rFonts w:eastAsia="Times New Roman" w:cs="Times New Roman"/>
                <w:b/>
                <w:color w:val="000000"/>
              </w:rPr>
              <w:t xml:space="preserve"> Revenue</w:t>
            </w:r>
          </w:p>
        </w:tc>
        <w:tc>
          <w:tcPr>
            <w:tcW w:w="2860" w:type="dxa"/>
            <w:tcBorders>
              <w:top w:val="single" w:sz="4" w:space="0" w:color="auto"/>
              <w:left w:val="nil"/>
              <w:bottom w:val="single" w:sz="4" w:space="0" w:color="auto"/>
              <w:right w:val="nil"/>
            </w:tcBorders>
            <w:noWrap/>
            <w:vAlign w:val="bottom"/>
          </w:tcPr>
          <w:p w14:paraId="50554166" w14:textId="77777777" w:rsidR="00CB7BDD" w:rsidRPr="00470EBF" w:rsidRDefault="00CB7BDD" w:rsidP="00CB7BDD">
            <w:pPr>
              <w:spacing w:line="240" w:lineRule="auto"/>
              <w:rPr>
                <w:rFonts w:eastAsia="Times New Roman" w:cs="Times New Roman"/>
                <w:b/>
                <w:color w:val="000000"/>
              </w:rPr>
            </w:pPr>
            <w:proofErr w:type="spellStart"/>
            <w:r w:rsidRPr="00470EBF">
              <w:rPr>
                <w:rFonts w:eastAsia="Times New Roman" w:cs="Times New Roman"/>
                <w:b/>
                <w:color w:val="000000"/>
              </w:rPr>
              <w:t>Collateral</w:t>
            </w:r>
            <w:proofErr w:type="spellEnd"/>
            <w:r w:rsidRPr="00470EBF">
              <w:rPr>
                <w:rFonts w:eastAsia="Times New Roman" w:cs="Times New Roman"/>
                <w:b/>
                <w:color w:val="000000"/>
              </w:rPr>
              <w:t xml:space="preserve"> Security</w:t>
            </w:r>
          </w:p>
        </w:tc>
        <w:tc>
          <w:tcPr>
            <w:tcW w:w="4060" w:type="dxa"/>
            <w:tcBorders>
              <w:top w:val="single" w:sz="4" w:space="0" w:color="auto"/>
              <w:left w:val="nil"/>
              <w:bottom w:val="single" w:sz="4" w:space="0" w:color="auto"/>
              <w:right w:val="nil"/>
            </w:tcBorders>
            <w:noWrap/>
            <w:vAlign w:val="bottom"/>
          </w:tcPr>
          <w:p w14:paraId="71BAD6E5" w14:textId="77777777" w:rsidR="00CB7BDD" w:rsidRPr="00470EBF" w:rsidRDefault="00500893" w:rsidP="00CB7BDD">
            <w:pPr>
              <w:spacing w:line="240" w:lineRule="auto"/>
              <w:rPr>
                <w:rFonts w:eastAsia="Times New Roman" w:cs="Times New Roman"/>
                <w:b/>
                <w:color w:val="000000"/>
              </w:rPr>
            </w:pPr>
            <w:proofErr w:type="spellStart"/>
            <w:r w:rsidRPr="00470EBF">
              <w:rPr>
                <w:rFonts w:eastAsia="Times New Roman" w:cs="Times New Roman"/>
                <w:b/>
                <w:color w:val="000000"/>
              </w:rPr>
              <w:t>Loan</w:t>
            </w:r>
            <w:proofErr w:type="spellEnd"/>
            <w:r w:rsidRPr="00470EBF">
              <w:rPr>
                <w:rFonts w:eastAsia="Times New Roman" w:cs="Times New Roman"/>
                <w:b/>
                <w:color w:val="000000"/>
              </w:rPr>
              <w:t xml:space="preserve"> </w:t>
            </w:r>
            <w:proofErr w:type="spellStart"/>
            <w:r w:rsidRPr="00470EBF">
              <w:rPr>
                <w:rFonts w:eastAsia="Times New Roman" w:cs="Times New Roman"/>
                <w:b/>
                <w:color w:val="000000"/>
              </w:rPr>
              <w:t>Provided</w:t>
            </w:r>
            <w:proofErr w:type="spellEnd"/>
          </w:p>
        </w:tc>
      </w:tr>
      <w:tr w:rsidR="00CB7BDD" w:rsidRPr="00C017A6" w14:paraId="34C0547D" w14:textId="77777777" w:rsidTr="00470EBF">
        <w:trPr>
          <w:trHeight w:val="300"/>
        </w:trPr>
        <w:tc>
          <w:tcPr>
            <w:tcW w:w="2240" w:type="dxa"/>
            <w:tcBorders>
              <w:top w:val="single" w:sz="4" w:space="0" w:color="auto"/>
              <w:left w:val="nil"/>
              <w:bottom w:val="nil"/>
              <w:right w:val="nil"/>
            </w:tcBorders>
            <w:noWrap/>
            <w:vAlign w:val="bottom"/>
          </w:tcPr>
          <w:p w14:paraId="646D452E"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2860" w:type="dxa"/>
            <w:tcBorders>
              <w:top w:val="single" w:sz="4" w:space="0" w:color="auto"/>
              <w:left w:val="nil"/>
              <w:bottom w:val="nil"/>
              <w:right w:val="nil"/>
            </w:tcBorders>
            <w:noWrap/>
            <w:vAlign w:val="bottom"/>
          </w:tcPr>
          <w:p w14:paraId="4F03F131"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4060" w:type="dxa"/>
            <w:tcBorders>
              <w:top w:val="single" w:sz="4" w:space="0" w:color="auto"/>
              <w:left w:val="nil"/>
              <w:bottom w:val="nil"/>
              <w:right w:val="nil"/>
            </w:tcBorders>
            <w:noWrap/>
            <w:vAlign w:val="bottom"/>
          </w:tcPr>
          <w:p w14:paraId="6548CBD3"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r>
      <w:tr w:rsidR="00CB7BDD" w:rsidRPr="00C017A6" w14:paraId="0B7AE25F" w14:textId="77777777" w:rsidTr="009A6A15">
        <w:trPr>
          <w:trHeight w:val="300"/>
        </w:trPr>
        <w:tc>
          <w:tcPr>
            <w:tcW w:w="2240" w:type="dxa"/>
            <w:tcBorders>
              <w:top w:val="nil"/>
              <w:left w:val="nil"/>
              <w:bottom w:val="nil"/>
              <w:right w:val="nil"/>
            </w:tcBorders>
            <w:noWrap/>
            <w:vAlign w:val="bottom"/>
            <w:hideMark/>
          </w:tcPr>
          <w:p w14:paraId="51761C65"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2860" w:type="dxa"/>
            <w:tcBorders>
              <w:top w:val="nil"/>
              <w:left w:val="nil"/>
              <w:bottom w:val="nil"/>
              <w:right w:val="nil"/>
            </w:tcBorders>
            <w:noWrap/>
            <w:vAlign w:val="bottom"/>
            <w:hideMark/>
          </w:tcPr>
          <w:p w14:paraId="3B2C387E"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c>
          <w:tcPr>
            <w:tcW w:w="4060" w:type="dxa"/>
            <w:tcBorders>
              <w:top w:val="nil"/>
              <w:left w:val="nil"/>
              <w:bottom w:val="nil"/>
              <w:right w:val="nil"/>
            </w:tcBorders>
            <w:noWrap/>
            <w:vAlign w:val="bottom"/>
            <w:hideMark/>
          </w:tcPr>
          <w:p w14:paraId="2A7FFF89"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r w:rsidR="00CB7BDD" w:rsidRPr="00C017A6" w14:paraId="2AFD5E6E" w14:textId="77777777" w:rsidTr="009A6A15">
        <w:trPr>
          <w:trHeight w:val="300"/>
        </w:trPr>
        <w:tc>
          <w:tcPr>
            <w:tcW w:w="2240" w:type="dxa"/>
            <w:tcBorders>
              <w:top w:val="nil"/>
              <w:left w:val="nil"/>
              <w:bottom w:val="nil"/>
              <w:right w:val="nil"/>
            </w:tcBorders>
            <w:noWrap/>
            <w:vAlign w:val="bottom"/>
            <w:hideMark/>
          </w:tcPr>
          <w:p w14:paraId="044B0173"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 xml:space="preserve">YES but </w:t>
            </w:r>
            <w:proofErr w:type="spellStart"/>
            <w:r w:rsidRPr="00C017A6">
              <w:rPr>
                <w:rFonts w:eastAsia="Times New Roman" w:cs="Times New Roman"/>
                <w:color w:val="000000"/>
              </w:rPr>
              <w:t>Low</w:t>
            </w:r>
            <w:proofErr w:type="spellEnd"/>
          </w:p>
        </w:tc>
        <w:tc>
          <w:tcPr>
            <w:tcW w:w="2860" w:type="dxa"/>
            <w:tcBorders>
              <w:top w:val="nil"/>
              <w:left w:val="nil"/>
              <w:bottom w:val="nil"/>
              <w:right w:val="nil"/>
            </w:tcBorders>
            <w:noWrap/>
            <w:vAlign w:val="bottom"/>
            <w:hideMark/>
          </w:tcPr>
          <w:p w14:paraId="4C834F53"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c>
          <w:tcPr>
            <w:tcW w:w="4060" w:type="dxa"/>
            <w:tcBorders>
              <w:top w:val="nil"/>
              <w:left w:val="nil"/>
              <w:bottom w:val="nil"/>
              <w:right w:val="nil"/>
            </w:tcBorders>
            <w:noWrap/>
            <w:vAlign w:val="bottom"/>
            <w:hideMark/>
          </w:tcPr>
          <w:p w14:paraId="648705FB"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r w:rsidR="00CB7BDD" w:rsidRPr="00C017A6" w14:paraId="72B210EC" w14:textId="77777777" w:rsidTr="00DB63C9">
        <w:trPr>
          <w:trHeight w:val="300"/>
        </w:trPr>
        <w:tc>
          <w:tcPr>
            <w:tcW w:w="2240" w:type="dxa"/>
            <w:tcBorders>
              <w:top w:val="nil"/>
              <w:left w:val="nil"/>
              <w:right w:val="nil"/>
            </w:tcBorders>
            <w:noWrap/>
            <w:vAlign w:val="bottom"/>
            <w:hideMark/>
          </w:tcPr>
          <w:p w14:paraId="551C592F"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 xml:space="preserve">YES but </w:t>
            </w:r>
            <w:proofErr w:type="spellStart"/>
            <w:r w:rsidRPr="00C017A6">
              <w:rPr>
                <w:rFonts w:eastAsia="Times New Roman" w:cs="Times New Roman"/>
                <w:color w:val="000000"/>
              </w:rPr>
              <w:t>Low</w:t>
            </w:r>
            <w:proofErr w:type="spellEnd"/>
          </w:p>
        </w:tc>
        <w:tc>
          <w:tcPr>
            <w:tcW w:w="2860" w:type="dxa"/>
            <w:tcBorders>
              <w:top w:val="nil"/>
              <w:left w:val="nil"/>
              <w:right w:val="nil"/>
            </w:tcBorders>
            <w:noWrap/>
            <w:vAlign w:val="bottom"/>
            <w:hideMark/>
          </w:tcPr>
          <w:p w14:paraId="3B9634E5"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4060" w:type="dxa"/>
            <w:tcBorders>
              <w:top w:val="nil"/>
              <w:left w:val="nil"/>
              <w:right w:val="nil"/>
            </w:tcBorders>
            <w:noWrap/>
            <w:vAlign w:val="bottom"/>
            <w:hideMark/>
          </w:tcPr>
          <w:p w14:paraId="0C780059"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r w:rsidR="00CB7BDD" w:rsidRPr="00C017A6" w14:paraId="52F6EFA3" w14:textId="77777777" w:rsidTr="00DB63C9">
        <w:trPr>
          <w:trHeight w:val="300"/>
        </w:trPr>
        <w:tc>
          <w:tcPr>
            <w:tcW w:w="2240" w:type="dxa"/>
            <w:tcBorders>
              <w:top w:val="nil"/>
              <w:left w:val="nil"/>
              <w:bottom w:val="single" w:sz="4" w:space="0" w:color="auto"/>
              <w:right w:val="nil"/>
            </w:tcBorders>
            <w:noWrap/>
            <w:vAlign w:val="bottom"/>
            <w:hideMark/>
          </w:tcPr>
          <w:p w14:paraId="34402F96"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c>
          <w:tcPr>
            <w:tcW w:w="2860" w:type="dxa"/>
            <w:tcBorders>
              <w:top w:val="nil"/>
              <w:left w:val="nil"/>
              <w:bottom w:val="single" w:sz="4" w:space="0" w:color="auto"/>
              <w:right w:val="nil"/>
            </w:tcBorders>
            <w:noWrap/>
            <w:vAlign w:val="bottom"/>
            <w:hideMark/>
          </w:tcPr>
          <w:p w14:paraId="1D6E5F17"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4060" w:type="dxa"/>
            <w:tcBorders>
              <w:top w:val="nil"/>
              <w:left w:val="nil"/>
              <w:bottom w:val="single" w:sz="4" w:space="0" w:color="auto"/>
              <w:right w:val="nil"/>
            </w:tcBorders>
            <w:noWrap/>
            <w:vAlign w:val="bottom"/>
            <w:hideMark/>
          </w:tcPr>
          <w:p w14:paraId="2E42C7C7"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bl>
    <w:p w14:paraId="665431F4" w14:textId="77777777" w:rsidR="00C017A6" w:rsidRDefault="00C017A6" w:rsidP="00A26E78">
      <w:pPr>
        <w:rPr>
          <w:lang w:val="en-US"/>
        </w:rPr>
      </w:pPr>
    </w:p>
    <w:p w14:paraId="470D5381" w14:textId="4F53B9CD" w:rsidR="00772C06" w:rsidRPr="001F5438" w:rsidRDefault="001F5438" w:rsidP="001F5438">
      <w:pPr>
        <w:ind w:firstLine="567"/>
        <w:rPr>
          <w:lang w:val="en-US"/>
        </w:rPr>
      </w:pPr>
      <w:r w:rsidRPr="001F5438">
        <w:rPr>
          <w:lang w:val="en-US"/>
        </w:rPr>
        <w:t>Table 3 presents the demographic composition of the SME owners surveyed, revealing a striking gender imbalance. Out of 267 entrepreneurs in the sample, 246 (92.13%) are male, compared to only 21 (7.87%) who are female. This overwhelming male dominance in entrepreneurship is consistent with patterns reported in other African economies, where socio-cultural norms, lower access to education, and financial discrimination limit women’s participation in formal entrepreneurial activities (</w:t>
      </w:r>
      <w:proofErr w:type="spellStart"/>
      <w:r w:rsidRPr="001F5438">
        <w:rPr>
          <w:lang w:val="en-US"/>
        </w:rPr>
        <w:t>Minniti</w:t>
      </w:r>
      <w:proofErr w:type="spellEnd"/>
      <w:r w:rsidRPr="001F5438">
        <w:rPr>
          <w:lang w:val="en-US"/>
        </w:rPr>
        <w:t xml:space="preserve"> &amp; </w:t>
      </w:r>
      <w:proofErr w:type="spellStart"/>
      <w:r w:rsidRPr="001F5438">
        <w:rPr>
          <w:lang w:val="en-US"/>
        </w:rPr>
        <w:t>Naudé</w:t>
      </w:r>
      <w:proofErr w:type="spellEnd"/>
      <w:r w:rsidRPr="001F5438">
        <w:rPr>
          <w:lang w:val="en-US"/>
        </w:rPr>
        <w:t>, 2010). The underrepresentation of women in Kisangani’s SME sector not only reflects structural gender inequalities but also highlights why gender remains a critical variable in understanding credit access and income generation. Such disparities align with findings from Sub-Saharan Africa indicating that women are often concentrated in smaller, less capital-intensive businesses and face greater barriers to scaling up due to restricted access to finance (</w:t>
      </w:r>
      <w:proofErr w:type="spellStart"/>
      <w:r w:rsidRPr="001F5438">
        <w:rPr>
          <w:lang w:val="en-US"/>
        </w:rPr>
        <w:t>Fowowe</w:t>
      </w:r>
      <w:proofErr w:type="spellEnd"/>
      <w:r w:rsidRPr="001F5438">
        <w:rPr>
          <w:lang w:val="en-US"/>
        </w:rPr>
        <w:t>, 2017</w:t>
      </w:r>
      <w:r w:rsidR="00A865A6">
        <w:rPr>
          <w:lang w:val="en-US"/>
        </w:rPr>
        <w:t xml:space="preserve">; </w:t>
      </w:r>
      <w:proofErr w:type="spellStart"/>
      <w:r w:rsidR="00A865A6" w:rsidRPr="00E62B11">
        <w:rPr>
          <w:rFonts w:eastAsia="Times New Roman" w:cs="Times New Roman"/>
          <w:szCs w:val="24"/>
          <w:lang w:val="en-US" w:eastAsia="fr-FR"/>
        </w:rPr>
        <w:t>Feuzeu</w:t>
      </w:r>
      <w:proofErr w:type="spellEnd"/>
      <w:r w:rsidR="00A865A6">
        <w:rPr>
          <w:rFonts w:eastAsia="Times New Roman" w:cs="Times New Roman"/>
          <w:szCs w:val="24"/>
          <w:lang w:val="en-US" w:eastAsia="fr-FR"/>
        </w:rPr>
        <w:t xml:space="preserve"> </w:t>
      </w:r>
      <w:r w:rsidR="00A865A6" w:rsidRPr="00E62B11">
        <w:rPr>
          <w:rFonts w:eastAsia="Times New Roman" w:cs="Times New Roman"/>
          <w:szCs w:val="24"/>
          <w:lang w:val="en-US" w:eastAsia="fr-FR"/>
        </w:rPr>
        <w:t>&amp; Kelly, 2025</w:t>
      </w:r>
      <w:r w:rsidRPr="001F5438">
        <w:rPr>
          <w:lang w:val="en-US"/>
        </w:rPr>
        <w:t>). The limited participation of women in the sample thus illustrates both systemic exclusion and the potential missed opportunities for inclusive economic growth in Kisangani.</w:t>
      </w:r>
    </w:p>
    <w:p w14:paraId="65494AFC" w14:textId="77777777" w:rsidR="00772C06" w:rsidRDefault="00772C06" w:rsidP="00A26E78">
      <w:pPr>
        <w:rPr>
          <w:lang w:val="en-US"/>
        </w:rPr>
      </w:pPr>
      <w:r>
        <w:rPr>
          <w:lang w:val="en-US"/>
        </w:rPr>
        <w:t xml:space="preserve">Table 3: Demographic </w:t>
      </w:r>
      <w:r w:rsidR="00BE206D">
        <w:rPr>
          <w:lang w:val="en-US"/>
        </w:rPr>
        <w:t>Characteristics of the Sample</w:t>
      </w:r>
    </w:p>
    <w:tbl>
      <w:tblPr>
        <w:tblW w:w="0" w:type="auto"/>
        <w:tblLayout w:type="fixed"/>
        <w:tblLook w:val="0000" w:firstRow="0" w:lastRow="0" w:firstColumn="0" w:lastColumn="0" w:noHBand="0" w:noVBand="0"/>
      </w:tblPr>
      <w:tblGrid>
        <w:gridCol w:w="2547"/>
        <w:gridCol w:w="1753"/>
        <w:gridCol w:w="1753"/>
        <w:gridCol w:w="1756"/>
      </w:tblGrid>
      <w:tr w:rsidR="00BE206D" w14:paraId="00691D07" w14:textId="77777777" w:rsidTr="008B74CC">
        <w:trPr>
          <w:trHeight w:val="320"/>
        </w:trPr>
        <w:tc>
          <w:tcPr>
            <w:tcW w:w="2547" w:type="dxa"/>
            <w:tcBorders>
              <w:top w:val="single" w:sz="4" w:space="0" w:color="auto"/>
              <w:left w:val="nil"/>
              <w:bottom w:val="single" w:sz="10" w:space="0" w:color="auto"/>
              <w:right w:val="nil"/>
            </w:tcBorders>
          </w:tcPr>
          <w:p w14:paraId="47CE9E8E" w14:textId="77777777" w:rsidR="00BE206D" w:rsidRDefault="00BE206D" w:rsidP="009A6A15">
            <w:pPr>
              <w:widowControl w:val="0"/>
              <w:autoSpaceDE w:val="0"/>
              <w:autoSpaceDN w:val="0"/>
              <w:adjustRightInd w:val="0"/>
              <w:spacing w:line="240" w:lineRule="auto"/>
              <w:rPr>
                <w:rFonts w:cs="Times New Roman"/>
                <w:szCs w:val="24"/>
                <w:lang w:val="en-US"/>
              </w:rPr>
            </w:pPr>
            <w:proofErr w:type="spellStart"/>
            <w:r>
              <w:rPr>
                <w:rFonts w:cs="Times New Roman"/>
                <w:szCs w:val="24"/>
                <w:lang w:val="en-US"/>
              </w:rPr>
              <w:t>Sexe</w:t>
            </w:r>
            <w:proofErr w:type="spellEnd"/>
          </w:p>
        </w:tc>
        <w:tc>
          <w:tcPr>
            <w:tcW w:w="1753" w:type="dxa"/>
            <w:tcBorders>
              <w:top w:val="single" w:sz="4" w:space="0" w:color="auto"/>
              <w:left w:val="nil"/>
              <w:bottom w:val="single" w:sz="10" w:space="0" w:color="auto"/>
              <w:right w:val="nil"/>
            </w:tcBorders>
          </w:tcPr>
          <w:p w14:paraId="5CA594D6"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753" w:type="dxa"/>
            <w:tcBorders>
              <w:top w:val="single" w:sz="4" w:space="0" w:color="auto"/>
              <w:left w:val="nil"/>
              <w:bottom w:val="single" w:sz="10" w:space="0" w:color="auto"/>
              <w:right w:val="nil"/>
            </w:tcBorders>
          </w:tcPr>
          <w:p w14:paraId="574BBB1E"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756" w:type="dxa"/>
            <w:tcBorders>
              <w:top w:val="single" w:sz="4" w:space="0" w:color="auto"/>
              <w:left w:val="nil"/>
              <w:bottom w:val="single" w:sz="10" w:space="0" w:color="auto"/>
              <w:right w:val="nil"/>
            </w:tcBorders>
          </w:tcPr>
          <w:p w14:paraId="0F5664E3"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E206D" w14:paraId="621200DE" w14:textId="77777777" w:rsidTr="008B74CC">
        <w:trPr>
          <w:trHeight w:val="173"/>
        </w:trPr>
        <w:tc>
          <w:tcPr>
            <w:tcW w:w="2547" w:type="dxa"/>
            <w:tcBorders>
              <w:top w:val="nil"/>
              <w:left w:val="nil"/>
              <w:bottom w:val="nil"/>
              <w:right w:val="nil"/>
            </w:tcBorders>
          </w:tcPr>
          <w:p w14:paraId="5B8B50BC"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F</w:t>
            </w:r>
          </w:p>
        </w:tc>
        <w:tc>
          <w:tcPr>
            <w:tcW w:w="1753" w:type="dxa"/>
            <w:tcBorders>
              <w:top w:val="nil"/>
              <w:left w:val="nil"/>
              <w:bottom w:val="nil"/>
              <w:right w:val="nil"/>
            </w:tcBorders>
          </w:tcPr>
          <w:p w14:paraId="0AA5292C"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753" w:type="dxa"/>
            <w:tcBorders>
              <w:top w:val="nil"/>
              <w:left w:val="nil"/>
              <w:bottom w:val="nil"/>
              <w:right w:val="nil"/>
            </w:tcBorders>
          </w:tcPr>
          <w:p w14:paraId="7D293BEC"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7.87</w:t>
            </w:r>
          </w:p>
        </w:tc>
        <w:tc>
          <w:tcPr>
            <w:tcW w:w="1756" w:type="dxa"/>
            <w:tcBorders>
              <w:top w:val="nil"/>
              <w:left w:val="nil"/>
              <w:bottom w:val="nil"/>
              <w:right w:val="nil"/>
            </w:tcBorders>
          </w:tcPr>
          <w:p w14:paraId="31ECBCC1"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7.87</w:t>
            </w:r>
          </w:p>
        </w:tc>
      </w:tr>
      <w:tr w:rsidR="00BE206D" w14:paraId="1A0A2D3B" w14:textId="77777777" w:rsidTr="008B74CC">
        <w:trPr>
          <w:trHeight w:val="164"/>
        </w:trPr>
        <w:tc>
          <w:tcPr>
            <w:tcW w:w="2547" w:type="dxa"/>
            <w:tcBorders>
              <w:top w:val="nil"/>
              <w:left w:val="nil"/>
              <w:bottom w:val="single" w:sz="4" w:space="0" w:color="auto"/>
              <w:right w:val="nil"/>
            </w:tcBorders>
          </w:tcPr>
          <w:p w14:paraId="67B82CCC"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M</w:t>
            </w:r>
          </w:p>
        </w:tc>
        <w:tc>
          <w:tcPr>
            <w:tcW w:w="1753" w:type="dxa"/>
            <w:tcBorders>
              <w:top w:val="nil"/>
              <w:left w:val="nil"/>
              <w:bottom w:val="single" w:sz="4" w:space="0" w:color="auto"/>
              <w:right w:val="nil"/>
            </w:tcBorders>
          </w:tcPr>
          <w:p w14:paraId="1F9B7A62"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753" w:type="dxa"/>
            <w:tcBorders>
              <w:top w:val="nil"/>
              <w:left w:val="nil"/>
              <w:bottom w:val="single" w:sz="4" w:space="0" w:color="auto"/>
              <w:right w:val="nil"/>
            </w:tcBorders>
          </w:tcPr>
          <w:p w14:paraId="2AB2C723"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92.13</w:t>
            </w:r>
          </w:p>
        </w:tc>
        <w:tc>
          <w:tcPr>
            <w:tcW w:w="1756" w:type="dxa"/>
            <w:tcBorders>
              <w:top w:val="nil"/>
              <w:left w:val="nil"/>
              <w:bottom w:val="single" w:sz="4" w:space="0" w:color="auto"/>
              <w:right w:val="nil"/>
            </w:tcBorders>
          </w:tcPr>
          <w:p w14:paraId="278E52C6"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E206D" w14:paraId="683BFEA9" w14:textId="77777777" w:rsidTr="008B74CC">
        <w:trPr>
          <w:trHeight w:val="164"/>
        </w:trPr>
        <w:tc>
          <w:tcPr>
            <w:tcW w:w="2547" w:type="dxa"/>
            <w:tcBorders>
              <w:top w:val="single" w:sz="4" w:space="0" w:color="auto"/>
              <w:left w:val="nil"/>
              <w:bottom w:val="single" w:sz="4" w:space="0" w:color="auto"/>
              <w:right w:val="nil"/>
            </w:tcBorders>
          </w:tcPr>
          <w:p w14:paraId="1375E5DC"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753" w:type="dxa"/>
            <w:tcBorders>
              <w:top w:val="single" w:sz="4" w:space="0" w:color="auto"/>
              <w:left w:val="nil"/>
              <w:bottom w:val="single" w:sz="4" w:space="0" w:color="auto"/>
              <w:right w:val="nil"/>
            </w:tcBorders>
          </w:tcPr>
          <w:p w14:paraId="2CFFEFF5"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753" w:type="dxa"/>
            <w:tcBorders>
              <w:top w:val="single" w:sz="4" w:space="0" w:color="auto"/>
              <w:left w:val="nil"/>
              <w:bottom w:val="single" w:sz="4" w:space="0" w:color="auto"/>
              <w:right w:val="nil"/>
            </w:tcBorders>
          </w:tcPr>
          <w:p w14:paraId="71A544F8"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756" w:type="dxa"/>
            <w:tcBorders>
              <w:top w:val="single" w:sz="4" w:space="0" w:color="auto"/>
              <w:left w:val="nil"/>
              <w:bottom w:val="single" w:sz="4" w:space="0" w:color="auto"/>
              <w:right w:val="nil"/>
            </w:tcBorders>
          </w:tcPr>
          <w:p w14:paraId="6C53DC6C" w14:textId="77777777" w:rsidR="00BE206D" w:rsidRDefault="00BE206D" w:rsidP="009A6A15">
            <w:pPr>
              <w:widowControl w:val="0"/>
              <w:autoSpaceDE w:val="0"/>
              <w:autoSpaceDN w:val="0"/>
              <w:adjustRightInd w:val="0"/>
              <w:spacing w:line="240" w:lineRule="auto"/>
              <w:jc w:val="right"/>
              <w:rPr>
                <w:rFonts w:cs="Times New Roman"/>
                <w:szCs w:val="24"/>
                <w:lang w:val="en-US"/>
              </w:rPr>
            </w:pPr>
          </w:p>
        </w:tc>
      </w:tr>
    </w:tbl>
    <w:p w14:paraId="60A59B18" w14:textId="77777777" w:rsidR="00BE206D" w:rsidRDefault="00BE206D" w:rsidP="00A26E78">
      <w:pPr>
        <w:rPr>
          <w:lang w:val="en-US"/>
        </w:rPr>
      </w:pPr>
    </w:p>
    <w:p w14:paraId="4C3BD1AB" w14:textId="08E0F39E" w:rsidR="00932C49" w:rsidRPr="00932C49" w:rsidRDefault="00932C49" w:rsidP="00932C49">
      <w:pPr>
        <w:ind w:firstLine="567"/>
        <w:rPr>
          <w:lang w:val="en-US"/>
        </w:rPr>
      </w:pPr>
      <w:r w:rsidRPr="00932C49">
        <w:rPr>
          <w:lang w:val="en-US"/>
        </w:rPr>
        <w:lastRenderedPageBreak/>
        <w:t xml:space="preserve">Table 4 complements this by disaggregating </w:t>
      </w:r>
      <w:proofErr w:type="spellStart"/>
      <w:r w:rsidRPr="00932C49">
        <w:rPr>
          <w:lang w:val="en-US"/>
        </w:rPr>
        <w:t>sectoral</w:t>
      </w:r>
      <w:proofErr w:type="spellEnd"/>
      <w:r w:rsidRPr="00932C49">
        <w:rPr>
          <w:lang w:val="en-US"/>
        </w:rPr>
        <w:t xml:space="preserve"> participation by gender, which further exposes structural inequalities in entrepreneurship. The results show that 100% of female entrepreneurs are concentrated in the commerce sector, with none represented in production or services. In contrast, male entrepreneurs dominate across all three sectors: 95.53% in commerce, 0.41% in production, and 4.07% in services. This distribution highlights how women in Kisangani are confined to trading activities, typically characterized by lower capital intensity and limited growth potential, while men diversify into production and services, sectors often associated with higher value addition and greater income-generating opportunities. Such gendered </w:t>
      </w:r>
      <w:proofErr w:type="spellStart"/>
      <w:r w:rsidRPr="00932C49">
        <w:rPr>
          <w:lang w:val="en-US"/>
        </w:rPr>
        <w:t>sectoral</w:t>
      </w:r>
      <w:proofErr w:type="spellEnd"/>
      <w:r w:rsidRPr="00932C49">
        <w:rPr>
          <w:lang w:val="en-US"/>
        </w:rPr>
        <w:t xml:space="preserve"> segmentation echoes earlier research noting that women entrepreneurs in Africa are disproportionately clustered in trade and petty commerce, while men are more engaged in manufacturing and service-oriented businesses (</w:t>
      </w:r>
      <w:proofErr w:type="spellStart"/>
      <w:r w:rsidRPr="00932C49">
        <w:rPr>
          <w:lang w:val="en-US"/>
        </w:rPr>
        <w:t>Aterido</w:t>
      </w:r>
      <w:proofErr w:type="spellEnd"/>
      <w:r w:rsidRPr="00932C49">
        <w:rPr>
          <w:lang w:val="en-US"/>
        </w:rPr>
        <w:t xml:space="preserve"> et al., 2013</w:t>
      </w:r>
      <w:r w:rsidR="00A865A6">
        <w:rPr>
          <w:lang w:val="en-US"/>
        </w:rPr>
        <w:t xml:space="preserve">; </w:t>
      </w:r>
      <w:r w:rsidR="00A865A6" w:rsidRPr="00E62B11">
        <w:rPr>
          <w:rFonts w:eastAsia="Times New Roman" w:cs="Times New Roman"/>
          <w:szCs w:val="24"/>
          <w:lang w:val="en-US" w:eastAsia="fr-FR"/>
        </w:rPr>
        <w:t>Kelly, 2025</w:t>
      </w:r>
      <w:r w:rsidRPr="00932C49">
        <w:rPr>
          <w:lang w:val="en-US"/>
        </w:rPr>
        <w:t>). This occupational segregation reinforces income gaps and exacerbates the challenges women face in accessing bank loans, since banks tend to prioritize sectors with higher expected returns. The fin</w:t>
      </w:r>
      <w:r w:rsidR="000B6AAF">
        <w:rPr>
          <w:lang w:val="en-US"/>
        </w:rPr>
        <w:t>dings from Table 4 thus provide</w:t>
      </w:r>
      <w:r w:rsidRPr="00932C49">
        <w:rPr>
          <w:lang w:val="en-US"/>
        </w:rPr>
        <w:t xml:space="preserve"> evidence of structural gender-based inequalities in entrepreneurial opportunities in Kisangani, directly shaping both lending practices and income generation outcomes.</w:t>
      </w:r>
    </w:p>
    <w:p w14:paraId="2DE760D1" w14:textId="77777777" w:rsidR="00BE206D" w:rsidRDefault="009E35A8" w:rsidP="00A26E78">
      <w:pPr>
        <w:rPr>
          <w:lang w:val="en-US"/>
        </w:rPr>
      </w:pPr>
      <w:r>
        <w:rPr>
          <w:lang w:val="en-US"/>
        </w:rPr>
        <w:t>Table 4: Distribution of Activity Sector</w:t>
      </w:r>
    </w:p>
    <w:tbl>
      <w:tblPr>
        <w:tblW w:w="8647" w:type="dxa"/>
        <w:tblLayout w:type="fixed"/>
        <w:tblLook w:val="0000" w:firstRow="0" w:lastRow="0" w:firstColumn="0" w:lastColumn="0" w:noHBand="0" w:noVBand="0"/>
      </w:tblPr>
      <w:tblGrid>
        <w:gridCol w:w="2108"/>
        <w:gridCol w:w="1011"/>
        <w:gridCol w:w="1134"/>
        <w:gridCol w:w="992"/>
        <w:gridCol w:w="992"/>
        <w:gridCol w:w="1134"/>
        <w:gridCol w:w="1276"/>
      </w:tblGrid>
      <w:tr w:rsidR="009E35A8" w14:paraId="7EE75B46" w14:textId="77777777" w:rsidTr="00F370F3">
        <w:tc>
          <w:tcPr>
            <w:tcW w:w="2108" w:type="dxa"/>
            <w:vMerge w:val="restart"/>
            <w:tcBorders>
              <w:top w:val="single" w:sz="4" w:space="0" w:color="auto"/>
              <w:left w:val="nil"/>
              <w:right w:val="nil"/>
            </w:tcBorders>
          </w:tcPr>
          <w:p w14:paraId="207A07A5"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Activity Sector</w:t>
            </w:r>
          </w:p>
        </w:tc>
        <w:tc>
          <w:tcPr>
            <w:tcW w:w="3137" w:type="dxa"/>
            <w:gridSpan w:val="3"/>
            <w:tcBorders>
              <w:top w:val="single" w:sz="4" w:space="0" w:color="auto"/>
              <w:left w:val="nil"/>
              <w:bottom w:val="single" w:sz="10" w:space="0" w:color="auto"/>
              <w:right w:val="nil"/>
            </w:tcBorders>
          </w:tcPr>
          <w:p w14:paraId="048416FE" w14:textId="77777777" w:rsidR="009E35A8" w:rsidRPr="00E82F9F" w:rsidRDefault="009E35A8" w:rsidP="009A6A15">
            <w:pPr>
              <w:widowControl w:val="0"/>
              <w:autoSpaceDE w:val="0"/>
              <w:autoSpaceDN w:val="0"/>
              <w:adjustRightInd w:val="0"/>
              <w:spacing w:line="240" w:lineRule="auto"/>
              <w:jc w:val="center"/>
              <w:rPr>
                <w:rFonts w:cs="Times New Roman"/>
                <w:b/>
                <w:szCs w:val="24"/>
                <w:lang w:val="en-US"/>
              </w:rPr>
            </w:pPr>
            <w:r w:rsidRPr="00E82F9F">
              <w:rPr>
                <w:rFonts w:cs="Times New Roman"/>
                <w:b/>
                <w:szCs w:val="24"/>
                <w:lang w:val="en-US"/>
              </w:rPr>
              <w:t>Female</w:t>
            </w:r>
          </w:p>
        </w:tc>
        <w:tc>
          <w:tcPr>
            <w:tcW w:w="3402" w:type="dxa"/>
            <w:gridSpan w:val="3"/>
            <w:tcBorders>
              <w:top w:val="single" w:sz="4" w:space="0" w:color="auto"/>
              <w:left w:val="nil"/>
              <w:bottom w:val="single" w:sz="10" w:space="0" w:color="auto"/>
              <w:right w:val="nil"/>
            </w:tcBorders>
          </w:tcPr>
          <w:p w14:paraId="5A72BDC7" w14:textId="77777777" w:rsidR="009E35A8" w:rsidRPr="00E82F9F" w:rsidRDefault="009E35A8" w:rsidP="009A6A15">
            <w:pPr>
              <w:widowControl w:val="0"/>
              <w:autoSpaceDE w:val="0"/>
              <w:autoSpaceDN w:val="0"/>
              <w:adjustRightInd w:val="0"/>
              <w:spacing w:line="240" w:lineRule="auto"/>
              <w:jc w:val="center"/>
              <w:rPr>
                <w:rFonts w:cs="Times New Roman"/>
                <w:b/>
                <w:szCs w:val="24"/>
                <w:lang w:val="en-US"/>
              </w:rPr>
            </w:pPr>
            <w:r w:rsidRPr="00E82F9F">
              <w:rPr>
                <w:rFonts w:cs="Times New Roman"/>
                <w:b/>
                <w:szCs w:val="24"/>
                <w:lang w:val="en-US"/>
              </w:rPr>
              <w:t>Male</w:t>
            </w:r>
          </w:p>
        </w:tc>
      </w:tr>
      <w:tr w:rsidR="009E35A8" w14:paraId="71F27A19" w14:textId="77777777" w:rsidTr="00F370F3">
        <w:tc>
          <w:tcPr>
            <w:tcW w:w="2108" w:type="dxa"/>
            <w:vMerge/>
            <w:tcBorders>
              <w:left w:val="nil"/>
              <w:bottom w:val="single" w:sz="10" w:space="0" w:color="auto"/>
              <w:right w:val="nil"/>
            </w:tcBorders>
          </w:tcPr>
          <w:p w14:paraId="0CA5806C" w14:textId="77777777" w:rsidR="009E35A8" w:rsidRDefault="009E35A8" w:rsidP="009A6A15">
            <w:pPr>
              <w:widowControl w:val="0"/>
              <w:autoSpaceDE w:val="0"/>
              <w:autoSpaceDN w:val="0"/>
              <w:adjustRightInd w:val="0"/>
              <w:spacing w:line="240" w:lineRule="auto"/>
              <w:rPr>
                <w:rFonts w:cs="Times New Roman"/>
                <w:szCs w:val="24"/>
                <w:lang w:val="en-US"/>
              </w:rPr>
            </w:pPr>
          </w:p>
        </w:tc>
        <w:tc>
          <w:tcPr>
            <w:tcW w:w="1011" w:type="dxa"/>
            <w:tcBorders>
              <w:top w:val="single" w:sz="4" w:space="0" w:color="auto"/>
              <w:left w:val="nil"/>
              <w:bottom w:val="single" w:sz="10" w:space="0" w:color="auto"/>
              <w:right w:val="nil"/>
            </w:tcBorders>
          </w:tcPr>
          <w:p w14:paraId="443C699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34" w:type="dxa"/>
            <w:tcBorders>
              <w:top w:val="single" w:sz="4" w:space="0" w:color="auto"/>
              <w:left w:val="nil"/>
              <w:bottom w:val="single" w:sz="10" w:space="0" w:color="auto"/>
              <w:right w:val="nil"/>
            </w:tcBorders>
          </w:tcPr>
          <w:p w14:paraId="5CAC25E4"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992" w:type="dxa"/>
            <w:tcBorders>
              <w:top w:val="single" w:sz="4" w:space="0" w:color="auto"/>
              <w:left w:val="nil"/>
              <w:bottom w:val="single" w:sz="10" w:space="0" w:color="auto"/>
              <w:right w:val="nil"/>
            </w:tcBorders>
          </w:tcPr>
          <w:p w14:paraId="533679B6"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992" w:type="dxa"/>
            <w:tcBorders>
              <w:top w:val="single" w:sz="4" w:space="0" w:color="auto"/>
              <w:left w:val="nil"/>
              <w:bottom w:val="single" w:sz="10" w:space="0" w:color="auto"/>
              <w:right w:val="nil"/>
            </w:tcBorders>
          </w:tcPr>
          <w:p w14:paraId="6BE82BCF"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34" w:type="dxa"/>
            <w:tcBorders>
              <w:top w:val="single" w:sz="4" w:space="0" w:color="auto"/>
              <w:left w:val="nil"/>
              <w:bottom w:val="single" w:sz="10" w:space="0" w:color="auto"/>
              <w:right w:val="nil"/>
            </w:tcBorders>
          </w:tcPr>
          <w:p w14:paraId="44E5853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276" w:type="dxa"/>
            <w:tcBorders>
              <w:top w:val="single" w:sz="4" w:space="0" w:color="auto"/>
              <w:left w:val="nil"/>
              <w:bottom w:val="single" w:sz="10" w:space="0" w:color="auto"/>
              <w:right w:val="nil"/>
            </w:tcBorders>
          </w:tcPr>
          <w:p w14:paraId="34350AF7"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9E35A8" w14:paraId="12908270" w14:textId="77777777" w:rsidTr="00F370F3">
        <w:tc>
          <w:tcPr>
            <w:tcW w:w="2108" w:type="dxa"/>
            <w:tcBorders>
              <w:top w:val="nil"/>
              <w:left w:val="nil"/>
              <w:bottom w:val="nil"/>
              <w:right w:val="nil"/>
            </w:tcBorders>
          </w:tcPr>
          <w:p w14:paraId="7E42FF26"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COMMERCE</w:t>
            </w:r>
          </w:p>
        </w:tc>
        <w:tc>
          <w:tcPr>
            <w:tcW w:w="1011" w:type="dxa"/>
            <w:tcBorders>
              <w:top w:val="nil"/>
              <w:left w:val="nil"/>
              <w:bottom w:val="nil"/>
              <w:right w:val="nil"/>
            </w:tcBorders>
          </w:tcPr>
          <w:p w14:paraId="6B434E90"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34" w:type="dxa"/>
            <w:tcBorders>
              <w:top w:val="nil"/>
              <w:left w:val="nil"/>
              <w:bottom w:val="nil"/>
              <w:right w:val="nil"/>
            </w:tcBorders>
          </w:tcPr>
          <w:p w14:paraId="1029CA99"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992" w:type="dxa"/>
            <w:tcBorders>
              <w:top w:val="nil"/>
              <w:left w:val="nil"/>
              <w:bottom w:val="nil"/>
              <w:right w:val="nil"/>
            </w:tcBorders>
          </w:tcPr>
          <w:p w14:paraId="2E4E12C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992" w:type="dxa"/>
            <w:tcBorders>
              <w:top w:val="nil"/>
              <w:left w:val="nil"/>
              <w:bottom w:val="nil"/>
              <w:right w:val="nil"/>
            </w:tcBorders>
          </w:tcPr>
          <w:p w14:paraId="0433CCF7"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235</w:t>
            </w:r>
          </w:p>
        </w:tc>
        <w:tc>
          <w:tcPr>
            <w:tcW w:w="1134" w:type="dxa"/>
            <w:tcBorders>
              <w:top w:val="nil"/>
              <w:left w:val="nil"/>
              <w:bottom w:val="nil"/>
              <w:right w:val="nil"/>
            </w:tcBorders>
          </w:tcPr>
          <w:p w14:paraId="524AE3B1"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95.53</w:t>
            </w:r>
          </w:p>
        </w:tc>
        <w:tc>
          <w:tcPr>
            <w:tcW w:w="1276" w:type="dxa"/>
            <w:tcBorders>
              <w:top w:val="nil"/>
              <w:left w:val="nil"/>
              <w:bottom w:val="nil"/>
              <w:right w:val="nil"/>
            </w:tcBorders>
          </w:tcPr>
          <w:p w14:paraId="1E0DCD7A"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95.53</w:t>
            </w:r>
          </w:p>
        </w:tc>
      </w:tr>
      <w:tr w:rsidR="009E35A8" w14:paraId="1E67B7EE" w14:textId="77777777" w:rsidTr="00F370F3">
        <w:tc>
          <w:tcPr>
            <w:tcW w:w="2108" w:type="dxa"/>
            <w:tcBorders>
              <w:top w:val="nil"/>
              <w:left w:val="nil"/>
              <w:bottom w:val="nil"/>
              <w:right w:val="nil"/>
            </w:tcBorders>
          </w:tcPr>
          <w:p w14:paraId="4CE8B03E"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PRODUCTION</w:t>
            </w:r>
          </w:p>
        </w:tc>
        <w:tc>
          <w:tcPr>
            <w:tcW w:w="1011" w:type="dxa"/>
            <w:tcBorders>
              <w:top w:val="nil"/>
              <w:left w:val="nil"/>
              <w:bottom w:val="nil"/>
              <w:right w:val="nil"/>
            </w:tcBorders>
          </w:tcPr>
          <w:p w14:paraId="15BE2526"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1134" w:type="dxa"/>
            <w:tcBorders>
              <w:top w:val="nil"/>
              <w:left w:val="nil"/>
              <w:bottom w:val="nil"/>
              <w:right w:val="nil"/>
            </w:tcBorders>
          </w:tcPr>
          <w:p w14:paraId="3AA3E87D"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nil"/>
              <w:right w:val="nil"/>
            </w:tcBorders>
          </w:tcPr>
          <w:p w14:paraId="3D1ADA67"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nil"/>
              <w:right w:val="nil"/>
            </w:tcBorders>
          </w:tcPr>
          <w:p w14:paraId="4A3976D6"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w:t>
            </w:r>
          </w:p>
        </w:tc>
        <w:tc>
          <w:tcPr>
            <w:tcW w:w="1134" w:type="dxa"/>
            <w:tcBorders>
              <w:top w:val="nil"/>
              <w:left w:val="nil"/>
              <w:bottom w:val="nil"/>
              <w:right w:val="nil"/>
            </w:tcBorders>
          </w:tcPr>
          <w:p w14:paraId="1990CC48"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0.41</w:t>
            </w:r>
          </w:p>
        </w:tc>
        <w:tc>
          <w:tcPr>
            <w:tcW w:w="1276" w:type="dxa"/>
            <w:tcBorders>
              <w:top w:val="nil"/>
              <w:left w:val="nil"/>
              <w:bottom w:val="nil"/>
              <w:right w:val="nil"/>
            </w:tcBorders>
          </w:tcPr>
          <w:p w14:paraId="62F9A625"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95.93</w:t>
            </w:r>
          </w:p>
        </w:tc>
      </w:tr>
      <w:tr w:rsidR="009E35A8" w14:paraId="7F0EEC2B" w14:textId="77777777" w:rsidTr="00E82F9F">
        <w:tc>
          <w:tcPr>
            <w:tcW w:w="2108" w:type="dxa"/>
            <w:tcBorders>
              <w:top w:val="nil"/>
              <w:left w:val="nil"/>
              <w:bottom w:val="single" w:sz="4" w:space="0" w:color="auto"/>
              <w:right w:val="nil"/>
            </w:tcBorders>
          </w:tcPr>
          <w:p w14:paraId="0C07DAD0"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SERVICE</w:t>
            </w:r>
          </w:p>
        </w:tc>
        <w:tc>
          <w:tcPr>
            <w:tcW w:w="1011" w:type="dxa"/>
            <w:tcBorders>
              <w:top w:val="nil"/>
              <w:left w:val="nil"/>
              <w:bottom w:val="single" w:sz="4" w:space="0" w:color="auto"/>
              <w:right w:val="nil"/>
            </w:tcBorders>
          </w:tcPr>
          <w:p w14:paraId="24621DA1"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1134" w:type="dxa"/>
            <w:tcBorders>
              <w:top w:val="nil"/>
              <w:left w:val="nil"/>
              <w:bottom w:val="single" w:sz="4" w:space="0" w:color="auto"/>
              <w:right w:val="nil"/>
            </w:tcBorders>
          </w:tcPr>
          <w:p w14:paraId="63176893"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single" w:sz="4" w:space="0" w:color="auto"/>
              <w:right w:val="nil"/>
            </w:tcBorders>
          </w:tcPr>
          <w:p w14:paraId="1413CD5C"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single" w:sz="4" w:space="0" w:color="auto"/>
              <w:right w:val="nil"/>
            </w:tcBorders>
          </w:tcPr>
          <w:p w14:paraId="56BA02DC"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w:t>
            </w:r>
          </w:p>
        </w:tc>
        <w:tc>
          <w:tcPr>
            <w:tcW w:w="1134" w:type="dxa"/>
            <w:tcBorders>
              <w:top w:val="nil"/>
              <w:left w:val="nil"/>
              <w:bottom w:val="single" w:sz="4" w:space="0" w:color="auto"/>
              <w:right w:val="nil"/>
            </w:tcBorders>
          </w:tcPr>
          <w:p w14:paraId="390C93D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4.07</w:t>
            </w:r>
          </w:p>
        </w:tc>
        <w:tc>
          <w:tcPr>
            <w:tcW w:w="1276" w:type="dxa"/>
            <w:tcBorders>
              <w:top w:val="nil"/>
              <w:left w:val="nil"/>
              <w:bottom w:val="single" w:sz="4" w:space="0" w:color="auto"/>
              <w:right w:val="nil"/>
            </w:tcBorders>
          </w:tcPr>
          <w:p w14:paraId="3290FB8C"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9E35A8" w14:paraId="64E326CA" w14:textId="77777777" w:rsidTr="00E82F9F">
        <w:tc>
          <w:tcPr>
            <w:tcW w:w="2108" w:type="dxa"/>
            <w:tcBorders>
              <w:top w:val="single" w:sz="4" w:space="0" w:color="auto"/>
              <w:left w:val="nil"/>
              <w:bottom w:val="single" w:sz="4" w:space="0" w:color="auto"/>
              <w:right w:val="nil"/>
            </w:tcBorders>
          </w:tcPr>
          <w:p w14:paraId="7A87244E"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11" w:type="dxa"/>
            <w:tcBorders>
              <w:top w:val="single" w:sz="4" w:space="0" w:color="auto"/>
              <w:left w:val="nil"/>
              <w:bottom w:val="single" w:sz="4" w:space="0" w:color="auto"/>
              <w:right w:val="nil"/>
            </w:tcBorders>
          </w:tcPr>
          <w:p w14:paraId="2D88B9C0"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34" w:type="dxa"/>
            <w:tcBorders>
              <w:top w:val="single" w:sz="4" w:space="0" w:color="auto"/>
              <w:left w:val="nil"/>
              <w:bottom w:val="single" w:sz="4" w:space="0" w:color="auto"/>
              <w:right w:val="nil"/>
            </w:tcBorders>
          </w:tcPr>
          <w:p w14:paraId="714AC680"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992" w:type="dxa"/>
            <w:tcBorders>
              <w:top w:val="single" w:sz="4" w:space="0" w:color="auto"/>
              <w:left w:val="nil"/>
              <w:bottom w:val="single" w:sz="4" w:space="0" w:color="auto"/>
              <w:right w:val="nil"/>
            </w:tcBorders>
          </w:tcPr>
          <w:p w14:paraId="5CAE0ED7"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single" w:sz="4" w:space="0" w:color="auto"/>
              <w:left w:val="nil"/>
              <w:bottom w:val="single" w:sz="4" w:space="0" w:color="auto"/>
              <w:right w:val="nil"/>
            </w:tcBorders>
          </w:tcPr>
          <w:p w14:paraId="1C7C2F24"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34" w:type="dxa"/>
            <w:tcBorders>
              <w:top w:val="single" w:sz="4" w:space="0" w:color="auto"/>
              <w:left w:val="nil"/>
              <w:bottom w:val="single" w:sz="4" w:space="0" w:color="auto"/>
              <w:right w:val="nil"/>
            </w:tcBorders>
          </w:tcPr>
          <w:p w14:paraId="6329342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276" w:type="dxa"/>
            <w:tcBorders>
              <w:top w:val="single" w:sz="4" w:space="0" w:color="auto"/>
              <w:left w:val="nil"/>
              <w:bottom w:val="single" w:sz="4" w:space="0" w:color="auto"/>
              <w:right w:val="nil"/>
            </w:tcBorders>
          </w:tcPr>
          <w:p w14:paraId="3EC34963"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r>
    </w:tbl>
    <w:p w14:paraId="79540CB0" w14:textId="77777777" w:rsidR="000B6AAF" w:rsidRDefault="000B6AAF" w:rsidP="00A26E78">
      <w:pPr>
        <w:rPr>
          <w:lang w:val="en-US"/>
        </w:rPr>
      </w:pPr>
    </w:p>
    <w:p w14:paraId="2877BF10" w14:textId="77777777" w:rsidR="0053589C" w:rsidRPr="0053589C" w:rsidRDefault="0053589C" w:rsidP="0053589C">
      <w:pPr>
        <w:ind w:firstLine="567"/>
        <w:rPr>
          <w:lang w:val="en-US"/>
        </w:rPr>
      </w:pPr>
      <w:r w:rsidRPr="0053589C">
        <w:rPr>
          <w:lang w:val="en-US"/>
        </w:rPr>
        <w:t>Table 5 provides important insights into the distribution of collateral security, loan access, and revenue generation among male and female SME owners in Kisangani. The results show that 80.95% of female entrepreneurs provided collateral compared to 71.95% of their male counterparts, indicating that women are more likely to pledge assets when applying for credit. Despite this higher rate of collateral provision among women, loan access remains limited. Only 23.81% of women obtained loans compared to 23.17% of men, suggesting that although the overall rate of loan acquisition is low across both genders, women face particular difficulties in translating collateral into actual credit opportunities. This finding reflects broader evidence from Sub-Saharan Africa, where women often have to provide disproportionally higher collateral relative to men, yet still encounter reduced access to financial resources (</w:t>
      </w:r>
      <w:proofErr w:type="spellStart"/>
      <w:r w:rsidRPr="0053589C">
        <w:rPr>
          <w:lang w:val="en-US"/>
        </w:rPr>
        <w:t>Aterido</w:t>
      </w:r>
      <w:proofErr w:type="spellEnd"/>
      <w:r w:rsidR="003F6AF0">
        <w:rPr>
          <w:lang w:val="en-US"/>
        </w:rPr>
        <w:t xml:space="preserve"> et al.</w:t>
      </w:r>
      <w:r w:rsidRPr="0053589C">
        <w:rPr>
          <w:lang w:val="en-US"/>
        </w:rPr>
        <w:t xml:space="preserve">, 2013). The results also highlight the conservative lending policies of commercial banks in </w:t>
      </w:r>
      <w:r w:rsidRPr="0053589C">
        <w:rPr>
          <w:lang w:val="en-US"/>
        </w:rPr>
        <w:lastRenderedPageBreak/>
        <w:t xml:space="preserve">Kisangani, where collateral alone is insufficient to guarantee credit access, and where risk-averse practices continue to constrain SME financing (Beck &amp; </w:t>
      </w:r>
      <w:proofErr w:type="spellStart"/>
      <w:r w:rsidRPr="0053589C">
        <w:rPr>
          <w:lang w:val="en-US"/>
        </w:rPr>
        <w:t>Demirgüç-Kunt</w:t>
      </w:r>
      <w:proofErr w:type="spellEnd"/>
      <w:r w:rsidRPr="0053589C">
        <w:rPr>
          <w:lang w:val="en-US"/>
        </w:rPr>
        <w:t>, 2006).</w:t>
      </w:r>
    </w:p>
    <w:p w14:paraId="14E99DDC" w14:textId="77777777" w:rsidR="000B6AAF" w:rsidRDefault="0053589C" w:rsidP="003F6AF0">
      <w:pPr>
        <w:ind w:firstLine="567"/>
        <w:rPr>
          <w:lang w:val="en-US"/>
        </w:rPr>
      </w:pPr>
      <w:r w:rsidRPr="0053589C">
        <w:rPr>
          <w:lang w:val="en-US"/>
        </w:rPr>
        <w:t>The distribution of annual revenue by gender reveals that 90.48% of women-led SMEs reported positive revenue compared to 89.02% of men-led SMEs. This finding indicates that female entrepreneurs, although underrepresented in the sample, are equally capable of sustaining revenue-generating activities despite their challenges in accessing credit. Similar trends have been noted in other African contexts, where women entrepreneurs are shown to achieve comparable or even higher efficiency in revenue generation once they overcome financial access barriers (</w:t>
      </w:r>
      <w:proofErr w:type="spellStart"/>
      <w:r w:rsidRPr="0053589C">
        <w:rPr>
          <w:lang w:val="en-US"/>
        </w:rPr>
        <w:t>Fowowe</w:t>
      </w:r>
      <w:proofErr w:type="spellEnd"/>
      <w:r w:rsidRPr="0053589C">
        <w:rPr>
          <w:lang w:val="en-US"/>
        </w:rPr>
        <w:t>, 2017). The consistency in revenue generation between male- and female-led SMEs underscores the entrepreneurial potential of women in Kisangani, but also exposes the paradox of their limited access to finance despite demonstrating economic viability. This situation aligns with findings in the literature that financial institutions often underestimate the repayment capacity of women-owned businesses, contributing to persistent gender-based financial exclusion (</w:t>
      </w:r>
      <w:proofErr w:type="spellStart"/>
      <w:r w:rsidRPr="0053589C">
        <w:rPr>
          <w:lang w:val="en-US"/>
        </w:rPr>
        <w:t>Bardasi</w:t>
      </w:r>
      <w:proofErr w:type="spellEnd"/>
      <w:r w:rsidR="003F6AF0">
        <w:rPr>
          <w:lang w:val="en-US"/>
        </w:rPr>
        <w:t xml:space="preserve"> et al.</w:t>
      </w:r>
      <w:r w:rsidRPr="0053589C">
        <w:rPr>
          <w:lang w:val="en-US"/>
        </w:rPr>
        <w:t>, 2007).</w:t>
      </w:r>
    </w:p>
    <w:p w14:paraId="6159BA9D" w14:textId="77777777" w:rsidR="009E35A8" w:rsidRDefault="009801D5" w:rsidP="00A26E78">
      <w:pPr>
        <w:rPr>
          <w:lang w:val="en-US"/>
        </w:rPr>
      </w:pPr>
      <w:r>
        <w:rPr>
          <w:lang w:val="en-US"/>
        </w:rPr>
        <w:t>Table 5: Distribution of Collateral Security</w:t>
      </w:r>
      <w:r w:rsidR="00B4012B">
        <w:rPr>
          <w:lang w:val="en-US"/>
        </w:rPr>
        <w:t>, Loan, and Revenue</w:t>
      </w:r>
    </w:p>
    <w:tbl>
      <w:tblPr>
        <w:tblW w:w="0" w:type="auto"/>
        <w:tblLayout w:type="fixed"/>
        <w:tblLook w:val="0000" w:firstRow="0" w:lastRow="0" w:firstColumn="0" w:lastColumn="0" w:noHBand="0" w:noVBand="0"/>
      </w:tblPr>
      <w:tblGrid>
        <w:gridCol w:w="1804"/>
        <w:gridCol w:w="1041"/>
        <w:gridCol w:w="1198"/>
        <w:gridCol w:w="1198"/>
        <w:gridCol w:w="1048"/>
        <w:gridCol w:w="1198"/>
        <w:gridCol w:w="1498"/>
      </w:tblGrid>
      <w:tr w:rsidR="00B4012B" w14:paraId="5BAD726C" w14:textId="77777777" w:rsidTr="00E96166">
        <w:trPr>
          <w:trHeight w:val="259"/>
        </w:trPr>
        <w:tc>
          <w:tcPr>
            <w:tcW w:w="1804" w:type="dxa"/>
            <w:vMerge w:val="restart"/>
            <w:tcBorders>
              <w:top w:val="single" w:sz="4" w:space="0" w:color="auto"/>
              <w:left w:val="nil"/>
              <w:right w:val="nil"/>
            </w:tcBorders>
          </w:tcPr>
          <w:p w14:paraId="4A5913FE" w14:textId="77777777" w:rsidR="00B4012B" w:rsidRPr="00E82F9F" w:rsidRDefault="00B4012B" w:rsidP="00644935">
            <w:pPr>
              <w:widowControl w:val="0"/>
              <w:autoSpaceDE w:val="0"/>
              <w:autoSpaceDN w:val="0"/>
              <w:adjustRightInd w:val="0"/>
              <w:spacing w:line="240" w:lineRule="auto"/>
              <w:rPr>
                <w:rFonts w:cs="Times New Roman"/>
                <w:b/>
                <w:szCs w:val="24"/>
                <w:lang w:val="en-US"/>
              </w:rPr>
            </w:pPr>
            <w:r w:rsidRPr="00E82F9F">
              <w:rPr>
                <w:rFonts w:cs="Times New Roman"/>
                <w:b/>
                <w:szCs w:val="24"/>
                <w:lang w:val="en-US"/>
              </w:rPr>
              <w:t>Availability of Collateral</w:t>
            </w:r>
          </w:p>
        </w:tc>
        <w:tc>
          <w:tcPr>
            <w:tcW w:w="7181" w:type="dxa"/>
            <w:gridSpan w:val="6"/>
            <w:tcBorders>
              <w:top w:val="single" w:sz="4" w:space="0" w:color="auto"/>
              <w:left w:val="nil"/>
              <w:bottom w:val="single" w:sz="10" w:space="0" w:color="auto"/>
              <w:right w:val="nil"/>
            </w:tcBorders>
          </w:tcPr>
          <w:p w14:paraId="5660D3E2" w14:textId="77777777" w:rsidR="00B4012B" w:rsidRPr="00456C05" w:rsidRDefault="00B4012B" w:rsidP="00644935">
            <w:pPr>
              <w:widowControl w:val="0"/>
              <w:autoSpaceDE w:val="0"/>
              <w:autoSpaceDN w:val="0"/>
              <w:adjustRightInd w:val="0"/>
              <w:spacing w:line="240" w:lineRule="auto"/>
              <w:jc w:val="center"/>
              <w:rPr>
                <w:rFonts w:cs="Times New Roman"/>
                <w:b/>
                <w:szCs w:val="24"/>
                <w:lang w:val="en-US"/>
              </w:rPr>
            </w:pPr>
            <w:r w:rsidRPr="00456C05">
              <w:rPr>
                <w:b/>
                <w:lang w:val="en-US"/>
              </w:rPr>
              <w:t>Distribution of Collateral Security</w:t>
            </w:r>
          </w:p>
        </w:tc>
      </w:tr>
      <w:tr w:rsidR="00B4012B" w14:paraId="640C8464" w14:textId="77777777" w:rsidTr="00E96166">
        <w:trPr>
          <w:trHeight w:val="288"/>
        </w:trPr>
        <w:tc>
          <w:tcPr>
            <w:tcW w:w="1804" w:type="dxa"/>
            <w:vMerge/>
            <w:tcBorders>
              <w:left w:val="nil"/>
              <w:right w:val="nil"/>
            </w:tcBorders>
          </w:tcPr>
          <w:p w14:paraId="280B739A"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3437" w:type="dxa"/>
            <w:gridSpan w:val="3"/>
            <w:tcBorders>
              <w:top w:val="single" w:sz="4" w:space="0" w:color="auto"/>
              <w:left w:val="nil"/>
              <w:bottom w:val="single" w:sz="10" w:space="0" w:color="auto"/>
              <w:right w:val="nil"/>
            </w:tcBorders>
          </w:tcPr>
          <w:p w14:paraId="5A5E90AB" w14:textId="77777777" w:rsidR="00B4012B" w:rsidRDefault="00B4012B" w:rsidP="00644935">
            <w:pPr>
              <w:widowControl w:val="0"/>
              <w:autoSpaceDE w:val="0"/>
              <w:autoSpaceDN w:val="0"/>
              <w:adjustRightInd w:val="0"/>
              <w:spacing w:line="240" w:lineRule="auto"/>
              <w:jc w:val="center"/>
              <w:rPr>
                <w:rFonts w:cs="Times New Roman"/>
                <w:szCs w:val="24"/>
                <w:lang w:val="en-US"/>
              </w:rPr>
            </w:pPr>
            <w:r>
              <w:rPr>
                <w:rFonts w:cs="Times New Roman"/>
                <w:szCs w:val="24"/>
                <w:lang w:val="en-US"/>
              </w:rPr>
              <w:t>Female</w:t>
            </w:r>
          </w:p>
        </w:tc>
        <w:tc>
          <w:tcPr>
            <w:tcW w:w="3743" w:type="dxa"/>
            <w:gridSpan w:val="3"/>
            <w:tcBorders>
              <w:top w:val="single" w:sz="4" w:space="0" w:color="auto"/>
              <w:left w:val="nil"/>
              <w:bottom w:val="single" w:sz="10" w:space="0" w:color="auto"/>
              <w:right w:val="nil"/>
            </w:tcBorders>
          </w:tcPr>
          <w:p w14:paraId="78E0D306" w14:textId="77777777" w:rsidR="00B4012B" w:rsidRDefault="00B4012B" w:rsidP="00644935">
            <w:pPr>
              <w:widowControl w:val="0"/>
              <w:autoSpaceDE w:val="0"/>
              <w:autoSpaceDN w:val="0"/>
              <w:adjustRightInd w:val="0"/>
              <w:spacing w:line="240" w:lineRule="auto"/>
              <w:jc w:val="center"/>
              <w:rPr>
                <w:rFonts w:cs="Times New Roman"/>
                <w:szCs w:val="24"/>
                <w:lang w:val="en-US"/>
              </w:rPr>
            </w:pPr>
            <w:r>
              <w:rPr>
                <w:rFonts w:cs="Times New Roman"/>
                <w:szCs w:val="24"/>
                <w:lang w:val="en-US"/>
              </w:rPr>
              <w:t>Male</w:t>
            </w:r>
          </w:p>
        </w:tc>
      </w:tr>
      <w:tr w:rsidR="00B4012B" w14:paraId="55D0543D" w14:textId="77777777" w:rsidTr="00E96166">
        <w:trPr>
          <w:trHeight w:val="274"/>
        </w:trPr>
        <w:tc>
          <w:tcPr>
            <w:tcW w:w="1804" w:type="dxa"/>
            <w:vMerge/>
            <w:tcBorders>
              <w:left w:val="nil"/>
              <w:bottom w:val="single" w:sz="10" w:space="0" w:color="auto"/>
              <w:right w:val="nil"/>
            </w:tcBorders>
          </w:tcPr>
          <w:p w14:paraId="4F3FC9DE"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1041" w:type="dxa"/>
            <w:tcBorders>
              <w:top w:val="single" w:sz="4" w:space="0" w:color="auto"/>
              <w:left w:val="nil"/>
              <w:bottom w:val="single" w:sz="10" w:space="0" w:color="auto"/>
              <w:right w:val="nil"/>
            </w:tcBorders>
          </w:tcPr>
          <w:p w14:paraId="5D3025C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10" w:space="0" w:color="auto"/>
              <w:right w:val="nil"/>
            </w:tcBorders>
          </w:tcPr>
          <w:p w14:paraId="1B27601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198" w:type="dxa"/>
            <w:tcBorders>
              <w:top w:val="single" w:sz="4" w:space="0" w:color="auto"/>
              <w:left w:val="nil"/>
              <w:bottom w:val="single" w:sz="10" w:space="0" w:color="auto"/>
              <w:right w:val="nil"/>
            </w:tcBorders>
          </w:tcPr>
          <w:p w14:paraId="509D85A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1048" w:type="dxa"/>
            <w:tcBorders>
              <w:top w:val="single" w:sz="4" w:space="0" w:color="auto"/>
              <w:left w:val="nil"/>
              <w:bottom w:val="single" w:sz="10" w:space="0" w:color="auto"/>
              <w:right w:val="nil"/>
            </w:tcBorders>
          </w:tcPr>
          <w:p w14:paraId="461C4B5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10" w:space="0" w:color="auto"/>
              <w:right w:val="nil"/>
            </w:tcBorders>
          </w:tcPr>
          <w:p w14:paraId="4682A730"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497" w:type="dxa"/>
            <w:tcBorders>
              <w:top w:val="single" w:sz="4" w:space="0" w:color="auto"/>
              <w:left w:val="nil"/>
              <w:bottom w:val="single" w:sz="10" w:space="0" w:color="auto"/>
              <w:right w:val="nil"/>
            </w:tcBorders>
          </w:tcPr>
          <w:p w14:paraId="1D54B5D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4012B" w14:paraId="3D221C62" w14:textId="77777777" w:rsidTr="00E96166">
        <w:trPr>
          <w:trHeight w:val="259"/>
        </w:trPr>
        <w:tc>
          <w:tcPr>
            <w:tcW w:w="1804" w:type="dxa"/>
            <w:tcBorders>
              <w:top w:val="nil"/>
              <w:left w:val="nil"/>
              <w:bottom w:val="nil"/>
              <w:right w:val="nil"/>
            </w:tcBorders>
          </w:tcPr>
          <w:p w14:paraId="343C9A47"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NO</w:t>
            </w:r>
          </w:p>
        </w:tc>
        <w:tc>
          <w:tcPr>
            <w:tcW w:w="1041" w:type="dxa"/>
            <w:tcBorders>
              <w:top w:val="nil"/>
              <w:left w:val="nil"/>
              <w:bottom w:val="nil"/>
              <w:right w:val="nil"/>
            </w:tcBorders>
          </w:tcPr>
          <w:p w14:paraId="13F761C6"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4</w:t>
            </w:r>
          </w:p>
        </w:tc>
        <w:tc>
          <w:tcPr>
            <w:tcW w:w="1198" w:type="dxa"/>
            <w:tcBorders>
              <w:top w:val="nil"/>
              <w:left w:val="nil"/>
              <w:bottom w:val="nil"/>
              <w:right w:val="nil"/>
            </w:tcBorders>
          </w:tcPr>
          <w:p w14:paraId="146EA3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19.05</w:t>
            </w:r>
          </w:p>
        </w:tc>
        <w:tc>
          <w:tcPr>
            <w:tcW w:w="1198" w:type="dxa"/>
            <w:tcBorders>
              <w:top w:val="nil"/>
              <w:left w:val="nil"/>
              <w:bottom w:val="nil"/>
              <w:right w:val="nil"/>
            </w:tcBorders>
          </w:tcPr>
          <w:p w14:paraId="7381474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19.05</w:t>
            </w:r>
          </w:p>
        </w:tc>
        <w:tc>
          <w:tcPr>
            <w:tcW w:w="1048" w:type="dxa"/>
            <w:tcBorders>
              <w:top w:val="nil"/>
              <w:left w:val="nil"/>
              <w:bottom w:val="nil"/>
              <w:right w:val="nil"/>
            </w:tcBorders>
          </w:tcPr>
          <w:p w14:paraId="4199044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69</w:t>
            </w:r>
          </w:p>
        </w:tc>
        <w:tc>
          <w:tcPr>
            <w:tcW w:w="1198" w:type="dxa"/>
            <w:tcBorders>
              <w:top w:val="nil"/>
              <w:left w:val="nil"/>
              <w:bottom w:val="nil"/>
              <w:right w:val="nil"/>
            </w:tcBorders>
          </w:tcPr>
          <w:p w14:paraId="2644FCC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28.05</w:t>
            </w:r>
          </w:p>
        </w:tc>
        <w:tc>
          <w:tcPr>
            <w:tcW w:w="1497" w:type="dxa"/>
            <w:tcBorders>
              <w:top w:val="nil"/>
              <w:left w:val="nil"/>
              <w:bottom w:val="nil"/>
              <w:right w:val="nil"/>
            </w:tcBorders>
          </w:tcPr>
          <w:p w14:paraId="3FA1CC29"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28.05</w:t>
            </w:r>
          </w:p>
        </w:tc>
      </w:tr>
      <w:tr w:rsidR="00B4012B" w14:paraId="4E63F436" w14:textId="77777777" w:rsidTr="00E96166">
        <w:trPr>
          <w:trHeight w:val="274"/>
        </w:trPr>
        <w:tc>
          <w:tcPr>
            <w:tcW w:w="1804" w:type="dxa"/>
            <w:tcBorders>
              <w:top w:val="nil"/>
              <w:left w:val="nil"/>
              <w:bottom w:val="single" w:sz="4" w:space="0" w:color="auto"/>
              <w:right w:val="nil"/>
            </w:tcBorders>
          </w:tcPr>
          <w:p w14:paraId="60A7AD1F"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YES</w:t>
            </w:r>
          </w:p>
        </w:tc>
        <w:tc>
          <w:tcPr>
            <w:tcW w:w="1041" w:type="dxa"/>
            <w:tcBorders>
              <w:top w:val="nil"/>
              <w:left w:val="nil"/>
              <w:bottom w:val="single" w:sz="4" w:space="0" w:color="auto"/>
              <w:right w:val="nil"/>
            </w:tcBorders>
          </w:tcPr>
          <w:p w14:paraId="1BA9701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17</w:t>
            </w:r>
          </w:p>
        </w:tc>
        <w:tc>
          <w:tcPr>
            <w:tcW w:w="1198" w:type="dxa"/>
            <w:tcBorders>
              <w:top w:val="nil"/>
              <w:left w:val="nil"/>
              <w:bottom w:val="single" w:sz="4" w:space="0" w:color="auto"/>
              <w:right w:val="nil"/>
            </w:tcBorders>
          </w:tcPr>
          <w:p w14:paraId="4E3D85B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80.95</w:t>
            </w:r>
          </w:p>
        </w:tc>
        <w:tc>
          <w:tcPr>
            <w:tcW w:w="1198" w:type="dxa"/>
            <w:tcBorders>
              <w:top w:val="nil"/>
              <w:left w:val="nil"/>
              <w:bottom w:val="single" w:sz="4" w:space="0" w:color="auto"/>
              <w:right w:val="nil"/>
            </w:tcBorders>
          </w:tcPr>
          <w:p w14:paraId="2940484D"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048" w:type="dxa"/>
            <w:tcBorders>
              <w:top w:val="nil"/>
              <w:left w:val="nil"/>
              <w:bottom w:val="single" w:sz="4" w:space="0" w:color="auto"/>
              <w:right w:val="nil"/>
            </w:tcBorders>
          </w:tcPr>
          <w:p w14:paraId="222284F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177</w:t>
            </w:r>
          </w:p>
        </w:tc>
        <w:tc>
          <w:tcPr>
            <w:tcW w:w="1198" w:type="dxa"/>
            <w:tcBorders>
              <w:top w:val="nil"/>
              <w:left w:val="nil"/>
              <w:bottom w:val="single" w:sz="4" w:space="0" w:color="auto"/>
              <w:right w:val="nil"/>
            </w:tcBorders>
          </w:tcPr>
          <w:p w14:paraId="2154E80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71.95</w:t>
            </w:r>
          </w:p>
        </w:tc>
        <w:tc>
          <w:tcPr>
            <w:tcW w:w="1497" w:type="dxa"/>
            <w:tcBorders>
              <w:top w:val="nil"/>
              <w:left w:val="nil"/>
              <w:bottom w:val="single" w:sz="4" w:space="0" w:color="auto"/>
              <w:right w:val="nil"/>
            </w:tcBorders>
          </w:tcPr>
          <w:p w14:paraId="51553F2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4012B" w14:paraId="3900EAD1" w14:textId="77777777" w:rsidTr="00E96166">
        <w:trPr>
          <w:trHeight w:val="259"/>
        </w:trPr>
        <w:tc>
          <w:tcPr>
            <w:tcW w:w="1804" w:type="dxa"/>
            <w:tcBorders>
              <w:top w:val="single" w:sz="4" w:space="0" w:color="auto"/>
              <w:left w:val="nil"/>
              <w:bottom w:val="single" w:sz="4" w:space="0" w:color="auto"/>
              <w:right w:val="nil"/>
            </w:tcBorders>
          </w:tcPr>
          <w:p w14:paraId="6B9C94EE"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41" w:type="dxa"/>
            <w:tcBorders>
              <w:top w:val="single" w:sz="4" w:space="0" w:color="auto"/>
              <w:left w:val="nil"/>
              <w:bottom w:val="single" w:sz="4" w:space="0" w:color="auto"/>
              <w:right w:val="nil"/>
            </w:tcBorders>
          </w:tcPr>
          <w:p w14:paraId="710A5C1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98" w:type="dxa"/>
            <w:tcBorders>
              <w:top w:val="single" w:sz="4" w:space="0" w:color="auto"/>
              <w:left w:val="nil"/>
              <w:bottom w:val="single" w:sz="4" w:space="0" w:color="auto"/>
              <w:right w:val="nil"/>
            </w:tcBorders>
          </w:tcPr>
          <w:p w14:paraId="357B619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198" w:type="dxa"/>
            <w:tcBorders>
              <w:top w:val="single" w:sz="4" w:space="0" w:color="auto"/>
              <w:left w:val="nil"/>
              <w:bottom w:val="single" w:sz="4" w:space="0" w:color="auto"/>
              <w:right w:val="nil"/>
            </w:tcBorders>
          </w:tcPr>
          <w:p w14:paraId="595B3D69"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c>
          <w:tcPr>
            <w:tcW w:w="1048" w:type="dxa"/>
            <w:tcBorders>
              <w:top w:val="single" w:sz="4" w:space="0" w:color="auto"/>
              <w:left w:val="nil"/>
              <w:bottom w:val="single" w:sz="4" w:space="0" w:color="auto"/>
              <w:right w:val="nil"/>
            </w:tcBorders>
          </w:tcPr>
          <w:p w14:paraId="1C4FCC66"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98" w:type="dxa"/>
            <w:tcBorders>
              <w:top w:val="single" w:sz="4" w:space="0" w:color="auto"/>
              <w:left w:val="nil"/>
              <w:bottom w:val="single" w:sz="4" w:space="0" w:color="auto"/>
              <w:right w:val="nil"/>
            </w:tcBorders>
          </w:tcPr>
          <w:p w14:paraId="3C612412"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497" w:type="dxa"/>
            <w:tcBorders>
              <w:top w:val="single" w:sz="4" w:space="0" w:color="auto"/>
              <w:left w:val="nil"/>
              <w:bottom w:val="single" w:sz="4" w:space="0" w:color="auto"/>
              <w:right w:val="nil"/>
            </w:tcBorders>
          </w:tcPr>
          <w:p w14:paraId="75B19729"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r>
      <w:tr w:rsidR="00B4012B" w:rsidRPr="001E0760" w14:paraId="417E348B" w14:textId="77777777" w:rsidTr="00E96166">
        <w:trPr>
          <w:trHeight w:val="259"/>
        </w:trPr>
        <w:tc>
          <w:tcPr>
            <w:tcW w:w="1804" w:type="dxa"/>
            <w:vMerge w:val="restart"/>
            <w:tcBorders>
              <w:top w:val="single" w:sz="4" w:space="0" w:color="auto"/>
              <w:left w:val="nil"/>
              <w:right w:val="nil"/>
            </w:tcBorders>
          </w:tcPr>
          <w:p w14:paraId="733D358E" w14:textId="77777777" w:rsidR="00B4012B" w:rsidRPr="00E82F9F" w:rsidRDefault="00B4012B" w:rsidP="00644935">
            <w:pPr>
              <w:widowControl w:val="0"/>
              <w:autoSpaceDE w:val="0"/>
              <w:autoSpaceDN w:val="0"/>
              <w:adjustRightInd w:val="0"/>
              <w:spacing w:line="240" w:lineRule="auto"/>
              <w:rPr>
                <w:rFonts w:cs="Times New Roman"/>
                <w:b/>
                <w:szCs w:val="24"/>
                <w:lang w:val="en-US"/>
              </w:rPr>
            </w:pPr>
            <w:r w:rsidRPr="00E82F9F">
              <w:rPr>
                <w:rFonts w:cs="Times New Roman"/>
                <w:b/>
                <w:szCs w:val="24"/>
                <w:lang w:val="en-US"/>
              </w:rPr>
              <w:t>Loan Obtained</w:t>
            </w:r>
          </w:p>
        </w:tc>
        <w:tc>
          <w:tcPr>
            <w:tcW w:w="7181" w:type="dxa"/>
            <w:gridSpan w:val="6"/>
            <w:tcBorders>
              <w:top w:val="single" w:sz="4" w:space="0" w:color="auto"/>
              <w:left w:val="nil"/>
              <w:bottom w:val="single" w:sz="4" w:space="0" w:color="auto"/>
              <w:right w:val="nil"/>
            </w:tcBorders>
          </w:tcPr>
          <w:p w14:paraId="0E3C7C6E" w14:textId="77777777" w:rsidR="00B4012B" w:rsidRPr="00456C05" w:rsidRDefault="00B4012B" w:rsidP="00644935">
            <w:pPr>
              <w:widowControl w:val="0"/>
              <w:autoSpaceDE w:val="0"/>
              <w:autoSpaceDN w:val="0"/>
              <w:adjustRightInd w:val="0"/>
              <w:spacing w:line="240" w:lineRule="auto"/>
              <w:jc w:val="center"/>
              <w:rPr>
                <w:rFonts w:cs="Times New Roman"/>
                <w:b/>
                <w:szCs w:val="24"/>
                <w:lang w:val="en-US"/>
              </w:rPr>
            </w:pPr>
            <w:r w:rsidRPr="00456C05">
              <w:rPr>
                <w:b/>
                <w:lang w:val="en-US"/>
              </w:rPr>
              <w:t>Distribution of Loan obtained by SME</w:t>
            </w:r>
          </w:p>
        </w:tc>
      </w:tr>
      <w:tr w:rsidR="00B4012B" w14:paraId="19221077" w14:textId="77777777" w:rsidTr="00E96166">
        <w:trPr>
          <w:trHeight w:val="274"/>
        </w:trPr>
        <w:tc>
          <w:tcPr>
            <w:tcW w:w="1804" w:type="dxa"/>
            <w:vMerge/>
            <w:tcBorders>
              <w:left w:val="nil"/>
              <w:bottom w:val="single" w:sz="4" w:space="0" w:color="auto"/>
              <w:right w:val="nil"/>
            </w:tcBorders>
          </w:tcPr>
          <w:p w14:paraId="21B29542"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1041" w:type="dxa"/>
            <w:tcBorders>
              <w:top w:val="single" w:sz="4" w:space="0" w:color="auto"/>
              <w:left w:val="nil"/>
              <w:bottom w:val="single" w:sz="4" w:space="0" w:color="auto"/>
              <w:right w:val="nil"/>
            </w:tcBorders>
          </w:tcPr>
          <w:p w14:paraId="5B14D9DE"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49F71222"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198" w:type="dxa"/>
            <w:tcBorders>
              <w:top w:val="single" w:sz="4" w:space="0" w:color="auto"/>
              <w:left w:val="nil"/>
              <w:bottom w:val="single" w:sz="4" w:space="0" w:color="auto"/>
              <w:right w:val="nil"/>
            </w:tcBorders>
          </w:tcPr>
          <w:p w14:paraId="267F7F3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1048" w:type="dxa"/>
            <w:tcBorders>
              <w:top w:val="single" w:sz="4" w:space="0" w:color="auto"/>
              <w:left w:val="nil"/>
              <w:bottom w:val="single" w:sz="4" w:space="0" w:color="auto"/>
              <w:right w:val="nil"/>
            </w:tcBorders>
          </w:tcPr>
          <w:p w14:paraId="043F304E"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072CC7F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497" w:type="dxa"/>
            <w:tcBorders>
              <w:top w:val="single" w:sz="4" w:space="0" w:color="auto"/>
              <w:left w:val="nil"/>
              <w:bottom w:val="single" w:sz="4" w:space="0" w:color="auto"/>
              <w:right w:val="nil"/>
            </w:tcBorders>
          </w:tcPr>
          <w:p w14:paraId="5C0078A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4012B" w14:paraId="1CE3AC2E" w14:textId="77777777" w:rsidTr="00E96166">
        <w:trPr>
          <w:trHeight w:val="259"/>
        </w:trPr>
        <w:tc>
          <w:tcPr>
            <w:tcW w:w="1804" w:type="dxa"/>
            <w:tcBorders>
              <w:top w:val="single" w:sz="4" w:space="0" w:color="auto"/>
              <w:left w:val="nil"/>
              <w:bottom w:val="single" w:sz="4" w:space="0" w:color="auto"/>
              <w:right w:val="nil"/>
            </w:tcBorders>
          </w:tcPr>
          <w:p w14:paraId="4ADE5EA0"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NO</w:t>
            </w:r>
          </w:p>
        </w:tc>
        <w:tc>
          <w:tcPr>
            <w:tcW w:w="1041" w:type="dxa"/>
            <w:tcBorders>
              <w:top w:val="single" w:sz="4" w:space="0" w:color="auto"/>
              <w:left w:val="nil"/>
              <w:bottom w:val="single" w:sz="4" w:space="0" w:color="auto"/>
              <w:right w:val="nil"/>
            </w:tcBorders>
          </w:tcPr>
          <w:p w14:paraId="4FE0FF3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16</w:t>
            </w:r>
          </w:p>
        </w:tc>
        <w:tc>
          <w:tcPr>
            <w:tcW w:w="1198" w:type="dxa"/>
            <w:tcBorders>
              <w:top w:val="single" w:sz="4" w:space="0" w:color="auto"/>
              <w:left w:val="nil"/>
              <w:bottom w:val="single" w:sz="4" w:space="0" w:color="auto"/>
              <w:right w:val="nil"/>
            </w:tcBorders>
          </w:tcPr>
          <w:p w14:paraId="05AB815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76.19</w:t>
            </w:r>
          </w:p>
        </w:tc>
        <w:tc>
          <w:tcPr>
            <w:tcW w:w="1198" w:type="dxa"/>
            <w:tcBorders>
              <w:top w:val="single" w:sz="4" w:space="0" w:color="auto"/>
              <w:left w:val="nil"/>
              <w:bottom w:val="single" w:sz="4" w:space="0" w:color="auto"/>
              <w:right w:val="nil"/>
            </w:tcBorders>
          </w:tcPr>
          <w:p w14:paraId="1F8E1F28"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76.19</w:t>
            </w:r>
          </w:p>
        </w:tc>
        <w:tc>
          <w:tcPr>
            <w:tcW w:w="1048" w:type="dxa"/>
            <w:tcBorders>
              <w:top w:val="single" w:sz="4" w:space="0" w:color="auto"/>
              <w:left w:val="nil"/>
              <w:bottom w:val="single" w:sz="4" w:space="0" w:color="auto"/>
              <w:right w:val="nil"/>
            </w:tcBorders>
          </w:tcPr>
          <w:p w14:paraId="2A4E039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189</w:t>
            </w:r>
          </w:p>
        </w:tc>
        <w:tc>
          <w:tcPr>
            <w:tcW w:w="1198" w:type="dxa"/>
            <w:tcBorders>
              <w:top w:val="single" w:sz="4" w:space="0" w:color="auto"/>
              <w:left w:val="nil"/>
              <w:bottom w:val="single" w:sz="4" w:space="0" w:color="auto"/>
              <w:right w:val="nil"/>
            </w:tcBorders>
          </w:tcPr>
          <w:p w14:paraId="0DEDA62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76.83</w:t>
            </w:r>
          </w:p>
        </w:tc>
        <w:tc>
          <w:tcPr>
            <w:tcW w:w="1497" w:type="dxa"/>
            <w:tcBorders>
              <w:top w:val="single" w:sz="4" w:space="0" w:color="auto"/>
              <w:left w:val="nil"/>
              <w:bottom w:val="single" w:sz="4" w:space="0" w:color="auto"/>
              <w:right w:val="nil"/>
            </w:tcBorders>
          </w:tcPr>
          <w:p w14:paraId="710D0E1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76.83</w:t>
            </w:r>
          </w:p>
        </w:tc>
      </w:tr>
      <w:tr w:rsidR="00B4012B" w14:paraId="3C7877CD" w14:textId="77777777" w:rsidTr="00E96166">
        <w:trPr>
          <w:trHeight w:val="259"/>
        </w:trPr>
        <w:tc>
          <w:tcPr>
            <w:tcW w:w="1804" w:type="dxa"/>
            <w:tcBorders>
              <w:top w:val="single" w:sz="4" w:space="0" w:color="auto"/>
              <w:left w:val="nil"/>
              <w:bottom w:val="single" w:sz="4" w:space="0" w:color="auto"/>
              <w:right w:val="nil"/>
            </w:tcBorders>
          </w:tcPr>
          <w:p w14:paraId="6551305C"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YES</w:t>
            </w:r>
          </w:p>
        </w:tc>
        <w:tc>
          <w:tcPr>
            <w:tcW w:w="1041" w:type="dxa"/>
            <w:tcBorders>
              <w:top w:val="single" w:sz="4" w:space="0" w:color="auto"/>
              <w:left w:val="nil"/>
              <w:bottom w:val="single" w:sz="4" w:space="0" w:color="auto"/>
              <w:right w:val="nil"/>
            </w:tcBorders>
          </w:tcPr>
          <w:p w14:paraId="76B9167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5</w:t>
            </w:r>
          </w:p>
        </w:tc>
        <w:tc>
          <w:tcPr>
            <w:tcW w:w="1198" w:type="dxa"/>
            <w:tcBorders>
              <w:top w:val="single" w:sz="4" w:space="0" w:color="auto"/>
              <w:left w:val="nil"/>
              <w:bottom w:val="single" w:sz="4" w:space="0" w:color="auto"/>
              <w:right w:val="nil"/>
            </w:tcBorders>
          </w:tcPr>
          <w:p w14:paraId="35A05D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23.81</w:t>
            </w:r>
          </w:p>
        </w:tc>
        <w:tc>
          <w:tcPr>
            <w:tcW w:w="1198" w:type="dxa"/>
            <w:tcBorders>
              <w:top w:val="single" w:sz="4" w:space="0" w:color="auto"/>
              <w:left w:val="nil"/>
              <w:bottom w:val="single" w:sz="4" w:space="0" w:color="auto"/>
              <w:right w:val="nil"/>
            </w:tcBorders>
          </w:tcPr>
          <w:p w14:paraId="642DECD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048" w:type="dxa"/>
            <w:tcBorders>
              <w:top w:val="single" w:sz="4" w:space="0" w:color="auto"/>
              <w:left w:val="nil"/>
              <w:bottom w:val="single" w:sz="4" w:space="0" w:color="auto"/>
              <w:right w:val="nil"/>
            </w:tcBorders>
          </w:tcPr>
          <w:p w14:paraId="50E44C7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57</w:t>
            </w:r>
          </w:p>
        </w:tc>
        <w:tc>
          <w:tcPr>
            <w:tcW w:w="1198" w:type="dxa"/>
            <w:tcBorders>
              <w:top w:val="single" w:sz="4" w:space="0" w:color="auto"/>
              <w:left w:val="nil"/>
              <w:bottom w:val="single" w:sz="4" w:space="0" w:color="auto"/>
              <w:right w:val="nil"/>
            </w:tcBorders>
          </w:tcPr>
          <w:p w14:paraId="61579427"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23.17</w:t>
            </w:r>
          </w:p>
        </w:tc>
        <w:tc>
          <w:tcPr>
            <w:tcW w:w="1497" w:type="dxa"/>
            <w:tcBorders>
              <w:top w:val="single" w:sz="4" w:space="0" w:color="auto"/>
              <w:left w:val="nil"/>
              <w:bottom w:val="single" w:sz="4" w:space="0" w:color="auto"/>
              <w:right w:val="nil"/>
            </w:tcBorders>
          </w:tcPr>
          <w:p w14:paraId="77DB8B3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4012B" w14:paraId="7D917B98" w14:textId="77777777" w:rsidTr="00E96166">
        <w:trPr>
          <w:trHeight w:val="259"/>
        </w:trPr>
        <w:tc>
          <w:tcPr>
            <w:tcW w:w="1804" w:type="dxa"/>
            <w:tcBorders>
              <w:top w:val="single" w:sz="4" w:space="0" w:color="auto"/>
              <w:left w:val="nil"/>
              <w:bottom w:val="single" w:sz="4" w:space="0" w:color="auto"/>
              <w:right w:val="nil"/>
            </w:tcBorders>
          </w:tcPr>
          <w:p w14:paraId="7498BD93"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41" w:type="dxa"/>
            <w:tcBorders>
              <w:top w:val="single" w:sz="4" w:space="0" w:color="auto"/>
              <w:left w:val="nil"/>
              <w:bottom w:val="single" w:sz="4" w:space="0" w:color="auto"/>
              <w:right w:val="nil"/>
            </w:tcBorders>
          </w:tcPr>
          <w:p w14:paraId="22ADA2E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98" w:type="dxa"/>
            <w:tcBorders>
              <w:top w:val="single" w:sz="4" w:space="0" w:color="auto"/>
              <w:left w:val="nil"/>
              <w:bottom w:val="single" w:sz="4" w:space="0" w:color="auto"/>
              <w:right w:val="nil"/>
            </w:tcBorders>
          </w:tcPr>
          <w:p w14:paraId="7A4EF3A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198" w:type="dxa"/>
            <w:tcBorders>
              <w:top w:val="single" w:sz="4" w:space="0" w:color="auto"/>
              <w:left w:val="nil"/>
              <w:bottom w:val="single" w:sz="4" w:space="0" w:color="auto"/>
              <w:right w:val="nil"/>
            </w:tcBorders>
          </w:tcPr>
          <w:p w14:paraId="41E5F395"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c>
          <w:tcPr>
            <w:tcW w:w="1048" w:type="dxa"/>
            <w:tcBorders>
              <w:top w:val="single" w:sz="4" w:space="0" w:color="auto"/>
              <w:left w:val="nil"/>
              <w:bottom w:val="single" w:sz="4" w:space="0" w:color="auto"/>
              <w:right w:val="nil"/>
            </w:tcBorders>
          </w:tcPr>
          <w:p w14:paraId="2DBE71AC"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98" w:type="dxa"/>
            <w:tcBorders>
              <w:top w:val="single" w:sz="4" w:space="0" w:color="auto"/>
              <w:left w:val="nil"/>
              <w:bottom w:val="single" w:sz="4" w:space="0" w:color="auto"/>
              <w:right w:val="nil"/>
            </w:tcBorders>
          </w:tcPr>
          <w:p w14:paraId="7E1BA5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497" w:type="dxa"/>
            <w:tcBorders>
              <w:top w:val="single" w:sz="4" w:space="0" w:color="auto"/>
              <w:left w:val="nil"/>
              <w:bottom w:val="single" w:sz="4" w:space="0" w:color="auto"/>
              <w:right w:val="nil"/>
            </w:tcBorders>
          </w:tcPr>
          <w:p w14:paraId="05A74868"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r>
      <w:tr w:rsidR="00B4012B" w:rsidRPr="001E0760" w14:paraId="23093DE0" w14:textId="77777777" w:rsidTr="00E96166">
        <w:trPr>
          <w:trHeight w:val="259"/>
        </w:trPr>
        <w:tc>
          <w:tcPr>
            <w:tcW w:w="1804" w:type="dxa"/>
            <w:vMerge w:val="restart"/>
            <w:tcBorders>
              <w:top w:val="single" w:sz="4" w:space="0" w:color="auto"/>
              <w:left w:val="nil"/>
              <w:right w:val="nil"/>
            </w:tcBorders>
          </w:tcPr>
          <w:p w14:paraId="513F70CD" w14:textId="77777777" w:rsidR="00B4012B" w:rsidRPr="00E82F9F" w:rsidRDefault="00B4012B" w:rsidP="00644935">
            <w:pPr>
              <w:widowControl w:val="0"/>
              <w:autoSpaceDE w:val="0"/>
              <w:autoSpaceDN w:val="0"/>
              <w:adjustRightInd w:val="0"/>
              <w:spacing w:line="240" w:lineRule="auto"/>
              <w:rPr>
                <w:rFonts w:cs="Times New Roman"/>
                <w:b/>
                <w:szCs w:val="24"/>
                <w:lang w:val="en-US"/>
              </w:rPr>
            </w:pPr>
            <w:r w:rsidRPr="00E82F9F">
              <w:rPr>
                <w:rFonts w:cs="Times New Roman"/>
                <w:b/>
                <w:szCs w:val="24"/>
                <w:lang w:val="en-US"/>
              </w:rPr>
              <w:t>Annual Revenue</w:t>
            </w:r>
          </w:p>
        </w:tc>
        <w:tc>
          <w:tcPr>
            <w:tcW w:w="7181" w:type="dxa"/>
            <w:gridSpan w:val="6"/>
            <w:tcBorders>
              <w:top w:val="single" w:sz="4" w:space="0" w:color="auto"/>
              <w:left w:val="nil"/>
              <w:bottom w:val="single" w:sz="4" w:space="0" w:color="auto"/>
              <w:right w:val="nil"/>
            </w:tcBorders>
          </w:tcPr>
          <w:p w14:paraId="09D7489C" w14:textId="77777777" w:rsidR="00B4012B" w:rsidRPr="00456C05" w:rsidRDefault="00B4012B" w:rsidP="00644935">
            <w:pPr>
              <w:jc w:val="center"/>
              <w:rPr>
                <w:b/>
                <w:lang w:val="en-US"/>
              </w:rPr>
            </w:pPr>
            <w:r w:rsidRPr="00456C05">
              <w:rPr>
                <w:b/>
                <w:lang w:val="en-US"/>
              </w:rPr>
              <w:t>Distribution of Annual Revenue by gender</w:t>
            </w:r>
          </w:p>
        </w:tc>
      </w:tr>
      <w:tr w:rsidR="00B4012B" w14:paraId="75284DAB" w14:textId="77777777" w:rsidTr="00E96166">
        <w:trPr>
          <w:trHeight w:val="274"/>
        </w:trPr>
        <w:tc>
          <w:tcPr>
            <w:tcW w:w="1804" w:type="dxa"/>
            <w:vMerge/>
            <w:tcBorders>
              <w:left w:val="nil"/>
              <w:bottom w:val="single" w:sz="4" w:space="0" w:color="auto"/>
              <w:right w:val="nil"/>
            </w:tcBorders>
          </w:tcPr>
          <w:p w14:paraId="34976C81"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1041" w:type="dxa"/>
            <w:tcBorders>
              <w:top w:val="single" w:sz="4" w:space="0" w:color="auto"/>
              <w:left w:val="nil"/>
              <w:bottom w:val="single" w:sz="4" w:space="0" w:color="auto"/>
              <w:right w:val="nil"/>
            </w:tcBorders>
          </w:tcPr>
          <w:p w14:paraId="302A5832"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63864D0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198" w:type="dxa"/>
            <w:tcBorders>
              <w:top w:val="single" w:sz="4" w:space="0" w:color="auto"/>
              <w:left w:val="nil"/>
              <w:bottom w:val="single" w:sz="4" w:space="0" w:color="auto"/>
              <w:right w:val="nil"/>
            </w:tcBorders>
          </w:tcPr>
          <w:p w14:paraId="32450D36"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1048" w:type="dxa"/>
            <w:tcBorders>
              <w:top w:val="single" w:sz="4" w:space="0" w:color="auto"/>
              <w:left w:val="nil"/>
              <w:bottom w:val="single" w:sz="4" w:space="0" w:color="auto"/>
              <w:right w:val="nil"/>
            </w:tcBorders>
          </w:tcPr>
          <w:p w14:paraId="1E188F09"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2F340B8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497" w:type="dxa"/>
            <w:tcBorders>
              <w:top w:val="single" w:sz="4" w:space="0" w:color="auto"/>
              <w:left w:val="nil"/>
              <w:bottom w:val="single" w:sz="4" w:space="0" w:color="auto"/>
              <w:right w:val="nil"/>
            </w:tcBorders>
          </w:tcPr>
          <w:p w14:paraId="7AAA5FC0"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4012B" w14:paraId="12D32D25" w14:textId="77777777" w:rsidTr="00E96166">
        <w:trPr>
          <w:trHeight w:val="259"/>
        </w:trPr>
        <w:tc>
          <w:tcPr>
            <w:tcW w:w="1804" w:type="dxa"/>
            <w:tcBorders>
              <w:top w:val="single" w:sz="4" w:space="0" w:color="auto"/>
              <w:left w:val="nil"/>
              <w:bottom w:val="single" w:sz="4" w:space="0" w:color="auto"/>
              <w:right w:val="nil"/>
            </w:tcBorders>
          </w:tcPr>
          <w:p w14:paraId="2638A251"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NO</w:t>
            </w:r>
          </w:p>
        </w:tc>
        <w:tc>
          <w:tcPr>
            <w:tcW w:w="1041" w:type="dxa"/>
            <w:tcBorders>
              <w:top w:val="single" w:sz="4" w:space="0" w:color="auto"/>
              <w:left w:val="nil"/>
              <w:bottom w:val="single" w:sz="4" w:space="0" w:color="auto"/>
              <w:right w:val="nil"/>
            </w:tcBorders>
          </w:tcPr>
          <w:p w14:paraId="65B7C76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w:t>
            </w:r>
          </w:p>
        </w:tc>
        <w:tc>
          <w:tcPr>
            <w:tcW w:w="1198" w:type="dxa"/>
            <w:tcBorders>
              <w:top w:val="single" w:sz="4" w:space="0" w:color="auto"/>
              <w:left w:val="nil"/>
              <w:bottom w:val="single" w:sz="4" w:space="0" w:color="auto"/>
              <w:right w:val="nil"/>
            </w:tcBorders>
          </w:tcPr>
          <w:p w14:paraId="5668B8C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9.52</w:t>
            </w:r>
          </w:p>
        </w:tc>
        <w:tc>
          <w:tcPr>
            <w:tcW w:w="1198" w:type="dxa"/>
            <w:tcBorders>
              <w:top w:val="single" w:sz="4" w:space="0" w:color="auto"/>
              <w:left w:val="nil"/>
              <w:bottom w:val="single" w:sz="4" w:space="0" w:color="auto"/>
              <w:right w:val="nil"/>
            </w:tcBorders>
          </w:tcPr>
          <w:p w14:paraId="0A86147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9.52</w:t>
            </w:r>
          </w:p>
        </w:tc>
        <w:tc>
          <w:tcPr>
            <w:tcW w:w="1048" w:type="dxa"/>
            <w:tcBorders>
              <w:top w:val="single" w:sz="4" w:space="0" w:color="auto"/>
              <w:left w:val="nil"/>
              <w:bottom w:val="single" w:sz="4" w:space="0" w:color="auto"/>
              <w:right w:val="nil"/>
            </w:tcBorders>
          </w:tcPr>
          <w:p w14:paraId="54CB24F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27</w:t>
            </w:r>
          </w:p>
        </w:tc>
        <w:tc>
          <w:tcPr>
            <w:tcW w:w="1198" w:type="dxa"/>
            <w:tcBorders>
              <w:top w:val="single" w:sz="4" w:space="0" w:color="auto"/>
              <w:left w:val="nil"/>
              <w:bottom w:val="single" w:sz="4" w:space="0" w:color="auto"/>
              <w:right w:val="nil"/>
            </w:tcBorders>
          </w:tcPr>
          <w:p w14:paraId="10550EFD"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10.98</w:t>
            </w:r>
          </w:p>
        </w:tc>
        <w:tc>
          <w:tcPr>
            <w:tcW w:w="1497" w:type="dxa"/>
            <w:tcBorders>
              <w:top w:val="single" w:sz="4" w:space="0" w:color="auto"/>
              <w:left w:val="nil"/>
              <w:bottom w:val="single" w:sz="4" w:space="0" w:color="auto"/>
              <w:right w:val="nil"/>
            </w:tcBorders>
          </w:tcPr>
          <w:p w14:paraId="2A2CC6C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10.98</w:t>
            </w:r>
          </w:p>
        </w:tc>
      </w:tr>
      <w:tr w:rsidR="00B4012B" w14:paraId="62559325" w14:textId="77777777" w:rsidTr="00E96166">
        <w:trPr>
          <w:trHeight w:val="274"/>
        </w:trPr>
        <w:tc>
          <w:tcPr>
            <w:tcW w:w="1804" w:type="dxa"/>
            <w:tcBorders>
              <w:top w:val="single" w:sz="4" w:space="0" w:color="auto"/>
              <w:left w:val="nil"/>
              <w:bottom w:val="single" w:sz="4" w:space="0" w:color="auto"/>
              <w:right w:val="nil"/>
            </w:tcBorders>
          </w:tcPr>
          <w:p w14:paraId="4A779E49"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YES</w:t>
            </w:r>
          </w:p>
        </w:tc>
        <w:tc>
          <w:tcPr>
            <w:tcW w:w="1041" w:type="dxa"/>
            <w:tcBorders>
              <w:top w:val="single" w:sz="4" w:space="0" w:color="auto"/>
              <w:left w:val="nil"/>
              <w:bottom w:val="single" w:sz="4" w:space="0" w:color="auto"/>
              <w:right w:val="nil"/>
            </w:tcBorders>
          </w:tcPr>
          <w:p w14:paraId="6A00390C"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19</w:t>
            </w:r>
          </w:p>
        </w:tc>
        <w:tc>
          <w:tcPr>
            <w:tcW w:w="1198" w:type="dxa"/>
            <w:tcBorders>
              <w:top w:val="single" w:sz="4" w:space="0" w:color="auto"/>
              <w:left w:val="nil"/>
              <w:bottom w:val="single" w:sz="4" w:space="0" w:color="auto"/>
              <w:right w:val="nil"/>
            </w:tcBorders>
          </w:tcPr>
          <w:p w14:paraId="25997C18"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90.48</w:t>
            </w:r>
          </w:p>
        </w:tc>
        <w:tc>
          <w:tcPr>
            <w:tcW w:w="1198" w:type="dxa"/>
            <w:tcBorders>
              <w:top w:val="single" w:sz="4" w:space="0" w:color="auto"/>
              <w:left w:val="nil"/>
              <w:bottom w:val="single" w:sz="4" w:space="0" w:color="auto"/>
              <w:right w:val="nil"/>
            </w:tcBorders>
          </w:tcPr>
          <w:p w14:paraId="0C3A6C6E"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048" w:type="dxa"/>
            <w:tcBorders>
              <w:top w:val="single" w:sz="4" w:space="0" w:color="auto"/>
              <w:left w:val="nil"/>
              <w:bottom w:val="single" w:sz="4" w:space="0" w:color="auto"/>
              <w:right w:val="nil"/>
            </w:tcBorders>
          </w:tcPr>
          <w:p w14:paraId="385E64E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219</w:t>
            </w:r>
          </w:p>
        </w:tc>
        <w:tc>
          <w:tcPr>
            <w:tcW w:w="1198" w:type="dxa"/>
            <w:tcBorders>
              <w:top w:val="single" w:sz="4" w:space="0" w:color="auto"/>
              <w:left w:val="nil"/>
              <w:bottom w:val="single" w:sz="4" w:space="0" w:color="auto"/>
              <w:right w:val="nil"/>
            </w:tcBorders>
          </w:tcPr>
          <w:p w14:paraId="1852649D"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89.02</w:t>
            </w:r>
          </w:p>
        </w:tc>
        <w:tc>
          <w:tcPr>
            <w:tcW w:w="1497" w:type="dxa"/>
            <w:tcBorders>
              <w:top w:val="single" w:sz="4" w:space="0" w:color="auto"/>
              <w:left w:val="nil"/>
              <w:bottom w:val="single" w:sz="4" w:space="0" w:color="auto"/>
              <w:right w:val="nil"/>
            </w:tcBorders>
          </w:tcPr>
          <w:p w14:paraId="2BEA9B5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4012B" w14:paraId="04F647F1" w14:textId="77777777" w:rsidTr="00E96166">
        <w:trPr>
          <w:trHeight w:val="245"/>
        </w:trPr>
        <w:tc>
          <w:tcPr>
            <w:tcW w:w="1804" w:type="dxa"/>
            <w:tcBorders>
              <w:top w:val="single" w:sz="4" w:space="0" w:color="auto"/>
              <w:left w:val="nil"/>
              <w:bottom w:val="single" w:sz="4" w:space="0" w:color="auto"/>
              <w:right w:val="nil"/>
            </w:tcBorders>
          </w:tcPr>
          <w:p w14:paraId="07FAE409"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41" w:type="dxa"/>
            <w:tcBorders>
              <w:top w:val="single" w:sz="4" w:space="0" w:color="auto"/>
              <w:left w:val="nil"/>
              <w:bottom w:val="single" w:sz="4" w:space="0" w:color="auto"/>
              <w:right w:val="nil"/>
            </w:tcBorders>
          </w:tcPr>
          <w:p w14:paraId="3F0AEED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98" w:type="dxa"/>
            <w:tcBorders>
              <w:top w:val="single" w:sz="4" w:space="0" w:color="auto"/>
              <w:left w:val="nil"/>
              <w:bottom w:val="single" w:sz="4" w:space="0" w:color="auto"/>
              <w:right w:val="nil"/>
            </w:tcBorders>
          </w:tcPr>
          <w:p w14:paraId="217938B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198" w:type="dxa"/>
            <w:tcBorders>
              <w:top w:val="single" w:sz="4" w:space="0" w:color="auto"/>
              <w:left w:val="nil"/>
              <w:bottom w:val="single" w:sz="4" w:space="0" w:color="auto"/>
              <w:right w:val="nil"/>
            </w:tcBorders>
          </w:tcPr>
          <w:p w14:paraId="4282C949"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c>
          <w:tcPr>
            <w:tcW w:w="1048" w:type="dxa"/>
            <w:tcBorders>
              <w:top w:val="single" w:sz="4" w:space="0" w:color="auto"/>
              <w:left w:val="nil"/>
              <w:bottom w:val="single" w:sz="4" w:space="0" w:color="auto"/>
              <w:right w:val="nil"/>
            </w:tcBorders>
          </w:tcPr>
          <w:p w14:paraId="2E70BD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98" w:type="dxa"/>
            <w:tcBorders>
              <w:top w:val="single" w:sz="4" w:space="0" w:color="auto"/>
              <w:left w:val="nil"/>
              <w:bottom w:val="single" w:sz="4" w:space="0" w:color="auto"/>
              <w:right w:val="nil"/>
            </w:tcBorders>
          </w:tcPr>
          <w:p w14:paraId="3620CD0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497" w:type="dxa"/>
            <w:tcBorders>
              <w:top w:val="single" w:sz="4" w:space="0" w:color="auto"/>
              <w:left w:val="nil"/>
              <w:bottom w:val="single" w:sz="4" w:space="0" w:color="auto"/>
              <w:right w:val="nil"/>
            </w:tcBorders>
          </w:tcPr>
          <w:p w14:paraId="23656C3E"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r>
    </w:tbl>
    <w:p w14:paraId="77328B9D" w14:textId="77777777" w:rsidR="00106B19" w:rsidRDefault="00106B19" w:rsidP="00A26E78">
      <w:pPr>
        <w:rPr>
          <w:lang w:val="en-US"/>
        </w:rPr>
      </w:pPr>
    </w:p>
    <w:p w14:paraId="69230689" w14:textId="2C055D48" w:rsidR="003F6AF0" w:rsidRDefault="0053589C" w:rsidP="0053589C">
      <w:pPr>
        <w:ind w:firstLine="567"/>
        <w:rPr>
          <w:lang w:val="en-US"/>
        </w:rPr>
      </w:pPr>
      <w:r w:rsidRPr="0053589C">
        <w:rPr>
          <w:lang w:val="en-US"/>
        </w:rPr>
        <w:t>The findings presented in Table 5 carry significant economic and policy implications. First, the evidence that women provide collateral at higher rates yet face similar or lower success in loan acquisition compared to men suggests structural biases and inefficiencies in credit allocation within Kisangani’s banking sector. This may not only suppress women’s entrepreneurial potential but also limit broader economic growth, as gender-inclusive financing is recognized as a driver of SME development and poverty reduction (</w:t>
      </w:r>
      <w:proofErr w:type="spellStart"/>
      <w:r w:rsidRPr="0053589C">
        <w:rPr>
          <w:lang w:val="en-US"/>
        </w:rPr>
        <w:t>Minniti</w:t>
      </w:r>
      <w:proofErr w:type="spellEnd"/>
      <w:r w:rsidRPr="0053589C">
        <w:rPr>
          <w:lang w:val="en-US"/>
        </w:rPr>
        <w:t xml:space="preserve"> &amp; </w:t>
      </w:r>
      <w:proofErr w:type="spellStart"/>
      <w:r w:rsidRPr="0053589C">
        <w:rPr>
          <w:lang w:val="en-US"/>
        </w:rPr>
        <w:t>Naudé</w:t>
      </w:r>
      <w:proofErr w:type="spellEnd"/>
      <w:r w:rsidRPr="0053589C">
        <w:rPr>
          <w:lang w:val="en-US"/>
        </w:rPr>
        <w:t>, 2010</w:t>
      </w:r>
      <w:r w:rsidR="00A865A6">
        <w:rPr>
          <w:lang w:val="en-US"/>
        </w:rPr>
        <w:t xml:space="preserve">; </w:t>
      </w:r>
      <w:proofErr w:type="spellStart"/>
      <w:r w:rsidR="00A865A6" w:rsidRPr="00E62B11">
        <w:rPr>
          <w:rFonts w:eastAsia="Times New Roman" w:cs="Times New Roman"/>
          <w:szCs w:val="24"/>
          <w:lang w:val="en-US" w:eastAsia="fr-FR"/>
        </w:rPr>
        <w:lastRenderedPageBreak/>
        <w:t>Rutazihana</w:t>
      </w:r>
      <w:proofErr w:type="spellEnd"/>
      <w:r w:rsidR="00A865A6" w:rsidRPr="00E62B11">
        <w:rPr>
          <w:rFonts w:eastAsia="Times New Roman" w:cs="Times New Roman"/>
          <w:szCs w:val="24"/>
          <w:lang w:val="en-US" w:eastAsia="fr-FR"/>
        </w:rPr>
        <w:t xml:space="preserve"> &amp; Kelly, 2025</w:t>
      </w:r>
      <w:r w:rsidRPr="0053589C">
        <w:rPr>
          <w:lang w:val="en-US"/>
        </w:rPr>
        <w:t>). Second, the comparable revenue performance of women-led SMEs highlights untapped opportunities for financial institutions and policymakers to expand support for female entrepreneurs, which could yield significant returns in terms of employment and income generation. Finally, the persistently low loan approval rates for both men and women reflect systemic barriers in the DRC’s financial sector, where stringent lending criteria and high perceived risks limit SME access to formal credit (Beck &amp; Cull, 2014). Addressing these barriers through gender-responsive financial policies and innovative credit schemes is essential for harnessing the full potential of Kisangani’s SME sector to contribute to inclusive economic growth.</w:t>
      </w:r>
    </w:p>
    <w:p w14:paraId="7FBEA363" w14:textId="77777777" w:rsidR="001F5068" w:rsidRDefault="003F6AF0" w:rsidP="000D1863">
      <w:pPr>
        <w:pStyle w:val="Titre1"/>
        <w:numPr>
          <w:ilvl w:val="0"/>
          <w:numId w:val="1"/>
        </w:numPr>
        <w:rPr>
          <w:lang w:val="en-US"/>
        </w:rPr>
      </w:pPr>
      <w:r>
        <w:rPr>
          <w:lang w:val="en-US"/>
        </w:rPr>
        <w:t>Conclusion and Policy Recommendation</w:t>
      </w:r>
    </w:p>
    <w:p w14:paraId="4F8F0333" w14:textId="77777777" w:rsidR="000E5CDF" w:rsidRDefault="00B80E54" w:rsidP="00B80E54">
      <w:pPr>
        <w:ind w:firstLine="567"/>
        <w:rPr>
          <w:lang w:val="en-US"/>
        </w:rPr>
      </w:pPr>
      <w:r>
        <w:rPr>
          <w:lang w:val="en-US"/>
        </w:rPr>
        <w:t>T</w:t>
      </w:r>
      <w:r w:rsidRPr="00B80E54">
        <w:rPr>
          <w:lang w:val="en-US"/>
        </w:rPr>
        <w:t>he study on the effect of gender on lending and income generation among SMEs in Kisangani reveals important insights into the structural dynamics of credit access and entrepreneurial performance in the city. While women entrepreneurs demonstrated a higher likelihood of providing collateral compared to their male counterparts, this did not translate into improved loan access, as both genders experienced similarly low approval rates. This outcome reflects the conservative and risk-averse lending practices of commercial banks in Kisangani, which continue to restrict SME financing despite the presence of collateral. At the same time, the analysis of revenue generation shows that female-led SMEs are equally capable of sustaining viable economic activities, with revenue performance comparable to that of male-led SMEs, despite women’s relatively limited representation in the entrepreneurial landscape. These findings highlight a persistent paradox in which women entrepreneurs demonstrate economic potential and creditworthiness but remain disproportionately disadvantaged in accessing finance. This underscores the continued existence of gender-based disparities in financial systems, reflecting broader patterns observed across Sub-Saharan Africa, where women face systemic barriers to credit despite their proven contributions to enterprise development and income generation.</w:t>
      </w:r>
    </w:p>
    <w:p w14:paraId="1C7AD691" w14:textId="498A2EC3" w:rsidR="006C13A1" w:rsidRDefault="000E5CDF" w:rsidP="00B80E54">
      <w:pPr>
        <w:ind w:firstLine="567"/>
        <w:rPr>
          <w:lang w:val="en-US"/>
        </w:rPr>
      </w:pPr>
      <w:r w:rsidRPr="000E5CDF">
        <w:rPr>
          <w:lang w:val="en-US"/>
        </w:rPr>
        <w:t xml:space="preserve">Based on the findings, the study recommends that commercial banks in Kisangani adopt more inclusive and gender-responsive lending practices that recognize the proven creditworthiness and income-generating potential of female entrepreneurs. Financial institutions should reconsider overly restrictive collateral requirements and explore alternative credit assessment mechanisms, such as character-based lending or the use of movable assets, which can broaden women’s access to finance. In parallel, targeted support programs, including capacity-building initiatives, financial literacy training, and mentorship opportunities, should be developed to strengthen women’s participation in entrepreneurship and improve their ability </w:t>
      </w:r>
      <w:r w:rsidRPr="000E5CDF">
        <w:rPr>
          <w:lang w:val="en-US"/>
        </w:rPr>
        <w:lastRenderedPageBreak/>
        <w:t xml:space="preserve">to negotiate with banks. Policymakers and development partners are also encouraged to create enabling frameworks that incentivize banks to extend credit to female-led SMEs, for example through credit guarantee schemes or blended finance mechanisms. </w:t>
      </w:r>
      <w:r w:rsidR="00535EE6">
        <w:rPr>
          <w:lang w:val="en-US"/>
        </w:rPr>
        <w:t>In doing so</w:t>
      </w:r>
      <w:r w:rsidRPr="000E5CDF">
        <w:rPr>
          <w:lang w:val="en-US"/>
        </w:rPr>
        <w:t>, these measures would not only foster greater gender equity in access to finance but also unlock the full potential of SMEs as engines of inclusive economic growth in Kisangani and the wider DRC.</w:t>
      </w:r>
    </w:p>
    <w:p w14:paraId="5530C89A" w14:textId="521AF8F5" w:rsidR="009515A5" w:rsidRDefault="009515A5" w:rsidP="00B80E54">
      <w:pPr>
        <w:ind w:firstLine="567"/>
        <w:rPr>
          <w:lang w:val="en-US"/>
        </w:rPr>
      </w:pPr>
    </w:p>
    <w:p w14:paraId="4E411E8E" w14:textId="6CC84D8E" w:rsidR="009515A5" w:rsidRPr="00510FA8" w:rsidRDefault="009515A5" w:rsidP="009515A5">
      <w:pPr>
        <w:rPr>
          <w:highlight w:val="yellow"/>
          <w:lang w:val="en-US"/>
        </w:rPr>
      </w:pPr>
      <w:r w:rsidRPr="00510FA8">
        <w:rPr>
          <w:highlight w:val="yellow"/>
          <w:lang w:val="en-US"/>
        </w:rPr>
        <w:t>Disclaimer (Artificial intelligence)</w:t>
      </w:r>
    </w:p>
    <w:p w14:paraId="333E1D4E" w14:textId="77777777" w:rsidR="009515A5" w:rsidRPr="00510FA8" w:rsidRDefault="009515A5" w:rsidP="009515A5">
      <w:pPr>
        <w:rPr>
          <w:highlight w:val="yellow"/>
          <w:lang w:val="en-US"/>
        </w:rPr>
      </w:pPr>
    </w:p>
    <w:p w14:paraId="70F70C81" w14:textId="77777777" w:rsidR="009515A5" w:rsidRPr="00510FA8" w:rsidRDefault="009515A5" w:rsidP="009515A5">
      <w:pPr>
        <w:rPr>
          <w:highlight w:val="yellow"/>
          <w:lang w:val="en-US"/>
        </w:rPr>
      </w:pPr>
      <w:r w:rsidRPr="00510FA8">
        <w:rPr>
          <w:highlight w:val="yellow"/>
          <w:lang w:val="en-US"/>
        </w:rPr>
        <w:t>Author(s) hereby declare that NO generative AI technologies such as Large Language Models (</w:t>
      </w:r>
      <w:proofErr w:type="spellStart"/>
      <w:r w:rsidRPr="00510FA8">
        <w:rPr>
          <w:highlight w:val="yellow"/>
          <w:lang w:val="en-US"/>
        </w:rPr>
        <w:t>ChatGPT</w:t>
      </w:r>
      <w:proofErr w:type="spellEnd"/>
      <w:r w:rsidRPr="00510FA8">
        <w:rPr>
          <w:highlight w:val="yellow"/>
          <w:lang w:val="en-US"/>
        </w:rPr>
        <w:t xml:space="preserve">, COPILOT, etc.) and text-to-image generators have been used during the writing or editing of this manuscript. </w:t>
      </w:r>
    </w:p>
    <w:p w14:paraId="50A7A287" w14:textId="77777777" w:rsidR="009515A5" w:rsidRPr="00510FA8" w:rsidRDefault="009515A5" w:rsidP="009515A5">
      <w:pPr>
        <w:rPr>
          <w:highlight w:val="yellow"/>
          <w:lang w:val="en-US"/>
        </w:rPr>
      </w:pPr>
    </w:p>
    <w:p w14:paraId="6FCDBB6C" w14:textId="77777777" w:rsidR="009515A5" w:rsidRDefault="009515A5" w:rsidP="00B80E54">
      <w:pPr>
        <w:ind w:firstLine="567"/>
        <w:rPr>
          <w:lang w:val="en-US"/>
        </w:rPr>
      </w:pPr>
    </w:p>
    <w:p w14:paraId="49645EEB" w14:textId="77777777" w:rsidR="0070083E" w:rsidRDefault="0070083E" w:rsidP="0070083E">
      <w:pPr>
        <w:pStyle w:val="Titre1"/>
        <w:rPr>
          <w:lang w:val="en-US"/>
        </w:rPr>
      </w:pPr>
      <w:r>
        <w:rPr>
          <w:lang w:val="en-US"/>
        </w:rPr>
        <w:t>References</w:t>
      </w:r>
    </w:p>
    <w:p w14:paraId="19FDFAF2" w14:textId="77777777" w:rsidR="001E0760" w:rsidRPr="000E5644" w:rsidRDefault="001E0760" w:rsidP="00BD4E82">
      <w:pPr>
        <w:ind w:left="567" w:hanging="567"/>
        <w:rPr>
          <w:rFonts w:eastAsia="Times New Roman" w:cs="Times New Roman"/>
          <w:szCs w:val="24"/>
          <w:lang w:val="en-US" w:eastAsia="fr-FR"/>
        </w:rPr>
      </w:pPr>
      <w:proofErr w:type="spellStart"/>
      <w:proofErr w:type="gramStart"/>
      <w:r w:rsidRPr="000E5644">
        <w:rPr>
          <w:rFonts w:eastAsia="Times New Roman" w:cs="Times New Roman"/>
          <w:szCs w:val="24"/>
          <w:lang w:val="en-US" w:eastAsia="fr-FR"/>
        </w:rPr>
        <w:t>Acs</w:t>
      </w:r>
      <w:proofErr w:type="spellEnd"/>
      <w:proofErr w:type="gramEnd"/>
      <w:r w:rsidRPr="000E5644">
        <w:rPr>
          <w:rFonts w:eastAsia="Times New Roman" w:cs="Times New Roman"/>
          <w:szCs w:val="24"/>
          <w:lang w:val="en-US" w:eastAsia="fr-FR"/>
        </w:rPr>
        <w:t xml:space="preserve">, Z. J., </w:t>
      </w:r>
      <w:proofErr w:type="spellStart"/>
      <w:r w:rsidRPr="000E5644">
        <w:rPr>
          <w:rFonts w:eastAsia="Times New Roman" w:cs="Times New Roman"/>
          <w:szCs w:val="24"/>
          <w:lang w:val="en-US" w:eastAsia="fr-FR"/>
        </w:rPr>
        <w:t>Estrin</w:t>
      </w:r>
      <w:proofErr w:type="spellEnd"/>
      <w:r w:rsidRPr="000E5644">
        <w:rPr>
          <w:rFonts w:eastAsia="Times New Roman" w:cs="Times New Roman"/>
          <w:szCs w:val="24"/>
          <w:lang w:val="en-US" w:eastAsia="fr-FR"/>
        </w:rPr>
        <w:t xml:space="preserve">, S., Mickiewicz, T., &amp; </w:t>
      </w:r>
      <w:proofErr w:type="spellStart"/>
      <w:r w:rsidRPr="000E5644">
        <w:rPr>
          <w:rFonts w:eastAsia="Times New Roman" w:cs="Times New Roman"/>
          <w:szCs w:val="24"/>
          <w:lang w:val="en-US" w:eastAsia="fr-FR"/>
        </w:rPr>
        <w:t>Szerb</w:t>
      </w:r>
      <w:proofErr w:type="spellEnd"/>
      <w:r w:rsidRPr="000E5644">
        <w:rPr>
          <w:rFonts w:eastAsia="Times New Roman" w:cs="Times New Roman"/>
          <w:szCs w:val="24"/>
          <w:lang w:val="en-US" w:eastAsia="fr-FR"/>
        </w:rPr>
        <w:t xml:space="preserve">, L. (2018). Entrepreneurship, institutional economics, and economic growth: an ecosystem perspective. </w:t>
      </w:r>
      <w:r w:rsidRPr="000E5644">
        <w:rPr>
          <w:rFonts w:eastAsia="Times New Roman" w:cs="Times New Roman"/>
          <w:i/>
          <w:iCs/>
          <w:szCs w:val="24"/>
          <w:lang w:val="en-US" w:eastAsia="fr-FR"/>
        </w:rPr>
        <w:t>Small Business Economics</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51</w:t>
      </w:r>
      <w:r w:rsidRPr="000E5644">
        <w:rPr>
          <w:rFonts w:eastAsia="Times New Roman" w:cs="Times New Roman"/>
          <w:szCs w:val="24"/>
          <w:lang w:val="en-US" w:eastAsia="fr-FR"/>
        </w:rPr>
        <w:t>(2), 501-514.</w:t>
      </w:r>
    </w:p>
    <w:p w14:paraId="3F90E676" w14:textId="77777777" w:rsidR="001E0760" w:rsidRPr="00D53D6A" w:rsidRDefault="001E0760" w:rsidP="00BD4E82">
      <w:pPr>
        <w:ind w:left="567" w:hanging="567"/>
        <w:rPr>
          <w:rFonts w:eastAsia="Times New Roman" w:cs="Times New Roman"/>
          <w:szCs w:val="24"/>
          <w:lang w:val="en-US" w:eastAsia="fr-FR"/>
        </w:rPr>
      </w:pPr>
      <w:proofErr w:type="spellStart"/>
      <w:r w:rsidRPr="00D53D6A">
        <w:rPr>
          <w:rFonts w:eastAsia="Times New Roman" w:cs="Times New Roman"/>
          <w:szCs w:val="24"/>
          <w:lang w:val="en-US" w:eastAsia="fr-FR"/>
        </w:rPr>
        <w:t>Alam</w:t>
      </w:r>
      <w:proofErr w:type="spellEnd"/>
      <w:r w:rsidRPr="00D53D6A">
        <w:rPr>
          <w:rFonts w:eastAsia="Times New Roman" w:cs="Times New Roman"/>
          <w:szCs w:val="24"/>
          <w:lang w:val="en-US" w:eastAsia="fr-FR"/>
        </w:rPr>
        <w:t xml:space="preserve">, J., </w:t>
      </w:r>
      <w:proofErr w:type="spellStart"/>
      <w:r w:rsidRPr="00D53D6A">
        <w:rPr>
          <w:rFonts w:eastAsia="Times New Roman" w:cs="Times New Roman"/>
          <w:szCs w:val="24"/>
          <w:lang w:val="en-US" w:eastAsia="fr-FR"/>
        </w:rPr>
        <w:t>Moir</w:t>
      </w:r>
      <w:proofErr w:type="spellEnd"/>
      <w:r w:rsidRPr="00D53D6A">
        <w:rPr>
          <w:rFonts w:eastAsia="Times New Roman" w:cs="Times New Roman"/>
          <w:szCs w:val="24"/>
          <w:lang w:val="en-US" w:eastAsia="fr-FR"/>
        </w:rPr>
        <w:t xml:space="preserve">, R., &amp; Ibn </w:t>
      </w:r>
      <w:proofErr w:type="spellStart"/>
      <w:r w:rsidRPr="00D53D6A">
        <w:rPr>
          <w:rFonts w:eastAsia="Times New Roman" w:cs="Times New Roman"/>
          <w:szCs w:val="24"/>
          <w:lang w:val="en-US" w:eastAsia="fr-FR"/>
        </w:rPr>
        <w:t>Boamah</w:t>
      </w:r>
      <w:proofErr w:type="spellEnd"/>
      <w:r w:rsidRPr="00D53D6A">
        <w:rPr>
          <w:rFonts w:eastAsia="Times New Roman" w:cs="Times New Roman"/>
          <w:szCs w:val="24"/>
          <w:lang w:val="en-US" w:eastAsia="fr-FR"/>
        </w:rPr>
        <w:t xml:space="preserve">, M. (2021). Gender and micro-credit: who repays? Evidence from a Canadian individual-lending approach. </w:t>
      </w:r>
      <w:r w:rsidRPr="00D53D6A">
        <w:rPr>
          <w:rFonts w:eastAsia="Times New Roman" w:cs="Times New Roman"/>
          <w:i/>
          <w:iCs/>
          <w:szCs w:val="24"/>
          <w:lang w:val="en-US" w:eastAsia="fr-FR"/>
        </w:rPr>
        <w:t>Journal of Small Business &amp; Entrepreneurship</w:t>
      </w:r>
      <w:r w:rsidRPr="00D53D6A">
        <w:rPr>
          <w:rFonts w:eastAsia="Times New Roman" w:cs="Times New Roman"/>
          <w:szCs w:val="24"/>
          <w:lang w:val="en-US" w:eastAsia="fr-FR"/>
        </w:rPr>
        <w:t xml:space="preserve">, </w:t>
      </w:r>
      <w:r w:rsidRPr="00D53D6A">
        <w:rPr>
          <w:rFonts w:eastAsia="Times New Roman" w:cs="Times New Roman"/>
          <w:i/>
          <w:iCs/>
          <w:szCs w:val="24"/>
          <w:lang w:val="en-US" w:eastAsia="fr-FR"/>
        </w:rPr>
        <w:t>33</w:t>
      </w:r>
      <w:r w:rsidRPr="00D53D6A">
        <w:rPr>
          <w:rFonts w:eastAsia="Times New Roman" w:cs="Times New Roman"/>
          <w:szCs w:val="24"/>
          <w:lang w:val="en-US" w:eastAsia="fr-FR"/>
        </w:rPr>
        <w:t>(3), 249-267.</w:t>
      </w:r>
    </w:p>
    <w:p w14:paraId="34E620D3" w14:textId="77777777" w:rsidR="001E0760" w:rsidRPr="00C177AD" w:rsidRDefault="001E0760" w:rsidP="00BD4E82">
      <w:pPr>
        <w:ind w:left="567" w:hanging="567"/>
        <w:rPr>
          <w:rFonts w:eastAsia="Times New Roman" w:cs="Times New Roman"/>
          <w:szCs w:val="24"/>
          <w:lang w:val="en-US" w:eastAsia="fr-FR"/>
        </w:rPr>
      </w:pPr>
      <w:proofErr w:type="spellStart"/>
      <w:r w:rsidRPr="00BD4E82">
        <w:rPr>
          <w:rFonts w:eastAsia="Times New Roman" w:cs="Times New Roman"/>
          <w:szCs w:val="24"/>
          <w:lang w:eastAsia="fr-FR"/>
        </w:rPr>
        <w:t>Alhassan</w:t>
      </w:r>
      <w:proofErr w:type="spellEnd"/>
      <w:r w:rsidRPr="00BD4E82">
        <w:rPr>
          <w:rFonts w:eastAsia="Times New Roman" w:cs="Times New Roman"/>
          <w:szCs w:val="24"/>
          <w:lang w:eastAsia="fr-FR"/>
        </w:rPr>
        <w:t xml:space="preserve">, A. R., &amp; </w:t>
      </w:r>
      <w:proofErr w:type="spellStart"/>
      <w:r w:rsidRPr="00BD4E82">
        <w:rPr>
          <w:rFonts w:eastAsia="Times New Roman" w:cs="Times New Roman"/>
          <w:szCs w:val="24"/>
          <w:lang w:eastAsia="fr-FR"/>
        </w:rPr>
        <w:t>Akudugu</w:t>
      </w:r>
      <w:proofErr w:type="spellEnd"/>
      <w:r w:rsidRPr="00BD4E82">
        <w:rPr>
          <w:rFonts w:eastAsia="Times New Roman" w:cs="Times New Roman"/>
          <w:szCs w:val="24"/>
          <w:lang w:eastAsia="fr-FR"/>
        </w:rPr>
        <w:t xml:space="preserve">, M. A. (2012). </w:t>
      </w:r>
      <w:r w:rsidRPr="00C177AD">
        <w:rPr>
          <w:rFonts w:eastAsia="Times New Roman" w:cs="Times New Roman"/>
          <w:szCs w:val="24"/>
          <w:lang w:val="en-US" w:eastAsia="fr-FR"/>
        </w:rPr>
        <w:t xml:space="preserve">Impact of microcredit on income generation capacity of women in the Tamale Metropolitan area of Ghana. </w:t>
      </w:r>
      <w:r w:rsidRPr="00C177AD">
        <w:rPr>
          <w:rFonts w:eastAsia="Times New Roman" w:cs="Times New Roman"/>
          <w:i/>
          <w:iCs/>
          <w:szCs w:val="24"/>
          <w:lang w:val="en-US" w:eastAsia="fr-FR"/>
        </w:rPr>
        <w:t>Journal of Economics and Sustainable Development</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3</w:t>
      </w:r>
      <w:r w:rsidRPr="00C177AD">
        <w:rPr>
          <w:rFonts w:eastAsia="Times New Roman" w:cs="Times New Roman"/>
          <w:szCs w:val="24"/>
          <w:lang w:val="en-US" w:eastAsia="fr-FR"/>
        </w:rPr>
        <w:t>(5), 41-48.</w:t>
      </w:r>
    </w:p>
    <w:p w14:paraId="7B85FDF7" w14:textId="77777777" w:rsidR="001E0760" w:rsidRPr="00C177AD" w:rsidRDefault="001E0760" w:rsidP="00BD4E82">
      <w:pPr>
        <w:ind w:left="567" w:hanging="567"/>
        <w:rPr>
          <w:rFonts w:eastAsia="Times New Roman" w:cs="Times New Roman"/>
          <w:szCs w:val="24"/>
          <w:lang w:val="en-US" w:eastAsia="fr-FR"/>
        </w:rPr>
      </w:pPr>
      <w:r w:rsidRPr="00C177AD">
        <w:rPr>
          <w:rFonts w:eastAsia="Times New Roman" w:cs="Times New Roman"/>
          <w:szCs w:val="24"/>
          <w:lang w:val="en-US" w:eastAsia="fr-FR"/>
        </w:rPr>
        <w:t>Angel-</w:t>
      </w:r>
      <w:proofErr w:type="spellStart"/>
      <w:r w:rsidRPr="00C177AD">
        <w:rPr>
          <w:rFonts w:eastAsia="Times New Roman" w:cs="Times New Roman"/>
          <w:szCs w:val="24"/>
          <w:lang w:val="en-US" w:eastAsia="fr-FR"/>
        </w:rPr>
        <w:t>Urdinola</w:t>
      </w:r>
      <w:proofErr w:type="spellEnd"/>
      <w:r w:rsidRPr="00C177AD">
        <w:rPr>
          <w:rFonts w:eastAsia="Times New Roman" w:cs="Times New Roman"/>
          <w:szCs w:val="24"/>
          <w:lang w:val="en-US" w:eastAsia="fr-FR"/>
        </w:rPr>
        <w:t xml:space="preserve">, D., &amp; </w:t>
      </w:r>
      <w:proofErr w:type="spellStart"/>
      <w:r w:rsidRPr="00C177AD">
        <w:rPr>
          <w:rFonts w:eastAsia="Times New Roman" w:cs="Times New Roman"/>
          <w:szCs w:val="24"/>
          <w:lang w:val="en-US" w:eastAsia="fr-FR"/>
        </w:rPr>
        <w:t>Wodon</w:t>
      </w:r>
      <w:proofErr w:type="spellEnd"/>
      <w:r w:rsidRPr="00C177AD">
        <w:rPr>
          <w:rFonts w:eastAsia="Times New Roman" w:cs="Times New Roman"/>
          <w:szCs w:val="24"/>
          <w:lang w:val="en-US" w:eastAsia="fr-FR"/>
        </w:rPr>
        <w:t xml:space="preserve">, Q. (2010). Income generation and intra-household decision making: A gender analysis for Nigeria. </w:t>
      </w:r>
      <w:r w:rsidRPr="00C177AD">
        <w:rPr>
          <w:rFonts w:eastAsia="Times New Roman" w:cs="Times New Roman"/>
          <w:i/>
          <w:iCs/>
          <w:szCs w:val="24"/>
          <w:lang w:val="en-US" w:eastAsia="fr-FR"/>
        </w:rPr>
        <w:t>Gender disparities in Africa’s labor market</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381</w:t>
      </w:r>
      <w:r w:rsidRPr="00C177AD">
        <w:rPr>
          <w:rFonts w:eastAsia="Times New Roman" w:cs="Times New Roman"/>
          <w:szCs w:val="24"/>
          <w:lang w:val="en-US" w:eastAsia="fr-FR"/>
        </w:rPr>
        <w:t>.</w:t>
      </w:r>
    </w:p>
    <w:p w14:paraId="5E6CD93A" w14:textId="77777777" w:rsidR="001E0760" w:rsidRPr="001A4643" w:rsidRDefault="001E0760" w:rsidP="00BD4E82">
      <w:pPr>
        <w:ind w:left="567" w:hanging="567"/>
        <w:rPr>
          <w:rFonts w:eastAsia="Times New Roman" w:cs="Times New Roman"/>
          <w:szCs w:val="24"/>
          <w:lang w:val="en-US" w:eastAsia="fr-FR"/>
        </w:rPr>
      </w:pPr>
      <w:proofErr w:type="spellStart"/>
      <w:r w:rsidRPr="001A4643">
        <w:rPr>
          <w:rFonts w:eastAsia="Times New Roman" w:cs="Times New Roman"/>
          <w:szCs w:val="24"/>
          <w:lang w:val="en-US" w:eastAsia="fr-FR"/>
        </w:rPr>
        <w:t>Aterido</w:t>
      </w:r>
      <w:proofErr w:type="spellEnd"/>
      <w:r w:rsidRPr="001A4643">
        <w:rPr>
          <w:rFonts w:eastAsia="Times New Roman" w:cs="Times New Roman"/>
          <w:szCs w:val="24"/>
          <w:lang w:val="en-US" w:eastAsia="fr-FR"/>
        </w:rPr>
        <w:t xml:space="preserve">, R., Beck, T., &amp; </w:t>
      </w:r>
      <w:proofErr w:type="spellStart"/>
      <w:r w:rsidRPr="001A4643">
        <w:rPr>
          <w:rFonts w:eastAsia="Times New Roman" w:cs="Times New Roman"/>
          <w:szCs w:val="24"/>
          <w:lang w:val="en-US" w:eastAsia="fr-FR"/>
        </w:rPr>
        <w:t>Iacovone</w:t>
      </w:r>
      <w:proofErr w:type="spellEnd"/>
      <w:r w:rsidRPr="001A4643">
        <w:rPr>
          <w:rFonts w:eastAsia="Times New Roman" w:cs="Times New Roman"/>
          <w:szCs w:val="24"/>
          <w:lang w:val="en-US" w:eastAsia="fr-FR"/>
        </w:rPr>
        <w:t>, L. (2013). Access to finance in Sub-Saharan Africa: is there a gender gap</w:t>
      </w:r>
      <w:proofErr w:type="gramStart"/>
      <w:r w:rsidRPr="001A4643">
        <w:rPr>
          <w:rFonts w:eastAsia="Times New Roman" w:cs="Times New Roman"/>
          <w:szCs w:val="24"/>
          <w:lang w:val="en-US" w:eastAsia="fr-FR"/>
        </w:rPr>
        <w:t>?.</w:t>
      </w:r>
      <w:proofErr w:type="gramEnd"/>
      <w:r w:rsidRPr="001A4643">
        <w:rPr>
          <w:rFonts w:eastAsia="Times New Roman" w:cs="Times New Roman"/>
          <w:szCs w:val="24"/>
          <w:lang w:val="en-US" w:eastAsia="fr-FR"/>
        </w:rPr>
        <w:t xml:space="preserve"> </w:t>
      </w:r>
      <w:r>
        <w:rPr>
          <w:rFonts w:eastAsia="Times New Roman" w:cs="Times New Roman"/>
          <w:i/>
          <w:iCs/>
          <w:szCs w:val="24"/>
          <w:lang w:val="en-US" w:eastAsia="fr-FR"/>
        </w:rPr>
        <w:t>World D</w:t>
      </w:r>
      <w:r w:rsidRPr="001A4643">
        <w:rPr>
          <w:rFonts w:eastAsia="Times New Roman" w:cs="Times New Roman"/>
          <w:i/>
          <w:iCs/>
          <w:szCs w:val="24"/>
          <w:lang w:val="en-US" w:eastAsia="fr-FR"/>
        </w:rPr>
        <w:t>evelopment</w:t>
      </w:r>
      <w:r w:rsidRPr="001A4643">
        <w:rPr>
          <w:rFonts w:eastAsia="Times New Roman" w:cs="Times New Roman"/>
          <w:szCs w:val="24"/>
          <w:lang w:val="en-US" w:eastAsia="fr-FR"/>
        </w:rPr>
        <w:t xml:space="preserve">, </w:t>
      </w:r>
      <w:r w:rsidRPr="001A4643">
        <w:rPr>
          <w:rFonts w:eastAsia="Times New Roman" w:cs="Times New Roman"/>
          <w:i/>
          <w:iCs/>
          <w:szCs w:val="24"/>
          <w:lang w:val="en-US" w:eastAsia="fr-FR"/>
        </w:rPr>
        <w:t>47</w:t>
      </w:r>
      <w:r w:rsidRPr="001A4643">
        <w:rPr>
          <w:rFonts w:eastAsia="Times New Roman" w:cs="Times New Roman"/>
          <w:szCs w:val="24"/>
          <w:lang w:val="en-US" w:eastAsia="fr-FR"/>
        </w:rPr>
        <w:t>, 102-120.</w:t>
      </w:r>
    </w:p>
    <w:p w14:paraId="10D66083" w14:textId="77777777" w:rsidR="001E0760" w:rsidRPr="000E5644" w:rsidRDefault="001E0760"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Aterido</w:t>
      </w:r>
      <w:proofErr w:type="spellEnd"/>
      <w:r w:rsidRPr="000E5644">
        <w:rPr>
          <w:rFonts w:eastAsia="Times New Roman" w:cs="Times New Roman"/>
          <w:szCs w:val="24"/>
          <w:lang w:val="en-US" w:eastAsia="fr-FR"/>
        </w:rPr>
        <w:t xml:space="preserve">, R., </w:t>
      </w:r>
      <w:proofErr w:type="spellStart"/>
      <w:r w:rsidRPr="000E5644">
        <w:rPr>
          <w:rFonts w:eastAsia="Times New Roman" w:cs="Times New Roman"/>
          <w:szCs w:val="24"/>
          <w:lang w:val="en-US" w:eastAsia="fr-FR"/>
        </w:rPr>
        <w:t>Hallward-Driemeier</w:t>
      </w:r>
      <w:proofErr w:type="spellEnd"/>
      <w:r w:rsidRPr="000E5644">
        <w:rPr>
          <w:rFonts w:eastAsia="Times New Roman" w:cs="Times New Roman"/>
          <w:szCs w:val="24"/>
          <w:lang w:val="en-US" w:eastAsia="fr-FR"/>
        </w:rPr>
        <w:t xml:space="preserve">, M., &amp; </w:t>
      </w:r>
      <w:proofErr w:type="spellStart"/>
      <w:r w:rsidRPr="000E5644">
        <w:rPr>
          <w:rFonts w:eastAsia="Times New Roman" w:cs="Times New Roman"/>
          <w:szCs w:val="24"/>
          <w:lang w:val="en-US" w:eastAsia="fr-FR"/>
        </w:rPr>
        <w:t>Pagés</w:t>
      </w:r>
      <w:proofErr w:type="spellEnd"/>
      <w:r w:rsidRPr="000E5644">
        <w:rPr>
          <w:rFonts w:eastAsia="Times New Roman" w:cs="Times New Roman"/>
          <w:szCs w:val="24"/>
          <w:lang w:val="en-US" w:eastAsia="fr-FR"/>
        </w:rPr>
        <w:t xml:space="preserve">, C. (2011). Big constraints to small firms’ growth? Business environment and employment growth across firms. </w:t>
      </w:r>
      <w:r w:rsidRPr="000E5644">
        <w:rPr>
          <w:rFonts w:eastAsia="Times New Roman" w:cs="Times New Roman"/>
          <w:i/>
          <w:iCs/>
          <w:szCs w:val="24"/>
          <w:lang w:val="en-US" w:eastAsia="fr-FR"/>
        </w:rPr>
        <w:t>Economic Development and Cultural Change</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59</w:t>
      </w:r>
      <w:r w:rsidRPr="000E5644">
        <w:rPr>
          <w:rFonts w:eastAsia="Times New Roman" w:cs="Times New Roman"/>
          <w:szCs w:val="24"/>
          <w:lang w:val="en-US" w:eastAsia="fr-FR"/>
        </w:rPr>
        <w:t>(3), 609-647.</w:t>
      </w:r>
    </w:p>
    <w:p w14:paraId="0B413E49" w14:textId="77777777" w:rsidR="001E0760" w:rsidRPr="00510FA8" w:rsidRDefault="001E0760" w:rsidP="00BD4E82">
      <w:pPr>
        <w:ind w:left="567" w:hanging="567"/>
        <w:rPr>
          <w:rFonts w:eastAsia="Times New Roman" w:cs="Times New Roman"/>
          <w:szCs w:val="24"/>
          <w:lang w:val="en-US" w:eastAsia="fr-FR"/>
        </w:rPr>
      </w:pPr>
      <w:proofErr w:type="spellStart"/>
      <w:r w:rsidRPr="003F6AF0">
        <w:rPr>
          <w:rFonts w:eastAsia="Times New Roman" w:cs="Times New Roman"/>
          <w:szCs w:val="24"/>
          <w:lang w:val="en-US" w:eastAsia="fr-FR"/>
        </w:rPr>
        <w:t>Bardasi</w:t>
      </w:r>
      <w:proofErr w:type="spellEnd"/>
      <w:r w:rsidRPr="003F6AF0">
        <w:rPr>
          <w:rFonts w:eastAsia="Times New Roman" w:cs="Times New Roman"/>
          <w:szCs w:val="24"/>
          <w:lang w:val="en-US" w:eastAsia="fr-FR"/>
        </w:rPr>
        <w:t xml:space="preserve">, E., </w:t>
      </w:r>
      <w:proofErr w:type="spellStart"/>
      <w:r w:rsidRPr="003F6AF0">
        <w:rPr>
          <w:rFonts w:eastAsia="Times New Roman" w:cs="Times New Roman"/>
          <w:szCs w:val="24"/>
          <w:lang w:val="en-US" w:eastAsia="fr-FR"/>
        </w:rPr>
        <w:t>Blackden</w:t>
      </w:r>
      <w:proofErr w:type="spellEnd"/>
      <w:r w:rsidRPr="003F6AF0">
        <w:rPr>
          <w:rFonts w:eastAsia="Times New Roman" w:cs="Times New Roman"/>
          <w:szCs w:val="24"/>
          <w:lang w:val="en-US" w:eastAsia="fr-FR"/>
        </w:rPr>
        <w:t xml:space="preserve">, C. M., &amp; Guzman, J. C. (2007). Gender, entrepreneurship, and competitiveness in Africa. </w:t>
      </w:r>
      <w:r w:rsidRPr="00510FA8">
        <w:rPr>
          <w:rFonts w:eastAsia="Times New Roman" w:cs="Times New Roman"/>
          <w:i/>
          <w:iCs/>
          <w:szCs w:val="24"/>
          <w:lang w:val="en-US" w:eastAsia="fr-FR"/>
        </w:rPr>
        <w:t>Africa Competitiveness Report</w:t>
      </w:r>
      <w:r w:rsidRPr="00510FA8">
        <w:rPr>
          <w:rFonts w:eastAsia="Times New Roman" w:cs="Times New Roman"/>
          <w:szCs w:val="24"/>
          <w:lang w:val="en-US" w:eastAsia="fr-FR"/>
        </w:rPr>
        <w:t xml:space="preserve">, </w:t>
      </w:r>
      <w:r w:rsidRPr="00510FA8">
        <w:rPr>
          <w:rFonts w:eastAsia="Times New Roman" w:cs="Times New Roman"/>
          <w:i/>
          <w:iCs/>
          <w:szCs w:val="24"/>
          <w:lang w:val="en-US" w:eastAsia="fr-FR"/>
        </w:rPr>
        <w:t>1</w:t>
      </w:r>
      <w:r w:rsidRPr="00510FA8">
        <w:rPr>
          <w:rFonts w:eastAsia="Times New Roman" w:cs="Times New Roman"/>
          <w:szCs w:val="24"/>
          <w:lang w:val="en-US" w:eastAsia="fr-FR"/>
        </w:rPr>
        <w:t>(69-85), 69-86.</w:t>
      </w:r>
    </w:p>
    <w:p w14:paraId="60FF2EF0" w14:textId="77777777" w:rsidR="001E0760" w:rsidRPr="002B35F1" w:rsidRDefault="001E0760" w:rsidP="00BD4E82">
      <w:pPr>
        <w:ind w:left="567" w:hanging="567"/>
        <w:rPr>
          <w:rFonts w:eastAsia="Times New Roman" w:cs="Times New Roman"/>
          <w:szCs w:val="24"/>
          <w:lang w:val="en-US" w:eastAsia="fr-FR"/>
        </w:rPr>
      </w:pPr>
      <w:proofErr w:type="spellStart"/>
      <w:r w:rsidRPr="001A4643">
        <w:rPr>
          <w:rFonts w:eastAsia="Times New Roman" w:cs="Times New Roman"/>
          <w:szCs w:val="24"/>
          <w:lang w:val="en-US" w:eastAsia="fr-FR"/>
        </w:rPr>
        <w:t>Bardasi</w:t>
      </w:r>
      <w:proofErr w:type="spellEnd"/>
      <w:r w:rsidRPr="001A4643">
        <w:rPr>
          <w:rFonts w:eastAsia="Times New Roman" w:cs="Times New Roman"/>
          <w:szCs w:val="24"/>
          <w:lang w:val="en-US" w:eastAsia="fr-FR"/>
        </w:rPr>
        <w:t xml:space="preserve">, E., </w:t>
      </w:r>
      <w:proofErr w:type="spellStart"/>
      <w:r w:rsidRPr="001A4643">
        <w:rPr>
          <w:rFonts w:eastAsia="Times New Roman" w:cs="Times New Roman"/>
          <w:szCs w:val="24"/>
          <w:lang w:val="en-US" w:eastAsia="fr-FR"/>
        </w:rPr>
        <w:t>Sabarwal</w:t>
      </w:r>
      <w:proofErr w:type="spellEnd"/>
      <w:r w:rsidRPr="001A4643">
        <w:rPr>
          <w:rFonts w:eastAsia="Times New Roman" w:cs="Times New Roman"/>
          <w:szCs w:val="24"/>
          <w:lang w:val="en-US" w:eastAsia="fr-FR"/>
        </w:rPr>
        <w:t xml:space="preserve">, S., &amp; Terrell, K. (2011). How do female entrepreneurs perform? </w:t>
      </w:r>
      <w:r w:rsidRPr="002B35F1">
        <w:rPr>
          <w:rFonts w:eastAsia="Times New Roman" w:cs="Times New Roman"/>
          <w:szCs w:val="24"/>
          <w:lang w:val="en-US" w:eastAsia="fr-FR"/>
        </w:rPr>
        <w:t xml:space="preserve">Evidence from three developing regions. </w:t>
      </w:r>
      <w:r w:rsidRPr="002B35F1">
        <w:rPr>
          <w:rFonts w:eastAsia="Times New Roman" w:cs="Times New Roman"/>
          <w:i/>
          <w:iCs/>
          <w:szCs w:val="24"/>
          <w:lang w:val="en-US" w:eastAsia="fr-FR"/>
        </w:rPr>
        <w:t>Small Business Economics</w:t>
      </w:r>
      <w:r w:rsidRPr="002B35F1">
        <w:rPr>
          <w:rFonts w:eastAsia="Times New Roman" w:cs="Times New Roman"/>
          <w:szCs w:val="24"/>
          <w:lang w:val="en-US" w:eastAsia="fr-FR"/>
        </w:rPr>
        <w:t xml:space="preserve">, </w:t>
      </w:r>
      <w:r w:rsidRPr="002B35F1">
        <w:rPr>
          <w:rFonts w:eastAsia="Times New Roman" w:cs="Times New Roman"/>
          <w:i/>
          <w:iCs/>
          <w:szCs w:val="24"/>
          <w:lang w:val="en-US" w:eastAsia="fr-FR"/>
        </w:rPr>
        <w:t>37</w:t>
      </w:r>
      <w:r w:rsidRPr="002B35F1">
        <w:rPr>
          <w:rFonts w:eastAsia="Times New Roman" w:cs="Times New Roman"/>
          <w:szCs w:val="24"/>
          <w:lang w:val="en-US" w:eastAsia="fr-FR"/>
        </w:rPr>
        <w:t>(4), 417-441.</w:t>
      </w:r>
    </w:p>
    <w:p w14:paraId="38B8A4C6" w14:textId="77777777" w:rsidR="001E0760" w:rsidRPr="00804508" w:rsidRDefault="001E0760" w:rsidP="00BD4E82">
      <w:pPr>
        <w:ind w:left="567" w:hanging="567"/>
        <w:rPr>
          <w:rFonts w:eastAsia="Times New Roman" w:cs="Times New Roman"/>
          <w:szCs w:val="24"/>
          <w:lang w:val="en-US" w:eastAsia="fr-FR"/>
        </w:rPr>
      </w:pPr>
      <w:r w:rsidRPr="00804508">
        <w:rPr>
          <w:rFonts w:eastAsia="Times New Roman" w:cs="Times New Roman"/>
          <w:szCs w:val="24"/>
          <w:lang w:val="en-US" w:eastAsia="fr-FR"/>
        </w:rPr>
        <w:lastRenderedPageBreak/>
        <w:t xml:space="preserve">Beck, T., &amp; Cull, R. (2014). Small-and medium-sized enterprise finance in Africa. </w:t>
      </w:r>
      <w:r w:rsidRPr="00804508">
        <w:rPr>
          <w:rFonts w:eastAsia="Times New Roman" w:cs="Times New Roman"/>
          <w:i/>
          <w:iCs/>
          <w:szCs w:val="24"/>
          <w:lang w:val="en-US" w:eastAsia="fr-FR"/>
        </w:rPr>
        <w:t>Global Economy and Development Program</w:t>
      </w:r>
      <w:r w:rsidRPr="00804508">
        <w:rPr>
          <w:rFonts w:eastAsia="Times New Roman" w:cs="Times New Roman"/>
          <w:szCs w:val="24"/>
          <w:lang w:val="en-US" w:eastAsia="fr-FR"/>
        </w:rPr>
        <w:t xml:space="preserve">, </w:t>
      </w:r>
      <w:r w:rsidRPr="00804508">
        <w:rPr>
          <w:rFonts w:eastAsia="Times New Roman" w:cs="Times New Roman"/>
          <w:i/>
          <w:iCs/>
          <w:szCs w:val="24"/>
          <w:lang w:val="en-US" w:eastAsia="fr-FR"/>
        </w:rPr>
        <w:t>16</w:t>
      </w:r>
      <w:r w:rsidRPr="00804508">
        <w:rPr>
          <w:rFonts w:eastAsia="Times New Roman" w:cs="Times New Roman"/>
          <w:szCs w:val="24"/>
          <w:lang w:val="en-US" w:eastAsia="fr-FR"/>
        </w:rPr>
        <w:t>, 1-28.</w:t>
      </w:r>
    </w:p>
    <w:p w14:paraId="1E9615E0" w14:textId="77777777" w:rsidR="001E0760" w:rsidRPr="00804508" w:rsidRDefault="001E0760" w:rsidP="00BD4E82">
      <w:pPr>
        <w:ind w:left="567" w:hanging="567"/>
        <w:rPr>
          <w:rFonts w:eastAsia="Times New Roman" w:cs="Times New Roman"/>
          <w:szCs w:val="24"/>
          <w:lang w:val="en-US" w:eastAsia="fr-FR"/>
        </w:rPr>
      </w:pPr>
      <w:r w:rsidRPr="00456C05">
        <w:rPr>
          <w:rFonts w:eastAsia="Times New Roman" w:cs="Times New Roman"/>
          <w:szCs w:val="24"/>
          <w:lang w:val="en-US" w:eastAsia="fr-FR"/>
        </w:rPr>
        <w:t xml:space="preserve">Beck, T., &amp; </w:t>
      </w:r>
      <w:proofErr w:type="spellStart"/>
      <w:r w:rsidRPr="00456C05">
        <w:rPr>
          <w:rFonts w:eastAsia="Times New Roman" w:cs="Times New Roman"/>
          <w:szCs w:val="24"/>
          <w:lang w:val="en-US" w:eastAsia="fr-FR"/>
        </w:rPr>
        <w:t>Demirguc-Kunt</w:t>
      </w:r>
      <w:proofErr w:type="spellEnd"/>
      <w:r w:rsidRPr="00456C05">
        <w:rPr>
          <w:rFonts w:eastAsia="Times New Roman" w:cs="Times New Roman"/>
          <w:szCs w:val="24"/>
          <w:lang w:val="en-US" w:eastAsia="fr-FR"/>
        </w:rPr>
        <w:t xml:space="preserve">, A. (2006). Small and medium-size enterprises: Access to finance as a growth constraint. </w:t>
      </w:r>
      <w:r w:rsidRPr="00804508">
        <w:rPr>
          <w:rFonts w:eastAsia="Times New Roman" w:cs="Times New Roman"/>
          <w:i/>
          <w:iCs/>
          <w:szCs w:val="24"/>
          <w:lang w:val="en-US" w:eastAsia="fr-FR"/>
        </w:rPr>
        <w:t>Journal of Banking &amp; finance</w:t>
      </w:r>
      <w:r w:rsidRPr="00804508">
        <w:rPr>
          <w:rFonts w:eastAsia="Times New Roman" w:cs="Times New Roman"/>
          <w:szCs w:val="24"/>
          <w:lang w:val="en-US" w:eastAsia="fr-FR"/>
        </w:rPr>
        <w:t xml:space="preserve">, </w:t>
      </w:r>
      <w:r w:rsidRPr="00804508">
        <w:rPr>
          <w:rFonts w:eastAsia="Times New Roman" w:cs="Times New Roman"/>
          <w:i/>
          <w:iCs/>
          <w:szCs w:val="24"/>
          <w:lang w:val="en-US" w:eastAsia="fr-FR"/>
        </w:rPr>
        <w:t>30</w:t>
      </w:r>
      <w:r w:rsidRPr="00804508">
        <w:rPr>
          <w:rFonts w:eastAsia="Times New Roman" w:cs="Times New Roman"/>
          <w:szCs w:val="24"/>
          <w:lang w:val="en-US" w:eastAsia="fr-FR"/>
        </w:rPr>
        <w:t>(11), 2931-2943.</w:t>
      </w:r>
    </w:p>
    <w:p w14:paraId="7ED1F2F6" w14:textId="77777777" w:rsidR="001E0760" w:rsidRPr="00C177AD" w:rsidRDefault="001E0760" w:rsidP="00BD4E82">
      <w:pPr>
        <w:ind w:left="567" w:hanging="567"/>
        <w:rPr>
          <w:rFonts w:eastAsia="Times New Roman" w:cs="Times New Roman"/>
          <w:szCs w:val="24"/>
          <w:lang w:val="en-US" w:eastAsia="fr-FR"/>
        </w:rPr>
      </w:pPr>
      <w:r w:rsidRPr="00C177AD">
        <w:rPr>
          <w:rFonts w:eastAsia="Times New Roman" w:cs="Times New Roman"/>
          <w:szCs w:val="24"/>
          <w:lang w:val="en-US" w:eastAsia="fr-FR"/>
        </w:rPr>
        <w:t xml:space="preserve">Beck, T., Behr, P., &amp; </w:t>
      </w:r>
      <w:proofErr w:type="spellStart"/>
      <w:r w:rsidRPr="00C177AD">
        <w:rPr>
          <w:rFonts w:eastAsia="Times New Roman" w:cs="Times New Roman"/>
          <w:szCs w:val="24"/>
          <w:lang w:val="en-US" w:eastAsia="fr-FR"/>
        </w:rPr>
        <w:t>Madestam</w:t>
      </w:r>
      <w:proofErr w:type="spellEnd"/>
      <w:r w:rsidRPr="00C177AD">
        <w:rPr>
          <w:rFonts w:eastAsia="Times New Roman" w:cs="Times New Roman"/>
          <w:szCs w:val="24"/>
          <w:lang w:val="en-US" w:eastAsia="fr-FR"/>
        </w:rPr>
        <w:t>, A. (2018). Sex and credit: Is there a gender bias in lending</w:t>
      </w:r>
      <w:proofErr w:type="gramStart"/>
      <w:r w:rsidRPr="00C177AD">
        <w:rPr>
          <w:rFonts w:eastAsia="Times New Roman" w:cs="Times New Roman"/>
          <w:szCs w:val="24"/>
          <w:lang w:val="en-US" w:eastAsia="fr-FR"/>
        </w:rPr>
        <w:t>?.</w:t>
      </w:r>
      <w:proofErr w:type="gramEnd"/>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Journal of Banking and Finance</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87</w:t>
      </w:r>
      <w:r w:rsidRPr="00C177AD">
        <w:rPr>
          <w:rFonts w:eastAsia="Times New Roman" w:cs="Times New Roman"/>
          <w:szCs w:val="24"/>
          <w:lang w:val="en-US" w:eastAsia="fr-FR"/>
        </w:rPr>
        <w:t>.</w:t>
      </w:r>
    </w:p>
    <w:p w14:paraId="5762B73C" w14:textId="77777777" w:rsidR="001E0760" w:rsidRPr="00C966D5" w:rsidRDefault="001E0760" w:rsidP="00BD4E82">
      <w:pPr>
        <w:ind w:left="567" w:hanging="567"/>
        <w:rPr>
          <w:rFonts w:eastAsia="Times New Roman" w:cs="Times New Roman"/>
          <w:szCs w:val="24"/>
          <w:lang w:val="en-US" w:eastAsia="fr-FR"/>
        </w:rPr>
      </w:pPr>
      <w:r w:rsidRPr="00C966D5">
        <w:rPr>
          <w:rFonts w:eastAsia="Times New Roman" w:cs="Times New Roman"/>
          <w:szCs w:val="24"/>
          <w:lang w:val="en-US" w:eastAsia="fr-FR"/>
        </w:rPr>
        <w:t xml:space="preserve">Becker, G. (1971). </w:t>
      </w:r>
      <w:r w:rsidRPr="00C966D5">
        <w:rPr>
          <w:rFonts w:eastAsia="Times New Roman" w:cs="Times New Roman"/>
          <w:i/>
          <w:iCs/>
          <w:szCs w:val="24"/>
          <w:lang w:val="en-US" w:eastAsia="fr-FR"/>
        </w:rPr>
        <w:t>The Economics of Discrimination</w:t>
      </w:r>
      <w:r w:rsidRPr="00C966D5">
        <w:rPr>
          <w:rFonts w:eastAsia="Times New Roman" w:cs="Times New Roman"/>
          <w:szCs w:val="24"/>
          <w:lang w:val="en-US" w:eastAsia="fr-FR"/>
        </w:rPr>
        <w:t>. University of Chicago Press.</w:t>
      </w:r>
    </w:p>
    <w:p w14:paraId="011C59FC" w14:textId="77777777" w:rsidR="001E0760" w:rsidRPr="000E5644" w:rsidRDefault="001E0760" w:rsidP="00BD4E82">
      <w:pPr>
        <w:ind w:left="567" w:hanging="567"/>
        <w:rPr>
          <w:rFonts w:eastAsia="Times New Roman" w:cs="Times New Roman"/>
          <w:szCs w:val="24"/>
          <w:lang w:val="en-US" w:eastAsia="fr-FR"/>
        </w:rPr>
      </w:pPr>
      <w:r w:rsidRPr="000E5644">
        <w:rPr>
          <w:rFonts w:eastAsia="Times New Roman" w:cs="Times New Roman"/>
          <w:szCs w:val="24"/>
          <w:lang w:val="en-US" w:eastAsia="fr-FR"/>
        </w:rPr>
        <w:t xml:space="preserve">Bruhn, M., &amp; Love, I. (2014). The real impact of improved access to finance: Evidence from Mexico. </w:t>
      </w:r>
      <w:r w:rsidRPr="000E5644">
        <w:rPr>
          <w:rFonts w:eastAsia="Times New Roman" w:cs="Times New Roman"/>
          <w:i/>
          <w:iCs/>
          <w:szCs w:val="24"/>
          <w:lang w:val="en-US" w:eastAsia="fr-FR"/>
        </w:rPr>
        <w:t>The Journal of Finance</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69</w:t>
      </w:r>
      <w:r w:rsidRPr="000E5644">
        <w:rPr>
          <w:rFonts w:eastAsia="Times New Roman" w:cs="Times New Roman"/>
          <w:szCs w:val="24"/>
          <w:lang w:val="en-US" w:eastAsia="fr-FR"/>
        </w:rPr>
        <w:t>(3), 1347-1376.</w:t>
      </w:r>
    </w:p>
    <w:p w14:paraId="37B4BC37" w14:textId="77777777" w:rsidR="001E0760" w:rsidRPr="00C966D5" w:rsidRDefault="001E0760" w:rsidP="00BD4E82">
      <w:pPr>
        <w:ind w:left="567" w:hanging="567"/>
        <w:rPr>
          <w:rFonts w:eastAsia="Times New Roman" w:cs="Times New Roman"/>
          <w:szCs w:val="24"/>
          <w:lang w:val="en-US" w:eastAsia="fr-FR"/>
        </w:rPr>
      </w:pPr>
      <w:r w:rsidRPr="00C966D5">
        <w:rPr>
          <w:rFonts w:eastAsia="Times New Roman" w:cs="Times New Roman"/>
          <w:szCs w:val="24"/>
          <w:lang w:val="en-US" w:eastAsia="fr-FR"/>
        </w:rPr>
        <w:t xml:space="preserve">Brush, C., Edelman, L. F., </w:t>
      </w:r>
      <w:proofErr w:type="spellStart"/>
      <w:r w:rsidRPr="00C966D5">
        <w:rPr>
          <w:rFonts w:eastAsia="Times New Roman" w:cs="Times New Roman"/>
          <w:szCs w:val="24"/>
          <w:lang w:val="en-US" w:eastAsia="fr-FR"/>
        </w:rPr>
        <w:t>Manolova</w:t>
      </w:r>
      <w:proofErr w:type="spellEnd"/>
      <w:r w:rsidRPr="00C966D5">
        <w:rPr>
          <w:rFonts w:eastAsia="Times New Roman" w:cs="Times New Roman"/>
          <w:szCs w:val="24"/>
          <w:lang w:val="en-US" w:eastAsia="fr-FR"/>
        </w:rPr>
        <w:t xml:space="preserve">, T., &amp; Welter, F. (2019). A gendered look at entrepreneurship ecosystems. </w:t>
      </w:r>
      <w:r w:rsidRPr="00C966D5">
        <w:rPr>
          <w:rFonts w:eastAsia="Times New Roman" w:cs="Times New Roman"/>
          <w:i/>
          <w:iCs/>
          <w:szCs w:val="24"/>
          <w:lang w:val="en-US" w:eastAsia="fr-FR"/>
        </w:rPr>
        <w:t>Small business economics</w:t>
      </w:r>
      <w:r w:rsidRPr="00C966D5">
        <w:rPr>
          <w:rFonts w:eastAsia="Times New Roman" w:cs="Times New Roman"/>
          <w:szCs w:val="24"/>
          <w:lang w:val="en-US" w:eastAsia="fr-FR"/>
        </w:rPr>
        <w:t xml:space="preserve">, </w:t>
      </w:r>
      <w:r w:rsidRPr="00C966D5">
        <w:rPr>
          <w:rFonts w:eastAsia="Times New Roman" w:cs="Times New Roman"/>
          <w:i/>
          <w:iCs/>
          <w:szCs w:val="24"/>
          <w:lang w:val="en-US" w:eastAsia="fr-FR"/>
        </w:rPr>
        <w:t>53</w:t>
      </w:r>
      <w:r w:rsidRPr="00C966D5">
        <w:rPr>
          <w:rFonts w:eastAsia="Times New Roman" w:cs="Times New Roman"/>
          <w:szCs w:val="24"/>
          <w:lang w:val="en-US" w:eastAsia="fr-FR"/>
        </w:rPr>
        <w:t>(2), 393-408.</w:t>
      </w:r>
    </w:p>
    <w:p w14:paraId="2BA54F24" w14:textId="77777777" w:rsidR="001E0760" w:rsidRPr="00E26E0B" w:rsidRDefault="001E0760" w:rsidP="00BD4E82">
      <w:pPr>
        <w:ind w:left="567" w:hanging="567"/>
        <w:rPr>
          <w:rFonts w:eastAsia="Times New Roman" w:cs="Times New Roman"/>
          <w:szCs w:val="24"/>
          <w:lang w:val="en-US" w:eastAsia="fr-FR"/>
        </w:rPr>
      </w:pPr>
      <w:r w:rsidRPr="00E26E0B">
        <w:rPr>
          <w:rFonts w:eastAsia="Times New Roman" w:cs="Times New Roman"/>
          <w:szCs w:val="24"/>
          <w:lang w:val="en-US" w:eastAsia="fr-FR"/>
        </w:rPr>
        <w:t xml:space="preserve">Business, D. (2020). Comparing Business Regulation in 190 Economies. World Bank Group. </w:t>
      </w:r>
      <w:r w:rsidRPr="00E26E0B">
        <w:rPr>
          <w:rFonts w:eastAsia="Times New Roman" w:cs="Times New Roman"/>
          <w:i/>
          <w:iCs/>
          <w:szCs w:val="24"/>
          <w:lang w:val="en-US" w:eastAsia="fr-FR"/>
        </w:rPr>
        <w:t xml:space="preserve">Electronic resource].–Mode of access: https://openknowledge. </w:t>
      </w:r>
      <w:proofErr w:type="spellStart"/>
      <w:proofErr w:type="gramStart"/>
      <w:r w:rsidRPr="00E26E0B">
        <w:rPr>
          <w:rFonts w:eastAsia="Times New Roman" w:cs="Times New Roman"/>
          <w:i/>
          <w:iCs/>
          <w:szCs w:val="24"/>
          <w:lang w:val="en-US" w:eastAsia="fr-FR"/>
        </w:rPr>
        <w:t>worldbank</w:t>
      </w:r>
      <w:proofErr w:type="spellEnd"/>
      <w:proofErr w:type="gramEnd"/>
      <w:r w:rsidRPr="00E26E0B">
        <w:rPr>
          <w:rFonts w:eastAsia="Times New Roman" w:cs="Times New Roman"/>
          <w:i/>
          <w:iCs/>
          <w:szCs w:val="24"/>
          <w:lang w:val="en-US" w:eastAsia="fr-FR"/>
        </w:rPr>
        <w:t xml:space="preserve">. </w:t>
      </w:r>
      <w:proofErr w:type="gramStart"/>
      <w:r w:rsidRPr="00E26E0B">
        <w:rPr>
          <w:rFonts w:eastAsia="Times New Roman" w:cs="Times New Roman"/>
          <w:i/>
          <w:iCs/>
          <w:szCs w:val="24"/>
          <w:lang w:val="en-US" w:eastAsia="fr-FR"/>
        </w:rPr>
        <w:t>org/</w:t>
      </w:r>
      <w:proofErr w:type="spellStart"/>
      <w:r w:rsidRPr="00E26E0B">
        <w:rPr>
          <w:rFonts w:eastAsia="Times New Roman" w:cs="Times New Roman"/>
          <w:i/>
          <w:iCs/>
          <w:szCs w:val="24"/>
          <w:lang w:val="en-US" w:eastAsia="fr-FR"/>
        </w:rPr>
        <w:t>bitstream</w:t>
      </w:r>
      <w:proofErr w:type="spellEnd"/>
      <w:r w:rsidRPr="00E26E0B">
        <w:rPr>
          <w:rFonts w:eastAsia="Times New Roman" w:cs="Times New Roman"/>
          <w:i/>
          <w:iCs/>
          <w:szCs w:val="24"/>
          <w:lang w:val="en-US" w:eastAsia="fr-FR"/>
        </w:rPr>
        <w:t>/handle/10986/32436/978146481440</w:t>
      </w:r>
      <w:proofErr w:type="gramEnd"/>
      <w:r w:rsidRPr="00E26E0B">
        <w:rPr>
          <w:rFonts w:eastAsia="Times New Roman" w:cs="Times New Roman"/>
          <w:szCs w:val="24"/>
          <w:lang w:val="en-US" w:eastAsia="fr-FR"/>
        </w:rPr>
        <w:t xml:space="preserve">, </w:t>
      </w:r>
      <w:r w:rsidRPr="00E26E0B">
        <w:rPr>
          <w:rFonts w:eastAsia="Times New Roman" w:cs="Times New Roman"/>
          <w:i/>
          <w:iCs/>
          <w:szCs w:val="24"/>
          <w:lang w:val="en-US" w:eastAsia="fr-FR"/>
        </w:rPr>
        <w:t>2</w:t>
      </w:r>
      <w:r w:rsidRPr="00E26E0B">
        <w:rPr>
          <w:rFonts w:eastAsia="Times New Roman" w:cs="Times New Roman"/>
          <w:szCs w:val="24"/>
          <w:lang w:val="en-US" w:eastAsia="fr-FR"/>
        </w:rPr>
        <w:t>.</w:t>
      </w:r>
    </w:p>
    <w:p w14:paraId="7FD9F01E" w14:textId="77777777" w:rsidR="001E0760" w:rsidRPr="001A4643" w:rsidRDefault="001E0760" w:rsidP="00BD4E82">
      <w:pPr>
        <w:ind w:left="567" w:hanging="567"/>
        <w:rPr>
          <w:rFonts w:eastAsia="Times New Roman" w:cs="Times New Roman"/>
          <w:szCs w:val="24"/>
          <w:lang w:val="en-US" w:eastAsia="fr-FR"/>
        </w:rPr>
      </w:pPr>
      <w:r w:rsidRPr="001A4643">
        <w:rPr>
          <w:rFonts w:eastAsia="Times New Roman" w:cs="Times New Roman"/>
          <w:szCs w:val="24"/>
          <w:lang w:val="en-US" w:eastAsia="fr-FR"/>
        </w:rPr>
        <w:t xml:space="preserve">Cole, R. A., </w:t>
      </w:r>
      <w:proofErr w:type="spellStart"/>
      <w:r w:rsidRPr="001A4643">
        <w:rPr>
          <w:rFonts w:eastAsia="Times New Roman" w:cs="Times New Roman"/>
          <w:szCs w:val="24"/>
          <w:lang w:val="en-US" w:eastAsia="fr-FR"/>
        </w:rPr>
        <w:t>Mehran</w:t>
      </w:r>
      <w:proofErr w:type="spellEnd"/>
      <w:r w:rsidRPr="001A4643">
        <w:rPr>
          <w:rFonts w:eastAsia="Times New Roman" w:cs="Times New Roman"/>
          <w:szCs w:val="24"/>
          <w:lang w:val="en-US" w:eastAsia="fr-FR"/>
        </w:rPr>
        <w:t xml:space="preserve">, H., &amp; </w:t>
      </w:r>
      <w:proofErr w:type="spellStart"/>
      <w:r w:rsidRPr="001A4643">
        <w:rPr>
          <w:rFonts w:eastAsia="Times New Roman" w:cs="Times New Roman"/>
          <w:szCs w:val="24"/>
          <w:lang w:val="en-US" w:eastAsia="fr-FR"/>
        </w:rPr>
        <w:t>Giombini</w:t>
      </w:r>
      <w:proofErr w:type="spellEnd"/>
      <w:r w:rsidRPr="001A4643">
        <w:rPr>
          <w:rFonts w:eastAsia="Times New Roman" w:cs="Times New Roman"/>
          <w:szCs w:val="24"/>
          <w:lang w:val="en-US" w:eastAsia="fr-FR"/>
        </w:rPr>
        <w:t xml:space="preserve">, G. (2018). Gender and the availability of credit to privately held firms: evidence from the surveys of small business finances. </w:t>
      </w:r>
      <w:r w:rsidRPr="001A4643">
        <w:rPr>
          <w:rFonts w:eastAsia="Times New Roman" w:cs="Times New Roman"/>
          <w:i/>
          <w:iCs/>
          <w:szCs w:val="24"/>
          <w:lang w:val="en-US" w:eastAsia="fr-FR"/>
        </w:rPr>
        <w:t>FRB of New York staff report</w:t>
      </w:r>
      <w:r w:rsidRPr="001A4643">
        <w:rPr>
          <w:rFonts w:eastAsia="Times New Roman" w:cs="Times New Roman"/>
          <w:szCs w:val="24"/>
          <w:lang w:val="en-US" w:eastAsia="fr-FR"/>
        </w:rPr>
        <w:t>, (383).</w:t>
      </w:r>
    </w:p>
    <w:p w14:paraId="66DD9925" w14:textId="77777777" w:rsidR="001E0760" w:rsidRPr="00C177AD" w:rsidRDefault="001E0760" w:rsidP="00BD4E82">
      <w:pPr>
        <w:ind w:left="567" w:hanging="567"/>
        <w:rPr>
          <w:rFonts w:eastAsia="Times New Roman" w:cs="Times New Roman"/>
          <w:szCs w:val="24"/>
          <w:lang w:val="en-US" w:eastAsia="fr-FR"/>
        </w:rPr>
      </w:pPr>
      <w:proofErr w:type="spellStart"/>
      <w:r w:rsidRPr="00C177AD">
        <w:rPr>
          <w:rFonts w:eastAsia="Times New Roman" w:cs="Times New Roman"/>
          <w:szCs w:val="24"/>
          <w:lang w:val="en-US" w:eastAsia="fr-FR"/>
        </w:rPr>
        <w:t>Cozarenco</w:t>
      </w:r>
      <w:proofErr w:type="spellEnd"/>
      <w:r w:rsidRPr="00C177AD">
        <w:rPr>
          <w:rFonts w:eastAsia="Times New Roman" w:cs="Times New Roman"/>
          <w:szCs w:val="24"/>
          <w:lang w:val="en-US" w:eastAsia="fr-FR"/>
        </w:rPr>
        <w:t xml:space="preserve">, A., &amp; </w:t>
      </w:r>
      <w:proofErr w:type="spellStart"/>
      <w:r w:rsidRPr="00C177AD">
        <w:rPr>
          <w:rFonts w:eastAsia="Times New Roman" w:cs="Times New Roman"/>
          <w:szCs w:val="24"/>
          <w:lang w:val="en-US" w:eastAsia="fr-FR"/>
        </w:rPr>
        <w:t>Szafarz</w:t>
      </w:r>
      <w:proofErr w:type="spellEnd"/>
      <w:r w:rsidRPr="00C177AD">
        <w:rPr>
          <w:rFonts w:eastAsia="Times New Roman" w:cs="Times New Roman"/>
          <w:szCs w:val="24"/>
          <w:lang w:val="en-US" w:eastAsia="fr-FR"/>
        </w:rPr>
        <w:t xml:space="preserve">, A. (2018). Gender biases in bank lending: Lessons from microcredit in France. </w:t>
      </w:r>
      <w:r w:rsidRPr="00C177AD">
        <w:rPr>
          <w:rFonts w:eastAsia="Times New Roman" w:cs="Times New Roman"/>
          <w:i/>
          <w:iCs/>
          <w:szCs w:val="24"/>
          <w:lang w:val="en-US" w:eastAsia="fr-FR"/>
        </w:rPr>
        <w:t>Journal of Business Ethics</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147</w:t>
      </w:r>
      <w:r w:rsidRPr="00C177AD">
        <w:rPr>
          <w:rFonts w:eastAsia="Times New Roman" w:cs="Times New Roman"/>
          <w:szCs w:val="24"/>
          <w:lang w:val="en-US" w:eastAsia="fr-FR"/>
        </w:rPr>
        <w:t>(3), 631-650.</w:t>
      </w:r>
    </w:p>
    <w:p w14:paraId="5E491028" w14:textId="77777777" w:rsidR="001E0760" w:rsidRPr="000E5644" w:rsidRDefault="001E0760" w:rsidP="00BD4E82">
      <w:pPr>
        <w:ind w:left="567" w:hanging="567"/>
        <w:rPr>
          <w:rFonts w:eastAsia="Times New Roman" w:cs="Times New Roman"/>
          <w:szCs w:val="24"/>
          <w:lang w:val="en-US" w:eastAsia="fr-FR"/>
        </w:rPr>
      </w:pPr>
      <w:proofErr w:type="spellStart"/>
      <w:r w:rsidRPr="00510FA8">
        <w:rPr>
          <w:rFonts w:eastAsia="Times New Roman" w:cs="Times New Roman"/>
          <w:szCs w:val="24"/>
          <w:lang w:val="en-US" w:eastAsia="fr-FR"/>
        </w:rPr>
        <w:t>D’espallier</w:t>
      </w:r>
      <w:proofErr w:type="spellEnd"/>
      <w:r w:rsidRPr="00510FA8">
        <w:rPr>
          <w:rFonts w:eastAsia="Times New Roman" w:cs="Times New Roman"/>
          <w:szCs w:val="24"/>
          <w:lang w:val="en-US" w:eastAsia="fr-FR"/>
        </w:rPr>
        <w:t xml:space="preserve">, B., </w:t>
      </w:r>
      <w:proofErr w:type="spellStart"/>
      <w:r w:rsidRPr="00510FA8">
        <w:rPr>
          <w:rFonts w:eastAsia="Times New Roman" w:cs="Times New Roman"/>
          <w:szCs w:val="24"/>
          <w:lang w:val="en-US" w:eastAsia="fr-FR"/>
        </w:rPr>
        <w:t>Guérin</w:t>
      </w:r>
      <w:proofErr w:type="spellEnd"/>
      <w:r w:rsidRPr="00510FA8">
        <w:rPr>
          <w:rFonts w:eastAsia="Times New Roman" w:cs="Times New Roman"/>
          <w:szCs w:val="24"/>
          <w:lang w:val="en-US" w:eastAsia="fr-FR"/>
        </w:rPr>
        <w:t xml:space="preserve">, I., &amp; </w:t>
      </w:r>
      <w:proofErr w:type="spellStart"/>
      <w:r w:rsidRPr="00510FA8">
        <w:rPr>
          <w:rFonts w:eastAsia="Times New Roman" w:cs="Times New Roman"/>
          <w:szCs w:val="24"/>
          <w:lang w:val="en-US" w:eastAsia="fr-FR"/>
        </w:rPr>
        <w:t>Mersland</w:t>
      </w:r>
      <w:proofErr w:type="spellEnd"/>
      <w:r w:rsidRPr="00510FA8">
        <w:rPr>
          <w:rFonts w:eastAsia="Times New Roman" w:cs="Times New Roman"/>
          <w:szCs w:val="24"/>
          <w:lang w:val="en-US" w:eastAsia="fr-FR"/>
        </w:rPr>
        <w:t xml:space="preserve">, R. (2011). </w:t>
      </w:r>
      <w:r w:rsidRPr="000E5644">
        <w:rPr>
          <w:rFonts w:eastAsia="Times New Roman" w:cs="Times New Roman"/>
          <w:szCs w:val="24"/>
          <w:lang w:val="en-US" w:eastAsia="fr-FR"/>
        </w:rPr>
        <w:t xml:space="preserve">Women and repayment in microfinance: A global analysis. </w:t>
      </w:r>
      <w:r w:rsidRPr="000E5644">
        <w:rPr>
          <w:rFonts w:eastAsia="Times New Roman" w:cs="Times New Roman"/>
          <w:i/>
          <w:iCs/>
          <w:szCs w:val="24"/>
          <w:lang w:val="en-US" w:eastAsia="fr-FR"/>
        </w:rPr>
        <w:t>World development</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39</w:t>
      </w:r>
      <w:r w:rsidRPr="000E5644">
        <w:rPr>
          <w:rFonts w:eastAsia="Times New Roman" w:cs="Times New Roman"/>
          <w:szCs w:val="24"/>
          <w:lang w:val="en-US" w:eastAsia="fr-FR"/>
        </w:rPr>
        <w:t>(5), 758-772.</w:t>
      </w:r>
    </w:p>
    <w:p w14:paraId="33FDC811" w14:textId="77777777" w:rsidR="001E0760" w:rsidRPr="000E5644" w:rsidRDefault="001E0760"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Demirgüç-Kunt</w:t>
      </w:r>
      <w:proofErr w:type="spellEnd"/>
      <w:r w:rsidRPr="000E5644">
        <w:rPr>
          <w:rFonts w:eastAsia="Times New Roman" w:cs="Times New Roman"/>
          <w:szCs w:val="24"/>
          <w:lang w:val="en-US" w:eastAsia="fr-FR"/>
        </w:rPr>
        <w:t xml:space="preserve">, A., </w:t>
      </w:r>
      <w:proofErr w:type="spellStart"/>
      <w:r w:rsidRPr="000E5644">
        <w:rPr>
          <w:rFonts w:eastAsia="Times New Roman" w:cs="Times New Roman"/>
          <w:szCs w:val="24"/>
          <w:lang w:val="en-US" w:eastAsia="fr-FR"/>
        </w:rPr>
        <w:t>Klapper</w:t>
      </w:r>
      <w:proofErr w:type="spellEnd"/>
      <w:r w:rsidRPr="000E5644">
        <w:rPr>
          <w:rFonts w:eastAsia="Times New Roman" w:cs="Times New Roman"/>
          <w:szCs w:val="24"/>
          <w:lang w:val="en-US" w:eastAsia="fr-FR"/>
        </w:rPr>
        <w:t xml:space="preserve">, L., Singer, D., &amp; </w:t>
      </w:r>
      <w:proofErr w:type="spellStart"/>
      <w:r w:rsidRPr="000E5644">
        <w:rPr>
          <w:rFonts w:eastAsia="Times New Roman" w:cs="Times New Roman"/>
          <w:szCs w:val="24"/>
          <w:lang w:val="en-US" w:eastAsia="fr-FR"/>
        </w:rPr>
        <w:t>Ansar</w:t>
      </w:r>
      <w:proofErr w:type="spellEnd"/>
      <w:r w:rsidRPr="000E5644">
        <w:rPr>
          <w:rFonts w:eastAsia="Times New Roman" w:cs="Times New Roman"/>
          <w:szCs w:val="24"/>
          <w:lang w:val="en-US" w:eastAsia="fr-FR"/>
        </w:rPr>
        <w:t xml:space="preserve">, S. (2022). </w:t>
      </w:r>
      <w:r w:rsidRPr="000E5644">
        <w:rPr>
          <w:rFonts w:eastAsia="Times New Roman" w:cs="Times New Roman"/>
          <w:i/>
          <w:iCs/>
          <w:szCs w:val="24"/>
          <w:lang w:val="en-US" w:eastAsia="fr-FR"/>
        </w:rPr>
        <w:t xml:space="preserve">The Global </w:t>
      </w:r>
      <w:proofErr w:type="spellStart"/>
      <w:r w:rsidRPr="000E5644">
        <w:rPr>
          <w:rFonts w:eastAsia="Times New Roman" w:cs="Times New Roman"/>
          <w:i/>
          <w:iCs/>
          <w:szCs w:val="24"/>
          <w:lang w:val="en-US" w:eastAsia="fr-FR"/>
        </w:rPr>
        <w:t>Findex</w:t>
      </w:r>
      <w:proofErr w:type="spellEnd"/>
      <w:r w:rsidRPr="000E5644">
        <w:rPr>
          <w:rFonts w:eastAsia="Times New Roman" w:cs="Times New Roman"/>
          <w:i/>
          <w:iCs/>
          <w:szCs w:val="24"/>
          <w:lang w:val="en-US" w:eastAsia="fr-FR"/>
        </w:rPr>
        <w:t xml:space="preserve"> Database 2021: Financial inclusion, digital payments, and resilience in the age of COVID-19</w:t>
      </w:r>
      <w:r w:rsidRPr="000E5644">
        <w:rPr>
          <w:rFonts w:eastAsia="Times New Roman" w:cs="Times New Roman"/>
          <w:szCs w:val="24"/>
          <w:lang w:val="en-US" w:eastAsia="fr-FR"/>
        </w:rPr>
        <w:t>. World Bank Publications.</w:t>
      </w:r>
    </w:p>
    <w:p w14:paraId="29F0FF7B" w14:textId="77777777" w:rsidR="001E0760" w:rsidRPr="001E0760" w:rsidRDefault="001E0760" w:rsidP="001E0760">
      <w:pPr>
        <w:ind w:left="567" w:hanging="567"/>
        <w:rPr>
          <w:lang w:val="en-US" w:eastAsia="fr-FR"/>
        </w:rPr>
      </w:pPr>
      <w:proofErr w:type="spellStart"/>
      <w:r w:rsidRPr="00F716A5">
        <w:rPr>
          <w:lang w:val="en-US" w:eastAsia="fr-FR"/>
        </w:rPr>
        <w:t>Dhake</w:t>
      </w:r>
      <w:proofErr w:type="spellEnd"/>
      <w:r w:rsidRPr="00F716A5">
        <w:rPr>
          <w:lang w:val="en-US" w:eastAsia="fr-FR"/>
        </w:rPr>
        <w:t xml:space="preserve">, S. P., &amp; </w:t>
      </w:r>
      <w:proofErr w:type="spellStart"/>
      <w:r w:rsidRPr="00F716A5">
        <w:rPr>
          <w:lang w:val="en-US" w:eastAsia="fr-FR"/>
        </w:rPr>
        <w:t>Narkhede</w:t>
      </w:r>
      <w:proofErr w:type="spellEnd"/>
      <w:r w:rsidRPr="00F716A5">
        <w:rPr>
          <w:lang w:val="en-US" w:eastAsia="fr-FR"/>
        </w:rPr>
        <w:t xml:space="preserve">, S. P. (2019). Income‐generating activity: an avenue to improve the sustainability of SHGs. </w:t>
      </w:r>
      <w:r w:rsidRPr="001E0760">
        <w:rPr>
          <w:i/>
          <w:iCs/>
          <w:lang w:val="en-US" w:eastAsia="fr-FR"/>
        </w:rPr>
        <w:t>Annals of Public and Cooperative Economics</w:t>
      </w:r>
      <w:r w:rsidRPr="001E0760">
        <w:rPr>
          <w:lang w:val="en-US" w:eastAsia="fr-FR"/>
        </w:rPr>
        <w:t xml:space="preserve">, </w:t>
      </w:r>
      <w:r w:rsidRPr="001E0760">
        <w:rPr>
          <w:i/>
          <w:iCs/>
          <w:lang w:val="en-US" w:eastAsia="fr-FR"/>
        </w:rPr>
        <w:t>90</w:t>
      </w:r>
      <w:r w:rsidRPr="001E0760">
        <w:rPr>
          <w:lang w:val="en-US" w:eastAsia="fr-FR"/>
        </w:rPr>
        <w:t>(4), 737-759.</w:t>
      </w:r>
    </w:p>
    <w:p w14:paraId="1D85DA37" w14:textId="77777777" w:rsidR="001E0760" w:rsidRPr="00E62B11" w:rsidRDefault="001E0760" w:rsidP="006409A8">
      <w:pPr>
        <w:ind w:left="567" w:hanging="567"/>
        <w:rPr>
          <w:lang w:val="en-US" w:eastAsia="fr-FR"/>
        </w:rPr>
      </w:pPr>
      <w:proofErr w:type="spellStart"/>
      <w:r w:rsidRPr="00E62B11">
        <w:rPr>
          <w:lang w:val="en-US" w:eastAsia="fr-FR"/>
        </w:rPr>
        <w:t>Feuzeu</w:t>
      </w:r>
      <w:proofErr w:type="spellEnd"/>
      <w:r w:rsidRPr="00E62B11">
        <w:rPr>
          <w:lang w:val="en-US" w:eastAsia="fr-FR"/>
        </w:rPr>
        <w:t xml:space="preserve">, D. H. D., &amp; Kelly, A. M. (2025). Does Financial Technology Fuel Economic Complexity? Empirical Insights from Africa. </w:t>
      </w:r>
      <w:r w:rsidRPr="00E62B11">
        <w:rPr>
          <w:i/>
          <w:iCs/>
          <w:lang w:val="en-US" w:eastAsia="fr-FR"/>
        </w:rPr>
        <w:t>Next Research</w:t>
      </w:r>
      <w:r w:rsidRPr="00E62B11">
        <w:rPr>
          <w:lang w:val="en-US" w:eastAsia="fr-FR"/>
        </w:rPr>
        <w:t>, 100360.</w:t>
      </w:r>
    </w:p>
    <w:p w14:paraId="3311433A" w14:textId="77777777" w:rsidR="001E0760" w:rsidRPr="00720137" w:rsidRDefault="001E0760" w:rsidP="00BD4E82">
      <w:pPr>
        <w:ind w:left="567" w:hanging="567"/>
        <w:rPr>
          <w:rFonts w:eastAsia="Times New Roman" w:cs="Times New Roman"/>
          <w:szCs w:val="24"/>
          <w:lang w:val="en-US" w:eastAsia="fr-FR"/>
        </w:rPr>
      </w:pPr>
      <w:proofErr w:type="spellStart"/>
      <w:r w:rsidRPr="00720137">
        <w:rPr>
          <w:rFonts w:eastAsia="Times New Roman" w:cs="Times New Roman"/>
          <w:szCs w:val="24"/>
          <w:lang w:val="en-US" w:eastAsia="fr-FR"/>
        </w:rPr>
        <w:t>Fjose</w:t>
      </w:r>
      <w:proofErr w:type="spellEnd"/>
      <w:r w:rsidRPr="00720137">
        <w:rPr>
          <w:rFonts w:eastAsia="Times New Roman" w:cs="Times New Roman"/>
          <w:szCs w:val="24"/>
          <w:lang w:val="en-US" w:eastAsia="fr-FR"/>
        </w:rPr>
        <w:t xml:space="preserve">, S., </w:t>
      </w:r>
      <w:proofErr w:type="spellStart"/>
      <w:r w:rsidRPr="00720137">
        <w:rPr>
          <w:rFonts w:eastAsia="Times New Roman" w:cs="Times New Roman"/>
          <w:szCs w:val="24"/>
          <w:lang w:val="en-US" w:eastAsia="fr-FR"/>
        </w:rPr>
        <w:t>Grünfeld</w:t>
      </w:r>
      <w:proofErr w:type="spellEnd"/>
      <w:r w:rsidRPr="00720137">
        <w:rPr>
          <w:rFonts w:eastAsia="Times New Roman" w:cs="Times New Roman"/>
          <w:szCs w:val="24"/>
          <w:lang w:val="en-US" w:eastAsia="fr-FR"/>
        </w:rPr>
        <w:t xml:space="preserve">, L. A., &amp; SQW, C. G. (2010). Identifying SME roles and obstacles to SME growth. </w:t>
      </w:r>
      <w:r w:rsidRPr="00720137">
        <w:rPr>
          <w:rFonts w:eastAsia="Times New Roman" w:cs="Times New Roman"/>
          <w:i/>
          <w:iCs/>
          <w:szCs w:val="24"/>
          <w:lang w:val="en-US" w:eastAsia="fr-FR"/>
        </w:rPr>
        <w:t>MENON-publication no</w:t>
      </w:r>
      <w:r w:rsidRPr="00720137">
        <w:rPr>
          <w:rFonts w:eastAsia="Times New Roman" w:cs="Times New Roman"/>
          <w:szCs w:val="24"/>
          <w:lang w:val="en-US" w:eastAsia="fr-FR"/>
        </w:rPr>
        <w:t xml:space="preserve">, </w:t>
      </w:r>
      <w:r w:rsidRPr="00720137">
        <w:rPr>
          <w:rFonts w:eastAsia="Times New Roman" w:cs="Times New Roman"/>
          <w:i/>
          <w:iCs/>
          <w:szCs w:val="24"/>
          <w:lang w:val="en-US" w:eastAsia="fr-FR"/>
        </w:rPr>
        <w:t>14</w:t>
      </w:r>
      <w:r w:rsidRPr="00720137">
        <w:rPr>
          <w:rFonts w:eastAsia="Times New Roman" w:cs="Times New Roman"/>
          <w:szCs w:val="24"/>
          <w:lang w:val="en-US" w:eastAsia="fr-FR"/>
        </w:rPr>
        <w:t>.</w:t>
      </w:r>
    </w:p>
    <w:p w14:paraId="384CDA58" w14:textId="77777777" w:rsidR="001E0760" w:rsidRPr="000E5644" w:rsidRDefault="001E0760"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Fowowe</w:t>
      </w:r>
      <w:proofErr w:type="spellEnd"/>
      <w:r w:rsidRPr="000E5644">
        <w:rPr>
          <w:rFonts w:eastAsia="Times New Roman" w:cs="Times New Roman"/>
          <w:szCs w:val="24"/>
          <w:lang w:val="en-US" w:eastAsia="fr-FR"/>
        </w:rPr>
        <w:t xml:space="preserve">, B. (2017). Access to finance and firm performance: Evidence from African countries. </w:t>
      </w:r>
      <w:r w:rsidRPr="000E5644">
        <w:rPr>
          <w:rFonts w:eastAsia="Times New Roman" w:cs="Times New Roman"/>
          <w:i/>
          <w:iCs/>
          <w:szCs w:val="24"/>
          <w:lang w:val="en-US" w:eastAsia="fr-FR"/>
        </w:rPr>
        <w:t>Review of development finance</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7</w:t>
      </w:r>
      <w:r w:rsidRPr="000E5644">
        <w:rPr>
          <w:rFonts w:eastAsia="Times New Roman" w:cs="Times New Roman"/>
          <w:szCs w:val="24"/>
          <w:lang w:val="en-US" w:eastAsia="fr-FR"/>
        </w:rPr>
        <w:t>(1), 6-17.</w:t>
      </w:r>
    </w:p>
    <w:p w14:paraId="77612660" w14:textId="77777777" w:rsidR="001E0760" w:rsidRPr="00C177AD" w:rsidRDefault="001E0760" w:rsidP="00BD4E82">
      <w:pPr>
        <w:ind w:left="567" w:hanging="567"/>
        <w:rPr>
          <w:rFonts w:eastAsia="Times New Roman" w:cs="Times New Roman"/>
          <w:szCs w:val="24"/>
          <w:lang w:val="en-US" w:eastAsia="fr-FR"/>
        </w:rPr>
      </w:pPr>
      <w:r w:rsidRPr="001E0760">
        <w:rPr>
          <w:rFonts w:eastAsia="Times New Roman" w:cs="Times New Roman"/>
          <w:szCs w:val="24"/>
          <w:lang w:eastAsia="fr-FR"/>
        </w:rPr>
        <w:t xml:space="preserve">Gonzales Martinez, R., </w:t>
      </w:r>
      <w:proofErr w:type="spellStart"/>
      <w:r w:rsidRPr="001E0760">
        <w:rPr>
          <w:rFonts w:eastAsia="Times New Roman" w:cs="Times New Roman"/>
          <w:szCs w:val="24"/>
          <w:lang w:eastAsia="fr-FR"/>
        </w:rPr>
        <w:t>Aguilera‐Lizarazu</w:t>
      </w:r>
      <w:proofErr w:type="spellEnd"/>
      <w:r w:rsidRPr="001E0760">
        <w:rPr>
          <w:rFonts w:eastAsia="Times New Roman" w:cs="Times New Roman"/>
          <w:szCs w:val="24"/>
          <w:lang w:eastAsia="fr-FR"/>
        </w:rPr>
        <w:t>, G., Rojas‐</w:t>
      </w:r>
      <w:proofErr w:type="spellStart"/>
      <w:r w:rsidRPr="001E0760">
        <w:rPr>
          <w:rFonts w:eastAsia="Times New Roman" w:cs="Times New Roman"/>
          <w:szCs w:val="24"/>
          <w:lang w:eastAsia="fr-FR"/>
        </w:rPr>
        <w:t>Hosse</w:t>
      </w:r>
      <w:proofErr w:type="spellEnd"/>
      <w:r w:rsidRPr="001E0760">
        <w:rPr>
          <w:rFonts w:eastAsia="Times New Roman" w:cs="Times New Roman"/>
          <w:szCs w:val="24"/>
          <w:lang w:eastAsia="fr-FR"/>
        </w:rPr>
        <w:t xml:space="preserve">, A., &amp; Aranda Blanco, P. (2020). </w:t>
      </w:r>
      <w:r w:rsidRPr="00C177AD">
        <w:rPr>
          <w:rFonts w:eastAsia="Times New Roman" w:cs="Times New Roman"/>
          <w:szCs w:val="24"/>
          <w:lang w:val="en-US" w:eastAsia="fr-FR"/>
        </w:rPr>
        <w:t xml:space="preserve">The interaction effect of gender and ethnicity in loan approval: A Bayesian estimation </w:t>
      </w:r>
      <w:r w:rsidRPr="00C177AD">
        <w:rPr>
          <w:rFonts w:eastAsia="Times New Roman" w:cs="Times New Roman"/>
          <w:szCs w:val="24"/>
          <w:lang w:val="en-US" w:eastAsia="fr-FR"/>
        </w:rPr>
        <w:lastRenderedPageBreak/>
        <w:t xml:space="preserve">with data from a laboratory field experiment. </w:t>
      </w:r>
      <w:r w:rsidRPr="00C177AD">
        <w:rPr>
          <w:rFonts w:eastAsia="Times New Roman" w:cs="Times New Roman"/>
          <w:i/>
          <w:iCs/>
          <w:szCs w:val="24"/>
          <w:lang w:val="en-US" w:eastAsia="fr-FR"/>
        </w:rPr>
        <w:t>Review of Development Economics</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24</w:t>
      </w:r>
      <w:r w:rsidRPr="00C177AD">
        <w:rPr>
          <w:rFonts w:eastAsia="Times New Roman" w:cs="Times New Roman"/>
          <w:szCs w:val="24"/>
          <w:lang w:val="en-US" w:eastAsia="fr-FR"/>
        </w:rPr>
        <w:t>(3), 726-749.</w:t>
      </w:r>
    </w:p>
    <w:p w14:paraId="650A2ADB" w14:textId="77777777" w:rsidR="001E0760" w:rsidRPr="00E62B11" w:rsidRDefault="001E0760" w:rsidP="006409A8">
      <w:pPr>
        <w:ind w:left="567" w:hanging="567"/>
        <w:rPr>
          <w:lang w:val="en-US" w:eastAsia="fr-FR"/>
        </w:rPr>
      </w:pPr>
      <w:r w:rsidRPr="00E62B11">
        <w:rPr>
          <w:lang w:val="en-US" w:eastAsia="fr-FR"/>
        </w:rPr>
        <w:t>Kelly, A. M. (2024). Battling for food security in Africa: Is climate finance the missing bullet</w:t>
      </w:r>
      <w:proofErr w:type="gramStart"/>
      <w:r w:rsidRPr="00E62B11">
        <w:rPr>
          <w:lang w:val="en-US" w:eastAsia="fr-FR"/>
        </w:rPr>
        <w:t>?.</w:t>
      </w:r>
      <w:proofErr w:type="gramEnd"/>
      <w:r w:rsidRPr="00E62B11">
        <w:rPr>
          <w:lang w:val="en-US" w:eastAsia="fr-FR"/>
        </w:rPr>
        <w:t xml:space="preserve"> </w:t>
      </w:r>
      <w:r w:rsidRPr="00E62B11">
        <w:rPr>
          <w:i/>
          <w:iCs/>
          <w:lang w:val="en-US" w:eastAsia="fr-FR"/>
        </w:rPr>
        <w:t>World Food Policy</w:t>
      </w:r>
      <w:r w:rsidRPr="00E62B11">
        <w:rPr>
          <w:lang w:val="en-US" w:eastAsia="fr-FR"/>
        </w:rPr>
        <w:t xml:space="preserve">, </w:t>
      </w:r>
      <w:r w:rsidRPr="00E62B11">
        <w:rPr>
          <w:i/>
          <w:iCs/>
          <w:lang w:val="en-US" w:eastAsia="fr-FR"/>
        </w:rPr>
        <w:t>10</w:t>
      </w:r>
      <w:r w:rsidRPr="00E62B11">
        <w:rPr>
          <w:lang w:val="en-US" w:eastAsia="fr-FR"/>
        </w:rPr>
        <w:t>(2), 227-253.</w:t>
      </w:r>
    </w:p>
    <w:p w14:paraId="521B08AC" w14:textId="77777777" w:rsidR="001E0760" w:rsidRPr="00E62B11" w:rsidRDefault="001E0760" w:rsidP="006409A8">
      <w:pPr>
        <w:ind w:left="567" w:hanging="567"/>
        <w:rPr>
          <w:lang w:val="en-US" w:eastAsia="fr-FR"/>
        </w:rPr>
      </w:pPr>
      <w:r w:rsidRPr="00E62B11">
        <w:rPr>
          <w:lang w:val="en-US" w:eastAsia="fr-FR"/>
        </w:rPr>
        <w:t xml:space="preserve">Kelly, A. M. (2025). Does climate finance Foster happiness in African economies? Assessing the Direct and Indirect Pathways. </w:t>
      </w:r>
      <w:r w:rsidRPr="00E62B11">
        <w:rPr>
          <w:i/>
          <w:iCs/>
          <w:lang w:val="en-US" w:eastAsia="fr-FR"/>
        </w:rPr>
        <w:t>Global Transitions</w:t>
      </w:r>
      <w:r w:rsidRPr="00E62B11">
        <w:rPr>
          <w:lang w:val="en-US" w:eastAsia="fr-FR"/>
        </w:rPr>
        <w:t>.</w:t>
      </w:r>
    </w:p>
    <w:p w14:paraId="722884A6" w14:textId="77777777" w:rsidR="001E0760" w:rsidRPr="00E62B11" w:rsidRDefault="001E0760" w:rsidP="006409A8">
      <w:pPr>
        <w:ind w:left="567" w:hanging="567"/>
        <w:rPr>
          <w:lang w:val="en-US" w:eastAsia="fr-FR"/>
        </w:rPr>
      </w:pPr>
      <w:r w:rsidRPr="00E62B11">
        <w:rPr>
          <w:lang w:val="en-US" w:eastAsia="fr-FR"/>
        </w:rPr>
        <w:t xml:space="preserve">Kelly, A. M., &amp; </w:t>
      </w:r>
      <w:proofErr w:type="spellStart"/>
      <w:r w:rsidRPr="00E62B11">
        <w:rPr>
          <w:lang w:val="en-US" w:eastAsia="fr-FR"/>
        </w:rPr>
        <w:t>Ndeffo</w:t>
      </w:r>
      <w:proofErr w:type="spellEnd"/>
      <w:r w:rsidRPr="00E62B11">
        <w:rPr>
          <w:lang w:val="en-US" w:eastAsia="fr-FR"/>
        </w:rPr>
        <w:t xml:space="preserve">, L. N. (2025). Aid or sanction? Comparing the effectiveness of climate finance and environmental taxation in mitigating environmental degradation in Africa. </w:t>
      </w:r>
      <w:r w:rsidRPr="00E62B11">
        <w:rPr>
          <w:i/>
          <w:iCs/>
          <w:lang w:val="en-US" w:eastAsia="fr-FR"/>
        </w:rPr>
        <w:t>Innovation and Green Development</w:t>
      </w:r>
      <w:r w:rsidRPr="00E62B11">
        <w:rPr>
          <w:lang w:val="en-US" w:eastAsia="fr-FR"/>
        </w:rPr>
        <w:t xml:space="preserve">, </w:t>
      </w:r>
      <w:r w:rsidRPr="00E62B11">
        <w:rPr>
          <w:i/>
          <w:iCs/>
          <w:lang w:val="en-US" w:eastAsia="fr-FR"/>
        </w:rPr>
        <w:t>4</w:t>
      </w:r>
      <w:r w:rsidRPr="00E62B11">
        <w:rPr>
          <w:lang w:val="en-US" w:eastAsia="fr-FR"/>
        </w:rPr>
        <w:t>(3), 100241.</w:t>
      </w:r>
    </w:p>
    <w:p w14:paraId="1775D02A" w14:textId="77777777" w:rsidR="001E0760" w:rsidRPr="00E62B11" w:rsidRDefault="001E0760" w:rsidP="006409A8">
      <w:pPr>
        <w:ind w:left="567" w:hanging="567"/>
        <w:rPr>
          <w:lang w:val="en-US" w:eastAsia="fr-FR"/>
        </w:rPr>
      </w:pPr>
      <w:r w:rsidRPr="00E62B11">
        <w:rPr>
          <w:lang w:val="en-US" w:eastAsia="fr-FR"/>
        </w:rPr>
        <w:t xml:space="preserve">Kelly, A. M., &amp; </w:t>
      </w:r>
      <w:proofErr w:type="spellStart"/>
      <w:r w:rsidRPr="00E62B11">
        <w:rPr>
          <w:lang w:val="en-US" w:eastAsia="fr-FR"/>
        </w:rPr>
        <w:t>Rutazihana</w:t>
      </w:r>
      <w:proofErr w:type="spellEnd"/>
      <w:r w:rsidRPr="00E62B11">
        <w:rPr>
          <w:lang w:val="en-US" w:eastAsia="fr-FR"/>
        </w:rPr>
        <w:t xml:space="preserve">, P. N. (2024). Digital Divide and its Implications for Education in the Post-covid-19 Era in Sub-Saharan Africa. </w:t>
      </w:r>
      <w:r w:rsidRPr="00E62B11">
        <w:rPr>
          <w:i/>
          <w:iCs/>
          <w:lang w:val="en-US" w:eastAsia="fr-FR"/>
        </w:rPr>
        <w:t>Innovation and Education</w:t>
      </w:r>
      <w:r w:rsidRPr="00E62B11">
        <w:rPr>
          <w:lang w:val="en-US" w:eastAsia="fr-FR"/>
        </w:rPr>
        <w:t xml:space="preserve">, </w:t>
      </w:r>
      <w:r w:rsidRPr="00E62B11">
        <w:rPr>
          <w:i/>
          <w:iCs/>
          <w:lang w:val="en-US" w:eastAsia="fr-FR"/>
        </w:rPr>
        <w:t>6</w:t>
      </w:r>
      <w:r w:rsidRPr="00E62B11">
        <w:rPr>
          <w:lang w:val="en-US" w:eastAsia="fr-FR"/>
        </w:rPr>
        <w:t>(2), 108-132.</w:t>
      </w:r>
    </w:p>
    <w:p w14:paraId="1DBF987A" w14:textId="77777777" w:rsidR="001E0760" w:rsidRPr="00E62B11" w:rsidRDefault="001E0760" w:rsidP="006409A8">
      <w:pPr>
        <w:ind w:left="567" w:hanging="567"/>
        <w:rPr>
          <w:lang w:val="en-US" w:eastAsia="fr-FR"/>
        </w:rPr>
      </w:pPr>
      <w:r w:rsidRPr="00E62B11">
        <w:rPr>
          <w:lang w:val="en-US" w:eastAsia="fr-FR"/>
        </w:rPr>
        <w:t xml:space="preserve">Kelly, A. M., </w:t>
      </w:r>
      <w:proofErr w:type="spellStart"/>
      <w:r w:rsidRPr="00E62B11">
        <w:rPr>
          <w:lang w:val="en-US" w:eastAsia="fr-FR"/>
        </w:rPr>
        <w:t>Ketu</w:t>
      </w:r>
      <w:proofErr w:type="spellEnd"/>
      <w:r w:rsidRPr="00E62B11">
        <w:rPr>
          <w:lang w:val="en-US" w:eastAsia="fr-FR"/>
        </w:rPr>
        <w:t xml:space="preserve">, I., </w:t>
      </w:r>
      <w:proofErr w:type="spellStart"/>
      <w:r w:rsidRPr="00E62B11">
        <w:rPr>
          <w:lang w:val="en-US" w:eastAsia="fr-FR"/>
        </w:rPr>
        <w:t>Tchapchet</w:t>
      </w:r>
      <w:proofErr w:type="spellEnd"/>
      <w:r w:rsidRPr="00E62B11">
        <w:rPr>
          <w:lang w:val="en-US" w:eastAsia="fr-FR"/>
        </w:rPr>
        <w:t xml:space="preserve"> </w:t>
      </w:r>
      <w:proofErr w:type="spellStart"/>
      <w:r w:rsidRPr="00E62B11">
        <w:rPr>
          <w:lang w:val="en-US" w:eastAsia="fr-FR"/>
        </w:rPr>
        <w:t>Tchouto</w:t>
      </w:r>
      <w:proofErr w:type="spellEnd"/>
      <w:r w:rsidRPr="00E62B11">
        <w:rPr>
          <w:lang w:val="en-US" w:eastAsia="fr-FR"/>
        </w:rPr>
        <w:t xml:space="preserve">, J. E., &amp; </w:t>
      </w:r>
      <w:proofErr w:type="spellStart"/>
      <w:r w:rsidRPr="00E62B11">
        <w:rPr>
          <w:lang w:val="en-US" w:eastAsia="fr-FR"/>
        </w:rPr>
        <w:t>Nembot</w:t>
      </w:r>
      <w:proofErr w:type="spellEnd"/>
      <w:r w:rsidRPr="00E62B11">
        <w:rPr>
          <w:lang w:val="en-US" w:eastAsia="fr-FR"/>
        </w:rPr>
        <w:t xml:space="preserve"> </w:t>
      </w:r>
      <w:proofErr w:type="spellStart"/>
      <w:r w:rsidRPr="00E62B11">
        <w:rPr>
          <w:lang w:val="en-US" w:eastAsia="fr-FR"/>
        </w:rPr>
        <w:t>Ndeffo</w:t>
      </w:r>
      <w:proofErr w:type="spellEnd"/>
      <w:r w:rsidRPr="00E62B11">
        <w:rPr>
          <w:lang w:val="en-US" w:eastAsia="fr-FR"/>
        </w:rPr>
        <w:t xml:space="preserve">, L. (2024). Investigating the link between exhaustion of natural resources and economic complexity in </w:t>
      </w:r>
      <w:proofErr w:type="gramStart"/>
      <w:r w:rsidRPr="00E62B11">
        <w:rPr>
          <w:lang w:val="en-US" w:eastAsia="fr-FR"/>
        </w:rPr>
        <w:t>sub‐Saharan</w:t>
      </w:r>
      <w:proofErr w:type="gramEnd"/>
      <w:r w:rsidRPr="00E62B11">
        <w:rPr>
          <w:lang w:val="en-US" w:eastAsia="fr-FR"/>
        </w:rPr>
        <w:t xml:space="preserve"> Africa. </w:t>
      </w:r>
      <w:r w:rsidRPr="00E62B11">
        <w:rPr>
          <w:i/>
          <w:iCs/>
          <w:lang w:val="en-US" w:eastAsia="fr-FR"/>
        </w:rPr>
        <w:t>African Development Review</w:t>
      </w:r>
      <w:r w:rsidRPr="00E62B11">
        <w:rPr>
          <w:lang w:val="en-US" w:eastAsia="fr-FR"/>
        </w:rPr>
        <w:t xml:space="preserve">, </w:t>
      </w:r>
      <w:r w:rsidRPr="00E62B11">
        <w:rPr>
          <w:i/>
          <w:iCs/>
          <w:lang w:val="en-US" w:eastAsia="fr-FR"/>
        </w:rPr>
        <w:t>36</w:t>
      </w:r>
      <w:r w:rsidRPr="00E62B11">
        <w:rPr>
          <w:lang w:val="en-US" w:eastAsia="fr-FR"/>
        </w:rPr>
        <w:t>(3), 486-502.</w:t>
      </w:r>
    </w:p>
    <w:p w14:paraId="5A494328" w14:textId="77777777" w:rsidR="001E0760" w:rsidRPr="00C177AD" w:rsidRDefault="001E0760" w:rsidP="00BD4E82">
      <w:pPr>
        <w:ind w:left="567" w:hanging="567"/>
        <w:rPr>
          <w:rFonts w:eastAsia="Times New Roman" w:cs="Times New Roman"/>
          <w:szCs w:val="24"/>
          <w:lang w:eastAsia="fr-FR"/>
        </w:rPr>
      </w:pPr>
      <w:proofErr w:type="spellStart"/>
      <w:r w:rsidRPr="00C177AD">
        <w:rPr>
          <w:rFonts w:eastAsia="Times New Roman" w:cs="Times New Roman"/>
          <w:szCs w:val="24"/>
          <w:lang w:val="en-US" w:eastAsia="fr-FR"/>
        </w:rPr>
        <w:t>Kurwijila</w:t>
      </w:r>
      <w:proofErr w:type="spellEnd"/>
      <w:r w:rsidRPr="00C177AD">
        <w:rPr>
          <w:rFonts w:eastAsia="Times New Roman" w:cs="Times New Roman"/>
          <w:szCs w:val="24"/>
          <w:lang w:val="en-US" w:eastAsia="fr-FR"/>
        </w:rPr>
        <w:t xml:space="preserve">, R., &amp; Due, J. M. (1991). Credit for women's income generation: a Tanzanian case study. </w:t>
      </w:r>
      <w:r w:rsidRPr="00C177AD">
        <w:rPr>
          <w:rFonts w:eastAsia="Times New Roman" w:cs="Times New Roman"/>
          <w:i/>
          <w:iCs/>
          <w:szCs w:val="24"/>
          <w:lang w:eastAsia="fr-FR"/>
        </w:rPr>
        <w:t xml:space="preserve">Canadian Journal of </w:t>
      </w:r>
      <w:proofErr w:type="spellStart"/>
      <w:r w:rsidRPr="00C177AD">
        <w:rPr>
          <w:rFonts w:eastAsia="Times New Roman" w:cs="Times New Roman"/>
          <w:i/>
          <w:iCs/>
          <w:szCs w:val="24"/>
          <w:lang w:eastAsia="fr-FR"/>
        </w:rPr>
        <w:t>African</w:t>
      </w:r>
      <w:proofErr w:type="spellEnd"/>
      <w:r w:rsidRPr="00C177AD">
        <w:rPr>
          <w:rFonts w:eastAsia="Times New Roman" w:cs="Times New Roman"/>
          <w:i/>
          <w:iCs/>
          <w:szCs w:val="24"/>
          <w:lang w:eastAsia="fr-FR"/>
        </w:rPr>
        <w:t xml:space="preserve"> </w:t>
      </w:r>
      <w:proofErr w:type="spellStart"/>
      <w:r w:rsidRPr="00C177AD">
        <w:rPr>
          <w:rFonts w:eastAsia="Times New Roman" w:cs="Times New Roman"/>
          <w:i/>
          <w:iCs/>
          <w:szCs w:val="24"/>
          <w:lang w:eastAsia="fr-FR"/>
        </w:rPr>
        <w:t>Studies</w:t>
      </w:r>
      <w:proofErr w:type="spellEnd"/>
      <w:r w:rsidRPr="00C177AD">
        <w:rPr>
          <w:rFonts w:eastAsia="Times New Roman" w:cs="Times New Roman"/>
          <w:i/>
          <w:iCs/>
          <w:szCs w:val="24"/>
          <w:lang w:eastAsia="fr-FR"/>
        </w:rPr>
        <w:t>/La Revue Canadienne des études Africaines</w:t>
      </w:r>
      <w:r w:rsidRPr="00C177AD">
        <w:rPr>
          <w:rFonts w:eastAsia="Times New Roman" w:cs="Times New Roman"/>
          <w:szCs w:val="24"/>
          <w:lang w:eastAsia="fr-FR"/>
        </w:rPr>
        <w:t xml:space="preserve">, </w:t>
      </w:r>
      <w:r w:rsidRPr="00C177AD">
        <w:rPr>
          <w:rFonts w:eastAsia="Times New Roman" w:cs="Times New Roman"/>
          <w:i/>
          <w:iCs/>
          <w:szCs w:val="24"/>
          <w:lang w:eastAsia="fr-FR"/>
        </w:rPr>
        <w:t>25</w:t>
      </w:r>
      <w:r w:rsidRPr="00C177AD">
        <w:rPr>
          <w:rFonts w:eastAsia="Times New Roman" w:cs="Times New Roman"/>
          <w:szCs w:val="24"/>
          <w:lang w:eastAsia="fr-FR"/>
        </w:rPr>
        <w:t>(1), 90-103.</w:t>
      </w:r>
    </w:p>
    <w:p w14:paraId="47A23045" w14:textId="77777777" w:rsidR="001E0760" w:rsidRPr="006462F0" w:rsidRDefault="001E0760" w:rsidP="00BD4E82">
      <w:pPr>
        <w:ind w:left="567" w:hanging="567"/>
        <w:rPr>
          <w:rFonts w:eastAsia="Times New Roman" w:cs="Times New Roman"/>
          <w:szCs w:val="24"/>
          <w:lang w:val="en-US" w:eastAsia="fr-FR"/>
        </w:rPr>
      </w:pPr>
      <w:proofErr w:type="spellStart"/>
      <w:r w:rsidRPr="00D53D6A">
        <w:rPr>
          <w:rFonts w:eastAsia="Times New Roman" w:cs="Times New Roman"/>
          <w:szCs w:val="24"/>
          <w:lang w:val="en-US" w:eastAsia="fr-FR"/>
        </w:rPr>
        <w:t>Maulia</w:t>
      </w:r>
      <w:proofErr w:type="spellEnd"/>
      <w:r w:rsidRPr="00D53D6A">
        <w:rPr>
          <w:rFonts w:eastAsia="Times New Roman" w:cs="Times New Roman"/>
          <w:szCs w:val="24"/>
          <w:lang w:val="en-US" w:eastAsia="fr-FR"/>
        </w:rPr>
        <w:t xml:space="preserve">, A., &amp; </w:t>
      </w:r>
      <w:proofErr w:type="spellStart"/>
      <w:r w:rsidRPr="00D53D6A">
        <w:rPr>
          <w:rFonts w:eastAsia="Times New Roman" w:cs="Times New Roman"/>
          <w:szCs w:val="24"/>
          <w:lang w:val="en-US" w:eastAsia="fr-FR"/>
        </w:rPr>
        <w:t>Gultom</w:t>
      </w:r>
      <w:proofErr w:type="spellEnd"/>
      <w:r w:rsidRPr="00D53D6A">
        <w:rPr>
          <w:rFonts w:eastAsia="Times New Roman" w:cs="Times New Roman"/>
          <w:szCs w:val="24"/>
          <w:lang w:val="en-US" w:eastAsia="fr-FR"/>
        </w:rPr>
        <w:t xml:space="preserve">, Y. M. (2023). Impact of Gender, Age, and Education of Peer-to-Peer Lender on Loan Viability Assessment: Evidence from Sharia Firm. </w:t>
      </w:r>
      <w:r w:rsidRPr="006462F0">
        <w:rPr>
          <w:rFonts w:eastAsia="Times New Roman" w:cs="Times New Roman"/>
          <w:i/>
          <w:iCs/>
          <w:szCs w:val="24"/>
          <w:lang w:val="en-US" w:eastAsia="fr-FR"/>
        </w:rPr>
        <w:t>Indonesian Capital Market Review</w:t>
      </w:r>
      <w:r w:rsidRPr="006462F0">
        <w:rPr>
          <w:rFonts w:eastAsia="Times New Roman" w:cs="Times New Roman"/>
          <w:szCs w:val="24"/>
          <w:lang w:val="en-US" w:eastAsia="fr-FR"/>
        </w:rPr>
        <w:t xml:space="preserve">, </w:t>
      </w:r>
      <w:r w:rsidRPr="006462F0">
        <w:rPr>
          <w:rFonts w:eastAsia="Times New Roman" w:cs="Times New Roman"/>
          <w:i/>
          <w:iCs/>
          <w:szCs w:val="24"/>
          <w:lang w:val="en-US" w:eastAsia="fr-FR"/>
        </w:rPr>
        <w:t>15</w:t>
      </w:r>
      <w:r w:rsidRPr="006462F0">
        <w:rPr>
          <w:rFonts w:eastAsia="Times New Roman" w:cs="Times New Roman"/>
          <w:szCs w:val="24"/>
          <w:lang w:val="en-US" w:eastAsia="fr-FR"/>
        </w:rPr>
        <w:t>(2), 4.</w:t>
      </w:r>
    </w:p>
    <w:p w14:paraId="34229FA2" w14:textId="77777777" w:rsidR="001E0760" w:rsidRPr="000E5644" w:rsidRDefault="001E0760"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Minniti</w:t>
      </w:r>
      <w:proofErr w:type="spellEnd"/>
      <w:r w:rsidRPr="000E5644">
        <w:rPr>
          <w:rFonts w:eastAsia="Times New Roman" w:cs="Times New Roman"/>
          <w:szCs w:val="24"/>
          <w:lang w:val="en-US" w:eastAsia="fr-FR"/>
        </w:rPr>
        <w:t xml:space="preserve">, M., &amp; </w:t>
      </w:r>
      <w:proofErr w:type="spellStart"/>
      <w:r w:rsidRPr="000E5644">
        <w:rPr>
          <w:rFonts w:eastAsia="Times New Roman" w:cs="Times New Roman"/>
          <w:szCs w:val="24"/>
          <w:lang w:val="en-US" w:eastAsia="fr-FR"/>
        </w:rPr>
        <w:t>Naudé</w:t>
      </w:r>
      <w:proofErr w:type="spellEnd"/>
      <w:r w:rsidRPr="000E5644">
        <w:rPr>
          <w:rFonts w:eastAsia="Times New Roman" w:cs="Times New Roman"/>
          <w:szCs w:val="24"/>
          <w:lang w:val="en-US" w:eastAsia="fr-FR"/>
        </w:rPr>
        <w:t>, W. (2010). What do we know about the patterns and determinants of female entrepreneurship across countries</w:t>
      </w:r>
      <w:proofErr w:type="gramStart"/>
      <w:r w:rsidRPr="000E5644">
        <w:rPr>
          <w:rFonts w:eastAsia="Times New Roman" w:cs="Times New Roman"/>
          <w:szCs w:val="24"/>
          <w:lang w:val="en-US" w:eastAsia="fr-FR"/>
        </w:rPr>
        <w:t>?.</w:t>
      </w:r>
      <w:proofErr w:type="gramEnd"/>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The European Journal of Development Research</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22</w:t>
      </w:r>
      <w:r w:rsidRPr="000E5644">
        <w:rPr>
          <w:rFonts w:eastAsia="Times New Roman" w:cs="Times New Roman"/>
          <w:szCs w:val="24"/>
          <w:lang w:val="en-US" w:eastAsia="fr-FR"/>
        </w:rPr>
        <w:t>(3), 277-293.</w:t>
      </w:r>
    </w:p>
    <w:p w14:paraId="2F52D827" w14:textId="77777777" w:rsidR="001E0760" w:rsidRPr="00996381" w:rsidRDefault="001E0760" w:rsidP="00BD4E82">
      <w:pPr>
        <w:ind w:left="567" w:hanging="567"/>
        <w:rPr>
          <w:rFonts w:eastAsia="Times New Roman" w:cs="Times New Roman"/>
          <w:szCs w:val="24"/>
          <w:lang w:val="en-US" w:eastAsia="fr-FR"/>
        </w:rPr>
      </w:pPr>
      <w:proofErr w:type="spellStart"/>
      <w:r w:rsidRPr="00720137">
        <w:rPr>
          <w:rFonts w:eastAsia="Times New Roman" w:cs="Times New Roman"/>
          <w:szCs w:val="24"/>
          <w:lang w:val="en-US" w:eastAsia="fr-FR"/>
        </w:rPr>
        <w:t>Nzongola-Ntalaja</w:t>
      </w:r>
      <w:proofErr w:type="spellEnd"/>
      <w:r w:rsidRPr="00720137">
        <w:rPr>
          <w:rFonts w:eastAsia="Times New Roman" w:cs="Times New Roman"/>
          <w:szCs w:val="24"/>
          <w:lang w:val="en-US" w:eastAsia="fr-FR"/>
        </w:rPr>
        <w:t xml:space="preserve">, G. (2013). </w:t>
      </w:r>
      <w:r w:rsidRPr="00720137">
        <w:rPr>
          <w:rFonts w:eastAsia="Times New Roman" w:cs="Times New Roman"/>
          <w:i/>
          <w:iCs/>
          <w:szCs w:val="24"/>
          <w:lang w:val="en-US" w:eastAsia="fr-FR"/>
        </w:rPr>
        <w:t>The Congo from Leopold to Kabila: a people's history</w:t>
      </w:r>
      <w:r w:rsidRPr="00720137">
        <w:rPr>
          <w:rFonts w:eastAsia="Times New Roman" w:cs="Times New Roman"/>
          <w:szCs w:val="24"/>
          <w:lang w:val="en-US" w:eastAsia="fr-FR"/>
        </w:rPr>
        <w:t xml:space="preserve">. </w:t>
      </w:r>
      <w:r w:rsidRPr="00996381">
        <w:rPr>
          <w:rFonts w:eastAsia="Times New Roman" w:cs="Times New Roman"/>
          <w:szCs w:val="24"/>
          <w:lang w:val="en-US" w:eastAsia="fr-FR"/>
        </w:rPr>
        <w:t>Bloomsbury Publishing.</w:t>
      </w:r>
    </w:p>
    <w:p w14:paraId="183B22E4" w14:textId="77777777" w:rsidR="001E0760" w:rsidRPr="00C966D5" w:rsidRDefault="001E0760" w:rsidP="00BD4E82">
      <w:pPr>
        <w:ind w:left="567" w:hanging="567"/>
        <w:rPr>
          <w:rFonts w:eastAsia="Times New Roman" w:cs="Times New Roman"/>
          <w:szCs w:val="24"/>
          <w:lang w:val="en-US" w:eastAsia="fr-FR"/>
        </w:rPr>
      </w:pPr>
      <w:r w:rsidRPr="00C966D5">
        <w:rPr>
          <w:rFonts w:eastAsia="Times New Roman" w:cs="Times New Roman"/>
          <w:szCs w:val="24"/>
          <w:lang w:val="en-US" w:eastAsia="fr-FR"/>
        </w:rPr>
        <w:t xml:space="preserve">Phelps, E. S. (1972). The statistical theory of racism and sexism. </w:t>
      </w:r>
      <w:r w:rsidRPr="00C966D5">
        <w:rPr>
          <w:rFonts w:eastAsia="Times New Roman" w:cs="Times New Roman"/>
          <w:i/>
          <w:iCs/>
          <w:szCs w:val="24"/>
          <w:lang w:val="en-US" w:eastAsia="fr-FR"/>
        </w:rPr>
        <w:t xml:space="preserve">The </w:t>
      </w:r>
      <w:proofErr w:type="spellStart"/>
      <w:proofErr w:type="gramStart"/>
      <w:r w:rsidRPr="00C966D5">
        <w:rPr>
          <w:rFonts w:eastAsia="Times New Roman" w:cs="Times New Roman"/>
          <w:i/>
          <w:iCs/>
          <w:szCs w:val="24"/>
          <w:lang w:val="en-US" w:eastAsia="fr-FR"/>
        </w:rPr>
        <w:t>american</w:t>
      </w:r>
      <w:proofErr w:type="spellEnd"/>
      <w:proofErr w:type="gramEnd"/>
      <w:r w:rsidRPr="00C966D5">
        <w:rPr>
          <w:rFonts w:eastAsia="Times New Roman" w:cs="Times New Roman"/>
          <w:i/>
          <w:iCs/>
          <w:szCs w:val="24"/>
          <w:lang w:val="en-US" w:eastAsia="fr-FR"/>
        </w:rPr>
        <w:t xml:space="preserve"> economic review</w:t>
      </w:r>
      <w:r w:rsidRPr="00C966D5">
        <w:rPr>
          <w:rFonts w:eastAsia="Times New Roman" w:cs="Times New Roman"/>
          <w:szCs w:val="24"/>
          <w:lang w:val="en-US" w:eastAsia="fr-FR"/>
        </w:rPr>
        <w:t xml:space="preserve">, </w:t>
      </w:r>
      <w:r w:rsidRPr="00C966D5">
        <w:rPr>
          <w:rFonts w:eastAsia="Times New Roman" w:cs="Times New Roman"/>
          <w:i/>
          <w:iCs/>
          <w:szCs w:val="24"/>
          <w:lang w:val="en-US" w:eastAsia="fr-FR"/>
        </w:rPr>
        <w:t>62</w:t>
      </w:r>
      <w:r w:rsidRPr="00C966D5">
        <w:rPr>
          <w:rFonts w:eastAsia="Times New Roman" w:cs="Times New Roman"/>
          <w:szCs w:val="24"/>
          <w:lang w:val="en-US" w:eastAsia="fr-FR"/>
        </w:rPr>
        <w:t>(4), 659-661.</w:t>
      </w:r>
    </w:p>
    <w:p w14:paraId="2FB64CB0" w14:textId="77777777" w:rsidR="001E0760" w:rsidRPr="001E0760" w:rsidRDefault="001E0760" w:rsidP="006409A8">
      <w:pPr>
        <w:ind w:left="567" w:hanging="567"/>
        <w:rPr>
          <w:lang w:val="en-US" w:eastAsia="fr-FR"/>
        </w:rPr>
      </w:pPr>
      <w:proofErr w:type="spellStart"/>
      <w:r w:rsidRPr="00E62B11">
        <w:rPr>
          <w:lang w:val="en-US" w:eastAsia="fr-FR"/>
        </w:rPr>
        <w:t>Rutazihana</w:t>
      </w:r>
      <w:proofErr w:type="spellEnd"/>
      <w:r w:rsidRPr="00E62B11">
        <w:rPr>
          <w:lang w:val="en-US" w:eastAsia="fr-FR"/>
        </w:rPr>
        <w:t>, P. N., &amp; Kelly, A. M. (2025). Climate Finance and Natural Resource Depletion in Africa: Does Institutional Quality Matter</w:t>
      </w:r>
      <w:proofErr w:type="gramStart"/>
      <w:r w:rsidRPr="00E62B11">
        <w:rPr>
          <w:lang w:val="en-US" w:eastAsia="fr-FR"/>
        </w:rPr>
        <w:t>?.</w:t>
      </w:r>
      <w:proofErr w:type="gramEnd"/>
      <w:r w:rsidRPr="00E62B11">
        <w:rPr>
          <w:lang w:val="en-US" w:eastAsia="fr-FR"/>
        </w:rPr>
        <w:t xml:space="preserve"> </w:t>
      </w:r>
      <w:r w:rsidRPr="001E0760">
        <w:rPr>
          <w:i/>
          <w:iCs/>
          <w:lang w:val="en-US" w:eastAsia="fr-FR"/>
        </w:rPr>
        <w:t>Society &amp; Natural Resources</w:t>
      </w:r>
      <w:r w:rsidRPr="001E0760">
        <w:rPr>
          <w:lang w:val="en-US" w:eastAsia="fr-FR"/>
        </w:rPr>
        <w:t>, 1-25.</w:t>
      </w:r>
    </w:p>
    <w:p w14:paraId="7FA8B6D4" w14:textId="77777777" w:rsidR="001E0760" w:rsidRPr="00D53D6A" w:rsidRDefault="001E0760" w:rsidP="00BD4E82">
      <w:pPr>
        <w:ind w:left="567" w:hanging="567"/>
        <w:rPr>
          <w:rFonts w:eastAsia="Times New Roman" w:cs="Times New Roman"/>
          <w:szCs w:val="24"/>
          <w:lang w:val="en-US" w:eastAsia="fr-FR"/>
        </w:rPr>
      </w:pPr>
      <w:r w:rsidRPr="00D53D6A">
        <w:rPr>
          <w:rFonts w:eastAsia="Times New Roman" w:cs="Times New Roman"/>
          <w:szCs w:val="24"/>
          <w:lang w:val="en-US" w:eastAsia="fr-FR"/>
        </w:rPr>
        <w:t xml:space="preserve">Sam, V. (2021). Formal credit usage and gender income gap: The case of farmers in Cambodia. </w:t>
      </w:r>
      <w:r w:rsidRPr="00D53D6A">
        <w:rPr>
          <w:rFonts w:eastAsia="Times New Roman" w:cs="Times New Roman"/>
          <w:i/>
          <w:iCs/>
          <w:szCs w:val="24"/>
          <w:lang w:val="en-US" w:eastAsia="fr-FR"/>
        </w:rPr>
        <w:t>Agricultural Finance Review</w:t>
      </w:r>
      <w:r w:rsidRPr="00D53D6A">
        <w:rPr>
          <w:rFonts w:eastAsia="Times New Roman" w:cs="Times New Roman"/>
          <w:szCs w:val="24"/>
          <w:lang w:val="en-US" w:eastAsia="fr-FR"/>
        </w:rPr>
        <w:t xml:space="preserve">, </w:t>
      </w:r>
      <w:r w:rsidRPr="00D53D6A">
        <w:rPr>
          <w:rFonts w:eastAsia="Times New Roman" w:cs="Times New Roman"/>
          <w:i/>
          <w:iCs/>
          <w:szCs w:val="24"/>
          <w:lang w:val="en-US" w:eastAsia="fr-FR"/>
        </w:rPr>
        <w:t>81</w:t>
      </w:r>
      <w:r w:rsidRPr="00D53D6A">
        <w:rPr>
          <w:rFonts w:eastAsia="Times New Roman" w:cs="Times New Roman"/>
          <w:szCs w:val="24"/>
          <w:lang w:val="en-US" w:eastAsia="fr-FR"/>
        </w:rPr>
        <w:t>(5), 675-701.</w:t>
      </w:r>
    </w:p>
    <w:p w14:paraId="067ADA61" w14:textId="77777777" w:rsidR="001E0760" w:rsidRPr="00456C05" w:rsidRDefault="001E0760" w:rsidP="00BD4E82">
      <w:pPr>
        <w:ind w:left="567" w:hanging="567"/>
        <w:rPr>
          <w:rFonts w:eastAsia="Times New Roman" w:cs="Times New Roman"/>
          <w:szCs w:val="24"/>
          <w:lang w:val="en-US" w:eastAsia="fr-FR"/>
        </w:rPr>
      </w:pPr>
      <w:r w:rsidRPr="00456C05">
        <w:rPr>
          <w:rFonts w:eastAsia="Times New Roman" w:cs="Times New Roman"/>
          <w:szCs w:val="24"/>
          <w:lang w:val="en-US" w:eastAsia="fr-FR"/>
        </w:rPr>
        <w:t xml:space="preserve">Saunders, M., Lewis, P., &amp; </w:t>
      </w:r>
      <w:proofErr w:type="spellStart"/>
      <w:r w:rsidRPr="00456C05">
        <w:rPr>
          <w:rFonts w:eastAsia="Times New Roman" w:cs="Times New Roman"/>
          <w:szCs w:val="24"/>
          <w:lang w:val="en-US" w:eastAsia="fr-FR"/>
        </w:rPr>
        <w:t>Thornhill</w:t>
      </w:r>
      <w:proofErr w:type="spellEnd"/>
      <w:r w:rsidRPr="00456C05">
        <w:rPr>
          <w:rFonts w:eastAsia="Times New Roman" w:cs="Times New Roman"/>
          <w:szCs w:val="24"/>
          <w:lang w:val="en-US" w:eastAsia="fr-FR"/>
        </w:rPr>
        <w:t xml:space="preserve">, A. (2009). </w:t>
      </w:r>
      <w:r w:rsidRPr="00456C05">
        <w:rPr>
          <w:rFonts w:eastAsia="Times New Roman" w:cs="Times New Roman"/>
          <w:i/>
          <w:iCs/>
          <w:szCs w:val="24"/>
          <w:lang w:val="en-US" w:eastAsia="fr-FR"/>
        </w:rPr>
        <w:t>Research methods for business students</w:t>
      </w:r>
      <w:r w:rsidRPr="00456C05">
        <w:rPr>
          <w:rFonts w:eastAsia="Times New Roman" w:cs="Times New Roman"/>
          <w:szCs w:val="24"/>
          <w:lang w:val="en-US" w:eastAsia="fr-FR"/>
        </w:rPr>
        <w:t>. Pearson education.</w:t>
      </w:r>
    </w:p>
    <w:p w14:paraId="32187C5A" w14:textId="77777777" w:rsidR="001E0760" w:rsidRPr="00456C05" w:rsidRDefault="001E0760" w:rsidP="00BD4E82">
      <w:pPr>
        <w:ind w:left="567" w:hanging="567"/>
        <w:rPr>
          <w:rFonts w:eastAsia="Times New Roman" w:cs="Times New Roman"/>
          <w:szCs w:val="24"/>
          <w:lang w:val="en-US" w:eastAsia="fr-FR"/>
        </w:rPr>
      </w:pPr>
      <w:r w:rsidRPr="00456C05">
        <w:rPr>
          <w:rFonts w:eastAsia="Times New Roman" w:cs="Times New Roman"/>
          <w:szCs w:val="24"/>
          <w:lang w:val="en-US" w:eastAsia="fr-FR"/>
        </w:rPr>
        <w:lastRenderedPageBreak/>
        <w:t xml:space="preserve">Shields, P. M., &amp; </w:t>
      </w:r>
      <w:proofErr w:type="spellStart"/>
      <w:r w:rsidRPr="00456C05">
        <w:rPr>
          <w:rFonts w:eastAsia="Times New Roman" w:cs="Times New Roman"/>
          <w:szCs w:val="24"/>
          <w:lang w:val="en-US" w:eastAsia="fr-FR"/>
        </w:rPr>
        <w:t>Rangarajan</w:t>
      </w:r>
      <w:proofErr w:type="spellEnd"/>
      <w:r w:rsidRPr="00456C05">
        <w:rPr>
          <w:rFonts w:eastAsia="Times New Roman" w:cs="Times New Roman"/>
          <w:szCs w:val="24"/>
          <w:lang w:val="en-US" w:eastAsia="fr-FR"/>
        </w:rPr>
        <w:t xml:space="preserve">, N. (2013). </w:t>
      </w:r>
      <w:r w:rsidRPr="00456C05">
        <w:rPr>
          <w:rFonts w:eastAsia="Times New Roman" w:cs="Times New Roman"/>
          <w:i/>
          <w:iCs/>
          <w:szCs w:val="24"/>
          <w:lang w:val="en-US" w:eastAsia="fr-FR"/>
        </w:rPr>
        <w:t>A playbook for research methods: Integrating conceptual frameworks and project management</w:t>
      </w:r>
      <w:r w:rsidRPr="00456C05">
        <w:rPr>
          <w:rFonts w:eastAsia="Times New Roman" w:cs="Times New Roman"/>
          <w:szCs w:val="24"/>
          <w:lang w:val="en-US" w:eastAsia="fr-FR"/>
        </w:rPr>
        <w:t>. New Forums Press.</w:t>
      </w:r>
    </w:p>
    <w:p w14:paraId="70675C9D" w14:textId="77777777" w:rsidR="001E0760" w:rsidRPr="00E62B11" w:rsidRDefault="001E0760" w:rsidP="006409A8">
      <w:pPr>
        <w:ind w:left="567" w:hanging="567"/>
        <w:rPr>
          <w:lang w:val="en-US" w:eastAsia="fr-FR"/>
        </w:rPr>
      </w:pPr>
      <w:proofErr w:type="spellStart"/>
      <w:r w:rsidRPr="00E62B11">
        <w:rPr>
          <w:lang w:val="en-US" w:eastAsia="fr-FR"/>
        </w:rPr>
        <w:t>Wassou</w:t>
      </w:r>
      <w:proofErr w:type="spellEnd"/>
      <w:r w:rsidRPr="00E62B11">
        <w:rPr>
          <w:lang w:val="en-US" w:eastAsia="fr-FR"/>
        </w:rPr>
        <w:t xml:space="preserve">, N. L., Kelly, A. M., &amp; </w:t>
      </w:r>
      <w:proofErr w:type="spellStart"/>
      <w:r w:rsidRPr="00E62B11">
        <w:rPr>
          <w:lang w:val="en-US" w:eastAsia="fr-FR"/>
        </w:rPr>
        <w:t>Ndeffo</w:t>
      </w:r>
      <w:proofErr w:type="spellEnd"/>
      <w:r w:rsidRPr="00E62B11">
        <w:rPr>
          <w:lang w:val="en-US" w:eastAsia="fr-FR"/>
        </w:rPr>
        <w:t xml:space="preserve">, L. N. (2024). Enhancing population's health status in sub-Saharan Africa: does economic complexity matter?''. </w:t>
      </w:r>
      <w:r w:rsidRPr="00E62B11">
        <w:rPr>
          <w:i/>
          <w:iCs/>
          <w:lang w:val="en-US" w:eastAsia="fr-FR"/>
        </w:rPr>
        <w:t>Economics Bulletin</w:t>
      </w:r>
      <w:r w:rsidRPr="00E62B11">
        <w:rPr>
          <w:lang w:val="en-US" w:eastAsia="fr-FR"/>
        </w:rPr>
        <w:t xml:space="preserve">, </w:t>
      </w:r>
      <w:r w:rsidRPr="00E62B11">
        <w:rPr>
          <w:i/>
          <w:iCs/>
          <w:lang w:val="en-US" w:eastAsia="fr-FR"/>
        </w:rPr>
        <w:t>44</w:t>
      </w:r>
      <w:r w:rsidRPr="00E62B11">
        <w:rPr>
          <w:lang w:val="en-US" w:eastAsia="fr-FR"/>
        </w:rPr>
        <w:t>(4), 1356-1366.</w:t>
      </w:r>
    </w:p>
    <w:p w14:paraId="4858DDA8" w14:textId="77777777" w:rsidR="001E0760" w:rsidRPr="00E62B11" w:rsidRDefault="001E0760" w:rsidP="006409A8">
      <w:pPr>
        <w:ind w:left="567" w:hanging="567"/>
        <w:rPr>
          <w:lang w:val="en-US" w:eastAsia="fr-FR"/>
        </w:rPr>
      </w:pPr>
      <w:proofErr w:type="spellStart"/>
      <w:r w:rsidRPr="00E62B11">
        <w:rPr>
          <w:lang w:val="en-US" w:eastAsia="fr-FR"/>
        </w:rPr>
        <w:t>Wassou</w:t>
      </w:r>
      <w:proofErr w:type="spellEnd"/>
      <w:r w:rsidRPr="00E62B11">
        <w:rPr>
          <w:lang w:val="en-US" w:eastAsia="fr-FR"/>
        </w:rPr>
        <w:t xml:space="preserve">, N. L., </w:t>
      </w:r>
      <w:proofErr w:type="spellStart"/>
      <w:r w:rsidRPr="00E62B11">
        <w:rPr>
          <w:lang w:val="en-US" w:eastAsia="fr-FR"/>
        </w:rPr>
        <w:t>Ndeffo</w:t>
      </w:r>
      <w:proofErr w:type="spellEnd"/>
      <w:r w:rsidRPr="00E62B11">
        <w:rPr>
          <w:lang w:val="en-US" w:eastAsia="fr-FR"/>
        </w:rPr>
        <w:t xml:space="preserve">, L. N., &amp; Kelly, A. M. (2025). Does Economic Complexity Drive Health Sector Investment? Empirical Assessment of Sub-Saharan Africa. </w:t>
      </w:r>
      <w:r w:rsidRPr="00E62B11">
        <w:rPr>
          <w:i/>
          <w:iCs/>
          <w:lang w:val="en-US" w:eastAsia="fr-FR"/>
        </w:rPr>
        <w:t>Journal of Open Innovation: Technology, Market, and Complexity</w:t>
      </w:r>
      <w:r w:rsidRPr="00E62B11">
        <w:rPr>
          <w:lang w:val="en-US" w:eastAsia="fr-FR"/>
        </w:rPr>
        <w:t>, 100588.</w:t>
      </w:r>
    </w:p>
    <w:p w14:paraId="4EC44B34" w14:textId="77777777" w:rsidR="006409A8" w:rsidRPr="00456C05" w:rsidRDefault="006409A8" w:rsidP="006409A8">
      <w:pPr>
        <w:ind w:left="567" w:hanging="567"/>
        <w:rPr>
          <w:lang w:val="en-US"/>
        </w:rPr>
      </w:pPr>
    </w:p>
    <w:p w14:paraId="5988C284" w14:textId="77777777" w:rsidR="00996381" w:rsidRPr="001E0760" w:rsidRDefault="00996381" w:rsidP="00996381">
      <w:pPr>
        <w:rPr>
          <w:lang w:val="en-US"/>
        </w:rPr>
      </w:pPr>
    </w:p>
    <w:p w14:paraId="6E9B2CCD" w14:textId="77777777" w:rsidR="006462F0" w:rsidRPr="001E0760" w:rsidRDefault="006462F0" w:rsidP="006462F0">
      <w:pPr>
        <w:rPr>
          <w:lang w:val="en-US"/>
        </w:rPr>
      </w:pPr>
    </w:p>
    <w:p w14:paraId="5212A610" w14:textId="77777777" w:rsidR="00C51EA1" w:rsidRPr="00D331B3" w:rsidRDefault="00C51EA1" w:rsidP="00C51EA1">
      <w:pPr>
        <w:rPr>
          <w:lang w:val="en-US"/>
        </w:rPr>
      </w:pPr>
    </w:p>
    <w:p w14:paraId="30799BBD" w14:textId="77777777" w:rsidR="001E2AAF" w:rsidRPr="00D331B3" w:rsidRDefault="001E2AAF" w:rsidP="001E2AAF">
      <w:pPr>
        <w:rPr>
          <w:lang w:val="en-US"/>
        </w:rPr>
      </w:pPr>
    </w:p>
    <w:p w14:paraId="44587907" w14:textId="77777777" w:rsidR="001E2AAF" w:rsidRPr="001E2AAF" w:rsidRDefault="001E2AAF" w:rsidP="001E2AAF">
      <w:pPr>
        <w:rPr>
          <w:lang w:val="en-US"/>
        </w:rPr>
      </w:pPr>
    </w:p>
    <w:sectPr w:rsidR="001E2AAF" w:rsidRPr="001E2A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76AB7" w14:textId="77777777" w:rsidR="00F3677E" w:rsidRDefault="00F3677E" w:rsidP="00487C8E">
      <w:pPr>
        <w:spacing w:line="240" w:lineRule="auto"/>
      </w:pPr>
      <w:r>
        <w:separator/>
      </w:r>
    </w:p>
  </w:endnote>
  <w:endnote w:type="continuationSeparator" w:id="0">
    <w:p w14:paraId="35FF41DA" w14:textId="77777777" w:rsidR="00F3677E" w:rsidRDefault="00F3677E" w:rsidP="00487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80411" w14:textId="77777777" w:rsidR="00044BFB" w:rsidRDefault="00044B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331671"/>
      <w:docPartObj>
        <w:docPartGallery w:val="Page Numbers (Bottom of Page)"/>
        <w:docPartUnique/>
      </w:docPartObj>
    </w:sdtPr>
    <w:sdtEndPr/>
    <w:sdtContent>
      <w:p w14:paraId="2889F923" w14:textId="16091ACB" w:rsidR="009A6A15" w:rsidRDefault="009A6A15">
        <w:pPr>
          <w:pStyle w:val="Pieddepage"/>
          <w:jc w:val="center"/>
        </w:pPr>
        <w:r>
          <w:fldChar w:fldCharType="begin"/>
        </w:r>
        <w:r>
          <w:instrText>PAGE   \* MERGEFORMAT</w:instrText>
        </w:r>
        <w:r>
          <w:fldChar w:fldCharType="separate"/>
        </w:r>
        <w:r w:rsidR="00A804B4">
          <w:rPr>
            <w:noProof/>
          </w:rPr>
          <w:t>16</w:t>
        </w:r>
        <w:r>
          <w:fldChar w:fldCharType="end"/>
        </w:r>
      </w:p>
    </w:sdtContent>
  </w:sdt>
  <w:p w14:paraId="50277161" w14:textId="77777777" w:rsidR="009A6A15" w:rsidRDefault="009A6A1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1EB6" w14:textId="77777777" w:rsidR="00044BFB" w:rsidRDefault="00044B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69F7E" w14:textId="77777777" w:rsidR="00F3677E" w:rsidRDefault="00F3677E" w:rsidP="00487C8E">
      <w:pPr>
        <w:spacing w:line="240" w:lineRule="auto"/>
      </w:pPr>
      <w:r>
        <w:separator/>
      </w:r>
    </w:p>
  </w:footnote>
  <w:footnote w:type="continuationSeparator" w:id="0">
    <w:p w14:paraId="728CE8BC" w14:textId="77777777" w:rsidR="00F3677E" w:rsidRDefault="00F3677E" w:rsidP="00487C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B28B2" w14:textId="68A5DC7D" w:rsidR="00044BFB" w:rsidRDefault="00F3677E">
    <w:pPr>
      <w:pStyle w:val="En-tte"/>
    </w:pPr>
    <w:r>
      <w:rPr>
        <w:noProof/>
      </w:rPr>
      <w:pict w14:anchorId="2696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9438"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830F" w14:textId="78406BCD" w:rsidR="00044BFB" w:rsidRDefault="00F3677E">
    <w:pPr>
      <w:pStyle w:val="En-tte"/>
    </w:pPr>
    <w:r>
      <w:rPr>
        <w:noProof/>
      </w:rPr>
      <w:pict w14:anchorId="1D80F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9439"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09B00" w14:textId="408F9B66" w:rsidR="00044BFB" w:rsidRDefault="00F3677E">
    <w:pPr>
      <w:pStyle w:val="En-tte"/>
    </w:pPr>
    <w:r>
      <w:rPr>
        <w:noProof/>
      </w:rPr>
      <w:pict w14:anchorId="72765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9437"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D5217"/>
    <w:multiLevelType w:val="multilevel"/>
    <w:tmpl w:val="E62E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78"/>
    <w:rsid w:val="000012B4"/>
    <w:rsid w:val="0001672C"/>
    <w:rsid w:val="0002187E"/>
    <w:rsid w:val="00044BFB"/>
    <w:rsid w:val="00081AE8"/>
    <w:rsid w:val="00084BDE"/>
    <w:rsid w:val="00086720"/>
    <w:rsid w:val="000A535E"/>
    <w:rsid w:val="000B6AAF"/>
    <w:rsid w:val="000C15EC"/>
    <w:rsid w:val="000C187B"/>
    <w:rsid w:val="000D1863"/>
    <w:rsid w:val="000E5CDF"/>
    <w:rsid w:val="00106B19"/>
    <w:rsid w:val="00147A7E"/>
    <w:rsid w:val="001945DC"/>
    <w:rsid w:val="001D763B"/>
    <w:rsid w:val="001E0760"/>
    <w:rsid w:val="001E2AAF"/>
    <w:rsid w:val="001F5068"/>
    <w:rsid w:val="001F5438"/>
    <w:rsid w:val="00210B3A"/>
    <w:rsid w:val="002150F6"/>
    <w:rsid w:val="00226FB8"/>
    <w:rsid w:val="0023253C"/>
    <w:rsid w:val="002550D2"/>
    <w:rsid w:val="00284BBC"/>
    <w:rsid w:val="002A726A"/>
    <w:rsid w:val="002B35F1"/>
    <w:rsid w:val="002B5B40"/>
    <w:rsid w:val="002D3B93"/>
    <w:rsid w:val="002F03EE"/>
    <w:rsid w:val="002F3FE2"/>
    <w:rsid w:val="003445E8"/>
    <w:rsid w:val="00345281"/>
    <w:rsid w:val="00354A98"/>
    <w:rsid w:val="00361A25"/>
    <w:rsid w:val="00380D09"/>
    <w:rsid w:val="003A09E7"/>
    <w:rsid w:val="003B4D05"/>
    <w:rsid w:val="003C54BD"/>
    <w:rsid w:val="003F6AF0"/>
    <w:rsid w:val="00450565"/>
    <w:rsid w:val="00470EBF"/>
    <w:rsid w:val="00487C8E"/>
    <w:rsid w:val="004D3CF8"/>
    <w:rsid w:val="00500893"/>
    <w:rsid w:val="00510FA8"/>
    <w:rsid w:val="00511C73"/>
    <w:rsid w:val="0051461A"/>
    <w:rsid w:val="00521579"/>
    <w:rsid w:val="0053589C"/>
    <w:rsid w:val="00535EE6"/>
    <w:rsid w:val="00554A26"/>
    <w:rsid w:val="00565439"/>
    <w:rsid w:val="00566ADF"/>
    <w:rsid w:val="00571A48"/>
    <w:rsid w:val="00596A2D"/>
    <w:rsid w:val="005B30A6"/>
    <w:rsid w:val="005B55F0"/>
    <w:rsid w:val="005B684D"/>
    <w:rsid w:val="005D7733"/>
    <w:rsid w:val="005E01B3"/>
    <w:rsid w:val="00600E55"/>
    <w:rsid w:val="00620ADD"/>
    <w:rsid w:val="006409A8"/>
    <w:rsid w:val="006462F0"/>
    <w:rsid w:val="006A6ABB"/>
    <w:rsid w:val="006C13A1"/>
    <w:rsid w:val="006E1D4C"/>
    <w:rsid w:val="0070083E"/>
    <w:rsid w:val="007014D4"/>
    <w:rsid w:val="00714852"/>
    <w:rsid w:val="00714987"/>
    <w:rsid w:val="007371AE"/>
    <w:rsid w:val="00771007"/>
    <w:rsid w:val="00772C06"/>
    <w:rsid w:val="00784FBF"/>
    <w:rsid w:val="007A3103"/>
    <w:rsid w:val="007B5AF3"/>
    <w:rsid w:val="007B7D06"/>
    <w:rsid w:val="007C5581"/>
    <w:rsid w:val="007C7F9A"/>
    <w:rsid w:val="00803E09"/>
    <w:rsid w:val="00804508"/>
    <w:rsid w:val="00882D56"/>
    <w:rsid w:val="0088370E"/>
    <w:rsid w:val="00884E5A"/>
    <w:rsid w:val="008863DB"/>
    <w:rsid w:val="008B74CC"/>
    <w:rsid w:val="00932C49"/>
    <w:rsid w:val="009515A5"/>
    <w:rsid w:val="009741BD"/>
    <w:rsid w:val="00974623"/>
    <w:rsid w:val="009801D5"/>
    <w:rsid w:val="00996381"/>
    <w:rsid w:val="009A6A15"/>
    <w:rsid w:val="009C6F9D"/>
    <w:rsid w:val="009E35A8"/>
    <w:rsid w:val="00A26E78"/>
    <w:rsid w:val="00A3251E"/>
    <w:rsid w:val="00A32D7E"/>
    <w:rsid w:val="00A63E2E"/>
    <w:rsid w:val="00A65FB2"/>
    <w:rsid w:val="00A804B4"/>
    <w:rsid w:val="00A865A6"/>
    <w:rsid w:val="00A935D3"/>
    <w:rsid w:val="00AC2EEF"/>
    <w:rsid w:val="00AC7A3E"/>
    <w:rsid w:val="00AD0487"/>
    <w:rsid w:val="00AF12CE"/>
    <w:rsid w:val="00B062EC"/>
    <w:rsid w:val="00B16D60"/>
    <w:rsid w:val="00B4012B"/>
    <w:rsid w:val="00B62171"/>
    <w:rsid w:val="00B80E54"/>
    <w:rsid w:val="00B83F76"/>
    <w:rsid w:val="00BA11CE"/>
    <w:rsid w:val="00BD207A"/>
    <w:rsid w:val="00BD4E82"/>
    <w:rsid w:val="00BE206D"/>
    <w:rsid w:val="00BF4F51"/>
    <w:rsid w:val="00C017A6"/>
    <w:rsid w:val="00C51EA1"/>
    <w:rsid w:val="00CB130B"/>
    <w:rsid w:val="00CB7BDD"/>
    <w:rsid w:val="00CF0FAA"/>
    <w:rsid w:val="00D21D78"/>
    <w:rsid w:val="00D531BC"/>
    <w:rsid w:val="00DA6B35"/>
    <w:rsid w:val="00DB4118"/>
    <w:rsid w:val="00DB63C9"/>
    <w:rsid w:val="00DF5489"/>
    <w:rsid w:val="00E100F4"/>
    <w:rsid w:val="00E132F6"/>
    <w:rsid w:val="00E62946"/>
    <w:rsid w:val="00E66F53"/>
    <w:rsid w:val="00E82F9F"/>
    <w:rsid w:val="00E91949"/>
    <w:rsid w:val="00E92620"/>
    <w:rsid w:val="00E96166"/>
    <w:rsid w:val="00EA69B2"/>
    <w:rsid w:val="00F25F41"/>
    <w:rsid w:val="00F3677E"/>
    <w:rsid w:val="00F370F3"/>
    <w:rsid w:val="00F64320"/>
    <w:rsid w:val="00FE4DE1"/>
    <w:rsid w:val="00FF5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16AEE4"/>
  <w15:chartTrackingRefBased/>
  <w15:docId w15:val="{DEBFCBB9-0079-49C9-9261-6E4392D5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2EC"/>
    <w:pPr>
      <w:spacing w:after="0" w:line="360" w:lineRule="auto"/>
      <w:jc w:val="both"/>
    </w:pPr>
    <w:rPr>
      <w:rFonts w:ascii="Times New Roman" w:hAnsi="Times New Roman"/>
      <w:sz w:val="24"/>
    </w:rPr>
  </w:style>
  <w:style w:type="paragraph" w:styleId="Titre1">
    <w:name w:val="heading 1"/>
    <w:basedOn w:val="Normal"/>
    <w:next w:val="Normal"/>
    <w:link w:val="Titre1Car"/>
    <w:autoRedefine/>
    <w:uiPriority w:val="9"/>
    <w:qFormat/>
    <w:rsid w:val="00B062EC"/>
    <w:pPr>
      <w:keepNext/>
      <w:keepLines/>
      <w:outlineLvl w:val="0"/>
    </w:pPr>
    <w:rPr>
      <w:rFonts w:eastAsiaTheme="majorEastAsia" w:cstheme="majorBidi"/>
      <w:b/>
      <w:szCs w:val="32"/>
    </w:rPr>
  </w:style>
  <w:style w:type="paragraph" w:styleId="Titre2">
    <w:name w:val="heading 2"/>
    <w:basedOn w:val="Normal"/>
    <w:next w:val="Normal"/>
    <w:link w:val="Titre2Car"/>
    <w:autoRedefine/>
    <w:uiPriority w:val="9"/>
    <w:unhideWhenUsed/>
    <w:qFormat/>
    <w:rsid w:val="00565439"/>
    <w:pPr>
      <w:keepNext/>
      <w:keepLines/>
      <w:outlineLvl w:val="1"/>
    </w:pPr>
    <w:rPr>
      <w:rFonts w:eastAsiaTheme="majorEastAsia" w:cstheme="majorBidi"/>
      <w:b/>
      <w:szCs w:val="26"/>
    </w:rPr>
  </w:style>
  <w:style w:type="paragraph" w:styleId="Titre3">
    <w:name w:val="heading 3"/>
    <w:basedOn w:val="Normal"/>
    <w:next w:val="Normal"/>
    <w:link w:val="Titre3Car"/>
    <w:autoRedefine/>
    <w:uiPriority w:val="9"/>
    <w:semiHidden/>
    <w:unhideWhenUsed/>
    <w:qFormat/>
    <w:rsid w:val="00147A7E"/>
    <w:pPr>
      <w:keepNext/>
      <w:keepLines/>
      <w:outlineLvl w:val="2"/>
    </w:pPr>
    <w:rPr>
      <w:rFonts w:eastAsiaTheme="majorEastAsia" w:cstheme="majorBidi"/>
      <w:b/>
      <w:szCs w:val="24"/>
    </w:rPr>
  </w:style>
  <w:style w:type="paragraph" w:styleId="Titre6">
    <w:name w:val="heading 6"/>
    <w:basedOn w:val="Normal"/>
    <w:next w:val="Normal"/>
    <w:link w:val="Titre6Car"/>
    <w:uiPriority w:val="9"/>
    <w:semiHidden/>
    <w:unhideWhenUsed/>
    <w:qFormat/>
    <w:rsid w:val="0053589C"/>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62EC"/>
    <w:rPr>
      <w:rFonts w:ascii="Times New Roman" w:eastAsiaTheme="majorEastAsia" w:hAnsi="Times New Roman" w:cstheme="majorBidi"/>
      <w:b/>
      <w:sz w:val="24"/>
      <w:szCs w:val="32"/>
    </w:rPr>
  </w:style>
  <w:style w:type="character" w:customStyle="1" w:styleId="Titre2Car">
    <w:name w:val="Titre 2 Car"/>
    <w:basedOn w:val="Policepardfaut"/>
    <w:link w:val="Titre2"/>
    <w:uiPriority w:val="9"/>
    <w:rsid w:val="00565439"/>
    <w:rPr>
      <w:rFonts w:ascii="Times New Roman" w:eastAsiaTheme="majorEastAsia" w:hAnsi="Times New Roman" w:cstheme="majorBidi"/>
      <w:b/>
      <w:sz w:val="24"/>
      <w:szCs w:val="26"/>
    </w:rPr>
  </w:style>
  <w:style w:type="paragraph" w:styleId="Titre">
    <w:name w:val="Title"/>
    <w:aliases w:val="Titre atrois"/>
    <w:basedOn w:val="Normal"/>
    <w:next w:val="Normal"/>
    <w:link w:val="TitreCar"/>
    <w:autoRedefine/>
    <w:uiPriority w:val="10"/>
    <w:qFormat/>
    <w:rsid w:val="00B062EC"/>
    <w:pPr>
      <w:contextualSpacing/>
    </w:pPr>
    <w:rPr>
      <w:rFonts w:eastAsiaTheme="majorEastAsia" w:cstheme="majorBidi"/>
      <w:b/>
      <w:spacing w:val="-10"/>
      <w:kern w:val="28"/>
      <w:szCs w:val="56"/>
    </w:rPr>
  </w:style>
  <w:style w:type="character" w:customStyle="1" w:styleId="TitreCar">
    <w:name w:val="Titre Car"/>
    <w:aliases w:val="Titre atrois Car"/>
    <w:basedOn w:val="Policepardfaut"/>
    <w:link w:val="Titre"/>
    <w:uiPriority w:val="10"/>
    <w:rsid w:val="00B062EC"/>
    <w:rPr>
      <w:rFonts w:ascii="Times New Roman" w:eastAsiaTheme="majorEastAsia" w:hAnsi="Times New Roman" w:cstheme="majorBidi"/>
      <w:b/>
      <w:spacing w:val="-10"/>
      <w:kern w:val="28"/>
      <w:sz w:val="24"/>
      <w:szCs w:val="56"/>
    </w:rPr>
  </w:style>
  <w:style w:type="character" w:customStyle="1" w:styleId="Titre3Car">
    <w:name w:val="Titre 3 Car"/>
    <w:basedOn w:val="Policepardfaut"/>
    <w:link w:val="Titre3"/>
    <w:uiPriority w:val="9"/>
    <w:semiHidden/>
    <w:rsid w:val="00147A7E"/>
    <w:rPr>
      <w:rFonts w:ascii="Times New Roman" w:eastAsiaTheme="majorEastAsia" w:hAnsi="Times New Roman" w:cstheme="majorBidi"/>
      <w:b/>
      <w:sz w:val="24"/>
      <w:szCs w:val="24"/>
    </w:rPr>
  </w:style>
  <w:style w:type="paragraph" w:styleId="NormalWeb">
    <w:name w:val="Normal (Web)"/>
    <w:basedOn w:val="Normal"/>
    <w:uiPriority w:val="99"/>
    <w:semiHidden/>
    <w:unhideWhenUsed/>
    <w:rsid w:val="00354A98"/>
    <w:pPr>
      <w:spacing w:before="100" w:beforeAutospacing="1" w:after="100" w:afterAutospacing="1" w:line="240" w:lineRule="auto"/>
      <w:jc w:val="left"/>
    </w:pPr>
    <w:rPr>
      <w:rFonts w:eastAsia="Times New Roman" w:cs="Times New Roman"/>
      <w:szCs w:val="24"/>
      <w:lang w:eastAsia="fr-FR"/>
    </w:rPr>
  </w:style>
  <w:style w:type="paragraph" w:customStyle="1" w:styleId="ds-markdown-paragraph">
    <w:name w:val="ds-markdown-paragraph"/>
    <w:basedOn w:val="Normal"/>
    <w:rsid w:val="0023253C"/>
    <w:pPr>
      <w:spacing w:before="100" w:beforeAutospacing="1" w:after="100" w:afterAutospacing="1" w:line="240" w:lineRule="auto"/>
      <w:jc w:val="left"/>
    </w:pPr>
    <w:rPr>
      <w:rFonts w:eastAsia="Times New Roman" w:cs="Times New Roman"/>
      <w:szCs w:val="24"/>
      <w:lang w:eastAsia="fr-FR"/>
    </w:rPr>
  </w:style>
  <w:style w:type="paragraph" w:styleId="En-tte">
    <w:name w:val="header"/>
    <w:basedOn w:val="Normal"/>
    <w:link w:val="En-tteCar"/>
    <w:uiPriority w:val="99"/>
    <w:unhideWhenUsed/>
    <w:rsid w:val="00487C8E"/>
    <w:pPr>
      <w:tabs>
        <w:tab w:val="center" w:pos="4536"/>
        <w:tab w:val="right" w:pos="9072"/>
      </w:tabs>
      <w:spacing w:line="240" w:lineRule="auto"/>
    </w:pPr>
  </w:style>
  <w:style w:type="character" w:customStyle="1" w:styleId="En-tteCar">
    <w:name w:val="En-tête Car"/>
    <w:basedOn w:val="Policepardfaut"/>
    <w:link w:val="En-tte"/>
    <w:uiPriority w:val="99"/>
    <w:rsid w:val="00487C8E"/>
    <w:rPr>
      <w:rFonts w:ascii="Times New Roman" w:hAnsi="Times New Roman"/>
      <w:sz w:val="24"/>
    </w:rPr>
  </w:style>
  <w:style w:type="paragraph" w:styleId="Pieddepage">
    <w:name w:val="footer"/>
    <w:basedOn w:val="Normal"/>
    <w:link w:val="PieddepageCar"/>
    <w:uiPriority w:val="99"/>
    <w:unhideWhenUsed/>
    <w:rsid w:val="00487C8E"/>
    <w:pPr>
      <w:tabs>
        <w:tab w:val="center" w:pos="4536"/>
        <w:tab w:val="right" w:pos="9072"/>
      </w:tabs>
      <w:spacing w:line="240" w:lineRule="auto"/>
    </w:pPr>
  </w:style>
  <w:style w:type="character" w:customStyle="1" w:styleId="PieddepageCar">
    <w:name w:val="Pied de page Car"/>
    <w:basedOn w:val="Policepardfaut"/>
    <w:link w:val="Pieddepage"/>
    <w:uiPriority w:val="99"/>
    <w:rsid w:val="00487C8E"/>
    <w:rPr>
      <w:rFonts w:ascii="Times New Roman" w:hAnsi="Times New Roman"/>
      <w:sz w:val="24"/>
    </w:rPr>
  </w:style>
  <w:style w:type="character" w:customStyle="1" w:styleId="Titre6Car">
    <w:name w:val="Titre 6 Car"/>
    <w:basedOn w:val="Policepardfaut"/>
    <w:link w:val="Titre6"/>
    <w:uiPriority w:val="9"/>
    <w:semiHidden/>
    <w:rsid w:val="0053589C"/>
    <w:rPr>
      <w:rFonts w:asciiTheme="majorHAnsi" w:eastAsiaTheme="majorEastAsia" w:hAnsiTheme="majorHAnsi" w:cstheme="majorBidi"/>
      <w:color w:val="1F4D78" w:themeColor="accent1" w:themeShade="7F"/>
      <w:sz w:val="24"/>
    </w:rPr>
  </w:style>
  <w:style w:type="character" w:styleId="Lienhypertexte">
    <w:name w:val="Hyperlink"/>
    <w:basedOn w:val="Policepardfaut"/>
    <w:uiPriority w:val="99"/>
    <w:unhideWhenUsed/>
    <w:rsid w:val="007B5AF3"/>
    <w:rPr>
      <w:color w:val="0563C1" w:themeColor="hyperlink"/>
      <w:u w:val="single"/>
    </w:rPr>
  </w:style>
  <w:style w:type="character" w:customStyle="1" w:styleId="UnresolvedMention">
    <w:name w:val="Unresolved Mention"/>
    <w:basedOn w:val="Policepardfaut"/>
    <w:uiPriority w:val="99"/>
    <w:semiHidden/>
    <w:unhideWhenUsed/>
    <w:rsid w:val="007B5AF3"/>
    <w:rPr>
      <w:color w:val="605E5C"/>
      <w:shd w:val="clear" w:color="auto" w:fill="E1DFDD"/>
    </w:rPr>
  </w:style>
  <w:style w:type="paragraph" w:styleId="Paragraphedeliste">
    <w:name w:val="List Paragraph"/>
    <w:basedOn w:val="Normal"/>
    <w:uiPriority w:val="34"/>
    <w:qFormat/>
    <w:rsid w:val="006C1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377">
      <w:bodyDiv w:val="1"/>
      <w:marLeft w:val="0"/>
      <w:marRight w:val="0"/>
      <w:marTop w:val="0"/>
      <w:marBottom w:val="0"/>
      <w:divBdr>
        <w:top w:val="none" w:sz="0" w:space="0" w:color="auto"/>
        <w:left w:val="none" w:sz="0" w:space="0" w:color="auto"/>
        <w:bottom w:val="none" w:sz="0" w:space="0" w:color="auto"/>
        <w:right w:val="none" w:sz="0" w:space="0" w:color="auto"/>
      </w:divBdr>
    </w:div>
    <w:div w:id="588273027">
      <w:bodyDiv w:val="1"/>
      <w:marLeft w:val="0"/>
      <w:marRight w:val="0"/>
      <w:marTop w:val="0"/>
      <w:marBottom w:val="0"/>
      <w:divBdr>
        <w:top w:val="none" w:sz="0" w:space="0" w:color="auto"/>
        <w:left w:val="none" w:sz="0" w:space="0" w:color="auto"/>
        <w:bottom w:val="none" w:sz="0" w:space="0" w:color="auto"/>
        <w:right w:val="none" w:sz="0" w:space="0" w:color="auto"/>
      </w:divBdr>
    </w:div>
    <w:div w:id="636497277">
      <w:bodyDiv w:val="1"/>
      <w:marLeft w:val="0"/>
      <w:marRight w:val="0"/>
      <w:marTop w:val="0"/>
      <w:marBottom w:val="0"/>
      <w:divBdr>
        <w:top w:val="none" w:sz="0" w:space="0" w:color="auto"/>
        <w:left w:val="none" w:sz="0" w:space="0" w:color="auto"/>
        <w:bottom w:val="none" w:sz="0" w:space="0" w:color="auto"/>
        <w:right w:val="none" w:sz="0" w:space="0" w:color="auto"/>
      </w:divBdr>
    </w:div>
    <w:div w:id="763961838">
      <w:bodyDiv w:val="1"/>
      <w:marLeft w:val="0"/>
      <w:marRight w:val="0"/>
      <w:marTop w:val="0"/>
      <w:marBottom w:val="0"/>
      <w:divBdr>
        <w:top w:val="none" w:sz="0" w:space="0" w:color="auto"/>
        <w:left w:val="none" w:sz="0" w:space="0" w:color="auto"/>
        <w:bottom w:val="none" w:sz="0" w:space="0" w:color="auto"/>
        <w:right w:val="none" w:sz="0" w:space="0" w:color="auto"/>
      </w:divBdr>
      <w:divsChild>
        <w:div w:id="555170331">
          <w:marLeft w:val="0"/>
          <w:marRight w:val="0"/>
          <w:marTop w:val="0"/>
          <w:marBottom w:val="0"/>
          <w:divBdr>
            <w:top w:val="none" w:sz="0" w:space="0" w:color="auto"/>
            <w:left w:val="none" w:sz="0" w:space="0" w:color="auto"/>
            <w:bottom w:val="none" w:sz="0" w:space="0" w:color="auto"/>
            <w:right w:val="none" w:sz="0" w:space="0" w:color="auto"/>
          </w:divBdr>
        </w:div>
      </w:divsChild>
    </w:div>
    <w:div w:id="907617884">
      <w:bodyDiv w:val="1"/>
      <w:marLeft w:val="0"/>
      <w:marRight w:val="0"/>
      <w:marTop w:val="0"/>
      <w:marBottom w:val="0"/>
      <w:divBdr>
        <w:top w:val="none" w:sz="0" w:space="0" w:color="auto"/>
        <w:left w:val="none" w:sz="0" w:space="0" w:color="auto"/>
        <w:bottom w:val="none" w:sz="0" w:space="0" w:color="auto"/>
        <w:right w:val="none" w:sz="0" w:space="0" w:color="auto"/>
      </w:divBdr>
      <w:divsChild>
        <w:div w:id="1415273433">
          <w:marLeft w:val="0"/>
          <w:marRight w:val="0"/>
          <w:marTop w:val="0"/>
          <w:marBottom w:val="0"/>
          <w:divBdr>
            <w:top w:val="none" w:sz="0" w:space="0" w:color="auto"/>
            <w:left w:val="none" w:sz="0" w:space="0" w:color="auto"/>
            <w:bottom w:val="none" w:sz="0" w:space="0" w:color="auto"/>
            <w:right w:val="none" w:sz="0" w:space="0" w:color="auto"/>
          </w:divBdr>
        </w:div>
      </w:divsChild>
    </w:div>
    <w:div w:id="1056928011">
      <w:bodyDiv w:val="1"/>
      <w:marLeft w:val="0"/>
      <w:marRight w:val="0"/>
      <w:marTop w:val="0"/>
      <w:marBottom w:val="0"/>
      <w:divBdr>
        <w:top w:val="none" w:sz="0" w:space="0" w:color="auto"/>
        <w:left w:val="none" w:sz="0" w:space="0" w:color="auto"/>
        <w:bottom w:val="none" w:sz="0" w:space="0" w:color="auto"/>
        <w:right w:val="none" w:sz="0" w:space="0" w:color="auto"/>
      </w:divBdr>
    </w:div>
    <w:div w:id="1113743228">
      <w:bodyDiv w:val="1"/>
      <w:marLeft w:val="0"/>
      <w:marRight w:val="0"/>
      <w:marTop w:val="0"/>
      <w:marBottom w:val="0"/>
      <w:divBdr>
        <w:top w:val="none" w:sz="0" w:space="0" w:color="auto"/>
        <w:left w:val="none" w:sz="0" w:space="0" w:color="auto"/>
        <w:bottom w:val="none" w:sz="0" w:space="0" w:color="auto"/>
        <w:right w:val="none" w:sz="0" w:space="0" w:color="auto"/>
      </w:divBdr>
      <w:divsChild>
        <w:div w:id="1550529761">
          <w:marLeft w:val="0"/>
          <w:marRight w:val="0"/>
          <w:marTop w:val="0"/>
          <w:marBottom w:val="0"/>
          <w:divBdr>
            <w:top w:val="none" w:sz="0" w:space="0" w:color="auto"/>
            <w:left w:val="none" w:sz="0" w:space="0" w:color="auto"/>
            <w:bottom w:val="none" w:sz="0" w:space="0" w:color="auto"/>
            <w:right w:val="none" w:sz="0" w:space="0" w:color="auto"/>
          </w:divBdr>
        </w:div>
      </w:divsChild>
    </w:div>
    <w:div w:id="1134059177">
      <w:bodyDiv w:val="1"/>
      <w:marLeft w:val="0"/>
      <w:marRight w:val="0"/>
      <w:marTop w:val="0"/>
      <w:marBottom w:val="0"/>
      <w:divBdr>
        <w:top w:val="none" w:sz="0" w:space="0" w:color="auto"/>
        <w:left w:val="none" w:sz="0" w:space="0" w:color="auto"/>
        <w:bottom w:val="none" w:sz="0" w:space="0" w:color="auto"/>
        <w:right w:val="none" w:sz="0" w:space="0" w:color="auto"/>
      </w:divBdr>
      <w:divsChild>
        <w:div w:id="640959568">
          <w:marLeft w:val="0"/>
          <w:marRight w:val="0"/>
          <w:marTop w:val="0"/>
          <w:marBottom w:val="0"/>
          <w:divBdr>
            <w:top w:val="none" w:sz="0" w:space="0" w:color="auto"/>
            <w:left w:val="none" w:sz="0" w:space="0" w:color="auto"/>
            <w:bottom w:val="none" w:sz="0" w:space="0" w:color="auto"/>
            <w:right w:val="none" w:sz="0" w:space="0" w:color="auto"/>
          </w:divBdr>
          <w:divsChild>
            <w:div w:id="2062172409">
              <w:marLeft w:val="0"/>
              <w:marRight w:val="0"/>
              <w:marTop w:val="0"/>
              <w:marBottom w:val="0"/>
              <w:divBdr>
                <w:top w:val="none" w:sz="0" w:space="0" w:color="auto"/>
                <w:left w:val="none" w:sz="0" w:space="0" w:color="auto"/>
                <w:bottom w:val="none" w:sz="0" w:space="0" w:color="auto"/>
                <w:right w:val="none" w:sz="0" w:space="0" w:color="auto"/>
              </w:divBdr>
              <w:divsChild>
                <w:div w:id="1590693412">
                  <w:marLeft w:val="0"/>
                  <w:marRight w:val="0"/>
                  <w:marTop w:val="0"/>
                  <w:marBottom w:val="0"/>
                  <w:divBdr>
                    <w:top w:val="none" w:sz="0" w:space="0" w:color="auto"/>
                    <w:left w:val="none" w:sz="0" w:space="0" w:color="auto"/>
                    <w:bottom w:val="none" w:sz="0" w:space="0" w:color="auto"/>
                    <w:right w:val="none" w:sz="0" w:space="0" w:color="auto"/>
                  </w:divBdr>
                  <w:divsChild>
                    <w:div w:id="412313052">
                      <w:marLeft w:val="0"/>
                      <w:marRight w:val="0"/>
                      <w:marTop w:val="0"/>
                      <w:marBottom w:val="0"/>
                      <w:divBdr>
                        <w:top w:val="none" w:sz="0" w:space="0" w:color="auto"/>
                        <w:left w:val="none" w:sz="0" w:space="0" w:color="auto"/>
                        <w:bottom w:val="none" w:sz="0" w:space="0" w:color="auto"/>
                        <w:right w:val="none" w:sz="0" w:space="0" w:color="auto"/>
                      </w:divBdr>
                      <w:divsChild>
                        <w:div w:id="1529489378">
                          <w:marLeft w:val="0"/>
                          <w:marRight w:val="0"/>
                          <w:marTop w:val="0"/>
                          <w:marBottom w:val="0"/>
                          <w:divBdr>
                            <w:top w:val="none" w:sz="0" w:space="0" w:color="auto"/>
                            <w:left w:val="none" w:sz="0" w:space="0" w:color="auto"/>
                            <w:bottom w:val="none" w:sz="0" w:space="0" w:color="auto"/>
                            <w:right w:val="none" w:sz="0" w:space="0" w:color="auto"/>
                          </w:divBdr>
                          <w:divsChild>
                            <w:div w:id="904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932350">
      <w:bodyDiv w:val="1"/>
      <w:marLeft w:val="0"/>
      <w:marRight w:val="0"/>
      <w:marTop w:val="0"/>
      <w:marBottom w:val="0"/>
      <w:divBdr>
        <w:top w:val="none" w:sz="0" w:space="0" w:color="auto"/>
        <w:left w:val="none" w:sz="0" w:space="0" w:color="auto"/>
        <w:bottom w:val="none" w:sz="0" w:space="0" w:color="auto"/>
        <w:right w:val="none" w:sz="0" w:space="0" w:color="auto"/>
      </w:divBdr>
    </w:div>
    <w:div w:id="21388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2F798-604F-46C6-A5F9-AEBD194A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16</Pages>
  <Words>6154</Words>
  <Characters>33848</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Mk</dc:creator>
  <cp:keywords/>
  <dc:description/>
  <cp:lastModifiedBy>Arsen Mk</cp:lastModifiedBy>
  <cp:revision>107</cp:revision>
  <dcterms:created xsi:type="dcterms:W3CDTF">2025-08-12T16:49:00Z</dcterms:created>
  <dcterms:modified xsi:type="dcterms:W3CDTF">2025-09-19T22:20:00Z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ebd7e9f9-96fa-4774-b6d0-0ab7bdf4897d</vt:lpwstr>
  </property>
</Properties>
</file>