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849E" w14:textId="7D8DACA3" w:rsidR="00754C9A" w:rsidRDefault="00B96267" w:rsidP="00441B6F">
      <w:pPr>
        <w:pStyle w:val="Title"/>
        <w:spacing w:after="0"/>
        <w:jc w:val="both"/>
        <w:rPr>
          <w:rFonts w:ascii="Arial" w:hAnsi="Arial" w:cs="Arial"/>
        </w:rPr>
      </w:pPr>
      <w:r w:rsidRPr="00B96267">
        <w:rPr>
          <w:rFonts w:ascii="Arial" w:hAnsi="Arial" w:cs="Arial"/>
        </w:rPr>
        <w:t>Original Research Article</w:t>
      </w:r>
    </w:p>
    <w:p w14:paraId="5F490B01" w14:textId="77777777" w:rsidR="00B96267" w:rsidRDefault="00B96267" w:rsidP="00441B6F">
      <w:pPr>
        <w:pStyle w:val="Title"/>
        <w:spacing w:after="0"/>
        <w:jc w:val="both"/>
        <w:rPr>
          <w:rFonts w:ascii="Arial" w:hAnsi="Arial" w:cs="Arial"/>
        </w:rPr>
      </w:pPr>
    </w:p>
    <w:p w14:paraId="066D4979" w14:textId="77777777" w:rsidR="00B96267" w:rsidRDefault="00B96267" w:rsidP="00441B6F">
      <w:pPr>
        <w:pStyle w:val="Title"/>
        <w:spacing w:after="0"/>
        <w:jc w:val="both"/>
        <w:rPr>
          <w:rFonts w:ascii="Arial" w:hAnsi="Arial" w:cs="Arial"/>
        </w:rPr>
      </w:pPr>
    </w:p>
    <w:p w14:paraId="5DA59CBB" w14:textId="6E4CD5E1" w:rsidR="00163BC4" w:rsidRPr="00163BC4" w:rsidRDefault="00F05A84" w:rsidP="00441B6F">
      <w:pPr>
        <w:pStyle w:val="Author"/>
        <w:spacing w:line="240" w:lineRule="auto"/>
        <w:rPr>
          <w:rFonts w:ascii="Arial" w:hAnsi="Arial" w:cs="Arial"/>
          <w:bCs/>
          <w:iCs/>
          <w:kern w:val="28"/>
          <w:sz w:val="36"/>
        </w:rPr>
      </w:pPr>
      <w:r w:rsidRPr="00F05A84">
        <w:rPr>
          <w:rFonts w:ascii="Arial" w:hAnsi="Arial" w:cs="Arial"/>
          <w:bCs/>
          <w:iCs/>
          <w:kern w:val="28"/>
          <w:sz w:val="36"/>
        </w:rPr>
        <w:t xml:space="preserve">Determinants of Liquidity in Rural Banks </w:t>
      </w:r>
      <w:r>
        <w:rPr>
          <w:rFonts w:ascii="Arial" w:hAnsi="Arial" w:cs="Arial"/>
          <w:bCs/>
          <w:iCs/>
          <w:kern w:val="28"/>
          <w:sz w:val="36"/>
        </w:rPr>
        <w:t xml:space="preserve">(BPR) </w:t>
      </w:r>
      <w:r w:rsidRPr="00F05A84">
        <w:rPr>
          <w:rFonts w:ascii="Arial" w:hAnsi="Arial" w:cs="Arial"/>
          <w:bCs/>
          <w:iCs/>
          <w:kern w:val="28"/>
          <w:sz w:val="36"/>
        </w:rPr>
        <w:t>in East Java</w:t>
      </w:r>
      <w:r>
        <w:rPr>
          <w:rFonts w:ascii="Arial" w:hAnsi="Arial" w:cs="Arial"/>
          <w:bCs/>
          <w:iCs/>
          <w:kern w:val="28"/>
          <w:sz w:val="36"/>
        </w:rPr>
        <w:t>, Indonesia</w:t>
      </w:r>
      <w:r w:rsidR="00231920">
        <w:rPr>
          <w:rFonts w:ascii="Arial" w:hAnsi="Arial" w:cs="Arial"/>
          <w:bCs/>
          <w:iCs/>
          <w:kern w:val="28"/>
          <w:sz w:val="36"/>
        </w:rPr>
        <w:t xml:space="preserve"> </w:t>
      </w:r>
    </w:p>
    <w:p w14:paraId="357A8B2D" w14:textId="77777777" w:rsidR="00A258C3" w:rsidRPr="00790ADA" w:rsidRDefault="00A258C3" w:rsidP="00441B6F">
      <w:pPr>
        <w:pStyle w:val="Author"/>
        <w:spacing w:line="240" w:lineRule="auto"/>
        <w:jc w:val="both"/>
        <w:rPr>
          <w:rFonts w:ascii="Arial" w:hAnsi="Arial" w:cs="Arial"/>
          <w:sz w:val="36"/>
        </w:rPr>
      </w:pPr>
    </w:p>
    <w:p w14:paraId="054CB288" w14:textId="77777777" w:rsidR="00790ADA" w:rsidRDefault="00790ADA" w:rsidP="00441B6F">
      <w:pPr>
        <w:pStyle w:val="Affiliation"/>
        <w:spacing w:after="0" w:line="240" w:lineRule="auto"/>
        <w:jc w:val="both"/>
        <w:rPr>
          <w:rFonts w:ascii="Arial" w:hAnsi="Arial" w:cs="Arial"/>
        </w:rPr>
      </w:pPr>
    </w:p>
    <w:p w14:paraId="6A69CD1E" w14:textId="77777777" w:rsidR="002C57D2" w:rsidRPr="00FB3A86" w:rsidRDefault="002C57D2" w:rsidP="00441B6F">
      <w:pPr>
        <w:pStyle w:val="Affiliation"/>
        <w:spacing w:after="0" w:line="240" w:lineRule="auto"/>
        <w:jc w:val="both"/>
        <w:rPr>
          <w:rFonts w:ascii="Arial" w:hAnsi="Arial" w:cs="Arial"/>
        </w:rPr>
      </w:pPr>
    </w:p>
    <w:p w14:paraId="77EEDD33" w14:textId="77777777" w:rsidR="00B01FCD" w:rsidRPr="00FB3A86" w:rsidRDefault="00B3393E" w:rsidP="00441B6F">
      <w:pPr>
        <w:pStyle w:val="Copyright"/>
        <w:spacing w:after="0" w:line="240" w:lineRule="auto"/>
        <w:jc w:val="both"/>
        <w:rPr>
          <w:rFonts w:ascii="Arial" w:hAnsi="Arial" w:cs="Arial"/>
        </w:rPr>
        <w:sectPr w:rsidR="00B01FCD" w:rsidRPr="00FB3A86" w:rsidSect="00C005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7C02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A8DD8C" w14:textId="40B9B9B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480C9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423F3A" w14:textId="77777777" w:rsidTr="001E44FE">
        <w:tc>
          <w:tcPr>
            <w:tcW w:w="9576" w:type="dxa"/>
            <w:shd w:val="clear" w:color="auto" w:fill="F2F2F2"/>
          </w:tcPr>
          <w:p w14:paraId="372FF7CD" w14:textId="742489B1" w:rsidR="00505F06" w:rsidRPr="00BA1B01" w:rsidRDefault="00F05A84" w:rsidP="00441B6F">
            <w:pPr>
              <w:pStyle w:val="Body"/>
              <w:spacing w:after="0"/>
              <w:rPr>
                <w:rFonts w:ascii="Arial" w:eastAsia="Calibri" w:hAnsi="Arial" w:cs="Arial"/>
                <w:szCs w:val="22"/>
              </w:rPr>
            </w:pPr>
            <w:r w:rsidRPr="00F05A84">
              <w:rPr>
                <w:rFonts w:ascii="Arial" w:eastAsia="Calibri" w:hAnsi="Arial" w:cs="Arial"/>
                <w:szCs w:val="22"/>
              </w:rPr>
              <w:t xml:space="preserve">This study determines the effect of CAR (Capital Adequacy Ratio), ROA (Return on Assets), LDR (Loan to Deposit Ratio), and firm size (SIZE) on the liquidity of </w:t>
            </w:r>
            <w:r>
              <w:rPr>
                <w:rFonts w:ascii="Arial" w:eastAsia="Calibri" w:hAnsi="Arial" w:cs="Arial"/>
                <w:szCs w:val="22"/>
              </w:rPr>
              <w:t>Rural Banks (</w:t>
            </w:r>
            <w:r w:rsidRPr="00F05A84">
              <w:rPr>
                <w:rFonts w:ascii="Arial" w:eastAsia="Calibri" w:hAnsi="Arial" w:cs="Arial"/>
                <w:szCs w:val="22"/>
              </w:rPr>
              <w:t>BPR). Furthermore, the study applies quantitatively. The data collection technique used was purposive sampling, in which the sample was based on the criteria given and was representative. In line with that, 27 BPRs in East Java province were chosen as samples. Moreover, the data were secondary in the form of financial reports that were published and accessed by the public through the official website of the Financial Service Authority (OJK) during 2022-2024. Additionally, the data analysis technique used was multiple linear regression with SPSS version 22. The result indicates that CAR and ROA have a positive and significant effect on liquidity. However, LDR and firm size (SIZE) has an insignificant effect on liquidity. Additionally, the result of the determination coefficient (R</w:t>
            </w:r>
            <w:r w:rsidRPr="00F05A84">
              <w:rPr>
                <w:rFonts w:ascii="Arial" w:eastAsia="Calibri" w:hAnsi="Arial" w:cs="Arial"/>
                <w:szCs w:val="22"/>
                <w:vertAlign w:val="superscript"/>
              </w:rPr>
              <w:t>2</w:t>
            </w:r>
            <w:r w:rsidRPr="00F05A84">
              <w:rPr>
                <w:rFonts w:ascii="Arial" w:eastAsia="Calibri" w:hAnsi="Arial" w:cs="Arial"/>
                <w:szCs w:val="22"/>
              </w:rPr>
              <w:t>) is 0.482 which shows that 48.2% of liquidity is affected by independent variables (CAR, ROA, LDR, and SIZE). For the rest, liquidity is affected by other variables or factors.</w:t>
            </w:r>
          </w:p>
        </w:tc>
      </w:tr>
    </w:tbl>
    <w:p w14:paraId="7680600B" w14:textId="77777777" w:rsidR="00636EB2" w:rsidRDefault="00636EB2" w:rsidP="00441B6F">
      <w:pPr>
        <w:pStyle w:val="Body"/>
        <w:spacing w:after="0"/>
        <w:rPr>
          <w:rFonts w:ascii="Arial" w:hAnsi="Arial" w:cs="Arial"/>
          <w:i/>
        </w:rPr>
      </w:pPr>
    </w:p>
    <w:p w14:paraId="35F18D3E" w14:textId="48C0C6CC" w:rsidR="00BA76EC" w:rsidRDefault="00A24E7E" w:rsidP="00BA76EC">
      <w:pPr>
        <w:pStyle w:val="Body"/>
        <w:spacing w:after="0"/>
        <w:rPr>
          <w:rFonts w:ascii="Arial" w:hAnsi="Arial" w:cs="Arial"/>
          <w:i/>
          <w:sz w:val="18"/>
        </w:rPr>
      </w:pPr>
      <w:r>
        <w:rPr>
          <w:rFonts w:ascii="Arial" w:hAnsi="Arial" w:cs="Arial"/>
          <w:i/>
        </w:rPr>
        <w:t>Keywords:</w:t>
      </w:r>
      <w:r w:rsidR="00BA76EC">
        <w:rPr>
          <w:rFonts w:ascii="Arial" w:hAnsi="Arial" w:cs="Arial"/>
          <w:i/>
        </w:rPr>
        <w:t xml:space="preserve"> </w:t>
      </w:r>
      <w:r w:rsidR="00F05A84" w:rsidRPr="00F05A84">
        <w:rPr>
          <w:rFonts w:ascii="Arial" w:hAnsi="Arial" w:cs="Arial"/>
          <w:i/>
        </w:rPr>
        <w:t>Liquidity, CAR, ROA, LDR, SIZE</w:t>
      </w:r>
    </w:p>
    <w:p w14:paraId="71BCC838" w14:textId="745066B7" w:rsidR="00B52896" w:rsidRDefault="00B52896" w:rsidP="00441B6F">
      <w:pPr>
        <w:pStyle w:val="Body"/>
        <w:spacing w:after="0"/>
        <w:rPr>
          <w:rFonts w:ascii="Arial" w:hAnsi="Arial" w:cs="Arial"/>
          <w:i/>
          <w:sz w:val="18"/>
        </w:rPr>
      </w:pPr>
    </w:p>
    <w:p w14:paraId="725A0ECB" w14:textId="77777777" w:rsidR="0024282C" w:rsidRDefault="0024282C" w:rsidP="00441B6F">
      <w:pPr>
        <w:pStyle w:val="Body"/>
        <w:spacing w:after="0"/>
        <w:rPr>
          <w:rFonts w:ascii="Arial" w:hAnsi="Arial" w:cs="Arial"/>
          <w:i/>
          <w:sz w:val="18"/>
        </w:rPr>
      </w:pPr>
    </w:p>
    <w:p w14:paraId="03F664BB" w14:textId="77777777" w:rsidR="00505F06" w:rsidRPr="00A24E7E" w:rsidRDefault="00505F06" w:rsidP="00441B6F">
      <w:pPr>
        <w:pStyle w:val="Body"/>
        <w:spacing w:after="0"/>
        <w:rPr>
          <w:rFonts w:ascii="Arial" w:hAnsi="Arial" w:cs="Arial"/>
          <w:i/>
        </w:rPr>
      </w:pPr>
    </w:p>
    <w:p w14:paraId="1E830B77" w14:textId="1279733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45B8A2E" w14:textId="77777777" w:rsidR="00790ADA" w:rsidRPr="00FB3A86" w:rsidRDefault="00790ADA" w:rsidP="00441B6F">
      <w:pPr>
        <w:pStyle w:val="AbstHead"/>
        <w:spacing w:after="0"/>
        <w:jc w:val="both"/>
        <w:rPr>
          <w:rFonts w:ascii="Arial" w:hAnsi="Arial" w:cs="Arial"/>
        </w:rPr>
      </w:pPr>
    </w:p>
    <w:p w14:paraId="13AF7E85" w14:textId="61ACCAEC" w:rsidR="00BA76EC" w:rsidRDefault="00F05A84" w:rsidP="00E3536B">
      <w:pPr>
        <w:pStyle w:val="Body"/>
        <w:spacing w:after="0"/>
        <w:rPr>
          <w:rFonts w:ascii="Arial" w:hAnsi="Arial" w:cs="Arial"/>
        </w:rPr>
      </w:pPr>
      <w:r w:rsidRPr="00F05A84">
        <w:rPr>
          <w:rFonts w:ascii="Arial" w:hAnsi="Arial" w:cs="Arial"/>
        </w:rPr>
        <w:t>The banking sector plays a crucial role as a financial intermediary in a country's economy,</w:t>
      </w:r>
      <w:r>
        <w:rPr>
          <w:rFonts w:ascii="Arial" w:hAnsi="Arial" w:cs="Arial"/>
        </w:rPr>
        <w:t xml:space="preserve"> </w:t>
      </w:r>
      <w:r w:rsidRPr="00F05A84">
        <w:rPr>
          <w:rFonts w:ascii="Arial" w:hAnsi="Arial" w:cs="Arial"/>
        </w:rPr>
        <w:t>and Indonesia is no exception. Rural banks (BPR) are specifically designed to serve the</w:t>
      </w:r>
      <w:r>
        <w:rPr>
          <w:rFonts w:ascii="Arial" w:hAnsi="Arial" w:cs="Arial"/>
        </w:rPr>
        <w:t xml:space="preserve"> </w:t>
      </w:r>
      <w:r w:rsidRPr="00F05A84">
        <w:rPr>
          <w:rFonts w:ascii="Arial" w:hAnsi="Arial" w:cs="Arial"/>
        </w:rPr>
        <w:t>micro, small, and medium enterprise (MSME) segment and communities in rural areas or</w:t>
      </w:r>
      <w:r>
        <w:rPr>
          <w:rFonts w:ascii="Arial" w:hAnsi="Arial" w:cs="Arial"/>
        </w:rPr>
        <w:t xml:space="preserve"> </w:t>
      </w:r>
      <w:r w:rsidRPr="00F05A84">
        <w:rPr>
          <w:rFonts w:ascii="Arial" w:hAnsi="Arial" w:cs="Arial"/>
        </w:rPr>
        <w:t>local communities that often have limited access to conventional commercial banking</w:t>
      </w:r>
      <w:r>
        <w:rPr>
          <w:rFonts w:ascii="Arial" w:hAnsi="Arial" w:cs="Arial"/>
        </w:rPr>
        <w:t xml:space="preserve"> </w:t>
      </w:r>
      <w:r w:rsidRPr="00F05A84">
        <w:rPr>
          <w:rFonts w:ascii="Arial" w:hAnsi="Arial" w:cs="Arial"/>
        </w:rPr>
        <w:t>services. The existence of BPRs not only supports financial inclusion but also drives the</w:t>
      </w:r>
      <w:r>
        <w:rPr>
          <w:rFonts w:ascii="Arial" w:hAnsi="Arial" w:cs="Arial"/>
        </w:rPr>
        <w:t xml:space="preserve"> </w:t>
      </w:r>
      <w:r w:rsidRPr="00F05A84">
        <w:rPr>
          <w:rFonts w:ascii="Arial" w:hAnsi="Arial" w:cs="Arial"/>
        </w:rPr>
        <w:t>local economy through the distribution of small-scale productive credit and strengthens the</w:t>
      </w:r>
      <w:r>
        <w:rPr>
          <w:rFonts w:ascii="Arial" w:hAnsi="Arial" w:cs="Arial"/>
        </w:rPr>
        <w:t xml:space="preserve"> </w:t>
      </w:r>
      <w:r w:rsidRPr="00F05A84">
        <w:rPr>
          <w:rFonts w:ascii="Arial" w:hAnsi="Arial" w:cs="Arial"/>
        </w:rPr>
        <w:t>local economic foundation by providing access to capital for small-scale productive</w:t>
      </w:r>
      <w:r>
        <w:rPr>
          <w:rFonts w:ascii="Arial" w:hAnsi="Arial" w:cs="Arial"/>
        </w:rPr>
        <w:t xml:space="preserve"> </w:t>
      </w:r>
      <w:r w:rsidRPr="00F05A84">
        <w:rPr>
          <w:rFonts w:ascii="Arial" w:hAnsi="Arial" w:cs="Arial"/>
        </w:rPr>
        <w:t>businesses</w:t>
      </w:r>
      <w:r w:rsidR="00E3536B">
        <w:rPr>
          <w:rFonts w:ascii="Arial" w:hAnsi="Arial" w:cs="Arial"/>
        </w:rPr>
        <w:t>.</w:t>
      </w:r>
    </w:p>
    <w:p w14:paraId="0C051E7E" w14:textId="77777777" w:rsidR="00E3536B" w:rsidRPr="00BA76EC" w:rsidRDefault="00E3536B" w:rsidP="00E3536B">
      <w:pPr>
        <w:pStyle w:val="Body"/>
        <w:spacing w:after="0"/>
        <w:rPr>
          <w:rFonts w:ascii="Arial" w:hAnsi="Arial" w:cs="Arial"/>
        </w:rPr>
      </w:pPr>
    </w:p>
    <w:p w14:paraId="66D0D828" w14:textId="18A2F355" w:rsidR="00BA76EC" w:rsidRDefault="00F05A84" w:rsidP="00E3536B">
      <w:pPr>
        <w:pStyle w:val="Body"/>
        <w:spacing w:after="0"/>
        <w:rPr>
          <w:rFonts w:ascii="Arial" w:hAnsi="Arial" w:cs="Arial"/>
        </w:rPr>
      </w:pPr>
      <w:r w:rsidRPr="00F05A84">
        <w:rPr>
          <w:rFonts w:ascii="Arial" w:hAnsi="Arial" w:cs="Arial"/>
        </w:rPr>
        <w:t>East Java Province, as one of the largest and most densely populated economic centers in</w:t>
      </w:r>
      <w:r>
        <w:rPr>
          <w:rFonts w:ascii="Arial" w:hAnsi="Arial" w:cs="Arial"/>
        </w:rPr>
        <w:t xml:space="preserve"> </w:t>
      </w:r>
      <w:r w:rsidRPr="00F05A84">
        <w:rPr>
          <w:rFonts w:ascii="Arial" w:hAnsi="Arial" w:cs="Arial"/>
        </w:rPr>
        <w:t>Indonesia, has a dynamic economy with a strong manufacturing, trade, service, and</w:t>
      </w:r>
      <w:r>
        <w:rPr>
          <w:rFonts w:ascii="Arial" w:hAnsi="Arial" w:cs="Arial"/>
        </w:rPr>
        <w:t xml:space="preserve"> </w:t>
      </w:r>
      <w:r w:rsidRPr="00F05A84">
        <w:rPr>
          <w:rFonts w:ascii="Arial" w:hAnsi="Arial" w:cs="Arial"/>
        </w:rPr>
        <w:t xml:space="preserve">agricultural base. This economic diversity and scale </w:t>
      </w:r>
      <w:r w:rsidR="00A05399" w:rsidRPr="00F05A84">
        <w:rPr>
          <w:rFonts w:ascii="Arial" w:hAnsi="Arial" w:cs="Arial"/>
        </w:rPr>
        <w:t>are</w:t>
      </w:r>
      <w:r w:rsidRPr="00F05A84">
        <w:rPr>
          <w:rFonts w:ascii="Arial" w:hAnsi="Arial" w:cs="Arial"/>
        </w:rPr>
        <w:t xml:space="preserve"> supported by MSME activities, which</w:t>
      </w:r>
      <w:r>
        <w:rPr>
          <w:rFonts w:ascii="Arial" w:hAnsi="Arial" w:cs="Arial"/>
        </w:rPr>
        <w:t xml:space="preserve"> </w:t>
      </w:r>
      <w:r w:rsidRPr="00F05A84">
        <w:rPr>
          <w:rFonts w:ascii="Arial" w:hAnsi="Arial" w:cs="Arial"/>
        </w:rPr>
        <w:t>are significant in number and contribution to the province's Gross Regional Domestic</w:t>
      </w:r>
      <w:r>
        <w:rPr>
          <w:rFonts w:ascii="Arial" w:hAnsi="Arial" w:cs="Arial"/>
        </w:rPr>
        <w:t xml:space="preserve"> </w:t>
      </w:r>
      <w:r w:rsidRPr="00F05A84">
        <w:rPr>
          <w:rFonts w:ascii="Arial" w:hAnsi="Arial" w:cs="Arial"/>
        </w:rPr>
        <w:t>Product (GRDP). In this context, the existence of BPRs in East Java is vital. With a large</w:t>
      </w:r>
      <w:r>
        <w:rPr>
          <w:rFonts w:ascii="Arial" w:hAnsi="Arial" w:cs="Arial"/>
        </w:rPr>
        <w:t xml:space="preserve"> </w:t>
      </w:r>
      <w:r w:rsidRPr="00F05A84">
        <w:rPr>
          <w:rFonts w:ascii="Arial" w:hAnsi="Arial" w:cs="Arial"/>
        </w:rPr>
        <w:t>number of BPRs spread across various regencies/cities, these institutions are strategic</w:t>
      </w:r>
      <w:r>
        <w:rPr>
          <w:rFonts w:ascii="Arial" w:hAnsi="Arial" w:cs="Arial"/>
        </w:rPr>
        <w:t xml:space="preserve"> </w:t>
      </w:r>
      <w:r w:rsidRPr="00F05A84">
        <w:rPr>
          <w:rFonts w:ascii="Arial" w:hAnsi="Arial" w:cs="Arial"/>
        </w:rPr>
        <w:t>partners for MSME development and local community economic empowerment in East Java.</w:t>
      </w:r>
      <w:r>
        <w:rPr>
          <w:rFonts w:ascii="Arial" w:hAnsi="Arial" w:cs="Arial"/>
        </w:rPr>
        <w:t xml:space="preserve"> </w:t>
      </w:r>
      <w:r w:rsidRPr="00F05A84">
        <w:rPr>
          <w:rFonts w:ascii="Arial" w:hAnsi="Arial" w:cs="Arial"/>
        </w:rPr>
        <w:t>Bank Indonesia Regulation Number 13/1/PBI/2011 stipulates a system for assessing the</w:t>
      </w:r>
      <w:r>
        <w:rPr>
          <w:rFonts w:ascii="Arial" w:hAnsi="Arial" w:cs="Arial"/>
        </w:rPr>
        <w:t xml:space="preserve"> </w:t>
      </w:r>
      <w:r w:rsidRPr="00F05A84">
        <w:rPr>
          <w:rFonts w:ascii="Arial" w:hAnsi="Arial" w:cs="Arial"/>
        </w:rPr>
        <w:lastRenderedPageBreak/>
        <w:t>health of commercial banks, which includes assessing the risk and performance of banks</w:t>
      </w:r>
      <w:r>
        <w:rPr>
          <w:rFonts w:ascii="Arial" w:hAnsi="Arial" w:cs="Arial"/>
        </w:rPr>
        <w:t xml:space="preserve"> </w:t>
      </w:r>
      <w:r w:rsidRPr="00F05A84">
        <w:rPr>
          <w:rFonts w:ascii="Arial" w:hAnsi="Arial" w:cs="Arial"/>
        </w:rPr>
        <w:t>individually and in consolidation. This assessment is carried out periodically and can be</w:t>
      </w:r>
      <w:r>
        <w:rPr>
          <w:rFonts w:ascii="Arial" w:hAnsi="Arial" w:cs="Arial"/>
        </w:rPr>
        <w:t xml:space="preserve"> </w:t>
      </w:r>
      <w:r w:rsidRPr="00F05A84">
        <w:rPr>
          <w:rFonts w:ascii="Arial" w:hAnsi="Arial" w:cs="Arial"/>
        </w:rPr>
        <w:t>updated at any time as needed. In this study, the Capital Adequacy Ratio (CAR) is used to</w:t>
      </w:r>
      <w:r>
        <w:rPr>
          <w:rFonts w:ascii="Arial" w:hAnsi="Arial" w:cs="Arial"/>
        </w:rPr>
        <w:t xml:space="preserve"> </w:t>
      </w:r>
      <w:r w:rsidRPr="00F05A84">
        <w:rPr>
          <w:rFonts w:ascii="Arial" w:hAnsi="Arial" w:cs="Arial"/>
        </w:rPr>
        <w:t>assess capital adequacy, the Loan to Deposit Ratio (LDR) is used to assess bank risk,</w:t>
      </w:r>
      <w:r>
        <w:rPr>
          <w:rFonts w:ascii="Arial" w:hAnsi="Arial" w:cs="Arial"/>
        </w:rPr>
        <w:t xml:space="preserve"> </w:t>
      </w:r>
      <w:r w:rsidRPr="00F05A84">
        <w:rPr>
          <w:rFonts w:ascii="Arial" w:hAnsi="Arial" w:cs="Arial"/>
        </w:rPr>
        <w:t xml:space="preserve">Return </w:t>
      </w:r>
      <w:r w:rsidR="00A05399" w:rsidRPr="00F05A84">
        <w:rPr>
          <w:rFonts w:ascii="Arial" w:hAnsi="Arial" w:cs="Arial"/>
        </w:rPr>
        <w:t>on</w:t>
      </w:r>
      <w:r w:rsidRPr="00F05A84">
        <w:rPr>
          <w:rFonts w:ascii="Arial" w:hAnsi="Arial" w:cs="Arial"/>
        </w:rPr>
        <w:t xml:space="preserve"> Assets (ROA) is used to assess profitability, and company size is used as a</w:t>
      </w:r>
      <w:r>
        <w:rPr>
          <w:rFonts w:ascii="Arial" w:hAnsi="Arial" w:cs="Arial"/>
        </w:rPr>
        <w:t xml:space="preserve"> </w:t>
      </w:r>
      <w:r w:rsidRPr="00F05A84">
        <w:rPr>
          <w:rFonts w:ascii="Arial" w:hAnsi="Arial" w:cs="Arial"/>
        </w:rPr>
        <w:t>special characteristic.</w:t>
      </w:r>
      <w:r w:rsidR="00BA76EC" w:rsidRPr="00BA76EC">
        <w:rPr>
          <w:rFonts w:ascii="Arial" w:hAnsi="Arial" w:cs="Arial"/>
        </w:rPr>
        <w:t xml:space="preserve"> </w:t>
      </w:r>
    </w:p>
    <w:p w14:paraId="40AA923B" w14:textId="77777777" w:rsidR="00E3536B" w:rsidRDefault="00E3536B" w:rsidP="00E3536B">
      <w:pPr>
        <w:pStyle w:val="Body"/>
        <w:spacing w:after="0"/>
        <w:rPr>
          <w:rFonts w:ascii="Arial" w:hAnsi="Arial" w:cs="Arial"/>
        </w:rPr>
      </w:pPr>
    </w:p>
    <w:p w14:paraId="5101A0D3" w14:textId="2F6396D2" w:rsidR="00B01FCD" w:rsidRDefault="00907E7B" w:rsidP="00E3536B">
      <w:pPr>
        <w:pStyle w:val="Body"/>
        <w:spacing w:after="0"/>
        <w:rPr>
          <w:rFonts w:ascii="Arial" w:hAnsi="Arial" w:cs="Arial"/>
        </w:rPr>
      </w:pPr>
      <w:r>
        <w:rPr>
          <w:rFonts w:ascii="Arial" w:hAnsi="Arial" w:cs="Arial"/>
        </w:rPr>
        <w:t>“</w:t>
      </w:r>
      <w:r w:rsidR="00A05399" w:rsidRPr="00A05399">
        <w:rPr>
          <w:rFonts w:ascii="Arial" w:hAnsi="Arial" w:cs="Arial"/>
        </w:rPr>
        <w:t>The Loan to Deposit Ratio (LDR) plays an important role in measuring whether or not the</w:t>
      </w:r>
      <w:r w:rsidR="00A05399">
        <w:rPr>
          <w:rFonts w:ascii="Arial" w:hAnsi="Arial" w:cs="Arial"/>
        </w:rPr>
        <w:t xml:space="preserve"> </w:t>
      </w:r>
      <w:r w:rsidR="00A05399" w:rsidRPr="00A05399">
        <w:rPr>
          <w:rFonts w:ascii="Arial" w:hAnsi="Arial" w:cs="Arial"/>
        </w:rPr>
        <w:t>bank's intermediary function is working, namely by providing loans in the form of credit</w:t>
      </w:r>
      <w:r w:rsidR="00A05399">
        <w:rPr>
          <w:rFonts w:ascii="Arial" w:hAnsi="Arial" w:cs="Arial"/>
        </w:rPr>
        <w:t xml:space="preserve"> </w:t>
      </w:r>
      <w:r w:rsidR="00A05399" w:rsidRPr="00A05399">
        <w:rPr>
          <w:rFonts w:ascii="Arial" w:hAnsi="Arial" w:cs="Arial"/>
        </w:rPr>
        <w:t>distributed by the bank based on the total funds collected by the bank through services to</w:t>
      </w:r>
      <w:r w:rsidR="00A05399">
        <w:rPr>
          <w:rFonts w:ascii="Arial" w:hAnsi="Arial" w:cs="Arial"/>
        </w:rPr>
        <w:t xml:space="preserve"> </w:t>
      </w:r>
      <w:r w:rsidR="00A05399" w:rsidRPr="00A05399">
        <w:rPr>
          <w:rFonts w:ascii="Arial" w:hAnsi="Arial" w:cs="Arial"/>
        </w:rPr>
        <w:t>customers</w:t>
      </w:r>
      <w:r>
        <w:rPr>
          <w:rFonts w:ascii="Arial" w:hAnsi="Arial" w:cs="Arial"/>
        </w:rPr>
        <w:t>”</w:t>
      </w:r>
      <w:r w:rsidR="00A05399" w:rsidRPr="00A05399">
        <w:rPr>
          <w:rFonts w:ascii="Arial" w:hAnsi="Arial" w:cs="Arial"/>
        </w:rPr>
        <w:t xml:space="preserve"> (</w:t>
      </w:r>
      <w:proofErr w:type="spellStart"/>
      <w:r w:rsidR="00A05399" w:rsidRPr="00A05399">
        <w:rPr>
          <w:rFonts w:ascii="Arial" w:hAnsi="Arial" w:cs="Arial"/>
        </w:rPr>
        <w:t>Saraswati</w:t>
      </w:r>
      <w:proofErr w:type="spellEnd"/>
      <w:r w:rsidR="00A05399" w:rsidRPr="00A05399">
        <w:rPr>
          <w:rFonts w:ascii="Arial" w:hAnsi="Arial" w:cs="Arial"/>
        </w:rPr>
        <w:t xml:space="preserve"> and </w:t>
      </w:r>
      <w:proofErr w:type="spellStart"/>
      <w:r w:rsidR="00A05399" w:rsidRPr="00A05399">
        <w:rPr>
          <w:rFonts w:ascii="Arial" w:hAnsi="Arial" w:cs="Arial"/>
        </w:rPr>
        <w:t>Suryantini</w:t>
      </w:r>
      <w:proofErr w:type="spellEnd"/>
      <w:r w:rsidR="00A05399" w:rsidRPr="00A05399">
        <w:rPr>
          <w:rFonts w:ascii="Arial" w:hAnsi="Arial" w:cs="Arial"/>
        </w:rPr>
        <w:t>, 2017).</w:t>
      </w:r>
    </w:p>
    <w:p w14:paraId="3F0D8BB5" w14:textId="77777777" w:rsidR="00E3536B" w:rsidRDefault="00E3536B" w:rsidP="00E3536B">
      <w:pPr>
        <w:pStyle w:val="Body"/>
        <w:spacing w:after="0"/>
        <w:rPr>
          <w:rFonts w:ascii="Arial" w:hAnsi="Arial" w:cs="Arial"/>
        </w:rPr>
      </w:pPr>
    </w:p>
    <w:p w14:paraId="063D7EDC" w14:textId="305EA521" w:rsidR="00A05399" w:rsidRDefault="00A05399" w:rsidP="00E3536B">
      <w:pPr>
        <w:pStyle w:val="Body"/>
        <w:spacing w:after="0"/>
        <w:rPr>
          <w:rFonts w:ascii="Arial" w:hAnsi="Arial" w:cs="Arial"/>
        </w:rPr>
      </w:pPr>
      <w:r w:rsidRPr="00A05399">
        <w:rPr>
          <w:rFonts w:ascii="Arial" w:hAnsi="Arial" w:cs="Arial"/>
        </w:rPr>
        <w:t>Return on Assets (ROA) is a profitability ratio that shows the ratio between pre-tax profit and</w:t>
      </w:r>
      <w:r>
        <w:rPr>
          <w:rFonts w:ascii="Arial" w:hAnsi="Arial" w:cs="Arial"/>
        </w:rPr>
        <w:t xml:space="preserve"> </w:t>
      </w:r>
      <w:r w:rsidRPr="00A05399">
        <w:rPr>
          <w:rFonts w:ascii="Arial" w:hAnsi="Arial" w:cs="Arial"/>
        </w:rPr>
        <w:t>total bank assets (</w:t>
      </w:r>
      <w:proofErr w:type="spellStart"/>
      <w:r w:rsidRPr="00A05399">
        <w:rPr>
          <w:rFonts w:ascii="Arial" w:hAnsi="Arial" w:cs="Arial"/>
        </w:rPr>
        <w:t>Riyadi</w:t>
      </w:r>
      <w:proofErr w:type="spellEnd"/>
      <w:r w:rsidRPr="00A05399">
        <w:rPr>
          <w:rFonts w:ascii="Arial" w:hAnsi="Arial" w:cs="Arial"/>
        </w:rPr>
        <w:t>, 2006). ROA is often used as a measure of a company's success.</w:t>
      </w:r>
      <w:r>
        <w:rPr>
          <w:rFonts w:ascii="Arial" w:hAnsi="Arial" w:cs="Arial"/>
        </w:rPr>
        <w:t xml:space="preserve"> </w:t>
      </w:r>
      <w:r w:rsidRPr="00A05399">
        <w:rPr>
          <w:rFonts w:ascii="Arial" w:hAnsi="Arial" w:cs="Arial"/>
        </w:rPr>
        <w:t>Return on Assets (ROA) was chosen because this ratio shows the ability of a company's</w:t>
      </w:r>
      <w:r>
        <w:rPr>
          <w:rFonts w:ascii="Arial" w:hAnsi="Arial" w:cs="Arial"/>
        </w:rPr>
        <w:t xml:space="preserve"> </w:t>
      </w:r>
      <w:r w:rsidRPr="00A05399">
        <w:rPr>
          <w:rFonts w:ascii="Arial" w:hAnsi="Arial" w:cs="Arial"/>
        </w:rPr>
        <w:t>assets to generate net profit.</w:t>
      </w:r>
    </w:p>
    <w:p w14:paraId="7A6C30D6" w14:textId="77777777" w:rsidR="00E3536B" w:rsidRPr="00A05399" w:rsidRDefault="00E3536B" w:rsidP="00E3536B">
      <w:pPr>
        <w:pStyle w:val="Body"/>
        <w:spacing w:after="0"/>
        <w:rPr>
          <w:rFonts w:ascii="Arial" w:hAnsi="Arial" w:cs="Arial"/>
        </w:rPr>
      </w:pPr>
    </w:p>
    <w:p w14:paraId="73FC5B2F" w14:textId="2026FCBD" w:rsidR="00A05399" w:rsidRDefault="00907E7B" w:rsidP="00E3536B">
      <w:pPr>
        <w:pStyle w:val="Body"/>
        <w:spacing w:after="0"/>
        <w:rPr>
          <w:rFonts w:ascii="Arial" w:hAnsi="Arial" w:cs="Arial"/>
        </w:rPr>
      </w:pPr>
      <w:r>
        <w:rPr>
          <w:rFonts w:ascii="Arial" w:hAnsi="Arial" w:cs="Arial"/>
        </w:rPr>
        <w:t>“</w:t>
      </w:r>
      <w:r w:rsidR="00A05399" w:rsidRPr="00A05399">
        <w:rPr>
          <w:rFonts w:ascii="Arial" w:hAnsi="Arial" w:cs="Arial"/>
        </w:rPr>
        <w:t>CAR (Capital Adequacy Ratio) is an important measurement tool used in the banking</w:t>
      </w:r>
      <w:r w:rsidR="00A05399">
        <w:rPr>
          <w:rFonts w:ascii="Arial" w:hAnsi="Arial" w:cs="Arial"/>
        </w:rPr>
        <w:t xml:space="preserve"> </w:t>
      </w:r>
      <w:r w:rsidR="00A05399" w:rsidRPr="00A05399">
        <w:rPr>
          <w:rFonts w:ascii="Arial" w:hAnsi="Arial" w:cs="Arial"/>
        </w:rPr>
        <w:t>industry to assess a bank's ability to bear losses and operational risks by comparing the</w:t>
      </w:r>
      <w:r w:rsidR="00A05399">
        <w:rPr>
          <w:rFonts w:ascii="Arial" w:hAnsi="Arial" w:cs="Arial"/>
        </w:rPr>
        <w:t xml:space="preserve"> </w:t>
      </w:r>
      <w:r w:rsidR="00A05399" w:rsidRPr="00A05399">
        <w:rPr>
          <w:rFonts w:ascii="Arial" w:hAnsi="Arial" w:cs="Arial"/>
        </w:rPr>
        <w:t>bank's capital with its risk-weighted assets (ATMR). A high CAR ratio indicates that the bank</w:t>
      </w:r>
      <w:r w:rsidR="00A05399">
        <w:rPr>
          <w:rFonts w:ascii="Arial" w:hAnsi="Arial" w:cs="Arial"/>
        </w:rPr>
        <w:t xml:space="preserve"> </w:t>
      </w:r>
      <w:r w:rsidR="00A05399" w:rsidRPr="00A05399">
        <w:rPr>
          <w:rFonts w:ascii="Arial" w:hAnsi="Arial" w:cs="Arial"/>
        </w:rPr>
        <w:t>has sufficient capital to absorb any losses that may arise, thus reflecting better financial</w:t>
      </w:r>
      <w:r w:rsidR="00A05399">
        <w:rPr>
          <w:rFonts w:ascii="Arial" w:hAnsi="Arial" w:cs="Arial"/>
        </w:rPr>
        <w:t xml:space="preserve"> </w:t>
      </w:r>
      <w:r w:rsidR="00A05399" w:rsidRPr="00A05399">
        <w:rPr>
          <w:rFonts w:ascii="Arial" w:hAnsi="Arial" w:cs="Arial"/>
        </w:rPr>
        <w:t>health and stability. The Capital Adequacy Ratio (CAR) is a ratio that can be used to see a</w:t>
      </w:r>
      <w:r w:rsidR="00A05399">
        <w:rPr>
          <w:rFonts w:ascii="Arial" w:hAnsi="Arial" w:cs="Arial"/>
        </w:rPr>
        <w:t xml:space="preserve"> </w:t>
      </w:r>
      <w:r w:rsidR="00A05399" w:rsidRPr="00A05399">
        <w:rPr>
          <w:rFonts w:ascii="Arial" w:hAnsi="Arial" w:cs="Arial"/>
        </w:rPr>
        <w:t>bank's ability to minimize the risk of loss by maintaining sufficient capital</w:t>
      </w:r>
      <w:r>
        <w:rPr>
          <w:rFonts w:ascii="Arial" w:hAnsi="Arial" w:cs="Arial"/>
        </w:rPr>
        <w:t>”</w:t>
      </w:r>
      <w:r w:rsidR="00A05399" w:rsidRPr="00A05399">
        <w:rPr>
          <w:rFonts w:ascii="Arial" w:hAnsi="Arial" w:cs="Arial"/>
        </w:rPr>
        <w:t xml:space="preserve"> (</w:t>
      </w:r>
      <w:proofErr w:type="spellStart"/>
      <w:r w:rsidR="00A05399" w:rsidRPr="00A05399">
        <w:rPr>
          <w:rFonts w:ascii="Arial" w:hAnsi="Arial" w:cs="Arial"/>
        </w:rPr>
        <w:t>Almunawwaroh</w:t>
      </w:r>
      <w:proofErr w:type="spellEnd"/>
      <w:r w:rsidR="00A05399">
        <w:rPr>
          <w:rFonts w:ascii="Arial" w:hAnsi="Arial" w:cs="Arial"/>
        </w:rPr>
        <w:t xml:space="preserve"> </w:t>
      </w:r>
      <w:r w:rsidR="00A05399" w:rsidRPr="00A05399">
        <w:rPr>
          <w:rFonts w:ascii="Arial" w:hAnsi="Arial" w:cs="Arial"/>
        </w:rPr>
        <w:t xml:space="preserve">and </w:t>
      </w:r>
      <w:proofErr w:type="spellStart"/>
      <w:r w:rsidR="00A05399" w:rsidRPr="00A05399">
        <w:rPr>
          <w:rFonts w:ascii="Arial" w:hAnsi="Arial" w:cs="Arial"/>
        </w:rPr>
        <w:t>Marliana</w:t>
      </w:r>
      <w:proofErr w:type="spellEnd"/>
      <w:r w:rsidR="00A05399" w:rsidRPr="00A05399">
        <w:rPr>
          <w:rFonts w:ascii="Arial" w:hAnsi="Arial" w:cs="Arial"/>
        </w:rPr>
        <w:t>, 2018). The selection of the CAR variable as the dependent variable is</w:t>
      </w:r>
      <w:r w:rsidR="00A05399">
        <w:rPr>
          <w:rFonts w:ascii="Arial" w:hAnsi="Arial" w:cs="Arial"/>
        </w:rPr>
        <w:t xml:space="preserve"> </w:t>
      </w:r>
      <w:r w:rsidR="00A05399" w:rsidRPr="00A05399">
        <w:rPr>
          <w:rFonts w:ascii="Arial" w:hAnsi="Arial" w:cs="Arial"/>
        </w:rPr>
        <w:t>because CAR is the most important indicator according to Bank Indonesia in maintaining the</w:t>
      </w:r>
      <w:r w:rsidR="00A05399">
        <w:rPr>
          <w:rFonts w:ascii="Arial" w:hAnsi="Arial" w:cs="Arial"/>
        </w:rPr>
        <w:t xml:space="preserve"> </w:t>
      </w:r>
      <w:r w:rsidR="00A05399" w:rsidRPr="00A05399">
        <w:rPr>
          <w:rFonts w:ascii="Arial" w:hAnsi="Arial" w:cs="Arial"/>
        </w:rPr>
        <w:t>health of banks.</w:t>
      </w:r>
    </w:p>
    <w:p w14:paraId="25CF1A0A" w14:textId="77777777" w:rsidR="00E3536B" w:rsidRPr="00A05399" w:rsidRDefault="00E3536B" w:rsidP="00E3536B">
      <w:pPr>
        <w:pStyle w:val="Body"/>
        <w:spacing w:after="0"/>
        <w:rPr>
          <w:rFonts w:ascii="Arial" w:hAnsi="Arial" w:cs="Arial"/>
        </w:rPr>
      </w:pPr>
    </w:p>
    <w:p w14:paraId="0E45157B" w14:textId="2F89881E" w:rsidR="00A05399" w:rsidRDefault="00A05399" w:rsidP="00E3536B">
      <w:pPr>
        <w:pStyle w:val="Body"/>
        <w:spacing w:after="0"/>
        <w:rPr>
          <w:rFonts w:ascii="Arial" w:hAnsi="Arial" w:cs="Arial"/>
        </w:rPr>
      </w:pPr>
      <w:r w:rsidRPr="00A05399">
        <w:rPr>
          <w:rFonts w:ascii="Arial" w:hAnsi="Arial" w:cs="Arial"/>
        </w:rPr>
        <w:t>Based on the background described above, the researcher is interested in conducting further</w:t>
      </w:r>
      <w:r>
        <w:rPr>
          <w:rFonts w:ascii="Arial" w:hAnsi="Arial" w:cs="Arial"/>
        </w:rPr>
        <w:t xml:space="preserve"> </w:t>
      </w:r>
      <w:r w:rsidRPr="00A05399">
        <w:rPr>
          <w:rFonts w:ascii="Arial" w:hAnsi="Arial" w:cs="Arial"/>
        </w:rPr>
        <w:t>research with the title "Determinants of Liquidity of Rural Banks in East Java for the Period</w:t>
      </w:r>
      <w:r>
        <w:rPr>
          <w:rFonts w:ascii="Arial" w:hAnsi="Arial" w:cs="Arial"/>
        </w:rPr>
        <w:t xml:space="preserve"> </w:t>
      </w:r>
      <w:r w:rsidRPr="00A05399">
        <w:rPr>
          <w:rFonts w:ascii="Arial" w:hAnsi="Arial" w:cs="Arial"/>
        </w:rPr>
        <w:t>2022-2024." This study is expected to provide deeper insights and recommendations for</w:t>
      </w:r>
      <w:r>
        <w:rPr>
          <w:rFonts w:ascii="Arial" w:hAnsi="Arial" w:cs="Arial"/>
        </w:rPr>
        <w:t xml:space="preserve"> </w:t>
      </w:r>
      <w:r w:rsidRPr="00A05399">
        <w:rPr>
          <w:rFonts w:ascii="Arial" w:hAnsi="Arial" w:cs="Arial"/>
        </w:rPr>
        <w:t>improving the quality of financial management.</w:t>
      </w:r>
    </w:p>
    <w:p w14:paraId="644E475C" w14:textId="77777777" w:rsidR="00A05399" w:rsidRDefault="00A05399" w:rsidP="00E3536B">
      <w:pPr>
        <w:pStyle w:val="Body"/>
        <w:spacing w:after="0"/>
        <w:rPr>
          <w:rFonts w:ascii="Arial" w:hAnsi="Arial" w:cs="Arial"/>
        </w:rPr>
      </w:pPr>
    </w:p>
    <w:p w14:paraId="4683AFB8" w14:textId="77777777" w:rsidR="00790ADA" w:rsidRPr="00FB3A86" w:rsidRDefault="00790ADA" w:rsidP="00E3536B">
      <w:pPr>
        <w:pStyle w:val="Body"/>
        <w:spacing w:after="0"/>
        <w:rPr>
          <w:rFonts w:ascii="Arial" w:hAnsi="Arial" w:cs="Arial"/>
        </w:rPr>
      </w:pPr>
    </w:p>
    <w:p w14:paraId="62A6E719" w14:textId="2277655F" w:rsidR="00E66E10" w:rsidRDefault="00902823" w:rsidP="00E3536B">
      <w:pPr>
        <w:pStyle w:val="AbstHead"/>
        <w:spacing w:after="0"/>
        <w:jc w:val="both"/>
        <w:rPr>
          <w:rFonts w:ascii="Arial" w:hAnsi="Arial" w:cs="Arial"/>
        </w:rPr>
      </w:pPr>
      <w:r>
        <w:rPr>
          <w:rFonts w:ascii="Arial" w:hAnsi="Arial" w:cs="Arial"/>
        </w:rPr>
        <w:t xml:space="preserve">2. </w:t>
      </w:r>
      <w:r w:rsidR="004F7DA6">
        <w:rPr>
          <w:rFonts w:ascii="Arial" w:hAnsi="Arial" w:cs="Arial"/>
        </w:rPr>
        <w:t xml:space="preserve">REVIEW OF </w:t>
      </w:r>
      <w:r w:rsidR="00DE3414" w:rsidRPr="00DE3414">
        <w:rPr>
          <w:rFonts w:ascii="Arial" w:hAnsi="Arial" w:cs="Arial"/>
        </w:rPr>
        <w:t xml:space="preserve">Literature </w:t>
      </w:r>
      <w:r w:rsidR="00DE3414">
        <w:rPr>
          <w:rFonts w:ascii="Arial" w:hAnsi="Arial" w:cs="Arial"/>
        </w:rPr>
        <w:t xml:space="preserve">and hypothesis </w:t>
      </w:r>
      <w:r w:rsidR="005E11F2">
        <w:rPr>
          <w:rFonts w:ascii="Arial" w:hAnsi="Arial" w:cs="Arial"/>
        </w:rPr>
        <w:t>DEVELOPMENT</w:t>
      </w:r>
    </w:p>
    <w:p w14:paraId="37FC947B" w14:textId="77777777" w:rsidR="00790ADA" w:rsidRPr="00FB3A86" w:rsidRDefault="00790ADA" w:rsidP="00E3536B">
      <w:pPr>
        <w:pStyle w:val="Body"/>
        <w:spacing w:after="0"/>
        <w:rPr>
          <w:rFonts w:ascii="Arial" w:hAnsi="Arial" w:cs="Arial"/>
        </w:rPr>
      </w:pPr>
    </w:p>
    <w:p w14:paraId="66E50E69" w14:textId="2828F2AC" w:rsidR="00DE3414" w:rsidRDefault="00AA74E0" w:rsidP="00E3536B">
      <w:pPr>
        <w:pStyle w:val="Body"/>
        <w:spacing w:after="0"/>
        <w:rPr>
          <w:rFonts w:ascii="Arial" w:hAnsi="Arial" w:cs="Arial"/>
          <w:b/>
          <w:caps/>
          <w:sz w:val="22"/>
        </w:rPr>
      </w:pPr>
      <w:r w:rsidRPr="00C30A0F">
        <w:rPr>
          <w:rFonts w:ascii="Arial" w:hAnsi="Arial" w:cs="Arial"/>
          <w:b/>
          <w:caps/>
          <w:sz w:val="22"/>
        </w:rPr>
        <w:t xml:space="preserve">2.1 </w:t>
      </w:r>
      <w:r w:rsidR="004F7DA6">
        <w:rPr>
          <w:rFonts w:ascii="Arial" w:hAnsi="Arial" w:cs="Arial"/>
          <w:b/>
          <w:caps/>
          <w:sz w:val="22"/>
        </w:rPr>
        <w:t xml:space="preserve">REVIEW OF </w:t>
      </w:r>
      <w:r w:rsidR="00DE3414">
        <w:rPr>
          <w:rFonts w:ascii="Arial" w:hAnsi="Arial" w:cs="Arial"/>
          <w:b/>
          <w:caps/>
          <w:sz w:val="22"/>
        </w:rPr>
        <w:t>literature</w:t>
      </w:r>
    </w:p>
    <w:p w14:paraId="1CEC0673" w14:textId="77777777" w:rsidR="00DE3414" w:rsidRDefault="00DE3414" w:rsidP="00E3536B">
      <w:pPr>
        <w:pStyle w:val="Body"/>
        <w:spacing w:after="0"/>
        <w:rPr>
          <w:rFonts w:ascii="Arial" w:hAnsi="Arial" w:cs="Arial"/>
          <w:b/>
          <w:caps/>
          <w:sz w:val="22"/>
        </w:rPr>
      </w:pPr>
    </w:p>
    <w:p w14:paraId="5EE7385A" w14:textId="54712FF6" w:rsidR="00DE3414" w:rsidRDefault="00AA74E0" w:rsidP="00E3536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00A05399" w:rsidRPr="00A05399">
        <w:rPr>
          <w:rFonts w:ascii="Arial" w:hAnsi="Arial" w:cs="Arial"/>
          <w:b/>
          <w:u w:val="single"/>
        </w:rPr>
        <w:t>Bank Soundness Theory</w:t>
      </w:r>
    </w:p>
    <w:p w14:paraId="38997284" w14:textId="77777777" w:rsidR="00A05399" w:rsidRDefault="00A05399" w:rsidP="00E3536B">
      <w:pPr>
        <w:pStyle w:val="Body"/>
        <w:spacing w:after="0"/>
        <w:rPr>
          <w:rFonts w:ascii="Arial" w:hAnsi="Arial" w:cs="Arial"/>
          <w:b/>
          <w:u w:val="single"/>
        </w:rPr>
      </w:pPr>
    </w:p>
    <w:p w14:paraId="1B1AE74E" w14:textId="313D50ED" w:rsidR="00AB3D24" w:rsidRDefault="00A05399" w:rsidP="00E3536B">
      <w:pPr>
        <w:pStyle w:val="Body"/>
        <w:spacing w:after="0"/>
        <w:rPr>
          <w:rFonts w:ascii="Arial" w:hAnsi="Arial" w:cs="Arial"/>
          <w:bCs/>
        </w:rPr>
      </w:pPr>
      <w:r w:rsidRPr="00A05399">
        <w:rPr>
          <w:rFonts w:ascii="Arial" w:hAnsi="Arial" w:cs="Arial"/>
          <w:bCs/>
        </w:rPr>
        <w:t>The theory of bank health generally states that a healthy bank is one that is able to perform</w:t>
      </w:r>
      <w:r>
        <w:rPr>
          <w:rFonts w:ascii="Arial" w:hAnsi="Arial" w:cs="Arial"/>
          <w:bCs/>
        </w:rPr>
        <w:t xml:space="preserve"> </w:t>
      </w:r>
      <w:r w:rsidRPr="00A05399">
        <w:rPr>
          <w:rFonts w:ascii="Arial" w:hAnsi="Arial" w:cs="Arial"/>
          <w:bCs/>
        </w:rPr>
        <w:t>its functions normally, fulfill its obligations on time, and comply with regulations. The level of</w:t>
      </w:r>
      <w:r>
        <w:rPr>
          <w:rFonts w:ascii="Arial" w:hAnsi="Arial" w:cs="Arial"/>
          <w:bCs/>
        </w:rPr>
        <w:t xml:space="preserve"> </w:t>
      </w:r>
      <w:r w:rsidRPr="00A05399">
        <w:rPr>
          <w:rFonts w:ascii="Arial" w:hAnsi="Arial" w:cs="Arial"/>
          <w:bCs/>
        </w:rPr>
        <w:t>bank health is the financial condition and management of a bank as measured by ratios. The</w:t>
      </w:r>
      <w:r>
        <w:rPr>
          <w:rFonts w:ascii="Arial" w:hAnsi="Arial" w:cs="Arial"/>
          <w:bCs/>
        </w:rPr>
        <w:t xml:space="preserve"> </w:t>
      </w:r>
      <w:r w:rsidRPr="00A05399">
        <w:rPr>
          <w:rFonts w:ascii="Arial" w:hAnsi="Arial" w:cs="Arial"/>
          <w:bCs/>
        </w:rPr>
        <w:t>level of bank health is of interest to all related parties, namely bank owners and managers,</w:t>
      </w:r>
      <w:r>
        <w:rPr>
          <w:rFonts w:ascii="Arial" w:hAnsi="Arial" w:cs="Arial"/>
          <w:bCs/>
        </w:rPr>
        <w:t xml:space="preserve"> </w:t>
      </w:r>
      <w:r w:rsidRPr="00A05399">
        <w:rPr>
          <w:rFonts w:ascii="Arial" w:hAnsi="Arial" w:cs="Arial"/>
          <w:bCs/>
        </w:rPr>
        <w:t>the public who use banking services, and Bank Indonesia as the supervisor and regulator of</w:t>
      </w:r>
      <w:r>
        <w:rPr>
          <w:rFonts w:ascii="Arial" w:hAnsi="Arial" w:cs="Arial"/>
          <w:bCs/>
        </w:rPr>
        <w:t xml:space="preserve"> </w:t>
      </w:r>
      <w:r w:rsidRPr="00A05399">
        <w:rPr>
          <w:rFonts w:ascii="Arial" w:hAnsi="Arial" w:cs="Arial"/>
          <w:bCs/>
        </w:rPr>
        <w:t>banks in Indonesia (Sunarti, 2011).</w:t>
      </w:r>
    </w:p>
    <w:p w14:paraId="67C9EF5A" w14:textId="77777777" w:rsidR="00AB3D24" w:rsidRPr="00AB3D24" w:rsidRDefault="00AB3D24" w:rsidP="00E3536B">
      <w:pPr>
        <w:pStyle w:val="Body"/>
        <w:spacing w:after="0"/>
        <w:rPr>
          <w:rFonts w:ascii="Arial" w:hAnsi="Arial" w:cs="Arial"/>
          <w:bCs/>
        </w:rPr>
      </w:pPr>
    </w:p>
    <w:p w14:paraId="4AE01C3B" w14:textId="507504BF" w:rsidR="00DE3414" w:rsidRDefault="00DE3414" w:rsidP="00E3536B">
      <w:pPr>
        <w:pStyle w:val="Body"/>
        <w:spacing w:after="0"/>
        <w:rPr>
          <w:rFonts w:ascii="Arial" w:hAnsi="Arial" w:cs="Arial"/>
          <w:b/>
          <w:u w:val="single"/>
        </w:rPr>
      </w:pPr>
      <w:r>
        <w:rPr>
          <w:rFonts w:ascii="Arial" w:hAnsi="Arial" w:cs="Arial"/>
          <w:b/>
          <w:u w:val="single"/>
        </w:rPr>
        <w:t xml:space="preserve">2.1.2 </w:t>
      </w:r>
      <w:r w:rsidR="00A05399" w:rsidRPr="00A05399">
        <w:rPr>
          <w:rFonts w:ascii="Arial" w:hAnsi="Arial" w:cs="Arial"/>
          <w:b/>
          <w:u w:val="single"/>
        </w:rPr>
        <w:t>Financial Intermediation Theory</w:t>
      </w:r>
    </w:p>
    <w:p w14:paraId="514D1BF4" w14:textId="77777777" w:rsidR="00AB3D24" w:rsidRDefault="00AB3D24" w:rsidP="00E3536B">
      <w:pPr>
        <w:pStyle w:val="Body"/>
        <w:spacing w:after="0"/>
        <w:rPr>
          <w:rFonts w:ascii="Arial" w:hAnsi="Arial" w:cs="Arial"/>
          <w:b/>
          <w:u w:val="single"/>
        </w:rPr>
      </w:pPr>
    </w:p>
    <w:p w14:paraId="6515F968" w14:textId="23F0A480" w:rsidR="00AB3D24" w:rsidRDefault="00A05399" w:rsidP="00E3536B">
      <w:pPr>
        <w:pStyle w:val="Body"/>
        <w:spacing w:after="0"/>
        <w:rPr>
          <w:rFonts w:ascii="Arial" w:hAnsi="Arial" w:cs="Arial"/>
          <w:bCs/>
        </w:rPr>
      </w:pPr>
      <w:r w:rsidRPr="00A05399">
        <w:rPr>
          <w:rFonts w:ascii="Arial" w:hAnsi="Arial" w:cs="Arial"/>
          <w:bCs/>
        </w:rPr>
        <w:t>Financial intermediation can be defined as the activity of channeling funds from parties with</w:t>
      </w:r>
      <w:r>
        <w:rPr>
          <w:rFonts w:ascii="Arial" w:hAnsi="Arial" w:cs="Arial"/>
          <w:bCs/>
        </w:rPr>
        <w:t xml:space="preserve"> </w:t>
      </w:r>
      <w:r w:rsidRPr="00A05399">
        <w:rPr>
          <w:rFonts w:ascii="Arial" w:hAnsi="Arial" w:cs="Arial"/>
          <w:bCs/>
        </w:rPr>
        <w:t>a surplus or depositors to parties with a deficit or investors through an institution called a</w:t>
      </w:r>
      <w:r>
        <w:rPr>
          <w:rFonts w:ascii="Arial" w:hAnsi="Arial" w:cs="Arial"/>
          <w:bCs/>
        </w:rPr>
        <w:t xml:space="preserve"> </w:t>
      </w:r>
      <w:r w:rsidRPr="00A05399">
        <w:rPr>
          <w:rFonts w:ascii="Arial" w:hAnsi="Arial" w:cs="Arial"/>
          <w:bCs/>
        </w:rPr>
        <w:t>financial intermediary. These financial intermediary institutions include savings and loan</w:t>
      </w:r>
      <w:r>
        <w:rPr>
          <w:rFonts w:ascii="Arial" w:hAnsi="Arial" w:cs="Arial"/>
          <w:bCs/>
        </w:rPr>
        <w:t xml:space="preserve"> </w:t>
      </w:r>
      <w:r w:rsidRPr="00A05399">
        <w:rPr>
          <w:rFonts w:ascii="Arial" w:hAnsi="Arial" w:cs="Arial"/>
          <w:bCs/>
        </w:rPr>
        <w:t>cooperatives, commercial banks, insurance companies, and investment companies (</w:t>
      </w:r>
      <w:proofErr w:type="spellStart"/>
      <w:r w:rsidRPr="00A05399">
        <w:rPr>
          <w:rFonts w:ascii="Arial" w:hAnsi="Arial" w:cs="Arial"/>
          <w:bCs/>
        </w:rPr>
        <w:t>Khaldi</w:t>
      </w:r>
      <w:proofErr w:type="spellEnd"/>
      <w:r>
        <w:rPr>
          <w:rFonts w:ascii="Arial" w:hAnsi="Arial" w:cs="Arial"/>
          <w:bCs/>
        </w:rPr>
        <w:t xml:space="preserve"> </w:t>
      </w:r>
      <w:r w:rsidRPr="00A05399">
        <w:rPr>
          <w:rFonts w:ascii="Arial" w:hAnsi="Arial" w:cs="Arial"/>
          <w:bCs/>
        </w:rPr>
        <w:t xml:space="preserve">and </w:t>
      </w:r>
      <w:proofErr w:type="spellStart"/>
      <w:r w:rsidRPr="00A05399">
        <w:rPr>
          <w:rFonts w:ascii="Arial" w:hAnsi="Arial" w:cs="Arial"/>
          <w:bCs/>
        </w:rPr>
        <w:t>Hamdouni</w:t>
      </w:r>
      <w:proofErr w:type="spellEnd"/>
      <w:r w:rsidRPr="00A05399">
        <w:rPr>
          <w:rFonts w:ascii="Arial" w:hAnsi="Arial" w:cs="Arial"/>
          <w:bCs/>
        </w:rPr>
        <w:t>, 2011).</w:t>
      </w:r>
    </w:p>
    <w:p w14:paraId="7FD3DED0" w14:textId="77777777" w:rsidR="00AB3D24" w:rsidRPr="00AB3D24" w:rsidRDefault="00AB3D24" w:rsidP="00E3536B">
      <w:pPr>
        <w:pStyle w:val="Body"/>
        <w:spacing w:after="0"/>
        <w:rPr>
          <w:rFonts w:ascii="Arial" w:hAnsi="Arial" w:cs="Arial"/>
          <w:bCs/>
        </w:rPr>
      </w:pPr>
    </w:p>
    <w:p w14:paraId="3EBD7021" w14:textId="642F8EBF" w:rsidR="00DE3414" w:rsidRDefault="00DE3414" w:rsidP="00E3536B">
      <w:pPr>
        <w:pStyle w:val="Body"/>
        <w:spacing w:after="0"/>
        <w:rPr>
          <w:rFonts w:ascii="Arial" w:hAnsi="Arial" w:cs="Arial"/>
          <w:b/>
          <w:u w:val="single"/>
        </w:rPr>
      </w:pPr>
      <w:r>
        <w:rPr>
          <w:rFonts w:ascii="Arial" w:hAnsi="Arial" w:cs="Arial"/>
          <w:b/>
          <w:u w:val="single"/>
        </w:rPr>
        <w:t xml:space="preserve">2.1.3 </w:t>
      </w:r>
      <w:r w:rsidR="00A05399" w:rsidRPr="00A05399">
        <w:rPr>
          <w:rFonts w:ascii="Arial" w:hAnsi="Arial" w:cs="Arial"/>
          <w:b/>
          <w:u w:val="single"/>
        </w:rPr>
        <w:t>Anticipated Income Theory</w:t>
      </w:r>
    </w:p>
    <w:p w14:paraId="0363C3F3" w14:textId="77777777" w:rsidR="00AB3D24" w:rsidRDefault="00AB3D24" w:rsidP="00E3536B">
      <w:pPr>
        <w:pStyle w:val="Body"/>
        <w:spacing w:after="0"/>
        <w:rPr>
          <w:rFonts w:ascii="Arial" w:hAnsi="Arial" w:cs="Arial"/>
          <w:b/>
          <w:u w:val="single"/>
        </w:rPr>
      </w:pPr>
    </w:p>
    <w:p w14:paraId="5D87D0A0" w14:textId="13899EB6" w:rsidR="00AB3D24" w:rsidRDefault="00A05399" w:rsidP="00E3536B">
      <w:pPr>
        <w:pStyle w:val="Body"/>
        <w:spacing w:after="0"/>
        <w:rPr>
          <w:rFonts w:ascii="Arial" w:hAnsi="Arial" w:cs="Arial"/>
          <w:bCs/>
        </w:rPr>
      </w:pPr>
      <w:r w:rsidRPr="00A05399">
        <w:rPr>
          <w:rFonts w:ascii="Arial" w:hAnsi="Arial" w:cs="Arial"/>
          <w:bCs/>
        </w:rPr>
        <w:t xml:space="preserve">The Anticipated Income Theory developed by H.V. </w:t>
      </w:r>
      <w:proofErr w:type="spellStart"/>
      <w:r w:rsidRPr="00A05399">
        <w:rPr>
          <w:rFonts w:ascii="Arial" w:hAnsi="Arial" w:cs="Arial"/>
          <w:bCs/>
        </w:rPr>
        <w:t>Prochanow</w:t>
      </w:r>
      <w:proofErr w:type="spellEnd"/>
      <w:r w:rsidRPr="00A05399">
        <w:rPr>
          <w:rFonts w:ascii="Arial" w:hAnsi="Arial" w:cs="Arial"/>
          <w:bCs/>
        </w:rPr>
        <w:t xml:space="preserve"> in 1944 states that banks</w:t>
      </w:r>
      <w:r>
        <w:rPr>
          <w:rFonts w:ascii="Arial" w:hAnsi="Arial" w:cs="Arial"/>
          <w:bCs/>
        </w:rPr>
        <w:t xml:space="preserve"> </w:t>
      </w:r>
      <w:r w:rsidRPr="00A05399">
        <w:rPr>
          <w:rFonts w:ascii="Arial" w:hAnsi="Arial" w:cs="Arial"/>
          <w:bCs/>
        </w:rPr>
        <w:t>should be able to provide long-term credit, where repayment takes the form of gradual,</w:t>
      </w:r>
      <w:r>
        <w:rPr>
          <w:rFonts w:ascii="Arial" w:hAnsi="Arial" w:cs="Arial"/>
          <w:bCs/>
        </w:rPr>
        <w:t xml:space="preserve"> </w:t>
      </w:r>
      <w:r w:rsidRPr="00A05399">
        <w:rPr>
          <w:rFonts w:ascii="Arial" w:hAnsi="Arial" w:cs="Arial"/>
          <w:bCs/>
        </w:rPr>
        <w:t>scheduled principal payments that are integrated with direct practices and collaboration.</w:t>
      </w:r>
    </w:p>
    <w:p w14:paraId="47FBEF7E" w14:textId="77777777" w:rsidR="00AB3D24" w:rsidRPr="00AB3D24" w:rsidRDefault="00AB3D24" w:rsidP="00E3536B">
      <w:pPr>
        <w:pStyle w:val="Body"/>
        <w:spacing w:after="0"/>
        <w:rPr>
          <w:rFonts w:ascii="Arial" w:hAnsi="Arial" w:cs="Arial"/>
          <w:bCs/>
        </w:rPr>
      </w:pPr>
    </w:p>
    <w:p w14:paraId="5F764DD5" w14:textId="04CE8C23" w:rsidR="00DE3414" w:rsidRDefault="00DE3414" w:rsidP="00E3536B">
      <w:pPr>
        <w:pStyle w:val="Body"/>
        <w:spacing w:after="0"/>
        <w:rPr>
          <w:rFonts w:ascii="Arial" w:hAnsi="Arial" w:cs="Arial"/>
          <w:b/>
          <w:u w:val="single"/>
        </w:rPr>
      </w:pPr>
      <w:r>
        <w:rPr>
          <w:rFonts w:ascii="Arial" w:hAnsi="Arial" w:cs="Arial"/>
          <w:b/>
          <w:u w:val="single"/>
        </w:rPr>
        <w:t xml:space="preserve">2.1.4 </w:t>
      </w:r>
      <w:r w:rsidR="001A6E2D" w:rsidRPr="001A6E2D">
        <w:rPr>
          <w:rFonts w:ascii="Arial" w:hAnsi="Arial" w:cs="Arial"/>
          <w:b/>
          <w:u w:val="single"/>
        </w:rPr>
        <w:t>Liquidity</w:t>
      </w:r>
    </w:p>
    <w:p w14:paraId="3C52E62E" w14:textId="77777777" w:rsidR="00AB3D24" w:rsidRPr="00AB3D24" w:rsidRDefault="00AB3D24" w:rsidP="00E3536B">
      <w:pPr>
        <w:pStyle w:val="Body"/>
        <w:spacing w:after="0"/>
        <w:rPr>
          <w:rFonts w:ascii="Arial" w:hAnsi="Arial" w:cs="Arial"/>
          <w:bCs/>
        </w:rPr>
      </w:pPr>
    </w:p>
    <w:p w14:paraId="1D3538D8" w14:textId="75A486F4" w:rsidR="00AB3D24" w:rsidRPr="00AB3D24" w:rsidRDefault="001A6E2D" w:rsidP="00E3536B">
      <w:pPr>
        <w:pStyle w:val="Body"/>
        <w:spacing w:after="0"/>
        <w:rPr>
          <w:rFonts w:ascii="Arial" w:hAnsi="Arial" w:cs="Arial"/>
          <w:bCs/>
        </w:rPr>
      </w:pPr>
      <w:r w:rsidRPr="001A6E2D">
        <w:rPr>
          <w:rFonts w:ascii="Arial" w:hAnsi="Arial" w:cs="Arial"/>
          <w:bCs/>
        </w:rPr>
        <w:t>Bank liquidity management plays a key role in maintaining stability and smooth operations.</w:t>
      </w:r>
      <w:r>
        <w:rPr>
          <w:rFonts w:ascii="Arial" w:hAnsi="Arial" w:cs="Arial"/>
          <w:bCs/>
        </w:rPr>
        <w:t xml:space="preserve"> </w:t>
      </w:r>
      <w:r w:rsidRPr="001A6E2D">
        <w:rPr>
          <w:rFonts w:ascii="Arial" w:hAnsi="Arial" w:cs="Arial"/>
          <w:bCs/>
        </w:rPr>
        <w:t>As a major financial service provider, banks must always be ready to meet the demand for</w:t>
      </w:r>
      <w:r>
        <w:rPr>
          <w:rFonts w:ascii="Arial" w:hAnsi="Arial" w:cs="Arial"/>
          <w:bCs/>
        </w:rPr>
        <w:t xml:space="preserve"> </w:t>
      </w:r>
      <w:r w:rsidRPr="001A6E2D">
        <w:rPr>
          <w:rFonts w:ascii="Arial" w:hAnsi="Arial" w:cs="Arial"/>
          <w:bCs/>
        </w:rPr>
        <w:t>funds from their customers (</w:t>
      </w:r>
      <w:proofErr w:type="spellStart"/>
      <w:r w:rsidRPr="001A6E2D">
        <w:rPr>
          <w:rFonts w:ascii="Arial" w:hAnsi="Arial" w:cs="Arial"/>
          <w:bCs/>
        </w:rPr>
        <w:t>Murniarti</w:t>
      </w:r>
      <w:proofErr w:type="spellEnd"/>
      <w:r w:rsidRPr="001A6E2D">
        <w:rPr>
          <w:rFonts w:ascii="Arial" w:hAnsi="Arial" w:cs="Arial"/>
          <w:bCs/>
        </w:rPr>
        <w:t>, 2022).</w:t>
      </w:r>
    </w:p>
    <w:p w14:paraId="0BF996B8" w14:textId="77777777" w:rsidR="00AB3D24" w:rsidRPr="00AB3D24" w:rsidRDefault="00AB3D24" w:rsidP="00E3536B">
      <w:pPr>
        <w:pStyle w:val="Body"/>
        <w:spacing w:after="0"/>
        <w:rPr>
          <w:rFonts w:ascii="Arial" w:hAnsi="Arial" w:cs="Arial"/>
          <w:bCs/>
        </w:rPr>
      </w:pPr>
    </w:p>
    <w:p w14:paraId="265932C9" w14:textId="65C4BC32" w:rsidR="00DE3414" w:rsidRDefault="00DE3414" w:rsidP="00E3536B">
      <w:pPr>
        <w:pStyle w:val="Body"/>
        <w:spacing w:after="0"/>
        <w:rPr>
          <w:rFonts w:ascii="Arial" w:hAnsi="Arial" w:cs="Arial"/>
          <w:b/>
          <w:u w:val="single"/>
        </w:rPr>
      </w:pPr>
      <w:r>
        <w:rPr>
          <w:rFonts w:ascii="Arial" w:hAnsi="Arial" w:cs="Arial"/>
          <w:b/>
          <w:u w:val="single"/>
        </w:rPr>
        <w:t xml:space="preserve">2.1.5 </w:t>
      </w:r>
      <w:r w:rsidR="001A6E2D" w:rsidRPr="001A6E2D">
        <w:rPr>
          <w:rFonts w:ascii="Arial" w:hAnsi="Arial" w:cs="Arial"/>
          <w:b/>
          <w:u w:val="single"/>
        </w:rPr>
        <w:t>Capital Adequacy Ratio (CAR)</w:t>
      </w:r>
    </w:p>
    <w:p w14:paraId="0CF8453B" w14:textId="77777777" w:rsidR="00AB3D24" w:rsidRDefault="00AB3D24" w:rsidP="00E3536B">
      <w:pPr>
        <w:pStyle w:val="Body"/>
        <w:spacing w:after="0"/>
        <w:rPr>
          <w:rFonts w:ascii="Arial" w:hAnsi="Arial" w:cs="Arial"/>
          <w:bCs/>
        </w:rPr>
      </w:pPr>
    </w:p>
    <w:p w14:paraId="77116E2F" w14:textId="1A3A1F48" w:rsidR="00AB3D24" w:rsidRDefault="001A6E2D" w:rsidP="00E3536B">
      <w:pPr>
        <w:pStyle w:val="Body"/>
        <w:spacing w:after="0"/>
        <w:rPr>
          <w:rFonts w:ascii="Arial" w:hAnsi="Arial" w:cs="Arial"/>
          <w:bCs/>
        </w:rPr>
      </w:pPr>
      <w:r w:rsidRPr="001A6E2D">
        <w:rPr>
          <w:rFonts w:ascii="Arial" w:hAnsi="Arial" w:cs="Arial"/>
          <w:bCs/>
        </w:rPr>
        <w:t>The Capital Adequacy Ratio (CAR) is a ratio that shows a bank's ability to cover losses from</w:t>
      </w:r>
      <w:r>
        <w:rPr>
          <w:rFonts w:ascii="Arial" w:hAnsi="Arial" w:cs="Arial"/>
          <w:bCs/>
        </w:rPr>
        <w:t xml:space="preserve"> </w:t>
      </w:r>
      <w:r w:rsidRPr="001A6E2D">
        <w:rPr>
          <w:rFonts w:ascii="Arial" w:hAnsi="Arial" w:cs="Arial"/>
          <w:bCs/>
        </w:rPr>
        <w:t>risky assets. In other words, this ratio is the ratio between capital and risk-weighted assets (RWA) of the bank in accordance with government regulations, and is an indicator of the</w:t>
      </w:r>
      <w:r>
        <w:rPr>
          <w:rFonts w:ascii="Arial" w:hAnsi="Arial" w:cs="Arial"/>
          <w:bCs/>
        </w:rPr>
        <w:t xml:space="preserve"> </w:t>
      </w:r>
      <w:r w:rsidRPr="001A6E2D">
        <w:rPr>
          <w:rFonts w:ascii="Arial" w:hAnsi="Arial" w:cs="Arial"/>
          <w:bCs/>
        </w:rPr>
        <w:t>bank's health (Kasmir, 2012). The following formula can be used to calculate the CAR value:</w:t>
      </w:r>
    </w:p>
    <w:p w14:paraId="4820A8B9" w14:textId="59B12453" w:rsidR="001A6E2D" w:rsidRDefault="001A6E2D" w:rsidP="00E3536B">
      <w:pPr>
        <w:pStyle w:val="Body"/>
        <w:spacing w:after="0"/>
        <w:rPr>
          <w:rFonts w:ascii="Arial" w:hAnsi="Arial" w:cs="Arial"/>
          <w:bCs/>
        </w:rPr>
      </w:pPr>
      <m:oMathPara>
        <m:oMath>
          <m:r>
            <w:rPr>
              <w:rFonts w:ascii="Cambria Math" w:hAnsi="Cambria Math" w:cs="Arial"/>
            </w:rPr>
            <m:t xml:space="preserve">CAR= </m:t>
          </m:r>
          <m:f>
            <m:fPr>
              <m:ctrlPr>
                <w:rPr>
                  <w:rFonts w:ascii="Cambria Math" w:hAnsi="Cambria Math" w:cs="Arial"/>
                  <w:bCs/>
                  <w:i/>
                </w:rPr>
              </m:ctrlPr>
            </m:fPr>
            <m:num>
              <m:r>
                <w:rPr>
                  <w:rFonts w:ascii="Cambria Math" w:hAnsi="Cambria Math" w:cs="Arial"/>
                </w:rPr>
                <m:t>Capital</m:t>
              </m:r>
            </m:num>
            <m:den>
              <m:r>
                <w:rPr>
                  <w:rFonts w:ascii="Cambria Math" w:hAnsi="Cambria Math" w:cs="Arial"/>
                </w:rPr>
                <m:t>Risk-Weighted Assets (RWA)</m:t>
              </m:r>
            </m:den>
          </m:f>
          <m:r>
            <w:rPr>
              <w:rFonts w:ascii="Cambria Math" w:hAnsi="Cambria Math" w:cs="Arial"/>
            </w:rPr>
            <m:t xml:space="preserve"> x 100%</m:t>
          </m:r>
        </m:oMath>
      </m:oMathPara>
    </w:p>
    <w:p w14:paraId="082987E0" w14:textId="77777777" w:rsidR="00AB3D24" w:rsidRPr="00AB3D24" w:rsidRDefault="00AB3D24" w:rsidP="00E3536B">
      <w:pPr>
        <w:pStyle w:val="Body"/>
        <w:spacing w:after="0"/>
        <w:rPr>
          <w:rFonts w:ascii="Arial" w:hAnsi="Arial" w:cs="Arial"/>
          <w:bCs/>
        </w:rPr>
      </w:pPr>
    </w:p>
    <w:p w14:paraId="59916C2B" w14:textId="67793E42" w:rsidR="00AA74E0" w:rsidRDefault="00DE3414" w:rsidP="00E3536B">
      <w:pPr>
        <w:pStyle w:val="Body"/>
        <w:spacing w:after="0"/>
        <w:rPr>
          <w:rFonts w:ascii="Arial" w:hAnsi="Arial" w:cs="Arial"/>
        </w:rPr>
      </w:pPr>
      <w:r>
        <w:rPr>
          <w:rFonts w:ascii="Arial" w:hAnsi="Arial" w:cs="Arial"/>
          <w:b/>
          <w:u w:val="single"/>
        </w:rPr>
        <w:t xml:space="preserve">2.1.6 </w:t>
      </w:r>
      <w:r w:rsidR="001A6E2D" w:rsidRPr="001A6E2D">
        <w:rPr>
          <w:rFonts w:ascii="Arial" w:hAnsi="Arial" w:cs="Arial"/>
          <w:b/>
          <w:u w:val="single"/>
        </w:rPr>
        <w:t>Loan to Deposit Ratio (LDR)</w:t>
      </w:r>
      <w:r w:rsidR="00AA74E0" w:rsidRPr="00FB3A86">
        <w:rPr>
          <w:rFonts w:ascii="Arial" w:hAnsi="Arial" w:cs="Arial"/>
        </w:rPr>
        <w:t xml:space="preserve">  </w:t>
      </w:r>
    </w:p>
    <w:p w14:paraId="25DDA14A" w14:textId="77777777" w:rsidR="00AB3D24" w:rsidRDefault="00AB3D24" w:rsidP="00E3536B">
      <w:pPr>
        <w:pStyle w:val="Body"/>
        <w:spacing w:after="0"/>
        <w:rPr>
          <w:rFonts w:ascii="Arial" w:hAnsi="Arial" w:cs="Arial"/>
          <w:b/>
          <w:bCs/>
          <w:u w:val="single"/>
        </w:rPr>
      </w:pPr>
    </w:p>
    <w:p w14:paraId="1375FB26" w14:textId="0D73B8B6" w:rsidR="00AB3D24" w:rsidRDefault="001A6E2D" w:rsidP="00E3536B">
      <w:pPr>
        <w:pStyle w:val="Body"/>
        <w:spacing w:after="0"/>
        <w:rPr>
          <w:rFonts w:ascii="Arial" w:hAnsi="Arial" w:cs="Arial"/>
        </w:rPr>
      </w:pPr>
      <w:r w:rsidRPr="001A6E2D">
        <w:rPr>
          <w:rFonts w:ascii="Arial" w:hAnsi="Arial" w:cs="Arial"/>
        </w:rPr>
        <w:t>The Loan to Deposit Ratio (LDR) is a ratio used to express the extent to which banks utilize</w:t>
      </w:r>
      <w:r>
        <w:rPr>
          <w:rFonts w:ascii="Arial" w:hAnsi="Arial" w:cs="Arial"/>
        </w:rPr>
        <w:t xml:space="preserve"> </w:t>
      </w:r>
      <w:r w:rsidRPr="001A6E2D">
        <w:rPr>
          <w:rFonts w:ascii="Arial" w:hAnsi="Arial" w:cs="Arial"/>
        </w:rPr>
        <w:t>depositors' money or savings, which is then lent to customers (Pandia, 2012). The formula</w:t>
      </w:r>
      <w:r>
        <w:rPr>
          <w:rFonts w:ascii="Arial" w:hAnsi="Arial" w:cs="Arial"/>
        </w:rPr>
        <w:t xml:space="preserve"> </w:t>
      </w:r>
      <w:r w:rsidRPr="001A6E2D">
        <w:rPr>
          <w:rFonts w:ascii="Arial" w:hAnsi="Arial" w:cs="Arial"/>
        </w:rPr>
        <w:t>for calculating the Loan to Deposit Ratio (LDR) refers to PBI Policy No. 17/11/PBI/2015,</w:t>
      </w:r>
      <w:r>
        <w:rPr>
          <w:rFonts w:ascii="Arial" w:hAnsi="Arial" w:cs="Arial"/>
        </w:rPr>
        <w:t xml:space="preserve"> </w:t>
      </w:r>
      <w:r w:rsidRPr="001A6E2D">
        <w:rPr>
          <w:rFonts w:ascii="Arial" w:hAnsi="Arial" w:cs="Arial"/>
        </w:rPr>
        <w:t>which is:</w:t>
      </w:r>
    </w:p>
    <w:p w14:paraId="20528576" w14:textId="4C795798" w:rsidR="001A6E2D" w:rsidRPr="00EA1585" w:rsidRDefault="00EA1585" w:rsidP="00E3536B">
      <w:pPr>
        <w:pStyle w:val="Body"/>
        <w:spacing w:after="0"/>
        <w:rPr>
          <w:rFonts w:ascii="Arial" w:hAnsi="Arial" w:cs="Arial"/>
          <w:lang w:val="sv-SE"/>
        </w:rPr>
      </w:pPr>
      <m:oMathPara>
        <m:oMath>
          <m:r>
            <w:rPr>
              <w:rFonts w:ascii="Cambria Math" w:hAnsi="Cambria Math" w:cs="Arial"/>
            </w:rPr>
            <m:t>LDR</m:t>
          </m:r>
          <m:r>
            <w:rPr>
              <w:rFonts w:ascii="Cambria Math" w:hAnsi="Cambria Math" w:cs="Arial"/>
              <w:lang w:val="sv-SE"/>
            </w:rPr>
            <m:t xml:space="preserve">= </m:t>
          </m:r>
          <m:f>
            <m:fPr>
              <m:ctrlPr>
                <w:rPr>
                  <w:rFonts w:ascii="Cambria Math" w:hAnsi="Cambria Math" w:cs="Arial"/>
                  <w:bCs/>
                  <w:i/>
                </w:rPr>
              </m:ctrlPr>
            </m:fPr>
            <m:num>
              <m:r>
                <m:rPr>
                  <m:sty m:val="p"/>
                </m:rPr>
                <w:rPr>
                  <w:rFonts w:ascii="Cambria Math" w:hAnsi="Cambria Math" w:cs="Arial"/>
                  <w:lang w:val="sv-SE"/>
                </w:rPr>
                <m:t>Total Deposits</m:t>
              </m:r>
            </m:num>
            <m:den>
              <m:r>
                <w:rPr>
                  <w:rFonts w:ascii="Cambria Math" w:hAnsi="Cambria Math" w:cs="Arial"/>
                </w:rPr>
                <m:t>Total Loans</m:t>
              </m:r>
            </m:den>
          </m:f>
          <m:r>
            <w:rPr>
              <w:rFonts w:ascii="Cambria Math" w:hAnsi="Cambria Math" w:cs="Arial"/>
              <w:lang w:val="sv-SE"/>
            </w:rPr>
            <m:t xml:space="preserve"> </m:t>
          </m:r>
          <m:r>
            <w:rPr>
              <w:rFonts w:ascii="Cambria Math" w:hAnsi="Cambria Math" w:cs="Arial"/>
            </w:rPr>
            <m:t>x</m:t>
          </m:r>
          <m:r>
            <w:rPr>
              <w:rFonts w:ascii="Cambria Math" w:hAnsi="Cambria Math" w:cs="Arial"/>
              <w:lang w:val="sv-SE"/>
            </w:rPr>
            <m:t xml:space="preserve"> 100%</m:t>
          </m:r>
        </m:oMath>
      </m:oMathPara>
    </w:p>
    <w:p w14:paraId="3CAED65F" w14:textId="77777777" w:rsidR="00EA1585" w:rsidRPr="00AB3D24" w:rsidRDefault="00EA1585" w:rsidP="00E3536B">
      <w:pPr>
        <w:pStyle w:val="Body"/>
        <w:spacing w:after="0"/>
        <w:rPr>
          <w:rFonts w:ascii="Arial" w:hAnsi="Arial" w:cs="Arial"/>
          <w:bCs/>
        </w:rPr>
      </w:pPr>
    </w:p>
    <w:p w14:paraId="1A62D28E" w14:textId="367812B5" w:rsidR="00EA1585" w:rsidRDefault="00EA1585" w:rsidP="00E3536B">
      <w:pPr>
        <w:pStyle w:val="Body"/>
        <w:spacing w:after="0"/>
        <w:rPr>
          <w:rFonts w:ascii="Arial" w:hAnsi="Arial" w:cs="Arial"/>
        </w:rPr>
      </w:pPr>
      <w:r>
        <w:rPr>
          <w:rFonts w:ascii="Arial" w:hAnsi="Arial" w:cs="Arial"/>
          <w:b/>
          <w:u w:val="single"/>
        </w:rPr>
        <w:t xml:space="preserve">2.1.7 </w:t>
      </w:r>
      <w:r w:rsidRPr="00EA1585">
        <w:rPr>
          <w:rFonts w:ascii="Arial" w:hAnsi="Arial" w:cs="Arial"/>
          <w:b/>
          <w:u w:val="single"/>
        </w:rPr>
        <w:t>Return on Assets (ROA)</w:t>
      </w:r>
      <w:r w:rsidRPr="00FB3A86">
        <w:rPr>
          <w:rFonts w:ascii="Arial" w:hAnsi="Arial" w:cs="Arial"/>
        </w:rPr>
        <w:t xml:space="preserve">  </w:t>
      </w:r>
    </w:p>
    <w:p w14:paraId="5C345578" w14:textId="77777777" w:rsidR="00EA1585" w:rsidRDefault="00EA1585" w:rsidP="00E3536B">
      <w:pPr>
        <w:pStyle w:val="Body"/>
        <w:spacing w:after="0"/>
        <w:rPr>
          <w:rFonts w:ascii="Arial" w:hAnsi="Arial" w:cs="Arial"/>
          <w:b/>
          <w:bCs/>
          <w:u w:val="single"/>
        </w:rPr>
      </w:pPr>
    </w:p>
    <w:p w14:paraId="5EBFCC29" w14:textId="38F1030E" w:rsidR="00EA1585" w:rsidRDefault="00EA1585" w:rsidP="00E3536B">
      <w:pPr>
        <w:pStyle w:val="Body"/>
        <w:spacing w:after="0"/>
        <w:rPr>
          <w:rFonts w:ascii="Arial" w:hAnsi="Arial" w:cs="Arial"/>
        </w:rPr>
      </w:pPr>
      <w:r w:rsidRPr="00EA1585">
        <w:rPr>
          <w:rFonts w:ascii="Arial" w:hAnsi="Arial" w:cs="Arial"/>
        </w:rPr>
        <w:t>Return on Assets (ROA) is used to assess the extent to which investments made are able to</w:t>
      </w:r>
      <w:r>
        <w:rPr>
          <w:rFonts w:ascii="Arial" w:hAnsi="Arial" w:cs="Arial"/>
        </w:rPr>
        <w:t xml:space="preserve"> </w:t>
      </w:r>
      <w:r w:rsidRPr="00EA1585">
        <w:rPr>
          <w:rFonts w:ascii="Arial" w:hAnsi="Arial" w:cs="Arial"/>
        </w:rPr>
        <w:t>provide the expected return on profit. ROA is measured by a company's ability to generate</w:t>
      </w:r>
      <w:r>
        <w:rPr>
          <w:rFonts w:ascii="Arial" w:hAnsi="Arial" w:cs="Arial"/>
        </w:rPr>
        <w:t xml:space="preserve"> </w:t>
      </w:r>
      <w:r w:rsidRPr="00EA1585">
        <w:rPr>
          <w:rFonts w:ascii="Arial" w:hAnsi="Arial" w:cs="Arial"/>
        </w:rPr>
        <w:t>profits from all of its assets. The value of Return on Assets</w:t>
      </w:r>
      <w:r>
        <w:rPr>
          <w:rFonts w:ascii="Arial" w:hAnsi="Arial" w:cs="Arial"/>
        </w:rPr>
        <w:t xml:space="preserve"> </w:t>
      </w:r>
      <w:r w:rsidRPr="00EA1585">
        <w:rPr>
          <w:rFonts w:ascii="Arial" w:hAnsi="Arial" w:cs="Arial"/>
        </w:rPr>
        <w:t>can be calculated using the following formula:</w:t>
      </w:r>
    </w:p>
    <w:p w14:paraId="25D597E9" w14:textId="4653C434" w:rsidR="00EA1585" w:rsidRPr="00EA1585" w:rsidRDefault="00EA1585" w:rsidP="00E3536B">
      <w:pPr>
        <w:pStyle w:val="Body"/>
        <w:spacing w:after="0"/>
        <w:rPr>
          <w:rFonts w:ascii="Arial" w:hAnsi="Arial" w:cs="Arial"/>
          <w:lang w:val="sv-SE"/>
        </w:rPr>
      </w:pPr>
      <m:oMathPara>
        <m:oMath>
          <m:r>
            <w:rPr>
              <w:rFonts w:ascii="Cambria Math" w:hAnsi="Cambria Math" w:cs="Arial"/>
            </w:rPr>
            <m:t>ROA</m:t>
          </m:r>
          <m:r>
            <w:rPr>
              <w:rFonts w:ascii="Cambria Math" w:hAnsi="Cambria Math" w:cs="Arial"/>
              <w:lang w:val="sv-SE"/>
            </w:rPr>
            <m:t xml:space="preserve">= </m:t>
          </m:r>
          <m:f>
            <m:fPr>
              <m:ctrlPr>
                <w:rPr>
                  <w:rFonts w:ascii="Cambria Math" w:hAnsi="Cambria Math" w:cs="Arial"/>
                  <w:bCs/>
                  <w:i/>
                </w:rPr>
              </m:ctrlPr>
            </m:fPr>
            <m:num>
              <m:r>
                <m:rPr>
                  <m:sty m:val="p"/>
                </m:rPr>
                <w:rPr>
                  <w:rFonts w:ascii="Cambria Math" w:hAnsi="Cambria Math" w:cs="Arial"/>
                  <w:lang w:val="sv-SE"/>
                </w:rPr>
                <m:t>Net Income</m:t>
              </m:r>
            </m:num>
            <m:den>
              <m:r>
                <w:rPr>
                  <w:rFonts w:ascii="Cambria Math" w:hAnsi="Cambria Math" w:cs="Arial"/>
                </w:rPr>
                <m:t>Total Asset</m:t>
              </m:r>
            </m:den>
          </m:f>
          <m:r>
            <w:rPr>
              <w:rFonts w:ascii="Cambria Math" w:hAnsi="Cambria Math" w:cs="Arial"/>
              <w:lang w:val="sv-SE"/>
            </w:rPr>
            <m:t xml:space="preserve"> </m:t>
          </m:r>
          <m:r>
            <w:rPr>
              <w:rFonts w:ascii="Cambria Math" w:hAnsi="Cambria Math" w:cs="Arial"/>
            </w:rPr>
            <m:t>x</m:t>
          </m:r>
          <m:r>
            <w:rPr>
              <w:rFonts w:ascii="Cambria Math" w:hAnsi="Cambria Math" w:cs="Arial"/>
              <w:lang w:val="sv-SE"/>
            </w:rPr>
            <m:t xml:space="preserve"> 100%</m:t>
          </m:r>
        </m:oMath>
      </m:oMathPara>
    </w:p>
    <w:p w14:paraId="5EE817E9" w14:textId="77777777" w:rsidR="005E11F2" w:rsidRDefault="005E11F2" w:rsidP="00E3536B">
      <w:pPr>
        <w:pStyle w:val="Body"/>
        <w:spacing w:after="0"/>
        <w:rPr>
          <w:rFonts w:ascii="Arial" w:hAnsi="Arial" w:cs="Arial"/>
        </w:rPr>
      </w:pPr>
    </w:p>
    <w:p w14:paraId="47B58830" w14:textId="489DAAA0" w:rsidR="00EA1585" w:rsidRPr="00EA1585" w:rsidRDefault="00EA1585" w:rsidP="00E3536B">
      <w:pPr>
        <w:pStyle w:val="Body"/>
        <w:spacing w:after="0"/>
        <w:rPr>
          <w:rFonts w:ascii="Arial" w:hAnsi="Arial" w:cs="Arial"/>
        </w:rPr>
      </w:pPr>
      <w:r w:rsidRPr="00EA1585">
        <w:rPr>
          <w:rFonts w:ascii="Arial" w:hAnsi="Arial" w:cs="Arial"/>
          <w:b/>
          <w:bCs/>
          <w:u w:val="single"/>
        </w:rPr>
        <w:t>2.</w:t>
      </w:r>
      <w:r w:rsidRPr="00EA1585">
        <w:rPr>
          <w:rFonts w:ascii="Arial" w:hAnsi="Arial" w:cs="Arial"/>
          <w:b/>
          <w:u w:val="single"/>
        </w:rPr>
        <w:t>1.</w:t>
      </w:r>
      <w:r>
        <w:rPr>
          <w:rFonts w:ascii="Arial" w:hAnsi="Arial" w:cs="Arial"/>
          <w:b/>
          <w:u w:val="single"/>
        </w:rPr>
        <w:t>8</w:t>
      </w:r>
      <w:r w:rsidRPr="00EA1585">
        <w:rPr>
          <w:rFonts w:ascii="Arial" w:hAnsi="Arial" w:cs="Arial"/>
          <w:b/>
          <w:u w:val="single"/>
        </w:rPr>
        <w:t xml:space="preserve"> Firm Size</w:t>
      </w:r>
    </w:p>
    <w:p w14:paraId="1A367FB8" w14:textId="77777777" w:rsidR="00EA1585" w:rsidRPr="00EA1585" w:rsidRDefault="00EA1585" w:rsidP="00E3536B">
      <w:pPr>
        <w:pStyle w:val="Body"/>
        <w:spacing w:after="0"/>
        <w:rPr>
          <w:rFonts w:ascii="Arial" w:hAnsi="Arial" w:cs="Arial"/>
        </w:rPr>
      </w:pPr>
      <w:r w:rsidRPr="00EA1585">
        <w:rPr>
          <w:rFonts w:ascii="Arial" w:hAnsi="Arial" w:cs="Arial"/>
        </w:rPr>
        <w:t xml:space="preserve"> </w:t>
      </w:r>
    </w:p>
    <w:p w14:paraId="334D0823" w14:textId="3CF91A01" w:rsidR="00EA1585" w:rsidRDefault="00EA1585" w:rsidP="00E3536B">
      <w:pPr>
        <w:pStyle w:val="Body"/>
        <w:spacing w:after="0"/>
        <w:rPr>
          <w:rFonts w:ascii="Arial" w:hAnsi="Arial" w:cs="Arial"/>
        </w:rPr>
      </w:pPr>
      <w:r w:rsidRPr="00EA1585">
        <w:rPr>
          <w:rFonts w:ascii="Arial" w:hAnsi="Arial" w:cs="Arial"/>
        </w:rPr>
        <w:t>Company size is a scale used to classify companies as large or small based on various</w:t>
      </w:r>
      <w:r>
        <w:rPr>
          <w:rFonts w:ascii="Arial" w:hAnsi="Arial" w:cs="Arial"/>
        </w:rPr>
        <w:t xml:space="preserve"> </w:t>
      </w:r>
      <w:r w:rsidRPr="00EA1585">
        <w:rPr>
          <w:rFonts w:ascii="Arial" w:hAnsi="Arial" w:cs="Arial"/>
        </w:rPr>
        <w:t>factors, such as total assets, physical size, stock market value, and others (</w:t>
      </w:r>
      <w:proofErr w:type="spellStart"/>
      <w:r w:rsidRPr="00EA1585">
        <w:rPr>
          <w:rFonts w:ascii="Arial" w:hAnsi="Arial" w:cs="Arial"/>
        </w:rPr>
        <w:t>Suwito</w:t>
      </w:r>
      <w:proofErr w:type="spellEnd"/>
      <w:r w:rsidRPr="00EA1585">
        <w:rPr>
          <w:rFonts w:ascii="Arial" w:hAnsi="Arial" w:cs="Arial"/>
        </w:rPr>
        <w:t xml:space="preserve"> and</w:t>
      </w:r>
      <w:r>
        <w:rPr>
          <w:rFonts w:ascii="Arial" w:hAnsi="Arial" w:cs="Arial"/>
        </w:rPr>
        <w:t xml:space="preserve"> </w:t>
      </w:r>
      <w:proofErr w:type="spellStart"/>
      <w:r w:rsidRPr="00EA1585">
        <w:rPr>
          <w:rFonts w:ascii="Arial" w:hAnsi="Arial" w:cs="Arial"/>
        </w:rPr>
        <w:t>Herawaty</w:t>
      </w:r>
      <w:proofErr w:type="spellEnd"/>
      <w:r w:rsidRPr="00EA1585">
        <w:rPr>
          <w:rFonts w:ascii="Arial" w:hAnsi="Arial" w:cs="Arial"/>
        </w:rPr>
        <w:t>, 2005). The following formula can be used to calculate the size of a bank:</w:t>
      </w:r>
    </w:p>
    <w:p w14:paraId="55DC33BB" w14:textId="0AB6A475" w:rsidR="00EA1585" w:rsidRDefault="00EA1585" w:rsidP="00E3536B">
      <w:pPr>
        <w:pStyle w:val="Body"/>
        <w:spacing w:after="0"/>
        <w:rPr>
          <w:rFonts w:ascii="Arial" w:hAnsi="Arial" w:cs="Arial"/>
        </w:rPr>
      </w:pPr>
      <m:oMathPara>
        <m:oMath>
          <m:r>
            <m:rPr>
              <m:sty m:val="p"/>
            </m:rPr>
            <w:rPr>
              <w:rFonts w:ascii="Cambria Math" w:eastAsia="Cambria Math"/>
            </w:rPr>
            <m:t>SIZE</m:t>
          </m:r>
          <m:r>
            <m:rPr>
              <m:sty m:val="p"/>
            </m:rPr>
            <w:rPr>
              <w:rFonts w:ascii="Cambria Math" w:eastAsia="Cambria Math"/>
              <w:spacing w:val="5"/>
            </w:rPr>
            <m:t xml:space="preserve"> </m:t>
          </m:r>
          <m:r>
            <m:rPr>
              <m:sty m:val="p"/>
            </m:rPr>
            <w:rPr>
              <w:rFonts w:ascii="Cambria Math" w:hAnsi="Cambria Math"/>
            </w:rPr>
            <m:t>=</m:t>
          </m:r>
          <m:r>
            <m:rPr>
              <m:sty m:val="p"/>
            </m:rPr>
            <w:rPr>
              <w:rFonts w:ascii="Cambria Math" w:hAnsi="Cambria Math"/>
              <w:spacing w:val="-5"/>
            </w:rPr>
            <m:t xml:space="preserve"> </m:t>
          </m:r>
          <m:r>
            <m:rPr>
              <m:sty m:val="p"/>
            </m:rPr>
            <w:rPr>
              <w:rFonts w:ascii="Cambria Math" w:eastAsia="Cambria Math"/>
            </w:rPr>
            <m:t>Ln</m:t>
          </m:r>
          <m:r>
            <m:rPr>
              <m:sty m:val="p"/>
            </m:rPr>
            <w:rPr>
              <w:rFonts w:ascii="Cambria Math" w:hAnsi="Cambria Math"/>
            </w:rPr>
            <m:t>(</m:t>
          </m:r>
          <m:r>
            <m:rPr>
              <m:sty m:val="p"/>
            </m:rPr>
            <w:rPr>
              <w:rFonts w:ascii="Cambria Math" w:eastAsia="Cambria Math"/>
            </w:rPr>
            <m:t>Total</m:t>
          </m:r>
          <m:r>
            <m:rPr>
              <m:sty m:val="p"/>
            </m:rPr>
            <w:rPr>
              <w:rFonts w:ascii="Cambria Math" w:eastAsia="Cambria Math"/>
              <w:spacing w:val="6"/>
            </w:rPr>
            <m:t xml:space="preserve"> </m:t>
          </m:r>
          <m:r>
            <m:rPr>
              <m:sty m:val="p"/>
            </m:rPr>
            <w:rPr>
              <w:rFonts w:ascii="Cambria Math" w:eastAsia="Cambria Math"/>
            </w:rPr>
            <m:t>Asset</m:t>
          </m:r>
          <m:r>
            <m:rPr>
              <m:sty m:val="p"/>
            </m:rPr>
            <w:rPr>
              <w:rFonts w:ascii="Cambria Math" w:eastAsia="Cambria Math"/>
              <w:spacing w:val="7"/>
            </w:rPr>
            <m:t xml:space="preserve"> </m:t>
          </m:r>
          <m:r>
            <m:rPr>
              <m:sty m:val="p"/>
            </m:rPr>
            <w:rPr>
              <w:rFonts w:ascii="Cambria Math" w:hAnsi="Cambria Math"/>
              <w:spacing w:val="-10"/>
            </w:rPr>
            <m:t>)</m:t>
          </m:r>
        </m:oMath>
      </m:oMathPara>
    </w:p>
    <w:p w14:paraId="5B176918" w14:textId="77777777" w:rsidR="00EA1585" w:rsidRDefault="00EA1585" w:rsidP="00E3536B">
      <w:pPr>
        <w:pStyle w:val="Body"/>
        <w:spacing w:after="0"/>
        <w:rPr>
          <w:rFonts w:ascii="Arial" w:hAnsi="Arial" w:cs="Arial"/>
        </w:rPr>
      </w:pPr>
    </w:p>
    <w:p w14:paraId="2CAC88AF" w14:textId="77777777" w:rsidR="00EA1585" w:rsidRPr="00EA1585" w:rsidRDefault="00EA1585" w:rsidP="00E3536B">
      <w:pPr>
        <w:pStyle w:val="Body"/>
        <w:spacing w:after="0"/>
        <w:rPr>
          <w:rFonts w:ascii="Arial" w:hAnsi="Arial" w:cs="Arial"/>
        </w:rPr>
      </w:pPr>
    </w:p>
    <w:p w14:paraId="1EEA3226" w14:textId="40BD7A02" w:rsidR="005E11F2" w:rsidRDefault="005E11F2" w:rsidP="00E3536B">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E11F2">
        <w:rPr>
          <w:rFonts w:ascii="Arial" w:hAnsi="Arial" w:cs="Arial"/>
          <w:b/>
          <w:caps/>
          <w:sz w:val="22"/>
        </w:rPr>
        <w:t xml:space="preserve">HYPOTHESIS </w:t>
      </w:r>
      <w:r>
        <w:rPr>
          <w:rFonts w:ascii="Arial" w:hAnsi="Arial" w:cs="Arial"/>
          <w:b/>
          <w:caps/>
          <w:sz w:val="22"/>
        </w:rPr>
        <w:t>DEVELOPMENT</w:t>
      </w:r>
    </w:p>
    <w:p w14:paraId="19928BD6" w14:textId="77777777" w:rsidR="005E11F2" w:rsidRDefault="005E11F2" w:rsidP="00E3536B">
      <w:pPr>
        <w:pStyle w:val="Body"/>
        <w:spacing w:after="0"/>
        <w:rPr>
          <w:rFonts w:ascii="Arial" w:hAnsi="Arial" w:cs="Arial"/>
          <w:b/>
          <w:caps/>
          <w:sz w:val="22"/>
        </w:rPr>
      </w:pPr>
    </w:p>
    <w:p w14:paraId="260B54C7" w14:textId="42BF8328" w:rsidR="005E11F2" w:rsidRDefault="005E11F2" w:rsidP="00E3536B">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5E11F2">
        <w:rPr>
          <w:rFonts w:ascii="Arial" w:hAnsi="Arial" w:cs="Arial"/>
          <w:b/>
          <w:u w:val="single"/>
        </w:rPr>
        <w:t xml:space="preserve">The Effect of </w:t>
      </w:r>
      <w:r w:rsidR="00E3536B" w:rsidRPr="00E3536B">
        <w:rPr>
          <w:rFonts w:ascii="Arial" w:hAnsi="Arial" w:cs="Arial"/>
          <w:b/>
          <w:u w:val="single"/>
        </w:rPr>
        <w:t>Capital Adequacy on Liquidity</w:t>
      </w:r>
    </w:p>
    <w:p w14:paraId="1F194249" w14:textId="77777777" w:rsidR="00AB3D24" w:rsidRDefault="00AB3D24" w:rsidP="00E3536B">
      <w:pPr>
        <w:pStyle w:val="Body"/>
        <w:spacing w:after="0"/>
        <w:rPr>
          <w:rFonts w:ascii="Arial" w:hAnsi="Arial" w:cs="Arial"/>
          <w:bCs/>
        </w:rPr>
      </w:pPr>
    </w:p>
    <w:p w14:paraId="5BE1F7EE" w14:textId="77777777" w:rsidR="00E3536B" w:rsidRDefault="00E3536B" w:rsidP="00E3536B">
      <w:pPr>
        <w:pStyle w:val="Body"/>
        <w:spacing w:after="0"/>
        <w:rPr>
          <w:rFonts w:ascii="Arial" w:hAnsi="Arial" w:cs="Arial"/>
          <w:bCs/>
        </w:rPr>
      </w:pPr>
      <w:r w:rsidRPr="00E3536B">
        <w:rPr>
          <w:rFonts w:ascii="Arial" w:hAnsi="Arial" w:cs="Arial"/>
          <w:bCs/>
        </w:rPr>
        <w:lastRenderedPageBreak/>
        <w:t>Capital in banking is a very important factor for business development and absorbing the risk</w:t>
      </w:r>
      <w:r>
        <w:rPr>
          <w:rFonts w:ascii="Arial" w:hAnsi="Arial" w:cs="Arial"/>
          <w:bCs/>
        </w:rPr>
        <w:t xml:space="preserve"> </w:t>
      </w:r>
      <w:r w:rsidRPr="00E3536B">
        <w:rPr>
          <w:rFonts w:ascii="Arial" w:hAnsi="Arial" w:cs="Arial"/>
          <w:bCs/>
        </w:rPr>
        <w:t>of loss. According to Bank Indonesia Circular Letter No. 13/24/DPNP/2011, the provisions</w:t>
      </w:r>
      <w:r>
        <w:rPr>
          <w:rFonts w:ascii="Arial" w:hAnsi="Arial" w:cs="Arial"/>
          <w:bCs/>
        </w:rPr>
        <w:t xml:space="preserve"> </w:t>
      </w:r>
      <w:r w:rsidRPr="00E3536B">
        <w:rPr>
          <w:rFonts w:ascii="Arial" w:hAnsi="Arial" w:cs="Arial"/>
          <w:bCs/>
        </w:rPr>
        <w:t>governing the Minimum Capital Requirement for Commercial Banks must be applied when</w:t>
      </w:r>
      <w:r>
        <w:rPr>
          <w:rFonts w:ascii="Arial" w:hAnsi="Arial" w:cs="Arial"/>
          <w:bCs/>
        </w:rPr>
        <w:t xml:space="preserve"> </w:t>
      </w:r>
      <w:r w:rsidRPr="00E3536B">
        <w:rPr>
          <w:rFonts w:ascii="Arial" w:hAnsi="Arial" w:cs="Arial"/>
          <w:bCs/>
        </w:rPr>
        <w:t>calculating a bank's capital adequacy. A bank's risk profile must be considered when</w:t>
      </w:r>
      <w:r>
        <w:rPr>
          <w:rFonts w:ascii="Arial" w:hAnsi="Arial" w:cs="Arial"/>
          <w:bCs/>
        </w:rPr>
        <w:t xml:space="preserve"> </w:t>
      </w:r>
      <w:r w:rsidRPr="00E3536B">
        <w:rPr>
          <w:rFonts w:ascii="Arial" w:hAnsi="Arial" w:cs="Arial"/>
          <w:bCs/>
        </w:rPr>
        <w:t>assessing its capital adequacy. The level of a bank's capital adequacy is described by CAR,</w:t>
      </w:r>
      <w:r>
        <w:rPr>
          <w:rFonts w:ascii="Arial" w:hAnsi="Arial" w:cs="Arial"/>
          <w:bCs/>
        </w:rPr>
        <w:t xml:space="preserve"> </w:t>
      </w:r>
      <w:r w:rsidRPr="00E3536B">
        <w:rPr>
          <w:rFonts w:ascii="Arial" w:hAnsi="Arial" w:cs="Arial"/>
          <w:bCs/>
        </w:rPr>
        <w:t>or Capital Adequacy Ratio. CAR indicates the total risk of bank assets financed by equity.</w:t>
      </w:r>
      <w:r>
        <w:rPr>
          <w:rFonts w:ascii="Arial" w:hAnsi="Arial" w:cs="Arial"/>
          <w:bCs/>
        </w:rPr>
        <w:t xml:space="preserve"> </w:t>
      </w:r>
      <w:r w:rsidRPr="00E3536B">
        <w:rPr>
          <w:rFonts w:ascii="Arial" w:hAnsi="Arial" w:cs="Arial"/>
          <w:bCs/>
        </w:rPr>
        <w:t>Banking credit capacity will increase with adequate and high capital.</w:t>
      </w:r>
    </w:p>
    <w:p w14:paraId="4FF1601D" w14:textId="77777777" w:rsidR="00E3536B" w:rsidRDefault="00E3536B" w:rsidP="00E3536B">
      <w:pPr>
        <w:pStyle w:val="Body"/>
        <w:spacing w:after="0"/>
        <w:rPr>
          <w:rFonts w:ascii="Arial" w:hAnsi="Arial" w:cs="Arial"/>
          <w:bCs/>
        </w:rPr>
      </w:pPr>
    </w:p>
    <w:p w14:paraId="10336C79" w14:textId="77777777" w:rsidR="00E3536B" w:rsidRDefault="00E3536B" w:rsidP="00E3536B">
      <w:pPr>
        <w:pStyle w:val="Body"/>
        <w:spacing w:after="0"/>
        <w:rPr>
          <w:rFonts w:ascii="Arial" w:hAnsi="Arial" w:cs="Arial"/>
          <w:bCs/>
        </w:rPr>
      </w:pPr>
      <w:r w:rsidRPr="00E3536B">
        <w:rPr>
          <w:rFonts w:ascii="Arial" w:hAnsi="Arial" w:cs="Arial"/>
          <w:bCs/>
        </w:rPr>
        <w:t>The first previous study referenced in this study was conducted by Rufaidah et al. (2021).</w:t>
      </w:r>
      <w:r>
        <w:rPr>
          <w:rFonts w:ascii="Arial" w:hAnsi="Arial" w:cs="Arial"/>
          <w:bCs/>
        </w:rPr>
        <w:t xml:space="preserve"> </w:t>
      </w:r>
      <w:r w:rsidRPr="00E3536B">
        <w:rPr>
          <w:rFonts w:ascii="Arial" w:hAnsi="Arial" w:cs="Arial"/>
          <w:bCs/>
        </w:rPr>
        <w:t>The results showed that the CAR variable had a positive and significant effect on liquidity.</w:t>
      </w:r>
      <w:r>
        <w:rPr>
          <w:rFonts w:ascii="Arial" w:hAnsi="Arial" w:cs="Arial"/>
          <w:bCs/>
        </w:rPr>
        <w:t xml:space="preserve"> </w:t>
      </w:r>
      <w:r w:rsidRPr="00E3536B">
        <w:rPr>
          <w:rFonts w:ascii="Arial" w:hAnsi="Arial" w:cs="Arial"/>
          <w:bCs/>
        </w:rPr>
        <w:t>The second study was conducted by Angelita (2016). The results showed that the CAR</w:t>
      </w:r>
      <w:r>
        <w:rPr>
          <w:rFonts w:ascii="Arial" w:hAnsi="Arial" w:cs="Arial"/>
          <w:bCs/>
        </w:rPr>
        <w:t xml:space="preserve"> </w:t>
      </w:r>
      <w:r w:rsidRPr="00E3536B">
        <w:rPr>
          <w:rFonts w:ascii="Arial" w:hAnsi="Arial" w:cs="Arial"/>
          <w:bCs/>
        </w:rPr>
        <w:t>variable has a positive and significant effect on liquidity, the company size variable has a</w:t>
      </w:r>
      <w:r>
        <w:rPr>
          <w:rFonts w:ascii="Arial" w:hAnsi="Arial" w:cs="Arial"/>
          <w:bCs/>
        </w:rPr>
        <w:t xml:space="preserve"> </w:t>
      </w:r>
      <w:r w:rsidRPr="00E3536B">
        <w:rPr>
          <w:rFonts w:ascii="Arial" w:hAnsi="Arial" w:cs="Arial"/>
          <w:bCs/>
        </w:rPr>
        <w:t>positive and significant effect on liquidity, and the ROA variable has a negative and</w:t>
      </w:r>
      <w:r>
        <w:rPr>
          <w:rFonts w:ascii="Arial" w:hAnsi="Arial" w:cs="Arial"/>
          <w:bCs/>
        </w:rPr>
        <w:t xml:space="preserve"> </w:t>
      </w:r>
      <w:r w:rsidRPr="00E3536B">
        <w:rPr>
          <w:rFonts w:ascii="Arial" w:hAnsi="Arial" w:cs="Arial"/>
          <w:bCs/>
        </w:rPr>
        <w:t>significant effect on liquidity. The third study was conducted by Hardy (2025). The results</w:t>
      </w:r>
      <w:r>
        <w:rPr>
          <w:rFonts w:ascii="Arial" w:hAnsi="Arial" w:cs="Arial"/>
          <w:bCs/>
        </w:rPr>
        <w:t xml:space="preserve"> </w:t>
      </w:r>
      <w:r w:rsidRPr="00E3536B">
        <w:rPr>
          <w:rFonts w:ascii="Arial" w:hAnsi="Arial" w:cs="Arial"/>
          <w:bCs/>
        </w:rPr>
        <w:t>showed that the CAR (Capital Adequacy Ratio) variable has no significant effect on liquidity,</w:t>
      </w:r>
      <w:r>
        <w:rPr>
          <w:rFonts w:ascii="Arial" w:hAnsi="Arial" w:cs="Arial"/>
          <w:bCs/>
        </w:rPr>
        <w:t xml:space="preserve"> </w:t>
      </w:r>
      <w:r w:rsidRPr="00E3536B">
        <w:rPr>
          <w:rFonts w:ascii="Arial" w:hAnsi="Arial" w:cs="Arial"/>
          <w:bCs/>
        </w:rPr>
        <w:t>and the ROA (Return on Asset) variable has a positive and significant effect on liquidity.</w:t>
      </w:r>
    </w:p>
    <w:p w14:paraId="660A262A" w14:textId="77777777" w:rsidR="00E3536B" w:rsidRDefault="00E3536B" w:rsidP="00E3536B">
      <w:pPr>
        <w:pStyle w:val="Body"/>
        <w:spacing w:after="0"/>
        <w:rPr>
          <w:rFonts w:ascii="Arial" w:hAnsi="Arial" w:cs="Arial"/>
          <w:bCs/>
        </w:rPr>
      </w:pPr>
    </w:p>
    <w:p w14:paraId="36167013" w14:textId="41BB07E2" w:rsidR="00E3536B" w:rsidRPr="00E3536B" w:rsidRDefault="00E3536B" w:rsidP="00E3536B">
      <w:pPr>
        <w:pStyle w:val="Body"/>
        <w:spacing w:after="0"/>
        <w:rPr>
          <w:rFonts w:ascii="Arial" w:hAnsi="Arial" w:cs="Arial"/>
          <w:bCs/>
        </w:rPr>
      </w:pPr>
      <w:r w:rsidRPr="00E3536B">
        <w:rPr>
          <w:rFonts w:ascii="Arial" w:hAnsi="Arial" w:cs="Arial"/>
          <w:bCs/>
        </w:rPr>
        <w:t>Based on the description and previous studies, the author formulates the following</w:t>
      </w:r>
      <w:r>
        <w:rPr>
          <w:rFonts w:ascii="Arial" w:hAnsi="Arial" w:cs="Arial"/>
          <w:bCs/>
        </w:rPr>
        <w:t xml:space="preserve"> </w:t>
      </w:r>
      <w:r w:rsidRPr="00E3536B">
        <w:rPr>
          <w:rFonts w:ascii="Arial" w:hAnsi="Arial" w:cs="Arial"/>
          <w:bCs/>
        </w:rPr>
        <w:t>hypothesis:</w:t>
      </w:r>
    </w:p>
    <w:p w14:paraId="1824984F" w14:textId="418A4814" w:rsidR="00AB3D24" w:rsidRPr="00AB3D24" w:rsidRDefault="00E3536B" w:rsidP="00E3536B">
      <w:pPr>
        <w:pStyle w:val="Body"/>
        <w:spacing w:after="0"/>
        <w:rPr>
          <w:rFonts w:ascii="Arial" w:hAnsi="Arial" w:cs="Arial"/>
          <w:bCs/>
        </w:rPr>
      </w:pPr>
      <w:r w:rsidRPr="00E3536B">
        <w:rPr>
          <w:rFonts w:ascii="Arial" w:hAnsi="Arial" w:cs="Arial"/>
          <w:bCs/>
        </w:rPr>
        <w:t>H1: There is a positive effect between capital adequacy and liquidity.</w:t>
      </w:r>
      <w:r w:rsidR="00AB3D24" w:rsidRPr="00AB3D24">
        <w:rPr>
          <w:rFonts w:ascii="Arial" w:hAnsi="Arial" w:cs="Arial"/>
          <w:bCs/>
        </w:rPr>
        <w:t>H1: The liquidity ratio has a positive effect on firm value.</w:t>
      </w:r>
    </w:p>
    <w:p w14:paraId="10119DDA" w14:textId="77777777" w:rsidR="00AB3D24" w:rsidRPr="00AB3D24" w:rsidRDefault="00AB3D24" w:rsidP="00E3536B">
      <w:pPr>
        <w:pStyle w:val="Body"/>
        <w:spacing w:after="0"/>
        <w:rPr>
          <w:rFonts w:ascii="Arial" w:hAnsi="Arial" w:cs="Arial"/>
          <w:bCs/>
        </w:rPr>
      </w:pPr>
    </w:p>
    <w:p w14:paraId="122A1B1C" w14:textId="17C6FC8E" w:rsidR="005E11F2" w:rsidRDefault="005E11F2" w:rsidP="00E3536B">
      <w:pPr>
        <w:pStyle w:val="Body"/>
        <w:spacing w:after="0"/>
        <w:rPr>
          <w:rFonts w:ascii="Arial" w:hAnsi="Arial" w:cs="Arial"/>
          <w:b/>
          <w:u w:val="single"/>
        </w:rPr>
      </w:pPr>
      <w:r>
        <w:rPr>
          <w:rFonts w:ascii="Arial" w:hAnsi="Arial" w:cs="Arial"/>
          <w:b/>
          <w:u w:val="single"/>
        </w:rPr>
        <w:t xml:space="preserve">2.2.2 </w:t>
      </w:r>
      <w:r w:rsidRPr="005E11F2">
        <w:rPr>
          <w:rFonts w:ascii="Arial" w:hAnsi="Arial" w:cs="Arial"/>
          <w:b/>
          <w:u w:val="single"/>
        </w:rPr>
        <w:t xml:space="preserve">The Effect of </w:t>
      </w:r>
      <w:r w:rsidR="009F4FE5" w:rsidRPr="009F4FE5">
        <w:rPr>
          <w:rFonts w:ascii="Arial" w:hAnsi="Arial" w:cs="Arial"/>
          <w:b/>
          <w:u w:val="single"/>
        </w:rPr>
        <w:t>Profitability on Liquidity</w:t>
      </w:r>
    </w:p>
    <w:p w14:paraId="4BD6FA77" w14:textId="77777777" w:rsidR="00AB3D24" w:rsidRDefault="00AB3D24" w:rsidP="00E3536B">
      <w:pPr>
        <w:pStyle w:val="Body"/>
        <w:spacing w:after="0"/>
        <w:rPr>
          <w:rFonts w:ascii="Arial" w:hAnsi="Arial" w:cs="Arial"/>
          <w:bCs/>
        </w:rPr>
      </w:pPr>
    </w:p>
    <w:p w14:paraId="11F75146" w14:textId="77777777" w:rsidR="009F4FE5" w:rsidRDefault="009F4FE5" w:rsidP="009F4FE5">
      <w:pPr>
        <w:pStyle w:val="Body"/>
        <w:spacing w:after="0"/>
        <w:rPr>
          <w:rFonts w:ascii="Arial" w:hAnsi="Arial" w:cs="Arial"/>
          <w:bCs/>
        </w:rPr>
      </w:pPr>
      <w:r w:rsidRPr="009F4FE5">
        <w:rPr>
          <w:rFonts w:ascii="Arial" w:hAnsi="Arial" w:cs="Arial"/>
          <w:bCs/>
        </w:rPr>
        <w:t>ROA indicates a company's ability to generate profits from its assets, while liquidity indicates</w:t>
      </w:r>
      <w:r>
        <w:rPr>
          <w:rFonts w:ascii="Arial" w:hAnsi="Arial" w:cs="Arial"/>
          <w:bCs/>
        </w:rPr>
        <w:t xml:space="preserve"> </w:t>
      </w:r>
      <w:r w:rsidRPr="009F4FE5">
        <w:rPr>
          <w:rFonts w:ascii="Arial" w:hAnsi="Arial" w:cs="Arial"/>
          <w:bCs/>
        </w:rPr>
        <w:t>a company's ability to meet its short-term obligations. If a company has a good ability to pay</w:t>
      </w:r>
      <w:r>
        <w:rPr>
          <w:rFonts w:ascii="Arial" w:hAnsi="Arial" w:cs="Arial"/>
          <w:bCs/>
        </w:rPr>
        <w:t xml:space="preserve"> </w:t>
      </w:r>
      <w:r w:rsidRPr="009F4FE5">
        <w:rPr>
          <w:rFonts w:ascii="Arial" w:hAnsi="Arial" w:cs="Arial"/>
          <w:bCs/>
        </w:rPr>
        <w:t>its short-term obligations, it will have more flexibility in operating and investing to increase</w:t>
      </w:r>
      <w:r>
        <w:rPr>
          <w:rFonts w:ascii="Arial" w:hAnsi="Arial" w:cs="Arial"/>
          <w:bCs/>
        </w:rPr>
        <w:t xml:space="preserve"> </w:t>
      </w:r>
      <w:r w:rsidRPr="009F4FE5">
        <w:rPr>
          <w:rFonts w:ascii="Arial" w:hAnsi="Arial" w:cs="Arial"/>
          <w:bCs/>
        </w:rPr>
        <w:t>profits. This can help companies increase their ROA.</w:t>
      </w:r>
    </w:p>
    <w:p w14:paraId="53C6928F" w14:textId="77777777" w:rsidR="009F4FE5" w:rsidRDefault="009F4FE5" w:rsidP="009F4FE5">
      <w:pPr>
        <w:pStyle w:val="Body"/>
        <w:spacing w:after="0"/>
        <w:rPr>
          <w:rFonts w:ascii="Arial" w:hAnsi="Arial" w:cs="Arial"/>
          <w:bCs/>
        </w:rPr>
      </w:pPr>
    </w:p>
    <w:p w14:paraId="25C048B8" w14:textId="7AA5A361" w:rsidR="009F4FE5" w:rsidRDefault="009F4FE5" w:rsidP="009F4FE5">
      <w:pPr>
        <w:pStyle w:val="Body"/>
        <w:spacing w:after="0"/>
        <w:rPr>
          <w:rFonts w:ascii="Arial" w:hAnsi="Arial" w:cs="Arial"/>
          <w:bCs/>
        </w:rPr>
      </w:pPr>
      <w:r w:rsidRPr="009F4FE5">
        <w:rPr>
          <w:rFonts w:ascii="Arial" w:hAnsi="Arial" w:cs="Arial"/>
          <w:bCs/>
        </w:rPr>
        <w:t>The first previous study referenced in this study was conducted by Tahu (2023), which</w:t>
      </w:r>
      <w:r>
        <w:rPr>
          <w:rFonts w:ascii="Arial" w:hAnsi="Arial" w:cs="Arial"/>
          <w:bCs/>
        </w:rPr>
        <w:t xml:space="preserve"> </w:t>
      </w:r>
      <w:r w:rsidRPr="009F4FE5">
        <w:rPr>
          <w:rFonts w:ascii="Arial" w:hAnsi="Arial" w:cs="Arial"/>
          <w:bCs/>
        </w:rPr>
        <w:t>showed that CAR (Capital Adequacy Ratio) did not have a significant effect on liquidity, while</w:t>
      </w:r>
      <w:r>
        <w:rPr>
          <w:rFonts w:ascii="Arial" w:hAnsi="Arial" w:cs="Arial"/>
          <w:bCs/>
        </w:rPr>
        <w:t xml:space="preserve"> </w:t>
      </w:r>
      <w:r w:rsidRPr="009F4FE5">
        <w:rPr>
          <w:rFonts w:ascii="Arial" w:hAnsi="Arial" w:cs="Arial"/>
          <w:bCs/>
        </w:rPr>
        <w:t>the ROA (Return on Asset) variable had a positive and significant effect on liquidity. The</w:t>
      </w:r>
      <w:r>
        <w:rPr>
          <w:rFonts w:ascii="Arial" w:hAnsi="Arial" w:cs="Arial"/>
          <w:bCs/>
        </w:rPr>
        <w:t xml:space="preserve"> </w:t>
      </w:r>
      <w:r w:rsidRPr="009F4FE5">
        <w:rPr>
          <w:rFonts w:ascii="Arial" w:hAnsi="Arial" w:cs="Arial"/>
          <w:bCs/>
        </w:rPr>
        <w:t xml:space="preserve">second study conducted by </w:t>
      </w:r>
      <w:proofErr w:type="spellStart"/>
      <w:r w:rsidRPr="009F4FE5">
        <w:rPr>
          <w:rFonts w:ascii="Arial" w:hAnsi="Arial" w:cs="Arial"/>
          <w:bCs/>
        </w:rPr>
        <w:t>Sembiring</w:t>
      </w:r>
      <w:proofErr w:type="spellEnd"/>
      <w:r w:rsidRPr="009F4FE5">
        <w:rPr>
          <w:rFonts w:ascii="Arial" w:hAnsi="Arial" w:cs="Arial"/>
          <w:bCs/>
        </w:rPr>
        <w:t xml:space="preserve"> (2023) shows that the ROA (Return </w:t>
      </w:r>
      <w:proofErr w:type="gramStart"/>
      <w:r w:rsidRPr="009F4FE5">
        <w:rPr>
          <w:rFonts w:ascii="Arial" w:hAnsi="Arial" w:cs="Arial"/>
          <w:bCs/>
        </w:rPr>
        <w:t>On</w:t>
      </w:r>
      <w:proofErr w:type="gramEnd"/>
      <w:r w:rsidRPr="009F4FE5">
        <w:rPr>
          <w:rFonts w:ascii="Arial" w:hAnsi="Arial" w:cs="Arial"/>
          <w:bCs/>
        </w:rPr>
        <w:t xml:space="preserve"> Asset)</w:t>
      </w:r>
      <w:r>
        <w:rPr>
          <w:rFonts w:ascii="Arial" w:hAnsi="Arial" w:cs="Arial"/>
          <w:bCs/>
        </w:rPr>
        <w:t xml:space="preserve"> </w:t>
      </w:r>
      <w:r w:rsidRPr="009F4FE5">
        <w:rPr>
          <w:rFonts w:ascii="Arial" w:hAnsi="Arial" w:cs="Arial"/>
          <w:bCs/>
        </w:rPr>
        <w:t>variable does not significantly affect liquidity. The third study conducted by Hardy (2025)</w:t>
      </w:r>
      <w:r>
        <w:rPr>
          <w:rFonts w:ascii="Arial" w:hAnsi="Arial" w:cs="Arial"/>
          <w:bCs/>
        </w:rPr>
        <w:t xml:space="preserve"> </w:t>
      </w:r>
      <w:r w:rsidRPr="009F4FE5">
        <w:rPr>
          <w:rFonts w:ascii="Arial" w:hAnsi="Arial" w:cs="Arial"/>
          <w:bCs/>
        </w:rPr>
        <w:t>shows that the CAR (Capital Adequacy Ratio) variable does not have a significant effect on</w:t>
      </w:r>
      <w:r>
        <w:rPr>
          <w:rFonts w:ascii="Arial" w:hAnsi="Arial" w:cs="Arial"/>
          <w:bCs/>
        </w:rPr>
        <w:t xml:space="preserve"> </w:t>
      </w:r>
      <w:r w:rsidRPr="009F4FE5">
        <w:rPr>
          <w:rFonts w:ascii="Arial" w:hAnsi="Arial" w:cs="Arial"/>
          <w:bCs/>
        </w:rPr>
        <w:t>liquidity, and the ROA (Return on Asset) variable has a positive and significant effect on</w:t>
      </w:r>
      <w:r>
        <w:rPr>
          <w:rFonts w:ascii="Arial" w:hAnsi="Arial" w:cs="Arial"/>
          <w:bCs/>
        </w:rPr>
        <w:t xml:space="preserve"> </w:t>
      </w:r>
      <w:r w:rsidRPr="009F4FE5">
        <w:rPr>
          <w:rFonts w:ascii="Arial" w:hAnsi="Arial" w:cs="Arial"/>
          <w:bCs/>
        </w:rPr>
        <w:t>liquidity.</w:t>
      </w:r>
    </w:p>
    <w:p w14:paraId="4E51962B" w14:textId="77777777" w:rsidR="009F4FE5" w:rsidRDefault="009F4FE5" w:rsidP="009F4FE5">
      <w:pPr>
        <w:pStyle w:val="Body"/>
        <w:spacing w:after="0"/>
        <w:rPr>
          <w:rFonts w:ascii="Arial" w:hAnsi="Arial" w:cs="Arial"/>
          <w:bCs/>
        </w:rPr>
      </w:pPr>
    </w:p>
    <w:p w14:paraId="1AAB118A" w14:textId="3B617B34" w:rsidR="009F4FE5" w:rsidRPr="009F4FE5" w:rsidRDefault="009F4FE5" w:rsidP="009F4FE5">
      <w:pPr>
        <w:pStyle w:val="Body"/>
        <w:spacing w:after="0"/>
        <w:rPr>
          <w:rFonts w:ascii="Arial" w:hAnsi="Arial" w:cs="Arial"/>
          <w:bCs/>
        </w:rPr>
      </w:pPr>
      <w:r w:rsidRPr="009F4FE5">
        <w:rPr>
          <w:rFonts w:ascii="Arial" w:hAnsi="Arial" w:cs="Arial"/>
          <w:bCs/>
        </w:rPr>
        <w:t>Based on the description and previous studies, the author formulates the following</w:t>
      </w:r>
      <w:r>
        <w:rPr>
          <w:rFonts w:ascii="Arial" w:hAnsi="Arial" w:cs="Arial"/>
          <w:bCs/>
        </w:rPr>
        <w:t xml:space="preserve"> </w:t>
      </w:r>
      <w:r w:rsidRPr="009F4FE5">
        <w:rPr>
          <w:rFonts w:ascii="Arial" w:hAnsi="Arial" w:cs="Arial"/>
          <w:bCs/>
        </w:rPr>
        <w:t>hypothesis:</w:t>
      </w:r>
    </w:p>
    <w:p w14:paraId="1528FBF8" w14:textId="10E943CB" w:rsidR="00AB3D24" w:rsidRDefault="009F4FE5" w:rsidP="009F4FE5">
      <w:pPr>
        <w:pStyle w:val="Body"/>
        <w:spacing w:after="0"/>
        <w:rPr>
          <w:rFonts w:ascii="Arial" w:hAnsi="Arial" w:cs="Arial"/>
          <w:bCs/>
        </w:rPr>
      </w:pPr>
      <w:r w:rsidRPr="009F4FE5">
        <w:rPr>
          <w:rFonts w:ascii="Arial" w:hAnsi="Arial" w:cs="Arial"/>
          <w:bCs/>
        </w:rPr>
        <w:t>H2: There is a positive effect between profitability and liquidity</w:t>
      </w:r>
    </w:p>
    <w:p w14:paraId="7232E8B5" w14:textId="77777777" w:rsidR="00AB3D24" w:rsidRPr="00AB3D24" w:rsidRDefault="00AB3D24" w:rsidP="00E3536B">
      <w:pPr>
        <w:pStyle w:val="Body"/>
        <w:spacing w:after="0"/>
        <w:rPr>
          <w:rFonts w:ascii="Arial" w:hAnsi="Arial" w:cs="Arial"/>
          <w:bCs/>
        </w:rPr>
      </w:pPr>
    </w:p>
    <w:p w14:paraId="146EC0B6" w14:textId="5D1A53D4" w:rsidR="005E11F2" w:rsidRDefault="005E11F2" w:rsidP="00E3536B">
      <w:pPr>
        <w:pStyle w:val="Body"/>
        <w:spacing w:after="0"/>
        <w:rPr>
          <w:rFonts w:ascii="Arial" w:hAnsi="Arial" w:cs="Arial"/>
          <w:b/>
          <w:u w:val="single"/>
        </w:rPr>
      </w:pPr>
      <w:r>
        <w:rPr>
          <w:rFonts w:ascii="Arial" w:hAnsi="Arial" w:cs="Arial"/>
          <w:b/>
          <w:u w:val="single"/>
        </w:rPr>
        <w:t xml:space="preserve">2.2.3 </w:t>
      </w:r>
      <w:r w:rsidRPr="005E11F2">
        <w:rPr>
          <w:rFonts w:ascii="Arial" w:hAnsi="Arial" w:cs="Arial"/>
          <w:b/>
          <w:u w:val="single"/>
        </w:rPr>
        <w:t xml:space="preserve">The Effect of </w:t>
      </w:r>
      <w:r w:rsidR="009F4FE5" w:rsidRPr="009F4FE5">
        <w:rPr>
          <w:rFonts w:ascii="Arial" w:hAnsi="Arial" w:cs="Arial"/>
          <w:b/>
          <w:u w:val="single"/>
        </w:rPr>
        <w:t>Liquidity Risk on Liquidity</w:t>
      </w:r>
    </w:p>
    <w:p w14:paraId="74526A45" w14:textId="77777777" w:rsidR="00AB3D24" w:rsidRDefault="00AB3D24" w:rsidP="00E3536B">
      <w:pPr>
        <w:pStyle w:val="Body"/>
        <w:spacing w:after="0"/>
        <w:rPr>
          <w:rFonts w:ascii="Arial" w:hAnsi="Arial" w:cs="Arial"/>
          <w:bCs/>
        </w:rPr>
      </w:pPr>
    </w:p>
    <w:p w14:paraId="5EE26E12" w14:textId="77777777" w:rsidR="009F4FE5" w:rsidRDefault="009F4FE5" w:rsidP="009F4FE5">
      <w:pPr>
        <w:pStyle w:val="Body"/>
        <w:spacing w:after="0"/>
        <w:rPr>
          <w:rFonts w:ascii="Arial" w:hAnsi="Arial" w:cs="Arial"/>
          <w:bCs/>
        </w:rPr>
      </w:pPr>
      <w:r w:rsidRPr="009F4FE5">
        <w:rPr>
          <w:rFonts w:ascii="Arial" w:hAnsi="Arial" w:cs="Arial"/>
          <w:bCs/>
        </w:rPr>
        <w:t>The Loan to Deposits Ratio has a close relationship with bank liquidity, because the higher</w:t>
      </w:r>
      <w:r>
        <w:rPr>
          <w:rFonts w:ascii="Arial" w:hAnsi="Arial" w:cs="Arial"/>
          <w:bCs/>
        </w:rPr>
        <w:t xml:space="preserve"> </w:t>
      </w:r>
      <w:r w:rsidRPr="009F4FE5">
        <w:rPr>
          <w:rFonts w:ascii="Arial" w:hAnsi="Arial" w:cs="Arial"/>
          <w:bCs/>
        </w:rPr>
        <w:t>the LDR, the lower the bank's liquidity. A high LDR indicates that banks may have liquidity</w:t>
      </w:r>
      <w:r>
        <w:rPr>
          <w:rFonts w:ascii="Arial" w:hAnsi="Arial" w:cs="Arial"/>
          <w:bCs/>
        </w:rPr>
        <w:t xml:space="preserve"> </w:t>
      </w:r>
      <w:r w:rsidRPr="009F4FE5">
        <w:rPr>
          <w:rFonts w:ascii="Arial" w:hAnsi="Arial" w:cs="Arial"/>
          <w:bCs/>
        </w:rPr>
        <w:t>problems because they rely on credit to meet their obligations, while a low LDR indicates</w:t>
      </w:r>
      <w:r>
        <w:rPr>
          <w:rFonts w:ascii="Arial" w:hAnsi="Arial" w:cs="Arial"/>
          <w:bCs/>
        </w:rPr>
        <w:t xml:space="preserve"> </w:t>
      </w:r>
      <w:r w:rsidRPr="009F4FE5">
        <w:rPr>
          <w:rFonts w:ascii="Arial" w:hAnsi="Arial" w:cs="Arial"/>
          <w:bCs/>
        </w:rPr>
        <w:t>that banks have better liquidity because they have more funds from customers.</w:t>
      </w:r>
    </w:p>
    <w:p w14:paraId="51AB01F5" w14:textId="77777777" w:rsidR="009F4FE5" w:rsidRDefault="009F4FE5" w:rsidP="009F4FE5">
      <w:pPr>
        <w:pStyle w:val="Body"/>
        <w:spacing w:after="0"/>
        <w:rPr>
          <w:rFonts w:ascii="Arial" w:hAnsi="Arial" w:cs="Arial"/>
          <w:bCs/>
        </w:rPr>
      </w:pPr>
    </w:p>
    <w:p w14:paraId="66CA244D" w14:textId="77777777" w:rsidR="009F4FE5" w:rsidRDefault="009F4FE5" w:rsidP="009F4FE5">
      <w:pPr>
        <w:pStyle w:val="Body"/>
        <w:spacing w:after="0"/>
        <w:rPr>
          <w:rFonts w:ascii="Arial" w:hAnsi="Arial" w:cs="Arial"/>
          <w:bCs/>
        </w:rPr>
      </w:pPr>
      <w:r w:rsidRPr="009F4FE5">
        <w:rPr>
          <w:rFonts w:ascii="Arial" w:hAnsi="Arial" w:cs="Arial"/>
          <w:bCs/>
        </w:rPr>
        <w:t xml:space="preserve">Previous research referenced in this study, namely research conducted by </w:t>
      </w:r>
      <w:proofErr w:type="spellStart"/>
      <w:r w:rsidRPr="009F4FE5">
        <w:rPr>
          <w:rFonts w:ascii="Arial" w:hAnsi="Arial" w:cs="Arial"/>
          <w:bCs/>
        </w:rPr>
        <w:t>Yerismal</w:t>
      </w:r>
      <w:proofErr w:type="spellEnd"/>
      <w:r w:rsidRPr="009F4FE5">
        <w:rPr>
          <w:rFonts w:ascii="Arial" w:hAnsi="Arial" w:cs="Arial"/>
          <w:bCs/>
        </w:rPr>
        <w:t xml:space="preserve"> (2018),</w:t>
      </w:r>
      <w:r>
        <w:rPr>
          <w:rFonts w:ascii="Arial" w:hAnsi="Arial" w:cs="Arial"/>
          <w:bCs/>
        </w:rPr>
        <w:t xml:space="preserve"> </w:t>
      </w:r>
      <w:r w:rsidRPr="009F4FE5">
        <w:rPr>
          <w:rFonts w:ascii="Arial" w:hAnsi="Arial" w:cs="Arial"/>
          <w:bCs/>
        </w:rPr>
        <w:t>shows that the LDR variable has a positive and significant effect on liquidity, while CAR has</w:t>
      </w:r>
      <w:r>
        <w:rPr>
          <w:rFonts w:ascii="Arial" w:hAnsi="Arial" w:cs="Arial"/>
          <w:bCs/>
        </w:rPr>
        <w:t xml:space="preserve"> </w:t>
      </w:r>
      <w:r w:rsidRPr="009F4FE5">
        <w:rPr>
          <w:rFonts w:ascii="Arial" w:hAnsi="Arial" w:cs="Arial"/>
          <w:bCs/>
        </w:rPr>
        <w:t>a negative and insignificant effect on liquidity.</w:t>
      </w:r>
    </w:p>
    <w:p w14:paraId="67FE5EEF" w14:textId="77777777" w:rsidR="009F4FE5" w:rsidRDefault="009F4FE5" w:rsidP="009F4FE5">
      <w:pPr>
        <w:pStyle w:val="Body"/>
        <w:spacing w:after="0"/>
        <w:rPr>
          <w:rFonts w:ascii="Arial" w:hAnsi="Arial" w:cs="Arial"/>
          <w:bCs/>
        </w:rPr>
      </w:pPr>
    </w:p>
    <w:p w14:paraId="6D11522C" w14:textId="3D43AADB" w:rsidR="009F4FE5" w:rsidRPr="009F4FE5" w:rsidRDefault="009F4FE5" w:rsidP="009F4FE5">
      <w:pPr>
        <w:pStyle w:val="Body"/>
        <w:spacing w:after="0"/>
        <w:rPr>
          <w:rFonts w:ascii="Arial" w:hAnsi="Arial" w:cs="Arial"/>
          <w:bCs/>
        </w:rPr>
      </w:pPr>
      <w:r w:rsidRPr="009F4FE5">
        <w:rPr>
          <w:rFonts w:ascii="Arial" w:hAnsi="Arial" w:cs="Arial"/>
          <w:bCs/>
        </w:rPr>
        <w:lastRenderedPageBreak/>
        <w:t>Based on the description and previous</w:t>
      </w:r>
      <w:r>
        <w:rPr>
          <w:rFonts w:ascii="Arial" w:hAnsi="Arial" w:cs="Arial"/>
          <w:bCs/>
        </w:rPr>
        <w:t xml:space="preserve"> </w:t>
      </w:r>
      <w:r w:rsidRPr="009F4FE5">
        <w:rPr>
          <w:rFonts w:ascii="Arial" w:hAnsi="Arial" w:cs="Arial"/>
          <w:bCs/>
        </w:rPr>
        <w:t>research, the author formulates the following hypothesis:</w:t>
      </w:r>
    </w:p>
    <w:p w14:paraId="53465646" w14:textId="5FB3CC17" w:rsidR="00AB3D24" w:rsidRDefault="009F4FE5" w:rsidP="009F4FE5">
      <w:pPr>
        <w:pStyle w:val="Body"/>
        <w:spacing w:after="0"/>
        <w:rPr>
          <w:rFonts w:ascii="Arial" w:hAnsi="Arial" w:cs="Arial"/>
          <w:bCs/>
        </w:rPr>
      </w:pPr>
      <w:r w:rsidRPr="009F4FE5">
        <w:rPr>
          <w:rFonts w:ascii="Arial" w:hAnsi="Arial" w:cs="Arial"/>
          <w:bCs/>
        </w:rPr>
        <w:t>H3: There is a negative effect between Liquidity Risk and liquidity.</w:t>
      </w:r>
    </w:p>
    <w:p w14:paraId="45FC38CA" w14:textId="77777777" w:rsidR="009F4FE5" w:rsidRPr="00AB3D24" w:rsidRDefault="009F4FE5" w:rsidP="009F4FE5">
      <w:pPr>
        <w:pStyle w:val="Body"/>
        <w:spacing w:after="0"/>
        <w:rPr>
          <w:rFonts w:ascii="Arial" w:hAnsi="Arial" w:cs="Arial"/>
          <w:bCs/>
        </w:rPr>
      </w:pPr>
    </w:p>
    <w:p w14:paraId="096639BD" w14:textId="21732287" w:rsidR="005E11F2" w:rsidRDefault="005E11F2" w:rsidP="00E3536B">
      <w:pPr>
        <w:pStyle w:val="Body"/>
        <w:spacing w:after="0"/>
        <w:rPr>
          <w:rFonts w:ascii="Arial" w:hAnsi="Arial" w:cs="Arial"/>
          <w:b/>
          <w:u w:val="single"/>
        </w:rPr>
      </w:pPr>
      <w:r>
        <w:rPr>
          <w:rFonts w:ascii="Arial" w:hAnsi="Arial" w:cs="Arial"/>
          <w:b/>
          <w:u w:val="single"/>
        </w:rPr>
        <w:t xml:space="preserve">2.2.4 </w:t>
      </w:r>
      <w:r w:rsidRPr="005E11F2">
        <w:rPr>
          <w:rFonts w:ascii="Arial" w:hAnsi="Arial" w:cs="Arial"/>
          <w:b/>
          <w:u w:val="single"/>
        </w:rPr>
        <w:t xml:space="preserve">The Effect of </w:t>
      </w:r>
      <w:r w:rsidR="009F4FE5" w:rsidRPr="009F4FE5">
        <w:rPr>
          <w:rFonts w:ascii="Arial" w:hAnsi="Arial" w:cs="Arial"/>
          <w:b/>
          <w:u w:val="single"/>
        </w:rPr>
        <w:t>Bank Size on Liquidity</w:t>
      </w:r>
    </w:p>
    <w:p w14:paraId="3E20B6CE" w14:textId="77777777" w:rsidR="00AB3D24" w:rsidRDefault="00AB3D24" w:rsidP="00E3536B">
      <w:pPr>
        <w:pStyle w:val="Body"/>
        <w:spacing w:after="0"/>
        <w:rPr>
          <w:rFonts w:ascii="Arial" w:hAnsi="Arial" w:cs="Arial"/>
          <w:bCs/>
        </w:rPr>
      </w:pPr>
    </w:p>
    <w:p w14:paraId="35F8B194" w14:textId="63939741" w:rsidR="009F4FE5" w:rsidRPr="009F4FE5" w:rsidRDefault="009F4FE5" w:rsidP="006E35F3">
      <w:pPr>
        <w:pStyle w:val="Body"/>
        <w:spacing w:after="0"/>
        <w:rPr>
          <w:rFonts w:ascii="Arial" w:hAnsi="Arial" w:cs="Arial"/>
          <w:bCs/>
        </w:rPr>
      </w:pPr>
      <w:r w:rsidRPr="009F4FE5">
        <w:rPr>
          <w:rFonts w:ascii="Arial" w:hAnsi="Arial" w:cs="Arial"/>
          <w:bCs/>
        </w:rPr>
        <w:t>Larger banks typically have more assets, which can be interpreted as more liquid assets</w:t>
      </w:r>
      <w:r>
        <w:rPr>
          <w:rFonts w:ascii="Arial" w:hAnsi="Arial" w:cs="Arial"/>
          <w:bCs/>
        </w:rPr>
        <w:t xml:space="preserve"> </w:t>
      </w:r>
      <w:r w:rsidRPr="009F4FE5">
        <w:rPr>
          <w:rFonts w:ascii="Arial" w:hAnsi="Arial" w:cs="Arial"/>
          <w:bCs/>
        </w:rPr>
        <w:t>(such as cash, deposits, and securities). In addition, large banks tend to have a wider</w:t>
      </w:r>
      <w:r>
        <w:rPr>
          <w:rFonts w:ascii="Arial" w:hAnsi="Arial" w:cs="Arial"/>
          <w:bCs/>
        </w:rPr>
        <w:t xml:space="preserve"> </w:t>
      </w:r>
      <w:r w:rsidRPr="009F4FE5">
        <w:rPr>
          <w:rFonts w:ascii="Arial" w:hAnsi="Arial" w:cs="Arial"/>
          <w:bCs/>
        </w:rPr>
        <w:t>network of relationships with investors and other financial institutions, allowing them to</w:t>
      </w:r>
      <w:r>
        <w:rPr>
          <w:rFonts w:ascii="Arial" w:hAnsi="Arial" w:cs="Arial"/>
          <w:bCs/>
        </w:rPr>
        <w:t xml:space="preserve"> </w:t>
      </w:r>
      <w:r w:rsidRPr="009F4FE5">
        <w:rPr>
          <w:rFonts w:ascii="Arial" w:hAnsi="Arial" w:cs="Arial"/>
          <w:bCs/>
        </w:rPr>
        <w:t>access capital markets and obtain funding more easily. This can improve a bank's ability to</w:t>
      </w:r>
      <w:r>
        <w:rPr>
          <w:rFonts w:ascii="Arial" w:hAnsi="Arial" w:cs="Arial"/>
          <w:bCs/>
        </w:rPr>
        <w:t xml:space="preserve"> </w:t>
      </w:r>
      <w:r w:rsidRPr="009F4FE5">
        <w:rPr>
          <w:rFonts w:ascii="Arial" w:hAnsi="Arial" w:cs="Arial"/>
          <w:bCs/>
        </w:rPr>
        <w:t>meet its short-term obligations, which is a good indicator of liquidity. However, the size of a</w:t>
      </w:r>
      <w:r>
        <w:rPr>
          <w:rFonts w:ascii="Arial" w:hAnsi="Arial" w:cs="Arial"/>
          <w:bCs/>
        </w:rPr>
        <w:t xml:space="preserve"> </w:t>
      </w:r>
      <w:r w:rsidRPr="009F4FE5">
        <w:rPr>
          <w:rFonts w:ascii="Arial" w:hAnsi="Arial" w:cs="Arial"/>
          <w:bCs/>
        </w:rPr>
        <w:t>large bank can also increase liquidity risk.</w:t>
      </w:r>
    </w:p>
    <w:p w14:paraId="4430B17D" w14:textId="77777777" w:rsidR="006E35F3" w:rsidRDefault="006E35F3" w:rsidP="006E35F3">
      <w:pPr>
        <w:pStyle w:val="Body"/>
        <w:spacing w:after="0"/>
        <w:rPr>
          <w:rFonts w:ascii="Arial" w:hAnsi="Arial" w:cs="Arial"/>
          <w:bCs/>
        </w:rPr>
      </w:pPr>
    </w:p>
    <w:p w14:paraId="46B9685F" w14:textId="791D5588" w:rsidR="006E35F3" w:rsidRDefault="009F4FE5" w:rsidP="006E35F3">
      <w:pPr>
        <w:pStyle w:val="Body"/>
        <w:spacing w:after="0"/>
        <w:rPr>
          <w:rFonts w:ascii="Arial" w:hAnsi="Arial" w:cs="Arial"/>
          <w:bCs/>
        </w:rPr>
      </w:pPr>
      <w:r w:rsidRPr="009F4FE5">
        <w:rPr>
          <w:rFonts w:ascii="Arial" w:hAnsi="Arial" w:cs="Arial"/>
          <w:bCs/>
        </w:rPr>
        <w:t>The first previous study referenced in this study, conducted by Rahayu et al. (2020), shows</w:t>
      </w:r>
      <w:r w:rsidR="006E35F3">
        <w:rPr>
          <w:rFonts w:ascii="Arial" w:hAnsi="Arial" w:cs="Arial"/>
          <w:bCs/>
        </w:rPr>
        <w:t xml:space="preserve"> </w:t>
      </w:r>
      <w:r w:rsidRPr="009F4FE5">
        <w:rPr>
          <w:rFonts w:ascii="Arial" w:hAnsi="Arial" w:cs="Arial"/>
          <w:bCs/>
        </w:rPr>
        <w:t>that the company size variable has no effect on company liquidity. The second study was</w:t>
      </w:r>
      <w:r w:rsidR="006E35F3">
        <w:rPr>
          <w:rFonts w:ascii="Arial" w:hAnsi="Arial" w:cs="Arial"/>
          <w:bCs/>
        </w:rPr>
        <w:t xml:space="preserve"> </w:t>
      </w:r>
      <w:r w:rsidRPr="009F4FE5">
        <w:rPr>
          <w:rFonts w:ascii="Arial" w:hAnsi="Arial" w:cs="Arial"/>
          <w:bCs/>
        </w:rPr>
        <w:t>conducted by Angelita (2016), and the results showed that the CAR variable has a positive</w:t>
      </w:r>
      <w:r w:rsidR="006E35F3">
        <w:rPr>
          <w:rFonts w:ascii="Arial" w:hAnsi="Arial" w:cs="Arial"/>
          <w:bCs/>
        </w:rPr>
        <w:t xml:space="preserve"> </w:t>
      </w:r>
      <w:r w:rsidRPr="009F4FE5">
        <w:rPr>
          <w:rFonts w:ascii="Arial" w:hAnsi="Arial" w:cs="Arial"/>
          <w:bCs/>
        </w:rPr>
        <w:t>and significant effect on liquidity, the company size variable has a positive and significant</w:t>
      </w:r>
      <w:r w:rsidR="006E35F3">
        <w:rPr>
          <w:rFonts w:ascii="Arial" w:hAnsi="Arial" w:cs="Arial"/>
          <w:bCs/>
        </w:rPr>
        <w:t xml:space="preserve"> </w:t>
      </w:r>
      <w:r w:rsidRPr="009F4FE5">
        <w:rPr>
          <w:rFonts w:ascii="Arial" w:hAnsi="Arial" w:cs="Arial"/>
          <w:bCs/>
        </w:rPr>
        <w:t>effect on liquidity, and the ROA variable has a negative and significant effect on liquidity. The</w:t>
      </w:r>
      <w:r w:rsidR="006E35F3">
        <w:rPr>
          <w:rFonts w:ascii="Arial" w:hAnsi="Arial" w:cs="Arial"/>
          <w:bCs/>
        </w:rPr>
        <w:t xml:space="preserve"> </w:t>
      </w:r>
      <w:r w:rsidRPr="009F4FE5">
        <w:rPr>
          <w:rFonts w:ascii="Arial" w:hAnsi="Arial" w:cs="Arial"/>
          <w:bCs/>
        </w:rPr>
        <w:t xml:space="preserve">third study conducted by </w:t>
      </w:r>
      <w:proofErr w:type="spellStart"/>
      <w:r w:rsidRPr="009F4FE5">
        <w:rPr>
          <w:rFonts w:ascii="Arial" w:hAnsi="Arial" w:cs="Arial"/>
          <w:bCs/>
        </w:rPr>
        <w:t>Widyaningsih</w:t>
      </w:r>
      <w:proofErr w:type="spellEnd"/>
      <w:r w:rsidRPr="009F4FE5">
        <w:rPr>
          <w:rFonts w:ascii="Arial" w:hAnsi="Arial" w:cs="Arial"/>
          <w:bCs/>
        </w:rPr>
        <w:t xml:space="preserve"> et al. (2024) shows that the Capital Adequacy Ratio</w:t>
      </w:r>
      <w:r w:rsidR="006E35F3">
        <w:rPr>
          <w:rFonts w:ascii="Arial" w:hAnsi="Arial" w:cs="Arial"/>
          <w:bCs/>
        </w:rPr>
        <w:t xml:space="preserve"> </w:t>
      </w:r>
      <w:r w:rsidRPr="009F4FE5">
        <w:rPr>
          <w:rFonts w:ascii="Arial" w:hAnsi="Arial" w:cs="Arial"/>
          <w:bCs/>
        </w:rPr>
        <w:t xml:space="preserve">(CAR) variable has no effect on bank liquidity, the </w:t>
      </w:r>
      <w:r w:rsidR="006E35F3" w:rsidRPr="009F4FE5">
        <w:rPr>
          <w:rFonts w:ascii="Arial" w:hAnsi="Arial" w:cs="Arial"/>
          <w:bCs/>
        </w:rPr>
        <w:t>Third-Party</w:t>
      </w:r>
      <w:r w:rsidRPr="009F4FE5">
        <w:rPr>
          <w:rFonts w:ascii="Arial" w:hAnsi="Arial" w:cs="Arial"/>
          <w:bCs/>
        </w:rPr>
        <w:t xml:space="preserve"> Funds (DPK) variable has no</w:t>
      </w:r>
      <w:r w:rsidR="006E35F3">
        <w:rPr>
          <w:rFonts w:ascii="Arial" w:hAnsi="Arial" w:cs="Arial"/>
          <w:bCs/>
        </w:rPr>
        <w:t xml:space="preserve"> </w:t>
      </w:r>
      <w:r w:rsidRPr="009F4FE5">
        <w:rPr>
          <w:rFonts w:ascii="Arial" w:hAnsi="Arial" w:cs="Arial"/>
          <w:bCs/>
        </w:rPr>
        <w:t>effect on liquidity, and the variable has a positive effect on liquidity.</w:t>
      </w:r>
    </w:p>
    <w:p w14:paraId="767B8D28" w14:textId="77777777" w:rsidR="006E35F3" w:rsidRDefault="006E35F3" w:rsidP="006E35F3">
      <w:pPr>
        <w:pStyle w:val="Body"/>
        <w:spacing w:after="0"/>
        <w:rPr>
          <w:rFonts w:ascii="Arial" w:hAnsi="Arial" w:cs="Arial"/>
          <w:bCs/>
        </w:rPr>
      </w:pPr>
    </w:p>
    <w:p w14:paraId="1E3CFEB9" w14:textId="6EA9785D" w:rsidR="009F4FE5" w:rsidRPr="009F4FE5" w:rsidRDefault="009F4FE5" w:rsidP="006E35F3">
      <w:pPr>
        <w:pStyle w:val="Body"/>
        <w:spacing w:after="0"/>
        <w:rPr>
          <w:rFonts w:ascii="Arial" w:hAnsi="Arial" w:cs="Arial"/>
          <w:bCs/>
        </w:rPr>
      </w:pPr>
      <w:r w:rsidRPr="009F4FE5">
        <w:rPr>
          <w:rFonts w:ascii="Arial" w:hAnsi="Arial" w:cs="Arial"/>
          <w:bCs/>
        </w:rPr>
        <w:t>Based on the description</w:t>
      </w:r>
      <w:r w:rsidR="006E35F3">
        <w:rPr>
          <w:rFonts w:ascii="Arial" w:hAnsi="Arial" w:cs="Arial"/>
          <w:bCs/>
        </w:rPr>
        <w:t xml:space="preserve"> </w:t>
      </w:r>
      <w:r w:rsidRPr="009F4FE5">
        <w:rPr>
          <w:rFonts w:ascii="Arial" w:hAnsi="Arial" w:cs="Arial"/>
          <w:bCs/>
        </w:rPr>
        <w:t>and previous studies, the author formulates the following hypothesis:</w:t>
      </w:r>
    </w:p>
    <w:p w14:paraId="1B69D160" w14:textId="55194C53" w:rsidR="00AB3D24" w:rsidRDefault="009F4FE5" w:rsidP="006E35F3">
      <w:pPr>
        <w:pStyle w:val="Body"/>
        <w:spacing w:after="0"/>
        <w:rPr>
          <w:rFonts w:ascii="Arial" w:hAnsi="Arial" w:cs="Arial"/>
          <w:bCs/>
        </w:rPr>
      </w:pPr>
      <w:r w:rsidRPr="009F4FE5">
        <w:rPr>
          <w:rFonts w:ascii="Arial" w:hAnsi="Arial" w:cs="Arial"/>
          <w:bCs/>
        </w:rPr>
        <w:t>H4: There is a positive effect between bank size and liquidity.</w:t>
      </w:r>
    </w:p>
    <w:p w14:paraId="74A352BA" w14:textId="77777777" w:rsidR="00AB3D24" w:rsidRPr="00AB3D24" w:rsidRDefault="00AB3D24" w:rsidP="00E3536B">
      <w:pPr>
        <w:pStyle w:val="Body"/>
        <w:spacing w:after="0"/>
        <w:rPr>
          <w:rFonts w:ascii="Arial" w:hAnsi="Arial" w:cs="Arial"/>
          <w:bCs/>
        </w:rPr>
      </w:pPr>
    </w:p>
    <w:p w14:paraId="0D211114" w14:textId="77777777" w:rsidR="00AB3D24" w:rsidRPr="00AB3D24" w:rsidRDefault="00AB3D24" w:rsidP="00E3536B">
      <w:pPr>
        <w:pStyle w:val="Body"/>
        <w:spacing w:after="0"/>
        <w:rPr>
          <w:rFonts w:ascii="Arial" w:hAnsi="Arial" w:cs="Arial"/>
          <w:bCs/>
        </w:rPr>
      </w:pPr>
    </w:p>
    <w:p w14:paraId="6BDA96F6" w14:textId="77777777" w:rsidR="004C6D94" w:rsidRDefault="004C6D94" w:rsidP="00E3536B">
      <w:pPr>
        <w:pStyle w:val="Head1"/>
        <w:spacing w:after="0"/>
        <w:jc w:val="both"/>
        <w:rPr>
          <w:rFonts w:ascii="Arial" w:hAnsi="Arial" w:cs="Arial"/>
        </w:rPr>
      </w:pPr>
      <w:r>
        <w:rPr>
          <w:rFonts w:ascii="Arial" w:hAnsi="Arial" w:cs="Arial"/>
        </w:rPr>
        <w:t>3. RESEARCH METHODS</w:t>
      </w:r>
    </w:p>
    <w:p w14:paraId="3DE187B1" w14:textId="77777777" w:rsidR="004C6D94" w:rsidRDefault="004C6D94" w:rsidP="00E3536B">
      <w:pPr>
        <w:pStyle w:val="Head1"/>
        <w:spacing w:after="0"/>
        <w:jc w:val="both"/>
        <w:rPr>
          <w:rFonts w:ascii="Arial" w:hAnsi="Arial" w:cs="Arial"/>
          <w:b w:val="0"/>
          <w:bCs/>
        </w:rPr>
      </w:pPr>
    </w:p>
    <w:p w14:paraId="079BBA22" w14:textId="20B8C5D0" w:rsidR="004C6D94" w:rsidRDefault="006E35F3" w:rsidP="006E35F3">
      <w:pPr>
        <w:pStyle w:val="Body"/>
        <w:spacing w:after="0"/>
        <w:rPr>
          <w:rFonts w:ascii="Arial" w:hAnsi="Arial" w:cs="Arial"/>
          <w:bCs/>
        </w:rPr>
      </w:pPr>
      <w:r w:rsidRPr="006E35F3">
        <w:rPr>
          <w:rFonts w:ascii="Arial" w:hAnsi="Arial" w:cs="Arial"/>
          <w:bCs/>
        </w:rPr>
        <w:t>In this study, the author uses a quantitative research method. The population in this study is</w:t>
      </w:r>
      <w:r>
        <w:rPr>
          <w:rFonts w:ascii="Arial" w:hAnsi="Arial" w:cs="Arial"/>
          <w:bCs/>
        </w:rPr>
        <w:t xml:space="preserve"> </w:t>
      </w:r>
      <w:r w:rsidRPr="006E35F3">
        <w:rPr>
          <w:rFonts w:ascii="Arial" w:hAnsi="Arial" w:cs="Arial"/>
          <w:bCs/>
        </w:rPr>
        <w:t>Rural Banks (BPR) in East Java Province that are registered and supervised by the</w:t>
      </w:r>
      <w:r>
        <w:rPr>
          <w:rFonts w:ascii="Arial" w:hAnsi="Arial" w:cs="Arial"/>
          <w:bCs/>
        </w:rPr>
        <w:t xml:space="preserve"> </w:t>
      </w:r>
      <w:r w:rsidRPr="006E35F3">
        <w:rPr>
          <w:rFonts w:ascii="Arial" w:hAnsi="Arial" w:cs="Arial"/>
          <w:bCs/>
        </w:rPr>
        <w:t>Financial Services Authority (OJK) for the period 2022-2024. The sampling technique used</w:t>
      </w:r>
      <w:r>
        <w:rPr>
          <w:rFonts w:ascii="Arial" w:hAnsi="Arial" w:cs="Arial"/>
          <w:bCs/>
        </w:rPr>
        <w:t xml:space="preserve"> </w:t>
      </w:r>
      <w:r w:rsidRPr="006E35F3">
        <w:rPr>
          <w:rFonts w:ascii="Arial" w:hAnsi="Arial" w:cs="Arial"/>
          <w:bCs/>
        </w:rPr>
        <w:t>in this study is purposive sampling. The sample used in this study consisted of 27 Rural</w:t>
      </w:r>
      <w:r>
        <w:rPr>
          <w:rFonts w:ascii="Arial" w:hAnsi="Arial" w:cs="Arial"/>
          <w:bCs/>
        </w:rPr>
        <w:t xml:space="preserve"> </w:t>
      </w:r>
      <w:r w:rsidRPr="006E35F3">
        <w:rPr>
          <w:rFonts w:ascii="Arial" w:hAnsi="Arial" w:cs="Arial"/>
          <w:bCs/>
        </w:rPr>
        <w:t>Banks in East Java Province. Secondary data was obtained from financial reports published</w:t>
      </w:r>
      <w:r>
        <w:rPr>
          <w:rFonts w:ascii="Arial" w:hAnsi="Arial" w:cs="Arial"/>
          <w:bCs/>
        </w:rPr>
        <w:t xml:space="preserve"> </w:t>
      </w:r>
      <w:r w:rsidRPr="006E35F3">
        <w:rPr>
          <w:rFonts w:ascii="Arial" w:hAnsi="Arial" w:cs="Arial"/>
          <w:bCs/>
        </w:rPr>
        <w:t xml:space="preserve">and accessed by the public through the official website of the Financial Services </w:t>
      </w:r>
      <w:r w:rsidR="0025050C" w:rsidRPr="006E35F3">
        <w:rPr>
          <w:rFonts w:ascii="Arial" w:hAnsi="Arial" w:cs="Arial"/>
          <w:bCs/>
        </w:rPr>
        <w:t>Authority</w:t>
      </w:r>
      <w:r w:rsidR="0025050C">
        <w:rPr>
          <w:rFonts w:ascii="Arial" w:hAnsi="Arial" w:cs="Arial"/>
          <w:bCs/>
        </w:rPr>
        <w:t xml:space="preserve"> </w:t>
      </w:r>
      <w:r w:rsidR="0025050C" w:rsidRPr="006E35F3">
        <w:rPr>
          <w:rFonts w:ascii="Arial" w:hAnsi="Arial" w:cs="Arial"/>
          <w:bCs/>
        </w:rPr>
        <w:t>(</w:t>
      </w:r>
      <w:r w:rsidRPr="006E35F3">
        <w:rPr>
          <w:rFonts w:ascii="Arial" w:hAnsi="Arial" w:cs="Arial"/>
          <w:bCs/>
        </w:rPr>
        <w:t>OJK) during the period 2022–2024.</w:t>
      </w:r>
      <w:r w:rsidR="004C6D94" w:rsidRPr="004C6D94">
        <w:rPr>
          <w:rFonts w:ascii="Arial" w:hAnsi="Arial" w:cs="Arial"/>
          <w:bCs/>
        </w:rPr>
        <w:t xml:space="preserve"> The sample was selected using purposive sampling, resulting in </w:t>
      </w:r>
      <w:r w:rsidR="00B36CE0">
        <w:rPr>
          <w:rFonts w:ascii="Arial" w:hAnsi="Arial" w:cs="Arial"/>
          <w:bCs/>
        </w:rPr>
        <w:t>27</w:t>
      </w:r>
      <w:r w:rsidR="004C6D94" w:rsidRPr="004C6D94">
        <w:rPr>
          <w:rFonts w:ascii="Arial" w:hAnsi="Arial" w:cs="Arial"/>
          <w:bCs/>
        </w:rPr>
        <w:t xml:space="preserve"> companies and a total of </w:t>
      </w:r>
      <w:r w:rsidR="00B36CE0">
        <w:rPr>
          <w:rFonts w:ascii="Arial" w:hAnsi="Arial" w:cs="Arial"/>
          <w:bCs/>
        </w:rPr>
        <w:t>81</w:t>
      </w:r>
      <w:r w:rsidR="004C6D94" w:rsidRPr="004C6D94">
        <w:rPr>
          <w:rFonts w:ascii="Arial" w:hAnsi="Arial" w:cs="Arial"/>
          <w:bCs/>
        </w:rPr>
        <w:t xml:space="preserve"> observations that met the following sampling criteria: </w:t>
      </w:r>
    </w:p>
    <w:p w14:paraId="5BDF07DC" w14:textId="77777777" w:rsidR="004C6D94" w:rsidRDefault="004C6D94" w:rsidP="00E3536B">
      <w:pPr>
        <w:pStyle w:val="Body"/>
        <w:spacing w:after="0"/>
        <w:rPr>
          <w:rFonts w:ascii="Arial" w:hAnsi="Arial" w:cs="Arial"/>
          <w:bCs/>
        </w:rPr>
      </w:pPr>
    </w:p>
    <w:p w14:paraId="3B034A26" w14:textId="28CD39E2" w:rsidR="00541A3B" w:rsidRDefault="00541A3B" w:rsidP="00E3536B">
      <w:pPr>
        <w:tabs>
          <w:tab w:val="left" w:pos="1080"/>
        </w:tabs>
        <w:jc w:val="center"/>
        <w:rPr>
          <w:rFonts w:ascii="Arial" w:hAnsi="Arial"/>
          <w:b/>
        </w:rPr>
      </w:pPr>
      <w:r>
        <w:rPr>
          <w:rFonts w:ascii="Arial" w:hAnsi="Arial"/>
          <w:b/>
        </w:rPr>
        <w:t xml:space="preserve">Table 1. </w:t>
      </w:r>
      <w:r w:rsidRPr="00541A3B">
        <w:rPr>
          <w:rFonts w:ascii="Arial" w:hAnsi="Arial"/>
          <w:b/>
        </w:rPr>
        <w:t>Sample Selection Process</w:t>
      </w:r>
    </w:p>
    <w:p w14:paraId="28971A48" w14:textId="77777777" w:rsidR="00541A3B" w:rsidRDefault="00541A3B" w:rsidP="00E3536B">
      <w:pPr>
        <w:tabs>
          <w:tab w:val="left" w:pos="1080"/>
        </w:tabs>
        <w:jc w:val="center"/>
        <w:rPr>
          <w:rFonts w:ascii="Arial" w:hAnsi="Arial"/>
          <w:b/>
        </w:rPr>
      </w:pPr>
    </w:p>
    <w:tbl>
      <w:tblPr>
        <w:tblW w:w="8181" w:type="dxa"/>
        <w:jc w:val="center"/>
        <w:tblBorders>
          <w:top w:val="single" w:sz="4" w:space="0" w:color="auto"/>
        </w:tblBorders>
        <w:tblLook w:val="04A0" w:firstRow="1" w:lastRow="0" w:firstColumn="1" w:lastColumn="0" w:noHBand="0" w:noVBand="1"/>
      </w:tblPr>
      <w:tblGrid>
        <w:gridCol w:w="7281"/>
        <w:gridCol w:w="900"/>
      </w:tblGrid>
      <w:tr w:rsidR="00541A3B" w:rsidRPr="00541A3B" w14:paraId="3E42EDDA" w14:textId="77777777" w:rsidTr="00A7596C">
        <w:trPr>
          <w:trHeight w:val="291"/>
          <w:jc w:val="center"/>
        </w:trPr>
        <w:tc>
          <w:tcPr>
            <w:tcW w:w="7281" w:type="dxa"/>
            <w:tcBorders>
              <w:top w:val="single" w:sz="4" w:space="0" w:color="auto"/>
              <w:bottom w:val="single" w:sz="4" w:space="0" w:color="auto"/>
            </w:tcBorders>
          </w:tcPr>
          <w:p w14:paraId="5E21640A" w14:textId="77777777" w:rsidR="00541A3B" w:rsidRPr="00541A3B" w:rsidRDefault="00541A3B" w:rsidP="006E35F3">
            <w:pPr>
              <w:jc w:val="center"/>
              <w:rPr>
                <w:rFonts w:ascii="Arial" w:hAnsi="Arial"/>
                <w:b/>
              </w:rPr>
            </w:pPr>
            <w:r w:rsidRPr="00541A3B">
              <w:rPr>
                <w:rFonts w:ascii="Arial" w:hAnsi="Arial"/>
                <w:b/>
              </w:rPr>
              <w:t>Research Sample Data</w:t>
            </w:r>
          </w:p>
        </w:tc>
        <w:tc>
          <w:tcPr>
            <w:tcW w:w="900" w:type="dxa"/>
            <w:tcBorders>
              <w:top w:val="single" w:sz="4" w:space="0" w:color="auto"/>
              <w:bottom w:val="single" w:sz="4" w:space="0" w:color="auto"/>
            </w:tcBorders>
          </w:tcPr>
          <w:p w14:paraId="4207BF4E" w14:textId="77777777" w:rsidR="00541A3B" w:rsidRPr="00541A3B" w:rsidRDefault="00541A3B" w:rsidP="00E3536B">
            <w:pPr>
              <w:jc w:val="both"/>
              <w:rPr>
                <w:rFonts w:ascii="Arial" w:hAnsi="Arial"/>
                <w:b/>
              </w:rPr>
            </w:pPr>
            <w:r w:rsidRPr="00541A3B">
              <w:rPr>
                <w:rFonts w:ascii="Arial" w:hAnsi="Arial"/>
                <w:b/>
              </w:rPr>
              <w:t>Total</w:t>
            </w:r>
          </w:p>
        </w:tc>
      </w:tr>
      <w:tr w:rsidR="00541A3B" w:rsidRPr="00386E68" w14:paraId="0C8CD74F" w14:textId="77777777" w:rsidTr="00A7596C">
        <w:trPr>
          <w:trHeight w:val="44"/>
          <w:jc w:val="center"/>
        </w:trPr>
        <w:tc>
          <w:tcPr>
            <w:tcW w:w="7281" w:type="dxa"/>
            <w:tcBorders>
              <w:top w:val="single" w:sz="4" w:space="0" w:color="auto"/>
            </w:tcBorders>
          </w:tcPr>
          <w:p w14:paraId="28AB87DB" w14:textId="06DD1DC0" w:rsidR="00541A3B" w:rsidRPr="00541A3B" w:rsidRDefault="006E35F3" w:rsidP="00E3536B">
            <w:pPr>
              <w:jc w:val="both"/>
              <w:rPr>
                <w:rFonts w:ascii="Arial" w:hAnsi="Arial"/>
              </w:rPr>
            </w:pPr>
            <w:r w:rsidRPr="006E35F3">
              <w:rPr>
                <w:rFonts w:ascii="Arial" w:hAnsi="Arial"/>
              </w:rPr>
              <w:t>People's Economy Banks in the East Java region that are registered and supervised by the East Java Province Financial Services Authority (OJK)</w:t>
            </w:r>
          </w:p>
        </w:tc>
        <w:tc>
          <w:tcPr>
            <w:tcW w:w="900" w:type="dxa"/>
            <w:tcBorders>
              <w:top w:val="single" w:sz="4" w:space="0" w:color="auto"/>
            </w:tcBorders>
          </w:tcPr>
          <w:p w14:paraId="5787B739" w14:textId="286C891F" w:rsidR="00541A3B" w:rsidRPr="00541A3B" w:rsidRDefault="006E35F3" w:rsidP="00E3536B">
            <w:pPr>
              <w:contextualSpacing/>
              <w:jc w:val="center"/>
              <w:rPr>
                <w:rFonts w:ascii="Arial" w:hAnsi="Arial"/>
              </w:rPr>
            </w:pPr>
            <w:r>
              <w:rPr>
                <w:rFonts w:ascii="Arial" w:hAnsi="Arial"/>
              </w:rPr>
              <w:t>2</w:t>
            </w:r>
            <w:r w:rsidR="00541A3B" w:rsidRPr="00541A3B">
              <w:rPr>
                <w:rFonts w:ascii="Arial" w:hAnsi="Arial"/>
              </w:rPr>
              <w:t>7</w:t>
            </w:r>
          </w:p>
        </w:tc>
      </w:tr>
      <w:tr w:rsidR="00541A3B" w:rsidRPr="00386E68" w14:paraId="4365E139" w14:textId="77777777" w:rsidTr="00A7596C">
        <w:trPr>
          <w:trHeight w:val="44"/>
          <w:jc w:val="center"/>
        </w:trPr>
        <w:tc>
          <w:tcPr>
            <w:tcW w:w="7281" w:type="dxa"/>
          </w:tcPr>
          <w:p w14:paraId="122C9DC3" w14:textId="77777777" w:rsidR="00541A3B" w:rsidRPr="00A7596C" w:rsidRDefault="00541A3B" w:rsidP="00E3536B">
            <w:pPr>
              <w:jc w:val="both"/>
              <w:rPr>
                <w:rFonts w:ascii="Arial" w:hAnsi="Arial"/>
                <w:b/>
                <w:bCs/>
              </w:rPr>
            </w:pPr>
            <w:r w:rsidRPr="00A7596C">
              <w:rPr>
                <w:rFonts w:ascii="Arial" w:hAnsi="Arial"/>
                <w:b/>
                <w:bCs/>
              </w:rPr>
              <w:t>Less:</w:t>
            </w:r>
          </w:p>
          <w:p w14:paraId="2ECA5581" w14:textId="77777777" w:rsidR="006E35F3" w:rsidRPr="006E35F3" w:rsidRDefault="006E35F3" w:rsidP="006E35F3">
            <w:pPr>
              <w:pStyle w:val="ListParagraph"/>
              <w:numPr>
                <w:ilvl w:val="0"/>
                <w:numId w:val="31"/>
              </w:numPr>
              <w:ind w:right="-12"/>
              <w:jc w:val="both"/>
              <w:rPr>
                <w:rFonts w:ascii="Arial" w:hAnsi="Arial"/>
                <w:sz w:val="20"/>
                <w:szCs w:val="20"/>
                <w:lang w:eastAsia="en-US"/>
              </w:rPr>
            </w:pPr>
            <w:r w:rsidRPr="006E35F3">
              <w:rPr>
                <w:rFonts w:ascii="Arial" w:hAnsi="Arial"/>
                <w:sz w:val="20"/>
                <w:szCs w:val="20"/>
                <w:lang w:eastAsia="en-US"/>
              </w:rPr>
              <w:t>Rural Banks that did not publish complete financial reports for the period 2022–2024</w:t>
            </w:r>
          </w:p>
          <w:p w14:paraId="2C080BEE" w14:textId="7F7BB051" w:rsidR="00541A3B" w:rsidRPr="00541A3B" w:rsidRDefault="006E35F3" w:rsidP="006E35F3">
            <w:pPr>
              <w:pStyle w:val="ListParagraph"/>
              <w:numPr>
                <w:ilvl w:val="0"/>
                <w:numId w:val="31"/>
              </w:numPr>
              <w:spacing w:after="0" w:line="240" w:lineRule="auto"/>
              <w:ind w:right="-166"/>
              <w:jc w:val="both"/>
              <w:rPr>
                <w:rFonts w:ascii="Arial" w:hAnsi="Arial"/>
                <w:sz w:val="20"/>
                <w:szCs w:val="20"/>
                <w:lang w:eastAsia="en-US"/>
              </w:rPr>
            </w:pPr>
            <w:r w:rsidRPr="006E35F3">
              <w:rPr>
                <w:rFonts w:ascii="Arial" w:hAnsi="Arial"/>
                <w:sz w:val="20"/>
                <w:szCs w:val="20"/>
                <w:lang w:eastAsia="en-US"/>
              </w:rPr>
              <w:t>BPR with a minimum capital of less than 30B for the period 2022–2024</w:t>
            </w:r>
          </w:p>
        </w:tc>
        <w:tc>
          <w:tcPr>
            <w:tcW w:w="900" w:type="dxa"/>
          </w:tcPr>
          <w:p w14:paraId="2F0052AE" w14:textId="77777777" w:rsidR="006E35F3" w:rsidRPr="00541A3B" w:rsidRDefault="006E35F3" w:rsidP="006E35F3">
            <w:pPr>
              <w:contextualSpacing/>
              <w:rPr>
                <w:rFonts w:ascii="Arial" w:hAnsi="Arial"/>
              </w:rPr>
            </w:pPr>
          </w:p>
          <w:p w14:paraId="6302BDB5" w14:textId="63D135F5" w:rsidR="00541A3B" w:rsidRDefault="00541A3B" w:rsidP="00E3536B">
            <w:pPr>
              <w:contextualSpacing/>
              <w:jc w:val="center"/>
              <w:rPr>
                <w:rFonts w:ascii="Arial" w:hAnsi="Arial"/>
              </w:rPr>
            </w:pPr>
            <w:r w:rsidRPr="00541A3B">
              <w:rPr>
                <w:rFonts w:ascii="Arial" w:hAnsi="Arial"/>
              </w:rPr>
              <w:t>(</w:t>
            </w:r>
            <w:r w:rsidR="006E35F3">
              <w:rPr>
                <w:rFonts w:ascii="Arial" w:hAnsi="Arial"/>
              </w:rPr>
              <w:t>31</w:t>
            </w:r>
            <w:r w:rsidRPr="00541A3B">
              <w:rPr>
                <w:rFonts w:ascii="Arial" w:hAnsi="Arial"/>
              </w:rPr>
              <w:t>)</w:t>
            </w:r>
          </w:p>
          <w:p w14:paraId="7917301D" w14:textId="77777777" w:rsidR="006E35F3" w:rsidRPr="00541A3B" w:rsidRDefault="006E35F3" w:rsidP="00E3536B">
            <w:pPr>
              <w:contextualSpacing/>
              <w:jc w:val="center"/>
              <w:rPr>
                <w:rFonts w:ascii="Arial" w:hAnsi="Arial"/>
              </w:rPr>
            </w:pPr>
          </w:p>
          <w:p w14:paraId="037BE752" w14:textId="63FFC5EF" w:rsidR="00541A3B" w:rsidRPr="00541A3B" w:rsidRDefault="00541A3B" w:rsidP="006E35F3">
            <w:pPr>
              <w:contextualSpacing/>
              <w:jc w:val="center"/>
              <w:rPr>
                <w:rFonts w:ascii="Arial" w:hAnsi="Arial"/>
              </w:rPr>
            </w:pPr>
            <w:r w:rsidRPr="00541A3B">
              <w:rPr>
                <w:rFonts w:ascii="Arial" w:hAnsi="Arial"/>
              </w:rPr>
              <w:t>(</w:t>
            </w:r>
            <w:r w:rsidR="006E35F3">
              <w:rPr>
                <w:rFonts w:ascii="Arial" w:hAnsi="Arial"/>
              </w:rPr>
              <w:t>220</w:t>
            </w:r>
            <w:r w:rsidRPr="00541A3B">
              <w:rPr>
                <w:rFonts w:ascii="Arial" w:hAnsi="Arial"/>
              </w:rPr>
              <w:t>)</w:t>
            </w:r>
          </w:p>
        </w:tc>
      </w:tr>
      <w:tr w:rsidR="00541A3B" w:rsidRPr="00386E68" w14:paraId="2EA671DF" w14:textId="77777777" w:rsidTr="00A7596C">
        <w:trPr>
          <w:trHeight w:val="44"/>
          <w:jc w:val="center"/>
        </w:trPr>
        <w:tc>
          <w:tcPr>
            <w:tcW w:w="7281" w:type="dxa"/>
          </w:tcPr>
          <w:p w14:paraId="367E1688" w14:textId="77777777" w:rsidR="00541A3B" w:rsidRPr="00541A3B" w:rsidRDefault="00541A3B" w:rsidP="00E3536B">
            <w:pPr>
              <w:jc w:val="both"/>
              <w:rPr>
                <w:rFonts w:ascii="Arial" w:hAnsi="Arial"/>
              </w:rPr>
            </w:pPr>
            <w:r w:rsidRPr="00541A3B">
              <w:rPr>
                <w:rFonts w:ascii="Arial" w:hAnsi="Arial"/>
              </w:rPr>
              <w:t>Number of sample companies</w:t>
            </w:r>
          </w:p>
        </w:tc>
        <w:tc>
          <w:tcPr>
            <w:tcW w:w="900" w:type="dxa"/>
          </w:tcPr>
          <w:p w14:paraId="1E333C8B" w14:textId="703A27BE" w:rsidR="00541A3B" w:rsidRPr="00541A3B" w:rsidRDefault="006E35F3" w:rsidP="00E3536B">
            <w:pPr>
              <w:contextualSpacing/>
              <w:jc w:val="center"/>
              <w:rPr>
                <w:rFonts w:ascii="Arial" w:hAnsi="Arial"/>
              </w:rPr>
            </w:pPr>
            <w:r>
              <w:rPr>
                <w:rFonts w:ascii="Arial" w:hAnsi="Arial"/>
              </w:rPr>
              <w:t>27</w:t>
            </w:r>
          </w:p>
        </w:tc>
      </w:tr>
      <w:tr w:rsidR="00541A3B" w:rsidRPr="00386E68" w14:paraId="3733685E" w14:textId="77777777" w:rsidTr="00A7596C">
        <w:trPr>
          <w:trHeight w:val="44"/>
          <w:jc w:val="center"/>
        </w:trPr>
        <w:tc>
          <w:tcPr>
            <w:tcW w:w="7281" w:type="dxa"/>
          </w:tcPr>
          <w:p w14:paraId="426B3587" w14:textId="616560E7" w:rsidR="00541A3B" w:rsidRPr="00541A3B" w:rsidRDefault="00541A3B" w:rsidP="00E3536B">
            <w:pPr>
              <w:jc w:val="both"/>
              <w:rPr>
                <w:rFonts w:ascii="Arial" w:hAnsi="Arial"/>
              </w:rPr>
            </w:pPr>
            <w:r w:rsidRPr="00541A3B">
              <w:rPr>
                <w:rFonts w:ascii="Arial" w:hAnsi="Arial"/>
              </w:rPr>
              <w:t>Observation period 20</w:t>
            </w:r>
            <w:r w:rsidR="006E35F3">
              <w:rPr>
                <w:rFonts w:ascii="Arial" w:hAnsi="Arial"/>
              </w:rPr>
              <w:t>22</w:t>
            </w:r>
            <w:r w:rsidRPr="00541A3B">
              <w:rPr>
                <w:rFonts w:ascii="Arial" w:hAnsi="Arial"/>
              </w:rPr>
              <w:t xml:space="preserve"> - 202</w:t>
            </w:r>
            <w:r w:rsidR="006E35F3">
              <w:rPr>
                <w:rFonts w:ascii="Arial" w:hAnsi="Arial"/>
              </w:rPr>
              <w:t>4</w:t>
            </w:r>
          </w:p>
        </w:tc>
        <w:tc>
          <w:tcPr>
            <w:tcW w:w="900" w:type="dxa"/>
          </w:tcPr>
          <w:p w14:paraId="25F15AC1" w14:textId="44EF49A5" w:rsidR="00541A3B" w:rsidRPr="00541A3B" w:rsidRDefault="006E35F3" w:rsidP="00E3536B">
            <w:pPr>
              <w:contextualSpacing/>
              <w:jc w:val="center"/>
              <w:rPr>
                <w:rFonts w:ascii="Arial" w:hAnsi="Arial"/>
              </w:rPr>
            </w:pPr>
            <w:r>
              <w:rPr>
                <w:rFonts w:ascii="Arial" w:hAnsi="Arial"/>
              </w:rPr>
              <w:t>3</w:t>
            </w:r>
          </w:p>
        </w:tc>
      </w:tr>
      <w:tr w:rsidR="00541A3B" w:rsidRPr="00386E68" w14:paraId="4695CB25" w14:textId="77777777" w:rsidTr="00A7596C">
        <w:trPr>
          <w:trHeight w:val="44"/>
          <w:jc w:val="center"/>
        </w:trPr>
        <w:tc>
          <w:tcPr>
            <w:tcW w:w="7281" w:type="dxa"/>
            <w:tcBorders>
              <w:top w:val="single" w:sz="4" w:space="0" w:color="auto"/>
              <w:bottom w:val="single" w:sz="4" w:space="0" w:color="auto"/>
            </w:tcBorders>
          </w:tcPr>
          <w:p w14:paraId="6FA50DD2" w14:textId="0797D436" w:rsidR="00541A3B" w:rsidRPr="00A7596C" w:rsidRDefault="006E35F3" w:rsidP="00E3536B">
            <w:pPr>
              <w:jc w:val="both"/>
              <w:rPr>
                <w:rFonts w:ascii="Arial" w:hAnsi="Arial"/>
                <w:b/>
                <w:bCs/>
              </w:rPr>
            </w:pPr>
            <w:r>
              <w:rPr>
                <w:rFonts w:ascii="Arial" w:hAnsi="Arial"/>
                <w:b/>
                <w:bCs/>
              </w:rPr>
              <w:t>Total</w:t>
            </w:r>
            <w:r w:rsidR="00541A3B" w:rsidRPr="00A7596C">
              <w:rPr>
                <w:rFonts w:ascii="Arial" w:hAnsi="Arial"/>
                <w:b/>
                <w:bCs/>
              </w:rPr>
              <w:t xml:space="preserve"> observations analyzed</w:t>
            </w:r>
          </w:p>
        </w:tc>
        <w:tc>
          <w:tcPr>
            <w:tcW w:w="900" w:type="dxa"/>
            <w:tcBorders>
              <w:top w:val="single" w:sz="4" w:space="0" w:color="auto"/>
              <w:bottom w:val="single" w:sz="4" w:space="0" w:color="auto"/>
            </w:tcBorders>
          </w:tcPr>
          <w:p w14:paraId="2A1018D7" w14:textId="54058842" w:rsidR="00541A3B" w:rsidRPr="006E35F3" w:rsidRDefault="006E35F3" w:rsidP="00E3536B">
            <w:pPr>
              <w:jc w:val="center"/>
              <w:rPr>
                <w:rFonts w:ascii="Arial" w:hAnsi="Arial"/>
                <w:b/>
                <w:bCs/>
              </w:rPr>
            </w:pPr>
            <w:r w:rsidRPr="006E35F3">
              <w:rPr>
                <w:rFonts w:ascii="Arial" w:hAnsi="Arial"/>
                <w:b/>
                <w:bCs/>
              </w:rPr>
              <w:t>81</w:t>
            </w:r>
          </w:p>
        </w:tc>
      </w:tr>
    </w:tbl>
    <w:p w14:paraId="7451FF56" w14:textId="354481A1" w:rsidR="00541A3B" w:rsidRDefault="006E35F3" w:rsidP="006E35F3">
      <w:pPr>
        <w:tabs>
          <w:tab w:val="left" w:pos="1080"/>
        </w:tabs>
        <w:jc w:val="both"/>
        <w:rPr>
          <w:rFonts w:ascii="Arial" w:hAnsi="Arial"/>
          <w:bCs/>
          <w:sz w:val="18"/>
          <w:szCs w:val="18"/>
        </w:rPr>
      </w:pPr>
      <w:r w:rsidRPr="006E35F3">
        <w:rPr>
          <w:rFonts w:ascii="Arial" w:hAnsi="Arial"/>
          <w:bCs/>
          <w:sz w:val="18"/>
          <w:szCs w:val="18"/>
        </w:rPr>
        <w:t>Source: Processed by the authors</w:t>
      </w:r>
      <w:r w:rsidR="0025050C">
        <w:rPr>
          <w:rFonts w:ascii="Arial" w:hAnsi="Arial"/>
          <w:bCs/>
          <w:sz w:val="18"/>
          <w:szCs w:val="18"/>
        </w:rPr>
        <w:t>, (</w:t>
      </w:r>
      <w:r w:rsidRPr="006E35F3">
        <w:rPr>
          <w:rFonts w:ascii="Arial" w:hAnsi="Arial"/>
          <w:bCs/>
          <w:sz w:val="18"/>
          <w:szCs w:val="18"/>
        </w:rPr>
        <w:t>2025</w:t>
      </w:r>
      <w:r w:rsidR="0025050C">
        <w:rPr>
          <w:rFonts w:ascii="Arial" w:hAnsi="Arial"/>
          <w:bCs/>
          <w:sz w:val="18"/>
          <w:szCs w:val="18"/>
        </w:rPr>
        <w:t>)</w:t>
      </w:r>
    </w:p>
    <w:p w14:paraId="226D0782" w14:textId="77777777" w:rsidR="006E35F3" w:rsidRPr="006E35F3" w:rsidRDefault="006E35F3" w:rsidP="006E35F3">
      <w:pPr>
        <w:tabs>
          <w:tab w:val="left" w:pos="1080"/>
        </w:tabs>
        <w:jc w:val="both"/>
        <w:rPr>
          <w:rFonts w:ascii="Arial" w:hAnsi="Arial"/>
          <w:bCs/>
          <w:sz w:val="18"/>
          <w:szCs w:val="18"/>
        </w:rPr>
      </w:pPr>
    </w:p>
    <w:p w14:paraId="0467D51F" w14:textId="2DAFAA0A" w:rsidR="00A7596C" w:rsidRPr="00A7596C" w:rsidRDefault="007F3A35" w:rsidP="007F3A35">
      <w:pPr>
        <w:widowControl w:val="0"/>
        <w:pBdr>
          <w:top w:val="nil"/>
          <w:left w:val="nil"/>
          <w:bottom w:val="nil"/>
          <w:right w:val="nil"/>
          <w:between w:val="nil"/>
        </w:pBdr>
        <w:jc w:val="both"/>
        <w:rPr>
          <w:rFonts w:ascii="Arial" w:hAnsi="Arial" w:cs="Arial"/>
          <w:color w:val="000000"/>
        </w:rPr>
      </w:pPr>
      <w:r w:rsidRPr="007F3A35">
        <w:rPr>
          <w:rFonts w:ascii="Arial" w:hAnsi="Arial" w:cs="Arial"/>
          <w:color w:val="000000"/>
        </w:rPr>
        <w:lastRenderedPageBreak/>
        <w:t>In this study, multiple regression analysis was used to examine the effect of CAR, ROA,</w:t>
      </w:r>
      <w:r>
        <w:rPr>
          <w:rFonts w:ascii="Arial" w:hAnsi="Arial" w:cs="Arial"/>
          <w:color w:val="000000"/>
        </w:rPr>
        <w:t xml:space="preserve"> </w:t>
      </w:r>
      <w:r w:rsidRPr="007F3A35">
        <w:rPr>
          <w:rFonts w:ascii="Arial" w:hAnsi="Arial" w:cs="Arial"/>
          <w:color w:val="000000"/>
        </w:rPr>
        <w:t>LDR, and company size on liquidity. Hypothesis testing in this study involves classical</w:t>
      </w:r>
      <w:r>
        <w:rPr>
          <w:rFonts w:ascii="Arial" w:hAnsi="Arial" w:cs="Arial"/>
          <w:color w:val="000000"/>
        </w:rPr>
        <w:t xml:space="preserve"> </w:t>
      </w:r>
      <w:r w:rsidRPr="007F3A35">
        <w:rPr>
          <w:rFonts w:ascii="Arial" w:hAnsi="Arial" w:cs="Arial"/>
          <w:color w:val="000000"/>
        </w:rPr>
        <w:t xml:space="preserve">assumption tests, model </w:t>
      </w:r>
      <w:r w:rsidR="002A666F" w:rsidRPr="002A666F">
        <w:rPr>
          <w:rFonts w:ascii="Arial" w:hAnsi="Arial" w:cs="Arial"/>
          <w:color w:val="000000"/>
        </w:rPr>
        <w:t>Goodness of Fit</w:t>
      </w:r>
      <w:r w:rsidRPr="007F3A35">
        <w:rPr>
          <w:rFonts w:ascii="Arial" w:hAnsi="Arial" w:cs="Arial"/>
          <w:color w:val="000000"/>
        </w:rPr>
        <w:t xml:space="preserve"> (F-test), coefficient of determination test (R²), and t</w:t>
      </w:r>
      <w:r>
        <w:rPr>
          <w:rFonts w:ascii="Arial" w:hAnsi="Arial" w:cs="Arial"/>
          <w:color w:val="000000"/>
        </w:rPr>
        <w:t>-</w:t>
      </w:r>
      <w:r w:rsidRPr="007F3A35">
        <w:rPr>
          <w:rFonts w:ascii="Arial" w:hAnsi="Arial" w:cs="Arial"/>
          <w:color w:val="000000"/>
        </w:rPr>
        <w:t>test.</w:t>
      </w:r>
      <w:r w:rsidR="0025050C">
        <w:rPr>
          <w:rFonts w:ascii="Arial" w:hAnsi="Arial" w:cs="Arial"/>
          <w:color w:val="000000"/>
        </w:rPr>
        <w:t xml:space="preserve"> </w:t>
      </w:r>
      <w:r w:rsidR="0025050C">
        <w:rPr>
          <w:rFonts w:ascii="Arial" w:eastAsia="Calibri" w:hAnsi="Arial" w:cs="Arial"/>
          <w:szCs w:val="22"/>
        </w:rPr>
        <w:t>T</w:t>
      </w:r>
      <w:r w:rsidR="0025050C" w:rsidRPr="00F05A84">
        <w:rPr>
          <w:rFonts w:ascii="Arial" w:eastAsia="Calibri" w:hAnsi="Arial" w:cs="Arial"/>
          <w:szCs w:val="22"/>
        </w:rPr>
        <w:t>he data analysis technique used was multiple linear regression with SPSS version 22</w:t>
      </w:r>
      <w:r w:rsidR="0025050C">
        <w:rPr>
          <w:rFonts w:ascii="Arial" w:eastAsia="Calibri" w:hAnsi="Arial" w:cs="Arial"/>
          <w:szCs w:val="22"/>
        </w:rPr>
        <w:t>.</w:t>
      </w:r>
    </w:p>
    <w:p w14:paraId="08405539" w14:textId="77777777" w:rsidR="00541A3B" w:rsidRDefault="00541A3B" w:rsidP="00541A3B">
      <w:pPr>
        <w:tabs>
          <w:tab w:val="left" w:pos="1080"/>
        </w:tabs>
        <w:jc w:val="both"/>
        <w:rPr>
          <w:rFonts w:ascii="Arial" w:hAnsi="Arial"/>
          <w:b/>
        </w:rPr>
      </w:pPr>
    </w:p>
    <w:p w14:paraId="500F6B6E" w14:textId="77777777" w:rsidR="007F3A35" w:rsidRPr="00DC3180" w:rsidRDefault="007F3A35" w:rsidP="00541A3B">
      <w:pPr>
        <w:tabs>
          <w:tab w:val="left" w:pos="1080"/>
        </w:tabs>
        <w:jc w:val="both"/>
        <w:rPr>
          <w:rFonts w:ascii="Arial" w:hAnsi="Arial"/>
          <w:b/>
        </w:rPr>
      </w:pPr>
    </w:p>
    <w:p w14:paraId="7D731AB5" w14:textId="2E4F189D" w:rsidR="00902823" w:rsidRDefault="004C6D94"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3D49A59" w14:textId="77777777" w:rsidR="00790ADA" w:rsidRPr="00FB3A86" w:rsidRDefault="00790ADA" w:rsidP="00441B6F">
      <w:pPr>
        <w:pStyle w:val="Head1"/>
        <w:spacing w:after="0"/>
        <w:jc w:val="both"/>
        <w:rPr>
          <w:rFonts w:ascii="Arial" w:hAnsi="Arial" w:cs="Arial"/>
        </w:rPr>
      </w:pPr>
    </w:p>
    <w:p w14:paraId="3BFB8940" w14:textId="1CA0DFAC" w:rsidR="00607285" w:rsidRDefault="00607285" w:rsidP="00607285">
      <w:pPr>
        <w:pStyle w:val="Body"/>
        <w:spacing w:after="0"/>
        <w:rPr>
          <w:rFonts w:ascii="Arial" w:hAnsi="Arial" w:cs="Arial"/>
          <w:b/>
          <w:caps/>
          <w:sz w:val="22"/>
        </w:rPr>
      </w:pPr>
      <w:r>
        <w:rPr>
          <w:rFonts w:ascii="Arial" w:hAnsi="Arial" w:cs="Arial"/>
          <w:b/>
          <w:caps/>
          <w:sz w:val="22"/>
        </w:rPr>
        <w:t>4</w:t>
      </w:r>
      <w:r w:rsidRPr="00C30A0F">
        <w:rPr>
          <w:rFonts w:ascii="Arial" w:hAnsi="Arial" w:cs="Arial"/>
          <w:b/>
          <w:caps/>
          <w:sz w:val="22"/>
        </w:rPr>
        <w:t xml:space="preserve">.1 </w:t>
      </w:r>
      <w:r>
        <w:rPr>
          <w:rFonts w:ascii="Arial" w:hAnsi="Arial" w:cs="Arial"/>
          <w:b/>
          <w:caps/>
          <w:sz w:val="22"/>
        </w:rPr>
        <w:t>RESULTS</w:t>
      </w:r>
    </w:p>
    <w:p w14:paraId="307FA531" w14:textId="77777777" w:rsidR="007F3A35" w:rsidRDefault="007F3A35" w:rsidP="00607285">
      <w:pPr>
        <w:pStyle w:val="Body"/>
        <w:spacing w:after="0"/>
        <w:rPr>
          <w:rFonts w:ascii="Arial" w:hAnsi="Arial" w:cs="Arial"/>
          <w:b/>
          <w:caps/>
          <w:sz w:val="22"/>
        </w:rPr>
      </w:pPr>
    </w:p>
    <w:p w14:paraId="205A6411" w14:textId="57601C80" w:rsidR="007F3A35" w:rsidRPr="007F3A35" w:rsidRDefault="007F3A35" w:rsidP="00607285">
      <w:pPr>
        <w:pStyle w:val="Body"/>
        <w:spacing w:after="0"/>
        <w:rPr>
          <w:rFonts w:ascii="Arial" w:hAnsi="Arial" w:cs="Arial"/>
          <w:b/>
          <w:caps/>
          <w:szCs w:val="18"/>
          <w:u w:val="single"/>
        </w:rPr>
      </w:pPr>
      <w:r w:rsidRPr="007F3A35">
        <w:rPr>
          <w:rFonts w:ascii="Arial" w:hAnsi="Arial" w:cs="Arial"/>
          <w:b/>
          <w:caps/>
          <w:szCs w:val="18"/>
          <w:u w:val="single"/>
        </w:rPr>
        <w:t>4.</w:t>
      </w:r>
      <w:r w:rsidRPr="007F3A35">
        <w:rPr>
          <w:rFonts w:ascii="Arial" w:hAnsi="Arial" w:cs="Arial"/>
          <w:b/>
          <w:u w:val="single"/>
        </w:rPr>
        <w:t>1.1 Descriptive Statistics</w:t>
      </w:r>
    </w:p>
    <w:p w14:paraId="47EB2743" w14:textId="77777777" w:rsidR="00607285" w:rsidRDefault="00607285" w:rsidP="00441B6F">
      <w:pPr>
        <w:pStyle w:val="Body"/>
        <w:spacing w:after="0"/>
        <w:rPr>
          <w:rFonts w:ascii="Arial" w:hAnsi="Arial" w:cs="Arial"/>
        </w:rPr>
      </w:pPr>
    </w:p>
    <w:p w14:paraId="264727A4" w14:textId="0CEB4627" w:rsidR="00A7596C" w:rsidRDefault="007B00C3" w:rsidP="007B00C3">
      <w:pPr>
        <w:pStyle w:val="Body"/>
        <w:spacing w:after="0"/>
        <w:rPr>
          <w:rFonts w:ascii="Arial" w:hAnsi="Arial" w:cs="Arial"/>
        </w:rPr>
      </w:pPr>
      <w:r w:rsidRPr="007B00C3">
        <w:rPr>
          <w:rFonts w:ascii="Arial" w:hAnsi="Arial" w:cs="Arial"/>
        </w:rPr>
        <w:t>Descriptive statistical testing aims to provide an overview or description of the data based on</w:t>
      </w:r>
      <w:r>
        <w:rPr>
          <w:rFonts w:ascii="Arial" w:hAnsi="Arial" w:cs="Arial"/>
        </w:rPr>
        <w:t xml:space="preserve"> </w:t>
      </w:r>
      <w:r w:rsidRPr="007B00C3">
        <w:rPr>
          <w:rFonts w:ascii="Arial" w:hAnsi="Arial" w:cs="Arial"/>
        </w:rPr>
        <w:t>the minimum value, maximum value, mean (average) value, and standard deviation of each</w:t>
      </w:r>
      <w:r>
        <w:rPr>
          <w:rFonts w:ascii="Arial" w:hAnsi="Arial" w:cs="Arial"/>
        </w:rPr>
        <w:t xml:space="preserve"> </w:t>
      </w:r>
      <w:r w:rsidRPr="007B00C3">
        <w:rPr>
          <w:rFonts w:ascii="Arial" w:hAnsi="Arial" w:cs="Arial"/>
        </w:rPr>
        <w:t>research variable, including the CAR, ROA, LDR, SIZE, and Lik variables, as follows:</w:t>
      </w:r>
    </w:p>
    <w:p w14:paraId="6758A7EA" w14:textId="77777777" w:rsidR="00A7596C" w:rsidRDefault="00A7596C" w:rsidP="00441B6F">
      <w:pPr>
        <w:pStyle w:val="Body"/>
        <w:spacing w:after="0"/>
        <w:rPr>
          <w:rFonts w:ascii="Arial" w:hAnsi="Arial" w:cs="Arial"/>
        </w:rPr>
      </w:pPr>
    </w:p>
    <w:p w14:paraId="3ADE8433" w14:textId="40AD5D31" w:rsidR="00A7596C" w:rsidRDefault="00A7596C" w:rsidP="00A7596C">
      <w:pPr>
        <w:widowControl w:val="0"/>
        <w:pBdr>
          <w:top w:val="nil"/>
          <w:left w:val="nil"/>
          <w:bottom w:val="nil"/>
          <w:right w:val="nil"/>
          <w:between w:val="nil"/>
        </w:pBdr>
        <w:jc w:val="center"/>
        <w:rPr>
          <w:rFonts w:ascii="Arial" w:hAnsi="Arial" w:cs="Arial"/>
          <w:b/>
          <w:bCs/>
          <w:color w:val="000000"/>
        </w:rPr>
      </w:pPr>
      <w:r w:rsidRPr="00A7596C">
        <w:rPr>
          <w:rFonts w:ascii="Arial" w:hAnsi="Arial" w:cs="Arial"/>
          <w:b/>
          <w:bCs/>
          <w:color w:val="000000"/>
        </w:rPr>
        <w:t xml:space="preserve">Table </w:t>
      </w:r>
      <w:r w:rsidR="007B00C3">
        <w:rPr>
          <w:rFonts w:ascii="Arial" w:hAnsi="Arial" w:cs="Arial"/>
          <w:b/>
          <w:bCs/>
          <w:color w:val="000000"/>
        </w:rPr>
        <w:t>2</w:t>
      </w:r>
      <w:r w:rsidRPr="00A7596C">
        <w:rPr>
          <w:rFonts w:ascii="Arial" w:hAnsi="Arial" w:cs="Arial"/>
          <w:b/>
          <w:bCs/>
          <w:color w:val="000000"/>
        </w:rPr>
        <w:t>. Descriptive Statistics</w:t>
      </w:r>
    </w:p>
    <w:p w14:paraId="460F5DD9" w14:textId="77777777" w:rsidR="00A7596C" w:rsidRPr="00A7596C" w:rsidRDefault="00A7596C" w:rsidP="00A7596C">
      <w:pPr>
        <w:widowControl w:val="0"/>
        <w:pBdr>
          <w:top w:val="nil"/>
          <w:left w:val="nil"/>
          <w:bottom w:val="nil"/>
          <w:right w:val="nil"/>
          <w:between w:val="nil"/>
        </w:pBdr>
        <w:jc w:val="center"/>
        <w:rPr>
          <w:rFonts w:ascii="Arial" w:hAnsi="Arial" w:cs="Arial"/>
          <w:b/>
          <w:bCs/>
          <w:color w:val="000000"/>
        </w:rPr>
      </w:pPr>
    </w:p>
    <w:tbl>
      <w:tblPr>
        <w:tblW w:w="0" w:type="auto"/>
        <w:jc w:val="center"/>
        <w:tblLayout w:type="fixed"/>
        <w:tblLook w:val="04A0" w:firstRow="1" w:lastRow="0" w:firstColumn="1" w:lastColumn="0" w:noHBand="0" w:noVBand="1"/>
      </w:tblPr>
      <w:tblGrid>
        <w:gridCol w:w="1116"/>
        <w:gridCol w:w="810"/>
        <w:gridCol w:w="900"/>
        <w:gridCol w:w="900"/>
        <w:gridCol w:w="990"/>
        <w:gridCol w:w="1170"/>
      </w:tblGrid>
      <w:tr w:rsidR="00A7596C" w:rsidRPr="00EA2AB2" w14:paraId="4E23AD0A" w14:textId="77777777" w:rsidTr="00A7596C">
        <w:trPr>
          <w:jc w:val="center"/>
        </w:trPr>
        <w:tc>
          <w:tcPr>
            <w:tcW w:w="1116" w:type="dxa"/>
            <w:tcBorders>
              <w:top w:val="single" w:sz="4" w:space="0" w:color="auto"/>
              <w:bottom w:val="single" w:sz="4" w:space="0" w:color="auto"/>
            </w:tcBorders>
            <w:vAlign w:val="center"/>
          </w:tcPr>
          <w:p w14:paraId="05825FB7"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Variable</w:t>
            </w:r>
          </w:p>
        </w:tc>
        <w:tc>
          <w:tcPr>
            <w:tcW w:w="810" w:type="dxa"/>
            <w:tcBorders>
              <w:top w:val="single" w:sz="4" w:space="0" w:color="auto"/>
              <w:bottom w:val="single" w:sz="4" w:space="0" w:color="auto"/>
            </w:tcBorders>
            <w:vAlign w:val="center"/>
          </w:tcPr>
          <w:p w14:paraId="759E9205"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N</w:t>
            </w:r>
          </w:p>
        </w:tc>
        <w:tc>
          <w:tcPr>
            <w:tcW w:w="900" w:type="dxa"/>
            <w:tcBorders>
              <w:top w:val="single" w:sz="4" w:space="0" w:color="auto"/>
              <w:bottom w:val="single" w:sz="4" w:space="0" w:color="auto"/>
            </w:tcBorders>
            <w:vAlign w:val="center"/>
          </w:tcPr>
          <w:p w14:paraId="5F54BFE7"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Min</w:t>
            </w:r>
          </w:p>
        </w:tc>
        <w:tc>
          <w:tcPr>
            <w:tcW w:w="900" w:type="dxa"/>
            <w:tcBorders>
              <w:top w:val="single" w:sz="4" w:space="0" w:color="auto"/>
              <w:bottom w:val="single" w:sz="4" w:space="0" w:color="auto"/>
            </w:tcBorders>
            <w:vAlign w:val="center"/>
          </w:tcPr>
          <w:p w14:paraId="5152E4F2"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Max</w:t>
            </w:r>
          </w:p>
        </w:tc>
        <w:tc>
          <w:tcPr>
            <w:tcW w:w="990" w:type="dxa"/>
            <w:tcBorders>
              <w:top w:val="single" w:sz="4" w:space="0" w:color="auto"/>
              <w:bottom w:val="single" w:sz="4" w:space="0" w:color="auto"/>
            </w:tcBorders>
            <w:vAlign w:val="center"/>
          </w:tcPr>
          <w:p w14:paraId="7426048F"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Mean</w:t>
            </w:r>
          </w:p>
        </w:tc>
        <w:tc>
          <w:tcPr>
            <w:tcW w:w="1170" w:type="dxa"/>
            <w:tcBorders>
              <w:top w:val="single" w:sz="4" w:space="0" w:color="auto"/>
              <w:bottom w:val="single" w:sz="4" w:space="0" w:color="auto"/>
            </w:tcBorders>
            <w:vAlign w:val="center"/>
          </w:tcPr>
          <w:p w14:paraId="7189CA52" w14:textId="77777777" w:rsidR="00A7596C" w:rsidRPr="00A7596C" w:rsidRDefault="00A7596C" w:rsidP="00A7596C">
            <w:pPr>
              <w:widowControl w:val="0"/>
              <w:jc w:val="center"/>
              <w:rPr>
                <w:rFonts w:ascii="Arial" w:hAnsi="Arial" w:cs="Arial"/>
                <w:b/>
                <w:bCs/>
                <w:color w:val="000000"/>
              </w:rPr>
            </w:pPr>
            <w:r w:rsidRPr="00A7596C">
              <w:rPr>
                <w:rFonts w:ascii="Arial" w:hAnsi="Arial" w:cs="Arial"/>
                <w:b/>
                <w:bCs/>
                <w:color w:val="000000"/>
              </w:rPr>
              <w:t>Std. Dev</w:t>
            </w:r>
          </w:p>
        </w:tc>
      </w:tr>
      <w:tr w:rsidR="007B00C3" w:rsidRPr="00EA2AB2" w14:paraId="0B53589F" w14:textId="77777777" w:rsidTr="00A7596C">
        <w:trPr>
          <w:jc w:val="center"/>
        </w:trPr>
        <w:tc>
          <w:tcPr>
            <w:tcW w:w="1116" w:type="dxa"/>
            <w:tcBorders>
              <w:top w:val="single" w:sz="4" w:space="0" w:color="auto"/>
            </w:tcBorders>
          </w:tcPr>
          <w:p w14:paraId="49B23F36" w14:textId="5F26050F" w:rsidR="007B00C3" w:rsidRPr="00A7596C" w:rsidRDefault="007B00C3" w:rsidP="007B00C3">
            <w:pPr>
              <w:widowControl w:val="0"/>
              <w:jc w:val="both"/>
              <w:rPr>
                <w:rFonts w:ascii="Arial" w:hAnsi="Arial" w:cs="Arial"/>
                <w:color w:val="000000"/>
              </w:rPr>
            </w:pPr>
            <w:r w:rsidRPr="004B4B8E">
              <w:t>car_x1</w:t>
            </w:r>
          </w:p>
        </w:tc>
        <w:tc>
          <w:tcPr>
            <w:tcW w:w="810" w:type="dxa"/>
            <w:tcBorders>
              <w:top w:val="single" w:sz="4" w:space="0" w:color="auto"/>
            </w:tcBorders>
          </w:tcPr>
          <w:p w14:paraId="562FC7A4" w14:textId="3307FA30" w:rsidR="007B00C3" w:rsidRPr="00A7596C" w:rsidRDefault="007B00C3" w:rsidP="007B00C3">
            <w:pPr>
              <w:widowControl w:val="0"/>
              <w:jc w:val="right"/>
              <w:rPr>
                <w:rFonts w:ascii="Arial" w:hAnsi="Arial" w:cs="Arial"/>
                <w:color w:val="000000"/>
              </w:rPr>
            </w:pPr>
            <w:r w:rsidRPr="004B4B8E">
              <w:t>81</w:t>
            </w:r>
          </w:p>
        </w:tc>
        <w:tc>
          <w:tcPr>
            <w:tcW w:w="900" w:type="dxa"/>
            <w:tcBorders>
              <w:top w:val="single" w:sz="4" w:space="0" w:color="auto"/>
            </w:tcBorders>
          </w:tcPr>
          <w:p w14:paraId="020AD44B" w14:textId="64C2CAE1" w:rsidR="007B00C3" w:rsidRPr="00A7596C" w:rsidRDefault="007B00C3" w:rsidP="007B00C3">
            <w:pPr>
              <w:widowControl w:val="0"/>
              <w:jc w:val="right"/>
              <w:rPr>
                <w:rFonts w:ascii="Arial" w:hAnsi="Arial" w:cs="Arial"/>
                <w:color w:val="000000"/>
              </w:rPr>
            </w:pPr>
            <w:r w:rsidRPr="004B4B8E">
              <w:t>4.77</w:t>
            </w:r>
          </w:p>
        </w:tc>
        <w:tc>
          <w:tcPr>
            <w:tcW w:w="900" w:type="dxa"/>
            <w:tcBorders>
              <w:top w:val="single" w:sz="4" w:space="0" w:color="auto"/>
            </w:tcBorders>
          </w:tcPr>
          <w:p w14:paraId="747F026E" w14:textId="0860F286" w:rsidR="007B00C3" w:rsidRPr="00A7596C" w:rsidRDefault="007B00C3" w:rsidP="007B00C3">
            <w:pPr>
              <w:widowControl w:val="0"/>
              <w:ind w:left="-111"/>
              <w:jc w:val="right"/>
              <w:rPr>
                <w:rFonts w:ascii="Arial" w:hAnsi="Arial" w:cs="Arial"/>
                <w:color w:val="000000"/>
              </w:rPr>
            </w:pPr>
            <w:r w:rsidRPr="004B4B8E">
              <w:t>167.27</w:t>
            </w:r>
          </w:p>
        </w:tc>
        <w:tc>
          <w:tcPr>
            <w:tcW w:w="990" w:type="dxa"/>
            <w:tcBorders>
              <w:top w:val="single" w:sz="4" w:space="0" w:color="auto"/>
            </w:tcBorders>
          </w:tcPr>
          <w:p w14:paraId="478D3737" w14:textId="0B02DCB8" w:rsidR="007B00C3" w:rsidRPr="00A7596C" w:rsidRDefault="007B00C3" w:rsidP="007B00C3">
            <w:pPr>
              <w:widowControl w:val="0"/>
              <w:jc w:val="right"/>
              <w:rPr>
                <w:rFonts w:ascii="Arial" w:hAnsi="Arial" w:cs="Arial"/>
                <w:color w:val="000000"/>
              </w:rPr>
            </w:pPr>
            <w:r w:rsidRPr="004B4B8E">
              <w:t>46.8738</w:t>
            </w:r>
          </w:p>
        </w:tc>
        <w:tc>
          <w:tcPr>
            <w:tcW w:w="1170" w:type="dxa"/>
            <w:tcBorders>
              <w:top w:val="single" w:sz="4" w:space="0" w:color="auto"/>
            </w:tcBorders>
          </w:tcPr>
          <w:p w14:paraId="0F8C1020" w14:textId="5BA3649C" w:rsidR="007B00C3" w:rsidRPr="00A7596C" w:rsidRDefault="007B00C3" w:rsidP="007B00C3">
            <w:pPr>
              <w:widowControl w:val="0"/>
              <w:jc w:val="right"/>
              <w:rPr>
                <w:rFonts w:ascii="Arial" w:hAnsi="Arial" w:cs="Arial"/>
                <w:color w:val="000000"/>
              </w:rPr>
            </w:pPr>
            <w:r w:rsidRPr="004B4B8E">
              <w:t>33.70845</w:t>
            </w:r>
          </w:p>
        </w:tc>
      </w:tr>
      <w:tr w:rsidR="007B00C3" w:rsidRPr="00EA2AB2" w14:paraId="7441C9F9" w14:textId="77777777" w:rsidTr="00A7596C">
        <w:trPr>
          <w:jc w:val="center"/>
        </w:trPr>
        <w:tc>
          <w:tcPr>
            <w:tcW w:w="1116" w:type="dxa"/>
          </w:tcPr>
          <w:p w14:paraId="177B79B2" w14:textId="0C0DDAB5" w:rsidR="007B00C3" w:rsidRPr="00A7596C" w:rsidRDefault="007B00C3" w:rsidP="007B00C3">
            <w:pPr>
              <w:widowControl w:val="0"/>
              <w:jc w:val="both"/>
              <w:rPr>
                <w:rFonts w:ascii="Arial" w:hAnsi="Arial" w:cs="Arial"/>
                <w:color w:val="000000"/>
              </w:rPr>
            </w:pPr>
            <w:r w:rsidRPr="004B4B8E">
              <w:t>ROA_X2</w:t>
            </w:r>
          </w:p>
        </w:tc>
        <w:tc>
          <w:tcPr>
            <w:tcW w:w="810" w:type="dxa"/>
          </w:tcPr>
          <w:p w14:paraId="76F86266" w14:textId="3A832528" w:rsidR="007B00C3" w:rsidRPr="00A7596C" w:rsidRDefault="007B00C3" w:rsidP="007B00C3">
            <w:pPr>
              <w:widowControl w:val="0"/>
              <w:jc w:val="right"/>
              <w:rPr>
                <w:rFonts w:ascii="Arial" w:hAnsi="Arial" w:cs="Arial"/>
                <w:color w:val="000000"/>
              </w:rPr>
            </w:pPr>
            <w:r w:rsidRPr="004B4B8E">
              <w:t>81</w:t>
            </w:r>
          </w:p>
        </w:tc>
        <w:tc>
          <w:tcPr>
            <w:tcW w:w="900" w:type="dxa"/>
          </w:tcPr>
          <w:p w14:paraId="31E3E0DC" w14:textId="18EB2E9A" w:rsidR="007B00C3" w:rsidRPr="00A7596C" w:rsidRDefault="007B00C3" w:rsidP="007B00C3">
            <w:pPr>
              <w:widowControl w:val="0"/>
              <w:jc w:val="right"/>
              <w:rPr>
                <w:rFonts w:ascii="Arial" w:hAnsi="Arial" w:cs="Arial"/>
                <w:color w:val="000000"/>
              </w:rPr>
            </w:pPr>
            <w:r w:rsidRPr="004B4B8E">
              <w:t>.30</w:t>
            </w:r>
          </w:p>
        </w:tc>
        <w:tc>
          <w:tcPr>
            <w:tcW w:w="900" w:type="dxa"/>
          </w:tcPr>
          <w:p w14:paraId="0E3630DD" w14:textId="4EA47778" w:rsidR="007B00C3" w:rsidRPr="00A7596C" w:rsidRDefault="007B00C3" w:rsidP="007B00C3">
            <w:pPr>
              <w:widowControl w:val="0"/>
              <w:ind w:left="-111"/>
              <w:jc w:val="right"/>
              <w:rPr>
                <w:rFonts w:ascii="Arial" w:hAnsi="Arial" w:cs="Arial"/>
                <w:color w:val="000000"/>
              </w:rPr>
            </w:pPr>
            <w:r w:rsidRPr="004B4B8E">
              <w:t>19.07</w:t>
            </w:r>
          </w:p>
        </w:tc>
        <w:tc>
          <w:tcPr>
            <w:tcW w:w="990" w:type="dxa"/>
          </w:tcPr>
          <w:p w14:paraId="4FFD5910" w14:textId="7D753DC9" w:rsidR="007B00C3" w:rsidRPr="00A7596C" w:rsidRDefault="007B00C3" w:rsidP="007B00C3">
            <w:pPr>
              <w:widowControl w:val="0"/>
              <w:jc w:val="right"/>
              <w:rPr>
                <w:rFonts w:ascii="Arial" w:hAnsi="Arial" w:cs="Arial"/>
                <w:color w:val="000000"/>
              </w:rPr>
            </w:pPr>
            <w:r w:rsidRPr="004B4B8E">
              <w:t>3.7957</w:t>
            </w:r>
          </w:p>
        </w:tc>
        <w:tc>
          <w:tcPr>
            <w:tcW w:w="1170" w:type="dxa"/>
          </w:tcPr>
          <w:p w14:paraId="454E9F4B" w14:textId="71784F93" w:rsidR="007B00C3" w:rsidRPr="00A7596C" w:rsidRDefault="007B00C3" w:rsidP="007B00C3">
            <w:pPr>
              <w:widowControl w:val="0"/>
              <w:jc w:val="right"/>
              <w:rPr>
                <w:rFonts w:ascii="Arial" w:hAnsi="Arial" w:cs="Arial"/>
                <w:color w:val="000000"/>
              </w:rPr>
            </w:pPr>
            <w:r w:rsidRPr="004B4B8E">
              <w:t>3.02012</w:t>
            </w:r>
          </w:p>
        </w:tc>
      </w:tr>
      <w:tr w:rsidR="007B00C3" w:rsidRPr="00EA2AB2" w14:paraId="04DFE3A7" w14:textId="77777777" w:rsidTr="00A7596C">
        <w:trPr>
          <w:jc w:val="center"/>
        </w:trPr>
        <w:tc>
          <w:tcPr>
            <w:tcW w:w="1116" w:type="dxa"/>
          </w:tcPr>
          <w:p w14:paraId="1AEE4B79" w14:textId="0149A52C" w:rsidR="007B00C3" w:rsidRPr="00A7596C" w:rsidRDefault="007B00C3" w:rsidP="007B00C3">
            <w:pPr>
              <w:widowControl w:val="0"/>
              <w:jc w:val="both"/>
              <w:rPr>
                <w:rFonts w:ascii="Arial" w:hAnsi="Arial" w:cs="Arial"/>
                <w:color w:val="000000"/>
              </w:rPr>
            </w:pPr>
            <w:r w:rsidRPr="004B4B8E">
              <w:t>ldr_x3</w:t>
            </w:r>
          </w:p>
        </w:tc>
        <w:tc>
          <w:tcPr>
            <w:tcW w:w="810" w:type="dxa"/>
          </w:tcPr>
          <w:p w14:paraId="42D217BB" w14:textId="483D0B31" w:rsidR="007B00C3" w:rsidRPr="00A7596C" w:rsidRDefault="007B00C3" w:rsidP="007B00C3">
            <w:pPr>
              <w:widowControl w:val="0"/>
              <w:jc w:val="right"/>
              <w:rPr>
                <w:rFonts w:ascii="Arial" w:hAnsi="Arial" w:cs="Arial"/>
                <w:color w:val="000000"/>
              </w:rPr>
            </w:pPr>
            <w:r w:rsidRPr="004B4B8E">
              <w:t>81</w:t>
            </w:r>
          </w:p>
        </w:tc>
        <w:tc>
          <w:tcPr>
            <w:tcW w:w="900" w:type="dxa"/>
          </w:tcPr>
          <w:p w14:paraId="10E5324F" w14:textId="6D597F08" w:rsidR="007B00C3" w:rsidRPr="00A7596C" w:rsidRDefault="007B00C3" w:rsidP="007B00C3">
            <w:pPr>
              <w:widowControl w:val="0"/>
              <w:jc w:val="right"/>
              <w:rPr>
                <w:rFonts w:ascii="Arial" w:hAnsi="Arial" w:cs="Arial"/>
                <w:color w:val="000000"/>
              </w:rPr>
            </w:pPr>
            <w:r w:rsidRPr="004B4B8E">
              <w:t>32.79</w:t>
            </w:r>
          </w:p>
        </w:tc>
        <w:tc>
          <w:tcPr>
            <w:tcW w:w="900" w:type="dxa"/>
          </w:tcPr>
          <w:p w14:paraId="43C7BE37" w14:textId="3560F522" w:rsidR="007B00C3" w:rsidRPr="00A7596C" w:rsidRDefault="007B00C3" w:rsidP="007B00C3">
            <w:pPr>
              <w:widowControl w:val="0"/>
              <w:ind w:left="-111"/>
              <w:jc w:val="right"/>
              <w:rPr>
                <w:rFonts w:ascii="Arial" w:hAnsi="Arial" w:cs="Arial"/>
                <w:color w:val="000000"/>
              </w:rPr>
            </w:pPr>
            <w:r w:rsidRPr="004B4B8E">
              <w:t>335.48</w:t>
            </w:r>
          </w:p>
        </w:tc>
        <w:tc>
          <w:tcPr>
            <w:tcW w:w="990" w:type="dxa"/>
          </w:tcPr>
          <w:p w14:paraId="60D922B0" w14:textId="61DA23BE" w:rsidR="007B00C3" w:rsidRPr="00A7596C" w:rsidRDefault="007B00C3" w:rsidP="007B00C3">
            <w:pPr>
              <w:widowControl w:val="0"/>
              <w:jc w:val="right"/>
              <w:rPr>
                <w:rFonts w:ascii="Arial" w:hAnsi="Arial" w:cs="Arial"/>
                <w:color w:val="000000"/>
              </w:rPr>
            </w:pPr>
            <w:r w:rsidRPr="004B4B8E">
              <w:t>99.9680</w:t>
            </w:r>
          </w:p>
        </w:tc>
        <w:tc>
          <w:tcPr>
            <w:tcW w:w="1170" w:type="dxa"/>
          </w:tcPr>
          <w:p w14:paraId="0514AA8F" w14:textId="18709559" w:rsidR="007B00C3" w:rsidRPr="00A7596C" w:rsidRDefault="007B00C3" w:rsidP="007B00C3">
            <w:pPr>
              <w:widowControl w:val="0"/>
              <w:jc w:val="right"/>
              <w:rPr>
                <w:rFonts w:ascii="Arial" w:hAnsi="Arial" w:cs="Arial"/>
                <w:color w:val="000000"/>
              </w:rPr>
            </w:pPr>
            <w:r w:rsidRPr="004B4B8E">
              <w:t>45.43277</w:t>
            </w:r>
          </w:p>
        </w:tc>
      </w:tr>
      <w:tr w:rsidR="007B00C3" w:rsidRPr="00EA2AB2" w14:paraId="40B852E6" w14:textId="77777777" w:rsidTr="00B36CE0">
        <w:trPr>
          <w:jc w:val="center"/>
        </w:trPr>
        <w:tc>
          <w:tcPr>
            <w:tcW w:w="1116" w:type="dxa"/>
          </w:tcPr>
          <w:p w14:paraId="1C2D3DE2" w14:textId="4C26244F" w:rsidR="007B00C3" w:rsidRPr="00A7596C" w:rsidRDefault="007B00C3" w:rsidP="007B00C3">
            <w:pPr>
              <w:widowControl w:val="0"/>
              <w:jc w:val="both"/>
              <w:rPr>
                <w:rFonts w:ascii="Arial" w:hAnsi="Arial" w:cs="Arial"/>
                <w:color w:val="000000"/>
              </w:rPr>
            </w:pPr>
            <w:r w:rsidRPr="004B4B8E">
              <w:t>size_x4</w:t>
            </w:r>
          </w:p>
        </w:tc>
        <w:tc>
          <w:tcPr>
            <w:tcW w:w="810" w:type="dxa"/>
          </w:tcPr>
          <w:p w14:paraId="0EABD422" w14:textId="6B3899E1" w:rsidR="007B00C3" w:rsidRPr="00A7596C" w:rsidRDefault="007B00C3" w:rsidP="007B00C3">
            <w:pPr>
              <w:widowControl w:val="0"/>
              <w:jc w:val="right"/>
              <w:rPr>
                <w:rFonts w:ascii="Arial" w:hAnsi="Arial" w:cs="Arial"/>
                <w:color w:val="000000"/>
              </w:rPr>
            </w:pPr>
            <w:r w:rsidRPr="004B4B8E">
              <w:t>81</w:t>
            </w:r>
          </w:p>
        </w:tc>
        <w:tc>
          <w:tcPr>
            <w:tcW w:w="900" w:type="dxa"/>
          </w:tcPr>
          <w:p w14:paraId="70F5C556" w14:textId="09F208B7" w:rsidR="007B00C3" w:rsidRPr="00A7596C" w:rsidRDefault="007B00C3" w:rsidP="007B00C3">
            <w:pPr>
              <w:widowControl w:val="0"/>
              <w:jc w:val="right"/>
              <w:rPr>
                <w:rFonts w:ascii="Arial" w:hAnsi="Arial" w:cs="Arial"/>
                <w:color w:val="000000"/>
              </w:rPr>
            </w:pPr>
            <w:r w:rsidRPr="004B4B8E">
              <w:t>16.17</w:t>
            </w:r>
          </w:p>
        </w:tc>
        <w:tc>
          <w:tcPr>
            <w:tcW w:w="900" w:type="dxa"/>
          </w:tcPr>
          <w:p w14:paraId="1FA05BCC" w14:textId="6471921F" w:rsidR="007B00C3" w:rsidRPr="00A7596C" w:rsidRDefault="007B00C3" w:rsidP="007B00C3">
            <w:pPr>
              <w:widowControl w:val="0"/>
              <w:ind w:left="-111"/>
              <w:jc w:val="right"/>
              <w:rPr>
                <w:rFonts w:ascii="Arial" w:hAnsi="Arial" w:cs="Arial"/>
                <w:color w:val="000000"/>
              </w:rPr>
            </w:pPr>
            <w:r w:rsidRPr="004B4B8E">
              <w:t>21.96</w:t>
            </w:r>
          </w:p>
        </w:tc>
        <w:tc>
          <w:tcPr>
            <w:tcW w:w="990" w:type="dxa"/>
          </w:tcPr>
          <w:p w14:paraId="65EE55C8" w14:textId="31408DD2" w:rsidR="007B00C3" w:rsidRPr="00A7596C" w:rsidRDefault="007B00C3" w:rsidP="007B00C3">
            <w:pPr>
              <w:widowControl w:val="0"/>
              <w:jc w:val="right"/>
              <w:rPr>
                <w:rFonts w:ascii="Arial" w:hAnsi="Arial" w:cs="Arial"/>
                <w:color w:val="000000"/>
              </w:rPr>
            </w:pPr>
            <w:r w:rsidRPr="004B4B8E">
              <w:t>18.8731</w:t>
            </w:r>
          </w:p>
        </w:tc>
        <w:tc>
          <w:tcPr>
            <w:tcW w:w="1170" w:type="dxa"/>
          </w:tcPr>
          <w:p w14:paraId="035DCE19" w14:textId="126D61B4" w:rsidR="007B00C3" w:rsidRPr="00A7596C" w:rsidRDefault="007B00C3" w:rsidP="007B00C3">
            <w:pPr>
              <w:widowControl w:val="0"/>
              <w:jc w:val="right"/>
              <w:rPr>
                <w:rFonts w:ascii="Arial" w:hAnsi="Arial" w:cs="Arial"/>
                <w:color w:val="000000"/>
              </w:rPr>
            </w:pPr>
            <w:r w:rsidRPr="004B4B8E">
              <w:t>1.23525</w:t>
            </w:r>
          </w:p>
        </w:tc>
      </w:tr>
      <w:tr w:rsidR="007B00C3" w:rsidRPr="00EA2AB2" w14:paraId="330930C4" w14:textId="77777777" w:rsidTr="00B36CE0">
        <w:trPr>
          <w:jc w:val="center"/>
        </w:trPr>
        <w:tc>
          <w:tcPr>
            <w:tcW w:w="1116" w:type="dxa"/>
            <w:tcBorders>
              <w:bottom w:val="single" w:sz="4" w:space="0" w:color="auto"/>
            </w:tcBorders>
          </w:tcPr>
          <w:p w14:paraId="7A5115C5" w14:textId="724A8A94" w:rsidR="007B00C3" w:rsidRPr="00A7596C" w:rsidRDefault="007B00C3" w:rsidP="007B00C3">
            <w:pPr>
              <w:widowControl w:val="0"/>
              <w:jc w:val="both"/>
              <w:rPr>
                <w:rFonts w:ascii="Arial" w:hAnsi="Arial" w:cs="Arial"/>
                <w:color w:val="000000"/>
              </w:rPr>
            </w:pPr>
            <w:proofErr w:type="spellStart"/>
            <w:r w:rsidRPr="004B4B8E">
              <w:t>lik_y</w:t>
            </w:r>
            <w:proofErr w:type="spellEnd"/>
          </w:p>
        </w:tc>
        <w:tc>
          <w:tcPr>
            <w:tcW w:w="810" w:type="dxa"/>
            <w:tcBorders>
              <w:bottom w:val="single" w:sz="4" w:space="0" w:color="auto"/>
            </w:tcBorders>
          </w:tcPr>
          <w:p w14:paraId="13BD2D11" w14:textId="68214515" w:rsidR="007B00C3" w:rsidRPr="00A7596C" w:rsidRDefault="007B00C3" w:rsidP="007B00C3">
            <w:pPr>
              <w:widowControl w:val="0"/>
              <w:jc w:val="right"/>
              <w:rPr>
                <w:rFonts w:ascii="Arial" w:hAnsi="Arial" w:cs="Arial"/>
                <w:color w:val="000000"/>
              </w:rPr>
            </w:pPr>
            <w:r w:rsidRPr="004B4B8E">
              <w:t>81</w:t>
            </w:r>
          </w:p>
        </w:tc>
        <w:tc>
          <w:tcPr>
            <w:tcW w:w="900" w:type="dxa"/>
            <w:tcBorders>
              <w:bottom w:val="single" w:sz="4" w:space="0" w:color="auto"/>
            </w:tcBorders>
          </w:tcPr>
          <w:p w14:paraId="5B769A73" w14:textId="20901276" w:rsidR="007B00C3" w:rsidRPr="00A7596C" w:rsidRDefault="007B00C3" w:rsidP="007B00C3">
            <w:pPr>
              <w:widowControl w:val="0"/>
              <w:jc w:val="right"/>
              <w:rPr>
                <w:rFonts w:ascii="Arial" w:hAnsi="Arial" w:cs="Arial"/>
                <w:color w:val="000000"/>
              </w:rPr>
            </w:pPr>
            <w:r w:rsidRPr="004B4B8E">
              <w:t>6.99</w:t>
            </w:r>
          </w:p>
        </w:tc>
        <w:tc>
          <w:tcPr>
            <w:tcW w:w="900" w:type="dxa"/>
            <w:tcBorders>
              <w:bottom w:val="single" w:sz="4" w:space="0" w:color="auto"/>
            </w:tcBorders>
          </w:tcPr>
          <w:p w14:paraId="70100D3C" w14:textId="5693010F" w:rsidR="007B00C3" w:rsidRPr="00A7596C" w:rsidRDefault="007B00C3" w:rsidP="007B00C3">
            <w:pPr>
              <w:widowControl w:val="0"/>
              <w:ind w:left="-111"/>
              <w:jc w:val="right"/>
              <w:rPr>
                <w:rFonts w:ascii="Arial" w:hAnsi="Arial" w:cs="Arial"/>
                <w:color w:val="000000"/>
              </w:rPr>
            </w:pPr>
            <w:r w:rsidRPr="004B4B8E">
              <w:t>131.97</w:t>
            </w:r>
          </w:p>
        </w:tc>
        <w:tc>
          <w:tcPr>
            <w:tcW w:w="990" w:type="dxa"/>
            <w:tcBorders>
              <w:bottom w:val="single" w:sz="4" w:space="0" w:color="auto"/>
            </w:tcBorders>
          </w:tcPr>
          <w:p w14:paraId="32D8A05F" w14:textId="6EDFD621" w:rsidR="007B00C3" w:rsidRPr="00A7596C" w:rsidRDefault="007B00C3" w:rsidP="007B00C3">
            <w:pPr>
              <w:widowControl w:val="0"/>
              <w:jc w:val="right"/>
              <w:rPr>
                <w:rFonts w:ascii="Arial" w:hAnsi="Arial" w:cs="Arial"/>
                <w:color w:val="000000"/>
              </w:rPr>
            </w:pPr>
            <w:r w:rsidRPr="004B4B8E">
              <w:t>27.3021</w:t>
            </w:r>
          </w:p>
        </w:tc>
        <w:tc>
          <w:tcPr>
            <w:tcW w:w="1170" w:type="dxa"/>
            <w:tcBorders>
              <w:bottom w:val="single" w:sz="4" w:space="0" w:color="auto"/>
            </w:tcBorders>
          </w:tcPr>
          <w:p w14:paraId="3B8D33CE" w14:textId="0F7F24CD" w:rsidR="007B00C3" w:rsidRPr="00A7596C" w:rsidRDefault="007B00C3" w:rsidP="007B00C3">
            <w:pPr>
              <w:widowControl w:val="0"/>
              <w:jc w:val="right"/>
              <w:rPr>
                <w:rFonts w:ascii="Arial" w:hAnsi="Arial" w:cs="Arial"/>
                <w:color w:val="000000"/>
              </w:rPr>
            </w:pPr>
            <w:r w:rsidRPr="004B4B8E">
              <w:t>18.84869</w:t>
            </w:r>
          </w:p>
        </w:tc>
      </w:tr>
    </w:tbl>
    <w:p w14:paraId="317AEAFD" w14:textId="17B3DB02" w:rsidR="00A7596C" w:rsidRDefault="007B00C3" w:rsidP="007B00C3">
      <w:pPr>
        <w:pStyle w:val="Body"/>
        <w:spacing w:after="0"/>
        <w:ind w:left="720"/>
        <w:rPr>
          <w:rFonts w:ascii="Arial" w:hAnsi="Arial"/>
          <w:bCs/>
          <w:sz w:val="18"/>
          <w:szCs w:val="18"/>
        </w:rPr>
      </w:pPr>
      <w:r>
        <w:rPr>
          <w:rFonts w:ascii="Arial" w:hAnsi="Arial"/>
          <w:bCs/>
          <w:sz w:val="18"/>
          <w:szCs w:val="18"/>
        </w:rPr>
        <w:t xml:space="preserve">        </w:t>
      </w:r>
      <w:r w:rsidR="0025050C" w:rsidRPr="0025050C">
        <w:rPr>
          <w:rFonts w:ascii="Arial" w:hAnsi="Arial"/>
          <w:bCs/>
          <w:sz w:val="18"/>
          <w:szCs w:val="18"/>
        </w:rPr>
        <w:t>Source: Authors’ calculation using SPSS 22</w:t>
      </w:r>
      <w:r w:rsidR="0025050C">
        <w:rPr>
          <w:rFonts w:ascii="Arial" w:hAnsi="Arial"/>
          <w:bCs/>
          <w:sz w:val="18"/>
          <w:szCs w:val="18"/>
        </w:rPr>
        <w:t>, (2025)</w:t>
      </w:r>
    </w:p>
    <w:p w14:paraId="0AE048F7" w14:textId="77777777" w:rsidR="007B00C3" w:rsidRDefault="007B00C3" w:rsidP="007B00C3">
      <w:pPr>
        <w:pStyle w:val="Body"/>
        <w:spacing w:after="0"/>
        <w:ind w:left="720"/>
        <w:rPr>
          <w:rFonts w:ascii="Arial" w:hAnsi="Arial" w:cs="Arial"/>
        </w:rPr>
      </w:pPr>
    </w:p>
    <w:p w14:paraId="4026C13A" w14:textId="19F4B1F4"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 xml:space="preserve">The lowest CAR (minimum) was 4.77%, held by PT BPR </w:t>
      </w:r>
      <w:proofErr w:type="spellStart"/>
      <w:r w:rsidRPr="007B00C3">
        <w:rPr>
          <w:rFonts w:ascii="Arial" w:hAnsi="Arial" w:cs="Arial"/>
          <w:color w:val="000000"/>
        </w:rPr>
        <w:t>Puri</w:t>
      </w:r>
      <w:proofErr w:type="spellEnd"/>
      <w:r w:rsidRPr="007B00C3">
        <w:rPr>
          <w:rFonts w:ascii="Arial" w:hAnsi="Arial" w:cs="Arial"/>
          <w:color w:val="000000"/>
        </w:rPr>
        <w:t xml:space="preserve"> </w:t>
      </w:r>
      <w:proofErr w:type="spellStart"/>
      <w:r w:rsidRPr="007B00C3">
        <w:rPr>
          <w:rFonts w:ascii="Arial" w:hAnsi="Arial" w:cs="Arial"/>
          <w:color w:val="000000"/>
        </w:rPr>
        <w:t>Artha</w:t>
      </w:r>
      <w:proofErr w:type="spellEnd"/>
      <w:r w:rsidRPr="007B00C3">
        <w:rPr>
          <w:rFonts w:ascii="Arial" w:hAnsi="Arial" w:cs="Arial"/>
          <w:color w:val="000000"/>
        </w:rPr>
        <w:t xml:space="preserve"> </w:t>
      </w:r>
      <w:proofErr w:type="spellStart"/>
      <w:r w:rsidRPr="007B00C3">
        <w:rPr>
          <w:rFonts w:ascii="Arial" w:hAnsi="Arial" w:cs="Arial"/>
          <w:color w:val="000000"/>
        </w:rPr>
        <w:t>Pacitan</w:t>
      </w:r>
      <w:proofErr w:type="spellEnd"/>
      <w:r w:rsidRPr="007B00C3">
        <w:rPr>
          <w:rFonts w:ascii="Arial" w:hAnsi="Arial" w:cs="Arial"/>
          <w:color w:val="000000"/>
        </w:rPr>
        <w:t xml:space="preserve"> in 2023, while</w:t>
      </w:r>
      <w:r>
        <w:rPr>
          <w:rFonts w:ascii="Arial" w:hAnsi="Arial" w:cs="Arial"/>
          <w:color w:val="000000"/>
        </w:rPr>
        <w:t xml:space="preserve"> </w:t>
      </w:r>
      <w:r w:rsidRPr="007B00C3">
        <w:rPr>
          <w:rFonts w:ascii="Arial" w:hAnsi="Arial" w:cs="Arial"/>
          <w:color w:val="000000"/>
        </w:rPr>
        <w:t xml:space="preserve">the highest CAR (maximum) was 167.27%, held by PT BPR </w:t>
      </w:r>
      <w:proofErr w:type="spellStart"/>
      <w:r w:rsidRPr="007B00C3">
        <w:rPr>
          <w:rFonts w:ascii="Arial" w:hAnsi="Arial" w:cs="Arial"/>
          <w:color w:val="000000"/>
        </w:rPr>
        <w:t>Gunung</w:t>
      </w:r>
      <w:proofErr w:type="spellEnd"/>
      <w:r w:rsidRPr="007B00C3">
        <w:rPr>
          <w:rFonts w:ascii="Arial" w:hAnsi="Arial" w:cs="Arial"/>
          <w:color w:val="000000"/>
        </w:rPr>
        <w:t xml:space="preserve"> </w:t>
      </w:r>
      <w:proofErr w:type="spellStart"/>
      <w:r w:rsidRPr="007B00C3">
        <w:rPr>
          <w:rFonts w:ascii="Arial" w:hAnsi="Arial" w:cs="Arial"/>
          <w:color w:val="000000"/>
        </w:rPr>
        <w:t>Arjuno</w:t>
      </w:r>
      <w:proofErr w:type="spellEnd"/>
      <w:r w:rsidRPr="007B00C3">
        <w:rPr>
          <w:rFonts w:ascii="Arial" w:hAnsi="Arial" w:cs="Arial"/>
          <w:color w:val="000000"/>
        </w:rPr>
        <w:t xml:space="preserve"> in 2023. This</w:t>
      </w:r>
      <w:r>
        <w:rPr>
          <w:rFonts w:ascii="Arial" w:hAnsi="Arial" w:cs="Arial"/>
          <w:color w:val="000000"/>
        </w:rPr>
        <w:t xml:space="preserve"> </w:t>
      </w:r>
      <w:r w:rsidRPr="007B00C3">
        <w:rPr>
          <w:rFonts w:ascii="Arial" w:hAnsi="Arial" w:cs="Arial"/>
          <w:color w:val="000000"/>
        </w:rPr>
        <w:t xml:space="preserve">shows that in 2023, PT BPR </w:t>
      </w:r>
      <w:proofErr w:type="spellStart"/>
      <w:r w:rsidRPr="007B00C3">
        <w:rPr>
          <w:rFonts w:ascii="Arial" w:hAnsi="Arial" w:cs="Arial"/>
          <w:color w:val="000000"/>
        </w:rPr>
        <w:t>Puri</w:t>
      </w:r>
      <w:proofErr w:type="spellEnd"/>
      <w:r w:rsidRPr="007B00C3">
        <w:rPr>
          <w:rFonts w:ascii="Arial" w:hAnsi="Arial" w:cs="Arial"/>
          <w:color w:val="000000"/>
        </w:rPr>
        <w:t xml:space="preserve"> </w:t>
      </w:r>
      <w:proofErr w:type="spellStart"/>
      <w:r w:rsidRPr="007B00C3">
        <w:rPr>
          <w:rFonts w:ascii="Arial" w:hAnsi="Arial" w:cs="Arial"/>
          <w:color w:val="000000"/>
        </w:rPr>
        <w:t>Artha</w:t>
      </w:r>
      <w:proofErr w:type="spellEnd"/>
      <w:r w:rsidRPr="007B00C3">
        <w:rPr>
          <w:rFonts w:ascii="Arial" w:hAnsi="Arial" w:cs="Arial"/>
          <w:color w:val="000000"/>
        </w:rPr>
        <w:t xml:space="preserve"> </w:t>
      </w:r>
      <w:proofErr w:type="spellStart"/>
      <w:r w:rsidRPr="007B00C3">
        <w:rPr>
          <w:rFonts w:ascii="Arial" w:hAnsi="Arial" w:cs="Arial"/>
          <w:color w:val="000000"/>
        </w:rPr>
        <w:t>Pacitan</w:t>
      </w:r>
      <w:proofErr w:type="spellEnd"/>
      <w:r w:rsidRPr="007B00C3">
        <w:rPr>
          <w:rFonts w:ascii="Arial" w:hAnsi="Arial" w:cs="Arial"/>
          <w:color w:val="000000"/>
        </w:rPr>
        <w:t xml:space="preserve"> was unable to manage its capital adequacy</w:t>
      </w:r>
      <w:r>
        <w:rPr>
          <w:rFonts w:ascii="Arial" w:hAnsi="Arial" w:cs="Arial"/>
          <w:color w:val="000000"/>
        </w:rPr>
        <w:t xml:space="preserve"> </w:t>
      </w:r>
      <w:r w:rsidRPr="007B00C3">
        <w:rPr>
          <w:rFonts w:ascii="Arial" w:hAnsi="Arial" w:cs="Arial"/>
          <w:color w:val="000000"/>
        </w:rPr>
        <w:t xml:space="preserve">to support risk-bearing assets, while in 2023, PT BPR </w:t>
      </w:r>
      <w:proofErr w:type="spellStart"/>
      <w:r w:rsidRPr="007B00C3">
        <w:rPr>
          <w:rFonts w:ascii="Arial" w:hAnsi="Arial" w:cs="Arial"/>
          <w:color w:val="000000"/>
        </w:rPr>
        <w:t>Gunung</w:t>
      </w:r>
      <w:proofErr w:type="spellEnd"/>
      <w:r w:rsidRPr="007B00C3">
        <w:rPr>
          <w:rFonts w:ascii="Arial" w:hAnsi="Arial" w:cs="Arial"/>
          <w:color w:val="000000"/>
        </w:rPr>
        <w:t xml:space="preserve"> </w:t>
      </w:r>
      <w:proofErr w:type="spellStart"/>
      <w:r w:rsidRPr="007B00C3">
        <w:rPr>
          <w:rFonts w:ascii="Arial" w:hAnsi="Arial" w:cs="Arial"/>
          <w:color w:val="000000"/>
        </w:rPr>
        <w:t>Arjuno</w:t>
      </w:r>
      <w:proofErr w:type="spellEnd"/>
      <w:r w:rsidRPr="007B00C3">
        <w:rPr>
          <w:rFonts w:ascii="Arial" w:hAnsi="Arial" w:cs="Arial"/>
          <w:color w:val="000000"/>
        </w:rPr>
        <w:t xml:space="preserve"> was able to manage</w:t>
      </w:r>
      <w:r>
        <w:rPr>
          <w:rFonts w:ascii="Arial" w:hAnsi="Arial" w:cs="Arial"/>
          <w:color w:val="000000"/>
        </w:rPr>
        <w:t xml:space="preserve"> </w:t>
      </w:r>
      <w:r w:rsidRPr="007B00C3">
        <w:rPr>
          <w:rFonts w:ascii="Arial" w:hAnsi="Arial" w:cs="Arial"/>
          <w:color w:val="000000"/>
        </w:rPr>
        <w:t>its capital adequacy to exceed the minimum CAR standard set by Bank Indonesia, which is</w:t>
      </w:r>
      <w:r>
        <w:rPr>
          <w:rFonts w:ascii="Arial" w:hAnsi="Arial" w:cs="Arial"/>
          <w:color w:val="000000"/>
        </w:rPr>
        <w:t xml:space="preserve"> </w:t>
      </w:r>
      <w:r w:rsidRPr="007B00C3">
        <w:rPr>
          <w:rFonts w:ascii="Arial" w:hAnsi="Arial" w:cs="Arial"/>
          <w:color w:val="000000"/>
        </w:rPr>
        <w:t>15%. Meanwhile, the mean value of the CAR variable was 46.8738 with a standard deviation</w:t>
      </w:r>
      <w:r>
        <w:rPr>
          <w:rFonts w:ascii="Arial" w:hAnsi="Arial" w:cs="Arial"/>
          <w:color w:val="000000"/>
        </w:rPr>
        <w:t xml:space="preserve"> </w:t>
      </w:r>
      <w:r w:rsidRPr="007B00C3">
        <w:rPr>
          <w:rFonts w:ascii="Arial" w:hAnsi="Arial" w:cs="Arial"/>
          <w:color w:val="000000"/>
        </w:rPr>
        <w:t>of 33.70845.</w:t>
      </w:r>
    </w:p>
    <w:p w14:paraId="07E49B69" w14:textId="77777777" w:rsidR="007B00C3" w:rsidRDefault="007B00C3" w:rsidP="007B00C3">
      <w:pPr>
        <w:widowControl w:val="0"/>
        <w:pBdr>
          <w:top w:val="nil"/>
          <w:left w:val="nil"/>
          <w:bottom w:val="nil"/>
          <w:right w:val="nil"/>
          <w:between w:val="nil"/>
        </w:pBdr>
        <w:jc w:val="both"/>
        <w:rPr>
          <w:rFonts w:ascii="Arial" w:hAnsi="Arial" w:cs="Arial"/>
          <w:color w:val="000000"/>
        </w:rPr>
      </w:pPr>
    </w:p>
    <w:p w14:paraId="6AAF6BCA" w14:textId="4BE735D6"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 xml:space="preserve">The lowest ROA of 0.30% was recorded by PT BPR </w:t>
      </w:r>
      <w:proofErr w:type="spellStart"/>
      <w:r w:rsidRPr="007B00C3">
        <w:rPr>
          <w:rFonts w:ascii="Arial" w:hAnsi="Arial" w:cs="Arial"/>
          <w:color w:val="000000"/>
        </w:rPr>
        <w:t>Armindo</w:t>
      </w:r>
      <w:proofErr w:type="spellEnd"/>
      <w:r w:rsidRPr="007B00C3">
        <w:rPr>
          <w:rFonts w:ascii="Arial" w:hAnsi="Arial" w:cs="Arial"/>
          <w:color w:val="000000"/>
        </w:rPr>
        <w:t xml:space="preserve"> </w:t>
      </w:r>
      <w:proofErr w:type="spellStart"/>
      <w:r w:rsidRPr="007B00C3">
        <w:rPr>
          <w:rFonts w:ascii="Arial" w:hAnsi="Arial" w:cs="Arial"/>
          <w:color w:val="000000"/>
        </w:rPr>
        <w:t>Kencana</w:t>
      </w:r>
      <w:proofErr w:type="spellEnd"/>
      <w:r w:rsidRPr="007B00C3">
        <w:rPr>
          <w:rFonts w:ascii="Arial" w:hAnsi="Arial" w:cs="Arial"/>
          <w:color w:val="000000"/>
        </w:rPr>
        <w:t xml:space="preserve"> in 2023, while the</w:t>
      </w:r>
      <w:r>
        <w:rPr>
          <w:rFonts w:ascii="Arial" w:hAnsi="Arial" w:cs="Arial"/>
          <w:color w:val="000000"/>
        </w:rPr>
        <w:t xml:space="preserve"> </w:t>
      </w:r>
      <w:r w:rsidRPr="007B00C3">
        <w:rPr>
          <w:rFonts w:ascii="Arial" w:hAnsi="Arial" w:cs="Arial"/>
          <w:color w:val="000000"/>
        </w:rPr>
        <w:t xml:space="preserve">highest ROA of 19.07% was recorded by PT BPR </w:t>
      </w:r>
      <w:proofErr w:type="spellStart"/>
      <w:r w:rsidRPr="007B00C3">
        <w:rPr>
          <w:rFonts w:ascii="Arial" w:hAnsi="Arial" w:cs="Arial"/>
          <w:color w:val="000000"/>
        </w:rPr>
        <w:t>Manuk</w:t>
      </w:r>
      <w:proofErr w:type="spellEnd"/>
      <w:r w:rsidRPr="007B00C3">
        <w:rPr>
          <w:rFonts w:ascii="Arial" w:hAnsi="Arial" w:cs="Arial"/>
          <w:color w:val="000000"/>
        </w:rPr>
        <w:t xml:space="preserve"> </w:t>
      </w:r>
      <w:proofErr w:type="spellStart"/>
      <w:r w:rsidRPr="007B00C3">
        <w:rPr>
          <w:rFonts w:ascii="Arial" w:hAnsi="Arial" w:cs="Arial"/>
          <w:color w:val="000000"/>
        </w:rPr>
        <w:t>Ayu</w:t>
      </w:r>
      <w:proofErr w:type="spellEnd"/>
      <w:r w:rsidRPr="007B00C3">
        <w:rPr>
          <w:rFonts w:ascii="Arial" w:hAnsi="Arial" w:cs="Arial"/>
          <w:color w:val="000000"/>
        </w:rPr>
        <w:t xml:space="preserve"> in 2024. This indicates that in</w:t>
      </w:r>
      <w:r>
        <w:rPr>
          <w:rFonts w:ascii="Arial" w:hAnsi="Arial" w:cs="Arial"/>
          <w:color w:val="000000"/>
        </w:rPr>
        <w:t xml:space="preserve"> </w:t>
      </w:r>
      <w:r w:rsidRPr="007B00C3">
        <w:rPr>
          <w:rFonts w:ascii="Arial" w:hAnsi="Arial" w:cs="Arial"/>
          <w:color w:val="000000"/>
        </w:rPr>
        <w:t xml:space="preserve">2023, PT BPR </w:t>
      </w:r>
      <w:proofErr w:type="spellStart"/>
      <w:r w:rsidRPr="007B00C3">
        <w:rPr>
          <w:rFonts w:ascii="Arial" w:hAnsi="Arial" w:cs="Arial"/>
          <w:color w:val="000000"/>
        </w:rPr>
        <w:t>Armindo</w:t>
      </w:r>
      <w:proofErr w:type="spellEnd"/>
      <w:r w:rsidRPr="007B00C3">
        <w:rPr>
          <w:rFonts w:ascii="Arial" w:hAnsi="Arial" w:cs="Arial"/>
          <w:color w:val="000000"/>
        </w:rPr>
        <w:t xml:space="preserve"> </w:t>
      </w:r>
      <w:proofErr w:type="spellStart"/>
      <w:r w:rsidRPr="007B00C3">
        <w:rPr>
          <w:rFonts w:ascii="Arial" w:hAnsi="Arial" w:cs="Arial"/>
          <w:color w:val="000000"/>
        </w:rPr>
        <w:t>Kencana</w:t>
      </w:r>
      <w:proofErr w:type="spellEnd"/>
      <w:r w:rsidRPr="007B00C3">
        <w:rPr>
          <w:rFonts w:ascii="Arial" w:hAnsi="Arial" w:cs="Arial"/>
          <w:color w:val="000000"/>
        </w:rPr>
        <w:t xml:space="preserve"> was unable to achieve a positive return on assets overall, while in 2024, PT BPR </w:t>
      </w:r>
      <w:proofErr w:type="spellStart"/>
      <w:r w:rsidRPr="007B00C3">
        <w:rPr>
          <w:rFonts w:ascii="Arial" w:hAnsi="Arial" w:cs="Arial"/>
          <w:color w:val="000000"/>
        </w:rPr>
        <w:t>Manuk</w:t>
      </w:r>
      <w:proofErr w:type="spellEnd"/>
      <w:r w:rsidRPr="007B00C3">
        <w:rPr>
          <w:rFonts w:ascii="Arial" w:hAnsi="Arial" w:cs="Arial"/>
          <w:color w:val="000000"/>
        </w:rPr>
        <w:t xml:space="preserve"> </w:t>
      </w:r>
      <w:proofErr w:type="spellStart"/>
      <w:r w:rsidRPr="007B00C3">
        <w:rPr>
          <w:rFonts w:ascii="Arial" w:hAnsi="Arial" w:cs="Arial"/>
          <w:color w:val="000000"/>
        </w:rPr>
        <w:t>Ayu</w:t>
      </w:r>
      <w:proofErr w:type="spellEnd"/>
      <w:r w:rsidRPr="007B00C3">
        <w:rPr>
          <w:rFonts w:ascii="Arial" w:hAnsi="Arial" w:cs="Arial"/>
          <w:color w:val="000000"/>
        </w:rPr>
        <w:t xml:space="preserve"> was able to achieve a positive return on assets</w:t>
      </w:r>
      <w:r>
        <w:rPr>
          <w:rFonts w:ascii="Arial" w:hAnsi="Arial" w:cs="Arial"/>
          <w:color w:val="000000"/>
        </w:rPr>
        <w:t xml:space="preserve"> </w:t>
      </w:r>
      <w:r w:rsidRPr="007B00C3">
        <w:rPr>
          <w:rFonts w:ascii="Arial" w:hAnsi="Arial" w:cs="Arial"/>
          <w:color w:val="000000"/>
        </w:rPr>
        <w:t>overall in accordance with Bank Indonesia's regulation regarding the ROA value, which is a</w:t>
      </w:r>
      <w:r>
        <w:rPr>
          <w:rFonts w:ascii="Arial" w:hAnsi="Arial" w:cs="Arial"/>
          <w:color w:val="000000"/>
        </w:rPr>
        <w:t xml:space="preserve"> </w:t>
      </w:r>
      <w:r w:rsidRPr="007B00C3">
        <w:rPr>
          <w:rFonts w:ascii="Arial" w:hAnsi="Arial" w:cs="Arial"/>
          <w:color w:val="000000"/>
        </w:rPr>
        <w:t>minimum of 1.5%. Meanwhile, the mean value of the ROA variable is 3.7957 with a standard</w:t>
      </w:r>
      <w:r>
        <w:rPr>
          <w:rFonts w:ascii="Arial" w:hAnsi="Arial" w:cs="Arial"/>
          <w:color w:val="000000"/>
        </w:rPr>
        <w:t xml:space="preserve"> </w:t>
      </w:r>
      <w:r w:rsidRPr="007B00C3">
        <w:rPr>
          <w:rFonts w:ascii="Arial" w:hAnsi="Arial" w:cs="Arial"/>
          <w:color w:val="000000"/>
        </w:rPr>
        <w:t>deviation of 3.02012.</w:t>
      </w:r>
    </w:p>
    <w:p w14:paraId="66C71992" w14:textId="7EA70AFB" w:rsidR="007B00C3" w:rsidRPr="007B00C3" w:rsidRDefault="007B00C3" w:rsidP="007B00C3">
      <w:pPr>
        <w:widowControl w:val="0"/>
        <w:pBdr>
          <w:top w:val="nil"/>
          <w:left w:val="nil"/>
          <w:bottom w:val="nil"/>
          <w:right w:val="nil"/>
          <w:between w:val="nil"/>
        </w:pBdr>
        <w:jc w:val="both"/>
        <w:rPr>
          <w:rFonts w:ascii="Arial" w:hAnsi="Arial" w:cs="Arial"/>
          <w:color w:val="000000"/>
        </w:rPr>
      </w:pPr>
    </w:p>
    <w:p w14:paraId="377614E0" w14:textId="11E85AE9"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 xml:space="preserve">The lowest LDR, which was 32.79%, was held by PT BPR </w:t>
      </w:r>
      <w:proofErr w:type="spellStart"/>
      <w:r w:rsidRPr="007B00C3">
        <w:rPr>
          <w:rFonts w:ascii="Arial" w:hAnsi="Arial" w:cs="Arial"/>
          <w:color w:val="000000"/>
        </w:rPr>
        <w:t>Gunung</w:t>
      </w:r>
      <w:proofErr w:type="spellEnd"/>
      <w:r w:rsidRPr="007B00C3">
        <w:rPr>
          <w:rFonts w:ascii="Arial" w:hAnsi="Arial" w:cs="Arial"/>
          <w:color w:val="000000"/>
        </w:rPr>
        <w:t xml:space="preserve"> </w:t>
      </w:r>
      <w:proofErr w:type="spellStart"/>
      <w:r w:rsidRPr="007B00C3">
        <w:rPr>
          <w:rFonts w:ascii="Arial" w:hAnsi="Arial" w:cs="Arial"/>
          <w:color w:val="000000"/>
        </w:rPr>
        <w:t>Arjuno</w:t>
      </w:r>
      <w:proofErr w:type="spellEnd"/>
      <w:r w:rsidRPr="007B00C3">
        <w:rPr>
          <w:rFonts w:ascii="Arial" w:hAnsi="Arial" w:cs="Arial"/>
          <w:color w:val="000000"/>
        </w:rPr>
        <w:t xml:space="preserve"> in 2022, while the</w:t>
      </w:r>
      <w:r>
        <w:rPr>
          <w:rFonts w:ascii="Arial" w:hAnsi="Arial" w:cs="Arial"/>
          <w:color w:val="000000"/>
        </w:rPr>
        <w:t xml:space="preserve"> </w:t>
      </w:r>
      <w:r w:rsidRPr="007B00C3">
        <w:rPr>
          <w:rFonts w:ascii="Arial" w:hAnsi="Arial" w:cs="Arial"/>
          <w:color w:val="000000"/>
        </w:rPr>
        <w:t xml:space="preserve">highest LDR, which was 335.48%, was held by PD. BPR Bank Daerah </w:t>
      </w:r>
      <w:proofErr w:type="spellStart"/>
      <w:r w:rsidRPr="007B00C3">
        <w:rPr>
          <w:rFonts w:ascii="Arial" w:hAnsi="Arial" w:cs="Arial"/>
          <w:color w:val="000000"/>
        </w:rPr>
        <w:t>Bojonegoro</w:t>
      </w:r>
      <w:proofErr w:type="spellEnd"/>
      <w:r w:rsidRPr="007B00C3">
        <w:rPr>
          <w:rFonts w:ascii="Arial" w:hAnsi="Arial" w:cs="Arial"/>
          <w:color w:val="000000"/>
        </w:rPr>
        <w:t xml:space="preserve"> in 2023.</w:t>
      </w:r>
      <w:r>
        <w:rPr>
          <w:rFonts w:ascii="Arial" w:hAnsi="Arial" w:cs="Arial"/>
          <w:color w:val="000000"/>
        </w:rPr>
        <w:t xml:space="preserve"> </w:t>
      </w:r>
      <w:r w:rsidRPr="007B00C3">
        <w:rPr>
          <w:rFonts w:ascii="Arial" w:hAnsi="Arial" w:cs="Arial"/>
          <w:color w:val="000000"/>
        </w:rPr>
        <w:t xml:space="preserve">This shows that in 2022, PT BPR </w:t>
      </w:r>
      <w:proofErr w:type="spellStart"/>
      <w:r w:rsidRPr="007B00C3">
        <w:rPr>
          <w:rFonts w:ascii="Arial" w:hAnsi="Arial" w:cs="Arial"/>
          <w:color w:val="000000"/>
        </w:rPr>
        <w:t>Gunung</w:t>
      </w:r>
      <w:proofErr w:type="spellEnd"/>
      <w:r w:rsidRPr="007B00C3">
        <w:rPr>
          <w:rFonts w:ascii="Arial" w:hAnsi="Arial" w:cs="Arial"/>
          <w:color w:val="000000"/>
        </w:rPr>
        <w:t xml:space="preserve"> </w:t>
      </w:r>
      <w:proofErr w:type="spellStart"/>
      <w:r w:rsidRPr="007B00C3">
        <w:rPr>
          <w:rFonts w:ascii="Arial" w:hAnsi="Arial" w:cs="Arial"/>
          <w:color w:val="000000"/>
        </w:rPr>
        <w:t>Arjuno</w:t>
      </w:r>
      <w:proofErr w:type="spellEnd"/>
      <w:r w:rsidRPr="007B00C3">
        <w:rPr>
          <w:rFonts w:ascii="Arial" w:hAnsi="Arial" w:cs="Arial"/>
          <w:color w:val="000000"/>
        </w:rPr>
        <w:t xml:space="preserve"> was able to repay customer withdrawals by</w:t>
      </w:r>
    </w:p>
    <w:p w14:paraId="54E22E7C" w14:textId="2A5A126C"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 xml:space="preserve">relying on the loans it had provided, while in 2023, PD. BPR Bank Daerah </w:t>
      </w:r>
      <w:proofErr w:type="spellStart"/>
      <w:r w:rsidRPr="007B00C3">
        <w:rPr>
          <w:rFonts w:ascii="Arial" w:hAnsi="Arial" w:cs="Arial"/>
          <w:color w:val="000000"/>
        </w:rPr>
        <w:t>Bojonegoro</w:t>
      </w:r>
      <w:proofErr w:type="spellEnd"/>
      <w:r w:rsidRPr="007B00C3">
        <w:rPr>
          <w:rFonts w:ascii="Arial" w:hAnsi="Arial" w:cs="Arial"/>
          <w:color w:val="000000"/>
        </w:rPr>
        <w:t xml:space="preserve"> was</w:t>
      </w:r>
      <w:r>
        <w:rPr>
          <w:rFonts w:ascii="Arial" w:hAnsi="Arial" w:cs="Arial"/>
          <w:color w:val="000000"/>
        </w:rPr>
        <w:t xml:space="preserve"> </w:t>
      </w:r>
      <w:r w:rsidRPr="007B00C3">
        <w:rPr>
          <w:rFonts w:ascii="Arial" w:hAnsi="Arial" w:cs="Arial"/>
          <w:color w:val="000000"/>
        </w:rPr>
        <w:t>unable to repay customer withdrawals by relying on the loans it had provided. Meanwhile,</w:t>
      </w:r>
      <w:r>
        <w:rPr>
          <w:rFonts w:ascii="Arial" w:hAnsi="Arial" w:cs="Arial"/>
          <w:color w:val="000000"/>
        </w:rPr>
        <w:t xml:space="preserve"> </w:t>
      </w:r>
      <w:r w:rsidRPr="007B00C3">
        <w:rPr>
          <w:rFonts w:ascii="Arial" w:hAnsi="Arial" w:cs="Arial"/>
          <w:color w:val="000000"/>
        </w:rPr>
        <w:t>the mean value of the LDR variable is 99.9680 with a standard deviation of 45.43277.</w:t>
      </w:r>
    </w:p>
    <w:p w14:paraId="041E2AF6" w14:textId="61EE7EF5" w:rsidR="007B00C3" w:rsidRPr="007B00C3" w:rsidRDefault="007B00C3" w:rsidP="007B00C3">
      <w:pPr>
        <w:widowControl w:val="0"/>
        <w:pBdr>
          <w:top w:val="nil"/>
          <w:left w:val="nil"/>
          <w:bottom w:val="nil"/>
          <w:right w:val="nil"/>
          <w:between w:val="nil"/>
        </w:pBdr>
        <w:jc w:val="both"/>
        <w:rPr>
          <w:rFonts w:ascii="Arial" w:hAnsi="Arial" w:cs="Arial"/>
          <w:color w:val="000000"/>
        </w:rPr>
      </w:pPr>
    </w:p>
    <w:p w14:paraId="05C80CD9" w14:textId="0167A4C4" w:rsidR="007B00C3" w:rsidRP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The lowest company size is 16.17%, owned by PT BPR Putera Dana in 2024, while the</w:t>
      </w:r>
      <w:r>
        <w:rPr>
          <w:rFonts w:ascii="Arial" w:hAnsi="Arial" w:cs="Arial"/>
          <w:color w:val="000000"/>
        </w:rPr>
        <w:t xml:space="preserve"> </w:t>
      </w:r>
      <w:r w:rsidRPr="007B00C3">
        <w:rPr>
          <w:rFonts w:ascii="Arial" w:hAnsi="Arial" w:cs="Arial"/>
          <w:color w:val="000000"/>
        </w:rPr>
        <w:t xml:space="preserve">highest company size is 21.96%, owned by PT BPR </w:t>
      </w:r>
      <w:proofErr w:type="spellStart"/>
      <w:r w:rsidRPr="007B00C3">
        <w:rPr>
          <w:rFonts w:ascii="Arial" w:hAnsi="Arial" w:cs="Arial"/>
          <w:color w:val="000000"/>
        </w:rPr>
        <w:t>Jawa</w:t>
      </w:r>
      <w:proofErr w:type="spellEnd"/>
      <w:r w:rsidRPr="007B00C3">
        <w:rPr>
          <w:rFonts w:ascii="Arial" w:hAnsi="Arial" w:cs="Arial"/>
          <w:color w:val="000000"/>
        </w:rPr>
        <w:t xml:space="preserve"> Timur (</w:t>
      </w:r>
      <w:proofErr w:type="spellStart"/>
      <w:r w:rsidRPr="007B00C3">
        <w:rPr>
          <w:rFonts w:ascii="Arial" w:hAnsi="Arial" w:cs="Arial"/>
          <w:color w:val="000000"/>
        </w:rPr>
        <w:t>Perseroda</w:t>
      </w:r>
      <w:proofErr w:type="spellEnd"/>
      <w:r w:rsidRPr="007B00C3">
        <w:rPr>
          <w:rFonts w:ascii="Arial" w:hAnsi="Arial" w:cs="Arial"/>
          <w:color w:val="000000"/>
        </w:rPr>
        <w:t>) in 2024.</w:t>
      </w:r>
      <w:r>
        <w:rPr>
          <w:rFonts w:ascii="Arial" w:hAnsi="Arial" w:cs="Arial"/>
          <w:color w:val="000000"/>
        </w:rPr>
        <w:t xml:space="preserve"> </w:t>
      </w:r>
      <w:r w:rsidRPr="007B00C3">
        <w:rPr>
          <w:rFonts w:ascii="Arial" w:hAnsi="Arial" w:cs="Arial"/>
          <w:color w:val="000000"/>
        </w:rPr>
        <w:t>Meanwhile, the mean (average) value of the company size variable is 18.8731 with a</w:t>
      </w:r>
      <w:r>
        <w:rPr>
          <w:rFonts w:ascii="Arial" w:hAnsi="Arial" w:cs="Arial"/>
          <w:color w:val="000000"/>
        </w:rPr>
        <w:t xml:space="preserve"> </w:t>
      </w:r>
      <w:r w:rsidRPr="007B00C3">
        <w:rPr>
          <w:rFonts w:ascii="Arial" w:hAnsi="Arial" w:cs="Arial"/>
          <w:color w:val="000000"/>
        </w:rPr>
        <w:lastRenderedPageBreak/>
        <w:t>standard deviation of 1.23525.</w:t>
      </w:r>
    </w:p>
    <w:p w14:paraId="66A1816C" w14:textId="11CC70F0" w:rsidR="007B00C3" w:rsidRPr="007B00C3" w:rsidRDefault="007B00C3" w:rsidP="007B00C3">
      <w:pPr>
        <w:widowControl w:val="0"/>
        <w:pBdr>
          <w:top w:val="nil"/>
          <w:left w:val="nil"/>
          <w:bottom w:val="nil"/>
          <w:right w:val="nil"/>
          <w:between w:val="nil"/>
        </w:pBdr>
        <w:jc w:val="both"/>
        <w:rPr>
          <w:rFonts w:ascii="Arial" w:hAnsi="Arial" w:cs="Arial"/>
          <w:color w:val="000000"/>
        </w:rPr>
      </w:pPr>
    </w:p>
    <w:p w14:paraId="43B4E415" w14:textId="2CA53156" w:rsidR="007B00C3" w:rsidRDefault="007B00C3" w:rsidP="007B00C3">
      <w:pPr>
        <w:widowControl w:val="0"/>
        <w:pBdr>
          <w:top w:val="nil"/>
          <w:left w:val="nil"/>
          <w:bottom w:val="nil"/>
          <w:right w:val="nil"/>
          <w:between w:val="nil"/>
        </w:pBdr>
        <w:jc w:val="both"/>
        <w:rPr>
          <w:rFonts w:ascii="Arial" w:hAnsi="Arial" w:cs="Arial"/>
          <w:color w:val="000000"/>
        </w:rPr>
      </w:pPr>
      <w:r w:rsidRPr="007B00C3">
        <w:rPr>
          <w:rFonts w:ascii="Arial" w:hAnsi="Arial" w:cs="Arial"/>
          <w:color w:val="000000"/>
        </w:rPr>
        <w:t xml:space="preserve">The lowest liquidity is 6.99%, owned by PT BPR </w:t>
      </w:r>
      <w:proofErr w:type="spellStart"/>
      <w:r w:rsidRPr="007B00C3">
        <w:rPr>
          <w:rFonts w:ascii="Arial" w:hAnsi="Arial" w:cs="Arial"/>
          <w:color w:val="000000"/>
        </w:rPr>
        <w:t>Jawa</w:t>
      </w:r>
      <w:proofErr w:type="spellEnd"/>
      <w:r w:rsidRPr="007B00C3">
        <w:rPr>
          <w:rFonts w:ascii="Arial" w:hAnsi="Arial" w:cs="Arial"/>
          <w:color w:val="000000"/>
        </w:rPr>
        <w:t xml:space="preserve"> Timur (</w:t>
      </w:r>
      <w:proofErr w:type="spellStart"/>
      <w:r w:rsidRPr="007B00C3">
        <w:rPr>
          <w:rFonts w:ascii="Arial" w:hAnsi="Arial" w:cs="Arial"/>
          <w:color w:val="000000"/>
        </w:rPr>
        <w:t>Perseroda</w:t>
      </w:r>
      <w:proofErr w:type="spellEnd"/>
      <w:r w:rsidRPr="007B00C3">
        <w:rPr>
          <w:rFonts w:ascii="Arial" w:hAnsi="Arial" w:cs="Arial"/>
          <w:color w:val="000000"/>
        </w:rPr>
        <w:t>) in 2024, while the</w:t>
      </w:r>
      <w:r>
        <w:rPr>
          <w:rFonts w:ascii="Arial" w:hAnsi="Arial" w:cs="Arial"/>
          <w:color w:val="000000"/>
        </w:rPr>
        <w:t xml:space="preserve"> </w:t>
      </w:r>
      <w:r w:rsidRPr="007B00C3">
        <w:rPr>
          <w:rFonts w:ascii="Arial" w:hAnsi="Arial" w:cs="Arial"/>
          <w:color w:val="000000"/>
        </w:rPr>
        <w:t xml:space="preserve">highest liquidity is 131.97%, owned by PT BPR </w:t>
      </w:r>
      <w:proofErr w:type="spellStart"/>
      <w:r w:rsidRPr="007B00C3">
        <w:rPr>
          <w:rFonts w:ascii="Arial" w:hAnsi="Arial" w:cs="Arial"/>
          <w:color w:val="000000"/>
        </w:rPr>
        <w:t>Manuk</w:t>
      </w:r>
      <w:proofErr w:type="spellEnd"/>
      <w:r w:rsidRPr="007B00C3">
        <w:rPr>
          <w:rFonts w:ascii="Arial" w:hAnsi="Arial" w:cs="Arial"/>
          <w:color w:val="000000"/>
        </w:rPr>
        <w:t xml:space="preserve"> </w:t>
      </w:r>
      <w:proofErr w:type="spellStart"/>
      <w:r w:rsidRPr="007B00C3">
        <w:rPr>
          <w:rFonts w:ascii="Arial" w:hAnsi="Arial" w:cs="Arial"/>
          <w:color w:val="000000"/>
        </w:rPr>
        <w:t>Ayu</w:t>
      </w:r>
      <w:proofErr w:type="spellEnd"/>
      <w:r w:rsidRPr="007B00C3">
        <w:rPr>
          <w:rFonts w:ascii="Arial" w:hAnsi="Arial" w:cs="Arial"/>
          <w:color w:val="000000"/>
        </w:rPr>
        <w:t xml:space="preserve"> in 2024. Meanwhile, the mean (average) value of the liquidity variable is 27.3021 with a standard deviation of 18.84869.</w:t>
      </w:r>
    </w:p>
    <w:p w14:paraId="001575D3" w14:textId="77777777" w:rsidR="00607285" w:rsidRDefault="00607285" w:rsidP="00607285">
      <w:pPr>
        <w:widowControl w:val="0"/>
        <w:pBdr>
          <w:top w:val="nil"/>
          <w:left w:val="nil"/>
          <w:bottom w:val="nil"/>
          <w:right w:val="nil"/>
          <w:between w:val="nil"/>
        </w:pBdr>
        <w:jc w:val="both"/>
        <w:rPr>
          <w:rFonts w:ascii="Arial" w:hAnsi="Arial" w:cs="Arial"/>
          <w:bCs/>
          <w:noProof/>
          <w:color w:val="000000"/>
          <w:lang w:val="id-ID"/>
        </w:rPr>
      </w:pPr>
    </w:p>
    <w:p w14:paraId="450EAB42" w14:textId="3CC0540D" w:rsidR="00607285" w:rsidRPr="00607285" w:rsidRDefault="00607285" w:rsidP="00607285">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.1.</w:t>
      </w:r>
      <w:r w:rsidR="007B00C3">
        <w:rPr>
          <w:rFonts w:ascii="Arial" w:hAnsi="Arial" w:cs="Arial"/>
          <w:b/>
          <w:u w:val="single"/>
        </w:rPr>
        <w:t>2</w:t>
      </w:r>
      <w:r w:rsidRPr="00902823">
        <w:rPr>
          <w:rFonts w:ascii="Arial" w:hAnsi="Arial" w:cs="Arial"/>
          <w:b/>
          <w:u w:val="single"/>
        </w:rPr>
        <w:t xml:space="preserve"> </w:t>
      </w:r>
      <w:r>
        <w:rPr>
          <w:rFonts w:ascii="Arial" w:hAnsi="Arial" w:cs="Arial"/>
          <w:b/>
          <w:u w:val="single"/>
        </w:rPr>
        <w:t>Classical Assumption Test</w:t>
      </w:r>
    </w:p>
    <w:p w14:paraId="0738E646" w14:textId="77777777" w:rsidR="00607285" w:rsidRDefault="00607285" w:rsidP="00607285">
      <w:pPr>
        <w:widowControl w:val="0"/>
        <w:pBdr>
          <w:top w:val="nil"/>
          <w:left w:val="nil"/>
          <w:bottom w:val="nil"/>
          <w:right w:val="nil"/>
          <w:between w:val="nil"/>
        </w:pBdr>
        <w:jc w:val="both"/>
        <w:rPr>
          <w:rFonts w:ascii="Arial" w:hAnsi="Arial" w:cs="Arial"/>
          <w:bCs/>
          <w:noProof/>
          <w:color w:val="000000"/>
          <w:lang w:val="id-ID"/>
        </w:rPr>
      </w:pPr>
    </w:p>
    <w:p w14:paraId="2B322C92" w14:textId="1CCFE2AC" w:rsidR="007B00C3" w:rsidRDefault="007B00C3" w:rsidP="007B00C3">
      <w:pPr>
        <w:widowControl w:val="0"/>
        <w:pBdr>
          <w:top w:val="nil"/>
          <w:left w:val="nil"/>
          <w:bottom w:val="nil"/>
          <w:right w:val="nil"/>
          <w:between w:val="nil"/>
        </w:pBdr>
        <w:jc w:val="both"/>
        <w:rPr>
          <w:rFonts w:ascii="Arial" w:hAnsi="Arial" w:cs="Arial"/>
          <w:bCs/>
          <w:noProof/>
          <w:color w:val="000000"/>
          <w:lang w:val="id-ID"/>
        </w:rPr>
      </w:pPr>
      <w:r w:rsidRPr="007B00C3">
        <w:rPr>
          <w:rFonts w:ascii="Arial" w:hAnsi="Arial" w:cs="Arial"/>
          <w:bCs/>
          <w:noProof/>
          <w:color w:val="000000"/>
          <w:lang w:val="id-ID"/>
        </w:rPr>
        <w:t>The</w:t>
      </w:r>
      <w:r w:rsidRPr="007B00C3">
        <w:rPr>
          <w:rFonts w:ascii="Arial" w:hAnsi="Arial" w:cs="Arial"/>
          <w:bCs/>
          <w:noProof/>
          <w:color w:val="000000"/>
          <w:lang w:val="id-ID"/>
        </w:rPr>
        <w:tab/>
        <w:t>classical</w:t>
      </w:r>
      <w:r w:rsidRPr="007B00C3">
        <w:rPr>
          <w:rFonts w:ascii="Arial" w:hAnsi="Arial" w:cs="Arial"/>
          <w:bCs/>
          <w:noProof/>
          <w:color w:val="000000"/>
          <w:lang w:val="id-ID"/>
        </w:rPr>
        <w:tab/>
        <w:t>assumption</w:t>
      </w:r>
      <w:r w:rsidRPr="007B00C3">
        <w:rPr>
          <w:rFonts w:ascii="Arial" w:hAnsi="Arial" w:cs="Arial"/>
          <w:bCs/>
          <w:noProof/>
          <w:color w:val="000000"/>
          <w:lang w:val="id-ID"/>
        </w:rPr>
        <w:tab/>
        <w:t>test</w:t>
      </w:r>
      <w:r w:rsidRPr="007B00C3">
        <w:rPr>
          <w:rFonts w:ascii="Arial" w:hAnsi="Arial" w:cs="Arial"/>
          <w:bCs/>
          <w:noProof/>
          <w:color w:val="000000"/>
          <w:lang w:val="id-ID"/>
        </w:rPr>
        <w:tab/>
        <w:t>includes</w:t>
      </w:r>
      <w:r w:rsidRPr="007B00C3">
        <w:rPr>
          <w:rFonts w:ascii="Arial" w:hAnsi="Arial" w:cs="Arial"/>
          <w:bCs/>
          <w:noProof/>
          <w:color w:val="000000"/>
          <w:lang w:val="id-ID"/>
        </w:rPr>
        <w:tab/>
        <w:t>normality</w:t>
      </w:r>
      <w:r w:rsidRPr="007B00C3">
        <w:rPr>
          <w:rFonts w:ascii="Arial" w:hAnsi="Arial" w:cs="Arial"/>
          <w:bCs/>
          <w:noProof/>
          <w:color w:val="000000"/>
          <w:lang w:val="id-ID"/>
        </w:rPr>
        <w:tab/>
        <w:t>test</w:t>
      </w:r>
      <w:r>
        <w:rPr>
          <w:rFonts w:ascii="Arial" w:hAnsi="Arial" w:cs="Arial"/>
          <w:bCs/>
          <w:noProof/>
          <w:color w:val="000000"/>
          <w:lang w:val="id-ID"/>
        </w:rPr>
        <w:t xml:space="preserve">, </w:t>
      </w:r>
      <w:r w:rsidRPr="007B00C3">
        <w:rPr>
          <w:rFonts w:ascii="Arial" w:hAnsi="Arial" w:cs="Arial"/>
          <w:bCs/>
          <w:noProof/>
          <w:color w:val="000000"/>
          <w:lang w:val="id-ID"/>
        </w:rPr>
        <w:t>multicollinearity</w:t>
      </w:r>
      <w:r w:rsidRPr="007B00C3">
        <w:rPr>
          <w:rFonts w:ascii="Arial" w:hAnsi="Arial" w:cs="Arial"/>
          <w:bCs/>
          <w:noProof/>
          <w:color w:val="000000"/>
          <w:lang w:val="id-ID"/>
        </w:rPr>
        <w:tab/>
        <w:t>test,</w:t>
      </w:r>
      <w:r>
        <w:rPr>
          <w:rFonts w:ascii="Arial" w:hAnsi="Arial" w:cs="Arial"/>
          <w:bCs/>
          <w:noProof/>
          <w:color w:val="000000"/>
          <w:lang w:val="id-ID"/>
        </w:rPr>
        <w:t xml:space="preserve"> </w:t>
      </w:r>
      <w:r w:rsidRPr="007B00C3">
        <w:rPr>
          <w:rFonts w:ascii="Arial" w:hAnsi="Arial" w:cs="Arial"/>
          <w:bCs/>
          <w:noProof/>
          <w:color w:val="000000"/>
          <w:lang w:val="id-ID"/>
        </w:rPr>
        <w:t>heteroscedasticity test, and autocorrelation test. Based on the classical assumption test</w:t>
      </w:r>
      <w:r>
        <w:rPr>
          <w:rFonts w:ascii="Arial" w:hAnsi="Arial" w:cs="Arial"/>
          <w:bCs/>
          <w:noProof/>
          <w:color w:val="000000"/>
          <w:lang w:val="id-ID"/>
        </w:rPr>
        <w:t xml:space="preserve"> </w:t>
      </w:r>
      <w:r w:rsidRPr="007B00C3">
        <w:rPr>
          <w:rFonts w:ascii="Arial" w:hAnsi="Arial" w:cs="Arial"/>
          <w:bCs/>
          <w:noProof/>
          <w:color w:val="000000"/>
          <w:lang w:val="id-ID"/>
        </w:rPr>
        <w:t>calculations performed by the researcher using SPSS 22, the results are as follows:</w:t>
      </w:r>
    </w:p>
    <w:p w14:paraId="367091CB" w14:textId="77777777" w:rsidR="000F34E2" w:rsidRPr="000F34E2" w:rsidRDefault="000F34E2" w:rsidP="000F34E2">
      <w:pPr>
        <w:widowControl w:val="0"/>
        <w:pBdr>
          <w:top w:val="nil"/>
          <w:left w:val="nil"/>
          <w:bottom w:val="nil"/>
          <w:right w:val="nil"/>
          <w:between w:val="nil"/>
        </w:pBdr>
        <w:ind w:firstLine="202"/>
        <w:jc w:val="both"/>
        <w:rPr>
          <w:rFonts w:ascii="Arial" w:hAnsi="Arial" w:cs="Arial"/>
          <w:color w:val="000000"/>
        </w:rPr>
      </w:pPr>
    </w:p>
    <w:p w14:paraId="3E530F38" w14:textId="07E86E00" w:rsidR="000F34E2" w:rsidRDefault="000F34E2" w:rsidP="000F34E2">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rPr>
        <w:t xml:space="preserve">Table </w:t>
      </w:r>
      <w:r w:rsidR="007B00C3">
        <w:rPr>
          <w:rFonts w:ascii="Arial" w:hAnsi="Arial" w:cs="Arial"/>
          <w:b/>
          <w:bCs/>
          <w:color w:val="000000"/>
        </w:rPr>
        <w:t>3</w:t>
      </w:r>
      <w:r w:rsidRPr="000F34E2">
        <w:rPr>
          <w:rFonts w:ascii="Arial" w:hAnsi="Arial" w:cs="Arial"/>
          <w:b/>
          <w:bCs/>
          <w:color w:val="000000"/>
        </w:rPr>
        <w:t>. One-Sample Kolmogorov-Smirnov Test</w:t>
      </w:r>
    </w:p>
    <w:p w14:paraId="3574A038" w14:textId="77777777" w:rsidR="000C5764" w:rsidRPr="000F34E2" w:rsidRDefault="000C5764" w:rsidP="0025050C">
      <w:pPr>
        <w:widowControl w:val="0"/>
        <w:pBdr>
          <w:top w:val="nil"/>
          <w:left w:val="nil"/>
          <w:bottom w:val="nil"/>
          <w:right w:val="nil"/>
          <w:between w:val="nil"/>
        </w:pBdr>
        <w:rPr>
          <w:rFonts w:ascii="Arial" w:hAnsi="Arial" w:cs="Arial"/>
          <w:color w:val="00000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250"/>
        <w:gridCol w:w="2250"/>
        <w:gridCol w:w="2610"/>
      </w:tblGrid>
      <w:tr w:rsidR="000C5764" w:rsidRPr="000F34E2" w14:paraId="14A125E8" w14:textId="77777777" w:rsidTr="000C5764">
        <w:trPr>
          <w:jc w:val="center"/>
        </w:trPr>
        <w:tc>
          <w:tcPr>
            <w:tcW w:w="2250" w:type="dxa"/>
            <w:tcBorders>
              <w:top w:val="single" w:sz="4" w:space="0" w:color="auto"/>
              <w:bottom w:val="single" w:sz="4" w:space="0" w:color="auto"/>
            </w:tcBorders>
          </w:tcPr>
          <w:p w14:paraId="55681CEE" w14:textId="77777777" w:rsidR="000C5764" w:rsidRPr="000C5764" w:rsidRDefault="000C5764" w:rsidP="000F34E2">
            <w:pPr>
              <w:widowControl w:val="0"/>
              <w:ind w:firstLine="360"/>
              <w:jc w:val="center"/>
              <w:rPr>
                <w:rFonts w:ascii="Arial" w:hAnsi="Arial" w:cs="Arial"/>
                <w:color w:val="000000"/>
              </w:rPr>
            </w:pPr>
          </w:p>
        </w:tc>
        <w:tc>
          <w:tcPr>
            <w:tcW w:w="2250" w:type="dxa"/>
            <w:tcBorders>
              <w:top w:val="single" w:sz="4" w:space="0" w:color="auto"/>
              <w:bottom w:val="single" w:sz="4" w:space="0" w:color="auto"/>
            </w:tcBorders>
          </w:tcPr>
          <w:p w14:paraId="137BB695" w14:textId="659D0F7D" w:rsidR="000C5764" w:rsidRPr="000C5764" w:rsidRDefault="000C5764" w:rsidP="000F34E2">
            <w:pPr>
              <w:widowControl w:val="0"/>
              <w:ind w:firstLine="360"/>
              <w:jc w:val="center"/>
              <w:rPr>
                <w:rFonts w:ascii="Arial" w:hAnsi="Arial" w:cs="Arial"/>
                <w:color w:val="000000"/>
              </w:rPr>
            </w:pPr>
          </w:p>
        </w:tc>
        <w:tc>
          <w:tcPr>
            <w:tcW w:w="2610" w:type="dxa"/>
            <w:tcBorders>
              <w:top w:val="single" w:sz="4" w:space="0" w:color="auto"/>
              <w:bottom w:val="single" w:sz="4" w:space="0" w:color="auto"/>
            </w:tcBorders>
          </w:tcPr>
          <w:p w14:paraId="0C182070" w14:textId="77777777" w:rsidR="000C5764" w:rsidRPr="000C5764" w:rsidRDefault="000C5764" w:rsidP="000F34E2">
            <w:pPr>
              <w:widowControl w:val="0"/>
              <w:rPr>
                <w:rFonts w:ascii="Arial" w:hAnsi="Arial" w:cs="Arial"/>
                <w:b/>
                <w:bCs/>
                <w:color w:val="000000"/>
              </w:rPr>
            </w:pPr>
            <w:r w:rsidRPr="000C5764">
              <w:rPr>
                <w:rFonts w:ascii="Arial" w:hAnsi="Arial" w:cs="Arial"/>
                <w:b/>
                <w:bCs/>
                <w:color w:val="000000"/>
              </w:rPr>
              <w:t>Unstandardized Residual</w:t>
            </w:r>
          </w:p>
        </w:tc>
      </w:tr>
      <w:tr w:rsidR="000C5764" w:rsidRPr="000F34E2" w14:paraId="76B252C7" w14:textId="77777777" w:rsidTr="000C5764">
        <w:trPr>
          <w:jc w:val="center"/>
        </w:trPr>
        <w:tc>
          <w:tcPr>
            <w:tcW w:w="2250" w:type="dxa"/>
            <w:tcBorders>
              <w:top w:val="single" w:sz="4" w:space="0" w:color="auto"/>
              <w:bottom w:val="nil"/>
            </w:tcBorders>
          </w:tcPr>
          <w:p w14:paraId="7E4470F2" w14:textId="62E3AC8C" w:rsidR="000C5764" w:rsidRPr="000C5764" w:rsidRDefault="000C5764" w:rsidP="000F34E2">
            <w:pPr>
              <w:widowControl w:val="0"/>
              <w:rPr>
                <w:rFonts w:ascii="Arial" w:hAnsi="Arial" w:cs="Arial"/>
                <w:color w:val="000000"/>
              </w:rPr>
            </w:pPr>
            <w:r w:rsidRPr="000C5764">
              <w:rPr>
                <w:rFonts w:ascii="Arial" w:hAnsi="Arial" w:cs="Arial"/>
                <w:color w:val="000000"/>
              </w:rPr>
              <w:t>N</w:t>
            </w:r>
          </w:p>
        </w:tc>
        <w:tc>
          <w:tcPr>
            <w:tcW w:w="2250" w:type="dxa"/>
            <w:tcBorders>
              <w:top w:val="single" w:sz="4" w:space="0" w:color="auto"/>
              <w:bottom w:val="nil"/>
            </w:tcBorders>
          </w:tcPr>
          <w:p w14:paraId="0537F81F" w14:textId="162AAD3B" w:rsidR="000C5764" w:rsidRPr="000C5764" w:rsidRDefault="000C5764" w:rsidP="000F34E2">
            <w:pPr>
              <w:widowControl w:val="0"/>
              <w:rPr>
                <w:rFonts w:ascii="Arial" w:hAnsi="Arial" w:cs="Arial"/>
                <w:color w:val="000000"/>
              </w:rPr>
            </w:pPr>
            <w:proofErr w:type="spellStart"/>
            <w:proofErr w:type="gramStart"/>
            <w:r w:rsidRPr="000C5764">
              <w:rPr>
                <w:rFonts w:ascii="Arial" w:hAnsi="Arial" w:cs="Arial"/>
                <w:i/>
                <w:iCs/>
                <w:color w:val="000000"/>
              </w:rPr>
              <w:t>Asymp</w:t>
            </w:r>
            <w:proofErr w:type="spellEnd"/>
            <w:r w:rsidRPr="000C5764">
              <w:rPr>
                <w:rFonts w:ascii="Arial" w:hAnsi="Arial" w:cs="Arial"/>
                <w:i/>
                <w:iCs/>
                <w:color w:val="000000"/>
              </w:rPr>
              <w:t>..</w:t>
            </w:r>
            <w:proofErr w:type="gramEnd"/>
            <w:r w:rsidRPr="000C5764">
              <w:rPr>
                <w:rFonts w:ascii="Arial" w:hAnsi="Arial" w:cs="Arial"/>
                <w:color w:val="000000"/>
              </w:rPr>
              <w:t xml:space="preserve"> </w:t>
            </w:r>
            <w:r w:rsidRPr="000C5764">
              <w:rPr>
                <w:rFonts w:ascii="Arial" w:hAnsi="Arial" w:cs="Arial"/>
                <w:i/>
                <w:iCs/>
                <w:color w:val="000000"/>
              </w:rPr>
              <w:t>Sig.</w:t>
            </w:r>
            <w:r w:rsidRPr="000C5764">
              <w:rPr>
                <w:rFonts w:ascii="Arial" w:hAnsi="Arial" w:cs="Arial"/>
                <w:color w:val="000000"/>
              </w:rPr>
              <w:t xml:space="preserve"> (2-tailed)</w:t>
            </w:r>
          </w:p>
        </w:tc>
        <w:tc>
          <w:tcPr>
            <w:tcW w:w="2610" w:type="dxa"/>
            <w:tcBorders>
              <w:top w:val="single" w:sz="4" w:space="0" w:color="auto"/>
              <w:bottom w:val="nil"/>
            </w:tcBorders>
          </w:tcPr>
          <w:p w14:paraId="4F3671A3" w14:textId="77777777" w:rsidR="000C5764" w:rsidRPr="000C5764" w:rsidRDefault="000C5764" w:rsidP="005D50D2">
            <w:pPr>
              <w:widowControl w:val="0"/>
              <w:jc w:val="right"/>
              <w:rPr>
                <w:rFonts w:ascii="Arial" w:hAnsi="Arial" w:cs="Arial"/>
                <w:color w:val="000000"/>
              </w:rPr>
            </w:pPr>
            <w:r w:rsidRPr="000C5764">
              <w:rPr>
                <w:rFonts w:ascii="Arial" w:hAnsi="Arial" w:cs="Arial"/>
                <w:color w:val="000000"/>
              </w:rPr>
              <w:t>.200</w:t>
            </w:r>
          </w:p>
        </w:tc>
      </w:tr>
      <w:tr w:rsidR="000C5764" w:rsidRPr="000F34E2" w14:paraId="66B3A975" w14:textId="77777777" w:rsidTr="000C5764">
        <w:trPr>
          <w:jc w:val="center"/>
        </w:trPr>
        <w:tc>
          <w:tcPr>
            <w:tcW w:w="2250" w:type="dxa"/>
            <w:vMerge w:val="restart"/>
            <w:tcBorders>
              <w:top w:val="nil"/>
            </w:tcBorders>
            <w:vAlign w:val="center"/>
          </w:tcPr>
          <w:p w14:paraId="681DE4D6" w14:textId="3760E204" w:rsidR="000C5764" w:rsidRPr="000C5764" w:rsidRDefault="000C5764" w:rsidP="000C5764">
            <w:pPr>
              <w:widowControl w:val="0"/>
              <w:rPr>
                <w:rFonts w:ascii="Arial" w:hAnsi="Arial" w:cs="Arial"/>
                <w:color w:val="000000"/>
              </w:rPr>
            </w:pPr>
            <w:r w:rsidRPr="000C5764">
              <w:rPr>
                <w:rFonts w:ascii="Arial" w:hAnsi="Arial" w:cs="Arial"/>
              </w:rPr>
              <w:t>Normal</w:t>
            </w:r>
            <w:r w:rsidRPr="000C5764">
              <w:rPr>
                <w:rFonts w:ascii="Arial" w:hAnsi="Arial" w:cs="Arial"/>
                <w:spacing w:val="-9"/>
              </w:rPr>
              <w:t xml:space="preserve"> </w:t>
            </w:r>
            <w:r w:rsidRPr="000C5764">
              <w:rPr>
                <w:rFonts w:ascii="Arial" w:hAnsi="Arial" w:cs="Arial"/>
                <w:spacing w:val="-2"/>
              </w:rPr>
              <w:t xml:space="preserve">Parameters </w:t>
            </w:r>
            <w:proofErr w:type="spellStart"/>
            <w:proofErr w:type="gramStart"/>
            <w:r w:rsidRPr="000C5764">
              <w:rPr>
                <w:rFonts w:ascii="Arial" w:hAnsi="Arial" w:cs="Arial"/>
                <w:spacing w:val="-2"/>
                <w:position w:val="6"/>
              </w:rPr>
              <w:t>a,b</w:t>
            </w:r>
            <w:proofErr w:type="spellEnd"/>
            <w:proofErr w:type="gramEnd"/>
          </w:p>
        </w:tc>
        <w:tc>
          <w:tcPr>
            <w:tcW w:w="2250" w:type="dxa"/>
            <w:tcBorders>
              <w:top w:val="nil"/>
              <w:bottom w:val="nil"/>
            </w:tcBorders>
          </w:tcPr>
          <w:p w14:paraId="5DE0E21F" w14:textId="6E54BD3D" w:rsidR="000C5764" w:rsidRPr="000C5764" w:rsidRDefault="000C5764" w:rsidP="000F34E2">
            <w:pPr>
              <w:widowControl w:val="0"/>
              <w:rPr>
                <w:rFonts w:ascii="Arial" w:hAnsi="Arial" w:cs="Arial"/>
                <w:color w:val="000000"/>
              </w:rPr>
            </w:pPr>
            <w:r w:rsidRPr="000C5764">
              <w:rPr>
                <w:rFonts w:ascii="Arial" w:hAnsi="Arial" w:cs="Arial"/>
                <w:spacing w:val="-4"/>
              </w:rPr>
              <w:t>Mean</w:t>
            </w:r>
          </w:p>
        </w:tc>
        <w:tc>
          <w:tcPr>
            <w:tcW w:w="2610" w:type="dxa"/>
            <w:tcBorders>
              <w:top w:val="nil"/>
              <w:bottom w:val="nil"/>
            </w:tcBorders>
          </w:tcPr>
          <w:p w14:paraId="174FAD2F" w14:textId="1D2AB68C" w:rsidR="000C5764" w:rsidRPr="000C5764" w:rsidRDefault="000C5764" w:rsidP="005D50D2">
            <w:pPr>
              <w:widowControl w:val="0"/>
              <w:jc w:val="right"/>
              <w:rPr>
                <w:rFonts w:ascii="Arial" w:hAnsi="Arial" w:cs="Arial"/>
                <w:color w:val="000000"/>
              </w:rPr>
            </w:pPr>
            <w:r w:rsidRPr="000C5764">
              <w:rPr>
                <w:rFonts w:ascii="Arial" w:hAnsi="Arial" w:cs="Arial"/>
                <w:color w:val="000000"/>
              </w:rPr>
              <w:t>.</w:t>
            </w:r>
            <w:r w:rsidRPr="000C5764">
              <w:rPr>
                <w:rFonts w:ascii="Arial" w:hAnsi="Arial" w:cs="Arial"/>
                <w:spacing w:val="-2"/>
              </w:rPr>
              <w:t xml:space="preserve"> 0000000</w:t>
            </w:r>
          </w:p>
        </w:tc>
      </w:tr>
      <w:tr w:rsidR="000C5764" w:rsidRPr="000F34E2" w14:paraId="20E7A802" w14:textId="77777777" w:rsidTr="000C5764">
        <w:trPr>
          <w:jc w:val="center"/>
        </w:trPr>
        <w:tc>
          <w:tcPr>
            <w:tcW w:w="2250" w:type="dxa"/>
            <w:vMerge/>
            <w:tcBorders>
              <w:bottom w:val="nil"/>
            </w:tcBorders>
            <w:vAlign w:val="center"/>
          </w:tcPr>
          <w:p w14:paraId="31ADF1AB" w14:textId="77777777" w:rsidR="000C5764" w:rsidRPr="000C5764" w:rsidRDefault="000C5764" w:rsidP="000C5764">
            <w:pPr>
              <w:widowControl w:val="0"/>
              <w:rPr>
                <w:rFonts w:ascii="Arial" w:hAnsi="Arial" w:cs="Arial"/>
                <w:color w:val="000000"/>
              </w:rPr>
            </w:pPr>
          </w:p>
        </w:tc>
        <w:tc>
          <w:tcPr>
            <w:tcW w:w="2250" w:type="dxa"/>
            <w:tcBorders>
              <w:top w:val="nil"/>
              <w:bottom w:val="nil"/>
            </w:tcBorders>
          </w:tcPr>
          <w:p w14:paraId="791CEB9C" w14:textId="759E9156" w:rsidR="000C5764" w:rsidRPr="000C5764" w:rsidRDefault="000C5764" w:rsidP="000F34E2">
            <w:pPr>
              <w:widowControl w:val="0"/>
              <w:rPr>
                <w:rFonts w:ascii="Arial" w:hAnsi="Arial" w:cs="Arial"/>
                <w:color w:val="000000"/>
              </w:rPr>
            </w:pPr>
            <w:r w:rsidRPr="000C5764">
              <w:rPr>
                <w:rFonts w:ascii="Arial" w:hAnsi="Arial" w:cs="Arial"/>
                <w:spacing w:val="-2"/>
              </w:rPr>
              <w:t>Standard Deviation</w:t>
            </w:r>
          </w:p>
        </w:tc>
        <w:tc>
          <w:tcPr>
            <w:tcW w:w="2610" w:type="dxa"/>
            <w:tcBorders>
              <w:top w:val="nil"/>
              <w:bottom w:val="nil"/>
            </w:tcBorders>
          </w:tcPr>
          <w:p w14:paraId="6587AC3E" w14:textId="46B66AB9" w:rsidR="000C5764" w:rsidRPr="000C5764" w:rsidRDefault="000C5764" w:rsidP="005D50D2">
            <w:pPr>
              <w:widowControl w:val="0"/>
              <w:jc w:val="right"/>
              <w:rPr>
                <w:rFonts w:ascii="Arial" w:hAnsi="Arial" w:cs="Arial"/>
                <w:color w:val="000000"/>
              </w:rPr>
            </w:pPr>
            <w:r w:rsidRPr="000C5764">
              <w:rPr>
                <w:rFonts w:ascii="Arial" w:hAnsi="Arial" w:cs="Arial"/>
                <w:spacing w:val="-2"/>
              </w:rPr>
              <w:t>13.57104740</w:t>
            </w:r>
          </w:p>
        </w:tc>
      </w:tr>
      <w:tr w:rsidR="000C5764" w:rsidRPr="000F34E2" w14:paraId="65BED150" w14:textId="77777777" w:rsidTr="000C5764">
        <w:trPr>
          <w:jc w:val="center"/>
        </w:trPr>
        <w:tc>
          <w:tcPr>
            <w:tcW w:w="2250" w:type="dxa"/>
            <w:vMerge w:val="restart"/>
            <w:tcBorders>
              <w:top w:val="nil"/>
            </w:tcBorders>
            <w:vAlign w:val="center"/>
          </w:tcPr>
          <w:p w14:paraId="41A988F7" w14:textId="70547B26" w:rsidR="000C5764" w:rsidRPr="000C5764" w:rsidRDefault="000C5764" w:rsidP="000C5764">
            <w:pPr>
              <w:widowControl w:val="0"/>
              <w:rPr>
                <w:rFonts w:ascii="Arial" w:hAnsi="Arial" w:cs="Arial"/>
                <w:color w:val="000000"/>
              </w:rPr>
            </w:pPr>
            <w:r w:rsidRPr="000C5764">
              <w:rPr>
                <w:rFonts w:ascii="Arial" w:hAnsi="Arial" w:cs="Arial"/>
              </w:rPr>
              <w:t>Most</w:t>
            </w:r>
            <w:r w:rsidRPr="000C5764">
              <w:rPr>
                <w:rFonts w:ascii="Arial" w:hAnsi="Arial" w:cs="Arial"/>
                <w:spacing w:val="-8"/>
              </w:rPr>
              <w:t xml:space="preserve"> </w:t>
            </w:r>
            <w:r w:rsidRPr="000C5764">
              <w:rPr>
                <w:rFonts w:ascii="Arial" w:hAnsi="Arial" w:cs="Arial"/>
              </w:rPr>
              <w:t>Extreme</w:t>
            </w:r>
            <w:r w:rsidRPr="000C5764">
              <w:rPr>
                <w:rFonts w:ascii="Arial" w:hAnsi="Arial" w:cs="Arial"/>
                <w:spacing w:val="-8"/>
              </w:rPr>
              <w:t xml:space="preserve"> </w:t>
            </w:r>
            <w:r w:rsidRPr="000C5764">
              <w:rPr>
                <w:rFonts w:ascii="Arial" w:hAnsi="Arial" w:cs="Arial"/>
                <w:spacing w:val="-2"/>
              </w:rPr>
              <w:t>Differences</w:t>
            </w:r>
          </w:p>
        </w:tc>
        <w:tc>
          <w:tcPr>
            <w:tcW w:w="2250" w:type="dxa"/>
            <w:tcBorders>
              <w:top w:val="nil"/>
              <w:bottom w:val="nil"/>
            </w:tcBorders>
          </w:tcPr>
          <w:p w14:paraId="1FF838AF" w14:textId="10209CD9" w:rsidR="000C5764" w:rsidRPr="000C5764" w:rsidRDefault="000C5764" w:rsidP="000F34E2">
            <w:pPr>
              <w:widowControl w:val="0"/>
              <w:rPr>
                <w:rFonts w:ascii="Arial" w:hAnsi="Arial" w:cs="Arial"/>
                <w:color w:val="000000"/>
              </w:rPr>
            </w:pPr>
            <w:r w:rsidRPr="000C5764">
              <w:rPr>
                <w:rFonts w:ascii="Arial" w:hAnsi="Arial" w:cs="Arial"/>
                <w:color w:val="000000"/>
              </w:rPr>
              <w:t>Absolute</w:t>
            </w:r>
          </w:p>
        </w:tc>
        <w:tc>
          <w:tcPr>
            <w:tcW w:w="2610" w:type="dxa"/>
            <w:tcBorders>
              <w:top w:val="nil"/>
              <w:bottom w:val="nil"/>
            </w:tcBorders>
          </w:tcPr>
          <w:p w14:paraId="10A359F5" w14:textId="4380E29F" w:rsidR="000C5764" w:rsidRPr="000C5764" w:rsidRDefault="000C5764" w:rsidP="005D50D2">
            <w:pPr>
              <w:widowControl w:val="0"/>
              <w:jc w:val="right"/>
              <w:rPr>
                <w:rFonts w:ascii="Arial" w:hAnsi="Arial" w:cs="Arial"/>
                <w:color w:val="000000"/>
              </w:rPr>
            </w:pPr>
            <w:r w:rsidRPr="000C5764">
              <w:rPr>
                <w:rFonts w:ascii="Arial" w:hAnsi="Arial" w:cs="Arial"/>
                <w:color w:val="000000"/>
              </w:rPr>
              <w:t>.</w:t>
            </w:r>
            <w:r w:rsidRPr="000C5764">
              <w:rPr>
                <w:rFonts w:ascii="Arial" w:hAnsi="Arial" w:cs="Arial"/>
                <w:spacing w:val="-4"/>
              </w:rPr>
              <w:t xml:space="preserve"> 093</w:t>
            </w:r>
          </w:p>
        </w:tc>
      </w:tr>
      <w:tr w:rsidR="000C5764" w:rsidRPr="000F34E2" w14:paraId="213FF5B1" w14:textId="77777777" w:rsidTr="0006423C">
        <w:trPr>
          <w:jc w:val="center"/>
        </w:trPr>
        <w:tc>
          <w:tcPr>
            <w:tcW w:w="2250" w:type="dxa"/>
            <w:vMerge/>
          </w:tcPr>
          <w:p w14:paraId="773FBCD6" w14:textId="77777777" w:rsidR="000C5764" w:rsidRPr="000C5764" w:rsidRDefault="000C5764" w:rsidP="000F34E2">
            <w:pPr>
              <w:widowControl w:val="0"/>
              <w:rPr>
                <w:rFonts w:ascii="Arial" w:hAnsi="Arial" w:cs="Arial"/>
                <w:color w:val="000000"/>
              </w:rPr>
            </w:pPr>
          </w:p>
        </w:tc>
        <w:tc>
          <w:tcPr>
            <w:tcW w:w="2250" w:type="dxa"/>
            <w:tcBorders>
              <w:top w:val="nil"/>
              <w:bottom w:val="nil"/>
            </w:tcBorders>
          </w:tcPr>
          <w:p w14:paraId="633C5B3F" w14:textId="16FE4679" w:rsidR="000C5764" w:rsidRPr="000C5764" w:rsidRDefault="000C5764" w:rsidP="000F34E2">
            <w:pPr>
              <w:widowControl w:val="0"/>
              <w:rPr>
                <w:rFonts w:ascii="Arial" w:hAnsi="Arial" w:cs="Arial"/>
                <w:color w:val="000000"/>
              </w:rPr>
            </w:pPr>
            <w:r w:rsidRPr="000C5764">
              <w:rPr>
                <w:rFonts w:ascii="Arial" w:hAnsi="Arial" w:cs="Arial"/>
                <w:color w:val="000000"/>
              </w:rPr>
              <w:t>Positive</w:t>
            </w:r>
          </w:p>
        </w:tc>
        <w:tc>
          <w:tcPr>
            <w:tcW w:w="2610" w:type="dxa"/>
            <w:tcBorders>
              <w:top w:val="nil"/>
              <w:bottom w:val="nil"/>
            </w:tcBorders>
          </w:tcPr>
          <w:p w14:paraId="1D856352" w14:textId="2F38E719" w:rsidR="000C5764" w:rsidRPr="000C5764" w:rsidRDefault="000C5764" w:rsidP="005D50D2">
            <w:pPr>
              <w:widowControl w:val="0"/>
              <w:jc w:val="right"/>
              <w:rPr>
                <w:rFonts w:ascii="Arial" w:hAnsi="Arial" w:cs="Arial"/>
                <w:color w:val="000000"/>
              </w:rPr>
            </w:pPr>
            <w:r w:rsidRPr="000C5764">
              <w:rPr>
                <w:rFonts w:ascii="Arial" w:hAnsi="Arial" w:cs="Arial"/>
                <w:color w:val="000000"/>
              </w:rPr>
              <w:t>.093</w:t>
            </w:r>
          </w:p>
        </w:tc>
      </w:tr>
      <w:tr w:rsidR="000C5764" w:rsidRPr="000F34E2" w14:paraId="11939807" w14:textId="77777777" w:rsidTr="0006423C">
        <w:trPr>
          <w:jc w:val="center"/>
        </w:trPr>
        <w:tc>
          <w:tcPr>
            <w:tcW w:w="2250" w:type="dxa"/>
            <w:vMerge/>
            <w:tcBorders>
              <w:bottom w:val="nil"/>
            </w:tcBorders>
          </w:tcPr>
          <w:p w14:paraId="4295D1AC" w14:textId="77777777" w:rsidR="000C5764" w:rsidRPr="000C5764" w:rsidRDefault="000C5764" w:rsidP="000F34E2">
            <w:pPr>
              <w:widowControl w:val="0"/>
              <w:rPr>
                <w:rFonts w:ascii="Arial" w:hAnsi="Arial" w:cs="Arial"/>
                <w:color w:val="000000"/>
              </w:rPr>
            </w:pPr>
          </w:p>
        </w:tc>
        <w:tc>
          <w:tcPr>
            <w:tcW w:w="2250" w:type="dxa"/>
            <w:tcBorders>
              <w:top w:val="nil"/>
              <w:bottom w:val="nil"/>
            </w:tcBorders>
          </w:tcPr>
          <w:p w14:paraId="089987DB" w14:textId="347F5627" w:rsidR="000C5764" w:rsidRPr="000C5764" w:rsidRDefault="000C5764" w:rsidP="000F34E2">
            <w:pPr>
              <w:widowControl w:val="0"/>
              <w:rPr>
                <w:rFonts w:ascii="Arial" w:hAnsi="Arial" w:cs="Arial"/>
                <w:color w:val="000000"/>
              </w:rPr>
            </w:pPr>
            <w:r w:rsidRPr="000C5764">
              <w:rPr>
                <w:rFonts w:ascii="Arial" w:hAnsi="Arial" w:cs="Arial"/>
                <w:color w:val="000000"/>
              </w:rPr>
              <w:t>Negative</w:t>
            </w:r>
          </w:p>
        </w:tc>
        <w:tc>
          <w:tcPr>
            <w:tcW w:w="2610" w:type="dxa"/>
            <w:tcBorders>
              <w:top w:val="nil"/>
              <w:bottom w:val="nil"/>
            </w:tcBorders>
          </w:tcPr>
          <w:p w14:paraId="04FDA445" w14:textId="299F058B" w:rsidR="000C5764" w:rsidRPr="000C5764" w:rsidRDefault="000C5764" w:rsidP="005D50D2">
            <w:pPr>
              <w:widowControl w:val="0"/>
              <w:jc w:val="right"/>
              <w:rPr>
                <w:rFonts w:ascii="Arial" w:hAnsi="Arial" w:cs="Arial"/>
                <w:color w:val="000000"/>
              </w:rPr>
            </w:pPr>
            <w:r w:rsidRPr="000C5764">
              <w:rPr>
                <w:rFonts w:ascii="Arial" w:hAnsi="Arial" w:cs="Arial"/>
                <w:color w:val="000000"/>
              </w:rPr>
              <w:t>-.077</w:t>
            </w:r>
          </w:p>
        </w:tc>
      </w:tr>
      <w:tr w:rsidR="000C5764" w:rsidRPr="000F34E2" w14:paraId="61D052DC" w14:textId="77777777" w:rsidTr="000C5764">
        <w:trPr>
          <w:jc w:val="center"/>
        </w:trPr>
        <w:tc>
          <w:tcPr>
            <w:tcW w:w="2250" w:type="dxa"/>
            <w:tcBorders>
              <w:top w:val="nil"/>
              <w:bottom w:val="nil"/>
            </w:tcBorders>
          </w:tcPr>
          <w:p w14:paraId="5463A9B1" w14:textId="773DCADB" w:rsidR="000C5764" w:rsidRPr="000C5764" w:rsidRDefault="000C5764" w:rsidP="000F34E2">
            <w:pPr>
              <w:widowControl w:val="0"/>
              <w:rPr>
                <w:rFonts w:ascii="Arial" w:hAnsi="Arial" w:cs="Arial"/>
                <w:color w:val="000000"/>
              </w:rPr>
            </w:pPr>
            <w:r w:rsidRPr="000C5764">
              <w:rPr>
                <w:rFonts w:ascii="Arial" w:hAnsi="Arial" w:cs="Arial"/>
              </w:rPr>
              <w:t>Test</w:t>
            </w:r>
            <w:r w:rsidRPr="000C5764">
              <w:rPr>
                <w:rFonts w:ascii="Arial" w:hAnsi="Arial" w:cs="Arial"/>
                <w:spacing w:val="-5"/>
              </w:rPr>
              <w:t xml:space="preserve"> </w:t>
            </w:r>
            <w:r w:rsidRPr="000C5764">
              <w:rPr>
                <w:rFonts w:ascii="Arial" w:hAnsi="Arial" w:cs="Arial"/>
                <w:spacing w:val="-2"/>
              </w:rPr>
              <w:t>Statistic</w:t>
            </w:r>
          </w:p>
        </w:tc>
        <w:tc>
          <w:tcPr>
            <w:tcW w:w="2250" w:type="dxa"/>
            <w:tcBorders>
              <w:top w:val="nil"/>
              <w:bottom w:val="nil"/>
            </w:tcBorders>
          </w:tcPr>
          <w:p w14:paraId="0E71C764" w14:textId="77777777" w:rsidR="000C5764" w:rsidRPr="000C5764" w:rsidRDefault="000C5764" w:rsidP="000F34E2">
            <w:pPr>
              <w:widowControl w:val="0"/>
              <w:rPr>
                <w:rFonts w:ascii="Arial" w:hAnsi="Arial" w:cs="Arial"/>
                <w:color w:val="000000"/>
              </w:rPr>
            </w:pPr>
          </w:p>
        </w:tc>
        <w:tc>
          <w:tcPr>
            <w:tcW w:w="2610" w:type="dxa"/>
            <w:tcBorders>
              <w:top w:val="nil"/>
              <w:bottom w:val="nil"/>
            </w:tcBorders>
          </w:tcPr>
          <w:p w14:paraId="3DFB03DF" w14:textId="6DDA3868" w:rsidR="000C5764" w:rsidRPr="000C5764" w:rsidRDefault="000C5764" w:rsidP="005D50D2">
            <w:pPr>
              <w:widowControl w:val="0"/>
              <w:jc w:val="right"/>
              <w:rPr>
                <w:rFonts w:ascii="Arial" w:hAnsi="Arial" w:cs="Arial"/>
                <w:color w:val="000000"/>
              </w:rPr>
            </w:pPr>
            <w:r w:rsidRPr="000C5764">
              <w:rPr>
                <w:rFonts w:ascii="Arial" w:hAnsi="Arial" w:cs="Arial"/>
                <w:color w:val="000000"/>
              </w:rPr>
              <w:t>.093</w:t>
            </w:r>
          </w:p>
        </w:tc>
      </w:tr>
      <w:tr w:rsidR="000C5764" w:rsidRPr="000F34E2" w14:paraId="3C92AAB2" w14:textId="77777777" w:rsidTr="000C5764">
        <w:trPr>
          <w:jc w:val="center"/>
        </w:trPr>
        <w:tc>
          <w:tcPr>
            <w:tcW w:w="2250" w:type="dxa"/>
            <w:tcBorders>
              <w:top w:val="nil"/>
            </w:tcBorders>
          </w:tcPr>
          <w:p w14:paraId="4B0B591B" w14:textId="1B595908" w:rsidR="000C5764" w:rsidRPr="000C5764" w:rsidRDefault="000C5764" w:rsidP="000F34E2">
            <w:pPr>
              <w:widowControl w:val="0"/>
              <w:rPr>
                <w:rFonts w:ascii="Arial" w:hAnsi="Arial" w:cs="Arial"/>
                <w:color w:val="000000"/>
              </w:rPr>
            </w:pPr>
            <w:proofErr w:type="spellStart"/>
            <w:r w:rsidRPr="000C5764">
              <w:rPr>
                <w:rFonts w:ascii="Arial" w:hAnsi="Arial" w:cs="Arial"/>
              </w:rPr>
              <w:t>Asymp</w:t>
            </w:r>
            <w:proofErr w:type="spellEnd"/>
            <w:r w:rsidRPr="000C5764">
              <w:rPr>
                <w:rFonts w:ascii="Arial" w:hAnsi="Arial" w:cs="Arial"/>
              </w:rPr>
              <w:t>.</w:t>
            </w:r>
            <w:r w:rsidRPr="000C5764">
              <w:rPr>
                <w:rFonts w:ascii="Arial" w:hAnsi="Arial" w:cs="Arial"/>
                <w:spacing w:val="-7"/>
              </w:rPr>
              <w:t xml:space="preserve"> </w:t>
            </w:r>
            <w:r w:rsidRPr="000C5764">
              <w:rPr>
                <w:rFonts w:ascii="Arial" w:hAnsi="Arial" w:cs="Arial"/>
              </w:rPr>
              <w:t>Sig.</w:t>
            </w:r>
            <w:r w:rsidRPr="000C5764">
              <w:rPr>
                <w:rFonts w:ascii="Arial" w:hAnsi="Arial" w:cs="Arial"/>
                <w:spacing w:val="-9"/>
              </w:rPr>
              <w:t xml:space="preserve"> </w:t>
            </w:r>
            <w:r w:rsidRPr="000C5764">
              <w:rPr>
                <w:rFonts w:ascii="Arial" w:hAnsi="Arial" w:cs="Arial"/>
              </w:rPr>
              <w:t>(2-</w:t>
            </w:r>
            <w:r w:rsidRPr="000C5764">
              <w:rPr>
                <w:rFonts w:ascii="Arial" w:hAnsi="Arial" w:cs="Arial"/>
                <w:spacing w:val="-2"/>
              </w:rPr>
              <w:t>tailed)</w:t>
            </w:r>
          </w:p>
        </w:tc>
        <w:tc>
          <w:tcPr>
            <w:tcW w:w="2250" w:type="dxa"/>
            <w:tcBorders>
              <w:top w:val="nil"/>
            </w:tcBorders>
          </w:tcPr>
          <w:p w14:paraId="0D663C60" w14:textId="77777777" w:rsidR="000C5764" w:rsidRPr="000C5764" w:rsidRDefault="000C5764" w:rsidP="000F34E2">
            <w:pPr>
              <w:widowControl w:val="0"/>
              <w:rPr>
                <w:rFonts w:ascii="Arial" w:hAnsi="Arial" w:cs="Arial"/>
                <w:color w:val="000000"/>
              </w:rPr>
            </w:pPr>
          </w:p>
        </w:tc>
        <w:tc>
          <w:tcPr>
            <w:tcW w:w="2610" w:type="dxa"/>
            <w:tcBorders>
              <w:top w:val="nil"/>
            </w:tcBorders>
          </w:tcPr>
          <w:p w14:paraId="2626E101" w14:textId="107F6940" w:rsidR="000C5764" w:rsidRPr="000C5764" w:rsidRDefault="000C5764" w:rsidP="005D50D2">
            <w:pPr>
              <w:widowControl w:val="0"/>
              <w:jc w:val="right"/>
              <w:rPr>
                <w:rFonts w:ascii="Arial" w:hAnsi="Arial" w:cs="Arial"/>
                <w:color w:val="000000"/>
                <w:vertAlign w:val="superscript"/>
              </w:rPr>
            </w:pPr>
            <w:r w:rsidRPr="000C5764">
              <w:rPr>
                <w:rFonts w:ascii="Arial" w:hAnsi="Arial" w:cs="Arial"/>
                <w:color w:val="000000"/>
              </w:rPr>
              <w:t>.078</w:t>
            </w:r>
          </w:p>
        </w:tc>
      </w:tr>
    </w:tbl>
    <w:p w14:paraId="60571AF4" w14:textId="46D1E512" w:rsidR="00607285" w:rsidRDefault="0025050C" w:rsidP="0025050C">
      <w:pPr>
        <w:widowControl w:val="0"/>
        <w:pBdr>
          <w:top w:val="nil"/>
          <w:left w:val="nil"/>
          <w:bottom w:val="nil"/>
          <w:right w:val="nil"/>
          <w:between w:val="nil"/>
        </w:pBdr>
        <w:ind w:firstLine="720"/>
        <w:jc w:val="both"/>
        <w:rPr>
          <w:rFonts w:ascii="Arial" w:hAnsi="Arial"/>
          <w:bCs/>
          <w:sz w:val="18"/>
          <w:szCs w:val="18"/>
        </w:rPr>
      </w:pPr>
      <w:r w:rsidRPr="0025050C">
        <w:rPr>
          <w:rFonts w:ascii="Arial" w:hAnsi="Arial"/>
          <w:bCs/>
          <w:sz w:val="18"/>
          <w:szCs w:val="18"/>
        </w:rPr>
        <w:t>Source: Authors’ calculation using SPSS 22</w:t>
      </w:r>
      <w:r>
        <w:rPr>
          <w:rFonts w:ascii="Arial" w:hAnsi="Arial"/>
          <w:bCs/>
          <w:sz w:val="18"/>
          <w:szCs w:val="18"/>
        </w:rPr>
        <w:t>, (2025)</w:t>
      </w:r>
    </w:p>
    <w:p w14:paraId="28B52716" w14:textId="77777777" w:rsidR="0025050C" w:rsidRDefault="0025050C" w:rsidP="00607285">
      <w:pPr>
        <w:widowControl w:val="0"/>
        <w:pBdr>
          <w:top w:val="nil"/>
          <w:left w:val="nil"/>
          <w:bottom w:val="nil"/>
          <w:right w:val="nil"/>
          <w:between w:val="nil"/>
        </w:pBdr>
        <w:jc w:val="both"/>
        <w:rPr>
          <w:rFonts w:ascii="Arial" w:hAnsi="Arial" w:cs="Arial"/>
          <w:color w:val="000000"/>
        </w:rPr>
      </w:pPr>
    </w:p>
    <w:p w14:paraId="59ABD9CC" w14:textId="5DF7F3CE" w:rsidR="000F34E2"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Based on the test results in the table above, the One-Sample Kolmogorov Smirnov normality</w:t>
      </w:r>
      <w:r>
        <w:rPr>
          <w:rFonts w:ascii="Arial" w:hAnsi="Arial" w:cs="Arial"/>
          <w:color w:val="000000"/>
        </w:rPr>
        <w:t xml:space="preserve"> </w:t>
      </w:r>
      <w:r w:rsidRPr="000C5764">
        <w:rPr>
          <w:rFonts w:ascii="Arial" w:hAnsi="Arial" w:cs="Arial"/>
          <w:color w:val="000000"/>
        </w:rPr>
        <w:t xml:space="preserve">test produced a result of 0.078 with </w:t>
      </w:r>
      <w:proofErr w:type="spellStart"/>
      <w:r w:rsidRPr="000C5764">
        <w:rPr>
          <w:rFonts w:ascii="Arial" w:hAnsi="Arial" w:cs="Arial"/>
          <w:color w:val="000000"/>
        </w:rPr>
        <w:t>Asymp</w:t>
      </w:r>
      <w:proofErr w:type="spellEnd"/>
      <w:r w:rsidRPr="000C5764">
        <w:rPr>
          <w:rFonts w:ascii="Arial" w:hAnsi="Arial" w:cs="Arial"/>
          <w:color w:val="000000"/>
        </w:rPr>
        <w:t>. Sig (2-tailed). It can be concluded that the data</w:t>
      </w:r>
      <w:r>
        <w:rPr>
          <w:rFonts w:ascii="Arial" w:hAnsi="Arial" w:cs="Arial"/>
          <w:color w:val="000000"/>
        </w:rPr>
        <w:t xml:space="preserve"> </w:t>
      </w:r>
      <w:r w:rsidRPr="000C5764">
        <w:rPr>
          <w:rFonts w:ascii="Arial" w:hAnsi="Arial" w:cs="Arial"/>
          <w:color w:val="000000"/>
        </w:rPr>
        <w:t xml:space="preserve">is normally distributed because it has a significant level of 0.078 </w:t>
      </w:r>
      <w:r>
        <w:rPr>
          <w:rFonts w:ascii="Arial" w:hAnsi="Arial" w:cs="Arial"/>
          <w:color w:val="000000"/>
        </w:rPr>
        <w:t>&gt;</w:t>
      </w:r>
      <w:r w:rsidRPr="000C5764">
        <w:rPr>
          <w:rFonts w:ascii="Arial" w:hAnsi="Arial" w:cs="Arial"/>
          <w:color w:val="000000"/>
        </w:rPr>
        <w:t xml:space="preserve"> 0.05.</w:t>
      </w:r>
    </w:p>
    <w:p w14:paraId="62635B51" w14:textId="77777777" w:rsidR="000F34E2" w:rsidRDefault="000F34E2" w:rsidP="000C5764">
      <w:pPr>
        <w:widowControl w:val="0"/>
        <w:pBdr>
          <w:top w:val="nil"/>
          <w:left w:val="nil"/>
          <w:bottom w:val="nil"/>
          <w:right w:val="nil"/>
          <w:between w:val="nil"/>
        </w:pBdr>
        <w:jc w:val="both"/>
        <w:rPr>
          <w:rFonts w:ascii="Arial" w:hAnsi="Arial" w:cs="Arial"/>
          <w:color w:val="000000"/>
        </w:rPr>
      </w:pPr>
    </w:p>
    <w:p w14:paraId="1060FEAA" w14:textId="77777777" w:rsidR="000C5764" w:rsidRP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b/>
          <w:bCs/>
          <w:color w:val="000000"/>
          <w:u w:val="single"/>
        </w:rPr>
        <w:t>4</w:t>
      </w:r>
      <w:r w:rsidRPr="000C5764">
        <w:rPr>
          <w:rFonts w:ascii="Arial" w:hAnsi="Arial" w:cs="Arial"/>
          <w:b/>
          <w:u w:val="single"/>
        </w:rPr>
        <w:t>.1.2.2 Multicollinearity Test</w:t>
      </w:r>
    </w:p>
    <w:p w14:paraId="74167973" w14:textId="11EEEE93" w:rsidR="000C5764" w:rsidRPr="000C5764" w:rsidRDefault="000C5764" w:rsidP="000C5764">
      <w:pPr>
        <w:widowControl w:val="0"/>
        <w:pBdr>
          <w:top w:val="nil"/>
          <w:left w:val="nil"/>
          <w:bottom w:val="nil"/>
          <w:right w:val="nil"/>
          <w:between w:val="nil"/>
        </w:pBdr>
        <w:jc w:val="both"/>
        <w:rPr>
          <w:rFonts w:ascii="Arial" w:hAnsi="Arial" w:cs="Arial"/>
          <w:color w:val="000000"/>
        </w:rPr>
      </w:pPr>
    </w:p>
    <w:p w14:paraId="7BB4C2D7" w14:textId="527147C4" w:rsidR="000C5764" w:rsidRPr="000F34E2"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The multicollinearity test was conducted to determine whether there was a relationship or</w:t>
      </w:r>
      <w:r>
        <w:rPr>
          <w:rFonts w:ascii="Arial" w:hAnsi="Arial" w:cs="Arial"/>
          <w:color w:val="000000"/>
        </w:rPr>
        <w:t xml:space="preserve"> </w:t>
      </w:r>
      <w:r w:rsidRPr="000C5764">
        <w:rPr>
          <w:rFonts w:ascii="Arial" w:hAnsi="Arial" w:cs="Arial"/>
          <w:color w:val="000000"/>
        </w:rPr>
        <w:t>similarity between independent variables in a regression model.</w:t>
      </w:r>
    </w:p>
    <w:p w14:paraId="11131570" w14:textId="77777777" w:rsidR="000C5764" w:rsidRPr="00B36CE0" w:rsidRDefault="000C5764" w:rsidP="000F34E2">
      <w:pPr>
        <w:widowControl w:val="0"/>
        <w:pBdr>
          <w:top w:val="nil"/>
          <w:left w:val="nil"/>
          <w:bottom w:val="nil"/>
          <w:right w:val="nil"/>
          <w:between w:val="nil"/>
        </w:pBdr>
        <w:jc w:val="center"/>
        <w:rPr>
          <w:rFonts w:ascii="Arial" w:hAnsi="Arial" w:cs="Arial"/>
          <w:b/>
          <w:bCs/>
          <w:color w:val="000000"/>
        </w:rPr>
      </w:pPr>
    </w:p>
    <w:p w14:paraId="30CF5C4C" w14:textId="50FCE612" w:rsidR="000F34E2" w:rsidRDefault="000F34E2" w:rsidP="000F34E2">
      <w:pPr>
        <w:widowControl w:val="0"/>
        <w:pBdr>
          <w:top w:val="nil"/>
          <w:left w:val="nil"/>
          <w:bottom w:val="nil"/>
          <w:right w:val="nil"/>
          <w:between w:val="nil"/>
        </w:pBdr>
        <w:jc w:val="center"/>
        <w:rPr>
          <w:rFonts w:ascii="Arial" w:hAnsi="Arial" w:cs="Arial"/>
          <w:b/>
          <w:bCs/>
          <w:color w:val="000000"/>
        </w:rPr>
      </w:pPr>
      <w:r w:rsidRPr="000F34E2">
        <w:rPr>
          <w:rFonts w:ascii="Arial" w:hAnsi="Arial" w:cs="Arial"/>
          <w:b/>
          <w:bCs/>
          <w:color w:val="000000"/>
          <w:lang w:val="sv-SE"/>
        </w:rPr>
        <w:t>Table</w:t>
      </w:r>
      <w:r w:rsidRPr="000F34E2">
        <w:rPr>
          <w:rFonts w:ascii="Arial" w:hAnsi="Arial" w:cs="Arial"/>
          <w:color w:val="000000"/>
          <w:lang w:val="sv-SE"/>
        </w:rPr>
        <w:t xml:space="preserve"> </w:t>
      </w:r>
      <w:r w:rsidR="000C5764">
        <w:rPr>
          <w:rFonts w:ascii="Arial" w:hAnsi="Arial" w:cs="Arial"/>
          <w:b/>
          <w:bCs/>
          <w:color w:val="000000"/>
          <w:lang w:val="sv-SE"/>
        </w:rPr>
        <w:t>4</w:t>
      </w:r>
      <w:r w:rsidRPr="000F34E2">
        <w:rPr>
          <w:rFonts w:ascii="Arial" w:hAnsi="Arial" w:cs="Arial"/>
          <w:color w:val="000000"/>
          <w:lang w:val="sv-SE"/>
        </w:rPr>
        <w:t xml:space="preserve">. </w:t>
      </w:r>
      <w:r w:rsidRPr="000F34E2">
        <w:rPr>
          <w:rFonts w:ascii="Arial" w:hAnsi="Arial" w:cs="Arial"/>
          <w:b/>
          <w:bCs/>
          <w:color w:val="000000"/>
        </w:rPr>
        <w:t>Multicollinearity Test</w:t>
      </w:r>
    </w:p>
    <w:p w14:paraId="634C7FC3" w14:textId="77777777" w:rsidR="000F34E2" w:rsidRPr="000F34E2" w:rsidRDefault="000F34E2" w:rsidP="000F34E2">
      <w:pPr>
        <w:widowControl w:val="0"/>
        <w:pBdr>
          <w:top w:val="nil"/>
          <w:left w:val="nil"/>
          <w:bottom w:val="nil"/>
          <w:right w:val="nil"/>
          <w:between w:val="nil"/>
        </w:pBdr>
        <w:jc w:val="center"/>
        <w:rPr>
          <w:rFonts w:ascii="Arial" w:hAnsi="Arial" w:cs="Arial"/>
          <w:color w:val="00000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995"/>
        <w:gridCol w:w="1161"/>
        <w:gridCol w:w="1011"/>
      </w:tblGrid>
      <w:tr w:rsidR="000F34E2" w:rsidRPr="000F34E2" w14:paraId="2FDD2BC5" w14:textId="77777777" w:rsidTr="000C5764">
        <w:trPr>
          <w:jc w:val="center"/>
        </w:trPr>
        <w:tc>
          <w:tcPr>
            <w:tcW w:w="995" w:type="dxa"/>
            <w:tcBorders>
              <w:top w:val="single" w:sz="4" w:space="0" w:color="auto"/>
              <w:bottom w:val="single" w:sz="4" w:space="0" w:color="auto"/>
            </w:tcBorders>
          </w:tcPr>
          <w:p w14:paraId="1E14ACBF" w14:textId="77777777" w:rsidR="000F34E2" w:rsidRPr="000F34E2" w:rsidRDefault="000F34E2" w:rsidP="000F34E2">
            <w:pPr>
              <w:jc w:val="both"/>
              <w:rPr>
                <w:rFonts w:ascii="Arial" w:hAnsi="Arial" w:cs="Arial"/>
                <w:b/>
                <w:bCs/>
                <w:color w:val="000000"/>
                <w:lang w:val="sv-SE" w:eastAsia="en-SG"/>
              </w:rPr>
            </w:pPr>
            <w:r w:rsidRPr="000F34E2">
              <w:rPr>
                <w:rFonts w:ascii="Arial" w:hAnsi="Arial" w:cs="Arial"/>
                <w:b/>
                <w:bCs/>
                <w:color w:val="000000"/>
                <w:lang w:val="sv-SE" w:eastAsia="en-SG"/>
              </w:rPr>
              <w:t>Variable</w:t>
            </w:r>
          </w:p>
        </w:tc>
        <w:tc>
          <w:tcPr>
            <w:tcW w:w="1161" w:type="dxa"/>
            <w:tcBorders>
              <w:top w:val="single" w:sz="4" w:space="0" w:color="auto"/>
              <w:bottom w:val="single" w:sz="4" w:space="0" w:color="auto"/>
            </w:tcBorders>
          </w:tcPr>
          <w:p w14:paraId="1A33ECC3" w14:textId="77777777" w:rsidR="000F34E2" w:rsidRPr="000F34E2" w:rsidRDefault="000F34E2" w:rsidP="000F34E2">
            <w:pPr>
              <w:jc w:val="center"/>
              <w:rPr>
                <w:rFonts w:ascii="Arial" w:hAnsi="Arial" w:cs="Arial"/>
                <w:b/>
                <w:bCs/>
                <w:color w:val="000000"/>
                <w:lang w:val="sv-SE" w:eastAsia="en-SG"/>
              </w:rPr>
            </w:pPr>
            <w:r w:rsidRPr="000F34E2">
              <w:rPr>
                <w:rFonts w:ascii="Arial" w:hAnsi="Arial" w:cs="Arial"/>
                <w:b/>
                <w:bCs/>
                <w:color w:val="000000"/>
                <w:lang w:val="sv-SE" w:eastAsia="en-SG"/>
              </w:rPr>
              <w:t>Tolerance</w:t>
            </w:r>
          </w:p>
        </w:tc>
        <w:tc>
          <w:tcPr>
            <w:tcW w:w="1011" w:type="dxa"/>
            <w:tcBorders>
              <w:top w:val="single" w:sz="4" w:space="0" w:color="auto"/>
              <w:bottom w:val="single" w:sz="4" w:space="0" w:color="auto"/>
            </w:tcBorders>
          </w:tcPr>
          <w:p w14:paraId="550EB25B" w14:textId="77777777" w:rsidR="000F34E2" w:rsidRPr="000F34E2" w:rsidRDefault="000F34E2" w:rsidP="000F34E2">
            <w:pPr>
              <w:jc w:val="center"/>
              <w:rPr>
                <w:rFonts w:ascii="Arial" w:hAnsi="Arial" w:cs="Arial"/>
                <w:b/>
                <w:bCs/>
                <w:color w:val="000000"/>
                <w:lang w:val="sv-SE" w:eastAsia="en-SG"/>
              </w:rPr>
            </w:pPr>
            <w:r w:rsidRPr="000F34E2">
              <w:rPr>
                <w:rFonts w:ascii="Arial" w:hAnsi="Arial" w:cs="Arial"/>
                <w:b/>
                <w:bCs/>
                <w:color w:val="000000"/>
                <w:lang w:val="sv-SE" w:eastAsia="en-SG"/>
              </w:rPr>
              <w:t>VIF</w:t>
            </w:r>
          </w:p>
        </w:tc>
      </w:tr>
      <w:tr w:rsidR="000C5764" w:rsidRPr="000F34E2" w14:paraId="3D1E4975" w14:textId="77777777" w:rsidTr="000C5764">
        <w:trPr>
          <w:jc w:val="center"/>
        </w:trPr>
        <w:tc>
          <w:tcPr>
            <w:tcW w:w="995" w:type="dxa"/>
            <w:tcBorders>
              <w:top w:val="single" w:sz="4" w:space="0" w:color="auto"/>
            </w:tcBorders>
          </w:tcPr>
          <w:p w14:paraId="52E4EED2" w14:textId="3F3497AE" w:rsidR="000C5764" w:rsidRPr="000C5764" w:rsidRDefault="000C5764" w:rsidP="000C5764">
            <w:pPr>
              <w:jc w:val="both"/>
              <w:rPr>
                <w:rFonts w:ascii="Arial" w:hAnsi="Arial" w:cs="Arial"/>
                <w:color w:val="000000"/>
                <w:lang w:val="sv-SE" w:eastAsia="en-SG"/>
              </w:rPr>
            </w:pPr>
            <w:r w:rsidRPr="000C5764">
              <w:rPr>
                <w:rFonts w:ascii="Arial" w:hAnsi="Arial" w:cs="Arial"/>
              </w:rPr>
              <w:t>car_x1</w:t>
            </w:r>
          </w:p>
        </w:tc>
        <w:tc>
          <w:tcPr>
            <w:tcW w:w="1161" w:type="dxa"/>
            <w:tcBorders>
              <w:top w:val="single" w:sz="4" w:space="0" w:color="auto"/>
            </w:tcBorders>
          </w:tcPr>
          <w:p w14:paraId="33AAC85B" w14:textId="5CF28336" w:rsidR="000C5764" w:rsidRPr="000C5764" w:rsidRDefault="000C5764" w:rsidP="005D50D2">
            <w:pPr>
              <w:jc w:val="right"/>
              <w:rPr>
                <w:rFonts w:ascii="Arial" w:hAnsi="Arial" w:cs="Arial"/>
                <w:color w:val="000000"/>
                <w:lang w:val="sv-SE" w:eastAsia="en-SG"/>
              </w:rPr>
            </w:pPr>
            <w:r w:rsidRPr="000C5764">
              <w:rPr>
                <w:rFonts w:ascii="Arial" w:hAnsi="Arial" w:cs="Arial"/>
              </w:rPr>
              <w:t>.866</w:t>
            </w:r>
          </w:p>
        </w:tc>
        <w:tc>
          <w:tcPr>
            <w:tcW w:w="1011" w:type="dxa"/>
            <w:tcBorders>
              <w:top w:val="single" w:sz="4" w:space="0" w:color="auto"/>
            </w:tcBorders>
          </w:tcPr>
          <w:p w14:paraId="39D50B46" w14:textId="51B38A40" w:rsidR="000C5764" w:rsidRPr="000C5764" w:rsidRDefault="000C5764" w:rsidP="005D50D2">
            <w:pPr>
              <w:jc w:val="right"/>
              <w:rPr>
                <w:rFonts w:ascii="Arial" w:hAnsi="Arial" w:cs="Arial"/>
                <w:color w:val="000000"/>
                <w:lang w:val="sv-SE" w:eastAsia="en-SG"/>
              </w:rPr>
            </w:pPr>
            <w:r w:rsidRPr="000C5764">
              <w:rPr>
                <w:rFonts w:ascii="Arial" w:hAnsi="Arial" w:cs="Arial"/>
              </w:rPr>
              <w:t>1.155</w:t>
            </w:r>
          </w:p>
        </w:tc>
      </w:tr>
      <w:tr w:rsidR="000C5764" w:rsidRPr="000F34E2" w14:paraId="307EA3EF" w14:textId="77777777" w:rsidTr="000C5764">
        <w:trPr>
          <w:jc w:val="center"/>
        </w:trPr>
        <w:tc>
          <w:tcPr>
            <w:tcW w:w="995" w:type="dxa"/>
          </w:tcPr>
          <w:p w14:paraId="4DF4DCDA" w14:textId="70804365" w:rsidR="000C5764" w:rsidRPr="000C5764" w:rsidRDefault="000C5764" w:rsidP="000C5764">
            <w:pPr>
              <w:jc w:val="both"/>
              <w:rPr>
                <w:rFonts w:ascii="Arial" w:hAnsi="Arial" w:cs="Arial"/>
                <w:color w:val="000000"/>
                <w:lang w:val="sv-SE" w:eastAsia="en-SG"/>
              </w:rPr>
            </w:pPr>
            <w:r w:rsidRPr="000C5764">
              <w:rPr>
                <w:rFonts w:ascii="Arial" w:hAnsi="Arial" w:cs="Arial"/>
              </w:rPr>
              <w:t>ROA_x2</w:t>
            </w:r>
          </w:p>
        </w:tc>
        <w:tc>
          <w:tcPr>
            <w:tcW w:w="1161" w:type="dxa"/>
          </w:tcPr>
          <w:p w14:paraId="45C97EBF" w14:textId="229F6EF6" w:rsidR="000C5764" w:rsidRPr="000C5764" w:rsidRDefault="000C5764" w:rsidP="005D50D2">
            <w:pPr>
              <w:jc w:val="right"/>
              <w:rPr>
                <w:rFonts w:ascii="Arial" w:hAnsi="Arial" w:cs="Arial"/>
                <w:color w:val="000000"/>
                <w:lang w:val="sv-SE" w:eastAsia="en-SG"/>
              </w:rPr>
            </w:pPr>
            <w:r w:rsidRPr="000C5764">
              <w:rPr>
                <w:rFonts w:ascii="Arial" w:hAnsi="Arial" w:cs="Arial"/>
              </w:rPr>
              <w:t>.814</w:t>
            </w:r>
          </w:p>
        </w:tc>
        <w:tc>
          <w:tcPr>
            <w:tcW w:w="1011" w:type="dxa"/>
          </w:tcPr>
          <w:p w14:paraId="5E104046" w14:textId="4E9E2ADF" w:rsidR="000C5764" w:rsidRPr="000C5764" w:rsidRDefault="000C5764" w:rsidP="005D50D2">
            <w:pPr>
              <w:jc w:val="right"/>
              <w:rPr>
                <w:rFonts w:ascii="Arial" w:hAnsi="Arial" w:cs="Arial"/>
                <w:color w:val="000000"/>
                <w:lang w:val="sv-SE" w:eastAsia="en-SG"/>
              </w:rPr>
            </w:pPr>
            <w:r w:rsidRPr="000C5764">
              <w:rPr>
                <w:rFonts w:ascii="Arial" w:hAnsi="Arial" w:cs="Arial"/>
              </w:rPr>
              <w:t>1.229</w:t>
            </w:r>
          </w:p>
        </w:tc>
      </w:tr>
      <w:tr w:rsidR="000C5764" w:rsidRPr="000F34E2" w14:paraId="09D8BE65" w14:textId="77777777" w:rsidTr="000C5764">
        <w:trPr>
          <w:jc w:val="center"/>
        </w:trPr>
        <w:tc>
          <w:tcPr>
            <w:tcW w:w="995" w:type="dxa"/>
          </w:tcPr>
          <w:p w14:paraId="0563CDE3" w14:textId="2E2B4C08" w:rsidR="000C5764" w:rsidRPr="000C5764" w:rsidRDefault="000C5764" w:rsidP="000C5764">
            <w:pPr>
              <w:jc w:val="both"/>
              <w:rPr>
                <w:rFonts w:ascii="Arial" w:hAnsi="Arial" w:cs="Arial"/>
                <w:color w:val="000000"/>
                <w:lang w:val="sv-SE" w:eastAsia="en-SG"/>
              </w:rPr>
            </w:pPr>
            <w:r w:rsidRPr="000C5764">
              <w:rPr>
                <w:rFonts w:ascii="Arial" w:hAnsi="Arial" w:cs="Arial"/>
              </w:rPr>
              <w:t>ldr_x3</w:t>
            </w:r>
          </w:p>
        </w:tc>
        <w:tc>
          <w:tcPr>
            <w:tcW w:w="1161" w:type="dxa"/>
          </w:tcPr>
          <w:p w14:paraId="60DE2A92" w14:textId="6FE45C08" w:rsidR="000C5764" w:rsidRPr="000C5764" w:rsidRDefault="000C5764" w:rsidP="005D50D2">
            <w:pPr>
              <w:jc w:val="right"/>
              <w:rPr>
                <w:rFonts w:ascii="Arial" w:hAnsi="Arial" w:cs="Arial"/>
                <w:color w:val="000000"/>
                <w:lang w:val="sv-SE" w:eastAsia="en-SG"/>
              </w:rPr>
            </w:pPr>
            <w:r w:rsidRPr="000C5764">
              <w:rPr>
                <w:rFonts w:ascii="Arial" w:hAnsi="Arial" w:cs="Arial"/>
              </w:rPr>
              <w:t>.821</w:t>
            </w:r>
          </w:p>
        </w:tc>
        <w:tc>
          <w:tcPr>
            <w:tcW w:w="1011" w:type="dxa"/>
          </w:tcPr>
          <w:p w14:paraId="46140A37" w14:textId="1DE78AD2" w:rsidR="000C5764" w:rsidRPr="000C5764" w:rsidRDefault="000C5764" w:rsidP="005D50D2">
            <w:pPr>
              <w:jc w:val="right"/>
              <w:rPr>
                <w:rFonts w:ascii="Arial" w:hAnsi="Arial" w:cs="Arial"/>
                <w:color w:val="000000"/>
                <w:lang w:val="sv-SE" w:eastAsia="en-SG"/>
              </w:rPr>
            </w:pPr>
            <w:r w:rsidRPr="000C5764">
              <w:rPr>
                <w:rFonts w:ascii="Arial" w:hAnsi="Arial" w:cs="Arial"/>
              </w:rPr>
              <w:t>1.218</w:t>
            </w:r>
          </w:p>
        </w:tc>
      </w:tr>
      <w:tr w:rsidR="000C5764" w:rsidRPr="000F34E2" w14:paraId="449AD2A7" w14:textId="77777777" w:rsidTr="000C5764">
        <w:trPr>
          <w:jc w:val="center"/>
        </w:trPr>
        <w:tc>
          <w:tcPr>
            <w:tcW w:w="995" w:type="dxa"/>
          </w:tcPr>
          <w:p w14:paraId="5B0CD712" w14:textId="6AE342C2" w:rsidR="000C5764" w:rsidRPr="000C5764" w:rsidRDefault="000C5764" w:rsidP="000C5764">
            <w:pPr>
              <w:jc w:val="both"/>
              <w:rPr>
                <w:rFonts w:ascii="Arial" w:hAnsi="Arial" w:cs="Arial"/>
                <w:color w:val="000000"/>
                <w:lang w:val="sv-SE" w:eastAsia="en-SG"/>
              </w:rPr>
            </w:pPr>
            <w:r w:rsidRPr="000C5764">
              <w:rPr>
                <w:rFonts w:ascii="Arial" w:hAnsi="Arial" w:cs="Arial"/>
              </w:rPr>
              <w:t>size_x4</w:t>
            </w:r>
          </w:p>
        </w:tc>
        <w:tc>
          <w:tcPr>
            <w:tcW w:w="1161" w:type="dxa"/>
          </w:tcPr>
          <w:p w14:paraId="16A3B817" w14:textId="2ABA1B95" w:rsidR="000C5764" w:rsidRPr="000C5764" w:rsidRDefault="000C5764" w:rsidP="005D50D2">
            <w:pPr>
              <w:jc w:val="right"/>
              <w:rPr>
                <w:rFonts w:ascii="Arial" w:hAnsi="Arial" w:cs="Arial"/>
                <w:color w:val="000000"/>
                <w:lang w:val="sv-SE" w:eastAsia="en-SG"/>
              </w:rPr>
            </w:pPr>
            <w:r w:rsidRPr="000C5764">
              <w:rPr>
                <w:rFonts w:ascii="Arial" w:hAnsi="Arial" w:cs="Arial"/>
              </w:rPr>
              <w:t>.865</w:t>
            </w:r>
          </w:p>
        </w:tc>
        <w:tc>
          <w:tcPr>
            <w:tcW w:w="1011" w:type="dxa"/>
          </w:tcPr>
          <w:p w14:paraId="21DA0913" w14:textId="44514350" w:rsidR="000C5764" w:rsidRPr="000C5764" w:rsidRDefault="000C5764" w:rsidP="005D50D2">
            <w:pPr>
              <w:jc w:val="right"/>
              <w:rPr>
                <w:rFonts w:ascii="Arial" w:hAnsi="Arial" w:cs="Arial"/>
                <w:color w:val="000000"/>
                <w:lang w:val="sv-SE" w:eastAsia="en-SG"/>
              </w:rPr>
            </w:pPr>
            <w:r w:rsidRPr="000C5764">
              <w:rPr>
                <w:rFonts w:ascii="Arial" w:hAnsi="Arial" w:cs="Arial"/>
              </w:rPr>
              <w:t>1.156</w:t>
            </w:r>
          </w:p>
        </w:tc>
      </w:tr>
    </w:tbl>
    <w:p w14:paraId="559DF196" w14:textId="3BA40F12" w:rsidR="000F34E2" w:rsidRDefault="0025050C" w:rsidP="0025050C">
      <w:pPr>
        <w:widowControl w:val="0"/>
        <w:pBdr>
          <w:top w:val="nil"/>
          <w:left w:val="nil"/>
          <w:bottom w:val="nil"/>
          <w:right w:val="nil"/>
          <w:between w:val="nil"/>
        </w:pBdr>
        <w:jc w:val="center"/>
        <w:rPr>
          <w:rFonts w:ascii="Arial" w:hAnsi="Arial"/>
          <w:bCs/>
          <w:sz w:val="18"/>
          <w:szCs w:val="18"/>
        </w:rPr>
      </w:pPr>
      <w:r w:rsidRPr="0025050C">
        <w:rPr>
          <w:rFonts w:ascii="Arial" w:hAnsi="Arial"/>
          <w:bCs/>
          <w:sz w:val="18"/>
          <w:szCs w:val="18"/>
        </w:rPr>
        <w:t>Source: Authors’ calculation using SPSS 22</w:t>
      </w:r>
      <w:r>
        <w:rPr>
          <w:rFonts w:ascii="Arial" w:hAnsi="Arial"/>
          <w:bCs/>
          <w:sz w:val="18"/>
          <w:szCs w:val="18"/>
        </w:rPr>
        <w:t>, (2025)</w:t>
      </w:r>
    </w:p>
    <w:p w14:paraId="5A6FD6BD" w14:textId="77777777" w:rsidR="0025050C" w:rsidRPr="000F34E2" w:rsidRDefault="0025050C" w:rsidP="0025050C">
      <w:pPr>
        <w:widowControl w:val="0"/>
        <w:pBdr>
          <w:top w:val="nil"/>
          <w:left w:val="nil"/>
          <w:bottom w:val="nil"/>
          <w:right w:val="nil"/>
          <w:between w:val="nil"/>
        </w:pBdr>
        <w:jc w:val="center"/>
        <w:rPr>
          <w:rFonts w:ascii="Arial" w:hAnsi="Arial" w:cs="Arial"/>
          <w:color w:val="000000"/>
        </w:rPr>
      </w:pPr>
    </w:p>
    <w:p w14:paraId="43E121EE" w14:textId="77777777" w:rsidR="000C5764" w:rsidRP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Based on the table above, it can be seen that both values of each variable are in accordance</w:t>
      </w:r>
    </w:p>
    <w:p w14:paraId="2EDF82CD" w14:textId="38DE8910" w:rsidR="000C5764" w:rsidRP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with the tolerance value of 0.1 and the VIF value is &lt; 10. Therefore, it can be concluded that</w:t>
      </w:r>
    </w:p>
    <w:p w14:paraId="5B2978FF" w14:textId="2AB51201" w:rsidR="000C5764" w:rsidRDefault="000C5764" w:rsidP="000C5764">
      <w:pPr>
        <w:widowControl w:val="0"/>
        <w:pBdr>
          <w:top w:val="nil"/>
          <w:left w:val="nil"/>
          <w:bottom w:val="nil"/>
          <w:right w:val="nil"/>
          <w:between w:val="nil"/>
        </w:pBdr>
        <w:jc w:val="both"/>
        <w:rPr>
          <w:rFonts w:ascii="Arial" w:hAnsi="Arial" w:cs="Arial"/>
          <w:color w:val="000000"/>
        </w:rPr>
      </w:pPr>
      <w:r w:rsidRPr="000C5764">
        <w:rPr>
          <w:rFonts w:ascii="Arial" w:hAnsi="Arial" w:cs="Arial"/>
          <w:color w:val="000000"/>
        </w:rPr>
        <w:t>there is no multicollinearity.</w:t>
      </w:r>
    </w:p>
    <w:p w14:paraId="6B6B70C6" w14:textId="77777777" w:rsidR="000C5764" w:rsidRDefault="000C5764" w:rsidP="00607285">
      <w:pPr>
        <w:widowControl w:val="0"/>
        <w:pBdr>
          <w:top w:val="nil"/>
          <w:left w:val="nil"/>
          <w:bottom w:val="nil"/>
          <w:right w:val="nil"/>
          <w:between w:val="nil"/>
        </w:pBdr>
        <w:jc w:val="both"/>
        <w:rPr>
          <w:rFonts w:ascii="Arial" w:hAnsi="Arial" w:cs="Arial"/>
          <w:color w:val="000000"/>
        </w:rPr>
      </w:pPr>
    </w:p>
    <w:p w14:paraId="45623C74" w14:textId="426F832D" w:rsidR="0025050C" w:rsidRPr="000C5764" w:rsidRDefault="0025050C" w:rsidP="0025050C">
      <w:pPr>
        <w:widowControl w:val="0"/>
        <w:pBdr>
          <w:top w:val="nil"/>
          <w:left w:val="nil"/>
          <w:bottom w:val="nil"/>
          <w:right w:val="nil"/>
          <w:between w:val="nil"/>
        </w:pBdr>
        <w:jc w:val="both"/>
        <w:rPr>
          <w:rFonts w:ascii="Arial" w:hAnsi="Arial" w:cs="Arial"/>
          <w:color w:val="000000"/>
        </w:rPr>
      </w:pPr>
      <w:r w:rsidRPr="000C5764">
        <w:rPr>
          <w:rFonts w:ascii="Arial" w:hAnsi="Arial" w:cs="Arial"/>
          <w:b/>
          <w:bCs/>
          <w:color w:val="000000"/>
          <w:u w:val="single"/>
        </w:rPr>
        <w:t>4</w:t>
      </w:r>
      <w:r w:rsidRPr="000C5764">
        <w:rPr>
          <w:rFonts w:ascii="Arial" w:hAnsi="Arial" w:cs="Arial"/>
          <w:b/>
          <w:u w:val="single"/>
        </w:rPr>
        <w:t>.1.2.</w:t>
      </w:r>
      <w:r>
        <w:rPr>
          <w:rFonts w:ascii="Arial" w:hAnsi="Arial" w:cs="Arial"/>
          <w:b/>
          <w:u w:val="single"/>
        </w:rPr>
        <w:t>3</w:t>
      </w:r>
      <w:r w:rsidRPr="000C5764">
        <w:rPr>
          <w:rFonts w:ascii="Arial" w:hAnsi="Arial" w:cs="Arial"/>
          <w:b/>
          <w:u w:val="single"/>
        </w:rPr>
        <w:t xml:space="preserve"> Multicollinearity Test</w:t>
      </w:r>
    </w:p>
    <w:p w14:paraId="2749E9A6" w14:textId="2029F5EB" w:rsidR="000F34E2" w:rsidRDefault="000F34E2" w:rsidP="00607285">
      <w:pPr>
        <w:widowControl w:val="0"/>
        <w:pBdr>
          <w:top w:val="nil"/>
          <w:left w:val="nil"/>
          <w:bottom w:val="nil"/>
          <w:right w:val="nil"/>
          <w:between w:val="nil"/>
        </w:pBdr>
        <w:jc w:val="both"/>
        <w:rPr>
          <w:rFonts w:ascii="Arial" w:hAnsi="Arial" w:cs="Arial"/>
          <w:color w:val="000000"/>
        </w:rPr>
      </w:pPr>
    </w:p>
    <w:p w14:paraId="1ED20DC0" w14:textId="0FFFE119" w:rsidR="00607285" w:rsidRDefault="0025050C" w:rsidP="0025050C">
      <w:pPr>
        <w:widowControl w:val="0"/>
        <w:pBdr>
          <w:top w:val="nil"/>
          <w:left w:val="nil"/>
          <w:bottom w:val="nil"/>
          <w:right w:val="nil"/>
          <w:between w:val="nil"/>
        </w:pBdr>
        <w:jc w:val="both"/>
        <w:rPr>
          <w:rFonts w:ascii="Arial" w:hAnsi="Arial" w:cs="Arial"/>
          <w:spacing w:val="-2"/>
        </w:rPr>
      </w:pPr>
      <w:r w:rsidRPr="0025050C">
        <w:rPr>
          <w:rFonts w:ascii="Arial" w:hAnsi="Arial" w:cs="Arial"/>
        </w:rPr>
        <w:t>The</w:t>
      </w:r>
      <w:r w:rsidRPr="0025050C">
        <w:rPr>
          <w:rFonts w:ascii="Arial" w:hAnsi="Arial" w:cs="Arial"/>
          <w:spacing w:val="46"/>
        </w:rPr>
        <w:t xml:space="preserve"> </w:t>
      </w:r>
      <w:r w:rsidRPr="0025050C">
        <w:rPr>
          <w:rFonts w:ascii="Arial" w:hAnsi="Arial" w:cs="Arial"/>
        </w:rPr>
        <w:t>heteroscedasticity</w:t>
      </w:r>
      <w:r w:rsidRPr="0025050C">
        <w:rPr>
          <w:rFonts w:ascii="Arial" w:hAnsi="Arial" w:cs="Arial"/>
          <w:spacing w:val="50"/>
        </w:rPr>
        <w:t xml:space="preserve"> </w:t>
      </w:r>
      <w:r w:rsidRPr="0025050C">
        <w:rPr>
          <w:rFonts w:ascii="Arial" w:hAnsi="Arial" w:cs="Arial"/>
        </w:rPr>
        <w:t>test</w:t>
      </w:r>
      <w:r w:rsidRPr="0025050C">
        <w:rPr>
          <w:rFonts w:ascii="Arial" w:hAnsi="Arial" w:cs="Arial"/>
          <w:spacing w:val="46"/>
        </w:rPr>
        <w:t xml:space="preserve"> </w:t>
      </w:r>
      <w:r w:rsidRPr="0025050C">
        <w:rPr>
          <w:rFonts w:ascii="Arial" w:hAnsi="Arial" w:cs="Arial"/>
        </w:rPr>
        <w:t>is</w:t>
      </w:r>
      <w:r w:rsidRPr="0025050C">
        <w:rPr>
          <w:rFonts w:ascii="Arial" w:hAnsi="Arial" w:cs="Arial"/>
          <w:spacing w:val="49"/>
        </w:rPr>
        <w:t xml:space="preserve"> </w:t>
      </w:r>
      <w:r w:rsidRPr="0025050C">
        <w:rPr>
          <w:rFonts w:ascii="Arial" w:hAnsi="Arial" w:cs="Arial"/>
        </w:rPr>
        <w:t>conducted</w:t>
      </w:r>
      <w:r w:rsidRPr="0025050C">
        <w:rPr>
          <w:rFonts w:ascii="Arial" w:hAnsi="Arial" w:cs="Arial"/>
          <w:spacing w:val="46"/>
        </w:rPr>
        <w:t xml:space="preserve"> </w:t>
      </w:r>
      <w:r w:rsidRPr="0025050C">
        <w:rPr>
          <w:rFonts w:ascii="Arial" w:hAnsi="Arial" w:cs="Arial"/>
        </w:rPr>
        <w:t>to</w:t>
      </w:r>
      <w:r w:rsidRPr="0025050C">
        <w:rPr>
          <w:rFonts w:ascii="Arial" w:hAnsi="Arial" w:cs="Arial"/>
          <w:spacing w:val="49"/>
        </w:rPr>
        <w:t xml:space="preserve"> </w:t>
      </w:r>
      <w:r w:rsidRPr="0025050C">
        <w:rPr>
          <w:rFonts w:ascii="Arial" w:hAnsi="Arial" w:cs="Arial"/>
        </w:rPr>
        <w:t>determine</w:t>
      </w:r>
      <w:r w:rsidRPr="0025050C">
        <w:rPr>
          <w:rFonts w:ascii="Arial" w:hAnsi="Arial" w:cs="Arial"/>
          <w:spacing w:val="46"/>
        </w:rPr>
        <w:t xml:space="preserve"> </w:t>
      </w:r>
      <w:r w:rsidRPr="0025050C">
        <w:rPr>
          <w:rFonts w:ascii="Arial" w:hAnsi="Arial" w:cs="Arial"/>
        </w:rPr>
        <w:t>whether</w:t>
      </w:r>
      <w:r w:rsidRPr="0025050C">
        <w:rPr>
          <w:rFonts w:ascii="Arial" w:hAnsi="Arial" w:cs="Arial"/>
          <w:spacing w:val="47"/>
        </w:rPr>
        <w:t xml:space="preserve"> </w:t>
      </w:r>
      <w:r w:rsidRPr="0025050C">
        <w:rPr>
          <w:rFonts w:ascii="Arial" w:hAnsi="Arial" w:cs="Arial"/>
        </w:rPr>
        <w:t>there</w:t>
      </w:r>
      <w:r w:rsidRPr="0025050C">
        <w:rPr>
          <w:rFonts w:ascii="Arial" w:hAnsi="Arial" w:cs="Arial"/>
          <w:spacing w:val="49"/>
        </w:rPr>
        <w:t xml:space="preserve"> </w:t>
      </w:r>
      <w:r w:rsidRPr="0025050C">
        <w:rPr>
          <w:rFonts w:ascii="Arial" w:hAnsi="Arial" w:cs="Arial"/>
        </w:rPr>
        <w:t>are</w:t>
      </w:r>
      <w:r w:rsidRPr="0025050C">
        <w:rPr>
          <w:rFonts w:ascii="Arial" w:hAnsi="Arial" w:cs="Arial"/>
          <w:spacing w:val="49"/>
        </w:rPr>
        <w:t xml:space="preserve"> </w:t>
      </w:r>
      <w:r w:rsidRPr="0025050C">
        <w:rPr>
          <w:rFonts w:ascii="Arial" w:hAnsi="Arial" w:cs="Arial"/>
        </w:rPr>
        <w:t>differences</w:t>
      </w:r>
      <w:r w:rsidRPr="0025050C">
        <w:rPr>
          <w:rFonts w:ascii="Arial" w:hAnsi="Arial" w:cs="Arial"/>
          <w:spacing w:val="47"/>
        </w:rPr>
        <w:t xml:space="preserve"> </w:t>
      </w:r>
      <w:r w:rsidRPr="0025050C">
        <w:rPr>
          <w:rFonts w:ascii="Arial" w:hAnsi="Arial" w:cs="Arial"/>
          <w:spacing w:val="-5"/>
        </w:rPr>
        <w:t xml:space="preserve">in </w:t>
      </w:r>
      <w:r w:rsidRPr="0025050C">
        <w:rPr>
          <w:rFonts w:ascii="Arial" w:hAnsi="Arial" w:cs="Arial"/>
        </w:rPr>
        <w:t>residual</w:t>
      </w:r>
      <w:r w:rsidRPr="0025050C">
        <w:rPr>
          <w:rFonts w:ascii="Arial" w:hAnsi="Arial" w:cs="Arial"/>
          <w:spacing w:val="-11"/>
        </w:rPr>
        <w:t xml:space="preserve"> </w:t>
      </w:r>
      <w:r w:rsidRPr="0025050C">
        <w:rPr>
          <w:rFonts w:ascii="Arial" w:hAnsi="Arial" w:cs="Arial"/>
        </w:rPr>
        <w:t>variation</w:t>
      </w:r>
      <w:r w:rsidRPr="0025050C">
        <w:rPr>
          <w:rFonts w:ascii="Arial" w:hAnsi="Arial" w:cs="Arial"/>
          <w:spacing w:val="-8"/>
        </w:rPr>
        <w:t xml:space="preserve"> </w:t>
      </w:r>
      <w:r w:rsidRPr="0025050C">
        <w:rPr>
          <w:rFonts w:ascii="Arial" w:hAnsi="Arial" w:cs="Arial"/>
        </w:rPr>
        <w:t>between</w:t>
      </w:r>
      <w:r w:rsidRPr="0025050C">
        <w:rPr>
          <w:rFonts w:ascii="Arial" w:hAnsi="Arial" w:cs="Arial"/>
          <w:spacing w:val="-8"/>
        </w:rPr>
        <w:t xml:space="preserve"> </w:t>
      </w:r>
      <w:r w:rsidRPr="0025050C">
        <w:rPr>
          <w:rFonts w:ascii="Arial" w:hAnsi="Arial" w:cs="Arial"/>
        </w:rPr>
        <w:t>observations</w:t>
      </w:r>
      <w:r w:rsidRPr="0025050C">
        <w:rPr>
          <w:rFonts w:ascii="Arial" w:hAnsi="Arial" w:cs="Arial"/>
          <w:spacing w:val="-9"/>
        </w:rPr>
        <w:t xml:space="preserve"> </w:t>
      </w:r>
      <w:r w:rsidRPr="0025050C">
        <w:rPr>
          <w:rFonts w:ascii="Arial" w:hAnsi="Arial" w:cs="Arial"/>
        </w:rPr>
        <w:t>in</w:t>
      </w:r>
      <w:r w:rsidRPr="0025050C">
        <w:rPr>
          <w:rFonts w:ascii="Arial" w:hAnsi="Arial" w:cs="Arial"/>
          <w:spacing w:val="-9"/>
        </w:rPr>
        <w:t xml:space="preserve"> </w:t>
      </w:r>
      <w:r w:rsidRPr="0025050C">
        <w:rPr>
          <w:rFonts w:ascii="Arial" w:hAnsi="Arial" w:cs="Arial"/>
        </w:rPr>
        <w:t>the</w:t>
      </w:r>
      <w:r w:rsidRPr="0025050C">
        <w:rPr>
          <w:rFonts w:ascii="Arial" w:hAnsi="Arial" w:cs="Arial"/>
          <w:spacing w:val="-9"/>
        </w:rPr>
        <w:t xml:space="preserve"> </w:t>
      </w:r>
      <w:r w:rsidRPr="0025050C">
        <w:rPr>
          <w:rFonts w:ascii="Arial" w:hAnsi="Arial" w:cs="Arial"/>
        </w:rPr>
        <w:t>regression</w:t>
      </w:r>
      <w:r w:rsidRPr="0025050C">
        <w:rPr>
          <w:rFonts w:ascii="Arial" w:hAnsi="Arial" w:cs="Arial"/>
          <w:spacing w:val="-11"/>
        </w:rPr>
        <w:t xml:space="preserve"> </w:t>
      </w:r>
      <w:r w:rsidRPr="0025050C">
        <w:rPr>
          <w:rFonts w:ascii="Arial" w:hAnsi="Arial" w:cs="Arial"/>
          <w:spacing w:val="-2"/>
        </w:rPr>
        <w:t>model.</w:t>
      </w:r>
    </w:p>
    <w:p w14:paraId="455F4782" w14:textId="77777777" w:rsidR="0025050C" w:rsidRDefault="0025050C" w:rsidP="0025050C">
      <w:pPr>
        <w:widowControl w:val="0"/>
        <w:pBdr>
          <w:top w:val="nil"/>
          <w:left w:val="nil"/>
          <w:bottom w:val="nil"/>
          <w:right w:val="nil"/>
          <w:between w:val="nil"/>
        </w:pBdr>
        <w:jc w:val="both"/>
        <w:rPr>
          <w:rFonts w:ascii="Arial" w:hAnsi="Arial" w:cs="Arial"/>
          <w:spacing w:val="-2"/>
        </w:rPr>
      </w:pPr>
    </w:p>
    <w:p w14:paraId="5AEF52FF" w14:textId="3CF2B039" w:rsidR="0025050C" w:rsidRDefault="0025050C" w:rsidP="0025050C">
      <w:pPr>
        <w:widowControl w:val="0"/>
        <w:pBdr>
          <w:top w:val="nil"/>
          <w:left w:val="nil"/>
          <w:bottom w:val="nil"/>
          <w:right w:val="nil"/>
          <w:between w:val="nil"/>
        </w:pBdr>
        <w:jc w:val="center"/>
        <w:rPr>
          <w:rFonts w:ascii="Arial" w:hAnsi="Arial" w:cs="Arial"/>
          <w:spacing w:val="-2"/>
        </w:rPr>
      </w:pPr>
      <w:r>
        <w:rPr>
          <w:noProof/>
          <w:sz w:val="17"/>
        </w:rPr>
        <w:lastRenderedPageBreak/>
        <w:drawing>
          <wp:inline distT="0" distB="0" distL="0" distR="0" wp14:anchorId="3AD00903" wp14:editId="4825BA1D">
            <wp:extent cx="3302191" cy="242258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02191" cy="2422588"/>
                    </a:xfrm>
                    <a:prstGeom prst="rect">
                      <a:avLst/>
                    </a:prstGeom>
                  </pic:spPr>
                </pic:pic>
              </a:graphicData>
            </a:graphic>
          </wp:inline>
        </w:drawing>
      </w:r>
    </w:p>
    <w:p w14:paraId="7CFD191B" w14:textId="7BB42438" w:rsidR="0025050C" w:rsidRDefault="0025050C" w:rsidP="0025050C">
      <w:pPr>
        <w:widowControl w:val="0"/>
        <w:pBdr>
          <w:top w:val="nil"/>
          <w:left w:val="nil"/>
          <w:bottom w:val="nil"/>
          <w:right w:val="nil"/>
          <w:between w:val="nil"/>
        </w:pBdr>
        <w:jc w:val="center"/>
        <w:rPr>
          <w:rFonts w:ascii="Arial" w:hAnsi="Arial" w:cs="Arial"/>
          <w:b/>
          <w:bCs/>
          <w:spacing w:val="-2"/>
        </w:rPr>
      </w:pPr>
      <w:r>
        <w:rPr>
          <w:rFonts w:ascii="Arial" w:hAnsi="Arial" w:cs="Arial"/>
          <w:b/>
          <w:bCs/>
          <w:spacing w:val="-2"/>
        </w:rPr>
        <w:t>Figure 1. Scatterplot</w:t>
      </w:r>
    </w:p>
    <w:p w14:paraId="376CF283" w14:textId="77777777" w:rsidR="0025050C" w:rsidRDefault="0025050C" w:rsidP="0025050C">
      <w:pPr>
        <w:widowControl w:val="0"/>
        <w:pBdr>
          <w:top w:val="nil"/>
          <w:left w:val="nil"/>
          <w:bottom w:val="nil"/>
          <w:right w:val="nil"/>
          <w:between w:val="nil"/>
        </w:pBdr>
        <w:jc w:val="center"/>
        <w:rPr>
          <w:rFonts w:ascii="Arial" w:hAnsi="Arial"/>
          <w:bCs/>
          <w:sz w:val="18"/>
          <w:szCs w:val="18"/>
        </w:rPr>
      </w:pPr>
      <w:r w:rsidRPr="0025050C">
        <w:rPr>
          <w:rFonts w:ascii="Arial" w:hAnsi="Arial"/>
          <w:bCs/>
          <w:sz w:val="18"/>
          <w:szCs w:val="18"/>
        </w:rPr>
        <w:t>Source: Authors’ calculation using SPSS 22</w:t>
      </w:r>
      <w:r>
        <w:rPr>
          <w:rFonts w:ascii="Arial" w:hAnsi="Arial"/>
          <w:bCs/>
          <w:sz w:val="18"/>
          <w:szCs w:val="18"/>
        </w:rPr>
        <w:t>, (2025)</w:t>
      </w:r>
    </w:p>
    <w:p w14:paraId="7D69788D" w14:textId="77777777" w:rsidR="0025050C" w:rsidRPr="0025050C" w:rsidRDefault="0025050C" w:rsidP="0025050C">
      <w:pPr>
        <w:widowControl w:val="0"/>
        <w:pBdr>
          <w:top w:val="nil"/>
          <w:left w:val="nil"/>
          <w:bottom w:val="nil"/>
          <w:right w:val="nil"/>
          <w:between w:val="nil"/>
        </w:pBdr>
        <w:jc w:val="both"/>
        <w:rPr>
          <w:rFonts w:ascii="Arial" w:hAnsi="Arial" w:cs="Arial"/>
          <w:b/>
          <w:bCs/>
          <w:spacing w:val="-2"/>
        </w:rPr>
      </w:pPr>
    </w:p>
    <w:p w14:paraId="37128E7A" w14:textId="16B6107A" w:rsidR="0025050C" w:rsidRDefault="0025050C" w:rsidP="0025050C">
      <w:pPr>
        <w:widowControl w:val="0"/>
        <w:pBdr>
          <w:top w:val="nil"/>
          <w:left w:val="nil"/>
          <w:bottom w:val="nil"/>
          <w:right w:val="nil"/>
          <w:between w:val="nil"/>
        </w:pBdr>
        <w:jc w:val="both"/>
        <w:rPr>
          <w:rFonts w:ascii="Arial" w:hAnsi="Arial" w:cs="Arial"/>
          <w:spacing w:val="-2"/>
        </w:rPr>
      </w:pPr>
      <w:r w:rsidRPr="0025050C">
        <w:rPr>
          <w:rFonts w:ascii="Arial" w:hAnsi="Arial" w:cs="Arial"/>
          <w:spacing w:val="-2"/>
        </w:rPr>
        <w:t>The analysis results show that the distribution of points does not form a specific pattern and is scattered above and below the value of 0 on the Y-axis. Thus, it can be concluded that the regression model in this study does not indicate any symptoms of heteroscedasticity.</w:t>
      </w:r>
      <w:r w:rsidR="00B36BDA">
        <w:rPr>
          <w:rFonts w:ascii="Arial" w:hAnsi="Arial" w:cs="Arial"/>
          <w:spacing w:val="-2"/>
        </w:rPr>
        <w:t xml:space="preserve"> </w:t>
      </w:r>
    </w:p>
    <w:p w14:paraId="727F2EA1" w14:textId="77777777" w:rsidR="0025050C" w:rsidRDefault="0025050C" w:rsidP="0025050C">
      <w:pPr>
        <w:widowControl w:val="0"/>
        <w:pBdr>
          <w:top w:val="nil"/>
          <w:left w:val="nil"/>
          <w:bottom w:val="nil"/>
          <w:right w:val="nil"/>
          <w:between w:val="nil"/>
        </w:pBdr>
        <w:jc w:val="both"/>
        <w:rPr>
          <w:rFonts w:ascii="Arial" w:hAnsi="Arial" w:cs="Arial"/>
          <w:color w:val="000000"/>
        </w:rPr>
      </w:pPr>
    </w:p>
    <w:p w14:paraId="7B9E3E56" w14:textId="69A448B9" w:rsidR="00B36BDA" w:rsidRDefault="00B36BDA" w:rsidP="00B36BDA">
      <w:pPr>
        <w:widowControl w:val="0"/>
        <w:pBdr>
          <w:top w:val="nil"/>
          <w:left w:val="nil"/>
          <w:bottom w:val="nil"/>
          <w:right w:val="nil"/>
          <w:between w:val="nil"/>
        </w:pBdr>
        <w:jc w:val="both"/>
        <w:rPr>
          <w:rFonts w:ascii="Arial" w:hAnsi="Arial" w:cs="Arial"/>
          <w:b/>
          <w:u w:val="single"/>
        </w:rPr>
      </w:pPr>
      <w:r w:rsidRPr="000C5764">
        <w:rPr>
          <w:rFonts w:ascii="Arial" w:hAnsi="Arial" w:cs="Arial"/>
          <w:b/>
          <w:bCs/>
          <w:color w:val="000000"/>
          <w:u w:val="single"/>
        </w:rPr>
        <w:t>4</w:t>
      </w:r>
      <w:r w:rsidRPr="000C5764">
        <w:rPr>
          <w:rFonts w:ascii="Arial" w:hAnsi="Arial" w:cs="Arial"/>
          <w:b/>
          <w:u w:val="single"/>
        </w:rPr>
        <w:t>.1.2.</w:t>
      </w:r>
      <w:r>
        <w:rPr>
          <w:rFonts w:ascii="Arial" w:hAnsi="Arial" w:cs="Arial"/>
          <w:b/>
          <w:u w:val="single"/>
        </w:rPr>
        <w:t>4</w:t>
      </w:r>
      <w:r w:rsidRPr="000C5764">
        <w:rPr>
          <w:rFonts w:ascii="Arial" w:hAnsi="Arial" w:cs="Arial"/>
          <w:b/>
          <w:u w:val="single"/>
        </w:rPr>
        <w:t xml:space="preserve"> </w:t>
      </w:r>
      <w:r w:rsidRPr="00B36BDA">
        <w:rPr>
          <w:rFonts w:ascii="Arial" w:hAnsi="Arial" w:cs="Arial"/>
          <w:b/>
          <w:u w:val="single"/>
        </w:rPr>
        <w:t>Autocorrelation Test</w:t>
      </w:r>
    </w:p>
    <w:p w14:paraId="21B7AEE4" w14:textId="77777777" w:rsidR="00B36BDA" w:rsidRPr="000C5764" w:rsidRDefault="00B36BDA" w:rsidP="00B36BDA">
      <w:pPr>
        <w:widowControl w:val="0"/>
        <w:pBdr>
          <w:top w:val="nil"/>
          <w:left w:val="nil"/>
          <w:bottom w:val="nil"/>
          <w:right w:val="nil"/>
          <w:between w:val="nil"/>
        </w:pBdr>
        <w:jc w:val="both"/>
        <w:rPr>
          <w:rFonts w:ascii="Arial" w:hAnsi="Arial" w:cs="Arial"/>
          <w:color w:val="000000"/>
        </w:rPr>
      </w:pPr>
    </w:p>
    <w:p w14:paraId="410AC076" w14:textId="4280986B" w:rsidR="00B36BDA" w:rsidRDefault="00B36BDA" w:rsidP="0025050C">
      <w:pPr>
        <w:widowControl w:val="0"/>
        <w:pBdr>
          <w:top w:val="nil"/>
          <w:left w:val="nil"/>
          <w:bottom w:val="nil"/>
          <w:right w:val="nil"/>
          <w:between w:val="nil"/>
        </w:pBdr>
        <w:jc w:val="both"/>
        <w:rPr>
          <w:rFonts w:ascii="Arial" w:hAnsi="Arial" w:cs="Arial"/>
          <w:color w:val="000000"/>
        </w:rPr>
      </w:pPr>
      <w:r w:rsidRPr="00B36BDA">
        <w:rPr>
          <w:rFonts w:ascii="Arial" w:hAnsi="Arial" w:cs="Arial"/>
          <w:color w:val="000000"/>
        </w:rPr>
        <w:t>An autocorrelation test was conducted to determine whether there was a relationship or correlation between the disturbance variables in a given period and the previous period. Autocorrelation was detected using the Durbin-Watson (DW) test.</w:t>
      </w:r>
    </w:p>
    <w:p w14:paraId="3E139D18" w14:textId="77777777" w:rsidR="00607285" w:rsidRPr="000F34E2" w:rsidRDefault="00607285" w:rsidP="000F34E2">
      <w:pPr>
        <w:widowControl w:val="0"/>
        <w:pBdr>
          <w:top w:val="nil"/>
          <w:left w:val="nil"/>
          <w:bottom w:val="nil"/>
          <w:right w:val="nil"/>
          <w:between w:val="nil"/>
        </w:pBdr>
        <w:ind w:firstLine="202"/>
        <w:jc w:val="both"/>
        <w:rPr>
          <w:rFonts w:ascii="Arial" w:hAnsi="Arial" w:cs="Arial"/>
          <w:color w:val="000000"/>
        </w:rPr>
      </w:pPr>
    </w:p>
    <w:p w14:paraId="6FF22AB0" w14:textId="7ABFFF16" w:rsidR="000F34E2" w:rsidRDefault="000F34E2" w:rsidP="000F34E2">
      <w:pPr>
        <w:widowControl w:val="0"/>
        <w:pBdr>
          <w:top w:val="nil"/>
          <w:left w:val="nil"/>
          <w:bottom w:val="nil"/>
          <w:right w:val="nil"/>
          <w:between w:val="nil"/>
        </w:pBdr>
        <w:ind w:firstLine="360"/>
        <w:jc w:val="center"/>
        <w:rPr>
          <w:rFonts w:ascii="Arial" w:hAnsi="Arial" w:cs="Arial"/>
          <w:b/>
          <w:bCs/>
          <w:color w:val="000000"/>
        </w:rPr>
      </w:pPr>
      <w:r w:rsidRPr="00B36CE0">
        <w:rPr>
          <w:rFonts w:ascii="Arial" w:hAnsi="Arial" w:cs="Arial"/>
          <w:b/>
          <w:bCs/>
          <w:color w:val="000000"/>
        </w:rPr>
        <w:t xml:space="preserve">Table </w:t>
      </w:r>
      <w:proofErr w:type="gramStart"/>
      <w:r w:rsidR="00B36BDA" w:rsidRPr="00B36CE0">
        <w:rPr>
          <w:rFonts w:ascii="Arial" w:hAnsi="Arial" w:cs="Arial"/>
          <w:b/>
          <w:bCs/>
          <w:color w:val="000000"/>
        </w:rPr>
        <w:t xml:space="preserve">5  </w:t>
      </w:r>
      <w:r w:rsidRPr="00B36CE0">
        <w:rPr>
          <w:rFonts w:ascii="Arial" w:hAnsi="Arial" w:cs="Arial"/>
          <w:b/>
          <w:bCs/>
          <w:color w:val="000000"/>
        </w:rPr>
        <w:t>.</w:t>
      </w:r>
      <w:proofErr w:type="gramEnd"/>
      <w:r w:rsidRPr="00B36CE0">
        <w:rPr>
          <w:rFonts w:ascii="Arial" w:hAnsi="Arial" w:cs="Arial"/>
          <w:color w:val="000000"/>
        </w:rPr>
        <w:t xml:space="preserve"> </w:t>
      </w:r>
      <w:r w:rsidRPr="000F34E2">
        <w:rPr>
          <w:rFonts w:ascii="Arial" w:hAnsi="Arial" w:cs="Arial"/>
          <w:b/>
          <w:bCs/>
          <w:color w:val="000000"/>
        </w:rPr>
        <w:t>Autocorrelation Test</w:t>
      </w:r>
    </w:p>
    <w:p w14:paraId="5063B5C1" w14:textId="77777777" w:rsidR="00607285" w:rsidRPr="000F34E2" w:rsidRDefault="00607285" w:rsidP="000F34E2">
      <w:pPr>
        <w:widowControl w:val="0"/>
        <w:pBdr>
          <w:top w:val="nil"/>
          <w:left w:val="nil"/>
          <w:bottom w:val="nil"/>
          <w:right w:val="nil"/>
          <w:between w:val="nil"/>
        </w:pBdr>
        <w:ind w:firstLine="360"/>
        <w:jc w:val="center"/>
        <w:rPr>
          <w:rFonts w:ascii="Arial" w:hAnsi="Arial" w:cs="Arial"/>
          <w:color w:val="000000"/>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33"/>
        <w:gridCol w:w="1832"/>
        <w:gridCol w:w="2066"/>
        <w:gridCol w:w="2477"/>
      </w:tblGrid>
      <w:tr w:rsidR="00B36BDA" w:rsidRPr="000F34E2" w14:paraId="3F8D5A0A" w14:textId="77777777" w:rsidTr="00B36BDA">
        <w:trPr>
          <w:jc w:val="center"/>
        </w:trPr>
        <w:tc>
          <w:tcPr>
            <w:tcW w:w="1833" w:type="dxa"/>
          </w:tcPr>
          <w:p w14:paraId="7861FB1B" w14:textId="28F26680" w:rsidR="00B36BDA" w:rsidRPr="000F34E2" w:rsidRDefault="00B36BDA" w:rsidP="000F34E2">
            <w:pPr>
              <w:widowControl w:val="0"/>
              <w:jc w:val="center"/>
              <w:rPr>
                <w:rFonts w:ascii="Arial" w:hAnsi="Arial" w:cs="Arial"/>
                <w:b/>
                <w:bCs/>
              </w:rPr>
            </w:pPr>
            <w:r>
              <w:rPr>
                <w:rFonts w:ascii="Arial" w:hAnsi="Arial" w:cs="Arial"/>
                <w:b/>
                <w:bCs/>
              </w:rPr>
              <w:t>R Square</w:t>
            </w:r>
          </w:p>
        </w:tc>
        <w:tc>
          <w:tcPr>
            <w:tcW w:w="1832" w:type="dxa"/>
          </w:tcPr>
          <w:p w14:paraId="5978C18C" w14:textId="7AE9009F" w:rsidR="00B36BDA" w:rsidRPr="000F34E2" w:rsidRDefault="00B36BDA" w:rsidP="000F34E2">
            <w:pPr>
              <w:widowControl w:val="0"/>
              <w:jc w:val="center"/>
              <w:rPr>
                <w:rFonts w:ascii="Arial" w:hAnsi="Arial" w:cs="Arial"/>
                <w:b/>
                <w:bCs/>
              </w:rPr>
            </w:pPr>
            <w:r>
              <w:rPr>
                <w:rFonts w:ascii="Arial" w:hAnsi="Arial" w:cs="Arial"/>
                <w:b/>
                <w:bCs/>
              </w:rPr>
              <w:t>Adj. R Square</w:t>
            </w:r>
          </w:p>
        </w:tc>
        <w:tc>
          <w:tcPr>
            <w:tcW w:w="2066" w:type="dxa"/>
          </w:tcPr>
          <w:p w14:paraId="4B0B1B17" w14:textId="502639F6" w:rsidR="00B36BDA" w:rsidRPr="00B36BDA" w:rsidRDefault="00B36BDA" w:rsidP="00B36BDA">
            <w:pPr>
              <w:widowControl w:val="0"/>
              <w:jc w:val="center"/>
              <w:rPr>
                <w:rFonts w:ascii="Arial" w:hAnsi="Arial" w:cs="Arial"/>
                <w:b/>
                <w:bCs/>
              </w:rPr>
            </w:pPr>
            <w:r w:rsidRPr="00B36BDA">
              <w:rPr>
                <w:rFonts w:ascii="Arial" w:hAnsi="Arial" w:cs="Arial"/>
                <w:b/>
                <w:bCs/>
              </w:rPr>
              <w:t>St</w:t>
            </w:r>
            <w:r>
              <w:rPr>
                <w:rFonts w:ascii="Arial" w:hAnsi="Arial" w:cs="Arial"/>
                <w:b/>
                <w:bCs/>
              </w:rPr>
              <w:t>d.</w:t>
            </w:r>
            <w:r w:rsidRPr="00B36BDA">
              <w:rPr>
                <w:rFonts w:ascii="Arial" w:hAnsi="Arial" w:cs="Arial"/>
                <w:b/>
                <w:bCs/>
              </w:rPr>
              <w:t xml:space="preserve"> Error of</w:t>
            </w:r>
          </w:p>
          <w:p w14:paraId="385C8332" w14:textId="041B289C" w:rsidR="00B36BDA" w:rsidRPr="000F34E2" w:rsidRDefault="00B36BDA" w:rsidP="00B36BDA">
            <w:pPr>
              <w:widowControl w:val="0"/>
              <w:jc w:val="center"/>
              <w:rPr>
                <w:rFonts w:ascii="Arial" w:hAnsi="Arial" w:cs="Arial"/>
                <w:b/>
                <w:bCs/>
              </w:rPr>
            </w:pPr>
            <w:r w:rsidRPr="00B36BDA">
              <w:rPr>
                <w:rFonts w:ascii="Arial" w:hAnsi="Arial" w:cs="Arial"/>
                <w:b/>
                <w:bCs/>
              </w:rPr>
              <w:t>the Estimate</w:t>
            </w:r>
          </w:p>
        </w:tc>
        <w:tc>
          <w:tcPr>
            <w:tcW w:w="2477" w:type="dxa"/>
          </w:tcPr>
          <w:p w14:paraId="5021E650" w14:textId="030F3388" w:rsidR="00B36BDA" w:rsidRPr="000F34E2" w:rsidRDefault="00B36BDA" w:rsidP="000F34E2">
            <w:pPr>
              <w:widowControl w:val="0"/>
              <w:jc w:val="center"/>
              <w:rPr>
                <w:rFonts w:ascii="Arial" w:hAnsi="Arial" w:cs="Arial"/>
                <w:b/>
                <w:bCs/>
              </w:rPr>
            </w:pPr>
            <w:r w:rsidRPr="000F34E2">
              <w:rPr>
                <w:rFonts w:ascii="Arial" w:hAnsi="Arial" w:cs="Arial"/>
                <w:b/>
                <w:bCs/>
              </w:rPr>
              <w:t>Durbin Watson</w:t>
            </w:r>
          </w:p>
        </w:tc>
      </w:tr>
      <w:tr w:rsidR="00B36BDA" w:rsidRPr="000F34E2" w14:paraId="2AF03EB6" w14:textId="77777777" w:rsidTr="00B36BDA">
        <w:trPr>
          <w:jc w:val="center"/>
        </w:trPr>
        <w:tc>
          <w:tcPr>
            <w:tcW w:w="1833" w:type="dxa"/>
          </w:tcPr>
          <w:p w14:paraId="17AB5AC5" w14:textId="49FE3857" w:rsidR="00B36BDA" w:rsidRPr="000F34E2" w:rsidRDefault="00B36BDA" w:rsidP="005D50D2">
            <w:pPr>
              <w:widowControl w:val="0"/>
              <w:jc w:val="right"/>
              <w:rPr>
                <w:rFonts w:ascii="Arial" w:hAnsi="Arial" w:cs="Arial"/>
              </w:rPr>
            </w:pPr>
            <w:r>
              <w:rPr>
                <w:rFonts w:ascii="Arial" w:hAnsi="Arial" w:cs="Arial"/>
              </w:rPr>
              <w:t>.482</w:t>
            </w:r>
          </w:p>
        </w:tc>
        <w:tc>
          <w:tcPr>
            <w:tcW w:w="1832" w:type="dxa"/>
          </w:tcPr>
          <w:p w14:paraId="645B0D7C" w14:textId="477600AE" w:rsidR="00B36BDA" w:rsidRPr="000F34E2" w:rsidRDefault="00B36BDA" w:rsidP="005D50D2">
            <w:pPr>
              <w:widowControl w:val="0"/>
              <w:jc w:val="right"/>
              <w:rPr>
                <w:rFonts w:ascii="Arial" w:hAnsi="Arial" w:cs="Arial"/>
              </w:rPr>
            </w:pPr>
            <w:r>
              <w:rPr>
                <w:rFonts w:ascii="Arial" w:hAnsi="Arial" w:cs="Arial"/>
              </w:rPr>
              <w:t>.454</w:t>
            </w:r>
          </w:p>
        </w:tc>
        <w:tc>
          <w:tcPr>
            <w:tcW w:w="2066" w:type="dxa"/>
          </w:tcPr>
          <w:p w14:paraId="2CC3F658" w14:textId="39009A56" w:rsidR="00B36BDA" w:rsidRPr="000F34E2" w:rsidRDefault="00B36BDA" w:rsidP="005D50D2">
            <w:pPr>
              <w:widowControl w:val="0"/>
              <w:jc w:val="right"/>
              <w:rPr>
                <w:rFonts w:ascii="Arial" w:hAnsi="Arial" w:cs="Arial"/>
              </w:rPr>
            </w:pPr>
            <w:r>
              <w:rPr>
                <w:rFonts w:ascii="Arial" w:hAnsi="Arial" w:cs="Arial"/>
              </w:rPr>
              <w:t>13.92360</w:t>
            </w:r>
          </w:p>
        </w:tc>
        <w:tc>
          <w:tcPr>
            <w:tcW w:w="2477" w:type="dxa"/>
          </w:tcPr>
          <w:p w14:paraId="74CE5719" w14:textId="026090D7" w:rsidR="00B36BDA" w:rsidRPr="000F34E2" w:rsidRDefault="00B36BDA" w:rsidP="005D50D2">
            <w:pPr>
              <w:widowControl w:val="0"/>
              <w:jc w:val="right"/>
              <w:rPr>
                <w:rFonts w:ascii="Arial" w:hAnsi="Arial" w:cs="Arial"/>
              </w:rPr>
            </w:pPr>
            <w:r>
              <w:rPr>
                <w:rFonts w:ascii="Arial" w:hAnsi="Arial" w:cs="Arial"/>
              </w:rPr>
              <w:t>1.385</w:t>
            </w:r>
          </w:p>
        </w:tc>
      </w:tr>
    </w:tbl>
    <w:p w14:paraId="5DA2A3DB" w14:textId="6A070B57" w:rsidR="000F34E2" w:rsidRPr="00B36BDA" w:rsidRDefault="00B36BDA" w:rsidP="00B36BDA">
      <w:pPr>
        <w:widowControl w:val="0"/>
        <w:pBdr>
          <w:top w:val="nil"/>
          <w:left w:val="nil"/>
          <w:bottom w:val="nil"/>
          <w:right w:val="nil"/>
          <w:between w:val="nil"/>
        </w:pBdr>
        <w:jc w:val="both"/>
        <w:rPr>
          <w:rFonts w:ascii="Arial" w:hAnsi="Arial" w:cs="Arial"/>
          <w:color w:val="000000"/>
          <w:sz w:val="18"/>
          <w:szCs w:val="18"/>
        </w:rPr>
      </w:pPr>
      <w:r w:rsidRPr="00B36BDA">
        <w:rPr>
          <w:rFonts w:ascii="Arial" w:hAnsi="Arial" w:cs="Arial"/>
          <w:color w:val="000000"/>
          <w:sz w:val="18"/>
          <w:szCs w:val="18"/>
        </w:rPr>
        <w:t>Source: Authors’ calculation using SPSS 22, (2025)</w:t>
      </w:r>
    </w:p>
    <w:p w14:paraId="0BC805B1" w14:textId="77777777" w:rsidR="00B36BDA" w:rsidRPr="000F34E2" w:rsidRDefault="00B36BDA" w:rsidP="00B36BDA">
      <w:pPr>
        <w:widowControl w:val="0"/>
        <w:pBdr>
          <w:top w:val="nil"/>
          <w:left w:val="nil"/>
          <w:bottom w:val="nil"/>
          <w:right w:val="nil"/>
          <w:between w:val="nil"/>
        </w:pBdr>
        <w:jc w:val="both"/>
        <w:rPr>
          <w:rFonts w:ascii="Arial" w:hAnsi="Arial" w:cs="Arial"/>
          <w:color w:val="000000"/>
        </w:rPr>
      </w:pPr>
    </w:p>
    <w:p w14:paraId="4374FD4C" w14:textId="5FC8FA65" w:rsidR="000F34E2" w:rsidRPr="000F34E2" w:rsidRDefault="004F52E0" w:rsidP="004F52E0">
      <w:pPr>
        <w:widowControl w:val="0"/>
        <w:pBdr>
          <w:top w:val="nil"/>
          <w:left w:val="nil"/>
          <w:bottom w:val="nil"/>
          <w:right w:val="nil"/>
          <w:between w:val="nil"/>
        </w:pBdr>
        <w:jc w:val="both"/>
        <w:rPr>
          <w:rFonts w:ascii="Arial" w:hAnsi="Arial" w:cs="Arial"/>
          <w:color w:val="000000"/>
        </w:rPr>
      </w:pPr>
      <w:r w:rsidRPr="004F52E0">
        <w:rPr>
          <w:rFonts w:ascii="Arial" w:hAnsi="Arial" w:cs="Arial"/>
          <w:color w:val="000000"/>
        </w:rPr>
        <w:t>Based on Table 5 above, it can be analyzed that a Durbin Watson value of 1.385 was</w:t>
      </w:r>
      <w:r>
        <w:rPr>
          <w:rFonts w:ascii="Arial" w:hAnsi="Arial" w:cs="Arial"/>
          <w:color w:val="000000"/>
        </w:rPr>
        <w:t xml:space="preserve"> </w:t>
      </w:r>
      <w:r w:rsidRPr="004F52E0">
        <w:rPr>
          <w:rFonts w:ascii="Arial" w:hAnsi="Arial" w:cs="Arial"/>
          <w:color w:val="000000"/>
        </w:rPr>
        <w:t xml:space="preserve">obtained, which indicates that the value obtained is between -2 and +2 (-2 </w:t>
      </w:r>
      <w:r>
        <w:rPr>
          <w:rFonts w:ascii="Arial" w:hAnsi="Arial" w:cs="Arial"/>
          <w:color w:val="000000"/>
        </w:rPr>
        <w:t xml:space="preserve">&lt; </w:t>
      </w:r>
      <w:r w:rsidRPr="004F52E0">
        <w:rPr>
          <w:rFonts w:ascii="Arial" w:hAnsi="Arial" w:cs="Arial"/>
          <w:color w:val="000000"/>
        </w:rPr>
        <w:t xml:space="preserve">1.385 </w:t>
      </w:r>
      <w:r>
        <w:rPr>
          <w:rFonts w:ascii="Arial" w:hAnsi="Arial" w:cs="Arial"/>
          <w:color w:val="000000"/>
        </w:rPr>
        <w:t>&lt;</w:t>
      </w:r>
      <w:r w:rsidRPr="004F52E0">
        <w:rPr>
          <w:rFonts w:ascii="Arial" w:hAnsi="Arial" w:cs="Arial"/>
          <w:color w:val="000000"/>
        </w:rPr>
        <w:t xml:space="preserve"> 2),</w:t>
      </w:r>
      <w:r>
        <w:rPr>
          <w:rFonts w:ascii="Arial" w:hAnsi="Arial" w:cs="Arial"/>
          <w:color w:val="000000"/>
        </w:rPr>
        <w:t xml:space="preserve"> </w:t>
      </w:r>
      <w:r w:rsidRPr="004F52E0">
        <w:rPr>
          <w:rFonts w:ascii="Arial" w:hAnsi="Arial" w:cs="Arial"/>
          <w:color w:val="000000"/>
        </w:rPr>
        <w:t>meaning that the regression model shows no autocorrelation.</w:t>
      </w:r>
    </w:p>
    <w:p w14:paraId="76B07C72" w14:textId="77777777" w:rsidR="00A7596C" w:rsidRDefault="00A7596C" w:rsidP="00441B6F">
      <w:pPr>
        <w:pStyle w:val="Body"/>
        <w:spacing w:after="0"/>
        <w:rPr>
          <w:rFonts w:ascii="Arial" w:hAnsi="Arial" w:cs="Arial"/>
        </w:rPr>
      </w:pPr>
    </w:p>
    <w:p w14:paraId="3A32E922" w14:textId="767781F4" w:rsidR="00607285" w:rsidRDefault="00607285" w:rsidP="00441B6F">
      <w:pPr>
        <w:pStyle w:val="Body"/>
        <w:spacing w:after="0"/>
        <w:rPr>
          <w:rFonts w:ascii="Arial" w:hAnsi="Arial" w:cs="Arial"/>
        </w:rPr>
      </w:pPr>
      <w:r>
        <w:rPr>
          <w:rFonts w:ascii="Arial" w:hAnsi="Arial" w:cs="Arial"/>
          <w:b/>
          <w:u w:val="single"/>
        </w:rPr>
        <w:t>4</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004F52E0" w:rsidRPr="004F52E0">
        <w:rPr>
          <w:rFonts w:ascii="Arial" w:hAnsi="Arial" w:cs="Arial"/>
          <w:b/>
          <w:u w:val="single"/>
        </w:rPr>
        <w:t>Multiple Linear Regression</w:t>
      </w:r>
    </w:p>
    <w:p w14:paraId="47A83BD5" w14:textId="77777777" w:rsidR="00A7596C" w:rsidRDefault="00A7596C" w:rsidP="00441B6F">
      <w:pPr>
        <w:pStyle w:val="Body"/>
        <w:spacing w:after="0"/>
        <w:rPr>
          <w:rFonts w:ascii="Arial" w:hAnsi="Arial" w:cs="Arial"/>
        </w:rPr>
      </w:pPr>
    </w:p>
    <w:p w14:paraId="4D6705C6" w14:textId="6BD6377F" w:rsidR="00607285" w:rsidRDefault="004F52E0" w:rsidP="004F52E0">
      <w:pPr>
        <w:widowControl w:val="0"/>
        <w:pBdr>
          <w:top w:val="nil"/>
          <w:left w:val="nil"/>
          <w:bottom w:val="nil"/>
          <w:right w:val="nil"/>
          <w:between w:val="nil"/>
        </w:pBdr>
        <w:jc w:val="both"/>
        <w:rPr>
          <w:rFonts w:ascii="Arial" w:hAnsi="Arial" w:cs="Arial"/>
          <w:color w:val="000000"/>
        </w:rPr>
      </w:pPr>
      <w:r w:rsidRPr="004F52E0">
        <w:rPr>
          <w:rFonts w:ascii="Arial" w:hAnsi="Arial" w:cs="Arial"/>
          <w:color w:val="000000"/>
        </w:rPr>
        <w:t>Multiple linear regression analysis aims to determine whether there is an influence between</w:t>
      </w:r>
      <w:r>
        <w:rPr>
          <w:rFonts w:ascii="Arial" w:hAnsi="Arial" w:cs="Arial"/>
          <w:color w:val="000000"/>
        </w:rPr>
        <w:t xml:space="preserve"> </w:t>
      </w:r>
      <w:r w:rsidRPr="004F52E0">
        <w:rPr>
          <w:rFonts w:ascii="Arial" w:hAnsi="Arial" w:cs="Arial"/>
          <w:color w:val="000000"/>
        </w:rPr>
        <w:t>Capital Adequacy, Profitability, Liquidity Risk, and Company Size on Liquidity at Rural Banks</w:t>
      </w:r>
      <w:r>
        <w:rPr>
          <w:rFonts w:ascii="Arial" w:hAnsi="Arial" w:cs="Arial"/>
          <w:color w:val="000000"/>
        </w:rPr>
        <w:t xml:space="preserve"> </w:t>
      </w:r>
      <w:r w:rsidRPr="004F52E0">
        <w:rPr>
          <w:rFonts w:ascii="Arial" w:hAnsi="Arial" w:cs="Arial"/>
          <w:color w:val="000000"/>
        </w:rPr>
        <w:t>in East Java Province that are registered and supervised by the OJK during the 2022-2024</w:t>
      </w:r>
      <w:r>
        <w:rPr>
          <w:rFonts w:ascii="Arial" w:hAnsi="Arial" w:cs="Arial"/>
          <w:color w:val="000000"/>
        </w:rPr>
        <w:t xml:space="preserve"> </w:t>
      </w:r>
      <w:r w:rsidRPr="004F52E0">
        <w:rPr>
          <w:rFonts w:ascii="Arial" w:hAnsi="Arial" w:cs="Arial"/>
          <w:color w:val="000000"/>
        </w:rPr>
        <w:t>period.</w:t>
      </w:r>
    </w:p>
    <w:p w14:paraId="39751CB4" w14:textId="77777777" w:rsidR="00607285" w:rsidRPr="00607285" w:rsidRDefault="00607285" w:rsidP="00607285">
      <w:pPr>
        <w:widowControl w:val="0"/>
        <w:pBdr>
          <w:top w:val="nil"/>
          <w:left w:val="nil"/>
          <w:bottom w:val="nil"/>
          <w:right w:val="nil"/>
          <w:between w:val="nil"/>
        </w:pBdr>
        <w:jc w:val="both"/>
        <w:rPr>
          <w:rFonts w:ascii="Arial" w:hAnsi="Arial" w:cs="Arial"/>
          <w:color w:val="000000"/>
        </w:rPr>
      </w:pPr>
    </w:p>
    <w:p w14:paraId="045566BB" w14:textId="673379F9"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607285">
        <w:rPr>
          <w:rFonts w:ascii="Arial" w:hAnsi="Arial" w:cs="Arial"/>
          <w:b/>
          <w:bCs/>
          <w:color w:val="000000"/>
          <w:lang w:val="sv-SE"/>
        </w:rPr>
        <w:t xml:space="preserve">Table </w:t>
      </w:r>
      <w:r w:rsidR="004F52E0">
        <w:rPr>
          <w:rFonts w:ascii="Arial" w:hAnsi="Arial" w:cs="Arial"/>
          <w:b/>
          <w:bCs/>
          <w:color w:val="000000"/>
          <w:lang w:val="sv-SE"/>
        </w:rPr>
        <w:t>6</w:t>
      </w:r>
      <w:r w:rsidRPr="00607285">
        <w:rPr>
          <w:rFonts w:ascii="Arial" w:hAnsi="Arial" w:cs="Arial"/>
          <w:color w:val="000000"/>
          <w:lang w:val="sv-SE"/>
        </w:rPr>
        <w:t xml:space="preserve">. </w:t>
      </w:r>
      <w:r w:rsidR="004F52E0" w:rsidRPr="004F52E0">
        <w:rPr>
          <w:rFonts w:ascii="Arial" w:hAnsi="Arial" w:cs="Arial"/>
          <w:b/>
          <w:bCs/>
          <w:color w:val="000000"/>
        </w:rPr>
        <w:t>Multiple Linear Regression</w:t>
      </w:r>
    </w:p>
    <w:p w14:paraId="603078D4" w14:textId="77777777" w:rsidR="00607285" w:rsidRPr="00607285" w:rsidRDefault="00607285" w:rsidP="00607285">
      <w:pPr>
        <w:widowControl w:val="0"/>
        <w:pBdr>
          <w:top w:val="nil"/>
          <w:left w:val="nil"/>
          <w:bottom w:val="nil"/>
          <w:right w:val="nil"/>
          <w:between w:val="nil"/>
        </w:pBdr>
        <w:ind w:firstLine="360"/>
        <w:jc w:val="center"/>
        <w:rPr>
          <w:rFonts w:ascii="Arial" w:hAnsi="Arial" w:cs="Arial"/>
          <w:color w:val="000000"/>
        </w:rPr>
      </w:pPr>
    </w:p>
    <w:tbl>
      <w:tblPr>
        <w:tblStyle w:val="Tesis"/>
        <w:tblW w:w="8100" w:type="dxa"/>
        <w:jc w:val="center"/>
        <w:tblLayout w:type="fixed"/>
        <w:tblLook w:val="0000" w:firstRow="0" w:lastRow="0" w:firstColumn="0" w:lastColumn="0" w:noHBand="0" w:noVBand="0"/>
      </w:tblPr>
      <w:tblGrid>
        <w:gridCol w:w="360"/>
        <w:gridCol w:w="1296"/>
        <w:gridCol w:w="1224"/>
        <w:gridCol w:w="1260"/>
        <w:gridCol w:w="1620"/>
        <w:gridCol w:w="1260"/>
        <w:gridCol w:w="1080"/>
      </w:tblGrid>
      <w:tr w:rsidR="00607285" w:rsidRPr="00607285" w14:paraId="67457262"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656" w:type="dxa"/>
            <w:gridSpan w:val="2"/>
            <w:vMerge w:val="restart"/>
            <w:tcBorders>
              <w:top w:val="single" w:sz="4" w:space="0" w:color="auto"/>
              <w:bottom w:val="single" w:sz="4" w:space="0" w:color="auto"/>
            </w:tcBorders>
          </w:tcPr>
          <w:p w14:paraId="5B52D9B1"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Model</w:t>
            </w:r>
          </w:p>
        </w:tc>
        <w:tc>
          <w:tcPr>
            <w:tcW w:w="2484" w:type="dxa"/>
            <w:gridSpan w:val="2"/>
            <w:tcBorders>
              <w:top w:val="single" w:sz="4" w:space="0" w:color="auto"/>
              <w:bottom w:val="single" w:sz="4" w:space="0" w:color="auto"/>
            </w:tcBorders>
          </w:tcPr>
          <w:p w14:paraId="14763944"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tcPr>
          <w:p w14:paraId="167F90A4"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Standardized Coefficients</w:t>
            </w:r>
          </w:p>
        </w:tc>
        <w:tc>
          <w:tcPr>
            <w:tcW w:w="1260" w:type="dxa"/>
            <w:vMerge w:val="restart"/>
            <w:tcBorders>
              <w:top w:val="single" w:sz="4" w:space="0" w:color="auto"/>
              <w:bottom w:val="single" w:sz="4" w:space="0" w:color="auto"/>
            </w:tcBorders>
          </w:tcPr>
          <w:p w14:paraId="36DC9A20"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t</w:t>
            </w:r>
          </w:p>
        </w:tc>
        <w:tc>
          <w:tcPr>
            <w:cnfStyle w:val="000010000000" w:firstRow="0" w:lastRow="0" w:firstColumn="0" w:lastColumn="0" w:oddVBand="1" w:evenVBand="0" w:oddHBand="0" w:evenHBand="0" w:firstRowFirstColumn="0" w:firstRowLastColumn="0" w:lastRowFirstColumn="0" w:lastRowLastColumn="0"/>
            <w:tcW w:w="1080" w:type="dxa"/>
            <w:vMerge w:val="restart"/>
            <w:tcBorders>
              <w:top w:val="single" w:sz="4" w:space="0" w:color="auto"/>
              <w:bottom w:val="none" w:sz="0" w:space="0" w:color="auto"/>
            </w:tcBorders>
          </w:tcPr>
          <w:p w14:paraId="4811A075"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i/>
                <w:iCs/>
                <w:sz w:val="20"/>
                <w:szCs w:val="20"/>
              </w:rPr>
              <w:t>Sig.</w:t>
            </w:r>
          </w:p>
        </w:tc>
      </w:tr>
      <w:tr w:rsidR="00607285" w:rsidRPr="00607285" w14:paraId="0764E01A" w14:textId="77777777" w:rsidTr="004F52E0">
        <w:trPr>
          <w:jc w:val="center"/>
        </w:trPr>
        <w:tc>
          <w:tcPr>
            <w:tcW w:w="1656" w:type="dxa"/>
            <w:gridSpan w:val="2"/>
            <w:vMerge/>
            <w:tcBorders>
              <w:top w:val="single" w:sz="4" w:space="0" w:color="auto"/>
              <w:bottom w:val="single" w:sz="4" w:space="0" w:color="auto"/>
            </w:tcBorders>
          </w:tcPr>
          <w:p w14:paraId="6E41F72F" w14:textId="77777777" w:rsidR="00607285" w:rsidRPr="00607285" w:rsidRDefault="00607285" w:rsidP="00607285">
            <w:pPr>
              <w:autoSpaceDE w:val="0"/>
              <w:autoSpaceDN w:val="0"/>
              <w:adjustRightInd w:val="0"/>
              <w:ind w:firstLine="360"/>
              <w:jc w:val="center"/>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224" w:type="dxa"/>
            <w:tcBorders>
              <w:top w:val="single" w:sz="4" w:space="0" w:color="auto"/>
              <w:bottom w:val="single" w:sz="4" w:space="0" w:color="auto"/>
            </w:tcBorders>
          </w:tcPr>
          <w:p w14:paraId="73B4C141"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B</w:t>
            </w:r>
          </w:p>
        </w:tc>
        <w:tc>
          <w:tcPr>
            <w:tcW w:w="1260" w:type="dxa"/>
            <w:tcBorders>
              <w:top w:val="single" w:sz="4" w:space="0" w:color="auto"/>
              <w:bottom w:val="single" w:sz="4" w:space="0" w:color="auto"/>
            </w:tcBorders>
          </w:tcPr>
          <w:p w14:paraId="7866CC20" w14:textId="77777777" w:rsidR="00607285" w:rsidRPr="00607285" w:rsidRDefault="00607285" w:rsidP="00607285">
            <w:pPr>
              <w:autoSpaceDE w:val="0"/>
              <w:autoSpaceDN w:val="0"/>
              <w:adjustRightInd w:val="0"/>
              <w:ind w:right="60"/>
              <w:jc w:val="center"/>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Std. Error</w:t>
            </w:r>
          </w:p>
        </w:tc>
        <w:tc>
          <w:tcPr>
            <w:tcW w:w="1620" w:type="dxa"/>
            <w:tcBorders>
              <w:top w:val="single" w:sz="4" w:space="0" w:color="auto"/>
              <w:bottom w:val="single" w:sz="4" w:space="0" w:color="auto"/>
            </w:tcBorders>
          </w:tcPr>
          <w:p w14:paraId="1AB1EF06"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B</w:t>
            </w:r>
          </w:p>
        </w:tc>
        <w:tc>
          <w:tcPr>
            <w:tcW w:w="1260" w:type="dxa"/>
            <w:vMerge/>
            <w:tcBorders>
              <w:top w:val="single" w:sz="4" w:space="0" w:color="auto"/>
              <w:bottom w:val="single" w:sz="4" w:space="0" w:color="auto"/>
            </w:tcBorders>
          </w:tcPr>
          <w:p w14:paraId="372B7559" w14:textId="77777777" w:rsidR="00607285" w:rsidRPr="00607285" w:rsidRDefault="00607285" w:rsidP="00607285">
            <w:pPr>
              <w:autoSpaceDE w:val="0"/>
              <w:autoSpaceDN w:val="0"/>
              <w:adjustRightInd w:val="0"/>
              <w:ind w:firstLine="360"/>
              <w:jc w:val="center"/>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080" w:type="dxa"/>
            <w:vMerge/>
            <w:tcBorders>
              <w:bottom w:val="single" w:sz="4" w:space="0" w:color="auto"/>
            </w:tcBorders>
          </w:tcPr>
          <w:p w14:paraId="1941ABB4" w14:textId="77777777" w:rsidR="00607285" w:rsidRPr="00607285" w:rsidRDefault="00607285" w:rsidP="00607285">
            <w:pPr>
              <w:autoSpaceDE w:val="0"/>
              <w:autoSpaceDN w:val="0"/>
              <w:adjustRightInd w:val="0"/>
              <w:ind w:firstLine="360"/>
              <w:jc w:val="center"/>
              <w:rPr>
                <w:rFonts w:ascii="Arial" w:hAnsi="Arial" w:cs="Arial"/>
                <w:b/>
                <w:bCs/>
                <w:sz w:val="20"/>
                <w:szCs w:val="20"/>
              </w:rPr>
            </w:pPr>
          </w:p>
        </w:tc>
      </w:tr>
      <w:tr w:rsidR="004F52E0" w:rsidRPr="00607285" w14:paraId="149AA89C"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0" w:type="dxa"/>
            <w:vMerge w:val="restart"/>
            <w:tcBorders>
              <w:top w:val="single" w:sz="4" w:space="0" w:color="auto"/>
              <w:bottom w:val="none" w:sz="0" w:space="0" w:color="auto"/>
            </w:tcBorders>
          </w:tcPr>
          <w:p w14:paraId="43F5F267" w14:textId="77777777" w:rsidR="004F52E0" w:rsidRPr="004F52E0" w:rsidRDefault="004F52E0" w:rsidP="004F52E0">
            <w:pPr>
              <w:autoSpaceDE w:val="0"/>
              <w:autoSpaceDN w:val="0"/>
              <w:adjustRightInd w:val="0"/>
              <w:ind w:right="60" w:firstLine="360"/>
              <w:rPr>
                <w:rFonts w:ascii="Arial" w:hAnsi="Arial" w:cs="Arial"/>
                <w:sz w:val="20"/>
                <w:szCs w:val="20"/>
              </w:rPr>
            </w:pPr>
            <w:r w:rsidRPr="004F52E0">
              <w:rPr>
                <w:rFonts w:ascii="Arial" w:hAnsi="Arial" w:cs="Arial"/>
                <w:sz w:val="20"/>
                <w:szCs w:val="20"/>
              </w:rPr>
              <w:t>1</w:t>
            </w:r>
          </w:p>
        </w:tc>
        <w:tc>
          <w:tcPr>
            <w:tcW w:w="1296" w:type="dxa"/>
            <w:tcBorders>
              <w:top w:val="single" w:sz="4" w:space="0" w:color="auto"/>
              <w:bottom w:val="none" w:sz="0" w:space="0" w:color="auto"/>
            </w:tcBorders>
          </w:tcPr>
          <w:p w14:paraId="4D6132A8" w14:textId="11C32159" w:rsidR="004F52E0" w:rsidRPr="004F52E0" w:rsidRDefault="004F52E0" w:rsidP="004F52E0">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2E0">
              <w:rPr>
                <w:rFonts w:ascii="Arial" w:hAnsi="Arial" w:cs="Arial"/>
                <w:sz w:val="20"/>
                <w:szCs w:val="20"/>
              </w:rPr>
              <w:t>(Constant)</w:t>
            </w:r>
          </w:p>
        </w:tc>
        <w:tc>
          <w:tcPr>
            <w:cnfStyle w:val="000010000000" w:firstRow="0" w:lastRow="0" w:firstColumn="0" w:lastColumn="0" w:oddVBand="1" w:evenVBand="0" w:oddHBand="0" w:evenHBand="0" w:firstRowFirstColumn="0" w:firstRowLastColumn="0" w:lastRowFirstColumn="0" w:lastRowLastColumn="0"/>
            <w:tcW w:w="1224" w:type="dxa"/>
            <w:tcBorders>
              <w:top w:val="single" w:sz="4" w:space="0" w:color="auto"/>
              <w:bottom w:val="none" w:sz="0" w:space="0" w:color="auto"/>
            </w:tcBorders>
          </w:tcPr>
          <w:p w14:paraId="24E13DAF" w14:textId="5CCD3ED0" w:rsidR="004F52E0" w:rsidRPr="004F52E0" w:rsidRDefault="004F52E0" w:rsidP="004F52E0">
            <w:pPr>
              <w:autoSpaceDE w:val="0"/>
              <w:autoSpaceDN w:val="0"/>
              <w:adjustRightInd w:val="0"/>
              <w:ind w:right="60" w:firstLine="158"/>
              <w:jc w:val="right"/>
              <w:rPr>
                <w:rFonts w:ascii="Arial" w:hAnsi="Arial" w:cs="Arial"/>
                <w:sz w:val="20"/>
                <w:szCs w:val="18"/>
              </w:rPr>
            </w:pPr>
            <w:r w:rsidRPr="004F52E0">
              <w:rPr>
                <w:rFonts w:ascii="Arial" w:hAnsi="Arial" w:cs="Arial"/>
                <w:sz w:val="20"/>
                <w:szCs w:val="18"/>
              </w:rPr>
              <w:t>27.586</w:t>
            </w:r>
          </w:p>
        </w:tc>
        <w:tc>
          <w:tcPr>
            <w:tcW w:w="1260" w:type="dxa"/>
            <w:tcBorders>
              <w:top w:val="single" w:sz="4" w:space="0" w:color="auto"/>
              <w:bottom w:val="none" w:sz="0" w:space="0" w:color="auto"/>
            </w:tcBorders>
          </w:tcPr>
          <w:p w14:paraId="70083691" w14:textId="2D52CB96"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25.649</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none" w:sz="0" w:space="0" w:color="auto"/>
            </w:tcBorders>
          </w:tcPr>
          <w:p w14:paraId="06224A45" w14:textId="77777777" w:rsidR="004F52E0" w:rsidRPr="004F52E0" w:rsidRDefault="004F52E0" w:rsidP="004F52E0">
            <w:pPr>
              <w:autoSpaceDE w:val="0"/>
              <w:autoSpaceDN w:val="0"/>
              <w:adjustRightInd w:val="0"/>
              <w:ind w:firstLine="360"/>
              <w:rPr>
                <w:rFonts w:ascii="Arial" w:hAnsi="Arial" w:cs="Arial"/>
                <w:sz w:val="20"/>
                <w:szCs w:val="18"/>
              </w:rPr>
            </w:pPr>
          </w:p>
        </w:tc>
        <w:tc>
          <w:tcPr>
            <w:tcW w:w="1260" w:type="dxa"/>
            <w:tcBorders>
              <w:top w:val="single" w:sz="4" w:space="0" w:color="auto"/>
              <w:bottom w:val="none" w:sz="0" w:space="0" w:color="auto"/>
            </w:tcBorders>
          </w:tcPr>
          <w:p w14:paraId="6C87FAA0" w14:textId="5C58FB5A"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1.076</w:t>
            </w: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bottom w:val="none" w:sz="0" w:space="0" w:color="auto"/>
            </w:tcBorders>
          </w:tcPr>
          <w:p w14:paraId="37A6C9DB" w14:textId="58711E99"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.286</w:t>
            </w:r>
          </w:p>
        </w:tc>
      </w:tr>
      <w:tr w:rsidR="004F52E0" w:rsidRPr="00607285" w14:paraId="3334798B" w14:textId="77777777" w:rsidTr="004F52E0">
        <w:trPr>
          <w:jc w:val="center"/>
        </w:trPr>
        <w:tc>
          <w:tcPr>
            <w:tcW w:w="360" w:type="dxa"/>
            <w:vMerge/>
          </w:tcPr>
          <w:p w14:paraId="0C43182E" w14:textId="77777777" w:rsidR="004F52E0" w:rsidRPr="004F52E0" w:rsidRDefault="004F52E0" w:rsidP="004F52E0">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96" w:type="dxa"/>
          </w:tcPr>
          <w:p w14:paraId="05035656" w14:textId="7D534014" w:rsidR="004F52E0" w:rsidRPr="004F52E0" w:rsidRDefault="004F52E0" w:rsidP="004F52E0">
            <w:pPr>
              <w:autoSpaceDE w:val="0"/>
              <w:autoSpaceDN w:val="0"/>
              <w:adjustRightInd w:val="0"/>
              <w:ind w:right="60"/>
              <w:rPr>
                <w:rFonts w:ascii="Arial" w:hAnsi="Arial" w:cs="Arial"/>
                <w:sz w:val="20"/>
                <w:szCs w:val="20"/>
              </w:rPr>
            </w:pPr>
            <w:r w:rsidRPr="004F52E0">
              <w:rPr>
                <w:rFonts w:ascii="Arial" w:hAnsi="Arial" w:cs="Arial"/>
                <w:sz w:val="20"/>
                <w:szCs w:val="20"/>
              </w:rPr>
              <w:t>car_x1</w:t>
            </w:r>
          </w:p>
        </w:tc>
        <w:tc>
          <w:tcPr>
            <w:tcW w:w="1224" w:type="dxa"/>
          </w:tcPr>
          <w:p w14:paraId="6C13C881" w14:textId="1FE71404"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.131</w:t>
            </w:r>
          </w:p>
        </w:tc>
        <w:tc>
          <w:tcPr>
            <w:tcW w:w="1260" w:type="dxa"/>
          </w:tcPr>
          <w:p w14:paraId="4DFFDD98" w14:textId="7D73CA1E"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.050</w:t>
            </w:r>
          </w:p>
        </w:tc>
        <w:tc>
          <w:tcPr>
            <w:tcW w:w="1620" w:type="dxa"/>
          </w:tcPr>
          <w:p w14:paraId="6BE4FD3D" w14:textId="5E1DD70F"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.235</w:t>
            </w:r>
          </w:p>
        </w:tc>
        <w:tc>
          <w:tcPr>
            <w:tcW w:w="1260" w:type="dxa"/>
          </w:tcPr>
          <w:p w14:paraId="4AD3F203" w14:textId="0607EED0"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2.650</w:t>
            </w:r>
          </w:p>
        </w:tc>
        <w:tc>
          <w:tcPr>
            <w:tcW w:w="1080" w:type="dxa"/>
          </w:tcPr>
          <w:p w14:paraId="3FF849D0" w14:textId="27A61FAF"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.010</w:t>
            </w:r>
          </w:p>
        </w:tc>
      </w:tr>
      <w:tr w:rsidR="004F52E0" w:rsidRPr="00607285" w14:paraId="2405BEB1"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0" w:type="dxa"/>
            <w:vMerge/>
            <w:tcBorders>
              <w:bottom w:val="none" w:sz="0" w:space="0" w:color="auto"/>
            </w:tcBorders>
          </w:tcPr>
          <w:p w14:paraId="7F27A02F" w14:textId="77777777" w:rsidR="004F52E0" w:rsidRPr="004F52E0" w:rsidRDefault="004F52E0" w:rsidP="004F52E0">
            <w:pPr>
              <w:autoSpaceDE w:val="0"/>
              <w:autoSpaceDN w:val="0"/>
              <w:adjustRightInd w:val="0"/>
              <w:ind w:firstLine="360"/>
              <w:rPr>
                <w:rFonts w:ascii="Arial" w:hAnsi="Arial" w:cs="Arial"/>
                <w:sz w:val="20"/>
                <w:szCs w:val="20"/>
              </w:rPr>
            </w:pPr>
          </w:p>
        </w:tc>
        <w:tc>
          <w:tcPr>
            <w:tcW w:w="1296" w:type="dxa"/>
            <w:tcBorders>
              <w:bottom w:val="none" w:sz="0" w:space="0" w:color="auto"/>
            </w:tcBorders>
          </w:tcPr>
          <w:p w14:paraId="2E393159" w14:textId="349871B2" w:rsidR="004F52E0" w:rsidRPr="004F52E0" w:rsidRDefault="004F52E0" w:rsidP="004F52E0">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2E0">
              <w:rPr>
                <w:rFonts w:ascii="Arial" w:hAnsi="Arial" w:cs="Arial"/>
                <w:sz w:val="20"/>
                <w:szCs w:val="20"/>
              </w:rPr>
              <w:t>ROA_X2</w:t>
            </w:r>
          </w:p>
        </w:tc>
        <w:tc>
          <w:tcPr>
            <w:cnfStyle w:val="000010000000" w:firstRow="0" w:lastRow="0" w:firstColumn="0" w:lastColumn="0" w:oddVBand="1" w:evenVBand="0" w:oddHBand="0" w:evenHBand="0" w:firstRowFirstColumn="0" w:firstRowLastColumn="0" w:lastRowFirstColumn="0" w:lastRowLastColumn="0"/>
            <w:tcW w:w="1224" w:type="dxa"/>
            <w:tcBorders>
              <w:bottom w:val="none" w:sz="0" w:space="0" w:color="auto"/>
            </w:tcBorders>
          </w:tcPr>
          <w:p w14:paraId="6326E9FD" w14:textId="29B491BD"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3.205</w:t>
            </w:r>
          </w:p>
        </w:tc>
        <w:tc>
          <w:tcPr>
            <w:tcW w:w="1260" w:type="dxa"/>
            <w:tcBorders>
              <w:bottom w:val="none" w:sz="0" w:space="0" w:color="auto"/>
            </w:tcBorders>
          </w:tcPr>
          <w:p w14:paraId="66EB73C3" w14:textId="4DD54A32"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.571</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71C4EC69" w14:textId="0A8C3B35"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.513</w:t>
            </w:r>
          </w:p>
        </w:tc>
        <w:tc>
          <w:tcPr>
            <w:tcW w:w="1260" w:type="dxa"/>
            <w:tcBorders>
              <w:bottom w:val="none" w:sz="0" w:space="0" w:color="auto"/>
            </w:tcBorders>
          </w:tcPr>
          <w:p w14:paraId="2AAE598E" w14:textId="54E672E9"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5.609</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7DAE5527" w14:textId="6AD3866A"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.000</w:t>
            </w:r>
          </w:p>
        </w:tc>
      </w:tr>
      <w:tr w:rsidR="004F52E0" w:rsidRPr="00607285" w14:paraId="233D008E" w14:textId="77777777" w:rsidTr="004F52E0">
        <w:trPr>
          <w:jc w:val="center"/>
        </w:trPr>
        <w:tc>
          <w:tcPr>
            <w:tcW w:w="360" w:type="dxa"/>
            <w:vMerge/>
          </w:tcPr>
          <w:p w14:paraId="0B715A28" w14:textId="77777777" w:rsidR="004F52E0" w:rsidRPr="004F52E0" w:rsidRDefault="004F52E0" w:rsidP="004F52E0">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96" w:type="dxa"/>
          </w:tcPr>
          <w:p w14:paraId="169C5972" w14:textId="7DF5B034" w:rsidR="004F52E0" w:rsidRPr="004F52E0" w:rsidRDefault="004F52E0" w:rsidP="004F52E0">
            <w:pPr>
              <w:autoSpaceDE w:val="0"/>
              <w:autoSpaceDN w:val="0"/>
              <w:adjustRightInd w:val="0"/>
              <w:ind w:right="60"/>
              <w:rPr>
                <w:rFonts w:ascii="Arial" w:hAnsi="Arial" w:cs="Arial"/>
                <w:sz w:val="20"/>
                <w:szCs w:val="20"/>
              </w:rPr>
            </w:pPr>
            <w:r w:rsidRPr="004F52E0">
              <w:rPr>
                <w:rFonts w:ascii="Arial" w:hAnsi="Arial" w:cs="Arial"/>
                <w:sz w:val="20"/>
                <w:szCs w:val="20"/>
              </w:rPr>
              <w:t>ldr_x3</w:t>
            </w:r>
          </w:p>
        </w:tc>
        <w:tc>
          <w:tcPr>
            <w:tcW w:w="1224" w:type="dxa"/>
          </w:tcPr>
          <w:p w14:paraId="072024A3" w14:textId="427684F7"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.052</w:t>
            </w:r>
          </w:p>
        </w:tc>
        <w:tc>
          <w:tcPr>
            <w:tcW w:w="1260" w:type="dxa"/>
          </w:tcPr>
          <w:p w14:paraId="772A39DC" w14:textId="0CE0479A"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.038</w:t>
            </w:r>
          </w:p>
        </w:tc>
        <w:tc>
          <w:tcPr>
            <w:tcW w:w="1620" w:type="dxa"/>
          </w:tcPr>
          <w:p w14:paraId="29FA930D" w14:textId="1327A72E"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.125</w:t>
            </w:r>
          </w:p>
        </w:tc>
        <w:tc>
          <w:tcPr>
            <w:tcW w:w="1260" w:type="dxa"/>
          </w:tcPr>
          <w:p w14:paraId="0CE82361" w14:textId="43C4D362"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1.373</w:t>
            </w:r>
          </w:p>
        </w:tc>
        <w:tc>
          <w:tcPr>
            <w:tcW w:w="1080" w:type="dxa"/>
          </w:tcPr>
          <w:p w14:paraId="40A208EB" w14:textId="7F1B15D2" w:rsidR="004F52E0" w:rsidRPr="004F52E0" w:rsidRDefault="004F52E0" w:rsidP="004F52E0">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18"/>
              </w:rPr>
            </w:pPr>
            <w:r w:rsidRPr="004F52E0">
              <w:rPr>
                <w:rFonts w:ascii="Arial" w:hAnsi="Arial" w:cs="Arial"/>
                <w:sz w:val="20"/>
                <w:szCs w:val="18"/>
              </w:rPr>
              <w:t>.174</w:t>
            </w:r>
          </w:p>
        </w:tc>
      </w:tr>
      <w:tr w:rsidR="004F52E0" w:rsidRPr="00607285" w14:paraId="5365617B" w14:textId="77777777" w:rsidTr="004F52E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60" w:type="dxa"/>
            <w:vMerge/>
            <w:tcBorders>
              <w:bottom w:val="none" w:sz="0" w:space="0" w:color="auto"/>
            </w:tcBorders>
          </w:tcPr>
          <w:p w14:paraId="764B119D" w14:textId="77777777" w:rsidR="004F52E0" w:rsidRPr="004F52E0" w:rsidRDefault="004F52E0" w:rsidP="004F52E0">
            <w:pPr>
              <w:autoSpaceDE w:val="0"/>
              <w:autoSpaceDN w:val="0"/>
              <w:adjustRightInd w:val="0"/>
              <w:ind w:firstLine="360"/>
              <w:rPr>
                <w:rFonts w:ascii="Arial" w:hAnsi="Arial" w:cs="Arial"/>
                <w:sz w:val="20"/>
                <w:szCs w:val="20"/>
              </w:rPr>
            </w:pPr>
          </w:p>
        </w:tc>
        <w:tc>
          <w:tcPr>
            <w:tcW w:w="1296" w:type="dxa"/>
            <w:tcBorders>
              <w:bottom w:val="none" w:sz="0" w:space="0" w:color="auto"/>
            </w:tcBorders>
          </w:tcPr>
          <w:p w14:paraId="38EF9F8F" w14:textId="0AD25931" w:rsidR="004F52E0" w:rsidRPr="004F52E0" w:rsidRDefault="004F52E0" w:rsidP="004F52E0">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52E0">
              <w:rPr>
                <w:rFonts w:ascii="Arial" w:hAnsi="Arial" w:cs="Arial"/>
                <w:sz w:val="20"/>
                <w:szCs w:val="20"/>
              </w:rPr>
              <w:t>size_x4</w:t>
            </w:r>
          </w:p>
        </w:tc>
        <w:tc>
          <w:tcPr>
            <w:cnfStyle w:val="000010000000" w:firstRow="0" w:lastRow="0" w:firstColumn="0" w:lastColumn="0" w:oddVBand="1" w:evenVBand="0" w:oddHBand="0" w:evenHBand="0" w:firstRowFirstColumn="0" w:firstRowLastColumn="0" w:lastRowFirstColumn="0" w:lastRowLastColumn="0"/>
            <w:tcW w:w="1224" w:type="dxa"/>
            <w:tcBorders>
              <w:bottom w:val="none" w:sz="0" w:space="0" w:color="auto"/>
            </w:tcBorders>
          </w:tcPr>
          <w:p w14:paraId="5BC8FD99" w14:textId="07D65FCD"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-1.261</w:t>
            </w:r>
          </w:p>
        </w:tc>
        <w:tc>
          <w:tcPr>
            <w:tcW w:w="1260" w:type="dxa"/>
            <w:tcBorders>
              <w:bottom w:val="none" w:sz="0" w:space="0" w:color="auto"/>
            </w:tcBorders>
          </w:tcPr>
          <w:p w14:paraId="48B5CFD1" w14:textId="3B353074"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1.355</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01F25AB9" w14:textId="0290B25A"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-.083</w:t>
            </w:r>
          </w:p>
        </w:tc>
        <w:tc>
          <w:tcPr>
            <w:tcW w:w="1260" w:type="dxa"/>
            <w:tcBorders>
              <w:bottom w:val="none" w:sz="0" w:space="0" w:color="auto"/>
            </w:tcBorders>
          </w:tcPr>
          <w:p w14:paraId="498F1DDC" w14:textId="7D0A0CA7" w:rsidR="004F52E0" w:rsidRPr="004F52E0" w:rsidRDefault="004F52E0" w:rsidP="004F52E0">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sidRPr="004F52E0">
              <w:rPr>
                <w:rFonts w:ascii="Arial" w:hAnsi="Arial" w:cs="Arial"/>
                <w:sz w:val="20"/>
                <w:szCs w:val="18"/>
              </w:rPr>
              <w:t>-.931</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127952AD" w14:textId="295C526B" w:rsidR="004F52E0" w:rsidRPr="004F52E0" w:rsidRDefault="004F52E0" w:rsidP="004F52E0">
            <w:pPr>
              <w:autoSpaceDE w:val="0"/>
              <w:autoSpaceDN w:val="0"/>
              <w:adjustRightInd w:val="0"/>
              <w:ind w:right="60" w:firstLine="360"/>
              <w:jc w:val="right"/>
              <w:rPr>
                <w:rFonts w:ascii="Arial" w:hAnsi="Arial" w:cs="Arial"/>
                <w:sz w:val="20"/>
                <w:szCs w:val="18"/>
              </w:rPr>
            </w:pPr>
            <w:r w:rsidRPr="004F52E0">
              <w:rPr>
                <w:rFonts w:ascii="Arial" w:hAnsi="Arial" w:cs="Arial"/>
                <w:sz w:val="20"/>
                <w:szCs w:val="18"/>
              </w:rPr>
              <w:t>.355</w:t>
            </w:r>
          </w:p>
        </w:tc>
      </w:tr>
    </w:tbl>
    <w:p w14:paraId="42024ADF" w14:textId="4A33B030" w:rsidR="00607285" w:rsidRPr="004F52E0" w:rsidRDefault="004F52E0" w:rsidP="004F52E0">
      <w:pPr>
        <w:widowControl w:val="0"/>
        <w:pBdr>
          <w:top w:val="nil"/>
          <w:left w:val="nil"/>
          <w:bottom w:val="nil"/>
          <w:right w:val="nil"/>
          <w:between w:val="nil"/>
        </w:pBdr>
        <w:rPr>
          <w:rFonts w:ascii="Arial" w:hAnsi="Arial" w:cs="Arial"/>
          <w:color w:val="000000"/>
          <w:sz w:val="18"/>
          <w:szCs w:val="18"/>
        </w:rPr>
      </w:pPr>
      <w:r w:rsidRPr="004F52E0">
        <w:rPr>
          <w:rFonts w:ascii="Arial" w:hAnsi="Arial" w:cs="Arial"/>
          <w:color w:val="000000"/>
          <w:sz w:val="18"/>
          <w:szCs w:val="18"/>
        </w:rPr>
        <w:t>Source: Authors’ calculation using SPSS 22, (2025)</w:t>
      </w:r>
    </w:p>
    <w:p w14:paraId="19B27D35" w14:textId="77777777" w:rsidR="004F52E0" w:rsidRDefault="004F52E0" w:rsidP="004F52E0">
      <w:pPr>
        <w:widowControl w:val="0"/>
        <w:pBdr>
          <w:top w:val="nil"/>
          <w:left w:val="nil"/>
          <w:bottom w:val="nil"/>
          <w:right w:val="nil"/>
          <w:between w:val="nil"/>
        </w:pBdr>
        <w:rPr>
          <w:rFonts w:ascii="Arial" w:hAnsi="Arial" w:cs="Arial"/>
          <w:color w:val="000000"/>
        </w:rPr>
      </w:pPr>
    </w:p>
    <w:p w14:paraId="50B38097" w14:textId="600BC379" w:rsidR="004F52E0" w:rsidRDefault="00E7146F" w:rsidP="00E7146F">
      <w:pPr>
        <w:widowControl w:val="0"/>
        <w:pBdr>
          <w:top w:val="nil"/>
          <w:left w:val="nil"/>
          <w:bottom w:val="nil"/>
          <w:right w:val="nil"/>
          <w:between w:val="nil"/>
        </w:pBdr>
        <w:rPr>
          <w:rFonts w:ascii="Arial" w:hAnsi="Arial" w:cs="Arial"/>
          <w:color w:val="000000"/>
        </w:rPr>
      </w:pPr>
      <w:r w:rsidRPr="00E7146F">
        <w:rPr>
          <w:rFonts w:ascii="Arial" w:hAnsi="Arial" w:cs="Arial"/>
          <w:color w:val="000000"/>
        </w:rPr>
        <w:t>Based on the test results table above, it can be seen that the test results in the multiple</w:t>
      </w:r>
      <w:r>
        <w:rPr>
          <w:rFonts w:ascii="Arial" w:hAnsi="Arial" w:cs="Arial"/>
          <w:color w:val="000000"/>
        </w:rPr>
        <w:t xml:space="preserve"> </w:t>
      </w:r>
      <w:r w:rsidRPr="00E7146F">
        <w:rPr>
          <w:rFonts w:ascii="Arial" w:hAnsi="Arial" w:cs="Arial"/>
          <w:color w:val="000000"/>
        </w:rPr>
        <w:t>linear regression equation model are as follows:</w:t>
      </w:r>
    </w:p>
    <w:p w14:paraId="588DBF34" w14:textId="77777777" w:rsidR="00E7146F" w:rsidRDefault="00E7146F" w:rsidP="00E7146F">
      <w:pPr>
        <w:widowControl w:val="0"/>
        <w:pBdr>
          <w:top w:val="nil"/>
          <w:left w:val="nil"/>
          <w:bottom w:val="nil"/>
          <w:right w:val="nil"/>
          <w:between w:val="nil"/>
        </w:pBdr>
        <w:rPr>
          <w:rFonts w:ascii="Arial" w:hAnsi="Arial" w:cs="Arial"/>
          <w:color w:val="000000"/>
        </w:rPr>
      </w:pPr>
    </w:p>
    <w:p w14:paraId="38451F99" w14:textId="67AF773F" w:rsidR="00E7146F" w:rsidRPr="00E7146F" w:rsidRDefault="00E7146F" w:rsidP="00E7146F">
      <w:pPr>
        <w:widowControl w:val="0"/>
        <w:pBdr>
          <w:top w:val="nil"/>
          <w:left w:val="nil"/>
          <w:bottom w:val="nil"/>
          <w:right w:val="nil"/>
          <w:between w:val="nil"/>
        </w:pBdr>
        <w:jc w:val="both"/>
        <w:rPr>
          <w:rFonts w:ascii="Arial" w:hAnsi="Arial" w:cs="Arial"/>
          <w:color w:val="000000"/>
        </w:rPr>
      </w:pPr>
      <m:oMath>
        <m:r>
          <w:rPr>
            <w:rFonts w:ascii="Cambria Math" w:hAnsi="Cambria Math" w:cs="Arial"/>
            <w:color w:val="000000"/>
          </w:rPr>
          <m:t>Lik=a+</m:t>
        </m:r>
        <m:r>
          <m:rPr>
            <m:sty m:val="p"/>
          </m:rPr>
          <w:rPr>
            <w:rFonts w:ascii="Cambria Math" w:hAnsi="Cambria Math" w:cs="Arial"/>
            <w:color w:val="000000"/>
          </w:rPr>
          <m:t xml:space="preserve"> β1 CAR + β 2 ROA + β 3 LDR + β 4 SIZE+e </m:t>
        </m:r>
      </m:oMath>
      <w:r>
        <w:rPr>
          <w:rFonts w:ascii="Arial" w:hAnsi="Arial" w:cs="Arial"/>
          <w:color w:val="000000"/>
        </w:rPr>
        <w:t>…………………………………… (1)</w:t>
      </w:r>
    </w:p>
    <w:p w14:paraId="53718BA8" w14:textId="7399E23E" w:rsidR="00E7146F" w:rsidRPr="00E7146F" w:rsidRDefault="00E7146F" w:rsidP="00E7146F">
      <w:pPr>
        <w:widowControl w:val="0"/>
        <w:pBdr>
          <w:top w:val="nil"/>
          <w:left w:val="nil"/>
          <w:bottom w:val="nil"/>
          <w:right w:val="nil"/>
          <w:between w:val="nil"/>
        </w:pBdr>
        <w:jc w:val="both"/>
        <w:rPr>
          <w:rFonts w:ascii="Arial" w:hAnsi="Arial" w:cs="Arial"/>
          <w:color w:val="000000"/>
        </w:rPr>
      </w:pPr>
      <m:oMath>
        <m:r>
          <w:rPr>
            <w:rFonts w:ascii="Cambria Math" w:hAnsi="Cambria Math" w:cs="Arial"/>
            <w:color w:val="000000"/>
          </w:rPr>
          <m:t>Lik = 27.586 + 0.131 CAR + 3.205 ROA + 0.052 LDR - 1.261SIZE + e</m:t>
        </m:r>
      </m:oMath>
      <w:r>
        <w:rPr>
          <w:rFonts w:ascii="Arial" w:hAnsi="Arial" w:cs="Arial"/>
          <w:color w:val="000000"/>
        </w:rPr>
        <w:t xml:space="preserve"> …………….. (2)</w:t>
      </w:r>
    </w:p>
    <w:p w14:paraId="1B989402" w14:textId="77777777" w:rsidR="004F52E0" w:rsidRDefault="004F52E0" w:rsidP="004F52E0">
      <w:pPr>
        <w:widowControl w:val="0"/>
        <w:pBdr>
          <w:top w:val="nil"/>
          <w:left w:val="nil"/>
          <w:bottom w:val="nil"/>
          <w:right w:val="nil"/>
          <w:between w:val="nil"/>
        </w:pBdr>
        <w:rPr>
          <w:rFonts w:ascii="Arial" w:hAnsi="Arial" w:cs="Arial"/>
          <w:color w:val="000000"/>
        </w:rPr>
      </w:pPr>
    </w:p>
    <w:p w14:paraId="41EB07E7" w14:textId="40525623" w:rsidR="00E7146F" w:rsidRPr="00E7146F" w:rsidRDefault="00E7146F" w:rsidP="00E7146F">
      <w:pPr>
        <w:widowControl w:val="0"/>
        <w:pBdr>
          <w:top w:val="nil"/>
          <w:left w:val="nil"/>
          <w:bottom w:val="nil"/>
          <w:right w:val="nil"/>
          <w:between w:val="nil"/>
        </w:pBdr>
        <w:jc w:val="both"/>
        <w:rPr>
          <w:rFonts w:ascii="Arial" w:hAnsi="Arial" w:cs="Arial"/>
          <w:color w:val="000000"/>
        </w:rPr>
      </w:pPr>
      <w:r w:rsidRPr="00E7146F">
        <w:rPr>
          <w:rFonts w:ascii="Arial" w:hAnsi="Arial" w:cs="Arial"/>
          <w:color w:val="000000"/>
        </w:rPr>
        <w:t>Based on the results of the multiple linear regression analysis above, it can be explained as</w:t>
      </w:r>
      <w:r>
        <w:rPr>
          <w:rFonts w:ascii="Arial" w:hAnsi="Arial" w:cs="Arial"/>
          <w:color w:val="000000"/>
        </w:rPr>
        <w:t xml:space="preserve"> </w:t>
      </w:r>
      <w:r w:rsidRPr="00E7146F">
        <w:rPr>
          <w:rFonts w:ascii="Arial" w:hAnsi="Arial" w:cs="Arial"/>
          <w:color w:val="000000"/>
        </w:rPr>
        <w:t>follows:</w:t>
      </w:r>
    </w:p>
    <w:p w14:paraId="36A6AC6D"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The constant value of 27.586 means that the independent variables in this study, namely CAR, ROA, LDR, and company size, are considered to have a value of zero, so the value of this dependent variable is 27.586.</w:t>
      </w:r>
    </w:p>
    <w:p w14:paraId="745944E0"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Capital Adequacy Ratio (CAR) has a regression coefficient value of 0.131, which means that there is a positive relationship between the CAR variable and the Liquidity variable, meaning that every 1% increase in Capital Adequacy Ratio (CAR) will increase liquidity by 0.131.</w:t>
      </w:r>
    </w:p>
    <w:p w14:paraId="7AFC68E2"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Return On Assets (ROA) has a regression coefficient value of 3.205, which means that there is a positive relationship between the ROA variable and the Liquidity variable, meaning that every 1% increase in ROA will increase liquidity by 3.205.</w:t>
      </w:r>
    </w:p>
    <w:p w14:paraId="1DE148FA" w14:textId="77777777" w:rsidR="00E7146F" w:rsidRPr="00E7146F" w:rsidRDefault="00E7146F" w:rsidP="00E7146F">
      <w:pPr>
        <w:pStyle w:val="ListParagraph"/>
        <w:widowControl w:val="0"/>
        <w:numPr>
          <w:ilvl w:val="0"/>
          <w:numId w:val="34"/>
        </w:numPr>
        <w:pBdr>
          <w:top w:val="nil"/>
          <w:left w:val="nil"/>
          <w:bottom w:val="nil"/>
          <w:right w:val="nil"/>
          <w:between w:val="nil"/>
        </w:pBdr>
        <w:jc w:val="both"/>
        <w:rPr>
          <w:rFonts w:ascii="Arial" w:hAnsi="Arial" w:cs="Arial"/>
          <w:color w:val="000000"/>
          <w:sz w:val="20"/>
          <w:szCs w:val="20"/>
        </w:rPr>
      </w:pPr>
      <w:r w:rsidRPr="00E7146F">
        <w:rPr>
          <w:rFonts w:ascii="Arial" w:hAnsi="Arial" w:cs="Arial"/>
          <w:color w:val="000000"/>
          <w:sz w:val="20"/>
          <w:szCs w:val="20"/>
        </w:rPr>
        <w:t>The Loan to Deposit Ratio (LDR) has a regression coefficient value of 0.052, which means that there is a positive relationship between the LDR variable and the Liquidity variable, meaning that every 1% increase in LDR will increase liquidity by 0.052.</w:t>
      </w:r>
    </w:p>
    <w:p w14:paraId="2C6D569A" w14:textId="7EBB41BA" w:rsidR="004F52E0" w:rsidRPr="00E7146F" w:rsidRDefault="00E7146F" w:rsidP="00E7146F">
      <w:pPr>
        <w:pStyle w:val="ListParagraph"/>
        <w:widowControl w:val="0"/>
        <w:numPr>
          <w:ilvl w:val="0"/>
          <w:numId w:val="34"/>
        </w:numPr>
        <w:pBdr>
          <w:top w:val="nil"/>
          <w:left w:val="nil"/>
          <w:bottom w:val="nil"/>
          <w:right w:val="nil"/>
          <w:between w:val="nil"/>
        </w:pBdr>
        <w:spacing w:after="0"/>
        <w:jc w:val="both"/>
        <w:rPr>
          <w:rFonts w:ascii="Arial" w:hAnsi="Arial" w:cs="Arial"/>
          <w:color w:val="000000"/>
          <w:sz w:val="20"/>
          <w:szCs w:val="20"/>
        </w:rPr>
      </w:pPr>
      <w:r w:rsidRPr="00E7146F">
        <w:rPr>
          <w:rFonts w:ascii="Arial" w:hAnsi="Arial" w:cs="Arial"/>
          <w:color w:val="000000"/>
          <w:sz w:val="20"/>
          <w:szCs w:val="20"/>
        </w:rPr>
        <w:t xml:space="preserve">Company Size has a regression coefficient value of -1.261, which means that there is a negative relationship between the LDR variable and the Liquidity variable, meaning that every 1% increase in company size will decrease liquidity by </w:t>
      </w:r>
      <w:r w:rsidR="00B36CE0" w:rsidRPr="00B36CE0">
        <w:rPr>
          <w:rFonts w:ascii="Arial" w:hAnsi="Arial" w:cs="Arial"/>
          <w:color w:val="000000"/>
          <w:sz w:val="20"/>
          <w:szCs w:val="20"/>
        </w:rPr>
        <w:t>1.261</w:t>
      </w:r>
      <w:r w:rsidRPr="00E7146F">
        <w:rPr>
          <w:rFonts w:ascii="Arial" w:hAnsi="Arial" w:cs="Arial"/>
          <w:color w:val="000000"/>
          <w:sz w:val="20"/>
          <w:szCs w:val="20"/>
        </w:rPr>
        <w:t>, assuming that other variables remain constant.</w:t>
      </w:r>
    </w:p>
    <w:p w14:paraId="17A857A7" w14:textId="77777777" w:rsidR="00E7146F" w:rsidRPr="00E7146F" w:rsidRDefault="00E7146F" w:rsidP="00E7146F">
      <w:pPr>
        <w:widowControl w:val="0"/>
        <w:pBdr>
          <w:top w:val="nil"/>
          <w:left w:val="nil"/>
          <w:bottom w:val="nil"/>
          <w:right w:val="nil"/>
          <w:between w:val="nil"/>
        </w:pBdr>
        <w:jc w:val="both"/>
        <w:rPr>
          <w:rFonts w:ascii="Arial" w:hAnsi="Arial" w:cs="Arial"/>
          <w:color w:val="000000"/>
        </w:rPr>
      </w:pPr>
    </w:p>
    <w:p w14:paraId="792C8411" w14:textId="58FFB070" w:rsidR="00E7146F" w:rsidRDefault="00E7146F" w:rsidP="00E7146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E7146F">
        <w:rPr>
          <w:rFonts w:ascii="Arial" w:hAnsi="Arial" w:cs="Arial"/>
          <w:b/>
          <w:u w:val="single"/>
        </w:rPr>
        <w:t>Hypothesis Testing</w:t>
      </w:r>
    </w:p>
    <w:p w14:paraId="2E002FF5" w14:textId="77777777" w:rsidR="00E7146F" w:rsidRDefault="00E7146F" w:rsidP="00E7146F">
      <w:pPr>
        <w:pStyle w:val="Body"/>
        <w:spacing w:after="0"/>
        <w:rPr>
          <w:rFonts w:ascii="Arial" w:hAnsi="Arial" w:cs="Arial"/>
          <w:b/>
          <w:u w:val="single"/>
        </w:rPr>
      </w:pPr>
    </w:p>
    <w:p w14:paraId="1F55CF8D" w14:textId="1BE5022F" w:rsidR="00E7146F" w:rsidRDefault="00E7146F" w:rsidP="00E7146F">
      <w:pPr>
        <w:pStyle w:val="Body"/>
        <w:spacing w:after="0"/>
        <w:rPr>
          <w:rFonts w:ascii="Arial" w:hAnsi="Arial" w:cs="Arial"/>
          <w:b/>
          <w:bCs/>
          <w:u w:val="single"/>
        </w:rPr>
      </w:pPr>
      <w:r w:rsidRPr="00E7146F">
        <w:rPr>
          <w:rFonts w:ascii="Arial" w:hAnsi="Arial" w:cs="Arial"/>
          <w:b/>
          <w:bCs/>
          <w:u w:val="single"/>
        </w:rPr>
        <w:t xml:space="preserve">4.1.3.1 </w:t>
      </w:r>
      <w:r w:rsidR="002A666F" w:rsidRPr="002A666F">
        <w:rPr>
          <w:rFonts w:ascii="Arial" w:hAnsi="Arial" w:cs="Arial"/>
          <w:b/>
          <w:bCs/>
          <w:u w:val="single"/>
        </w:rPr>
        <w:t>Goodness of Fit</w:t>
      </w:r>
      <w:r w:rsidRPr="00E7146F">
        <w:rPr>
          <w:rFonts w:ascii="Arial" w:hAnsi="Arial" w:cs="Arial"/>
          <w:b/>
          <w:bCs/>
          <w:u w:val="single"/>
        </w:rPr>
        <w:t xml:space="preserve"> (F-Test)</w:t>
      </w:r>
    </w:p>
    <w:p w14:paraId="6BD7E308" w14:textId="77777777" w:rsidR="00E7146F" w:rsidRPr="00E7146F" w:rsidRDefault="00E7146F" w:rsidP="00E7146F">
      <w:pPr>
        <w:pStyle w:val="Body"/>
        <w:spacing w:after="0"/>
        <w:rPr>
          <w:rFonts w:ascii="Arial" w:hAnsi="Arial" w:cs="Arial"/>
          <w:b/>
          <w:bCs/>
          <w:u w:val="single"/>
        </w:rPr>
      </w:pPr>
    </w:p>
    <w:p w14:paraId="7A088AF8" w14:textId="21850AC4" w:rsidR="00607285" w:rsidRDefault="00E7146F" w:rsidP="00E7146F">
      <w:pPr>
        <w:pStyle w:val="Body"/>
        <w:rPr>
          <w:rFonts w:ascii="Arial" w:hAnsi="Arial" w:cs="Arial"/>
        </w:rPr>
      </w:pPr>
      <w:r w:rsidRPr="00E7146F">
        <w:rPr>
          <w:rFonts w:ascii="Arial" w:hAnsi="Arial" w:cs="Arial"/>
        </w:rPr>
        <w:t xml:space="preserve">The </w:t>
      </w:r>
      <w:r w:rsidR="002A666F" w:rsidRPr="002A666F">
        <w:rPr>
          <w:rFonts w:ascii="Arial" w:hAnsi="Arial" w:cs="Arial"/>
        </w:rPr>
        <w:t xml:space="preserve">Goodness of Fit </w:t>
      </w:r>
      <w:r w:rsidRPr="00E7146F">
        <w:rPr>
          <w:rFonts w:ascii="Arial" w:hAnsi="Arial" w:cs="Arial"/>
        </w:rPr>
        <w:t>model in this study aims to assess and measure the accuracy level</w:t>
      </w:r>
      <w:r>
        <w:rPr>
          <w:rFonts w:ascii="Arial" w:hAnsi="Arial" w:cs="Arial"/>
        </w:rPr>
        <w:t xml:space="preserve"> </w:t>
      </w:r>
      <w:r w:rsidRPr="00E7146F">
        <w:rPr>
          <w:rFonts w:ascii="Arial" w:hAnsi="Arial" w:cs="Arial"/>
        </w:rPr>
        <w:t>of the sample regression function in predicting actual values statistically.</w:t>
      </w:r>
    </w:p>
    <w:p w14:paraId="48828CD3" w14:textId="0BB34D43"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607285">
        <w:rPr>
          <w:rFonts w:ascii="Arial" w:hAnsi="Arial" w:cs="Arial"/>
          <w:b/>
          <w:bCs/>
          <w:color w:val="000000"/>
        </w:rPr>
        <w:t xml:space="preserve">Table </w:t>
      </w:r>
      <w:r w:rsidR="00E7146F">
        <w:rPr>
          <w:rFonts w:ascii="Arial" w:hAnsi="Arial" w:cs="Arial"/>
          <w:b/>
          <w:bCs/>
          <w:color w:val="000000"/>
        </w:rPr>
        <w:t>7</w:t>
      </w:r>
      <w:r w:rsidRPr="00607285">
        <w:rPr>
          <w:rFonts w:ascii="Arial" w:hAnsi="Arial" w:cs="Arial"/>
          <w:color w:val="000000"/>
        </w:rPr>
        <w:t xml:space="preserve">. </w:t>
      </w:r>
      <w:r w:rsidR="002A666F" w:rsidRPr="002A666F">
        <w:rPr>
          <w:rFonts w:ascii="Arial" w:hAnsi="Arial" w:cs="Arial"/>
          <w:b/>
          <w:bCs/>
          <w:color w:val="000000"/>
        </w:rPr>
        <w:t>Goodness of Fit</w:t>
      </w:r>
      <w:r w:rsidRPr="00607285">
        <w:rPr>
          <w:rFonts w:ascii="Arial" w:hAnsi="Arial" w:cs="Arial"/>
          <w:b/>
          <w:bCs/>
          <w:color w:val="000000"/>
        </w:rPr>
        <w:t xml:space="preserve"> (F-Test)</w:t>
      </w:r>
    </w:p>
    <w:p w14:paraId="0DB052EE" w14:textId="77777777" w:rsidR="00607285" w:rsidRDefault="00607285" w:rsidP="002D2782">
      <w:pPr>
        <w:widowControl w:val="0"/>
        <w:pBdr>
          <w:top w:val="nil"/>
          <w:left w:val="nil"/>
          <w:bottom w:val="nil"/>
          <w:right w:val="nil"/>
          <w:between w:val="nil"/>
        </w:pBdr>
        <w:jc w:val="center"/>
        <w:rPr>
          <w:rFonts w:ascii="Arial" w:hAnsi="Arial" w:cs="Arial"/>
          <w:color w:val="000000"/>
        </w:rPr>
      </w:pPr>
    </w:p>
    <w:tbl>
      <w:tblPr>
        <w:tblW w:w="7823" w:type="dxa"/>
        <w:tblInd w:w="202" w:type="dxa"/>
        <w:tblLayout w:type="fixed"/>
        <w:tblCellMar>
          <w:left w:w="0" w:type="dxa"/>
          <w:right w:w="0" w:type="dxa"/>
        </w:tblCellMar>
        <w:tblLook w:val="01E0" w:firstRow="1" w:lastRow="1" w:firstColumn="1" w:lastColumn="1" w:noHBand="0" w:noVBand="0"/>
      </w:tblPr>
      <w:tblGrid>
        <w:gridCol w:w="1375"/>
        <w:gridCol w:w="1663"/>
        <w:gridCol w:w="995"/>
        <w:gridCol w:w="1751"/>
        <w:gridCol w:w="1034"/>
        <w:gridCol w:w="1005"/>
      </w:tblGrid>
      <w:tr w:rsidR="002D2782" w:rsidRPr="00E7146F" w14:paraId="69F0411B" w14:textId="77777777" w:rsidTr="002D2782">
        <w:trPr>
          <w:trHeight w:val="350"/>
        </w:trPr>
        <w:tc>
          <w:tcPr>
            <w:tcW w:w="1375" w:type="dxa"/>
            <w:tcBorders>
              <w:top w:val="single" w:sz="4" w:space="0" w:color="000000"/>
              <w:bottom w:val="single" w:sz="4" w:space="0" w:color="000000"/>
            </w:tcBorders>
          </w:tcPr>
          <w:p w14:paraId="091109A8" w14:textId="77777777" w:rsidR="002D2782" w:rsidRPr="00E7146F" w:rsidRDefault="002D2782" w:rsidP="002D2782">
            <w:pPr>
              <w:pStyle w:val="TableParagraph"/>
              <w:spacing w:line="252" w:lineRule="exact"/>
              <w:jc w:val="center"/>
              <w:rPr>
                <w:rFonts w:ascii="Arial" w:hAnsi="Arial" w:cs="Arial"/>
                <w:b/>
                <w:sz w:val="20"/>
                <w:szCs w:val="20"/>
              </w:rPr>
            </w:pPr>
            <w:r w:rsidRPr="00E7146F">
              <w:rPr>
                <w:rFonts w:ascii="Arial" w:hAnsi="Arial" w:cs="Arial"/>
                <w:b/>
                <w:spacing w:val="-2"/>
                <w:sz w:val="20"/>
                <w:szCs w:val="20"/>
              </w:rPr>
              <w:t>Model</w:t>
            </w:r>
          </w:p>
        </w:tc>
        <w:tc>
          <w:tcPr>
            <w:tcW w:w="1663" w:type="dxa"/>
            <w:tcBorders>
              <w:top w:val="single" w:sz="4" w:space="0" w:color="000000"/>
              <w:bottom w:val="single" w:sz="4" w:space="0" w:color="000000"/>
            </w:tcBorders>
          </w:tcPr>
          <w:p w14:paraId="6DAC3A2F" w14:textId="77777777" w:rsidR="002D2782" w:rsidRPr="00E7146F" w:rsidRDefault="002D2782" w:rsidP="00E7146F">
            <w:pPr>
              <w:pStyle w:val="TableParagraph"/>
              <w:spacing w:before="4"/>
              <w:ind w:left="76" w:right="94"/>
              <w:jc w:val="center"/>
              <w:rPr>
                <w:rFonts w:ascii="Arial" w:hAnsi="Arial" w:cs="Arial"/>
                <w:b/>
                <w:sz w:val="20"/>
                <w:szCs w:val="20"/>
              </w:rPr>
            </w:pPr>
            <w:r w:rsidRPr="00E7146F">
              <w:rPr>
                <w:rFonts w:ascii="Arial" w:hAnsi="Arial" w:cs="Arial"/>
                <w:b/>
                <w:sz w:val="20"/>
                <w:szCs w:val="20"/>
              </w:rPr>
              <w:t>Sum</w:t>
            </w:r>
            <w:r w:rsidRPr="00E7146F">
              <w:rPr>
                <w:rFonts w:ascii="Arial" w:hAnsi="Arial" w:cs="Arial"/>
                <w:b/>
                <w:spacing w:val="-5"/>
                <w:sz w:val="20"/>
                <w:szCs w:val="20"/>
              </w:rPr>
              <w:t xml:space="preserve"> </w:t>
            </w:r>
            <w:r w:rsidRPr="00E7146F">
              <w:rPr>
                <w:rFonts w:ascii="Arial" w:hAnsi="Arial" w:cs="Arial"/>
                <w:b/>
                <w:sz w:val="20"/>
                <w:szCs w:val="20"/>
              </w:rPr>
              <w:t>of</w:t>
            </w:r>
            <w:r w:rsidRPr="00E7146F">
              <w:rPr>
                <w:rFonts w:ascii="Arial" w:hAnsi="Arial" w:cs="Arial"/>
                <w:b/>
                <w:spacing w:val="-13"/>
                <w:sz w:val="20"/>
                <w:szCs w:val="20"/>
              </w:rPr>
              <w:t xml:space="preserve"> </w:t>
            </w:r>
            <w:r w:rsidRPr="00E7146F">
              <w:rPr>
                <w:rFonts w:ascii="Arial" w:hAnsi="Arial" w:cs="Arial"/>
                <w:b/>
                <w:spacing w:val="-2"/>
                <w:sz w:val="20"/>
                <w:szCs w:val="20"/>
              </w:rPr>
              <w:t>Squares</w:t>
            </w:r>
          </w:p>
        </w:tc>
        <w:tc>
          <w:tcPr>
            <w:tcW w:w="995" w:type="dxa"/>
            <w:tcBorders>
              <w:top w:val="single" w:sz="4" w:space="0" w:color="000000"/>
              <w:bottom w:val="single" w:sz="4" w:space="0" w:color="000000"/>
            </w:tcBorders>
          </w:tcPr>
          <w:p w14:paraId="03411A35" w14:textId="77777777" w:rsidR="002D2782" w:rsidRPr="00E7146F" w:rsidRDefault="002D2782" w:rsidP="00E7146F">
            <w:pPr>
              <w:pStyle w:val="TableParagraph"/>
              <w:spacing w:line="252" w:lineRule="exact"/>
              <w:ind w:left="13" w:right="29"/>
              <w:jc w:val="center"/>
              <w:rPr>
                <w:rFonts w:ascii="Arial" w:hAnsi="Arial" w:cs="Arial"/>
                <w:b/>
                <w:sz w:val="20"/>
                <w:szCs w:val="20"/>
              </w:rPr>
            </w:pPr>
            <w:r w:rsidRPr="00E7146F">
              <w:rPr>
                <w:rFonts w:ascii="Arial" w:hAnsi="Arial" w:cs="Arial"/>
                <w:b/>
                <w:spacing w:val="-5"/>
                <w:sz w:val="20"/>
                <w:szCs w:val="20"/>
              </w:rPr>
              <w:t>df</w:t>
            </w:r>
          </w:p>
        </w:tc>
        <w:tc>
          <w:tcPr>
            <w:tcW w:w="1751" w:type="dxa"/>
            <w:tcBorders>
              <w:top w:val="single" w:sz="4" w:space="0" w:color="000000"/>
              <w:bottom w:val="single" w:sz="4" w:space="0" w:color="000000"/>
            </w:tcBorders>
          </w:tcPr>
          <w:p w14:paraId="739723EA" w14:textId="77777777" w:rsidR="002D2782" w:rsidRPr="00E7146F" w:rsidRDefault="002D2782" w:rsidP="00E7146F">
            <w:pPr>
              <w:pStyle w:val="TableParagraph"/>
              <w:spacing w:before="4"/>
              <w:ind w:left="268"/>
              <w:rPr>
                <w:rFonts w:ascii="Arial" w:hAnsi="Arial" w:cs="Arial"/>
                <w:b/>
                <w:sz w:val="20"/>
                <w:szCs w:val="20"/>
              </w:rPr>
            </w:pPr>
            <w:r w:rsidRPr="00E7146F">
              <w:rPr>
                <w:rFonts w:ascii="Arial" w:hAnsi="Arial" w:cs="Arial"/>
                <w:b/>
                <w:spacing w:val="-4"/>
                <w:sz w:val="20"/>
                <w:szCs w:val="20"/>
              </w:rPr>
              <w:t>Mean</w:t>
            </w:r>
            <w:r w:rsidRPr="00E7146F">
              <w:rPr>
                <w:rFonts w:ascii="Arial" w:hAnsi="Arial" w:cs="Arial"/>
                <w:b/>
                <w:spacing w:val="-11"/>
                <w:sz w:val="20"/>
                <w:szCs w:val="20"/>
              </w:rPr>
              <w:t xml:space="preserve"> </w:t>
            </w:r>
            <w:r w:rsidRPr="00E7146F">
              <w:rPr>
                <w:rFonts w:ascii="Arial" w:hAnsi="Arial" w:cs="Arial"/>
                <w:b/>
                <w:spacing w:val="-2"/>
                <w:sz w:val="20"/>
                <w:szCs w:val="20"/>
              </w:rPr>
              <w:t>Square</w:t>
            </w:r>
          </w:p>
        </w:tc>
        <w:tc>
          <w:tcPr>
            <w:tcW w:w="1034" w:type="dxa"/>
            <w:tcBorders>
              <w:top w:val="single" w:sz="4" w:space="0" w:color="000000"/>
              <w:bottom w:val="single" w:sz="4" w:space="0" w:color="000000"/>
            </w:tcBorders>
          </w:tcPr>
          <w:p w14:paraId="0849BEDA" w14:textId="77777777" w:rsidR="002D2782" w:rsidRPr="00E7146F" w:rsidRDefault="002D2782" w:rsidP="00E7146F">
            <w:pPr>
              <w:pStyle w:val="TableParagraph"/>
              <w:spacing w:line="252" w:lineRule="exact"/>
              <w:ind w:left="9" w:right="62"/>
              <w:jc w:val="center"/>
              <w:rPr>
                <w:rFonts w:ascii="Arial" w:hAnsi="Arial" w:cs="Arial"/>
                <w:b/>
                <w:sz w:val="20"/>
                <w:szCs w:val="20"/>
              </w:rPr>
            </w:pPr>
            <w:r w:rsidRPr="00E7146F">
              <w:rPr>
                <w:rFonts w:ascii="Arial" w:hAnsi="Arial" w:cs="Arial"/>
                <w:b/>
                <w:spacing w:val="-10"/>
                <w:sz w:val="20"/>
                <w:szCs w:val="20"/>
              </w:rPr>
              <w:t>F</w:t>
            </w:r>
          </w:p>
        </w:tc>
        <w:tc>
          <w:tcPr>
            <w:tcW w:w="1005" w:type="dxa"/>
            <w:tcBorders>
              <w:top w:val="single" w:sz="4" w:space="0" w:color="000000"/>
              <w:bottom w:val="single" w:sz="4" w:space="0" w:color="000000"/>
            </w:tcBorders>
          </w:tcPr>
          <w:p w14:paraId="102B5889" w14:textId="77777777" w:rsidR="002D2782" w:rsidRPr="00E7146F" w:rsidRDefault="002D2782" w:rsidP="00E7146F">
            <w:pPr>
              <w:pStyle w:val="TableParagraph"/>
              <w:spacing w:line="252" w:lineRule="exact"/>
              <w:ind w:right="194"/>
              <w:jc w:val="right"/>
              <w:rPr>
                <w:rFonts w:ascii="Arial" w:hAnsi="Arial" w:cs="Arial"/>
                <w:b/>
                <w:sz w:val="20"/>
                <w:szCs w:val="20"/>
              </w:rPr>
            </w:pPr>
            <w:r w:rsidRPr="00E7146F">
              <w:rPr>
                <w:rFonts w:ascii="Arial" w:hAnsi="Arial" w:cs="Arial"/>
                <w:b/>
                <w:spacing w:val="-4"/>
                <w:sz w:val="20"/>
                <w:szCs w:val="20"/>
              </w:rPr>
              <w:t>Sig.</w:t>
            </w:r>
          </w:p>
        </w:tc>
      </w:tr>
      <w:tr w:rsidR="002D2782" w:rsidRPr="00E7146F" w14:paraId="260FCD8D" w14:textId="77777777" w:rsidTr="005D50D2">
        <w:trPr>
          <w:trHeight w:val="233"/>
        </w:trPr>
        <w:tc>
          <w:tcPr>
            <w:tcW w:w="1375" w:type="dxa"/>
            <w:tcBorders>
              <w:top w:val="single" w:sz="4" w:space="0" w:color="000000"/>
            </w:tcBorders>
          </w:tcPr>
          <w:p w14:paraId="0125D21E" w14:textId="77777777" w:rsidR="002D2782" w:rsidRPr="00AE1C08" w:rsidRDefault="002D2782" w:rsidP="005D50D2">
            <w:pPr>
              <w:autoSpaceDE w:val="0"/>
              <w:autoSpaceDN w:val="0"/>
              <w:adjustRightInd w:val="0"/>
              <w:ind w:right="60"/>
              <w:rPr>
                <w:rFonts w:ascii="Arial MT" w:hAnsi="Arial MT"/>
              </w:rPr>
            </w:pPr>
            <w:r w:rsidRPr="00AE1C08">
              <w:rPr>
                <w:rFonts w:ascii="Arial MT" w:hAnsi="Arial MT"/>
              </w:rPr>
              <w:t>Regression</w:t>
            </w:r>
          </w:p>
        </w:tc>
        <w:tc>
          <w:tcPr>
            <w:tcW w:w="1663" w:type="dxa"/>
            <w:tcBorders>
              <w:top w:val="single" w:sz="4" w:space="0" w:color="000000"/>
            </w:tcBorders>
          </w:tcPr>
          <w:p w14:paraId="22FA6958"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13687.972</w:t>
            </w:r>
          </w:p>
        </w:tc>
        <w:tc>
          <w:tcPr>
            <w:tcW w:w="995" w:type="dxa"/>
            <w:tcBorders>
              <w:top w:val="single" w:sz="4" w:space="0" w:color="000000"/>
            </w:tcBorders>
          </w:tcPr>
          <w:p w14:paraId="7BA82165"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4</w:t>
            </w:r>
          </w:p>
        </w:tc>
        <w:tc>
          <w:tcPr>
            <w:tcW w:w="1751" w:type="dxa"/>
            <w:tcBorders>
              <w:top w:val="single" w:sz="4" w:space="0" w:color="000000"/>
            </w:tcBorders>
          </w:tcPr>
          <w:p w14:paraId="7C160F85" w14:textId="3C0C7811"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3421.993</w:t>
            </w:r>
          </w:p>
        </w:tc>
        <w:tc>
          <w:tcPr>
            <w:tcW w:w="1034" w:type="dxa"/>
            <w:tcBorders>
              <w:top w:val="single" w:sz="4" w:space="0" w:color="000000"/>
            </w:tcBorders>
          </w:tcPr>
          <w:p w14:paraId="755E523B" w14:textId="5B6DDCF5"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17.651</w:t>
            </w:r>
          </w:p>
        </w:tc>
        <w:tc>
          <w:tcPr>
            <w:tcW w:w="1005" w:type="dxa"/>
            <w:tcBorders>
              <w:top w:val="single" w:sz="4" w:space="0" w:color="000000"/>
            </w:tcBorders>
          </w:tcPr>
          <w:p w14:paraId="3E859772" w14:textId="509955DB"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.000</w:t>
            </w:r>
          </w:p>
        </w:tc>
      </w:tr>
      <w:tr w:rsidR="002D2782" w:rsidRPr="00E7146F" w14:paraId="096C7558" w14:textId="77777777" w:rsidTr="005D50D2">
        <w:trPr>
          <w:trHeight w:val="279"/>
        </w:trPr>
        <w:tc>
          <w:tcPr>
            <w:tcW w:w="1375" w:type="dxa"/>
          </w:tcPr>
          <w:p w14:paraId="00258A1A" w14:textId="77777777" w:rsidR="002D2782" w:rsidRPr="00AE1C08" w:rsidRDefault="002D2782" w:rsidP="005D50D2">
            <w:pPr>
              <w:autoSpaceDE w:val="0"/>
              <w:autoSpaceDN w:val="0"/>
              <w:adjustRightInd w:val="0"/>
              <w:ind w:right="60"/>
              <w:rPr>
                <w:rFonts w:ascii="Arial MT" w:hAnsi="Arial MT"/>
              </w:rPr>
            </w:pPr>
            <w:r w:rsidRPr="00AE1C08">
              <w:rPr>
                <w:rFonts w:ascii="Arial MT" w:hAnsi="Arial MT"/>
              </w:rPr>
              <w:t>Residual</w:t>
            </w:r>
          </w:p>
        </w:tc>
        <w:tc>
          <w:tcPr>
            <w:tcW w:w="1663" w:type="dxa"/>
          </w:tcPr>
          <w:p w14:paraId="3B2FBFCB" w14:textId="566450AA"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14733.866</w:t>
            </w:r>
          </w:p>
        </w:tc>
        <w:tc>
          <w:tcPr>
            <w:tcW w:w="995" w:type="dxa"/>
          </w:tcPr>
          <w:p w14:paraId="31DD9901"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76</w:t>
            </w:r>
          </w:p>
        </w:tc>
        <w:tc>
          <w:tcPr>
            <w:tcW w:w="1751" w:type="dxa"/>
          </w:tcPr>
          <w:p w14:paraId="1D437D74" w14:textId="184052C1"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193.867</w:t>
            </w:r>
          </w:p>
        </w:tc>
        <w:tc>
          <w:tcPr>
            <w:tcW w:w="1034" w:type="dxa"/>
          </w:tcPr>
          <w:p w14:paraId="4130868F" w14:textId="77777777" w:rsidR="002D2782" w:rsidRPr="00AE1C08" w:rsidRDefault="002D2782" w:rsidP="005D50D2">
            <w:pPr>
              <w:autoSpaceDE w:val="0"/>
              <w:autoSpaceDN w:val="0"/>
              <w:adjustRightInd w:val="0"/>
              <w:ind w:right="60" w:firstLine="360"/>
              <w:jc w:val="right"/>
              <w:rPr>
                <w:rFonts w:ascii="Arial MT" w:hAnsi="Arial MT"/>
              </w:rPr>
            </w:pPr>
          </w:p>
        </w:tc>
        <w:tc>
          <w:tcPr>
            <w:tcW w:w="1005" w:type="dxa"/>
          </w:tcPr>
          <w:p w14:paraId="7DA6F75C" w14:textId="77777777" w:rsidR="002D2782" w:rsidRPr="00AE1C08" w:rsidRDefault="002D2782" w:rsidP="005D50D2">
            <w:pPr>
              <w:autoSpaceDE w:val="0"/>
              <w:autoSpaceDN w:val="0"/>
              <w:adjustRightInd w:val="0"/>
              <w:ind w:right="60" w:firstLine="360"/>
              <w:jc w:val="right"/>
              <w:rPr>
                <w:rFonts w:ascii="Arial MT" w:hAnsi="Arial MT"/>
              </w:rPr>
            </w:pPr>
          </w:p>
        </w:tc>
      </w:tr>
      <w:tr w:rsidR="002D2782" w:rsidRPr="00E7146F" w14:paraId="47D9BB37" w14:textId="77777777" w:rsidTr="005D50D2">
        <w:trPr>
          <w:trHeight w:val="270"/>
        </w:trPr>
        <w:tc>
          <w:tcPr>
            <w:tcW w:w="1375" w:type="dxa"/>
            <w:tcBorders>
              <w:bottom w:val="single" w:sz="4" w:space="0" w:color="000000"/>
            </w:tcBorders>
          </w:tcPr>
          <w:p w14:paraId="0D394CAD" w14:textId="77777777" w:rsidR="002D2782" w:rsidRPr="00AE1C08" w:rsidRDefault="002D2782" w:rsidP="005D50D2">
            <w:pPr>
              <w:autoSpaceDE w:val="0"/>
              <w:autoSpaceDN w:val="0"/>
              <w:adjustRightInd w:val="0"/>
              <w:ind w:right="60"/>
              <w:rPr>
                <w:rFonts w:ascii="Arial MT" w:hAnsi="Arial MT"/>
              </w:rPr>
            </w:pPr>
            <w:r w:rsidRPr="00AE1C08">
              <w:rPr>
                <w:rFonts w:ascii="Arial MT" w:hAnsi="Arial MT"/>
              </w:rPr>
              <w:t>Total</w:t>
            </w:r>
          </w:p>
        </w:tc>
        <w:tc>
          <w:tcPr>
            <w:tcW w:w="1663" w:type="dxa"/>
            <w:tcBorders>
              <w:bottom w:val="single" w:sz="4" w:space="0" w:color="000000"/>
            </w:tcBorders>
          </w:tcPr>
          <w:p w14:paraId="6A3F5340" w14:textId="6177628C"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28421.839</w:t>
            </w:r>
          </w:p>
        </w:tc>
        <w:tc>
          <w:tcPr>
            <w:tcW w:w="995" w:type="dxa"/>
            <w:tcBorders>
              <w:bottom w:val="single" w:sz="4" w:space="0" w:color="000000"/>
            </w:tcBorders>
          </w:tcPr>
          <w:p w14:paraId="1A69A641" w14:textId="77777777" w:rsidR="002D2782" w:rsidRPr="00AE1C08" w:rsidRDefault="002D2782" w:rsidP="005D50D2">
            <w:pPr>
              <w:autoSpaceDE w:val="0"/>
              <w:autoSpaceDN w:val="0"/>
              <w:adjustRightInd w:val="0"/>
              <w:ind w:right="60" w:firstLine="360"/>
              <w:jc w:val="right"/>
              <w:rPr>
                <w:rFonts w:ascii="Arial MT" w:hAnsi="Arial MT"/>
              </w:rPr>
            </w:pPr>
            <w:r w:rsidRPr="00AE1C08">
              <w:rPr>
                <w:rFonts w:ascii="Arial MT" w:hAnsi="Arial MT"/>
              </w:rPr>
              <w:t>80</w:t>
            </w:r>
          </w:p>
        </w:tc>
        <w:tc>
          <w:tcPr>
            <w:tcW w:w="1751" w:type="dxa"/>
            <w:tcBorders>
              <w:bottom w:val="single" w:sz="4" w:space="0" w:color="000000"/>
            </w:tcBorders>
          </w:tcPr>
          <w:p w14:paraId="621BC395" w14:textId="77777777" w:rsidR="002D2782" w:rsidRPr="00AE1C08" w:rsidRDefault="002D2782" w:rsidP="005D50D2">
            <w:pPr>
              <w:autoSpaceDE w:val="0"/>
              <w:autoSpaceDN w:val="0"/>
              <w:adjustRightInd w:val="0"/>
              <w:ind w:right="60" w:firstLine="360"/>
              <w:jc w:val="right"/>
              <w:rPr>
                <w:rFonts w:ascii="Arial MT" w:hAnsi="Arial MT"/>
              </w:rPr>
            </w:pPr>
          </w:p>
        </w:tc>
        <w:tc>
          <w:tcPr>
            <w:tcW w:w="1034" w:type="dxa"/>
            <w:tcBorders>
              <w:bottom w:val="single" w:sz="4" w:space="0" w:color="000000"/>
            </w:tcBorders>
          </w:tcPr>
          <w:p w14:paraId="5E2B1F44" w14:textId="77777777" w:rsidR="002D2782" w:rsidRPr="00AE1C08" w:rsidRDefault="002D2782" w:rsidP="005D50D2">
            <w:pPr>
              <w:autoSpaceDE w:val="0"/>
              <w:autoSpaceDN w:val="0"/>
              <w:adjustRightInd w:val="0"/>
              <w:ind w:right="60" w:firstLine="360"/>
              <w:jc w:val="right"/>
              <w:rPr>
                <w:rFonts w:ascii="Arial MT" w:hAnsi="Arial MT"/>
              </w:rPr>
            </w:pPr>
          </w:p>
        </w:tc>
        <w:tc>
          <w:tcPr>
            <w:tcW w:w="1005" w:type="dxa"/>
            <w:tcBorders>
              <w:bottom w:val="single" w:sz="4" w:space="0" w:color="000000"/>
            </w:tcBorders>
          </w:tcPr>
          <w:p w14:paraId="375B6260" w14:textId="77777777" w:rsidR="002D2782" w:rsidRPr="00AE1C08" w:rsidRDefault="002D2782" w:rsidP="005D50D2">
            <w:pPr>
              <w:autoSpaceDE w:val="0"/>
              <w:autoSpaceDN w:val="0"/>
              <w:adjustRightInd w:val="0"/>
              <w:ind w:right="60" w:firstLine="360"/>
              <w:jc w:val="right"/>
              <w:rPr>
                <w:rFonts w:ascii="Arial MT" w:hAnsi="Arial MT"/>
              </w:rPr>
            </w:pPr>
          </w:p>
        </w:tc>
      </w:tr>
    </w:tbl>
    <w:p w14:paraId="2F8B7C35" w14:textId="3D7BB839" w:rsidR="00E7146F" w:rsidRPr="002D2782" w:rsidRDefault="002D2782" w:rsidP="005D50D2">
      <w:pPr>
        <w:widowControl w:val="0"/>
        <w:pBdr>
          <w:top w:val="nil"/>
          <w:left w:val="nil"/>
          <w:bottom w:val="nil"/>
          <w:right w:val="nil"/>
          <w:between w:val="nil"/>
        </w:pBdr>
        <w:jc w:val="both"/>
        <w:rPr>
          <w:rFonts w:ascii="Arial" w:hAnsi="Arial" w:cs="Arial"/>
          <w:color w:val="000000"/>
          <w:sz w:val="18"/>
          <w:szCs w:val="18"/>
        </w:rPr>
      </w:pPr>
      <w:r w:rsidRPr="002D2782">
        <w:rPr>
          <w:rFonts w:ascii="Arial" w:hAnsi="Arial" w:cs="Arial"/>
          <w:color w:val="000000"/>
          <w:sz w:val="18"/>
          <w:szCs w:val="18"/>
        </w:rPr>
        <w:t>Source: Authors’ calculation using SPSS 22, (2025)</w:t>
      </w:r>
    </w:p>
    <w:p w14:paraId="6CCD073A" w14:textId="77777777" w:rsidR="00E7146F" w:rsidRDefault="00E7146F" w:rsidP="005D50D2">
      <w:pPr>
        <w:widowControl w:val="0"/>
        <w:pBdr>
          <w:top w:val="nil"/>
          <w:left w:val="nil"/>
          <w:bottom w:val="nil"/>
          <w:right w:val="nil"/>
          <w:between w:val="nil"/>
        </w:pBdr>
        <w:ind w:firstLine="360"/>
        <w:jc w:val="both"/>
        <w:rPr>
          <w:rFonts w:ascii="Arial" w:hAnsi="Arial" w:cs="Arial"/>
          <w:color w:val="000000"/>
        </w:rPr>
      </w:pPr>
    </w:p>
    <w:p w14:paraId="0B80F741" w14:textId="7B4E5B02" w:rsidR="002D2782" w:rsidRDefault="002D2782" w:rsidP="005D50D2">
      <w:pPr>
        <w:widowControl w:val="0"/>
        <w:pBdr>
          <w:top w:val="nil"/>
          <w:left w:val="nil"/>
          <w:bottom w:val="nil"/>
          <w:right w:val="nil"/>
          <w:between w:val="nil"/>
        </w:pBdr>
        <w:jc w:val="both"/>
        <w:rPr>
          <w:rFonts w:ascii="Arial" w:hAnsi="Arial" w:cs="Arial"/>
          <w:color w:val="000000"/>
        </w:rPr>
      </w:pPr>
      <w:r w:rsidRPr="002D2782">
        <w:rPr>
          <w:rFonts w:ascii="Arial" w:hAnsi="Arial" w:cs="Arial"/>
          <w:color w:val="000000"/>
        </w:rPr>
        <w:t xml:space="preserve">The F-test results have a significance value of 0.000 </w:t>
      </w:r>
      <w:r w:rsidR="002A666F">
        <w:rPr>
          <w:rFonts w:ascii="Arial" w:hAnsi="Arial" w:cs="Arial"/>
          <w:color w:val="000000"/>
        </w:rPr>
        <w:t>&lt;</w:t>
      </w:r>
      <w:r w:rsidRPr="002D2782">
        <w:rPr>
          <w:rFonts w:ascii="Arial" w:hAnsi="Arial" w:cs="Arial"/>
          <w:color w:val="000000"/>
        </w:rPr>
        <w:t xml:space="preserve"> 0.05, which means that together the</w:t>
      </w:r>
      <w:r>
        <w:rPr>
          <w:rFonts w:ascii="Arial" w:hAnsi="Arial" w:cs="Arial"/>
          <w:color w:val="000000"/>
        </w:rPr>
        <w:t xml:space="preserve"> </w:t>
      </w:r>
      <w:r w:rsidRPr="002D2782">
        <w:rPr>
          <w:rFonts w:ascii="Arial" w:hAnsi="Arial" w:cs="Arial"/>
          <w:color w:val="000000"/>
        </w:rPr>
        <w:t>independent variables CAR, ROA, LDR, and company size have a significant and f</w:t>
      </w:r>
      <w:r w:rsidR="002A666F">
        <w:rPr>
          <w:rFonts w:ascii="Arial" w:hAnsi="Arial" w:cs="Arial"/>
          <w:color w:val="000000"/>
        </w:rPr>
        <w:t>it</w:t>
      </w:r>
      <w:r w:rsidRPr="002D2782">
        <w:rPr>
          <w:rFonts w:ascii="Arial" w:hAnsi="Arial" w:cs="Arial"/>
          <w:color w:val="000000"/>
        </w:rPr>
        <w:t xml:space="preserve"> on the </w:t>
      </w:r>
      <w:r w:rsidRPr="002D2782">
        <w:rPr>
          <w:rFonts w:ascii="Arial" w:hAnsi="Arial" w:cs="Arial"/>
          <w:color w:val="000000"/>
        </w:rPr>
        <w:lastRenderedPageBreak/>
        <w:t>dependent variable of liquidity</w:t>
      </w:r>
      <w:r>
        <w:rPr>
          <w:rFonts w:ascii="Arial" w:hAnsi="Arial" w:cs="Arial"/>
          <w:color w:val="000000"/>
        </w:rPr>
        <w:t>.</w:t>
      </w:r>
    </w:p>
    <w:p w14:paraId="722FD002" w14:textId="77777777" w:rsidR="002D2782" w:rsidRDefault="002D2782" w:rsidP="005D50D2">
      <w:pPr>
        <w:widowControl w:val="0"/>
        <w:pBdr>
          <w:top w:val="nil"/>
          <w:left w:val="nil"/>
          <w:bottom w:val="nil"/>
          <w:right w:val="nil"/>
          <w:between w:val="nil"/>
        </w:pBdr>
        <w:jc w:val="both"/>
        <w:rPr>
          <w:rFonts w:ascii="Arial" w:hAnsi="Arial" w:cs="Arial"/>
          <w:color w:val="000000"/>
        </w:rPr>
      </w:pPr>
    </w:p>
    <w:p w14:paraId="2264A20C" w14:textId="74545F8F" w:rsidR="002D2782" w:rsidRDefault="002D2782" w:rsidP="002D2782">
      <w:pPr>
        <w:pStyle w:val="Body"/>
        <w:spacing w:after="0"/>
        <w:rPr>
          <w:rFonts w:ascii="Arial" w:hAnsi="Arial" w:cs="Arial"/>
          <w:b/>
          <w:bCs/>
          <w:u w:val="single"/>
        </w:rPr>
      </w:pPr>
      <w:r w:rsidRPr="00E7146F">
        <w:rPr>
          <w:rFonts w:ascii="Arial" w:hAnsi="Arial" w:cs="Arial"/>
          <w:b/>
          <w:bCs/>
          <w:u w:val="single"/>
        </w:rPr>
        <w:t>4.</w:t>
      </w:r>
      <w:r w:rsidR="002A666F" w:rsidRPr="00E7146F">
        <w:rPr>
          <w:rFonts w:ascii="Arial" w:hAnsi="Arial" w:cs="Arial"/>
          <w:b/>
          <w:bCs/>
          <w:u w:val="single"/>
        </w:rPr>
        <w:t>1.3.</w:t>
      </w:r>
      <w:r w:rsidRPr="002D2782">
        <w:rPr>
          <w:rFonts w:ascii="Arial" w:hAnsi="Arial" w:cs="Arial"/>
          <w:b/>
          <w:bCs/>
          <w:u w:val="single"/>
        </w:rPr>
        <w:t>2 Coefficient of Determination Test</w:t>
      </w:r>
      <w:r>
        <w:rPr>
          <w:rFonts w:ascii="Arial" w:hAnsi="Arial" w:cs="Arial"/>
          <w:b/>
          <w:bCs/>
          <w:u w:val="single"/>
        </w:rPr>
        <w:t xml:space="preserve"> </w:t>
      </w:r>
      <w:r w:rsidRPr="002D2782">
        <w:rPr>
          <w:rFonts w:ascii="Arial" w:hAnsi="Arial" w:cs="Arial"/>
          <w:b/>
          <w:bCs/>
          <w:u w:val="single"/>
        </w:rPr>
        <w:t>(R²)</w:t>
      </w:r>
    </w:p>
    <w:p w14:paraId="54A482AA" w14:textId="77777777" w:rsidR="002D2782" w:rsidRPr="00607285" w:rsidRDefault="002D2782" w:rsidP="002D2782">
      <w:pPr>
        <w:widowControl w:val="0"/>
        <w:pBdr>
          <w:top w:val="nil"/>
          <w:left w:val="nil"/>
          <w:bottom w:val="nil"/>
          <w:right w:val="nil"/>
          <w:between w:val="nil"/>
        </w:pBdr>
        <w:jc w:val="both"/>
        <w:rPr>
          <w:rFonts w:ascii="Arial" w:hAnsi="Arial" w:cs="Arial"/>
          <w:color w:val="000000"/>
        </w:rPr>
      </w:pPr>
    </w:p>
    <w:p w14:paraId="0D8CFB21" w14:textId="7E7B086A" w:rsidR="00607285" w:rsidRDefault="00AE1C08" w:rsidP="00AE1C08">
      <w:pPr>
        <w:widowControl w:val="0"/>
        <w:pBdr>
          <w:top w:val="nil"/>
          <w:left w:val="nil"/>
          <w:bottom w:val="nil"/>
          <w:right w:val="nil"/>
          <w:between w:val="nil"/>
        </w:pBdr>
        <w:jc w:val="both"/>
        <w:rPr>
          <w:rFonts w:ascii="Arial" w:hAnsi="Arial" w:cs="Arial"/>
          <w:color w:val="000000"/>
        </w:rPr>
      </w:pPr>
      <w:r w:rsidRPr="00AE1C08">
        <w:rPr>
          <w:rFonts w:ascii="Arial" w:hAnsi="Arial" w:cs="Arial"/>
          <w:color w:val="000000"/>
        </w:rPr>
        <w:t>The coefficient of determination (R²) test is used to measure the extent to which the</w:t>
      </w:r>
      <w:r>
        <w:rPr>
          <w:rFonts w:ascii="Arial" w:hAnsi="Arial" w:cs="Arial"/>
          <w:color w:val="000000"/>
        </w:rPr>
        <w:t xml:space="preserve"> </w:t>
      </w:r>
      <w:r w:rsidRPr="00AE1C08">
        <w:rPr>
          <w:rFonts w:ascii="Arial" w:hAnsi="Arial" w:cs="Arial"/>
          <w:color w:val="000000"/>
        </w:rPr>
        <w:t>dependent variable can be explained by the independent variable. The R² value ranges from</w:t>
      </w:r>
      <w:r>
        <w:rPr>
          <w:rFonts w:ascii="Arial" w:hAnsi="Arial" w:cs="Arial"/>
          <w:color w:val="000000"/>
        </w:rPr>
        <w:t xml:space="preserve"> </w:t>
      </w:r>
      <w:r w:rsidRPr="00AE1C08">
        <w:rPr>
          <w:rFonts w:ascii="Arial" w:hAnsi="Arial" w:cs="Arial"/>
          <w:color w:val="000000"/>
        </w:rPr>
        <w:t>0 to 1, where the closer it is to 1, the better the explanatory power of the model.</w:t>
      </w:r>
    </w:p>
    <w:p w14:paraId="4BC241C1" w14:textId="77777777" w:rsidR="00AE1C08" w:rsidRDefault="00AE1C08" w:rsidP="002D2782">
      <w:pPr>
        <w:widowControl w:val="0"/>
        <w:pBdr>
          <w:top w:val="nil"/>
          <w:left w:val="nil"/>
          <w:bottom w:val="nil"/>
          <w:right w:val="nil"/>
          <w:between w:val="nil"/>
        </w:pBdr>
        <w:jc w:val="both"/>
        <w:rPr>
          <w:rFonts w:ascii="Arial" w:hAnsi="Arial" w:cs="Arial"/>
          <w:color w:val="000000"/>
        </w:rPr>
      </w:pPr>
    </w:p>
    <w:p w14:paraId="0D28295B" w14:textId="020BAEC6" w:rsidR="00607285" w:rsidRDefault="00607285" w:rsidP="00607285">
      <w:pPr>
        <w:widowControl w:val="0"/>
        <w:pBdr>
          <w:top w:val="nil"/>
          <w:left w:val="nil"/>
          <w:bottom w:val="nil"/>
          <w:right w:val="nil"/>
          <w:between w:val="nil"/>
        </w:pBdr>
        <w:jc w:val="center"/>
        <w:rPr>
          <w:rFonts w:ascii="Arial" w:hAnsi="Arial" w:cs="Arial"/>
          <w:b/>
          <w:bCs/>
          <w:color w:val="000000"/>
        </w:rPr>
      </w:pPr>
      <w:r w:rsidRPr="00607285">
        <w:rPr>
          <w:rFonts w:ascii="Arial" w:hAnsi="Arial" w:cs="Arial"/>
          <w:b/>
          <w:bCs/>
          <w:color w:val="000000"/>
        </w:rPr>
        <w:t>Table</w:t>
      </w:r>
      <w:r w:rsidR="00AE1C08">
        <w:rPr>
          <w:rFonts w:ascii="Arial" w:hAnsi="Arial" w:cs="Arial"/>
          <w:b/>
          <w:bCs/>
          <w:color w:val="000000"/>
        </w:rPr>
        <w:t xml:space="preserve"> 8</w:t>
      </w:r>
      <w:r w:rsidRPr="00607285">
        <w:rPr>
          <w:rFonts w:ascii="Arial" w:hAnsi="Arial" w:cs="Arial"/>
          <w:b/>
          <w:bCs/>
          <w:color w:val="000000"/>
        </w:rPr>
        <w:t xml:space="preserve">. Coefficient of </w:t>
      </w:r>
      <w:proofErr w:type="spellStart"/>
      <w:r w:rsidRPr="00607285">
        <w:rPr>
          <w:rFonts w:ascii="Arial" w:hAnsi="Arial" w:cs="Arial"/>
          <w:b/>
          <w:bCs/>
          <w:color w:val="000000"/>
        </w:rPr>
        <w:t>DeterminationTest</w:t>
      </w:r>
      <w:proofErr w:type="spellEnd"/>
      <w:r w:rsidRPr="00607285">
        <w:rPr>
          <w:rFonts w:ascii="Arial" w:hAnsi="Arial" w:cs="Arial"/>
          <w:b/>
          <w:bCs/>
          <w:color w:val="000000"/>
        </w:rPr>
        <w:t xml:space="preserve"> (R</w:t>
      </w:r>
      <w:r w:rsidRPr="00607285">
        <w:rPr>
          <w:rFonts w:ascii="Arial" w:hAnsi="Arial" w:cs="Arial"/>
          <w:b/>
          <w:bCs/>
          <w:color w:val="000000"/>
          <w:vertAlign w:val="superscript"/>
        </w:rPr>
        <w:t>2</w:t>
      </w:r>
      <w:r w:rsidRPr="00607285">
        <w:rPr>
          <w:rFonts w:ascii="Arial" w:hAnsi="Arial" w:cs="Arial"/>
          <w:b/>
          <w:bCs/>
          <w:color w:val="000000"/>
        </w:rPr>
        <w:t xml:space="preserve"> Test)</w:t>
      </w:r>
    </w:p>
    <w:p w14:paraId="44C33140" w14:textId="77777777" w:rsidR="00434601" w:rsidRPr="00607285" w:rsidRDefault="00434601" w:rsidP="00607285">
      <w:pPr>
        <w:widowControl w:val="0"/>
        <w:pBdr>
          <w:top w:val="nil"/>
          <w:left w:val="nil"/>
          <w:bottom w:val="nil"/>
          <w:right w:val="nil"/>
          <w:between w:val="nil"/>
        </w:pBdr>
        <w:jc w:val="center"/>
        <w:rPr>
          <w:rFonts w:ascii="Arial" w:hAnsi="Arial" w:cs="Arial"/>
          <w:b/>
          <w:bCs/>
          <w:color w:val="000000"/>
        </w:rPr>
      </w:pPr>
    </w:p>
    <w:tbl>
      <w:tblPr>
        <w:tblW w:w="765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1170"/>
        <w:gridCol w:w="1800"/>
        <w:gridCol w:w="2880"/>
      </w:tblGrid>
      <w:tr w:rsidR="00AE1C08" w:rsidRPr="00607285" w14:paraId="62130854" w14:textId="77777777" w:rsidTr="00AE1C08">
        <w:trPr>
          <w:jc w:val="center"/>
        </w:trPr>
        <w:tc>
          <w:tcPr>
            <w:tcW w:w="900" w:type="dxa"/>
          </w:tcPr>
          <w:p w14:paraId="66C93CDF" w14:textId="2DA86791" w:rsidR="00AE1C08" w:rsidRPr="00607285" w:rsidRDefault="00AE1C08" w:rsidP="00607285">
            <w:pPr>
              <w:autoSpaceDE w:val="0"/>
              <w:autoSpaceDN w:val="0"/>
              <w:adjustRightInd w:val="0"/>
              <w:ind w:right="60"/>
              <w:jc w:val="center"/>
              <w:rPr>
                <w:rFonts w:ascii="Arial" w:hAnsi="Arial" w:cs="Arial"/>
                <w:b/>
                <w:bCs/>
              </w:rPr>
            </w:pPr>
            <w:r>
              <w:rPr>
                <w:rFonts w:ascii="Arial" w:hAnsi="Arial" w:cs="Arial"/>
                <w:b/>
                <w:bCs/>
              </w:rPr>
              <w:t>Model</w:t>
            </w:r>
          </w:p>
        </w:tc>
        <w:tc>
          <w:tcPr>
            <w:tcW w:w="900" w:type="dxa"/>
          </w:tcPr>
          <w:p w14:paraId="58C73025" w14:textId="7569615E"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R</w:t>
            </w:r>
          </w:p>
        </w:tc>
        <w:tc>
          <w:tcPr>
            <w:tcW w:w="1170" w:type="dxa"/>
          </w:tcPr>
          <w:p w14:paraId="6C8EDC19" w14:textId="77777777"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R Square</w:t>
            </w:r>
          </w:p>
        </w:tc>
        <w:tc>
          <w:tcPr>
            <w:tcW w:w="1800" w:type="dxa"/>
          </w:tcPr>
          <w:p w14:paraId="3F9E910F" w14:textId="77777777"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Adj. R Square</w:t>
            </w:r>
          </w:p>
        </w:tc>
        <w:tc>
          <w:tcPr>
            <w:tcW w:w="2880" w:type="dxa"/>
          </w:tcPr>
          <w:p w14:paraId="412FCE88" w14:textId="77777777" w:rsidR="00AE1C08" w:rsidRPr="00607285" w:rsidRDefault="00AE1C08" w:rsidP="00607285">
            <w:pPr>
              <w:autoSpaceDE w:val="0"/>
              <w:autoSpaceDN w:val="0"/>
              <w:adjustRightInd w:val="0"/>
              <w:ind w:right="60"/>
              <w:jc w:val="center"/>
              <w:rPr>
                <w:rFonts w:ascii="Arial" w:hAnsi="Arial" w:cs="Arial"/>
                <w:b/>
                <w:bCs/>
              </w:rPr>
            </w:pPr>
            <w:r w:rsidRPr="00607285">
              <w:rPr>
                <w:rFonts w:ascii="Arial" w:hAnsi="Arial" w:cs="Arial"/>
                <w:b/>
                <w:bCs/>
              </w:rPr>
              <w:t>Std. Error of the Estimate</w:t>
            </w:r>
          </w:p>
        </w:tc>
      </w:tr>
      <w:tr w:rsidR="00AE1C08" w:rsidRPr="00607285" w14:paraId="39F61677" w14:textId="77777777" w:rsidTr="00AE1C08">
        <w:trPr>
          <w:jc w:val="center"/>
        </w:trPr>
        <w:tc>
          <w:tcPr>
            <w:tcW w:w="900" w:type="dxa"/>
          </w:tcPr>
          <w:p w14:paraId="64153935" w14:textId="1E3CE484" w:rsidR="00AE1C08" w:rsidRPr="00607285" w:rsidRDefault="00AE1C08" w:rsidP="00AE1C08">
            <w:pPr>
              <w:autoSpaceDE w:val="0"/>
              <w:autoSpaceDN w:val="0"/>
              <w:adjustRightInd w:val="0"/>
              <w:ind w:right="60"/>
              <w:jc w:val="right"/>
              <w:rPr>
                <w:rFonts w:ascii="Arial" w:hAnsi="Arial" w:cs="Arial"/>
              </w:rPr>
            </w:pPr>
            <w:r>
              <w:rPr>
                <w:rFonts w:ascii="Arial" w:hAnsi="Arial" w:cs="Arial"/>
              </w:rPr>
              <w:t>1</w:t>
            </w:r>
          </w:p>
        </w:tc>
        <w:tc>
          <w:tcPr>
            <w:tcW w:w="900" w:type="dxa"/>
          </w:tcPr>
          <w:p w14:paraId="0F335EF4" w14:textId="0D3E4855" w:rsidR="00AE1C08" w:rsidRPr="00AE1C08" w:rsidRDefault="00AE1C08" w:rsidP="00AE1C08">
            <w:pPr>
              <w:autoSpaceDE w:val="0"/>
              <w:autoSpaceDN w:val="0"/>
              <w:adjustRightInd w:val="0"/>
              <w:ind w:right="60"/>
              <w:jc w:val="right"/>
              <w:rPr>
                <w:rFonts w:ascii="Arial MT" w:hAnsi="Arial MT"/>
              </w:rPr>
            </w:pPr>
            <w:r w:rsidRPr="00AE1C08">
              <w:rPr>
                <w:rFonts w:ascii="Arial MT" w:hAnsi="Arial MT"/>
              </w:rPr>
              <w:t>.694a</w:t>
            </w:r>
          </w:p>
        </w:tc>
        <w:tc>
          <w:tcPr>
            <w:tcW w:w="1170" w:type="dxa"/>
          </w:tcPr>
          <w:p w14:paraId="40CE615A" w14:textId="53DE4308" w:rsidR="00AE1C08" w:rsidRPr="00AE1C08" w:rsidRDefault="00AE1C08" w:rsidP="00AE1C08">
            <w:pPr>
              <w:autoSpaceDE w:val="0"/>
              <w:autoSpaceDN w:val="0"/>
              <w:adjustRightInd w:val="0"/>
              <w:ind w:right="60"/>
              <w:jc w:val="right"/>
              <w:rPr>
                <w:rFonts w:ascii="Arial MT" w:hAnsi="Arial MT"/>
              </w:rPr>
            </w:pPr>
            <w:r w:rsidRPr="00AE1C08">
              <w:rPr>
                <w:rFonts w:ascii="Arial MT" w:hAnsi="Arial MT"/>
              </w:rPr>
              <w:t>.482</w:t>
            </w:r>
          </w:p>
        </w:tc>
        <w:tc>
          <w:tcPr>
            <w:tcW w:w="1800" w:type="dxa"/>
          </w:tcPr>
          <w:p w14:paraId="487981B4" w14:textId="72A0CC95" w:rsidR="00AE1C08" w:rsidRPr="00AE1C08" w:rsidRDefault="00AE1C08" w:rsidP="00AE1C08">
            <w:pPr>
              <w:autoSpaceDE w:val="0"/>
              <w:autoSpaceDN w:val="0"/>
              <w:adjustRightInd w:val="0"/>
              <w:ind w:right="60" w:firstLine="360"/>
              <w:jc w:val="right"/>
              <w:rPr>
                <w:rFonts w:ascii="Arial MT" w:hAnsi="Arial MT"/>
              </w:rPr>
            </w:pPr>
            <w:r w:rsidRPr="00AE1C08">
              <w:rPr>
                <w:rFonts w:ascii="Arial MT" w:hAnsi="Arial MT"/>
              </w:rPr>
              <w:t>.454</w:t>
            </w:r>
          </w:p>
        </w:tc>
        <w:tc>
          <w:tcPr>
            <w:tcW w:w="2880" w:type="dxa"/>
          </w:tcPr>
          <w:p w14:paraId="78719F38" w14:textId="1ED06F63" w:rsidR="00AE1C08" w:rsidRPr="00AE1C08" w:rsidRDefault="00AE1C08" w:rsidP="00AE1C08">
            <w:pPr>
              <w:autoSpaceDE w:val="0"/>
              <w:autoSpaceDN w:val="0"/>
              <w:adjustRightInd w:val="0"/>
              <w:ind w:right="60" w:firstLine="360"/>
              <w:jc w:val="right"/>
              <w:rPr>
                <w:rFonts w:ascii="Arial MT" w:hAnsi="Arial MT"/>
              </w:rPr>
            </w:pPr>
            <w:r w:rsidRPr="00AE1C08">
              <w:rPr>
                <w:rFonts w:ascii="Arial MT" w:hAnsi="Arial MT"/>
              </w:rPr>
              <w:t>13.92360</w:t>
            </w:r>
          </w:p>
        </w:tc>
      </w:tr>
    </w:tbl>
    <w:p w14:paraId="6BF3C95E" w14:textId="77777777" w:rsidR="00434601" w:rsidRDefault="00434601" w:rsidP="00434601">
      <w:pPr>
        <w:widowControl w:val="0"/>
        <w:pBdr>
          <w:top w:val="nil"/>
          <w:left w:val="nil"/>
          <w:bottom w:val="nil"/>
          <w:right w:val="nil"/>
          <w:between w:val="nil"/>
        </w:pBdr>
        <w:jc w:val="both"/>
        <w:rPr>
          <w:rFonts w:ascii="Arial" w:hAnsi="Arial" w:cs="Arial"/>
          <w:color w:val="000000"/>
        </w:rPr>
      </w:pPr>
    </w:p>
    <w:p w14:paraId="090EB018" w14:textId="6377105C" w:rsidR="00AE1C08" w:rsidRPr="00AE1C08" w:rsidRDefault="00AE1C08" w:rsidP="00AE1C08">
      <w:pPr>
        <w:widowControl w:val="0"/>
        <w:pBdr>
          <w:top w:val="nil"/>
          <w:left w:val="nil"/>
          <w:bottom w:val="nil"/>
          <w:right w:val="nil"/>
          <w:between w:val="nil"/>
        </w:pBdr>
        <w:jc w:val="both"/>
        <w:rPr>
          <w:rFonts w:ascii="Arial" w:hAnsi="Arial" w:cs="Arial"/>
          <w:color w:val="000000"/>
        </w:rPr>
      </w:pPr>
      <w:r w:rsidRPr="00AE1C08">
        <w:rPr>
          <w:rFonts w:ascii="Arial" w:hAnsi="Arial" w:cs="Arial"/>
          <w:color w:val="000000"/>
        </w:rPr>
        <w:t>The adjusted R</w:t>
      </w:r>
      <w:r w:rsidRPr="00AE1C08">
        <w:rPr>
          <w:rFonts w:ascii="Arial" w:hAnsi="Arial" w:cs="Arial"/>
          <w:color w:val="000000"/>
          <w:vertAlign w:val="superscript"/>
        </w:rPr>
        <w:t>2</w:t>
      </w:r>
      <w:r>
        <w:rPr>
          <w:rFonts w:ascii="Arial" w:hAnsi="Arial" w:cs="Arial"/>
          <w:color w:val="000000"/>
        </w:rPr>
        <w:t xml:space="preserve"> </w:t>
      </w:r>
      <w:r w:rsidRPr="00AE1C08">
        <w:rPr>
          <w:rFonts w:ascii="Arial" w:hAnsi="Arial" w:cs="Arial"/>
          <w:color w:val="000000"/>
        </w:rPr>
        <w:t>value in the current study is 0.482 or 48.2%. Thus, it can be seen that the</w:t>
      </w:r>
      <w:r>
        <w:rPr>
          <w:rFonts w:ascii="Arial" w:hAnsi="Arial" w:cs="Arial"/>
          <w:color w:val="000000"/>
        </w:rPr>
        <w:t xml:space="preserve"> </w:t>
      </w:r>
      <w:r w:rsidRPr="00AE1C08">
        <w:rPr>
          <w:rFonts w:ascii="Arial" w:hAnsi="Arial" w:cs="Arial"/>
          <w:color w:val="000000"/>
        </w:rPr>
        <w:t>dependent variable, namely the liquidity of Rural Banks registered with the East Java</w:t>
      </w:r>
      <w:r>
        <w:rPr>
          <w:rFonts w:ascii="Arial" w:hAnsi="Arial" w:cs="Arial"/>
          <w:color w:val="000000"/>
        </w:rPr>
        <w:t xml:space="preserve"> </w:t>
      </w:r>
      <w:r w:rsidRPr="00AE1C08">
        <w:rPr>
          <w:rFonts w:ascii="Arial" w:hAnsi="Arial" w:cs="Arial"/>
          <w:color w:val="000000"/>
        </w:rPr>
        <w:t>Provincial Financial Services Authority for the period 2022-2024, is influenced by 48.2% by</w:t>
      </w:r>
      <w:r>
        <w:rPr>
          <w:rFonts w:ascii="Arial" w:hAnsi="Arial" w:cs="Arial"/>
          <w:color w:val="000000"/>
        </w:rPr>
        <w:t xml:space="preserve"> </w:t>
      </w:r>
      <w:r w:rsidRPr="00AE1C08">
        <w:rPr>
          <w:rFonts w:ascii="Arial" w:hAnsi="Arial" w:cs="Arial"/>
          <w:color w:val="000000"/>
        </w:rPr>
        <w:t>the independent variables in this study, namely CAR (Capital Adequacy Ratio), ROA (Return</w:t>
      </w:r>
    </w:p>
    <w:p w14:paraId="5B4925A7" w14:textId="271E1831" w:rsidR="00AE1C08" w:rsidRDefault="00AE1C08" w:rsidP="00AE1C08">
      <w:pPr>
        <w:widowControl w:val="0"/>
        <w:pBdr>
          <w:top w:val="nil"/>
          <w:left w:val="nil"/>
          <w:bottom w:val="nil"/>
          <w:right w:val="nil"/>
          <w:between w:val="nil"/>
        </w:pBdr>
        <w:jc w:val="both"/>
        <w:rPr>
          <w:rFonts w:ascii="Arial" w:hAnsi="Arial" w:cs="Arial"/>
          <w:color w:val="000000"/>
        </w:rPr>
      </w:pPr>
      <w:r>
        <w:rPr>
          <w:rFonts w:ascii="Arial" w:hAnsi="Arial" w:cs="Arial"/>
          <w:color w:val="000000"/>
        </w:rPr>
        <w:t>o</w:t>
      </w:r>
      <w:r w:rsidRPr="00AE1C08">
        <w:rPr>
          <w:rFonts w:ascii="Arial" w:hAnsi="Arial" w:cs="Arial"/>
          <w:color w:val="000000"/>
        </w:rPr>
        <w:t>n Asset), LDR (Loan to Deposit Ratio), and company size, while the remaining (100 -</w:t>
      </w:r>
      <w:r>
        <w:rPr>
          <w:rFonts w:ascii="Arial" w:hAnsi="Arial" w:cs="Arial"/>
          <w:color w:val="000000"/>
        </w:rPr>
        <w:t xml:space="preserve"> </w:t>
      </w:r>
      <w:r w:rsidRPr="00AE1C08">
        <w:rPr>
          <w:rFonts w:ascii="Arial" w:hAnsi="Arial" w:cs="Arial"/>
          <w:color w:val="000000"/>
        </w:rPr>
        <w:t>48.2), or 51.8%, is explained by other factors outside the regression model in the current</w:t>
      </w:r>
      <w:r>
        <w:rPr>
          <w:rFonts w:ascii="Arial" w:hAnsi="Arial" w:cs="Arial"/>
          <w:color w:val="000000"/>
        </w:rPr>
        <w:t xml:space="preserve"> </w:t>
      </w:r>
      <w:r w:rsidRPr="00AE1C08">
        <w:rPr>
          <w:rFonts w:ascii="Arial" w:hAnsi="Arial" w:cs="Arial"/>
          <w:color w:val="000000"/>
        </w:rPr>
        <w:t>study.</w:t>
      </w:r>
    </w:p>
    <w:p w14:paraId="75153224" w14:textId="77777777" w:rsidR="00AE1C08" w:rsidRDefault="00AE1C08" w:rsidP="00434601">
      <w:pPr>
        <w:widowControl w:val="0"/>
        <w:pBdr>
          <w:top w:val="nil"/>
          <w:left w:val="nil"/>
          <w:bottom w:val="nil"/>
          <w:right w:val="nil"/>
          <w:between w:val="nil"/>
        </w:pBdr>
        <w:jc w:val="both"/>
        <w:rPr>
          <w:rFonts w:ascii="Arial" w:hAnsi="Arial" w:cs="Arial"/>
          <w:color w:val="000000"/>
        </w:rPr>
      </w:pPr>
    </w:p>
    <w:p w14:paraId="27BB347C" w14:textId="27D4EAFA" w:rsidR="00434601" w:rsidRDefault="002A666F" w:rsidP="00434601">
      <w:pPr>
        <w:widowControl w:val="0"/>
        <w:pBdr>
          <w:top w:val="nil"/>
          <w:left w:val="nil"/>
          <w:bottom w:val="nil"/>
          <w:right w:val="nil"/>
          <w:between w:val="nil"/>
        </w:pBdr>
        <w:jc w:val="both"/>
        <w:rPr>
          <w:b/>
          <w:bCs/>
          <w:spacing w:val="-4"/>
          <w:u w:val="single"/>
        </w:rPr>
      </w:pPr>
      <w:r w:rsidRPr="002A666F">
        <w:rPr>
          <w:b/>
          <w:bCs/>
          <w:u w:val="single"/>
        </w:rPr>
        <w:t>4.1.3.3</w:t>
      </w:r>
      <w:r w:rsidRPr="002A666F">
        <w:rPr>
          <w:b/>
          <w:bCs/>
          <w:spacing w:val="-11"/>
          <w:u w:val="single"/>
        </w:rPr>
        <w:t xml:space="preserve"> </w:t>
      </w:r>
      <w:r w:rsidRPr="002A666F">
        <w:rPr>
          <w:b/>
          <w:bCs/>
          <w:u w:val="single"/>
        </w:rPr>
        <w:t>Hypothesis</w:t>
      </w:r>
      <w:r w:rsidRPr="002A666F">
        <w:rPr>
          <w:b/>
          <w:bCs/>
          <w:spacing w:val="-10"/>
          <w:u w:val="single"/>
        </w:rPr>
        <w:t xml:space="preserve"> </w:t>
      </w:r>
      <w:r w:rsidRPr="002A666F">
        <w:rPr>
          <w:b/>
          <w:bCs/>
          <w:u w:val="single"/>
        </w:rPr>
        <w:t>Test</w:t>
      </w:r>
      <w:r w:rsidRPr="002A666F">
        <w:rPr>
          <w:b/>
          <w:bCs/>
          <w:spacing w:val="-8"/>
          <w:u w:val="single"/>
        </w:rPr>
        <w:t xml:space="preserve"> </w:t>
      </w:r>
      <w:r w:rsidRPr="002A666F">
        <w:rPr>
          <w:b/>
          <w:bCs/>
          <w:u w:val="single"/>
        </w:rPr>
        <w:t>(t-</w:t>
      </w:r>
      <w:r w:rsidRPr="002A666F">
        <w:rPr>
          <w:b/>
          <w:bCs/>
          <w:spacing w:val="-4"/>
          <w:u w:val="single"/>
        </w:rPr>
        <w:t>Test)</w:t>
      </w:r>
    </w:p>
    <w:p w14:paraId="24910D92" w14:textId="77777777" w:rsidR="002A666F" w:rsidRDefault="002A666F" w:rsidP="00434601">
      <w:pPr>
        <w:widowControl w:val="0"/>
        <w:pBdr>
          <w:top w:val="nil"/>
          <w:left w:val="nil"/>
          <w:bottom w:val="nil"/>
          <w:right w:val="nil"/>
          <w:between w:val="nil"/>
        </w:pBdr>
        <w:jc w:val="both"/>
        <w:rPr>
          <w:b/>
          <w:bCs/>
          <w:spacing w:val="-4"/>
          <w:u w:val="single"/>
        </w:rPr>
      </w:pPr>
    </w:p>
    <w:p w14:paraId="51A40CB4" w14:textId="0A2FC832" w:rsidR="002A666F" w:rsidRPr="002A666F" w:rsidRDefault="002A666F" w:rsidP="00434601">
      <w:pPr>
        <w:widowControl w:val="0"/>
        <w:pBdr>
          <w:top w:val="nil"/>
          <w:left w:val="nil"/>
          <w:bottom w:val="nil"/>
          <w:right w:val="nil"/>
          <w:between w:val="nil"/>
        </w:pBdr>
        <w:jc w:val="both"/>
        <w:rPr>
          <w:spacing w:val="-4"/>
        </w:rPr>
      </w:pPr>
      <w:r w:rsidRPr="002A666F">
        <w:rPr>
          <w:spacing w:val="-4"/>
        </w:rPr>
        <w:t>The t-test is used to determine whether each independent variable individually has an effect on the dependent variable. The significance of the t-test is assessed at the 5% significance level.</w:t>
      </w:r>
    </w:p>
    <w:p w14:paraId="1DF82FEA" w14:textId="77777777" w:rsidR="002A666F" w:rsidRPr="002A666F" w:rsidRDefault="002A666F" w:rsidP="00434601">
      <w:pPr>
        <w:widowControl w:val="0"/>
        <w:pBdr>
          <w:top w:val="nil"/>
          <w:left w:val="nil"/>
          <w:bottom w:val="nil"/>
          <w:right w:val="nil"/>
          <w:between w:val="nil"/>
        </w:pBdr>
        <w:jc w:val="both"/>
        <w:rPr>
          <w:rFonts w:ascii="Arial" w:hAnsi="Arial" w:cs="Arial"/>
          <w:b/>
          <w:bCs/>
          <w:color w:val="000000"/>
          <w:u w:val="single"/>
        </w:rPr>
      </w:pPr>
    </w:p>
    <w:p w14:paraId="6D945CFE" w14:textId="2DFE03C6" w:rsidR="00607285" w:rsidRDefault="00607285" w:rsidP="00607285">
      <w:pPr>
        <w:widowControl w:val="0"/>
        <w:pBdr>
          <w:top w:val="nil"/>
          <w:left w:val="nil"/>
          <w:bottom w:val="nil"/>
          <w:right w:val="nil"/>
          <w:between w:val="nil"/>
        </w:pBdr>
        <w:ind w:firstLine="360"/>
        <w:jc w:val="center"/>
        <w:rPr>
          <w:rFonts w:ascii="Arial" w:hAnsi="Arial" w:cs="Arial"/>
          <w:b/>
          <w:bCs/>
          <w:color w:val="000000"/>
        </w:rPr>
      </w:pPr>
      <w:r w:rsidRPr="00607285">
        <w:rPr>
          <w:rFonts w:ascii="Arial" w:hAnsi="Arial" w:cs="Arial"/>
          <w:b/>
          <w:bCs/>
          <w:color w:val="000000"/>
        </w:rPr>
        <w:t xml:space="preserve">Table </w:t>
      </w:r>
      <w:r w:rsidR="005D50D2">
        <w:rPr>
          <w:rFonts w:ascii="Arial" w:hAnsi="Arial" w:cs="Arial"/>
          <w:b/>
          <w:bCs/>
          <w:color w:val="000000"/>
        </w:rPr>
        <w:t>9</w:t>
      </w:r>
      <w:r w:rsidRPr="00607285">
        <w:rPr>
          <w:rFonts w:ascii="Arial" w:hAnsi="Arial" w:cs="Arial"/>
          <w:color w:val="000000"/>
        </w:rPr>
        <w:t xml:space="preserve">. </w:t>
      </w:r>
      <w:r w:rsidRPr="00607285">
        <w:rPr>
          <w:rFonts w:ascii="Arial" w:hAnsi="Arial" w:cs="Arial"/>
          <w:b/>
          <w:bCs/>
          <w:color w:val="000000"/>
        </w:rPr>
        <w:t>Hypothesis Test (t-Test)</w:t>
      </w:r>
    </w:p>
    <w:p w14:paraId="5133E6BA" w14:textId="77777777" w:rsidR="00434601" w:rsidRPr="00607285" w:rsidRDefault="00434601" w:rsidP="00607285">
      <w:pPr>
        <w:widowControl w:val="0"/>
        <w:pBdr>
          <w:top w:val="nil"/>
          <w:left w:val="nil"/>
          <w:bottom w:val="nil"/>
          <w:right w:val="nil"/>
          <w:between w:val="nil"/>
        </w:pBdr>
        <w:ind w:firstLine="360"/>
        <w:jc w:val="center"/>
        <w:rPr>
          <w:rFonts w:ascii="Arial" w:hAnsi="Arial" w:cs="Arial"/>
          <w:color w:val="000000"/>
        </w:rPr>
      </w:pPr>
    </w:p>
    <w:tbl>
      <w:tblPr>
        <w:tblStyle w:val="Tesis"/>
        <w:tblW w:w="8550" w:type="dxa"/>
        <w:jc w:val="center"/>
        <w:tblLayout w:type="fixed"/>
        <w:tblLook w:val="0000" w:firstRow="0" w:lastRow="0" w:firstColumn="0" w:lastColumn="0" w:noHBand="0" w:noVBand="0"/>
      </w:tblPr>
      <w:tblGrid>
        <w:gridCol w:w="355"/>
        <w:gridCol w:w="1800"/>
        <w:gridCol w:w="1175"/>
        <w:gridCol w:w="1260"/>
        <w:gridCol w:w="1620"/>
        <w:gridCol w:w="1260"/>
        <w:gridCol w:w="1080"/>
      </w:tblGrid>
      <w:tr w:rsidR="00607285" w:rsidRPr="00607285" w14:paraId="56B5DDA4" w14:textId="77777777" w:rsidTr="0006423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155" w:type="dxa"/>
            <w:gridSpan w:val="2"/>
            <w:vMerge w:val="restart"/>
            <w:tcBorders>
              <w:top w:val="single" w:sz="4" w:space="0" w:color="auto"/>
              <w:bottom w:val="single" w:sz="4" w:space="0" w:color="auto"/>
            </w:tcBorders>
          </w:tcPr>
          <w:p w14:paraId="6FC06C10" w14:textId="77777777" w:rsidR="00607285" w:rsidRPr="00607285" w:rsidRDefault="00607285" w:rsidP="00607285">
            <w:pPr>
              <w:autoSpaceDE w:val="0"/>
              <w:autoSpaceDN w:val="0"/>
              <w:adjustRightInd w:val="0"/>
              <w:ind w:right="60" w:firstLine="360"/>
              <w:rPr>
                <w:rFonts w:ascii="Arial" w:hAnsi="Arial" w:cs="Arial"/>
                <w:b/>
                <w:bCs/>
                <w:sz w:val="20"/>
                <w:szCs w:val="20"/>
              </w:rPr>
            </w:pPr>
            <w:r w:rsidRPr="00607285">
              <w:rPr>
                <w:rFonts w:ascii="Arial" w:hAnsi="Arial" w:cs="Arial"/>
                <w:b/>
                <w:bCs/>
                <w:sz w:val="20"/>
                <w:szCs w:val="20"/>
              </w:rPr>
              <w:t>Model</w:t>
            </w:r>
          </w:p>
        </w:tc>
        <w:tc>
          <w:tcPr>
            <w:tcW w:w="2435" w:type="dxa"/>
            <w:gridSpan w:val="2"/>
            <w:tcBorders>
              <w:top w:val="single" w:sz="4" w:space="0" w:color="auto"/>
              <w:bottom w:val="single" w:sz="4" w:space="0" w:color="auto"/>
            </w:tcBorders>
          </w:tcPr>
          <w:p w14:paraId="43FEA251"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Unstandardized Coefficients</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single" w:sz="4" w:space="0" w:color="auto"/>
            </w:tcBorders>
          </w:tcPr>
          <w:p w14:paraId="1AA5C4AF" w14:textId="77777777" w:rsidR="00607285" w:rsidRPr="00607285" w:rsidRDefault="00607285" w:rsidP="00607285">
            <w:pPr>
              <w:autoSpaceDE w:val="0"/>
              <w:autoSpaceDN w:val="0"/>
              <w:adjustRightInd w:val="0"/>
              <w:ind w:right="60"/>
              <w:rPr>
                <w:rFonts w:ascii="Arial" w:hAnsi="Arial" w:cs="Arial"/>
                <w:b/>
                <w:bCs/>
                <w:sz w:val="20"/>
                <w:szCs w:val="20"/>
              </w:rPr>
            </w:pPr>
            <w:r w:rsidRPr="00607285">
              <w:rPr>
                <w:rFonts w:ascii="Arial" w:hAnsi="Arial" w:cs="Arial"/>
                <w:b/>
                <w:bCs/>
                <w:sz w:val="20"/>
                <w:szCs w:val="20"/>
              </w:rPr>
              <w:t>Standardized Coefficients</w:t>
            </w:r>
          </w:p>
        </w:tc>
        <w:tc>
          <w:tcPr>
            <w:tcW w:w="1260" w:type="dxa"/>
            <w:vMerge w:val="restart"/>
            <w:tcBorders>
              <w:top w:val="single" w:sz="4" w:space="0" w:color="auto"/>
            </w:tcBorders>
          </w:tcPr>
          <w:p w14:paraId="64773D72" w14:textId="77777777" w:rsidR="00607285" w:rsidRPr="00607285" w:rsidRDefault="00607285" w:rsidP="00607285">
            <w:pPr>
              <w:autoSpaceDE w:val="0"/>
              <w:autoSpaceDN w:val="0"/>
              <w:adjustRightInd w:val="0"/>
              <w:ind w:right="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t</w:t>
            </w:r>
          </w:p>
        </w:tc>
        <w:tc>
          <w:tcPr>
            <w:cnfStyle w:val="000010000000" w:firstRow="0" w:lastRow="0" w:firstColumn="0" w:lastColumn="0" w:oddVBand="1" w:evenVBand="0" w:oddHBand="0" w:evenHBand="0" w:firstRowFirstColumn="0" w:firstRowLastColumn="0" w:lastRowFirstColumn="0" w:lastRowLastColumn="0"/>
            <w:tcW w:w="1080" w:type="dxa"/>
            <w:vMerge w:val="restart"/>
            <w:tcBorders>
              <w:top w:val="single" w:sz="4" w:space="0" w:color="auto"/>
            </w:tcBorders>
          </w:tcPr>
          <w:p w14:paraId="4D7D3061"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i/>
                <w:iCs/>
                <w:sz w:val="20"/>
                <w:szCs w:val="20"/>
              </w:rPr>
              <w:t>Sig.</w:t>
            </w:r>
          </w:p>
        </w:tc>
      </w:tr>
      <w:tr w:rsidR="00607285" w:rsidRPr="00607285" w14:paraId="289FE835" w14:textId="77777777" w:rsidTr="0006423C">
        <w:trPr>
          <w:jc w:val="center"/>
        </w:trPr>
        <w:tc>
          <w:tcPr>
            <w:tcW w:w="2155" w:type="dxa"/>
            <w:gridSpan w:val="2"/>
            <w:vMerge/>
            <w:tcBorders>
              <w:top w:val="single" w:sz="4" w:space="0" w:color="auto"/>
              <w:bottom w:val="single" w:sz="4" w:space="0" w:color="auto"/>
            </w:tcBorders>
          </w:tcPr>
          <w:p w14:paraId="1A04C5B5" w14:textId="77777777" w:rsidR="00607285" w:rsidRPr="00607285" w:rsidRDefault="00607285" w:rsidP="00607285">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175" w:type="dxa"/>
            <w:tcBorders>
              <w:top w:val="single" w:sz="4" w:space="0" w:color="auto"/>
              <w:bottom w:val="single" w:sz="4" w:space="0" w:color="auto"/>
            </w:tcBorders>
          </w:tcPr>
          <w:p w14:paraId="44215E29" w14:textId="77777777" w:rsidR="00607285" w:rsidRPr="00607285" w:rsidRDefault="00607285" w:rsidP="00607285">
            <w:pPr>
              <w:autoSpaceDE w:val="0"/>
              <w:autoSpaceDN w:val="0"/>
              <w:adjustRightInd w:val="0"/>
              <w:ind w:right="60"/>
              <w:rPr>
                <w:rFonts w:ascii="Arial" w:hAnsi="Arial" w:cs="Arial"/>
                <w:b/>
                <w:bCs/>
                <w:sz w:val="20"/>
                <w:szCs w:val="20"/>
              </w:rPr>
            </w:pPr>
            <w:r w:rsidRPr="00607285">
              <w:rPr>
                <w:rFonts w:ascii="Arial" w:hAnsi="Arial" w:cs="Arial"/>
                <w:b/>
                <w:bCs/>
                <w:sz w:val="20"/>
                <w:szCs w:val="20"/>
              </w:rPr>
              <w:t>B</w:t>
            </w:r>
          </w:p>
        </w:tc>
        <w:tc>
          <w:tcPr>
            <w:tcW w:w="1260" w:type="dxa"/>
            <w:tcBorders>
              <w:top w:val="single" w:sz="4" w:space="0" w:color="auto"/>
              <w:bottom w:val="single" w:sz="4" w:space="0" w:color="auto"/>
            </w:tcBorders>
          </w:tcPr>
          <w:p w14:paraId="4F262795" w14:textId="77777777" w:rsidR="00607285" w:rsidRPr="00607285" w:rsidRDefault="00607285" w:rsidP="00607285">
            <w:pPr>
              <w:autoSpaceDE w:val="0"/>
              <w:autoSpaceDN w:val="0"/>
              <w:adjustRightInd w:val="0"/>
              <w:ind w:right="60"/>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r w:rsidRPr="00607285">
              <w:rPr>
                <w:rFonts w:ascii="Arial" w:hAnsi="Arial" w:cs="Arial"/>
                <w:b/>
                <w:bCs/>
                <w:sz w:val="20"/>
                <w:szCs w:val="20"/>
              </w:rPr>
              <w:t>Std. Error</w:t>
            </w:r>
          </w:p>
        </w:tc>
        <w:tc>
          <w:tcPr>
            <w:tcW w:w="1620" w:type="dxa"/>
            <w:tcBorders>
              <w:top w:val="single" w:sz="4" w:space="0" w:color="auto"/>
              <w:bottom w:val="single" w:sz="4" w:space="0" w:color="auto"/>
            </w:tcBorders>
          </w:tcPr>
          <w:p w14:paraId="05C94D0F" w14:textId="77777777" w:rsidR="00607285" w:rsidRPr="00607285" w:rsidRDefault="00607285" w:rsidP="00607285">
            <w:pPr>
              <w:autoSpaceDE w:val="0"/>
              <w:autoSpaceDN w:val="0"/>
              <w:adjustRightInd w:val="0"/>
              <w:ind w:right="60"/>
              <w:jc w:val="center"/>
              <w:rPr>
                <w:rFonts w:ascii="Arial" w:hAnsi="Arial" w:cs="Arial"/>
                <w:b/>
                <w:bCs/>
                <w:sz w:val="20"/>
                <w:szCs w:val="20"/>
              </w:rPr>
            </w:pPr>
            <w:r w:rsidRPr="00607285">
              <w:rPr>
                <w:rFonts w:ascii="Arial" w:hAnsi="Arial" w:cs="Arial"/>
                <w:b/>
                <w:bCs/>
                <w:sz w:val="20"/>
                <w:szCs w:val="20"/>
              </w:rPr>
              <w:t>B</w:t>
            </w:r>
          </w:p>
        </w:tc>
        <w:tc>
          <w:tcPr>
            <w:tcW w:w="1260" w:type="dxa"/>
            <w:vMerge/>
            <w:tcBorders>
              <w:bottom w:val="single" w:sz="4" w:space="0" w:color="auto"/>
            </w:tcBorders>
          </w:tcPr>
          <w:p w14:paraId="169DE855" w14:textId="77777777" w:rsidR="00607285" w:rsidRPr="00607285" w:rsidRDefault="00607285" w:rsidP="00607285">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b/>
                <w:bCs/>
                <w:sz w:val="20"/>
                <w:szCs w:val="20"/>
              </w:rPr>
            </w:pPr>
          </w:p>
        </w:tc>
        <w:tc>
          <w:tcPr>
            <w:tcW w:w="1080" w:type="dxa"/>
            <w:vMerge/>
            <w:tcBorders>
              <w:bottom w:val="single" w:sz="4" w:space="0" w:color="auto"/>
            </w:tcBorders>
          </w:tcPr>
          <w:p w14:paraId="42E6BAFA" w14:textId="77777777" w:rsidR="00607285" w:rsidRPr="00607285" w:rsidRDefault="00607285" w:rsidP="00607285">
            <w:pPr>
              <w:autoSpaceDE w:val="0"/>
              <w:autoSpaceDN w:val="0"/>
              <w:adjustRightInd w:val="0"/>
              <w:ind w:firstLine="360"/>
              <w:rPr>
                <w:rFonts w:ascii="Arial" w:hAnsi="Arial" w:cs="Arial"/>
                <w:b/>
                <w:bCs/>
                <w:sz w:val="20"/>
                <w:szCs w:val="20"/>
              </w:rPr>
            </w:pPr>
          </w:p>
        </w:tc>
      </w:tr>
      <w:tr w:rsidR="005D50D2" w:rsidRPr="00607285" w14:paraId="307255C0" w14:textId="77777777" w:rsidTr="0006423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55" w:type="dxa"/>
            <w:vMerge w:val="restart"/>
            <w:tcBorders>
              <w:top w:val="single" w:sz="4" w:space="0" w:color="auto"/>
              <w:bottom w:val="none" w:sz="0" w:space="0" w:color="auto"/>
            </w:tcBorders>
          </w:tcPr>
          <w:p w14:paraId="199BF580" w14:textId="77777777" w:rsidR="005D50D2" w:rsidRPr="00607285" w:rsidRDefault="005D50D2" w:rsidP="005D50D2">
            <w:pPr>
              <w:autoSpaceDE w:val="0"/>
              <w:autoSpaceDN w:val="0"/>
              <w:adjustRightInd w:val="0"/>
              <w:ind w:right="60"/>
              <w:rPr>
                <w:rFonts w:ascii="Arial" w:hAnsi="Arial" w:cs="Arial"/>
                <w:sz w:val="20"/>
                <w:szCs w:val="20"/>
              </w:rPr>
            </w:pPr>
          </w:p>
        </w:tc>
        <w:tc>
          <w:tcPr>
            <w:tcW w:w="1800" w:type="dxa"/>
            <w:tcBorders>
              <w:top w:val="single" w:sz="4" w:space="0" w:color="auto"/>
              <w:bottom w:val="none" w:sz="0" w:space="0" w:color="auto"/>
            </w:tcBorders>
          </w:tcPr>
          <w:p w14:paraId="0F25E47A" w14:textId="318BDC56" w:rsidR="005D50D2" w:rsidRPr="00607285" w:rsidRDefault="005D50D2" w:rsidP="005D50D2">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(Constant)</w:t>
            </w:r>
          </w:p>
        </w:tc>
        <w:tc>
          <w:tcPr>
            <w:cnfStyle w:val="000010000000" w:firstRow="0" w:lastRow="0" w:firstColumn="0" w:lastColumn="0" w:oddVBand="1" w:evenVBand="0" w:oddHBand="0" w:evenHBand="0" w:firstRowFirstColumn="0" w:firstRowLastColumn="0" w:lastRowFirstColumn="0" w:lastRowLastColumn="0"/>
            <w:tcW w:w="1175" w:type="dxa"/>
            <w:tcBorders>
              <w:top w:val="single" w:sz="4" w:space="0" w:color="auto"/>
              <w:bottom w:val="none" w:sz="0" w:space="0" w:color="auto"/>
            </w:tcBorders>
          </w:tcPr>
          <w:p w14:paraId="3BBADFE8" w14:textId="0D2450CF"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27.586</w:t>
            </w:r>
          </w:p>
        </w:tc>
        <w:tc>
          <w:tcPr>
            <w:tcW w:w="1260" w:type="dxa"/>
            <w:tcBorders>
              <w:top w:val="single" w:sz="4" w:space="0" w:color="auto"/>
              <w:bottom w:val="none" w:sz="0" w:space="0" w:color="auto"/>
            </w:tcBorders>
          </w:tcPr>
          <w:p w14:paraId="0B2C9AFB" w14:textId="4B60BEB0"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25.649</w:t>
            </w:r>
          </w:p>
        </w:tc>
        <w:tc>
          <w:tcPr>
            <w:cnfStyle w:val="000010000000" w:firstRow="0" w:lastRow="0" w:firstColumn="0" w:lastColumn="0" w:oddVBand="1" w:evenVBand="0" w:oddHBand="0" w:evenHBand="0" w:firstRowFirstColumn="0" w:firstRowLastColumn="0" w:lastRowFirstColumn="0" w:lastRowLastColumn="0"/>
            <w:tcW w:w="1620" w:type="dxa"/>
            <w:tcBorders>
              <w:top w:val="single" w:sz="4" w:space="0" w:color="auto"/>
              <w:bottom w:val="none" w:sz="0" w:space="0" w:color="auto"/>
            </w:tcBorders>
          </w:tcPr>
          <w:p w14:paraId="49423E8A" w14:textId="77777777" w:rsidR="005D50D2" w:rsidRPr="00607285" w:rsidRDefault="005D50D2" w:rsidP="005D50D2">
            <w:pPr>
              <w:autoSpaceDE w:val="0"/>
              <w:autoSpaceDN w:val="0"/>
              <w:adjustRightInd w:val="0"/>
              <w:ind w:firstLine="360"/>
              <w:rPr>
                <w:rFonts w:ascii="Arial" w:hAnsi="Arial" w:cs="Arial"/>
                <w:sz w:val="20"/>
                <w:szCs w:val="20"/>
              </w:rPr>
            </w:pPr>
          </w:p>
        </w:tc>
        <w:tc>
          <w:tcPr>
            <w:tcW w:w="1260" w:type="dxa"/>
            <w:tcBorders>
              <w:top w:val="single" w:sz="4" w:space="0" w:color="auto"/>
              <w:bottom w:val="none" w:sz="0" w:space="0" w:color="auto"/>
            </w:tcBorders>
          </w:tcPr>
          <w:p w14:paraId="0D66062F" w14:textId="59803C07"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080" w:type="dxa"/>
            <w:tcBorders>
              <w:top w:val="single" w:sz="4" w:space="0" w:color="auto"/>
              <w:bottom w:val="none" w:sz="0" w:space="0" w:color="auto"/>
            </w:tcBorders>
          </w:tcPr>
          <w:p w14:paraId="1E07E895" w14:textId="3954DC96"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1.076</w:t>
            </w:r>
          </w:p>
        </w:tc>
      </w:tr>
      <w:tr w:rsidR="005D50D2" w:rsidRPr="00607285" w14:paraId="4AA319B9" w14:textId="77777777" w:rsidTr="0006423C">
        <w:trPr>
          <w:jc w:val="center"/>
        </w:trPr>
        <w:tc>
          <w:tcPr>
            <w:tcW w:w="355" w:type="dxa"/>
            <w:vMerge/>
          </w:tcPr>
          <w:p w14:paraId="2D507461" w14:textId="77777777" w:rsidR="005D50D2" w:rsidRPr="00607285" w:rsidRDefault="005D50D2" w:rsidP="005D50D2">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800" w:type="dxa"/>
          </w:tcPr>
          <w:p w14:paraId="028D679D" w14:textId="04A760B8" w:rsidR="005D50D2" w:rsidRPr="00607285" w:rsidRDefault="005D50D2" w:rsidP="005D50D2">
            <w:pPr>
              <w:autoSpaceDE w:val="0"/>
              <w:autoSpaceDN w:val="0"/>
              <w:adjustRightInd w:val="0"/>
              <w:ind w:right="60"/>
              <w:rPr>
                <w:rFonts w:ascii="Arial" w:hAnsi="Arial" w:cs="Arial"/>
                <w:sz w:val="20"/>
                <w:szCs w:val="20"/>
              </w:rPr>
            </w:pPr>
            <w:r w:rsidRPr="005D50D2">
              <w:rPr>
                <w:rFonts w:ascii="Arial" w:hAnsi="Arial" w:cs="Arial"/>
                <w:sz w:val="20"/>
                <w:szCs w:val="20"/>
              </w:rPr>
              <w:t>car_x1</w:t>
            </w:r>
          </w:p>
        </w:tc>
        <w:tc>
          <w:tcPr>
            <w:tcW w:w="1175" w:type="dxa"/>
          </w:tcPr>
          <w:p w14:paraId="05CC9242" w14:textId="49806AF5"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.131</w:t>
            </w:r>
          </w:p>
        </w:tc>
        <w:tc>
          <w:tcPr>
            <w:tcW w:w="1260" w:type="dxa"/>
          </w:tcPr>
          <w:p w14:paraId="1413A581" w14:textId="708CE6AF"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.050</w:t>
            </w:r>
          </w:p>
        </w:tc>
        <w:tc>
          <w:tcPr>
            <w:tcW w:w="1620" w:type="dxa"/>
          </w:tcPr>
          <w:p w14:paraId="50C100D2" w14:textId="687AB112" w:rsidR="005D50D2" w:rsidRPr="00607285" w:rsidRDefault="005D50D2" w:rsidP="005D50D2">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60" w:type="dxa"/>
          </w:tcPr>
          <w:p w14:paraId="17496760" w14:textId="6EDAFE3F"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.235</w:t>
            </w:r>
          </w:p>
        </w:tc>
        <w:tc>
          <w:tcPr>
            <w:tcW w:w="1080" w:type="dxa"/>
          </w:tcPr>
          <w:p w14:paraId="760F7908" w14:textId="7EF3906E"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2,650</w:t>
            </w:r>
          </w:p>
        </w:tc>
      </w:tr>
      <w:tr w:rsidR="005D50D2" w:rsidRPr="00607285" w14:paraId="62B0E17A" w14:textId="77777777" w:rsidTr="0006423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55" w:type="dxa"/>
            <w:vMerge/>
            <w:tcBorders>
              <w:bottom w:val="none" w:sz="0" w:space="0" w:color="auto"/>
            </w:tcBorders>
          </w:tcPr>
          <w:p w14:paraId="6E1EA4BF" w14:textId="77777777" w:rsidR="005D50D2" w:rsidRPr="00607285" w:rsidRDefault="005D50D2" w:rsidP="005D50D2">
            <w:pPr>
              <w:autoSpaceDE w:val="0"/>
              <w:autoSpaceDN w:val="0"/>
              <w:adjustRightInd w:val="0"/>
              <w:ind w:firstLine="360"/>
              <w:rPr>
                <w:rFonts w:ascii="Arial" w:hAnsi="Arial" w:cs="Arial"/>
                <w:sz w:val="20"/>
                <w:szCs w:val="20"/>
              </w:rPr>
            </w:pPr>
          </w:p>
        </w:tc>
        <w:tc>
          <w:tcPr>
            <w:tcW w:w="1800" w:type="dxa"/>
            <w:tcBorders>
              <w:bottom w:val="none" w:sz="0" w:space="0" w:color="auto"/>
            </w:tcBorders>
          </w:tcPr>
          <w:p w14:paraId="28A32BB9" w14:textId="413C35C5" w:rsidR="005D50D2" w:rsidRPr="00607285" w:rsidRDefault="005D50D2" w:rsidP="005D50D2">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ROA_X2</w:t>
            </w:r>
          </w:p>
        </w:tc>
        <w:tc>
          <w:tcPr>
            <w:cnfStyle w:val="000010000000" w:firstRow="0" w:lastRow="0" w:firstColumn="0" w:lastColumn="0" w:oddVBand="1" w:evenVBand="0" w:oddHBand="0" w:evenHBand="0" w:firstRowFirstColumn="0" w:firstRowLastColumn="0" w:lastRowFirstColumn="0" w:lastRowLastColumn="0"/>
            <w:tcW w:w="1175" w:type="dxa"/>
            <w:tcBorders>
              <w:bottom w:val="none" w:sz="0" w:space="0" w:color="auto"/>
            </w:tcBorders>
          </w:tcPr>
          <w:p w14:paraId="16D12742" w14:textId="79AE2B33"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3,205</w:t>
            </w:r>
          </w:p>
        </w:tc>
        <w:tc>
          <w:tcPr>
            <w:tcW w:w="1260" w:type="dxa"/>
            <w:tcBorders>
              <w:bottom w:val="none" w:sz="0" w:space="0" w:color="auto"/>
            </w:tcBorders>
          </w:tcPr>
          <w:p w14:paraId="70DBDAA7" w14:textId="371787C1"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.571</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3D60240A" w14:textId="1CBFB5E8" w:rsidR="005D50D2" w:rsidRPr="00607285" w:rsidRDefault="005D50D2" w:rsidP="005D50D2">
            <w:pPr>
              <w:autoSpaceDE w:val="0"/>
              <w:autoSpaceDN w:val="0"/>
              <w:adjustRightInd w:val="0"/>
              <w:ind w:right="60" w:firstLine="360"/>
              <w:jc w:val="right"/>
              <w:rPr>
                <w:rFonts w:ascii="Arial" w:hAnsi="Arial" w:cs="Arial"/>
                <w:sz w:val="20"/>
                <w:szCs w:val="20"/>
              </w:rPr>
            </w:pPr>
          </w:p>
        </w:tc>
        <w:tc>
          <w:tcPr>
            <w:tcW w:w="1260" w:type="dxa"/>
            <w:tcBorders>
              <w:bottom w:val="none" w:sz="0" w:space="0" w:color="auto"/>
            </w:tcBorders>
          </w:tcPr>
          <w:p w14:paraId="2C5378B6" w14:textId="2E746DED"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.513</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194AB93C" w14:textId="65B074B2"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5,609</w:t>
            </w:r>
          </w:p>
        </w:tc>
      </w:tr>
      <w:tr w:rsidR="005D50D2" w:rsidRPr="00607285" w14:paraId="32B33363" w14:textId="77777777" w:rsidTr="0006423C">
        <w:trPr>
          <w:jc w:val="center"/>
        </w:trPr>
        <w:tc>
          <w:tcPr>
            <w:tcW w:w="355" w:type="dxa"/>
            <w:vMerge/>
          </w:tcPr>
          <w:p w14:paraId="36C6E561" w14:textId="77777777" w:rsidR="005D50D2" w:rsidRPr="00607285" w:rsidRDefault="005D50D2" w:rsidP="005D50D2">
            <w:pPr>
              <w:autoSpaceDE w:val="0"/>
              <w:autoSpaceDN w:val="0"/>
              <w:adjustRightInd w:val="0"/>
              <w:ind w:firstLine="360"/>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800" w:type="dxa"/>
          </w:tcPr>
          <w:p w14:paraId="075A8ED6" w14:textId="0146B4C1" w:rsidR="005D50D2" w:rsidRPr="00607285" w:rsidRDefault="005D50D2" w:rsidP="005D50D2">
            <w:pPr>
              <w:autoSpaceDE w:val="0"/>
              <w:autoSpaceDN w:val="0"/>
              <w:adjustRightInd w:val="0"/>
              <w:ind w:right="60"/>
              <w:rPr>
                <w:rFonts w:ascii="Arial" w:hAnsi="Arial" w:cs="Arial"/>
                <w:sz w:val="20"/>
                <w:szCs w:val="20"/>
              </w:rPr>
            </w:pPr>
            <w:r w:rsidRPr="005D50D2">
              <w:rPr>
                <w:rFonts w:ascii="Arial" w:hAnsi="Arial" w:cs="Arial"/>
                <w:sz w:val="20"/>
                <w:szCs w:val="20"/>
              </w:rPr>
              <w:t>ldr_x3</w:t>
            </w:r>
          </w:p>
        </w:tc>
        <w:tc>
          <w:tcPr>
            <w:tcW w:w="1175" w:type="dxa"/>
          </w:tcPr>
          <w:p w14:paraId="38265DFE" w14:textId="23B14725"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.052</w:t>
            </w:r>
          </w:p>
        </w:tc>
        <w:tc>
          <w:tcPr>
            <w:tcW w:w="1260" w:type="dxa"/>
          </w:tcPr>
          <w:p w14:paraId="32F0A03B" w14:textId="0BBAC345"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.038</w:t>
            </w:r>
          </w:p>
        </w:tc>
        <w:tc>
          <w:tcPr>
            <w:tcW w:w="1620" w:type="dxa"/>
          </w:tcPr>
          <w:p w14:paraId="543FD1CC" w14:textId="16E1D4BB" w:rsidR="005D50D2" w:rsidRPr="00607285" w:rsidRDefault="005D50D2" w:rsidP="005D50D2">
            <w:pPr>
              <w:autoSpaceDE w:val="0"/>
              <w:autoSpaceDN w:val="0"/>
              <w:adjustRightInd w:val="0"/>
              <w:ind w:right="60" w:firstLine="3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p>
        </w:tc>
        <w:tc>
          <w:tcPr>
            <w:tcW w:w="1260" w:type="dxa"/>
          </w:tcPr>
          <w:p w14:paraId="2F605B33" w14:textId="655E86B5" w:rsidR="005D50D2" w:rsidRPr="00607285" w:rsidRDefault="005D50D2" w:rsidP="005D50D2">
            <w:pPr>
              <w:autoSpaceDE w:val="0"/>
              <w:autoSpaceDN w:val="0"/>
              <w:adjustRightInd w:val="0"/>
              <w:ind w:right="60" w:firstLine="360"/>
              <w:jc w:val="right"/>
              <w:rPr>
                <w:rFonts w:ascii="Arial" w:hAnsi="Arial" w:cs="Arial"/>
                <w:sz w:val="20"/>
                <w:szCs w:val="20"/>
              </w:rPr>
            </w:pPr>
            <w:r w:rsidRPr="005D50D2">
              <w:rPr>
                <w:rFonts w:ascii="Arial" w:hAnsi="Arial" w:cs="Arial"/>
                <w:sz w:val="20"/>
                <w:szCs w:val="20"/>
              </w:rPr>
              <w:t>.125</w:t>
            </w:r>
          </w:p>
        </w:tc>
        <w:tc>
          <w:tcPr>
            <w:tcW w:w="1080" w:type="dxa"/>
          </w:tcPr>
          <w:p w14:paraId="1E977012" w14:textId="41F241D2" w:rsidR="005D50D2" w:rsidRPr="00607285" w:rsidRDefault="005D50D2" w:rsidP="005D50D2">
            <w:pPr>
              <w:autoSpaceDE w:val="0"/>
              <w:autoSpaceDN w:val="0"/>
              <w:adjustRightInd w:val="0"/>
              <w:ind w:right="60"/>
              <w:jc w:val="right"/>
              <w:cnfStyle w:val="000010000000" w:firstRow="0" w:lastRow="0" w:firstColumn="0" w:lastColumn="0" w:oddVBand="1" w:evenVBand="0" w:oddHBand="0" w:evenHBand="0" w:firstRowFirstColumn="0" w:firstRowLastColumn="0" w:lastRowFirstColumn="0" w:lastRowLastColumn="0"/>
              <w:rPr>
                <w:rFonts w:ascii="Arial" w:hAnsi="Arial" w:cs="Arial"/>
                <w:sz w:val="20"/>
                <w:szCs w:val="20"/>
              </w:rPr>
            </w:pPr>
            <w:r w:rsidRPr="005D50D2">
              <w:rPr>
                <w:rFonts w:ascii="Arial" w:hAnsi="Arial" w:cs="Arial"/>
                <w:sz w:val="20"/>
                <w:szCs w:val="20"/>
              </w:rPr>
              <w:t>1.373</w:t>
            </w:r>
          </w:p>
        </w:tc>
      </w:tr>
      <w:tr w:rsidR="005D50D2" w:rsidRPr="00607285" w14:paraId="5CE2DDB0" w14:textId="77777777" w:rsidTr="0006423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55" w:type="dxa"/>
            <w:vMerge/>
            <w:tcBorders>
              <w:bottom w:val="none" w:sz="0" w:space="0" w:color="auto"/>
            </w:tcBorders>
          </w:tcPr>
          <w:p w14:paraId="1FC7366E" w14:textId="77777777" w:rsidR="005D50D2" w:rsidRPr="00607285" w:rsidRDefault="005D50D2" w:rsidP="005D50D2">
            <w:pPr>
              <w:autoSpaceDE w:val="0"/>
              <w:autoSpaceDN w:val="0"/>
              <w:adjustRightInd w:val="0"/>
              <w:ind w:firstLine="360"/>
              <w:rPr>
                <w:rFonts w:ascii="Arial" w:hAnsi="Arial" w:cs="Arial"/>
                <w:sz w:val="20"/>
                <w:szCs w:val="20"/>
              </w:rPr>
            </w:pPr>
          </w:p>
        </w:tc>
        <w:tc>
          <w:tcPr>
            <w:tcW w:w="1800" w:type="dxa"/>
            <w:tcBorders>
              <w:bottom w:val="none" w:sz="0" w:space="0" w:color="auto"/>
            </w:tcBorders>
          </w:tcPr>
          <w:p w14:paraId="387FEF28" w14:textId="301C048E" w:rsidR="005D50D2" w:rsidRPr="00607285" w:rsidRDefault="005D50D2" w:rsidP="005D50D2">
            <w:pPr>
              <w:autoSpaceDE w:val="0"/>
              <w:autoSpaceDN w:val="0"/>
              <w:adjustRightInd w:val="0"/>
              <w:ind w:right="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size_x4</w:t>
            </w:r>
          </w:p>
        </w:tc>
        <w:tc>
          <w:tcPr>
            <w:cnfStyle w:val="000010000000" w:firstRow="0" w:lastRow="0" w:firstColumn="0" w:lastColumn="0" w:oddVBand="1" w:evenVBand="0" w:oddHBand="0" w:evenHBand="0" w:firstRowFirstColumn="0" w:firstRowLastColumn="0" w:lastRowFirstColumn="0" w:lastRowLastColumn="0"/>
            <w:tcW w:w="1175" w:type="dxa"/>
            <w:tcBorders>
              <w:bottom w:val="none" w:sz="0" w:space="0" w:color="auto"/>
            </w:tcBorders>
          </w:tcPr>
          <w:p w14:paraId="1F06992A" w14:textId="78118BA1"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-1,261</w:t>
            </w:r>
          </w:p>
        </w:tc>
        <w:tc>
          <w:tcPr>
            <w:tcW w:w="1260" w:type="dxa"/>
            <w:tcBorders>
              <w:bottom w:val="none" w:sz="0" w:space="0" w:color="auto"/>
            </w:tcBorders>
          </w:tcPr>
          <w:p w14:paraId="5B2EAC9C" w14:textId="67872988"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1.355</w:t>
            </w:r>
          </w:p>
        </w:tc>
        <w:tc>
          <w:tcPr>
            <w:cnfStyle w:val="000010000000" w:firstRow="0" w:lastRow="0" w:firstColumn="0" w:lastColumn="0" w:oddVBand="1" w:evenVBand="0" w:oddHBand="0" w:evenHBand="0" w:firstRowFirstColumn="0" w:firstRowLastColumn="0" w:lastRowFirstColumn="0" w:lastRowLastColumn="0"/>
            <w:tcW w:w="1620" w:type="dxa"/>
            <w:tcBorders>
              <w:bottom w:val="none" w:sz="0" w:space="0" w:color="auto"/>
            </w:tcBorders>
          </w:tcPr>
          <w:p w14:paraId="28A0BA09" w14:textId="475127F6" w:rsidR="005D50D2" w:rsidRPr="00607285" w:rsidRDefault="005D50D2" w:rsidP="005D50D2">
            <w:pPr>
              <w:autoSpaceDE w:val="0"/>
              <w:autoSpaceDN w:val="0"/>
              <w:adjustRightInd w:val="0"/>
              <w:ind w:right="60" w:firstLine="360"/>
              <w:jc w:val="right"/>
              <w:rPr>
                <w:rFonts w:ascii="Arial" w:hAnsi="Arial" w:cs="Arial"/>
                <w:sz w:val="20"/>
                <w:szCs w:val="20"/>
              </w:rPr>
            </w:pPr>
          </w:p>
        </w:tc>
        <w:tc>
          <w:tcPr>
            <w:tcW w:w="1260" w:type="dxa"/>
            <w:tcBorders>
              <w:bottom w:val="none" w:sz="0" w:space="0" w:color="auto"/>
            </w:tcBorders>
          </w:tcPr>
          <w:p w14:paraId="390DAB2F" w14:textId="61AAFC13" w:rsidR="005D50D2" w:rsidRPr="00607285" w:rsidRDefault="005D50D2" w:rsidP="005D50D2">
            <w:pPr>
              <w:autoSpaceDE w:val="0"/>
              <w:autoSpaceDN w:val="0"/>
              <w:adjustRightInd w:val="0"/>
              <w:ind w:right="60" w:firstLine="36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50D2">
              <w:rPr>
                <w:rFonts w:ascii="Arial" w:hAnsi="Arial" w:cs="Arial"/>
                <w:sz w:val="20"/>
                <w:szCs w:val="20"/>
              </w:rPr>
              <w:t>-.083</w:t>
            </w:r>
          </w:p>
        </w:tc>
        <w:tc>
          <w:tcPr>
            <w:cnfStyle w:val="000010000000" w:firstRow="0" w:lastRow="0" w:firstColumn="0" w:lastColumn="0" w:oddVBand="1" w:evenVBand="0" w:oddHBand="0" w:evenHBand="0" w:firstRowFirstColumn="0" w:firstRowLastColumn="0" w:lastRowFirstColumn="0" w:lastRowLastColumn="0"/>
            <w:tcW w:w="1080" w:type="dxa"/>
            <w:tcBorders>
              <w:bottom w:val="none" w:sz="0" w:space="0" w:color="auto"/>
            </w:tcBorders>
          </w:tcPr>
          <w:p w14:paraId="5C6D0197" w14:textId="379FA224" w:rsidR="005D50D2" w:rsidRPr="00607285" w:rsidRDefault="005D50D2" w:rsidP="005D50D2">
            <w:pPr>
              <w:autoSpaceDE w:val="0"/>
              <w:autoSpaceDN w:val="0"/>
              <w:adjustRightInd w:val="0"/>
              <w:ind w:right="60"/>
              <w:jc w:val="right"/>
              <w:rPr>
                <w:rFonts w:ascii="Arial" w:hAnsi="Arial" w:cs="Arial"/>
                <w:sz w:val="20"/>
                <w:szCs w:val="20"/>
              </w:rPr>
            </w:pPr>
            <w:r w:rsidRPr="005D50D2">
              <w:rPr>
                <w:rFonts w:ascii="Arial" w:hAnsi="Arial" w:cs="Arial"/>
                <w:sz w:val="20"/>
                <w:szCs w:val="20"/>
              </w:rPr>
              <w:t>-.931</w:t>
            </w:r>
          </w:p>
        </w:tc>
      </w:tr>
    </w:tbl>
    <w:p w14:paraId="698A7E64" w14:textId="77777777" w:rsidR="00434601" w:rsidRDefault="00434601" w:rsidP="00434601">
      <w:pPr>
        <w:widowControl w:val="0"/>
        <w:pBdr>
          <w:top w:val="nil"/>
          <w:left w:val="nil"/>
          <w:bottom w:val="nil"/>
          <w:right w:val="nil"/>
          <w:between w:val="nil"/>
        </w:pBdr>
        <w:jc w:val="both"/>
        <w:rPr>
          <w:rFonts w:ascii="Arial" w:hAnsi="Arial" w:cs="Arial"/>
          <w:color w:val="000000"/>
        </w:rPr>
      </w:pPr>
    </w:p>
    <w:p w14:paraId="23F0A9DF" w14:textId="5849603C" w:rsidR="005D50D2" w:rsidRDefault="005D50D2" w:rsidP="005D50D2">
      <w:pPr>
        <w:widowControl w:val="0"/>
        <w:pBdr>
          <w:top w:val="nil"/>
          <w:left w:val="nil"/>
          <w:bottom w:val="nil"/>
          <w:right w:val="nil"/>
          <w:between w:val="nil"/>
        </w:pBdr>
        <w:jc w:val="both"/>
        <w:rPr>
          <w:rFonts w:ascii="Arial" w:hAnsi="Arial" w:cs="Arial"/>
          <w:color w:val="000000"/>
        </w:rPr>
      </w:pPr>
      <w:r w:rsidRPr="005D50D2">
        <w:rPr>
          <w:rFonts w:ascii="Arial" w:hAnsi="Arial" w:cs="Arial"/>
          <w:color w:val="000000"/>
        </w:rPr>
        <w:t>Based on Table 9, the CAR significance value is 0.010 &lt; 0.05 with a positive coefficient of</w:t>
      </w:r>
      <w:r>
        <w:rPr>
          <w:rFonts w:ascii="Arial" w:hAnsi="Arial" w:cs="Arial"/>
          <w:color w:val="000000"/>
        </w:rPr>
        <w:t xml:space="preserve"> </w:t>
      </w:r>
      <w:r w:rsidRPr="005D50D2">
        <w:rPr>
          <w:rFonts w:ascii="Arial" w:hAnsi="Arial" w:cs="Arial"/>
          <w:color w:val="000000"/>
        </w:rPr>
        <w:t>0.131, so H1 is accepted. The same result is also obtained by ROA with a significance value</w:t>
      </w:r>
      <w:r>
        <w:rPr>
          <w:rFonts w:ascii="Arial" w:hAnsi="Arial" w:cs="Arial"/>
          <w:color w:val="000000"/>
        </w:rPr>
        <w:t xml:space="preserve"> </w:t>
      </w:r>
      <w:r w:rsidRPr="005D50D2">
        <w:rPr>
          <w:rFonts w:ascii="Arial" w:hAnsi="Arial" w:cs="Arial"/>
          <w:color w:val="000000"/>
        </w:rPr>
        <w:t>of 0.000 &lt; 0.05 with a positive coefficient of 3.205, so H2 is accepted. However, the</w:t>
      </w:r>
      <w:r>
        <w:rPr>
          <w:rFonts w:ascii="Arial" w:hAnsi="Arial" w:cs="Arial"/>
          <w:color w:val="000000"/>
        </w:rPr>
        <w:t xml:space="preserve"> </w:t>
      </w:r>
      <w:r w:rsidRPr="005D50D2">
        <w:rPr>
          <w:rFonts w:ascii="Arial" w:hAnsi="Arial" w:cs="Arial"/>
          <w:color w:val="000000"/>
        </w:rPr>
        <w:t>significance value of LDR is 0.174 &gt; 0.05 with a positive coefficient of 0.052, so H3 is</w:t>
      </w:r>
      <w:r>
        <w:rPr>
          <w:rFonts w:ascii="Arial" w:hAnsi="Arial" w:cs="Arial"/>
          <w:color w:val="000000"/>
        </w:rPr>
        <w:t xml:space="preserve"> </w:t>
      </w:r>
      <w:r w:rsidRPr="005D50D2">
        <w:rPr>
          <w:rFonts w:ascii="Arial" w:hAnsi="Arial" w:cs="Arial"/>
          <w:color w:val="000000"/>
        </w:rPr>
        <w:t>rejected. Similarly, the SIZE variable shows a significance value of 0.355 &gt; 0.05 with a</w:t>
      </w:r>
      <w:r>
        <w:rPr>
          <w:rFonts w:ascii="Arial" w:hAnsi="Arial" w:cs="Arial"/>
          <w:color w:val="000000"/>
        </w:rPr>
        <w:t xml:space="preserve"> </w:t>
      </w:r>
      <w:r w:rsidRPr="005D50D2">
        <w:rPr>
          <w:rFonts w:ascii="Arial" w:hAnsi="Arial" w:cs="Arial"/>
          <w:color w:val="000000"/>
        </w:rPr>
        <w:t>negative coefficient of -1.261, so H4 is rejected.</w:t>
      </w:r>
    </w:p>
    <w:p w14:paraId="1F6E99E1" w14:textId="77777777" w:rsidR="00607285" w:rsidRDefault="00607285" w:rsidP="00441B6F">
      <w:pPr>
        <w:pStyle w:val="Body"/>
        <w:spacing w:after="0"/>
        <w:rPr>
          <w:rFonts w:ascii="Arial" w:hAnsi="Arial" w:cs="Arial"/>
        </w:rPr>
      </w:pPr>
    </w:p>
    <w:p w14:paraId="1B1F9F08" w14:textId="5689D4BC" w:rsidR="00434601" w:rsidRDefault="00434601" w:rsidP="00434601">
      <w:pPr>
        <w:pStyle w:val="Body"/>
        <w:spacing w:after="0"/>
        <w:rPr>
          <w:rFonts w:ascii="Arial" w:hAnsi="Arial" w:cs="Arial"/>
          <w:b/>
          <w:caps/>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2 DISCUSSION</w:t>
      </w:r>
    </w:p>
    <w:p w14:paraId="461AE77C" w14:textId="21321B41" w:rsidR="00434601" w:rsidRDefault="00434601" w:rsidP="00434601">
      <w:pPr>
        <w:pStyle w:val="Body"/>
        <w:spacing w:after="0"/>
        <w:rPr>
          <w:rFonts w:ascii="Arial" w:hAnsi="Arial" w:cs="Arial"/>
          <w:b/>
          <w:caps/>
          <w:sz w:val="22"/>
        </w:rPr>
      </w:pPr>
    </w:p>
    <w:p w14:paraId="7B45BFAD" w14:textId="43BE30E5" w:rsidR="00607285" w:rsidRDefault="00434601" w:rsidP="00434601">
      <w:pPr>
        <w:pStyle w:val="Body"/>
        <w:spacing w:after="0"/>
        <w:rPr>
          <w:rFonts w:ascii="Arial" w:hAnsi="Arial" w:cs="Arial"/>
        </w:rPr>
      </w:pP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5E11F2">
        <w:rPr>
          <w:rFonts w:ascii="Arial" w:hAnsi="Arial" w:cs="Arial"/>
          <w:b/>
          <w:u w:val="single"/>
        </w:rPr>
        <w:t xml:space="preserve">The Effect of </w:t>
      </w:r>
      <w:r w:rsidR="003C2107" w:rsidRPr="003C2107">
        <w:rPr>
          <w:rFonts w:ascii="Arial" w:hAnsi="Arial" w:cs="Arial"/>
          <w:b/>
          <w:u w:val="single"/>
        </w:rPr>
        <w:t>Capital Adequacy on Liquidity</w:t>
      </w:r>
    </w:p>
    <w:p w14:paraId="5D3D8E33" w14:textId="77777777" w:rsidR="00607285" w:rsidRDefault="00607285" w:rsidP="00434601">
      <w:pPr>
        <w:pStyle w:val="Body"/>
        <w:spacing w:after="0"/>
        <w:rPr>
          <w:rFonts w:ascii="Arial" w:hAnsi="Arial" w:cs="Arial"/>
        </w:rPr>
      </w:pPr>
    </w:p>
    <w:p w14:paraId="045A80DF" w14:textId="47593D3A" w:rsidR="00434601" w:rsidRPr="00434601" w:rsidRDefault="003C2107" w:rsidP="007B314B">
      <w:pPr>
        <w:pStyle w:val="Body"/>
        <w:spacing w:after="0"/>
        <w:rPr>
          <w:rFonts w:ascii="Arial" w:hAnsi="Arial" w:cs="Arial"/>
        </w:rPr>
      </w:pPr>
      <w:r w:rsidRPr="003C2107">
        <w:rPr>
          <w:rFonts w:ascii="Arial" w:hAnsi="Arial" w:cs="Arial"/>
        </w:rPr>
        <w:t>Based on the results of the t-test, it can be seen that the Capital Adequacy Ratio variable</w:t>
      </w:r>
      <w:r w:rsidR="007B314B">
        <w:rPr>
          <w:rFonts w:ascii="Arial" w:hAnsi="Arial" w:cs="Arial"/>
        </w:rPr>
        <w:t xml:space="preserve"> </w:t>
      </w:r>
      <w:r w:rsidRPr="003C2107">
        <w:rPr>
          <w:rFonts w:ascii="Arial" w:hAnsi="Arial" w:cs="Arial"/>
        </w:rPr>
        <w:t>has a coefficient of 2.650 with a significance value of 0.010, which means that there is a</w:t>
      </w:r>
      <w:r w:rsidR="007B314B">
        <w:rPr>
          <w:rFonts w:ascii="Arial" w:hAnsi="Arial" w:cs="Arial"/>
        </w:rPr>
        <w:t xml:space="preserve"> </w:t>
      </w:r>
      <w:r w:rsidRPr="003C2107">
        <w:rPr>
          <w:rFonts w:ascii="Arial" w:hAnsi="Arial" w:cs="Arial"/>
        </w:rPr>
        <w:t>positive effect on liquidity at the East Java</w:t>
      </w:r>
      <w:bookmarkStart w:id="0" w:name="_GoBack"/>
      <w:bookmarkEnd w:id="0"/>
      <w:r w:rsidRPr="003C2107">
        <w:rPr>
          <w:rFonts w:ascii="Arial" w:hAnsi="Arial" w:cs="Arial"/>
        </w:rPr>
        <w:t xml:space="preserve"> Provincial People's Economy Bank during the</w:t>
      </w:r>
      <w:r w:rsidR="007B314B">
        <w:rPr>
          <w:rFonts w:ascii="Arial" w:hAnsi="Arial" w:cs="Arial"/>
        </w:rPr>
        <w:t xml:space="preserve"> </w:t>
      </w:r>
      <w:r w:rsidRPr="003C2107">
        <w:rPr>
          <w:rFonts w:ascii="Arial" w:hAnsi="Arial" w:cs="Arial"/>
        </w:rPr>
        <w:t xml:space="preserve">2022-2024 period. The results of this study are similar to those of Rufaidah et al. </w:t>
      </w:r>
      <w:proofErr w:type="gramStart"/>
      <w:r w:rsidRPr="003C2107">
        <w:rPr>
          <w:rFonts w:ascii="Arial" w:hAnsi="Arial" w:cs="Arial"/>
        </w:rPr>
        <w:t>( 2021</w:t>
      </w:r>
      <w:proofErr w:type="gramEnd"/>
      <w:r w:rsidRPr="003C2107">
        <w:rPr>
          <w:rFonts w:ascii="Arial" w:hAnsi="Arial" w:cs="Arial"/>
        </w:rPr>
        <w:t>) on</w:t>
      </w:r>
      <w:r w:rsidR="007B314B">
        <w:rPr>
          <w:rFonts w:ascii="Arial" w:hAnsi="Arial" w:cs="Arial"/>
        </w:rPr>
        <w:t xml:space="preserve">    </w:t>
      </w:r>
      <w:r w:rsidRPr="003C2107">
        <w:rPr>
          <w:rFonts w:ascii="Arial" w:hAnsi="Arial" w:cs="Arial"/>
        </w:rPr>
        <w:t xml:space="preserve"> will also decrease. The results of this study are very relevant and in line with the</w:t>
      </w:r>
      <w:r w:rsidR="007B314B">
        <w:rPr>
          <w:rFonts w:ascii="Arial" w:hAnsi="Arial" w:cs="Arial"/>
        </w:rPr>
        <w:t xml:space="preserve"> </w:t>
      </w:r>
      <w:r w:rsidRPr="003C2107">
        <w:rPr>
          <w:rFonts w:ascii="Arial" w:hAnsi="Arial" w:cs="Arial"/>
        </w:rPr>
        <w:t>main principles of Bank Health Theory, which emphasizes the importance of strong capital</w:t>
      </w:r>
      <w:r w:rsidR="007B314B">
        <w:rPr>
          <w:rFonts w:ascii="Arial" w:hAnsi="Arial" w:cs="Arial"/>
        </w:rPr>
        <w:t xml:space="preserve"> </w:t>
      </w:r>
      <w:r w:rsidRPr="003C2107">
        <w:rPr>
          <w:rFonts w:ascii="Arial" w:hAnsi="Arial" w:cs="Arial"/>
        </w:rPr>
        <w:t xml:space="preserve">as the </w:t>
      </w:r>
      <w:r w:rsidRPr="003C2107">
        <w:rPr>
          <w:rFonts w:ascii="Arial" w:hAnsi="Arial" w:cs="Arial"/>
        </w:rPr>
        <w:lastRenderedPageBreak/>
        <w:t>foundation for the stability and sustainability of a financial institution's operations. The</w:t>
      </w:r>
      <w:r w:rsidR="007B314B">
        <w:rPr>
          <w:rFonts w:ascii="Arial" w:hAnsi="Arial" w:cs="Arial"/>
        </w:rPr>
        <w:t xml:space="preserve"> </w:t>
      </w:r>
      <w:r w:rsidRPr="003C2107">
        <w:rPr>
          <w:rFonts w:ascii="Arial" w:hAnsi="Arial" w:cs="Arial"/>
        </w:rPr>
        <w:t>Capital Adequacy Ratio, as an indicator of banking health, reflects a bank's ability to absorb</w:t>
      </w:r>
      <w:r w:rsidR="007B314B">
        <w:rPr>
          <w:rFonts w:ascii="Arial" w:hAnsi="Arial" w:cs="Arial"/>
        </w:rPr>
        <w:t xml:space="preserve"> </w:t>
      </w:r>
      <w:r w:rsidRPr="003C2107">
        <w:rPr>
          <w:rFonts w:ascii="Arial" w:hAnsi="Arial" w:cs="Arial"/>
        </w:rPr>
        <w:t>unexpected losses. On the other hand, liquidity refers to a bank's ability to meet its short</w:t>
      </w:r>
      <w:r w:rsidR="007B314B">
        <w:rPr>
          <w:rFonts w:ascii="Arial" w:hAnsi="Arial" w:cs="Arial"/>
        </w:rPr>
        <w:t>-</w:t>
      </w:r>
      <w:r w:rsidRPr="003C2107">
        <w:rPr>
          <w:rFonts w:ascii="Arial" w:hAnsi="Arial" w:cs="Arial"/>
        </w:rPr>
        <w:t>term obligations. The interaction between CAR and liquidity is a crucial aspect of banking</w:t>
      </w:r>
      <w:r w:rsidR="007B314B">
        <w:rPr>
          <w:rFonts w:ascii="Arial" w:hAnsi="Arial" w:cs="Arial"/>
        </w:rPr>
        <w:t xml:space="preserve"> </w:t>
      </w:r>
      <w:r w:rsidRPr="003C2107">
        <w:rPr>
          <w:rFonts w:ascii="Arial" w:hAnsi="Arial" w:cs="Arial"/>
        </w:rPr>
        <w:t>risk management and the stability of the financial system as a whole.</w:t>
      </w:r>
    </w:p>
    <w:p w14:paraId="1F0E8C35" w14:textId="77777777" w:rsidR="00434601" w:rsidRPr="00434601" w:rsidRDefault="00434601" w:rsidP="00434601">
      <w:pPr>
        <w:pStyle w:val="Body"/>
        <w:spacing w:after="0"/>
        <w:rPr>
          <w:rFonts w:ascii="Arial" w:hAnsi="Arial" w:cs="Arial"/>
        </w:rPr>
      </w:pPr>
    </w:p>
    <w:p w14:paraId="0C2592A4" w14:textId="003A0A9D" w:rsidR="00434601" w:rsidRDefault="00434601" w:rsidP="00434601">
      <w:pPr>
        <w:pStyle w:val="Body"/>
        <w:spacing w:after="0"/>
        <w:rPr>
          <w:rFonts w:ascii="Arial" w:hAnsi="Arial" w:cs="Arial"/>
          <w:b/>
          <w:u w:val="single"/>
        </w:rPr>
      </w:pPr>
      <w:r>
        <w:rPr>
          <w:rFonts w:ascii="Arial" w:hAnsi="Arial" w:cs="Arial"/>
          <w:b/>
          <w:u w:val="single"/>
        </w:rPr>
        <w:t xml:space="preserve">4.2.2 </w:t>
      </w:r>
      <w:r w:rsidRPr="00434601">
        <w:rPr>
          <w:rFonts w:ascii="Arial" w:hAnsi="Arial" w:cs="Arial"/>
          <w:b/>
          <w:u w:val="single"/>
        </w:rPr>
        <w:t xml:space="preserve">The Effect of </w:t>
      </w:r>
      <w:r w:rsidR="007B314B" w:rsidRPr="007B314B">
        <w:rPr>
          <w:rFonts w:ascii="Arial" w:hAnsi="Arial" w:cs="Arial"/>
          <w:b/>
          <w:u w:val="single"/>
        </w:rPr>
        <w:t>Profitability on Liquidity</w:t>
      </w:r>
    </w:p>
    <w:p w14:paraId="605A9F66" w14:textId="77777777" w:rsidR="00434601" w:rsidRPr="00434601" w:rsidRDefault="00434601" w:rsidP="00434601">
      <w:pPr>
        <w:pStyle w:val="Body"/>
        <w:spacing w:after="0"/>
        <w:rPr>
          <w:rFonts w:ascii="Arial" w:hAnsi="Arial" w:cs="Arial"/>
          <w:b/>
          <w:u w:val="single"/>
        </w:rPr>
      </w:pPr>
    </w:p>
    <w:p w14:paraId="5F414959" w14:textId="148B8C52" w:rsidR="007B314B" w:rsidRPr="007B314B" w:rsidRDefault="007B314B" w:rsidP="007B314B">
      <w:pPr>
        <w:pStyle w:val="Body"/>
        <w:spacing w:after="0"/>
        <w:rPr>
          <w:rFonts w:ascii="Arial" w:hAnsi="Arial" w:cs="Arial"/>
        </w:rPr>
      </w:pPr>
      <w:r w:rsidRPr="007B314B">
        <w:rPr>
          <w:rFonts w:ascii="Arial" w:hAnsi="Arial" w:cs="Arial"/>
        </w:rPr>
        <w:t xml:space="preserve">Based on the results of the t-test, it can be seen that the Return </w:t>
      </w:r>
      <w:proofErr w:type="gramStart"/>
      <w:r w:rsidRPr="007B314B">
        <w:rPr>
          <w:rFonts w:ascii="Arial" w:hAnsi="Arial" w:cs="Arial"/>
        </w:rPr>
        <w:t>On</w:t>
      </w:r>
      <w:proofErr w:type="gramEnd"/>
      <w:r w:rsidRPr="007B314B">
        <w:rPr>
          <w:rFonts w:ascii="Arial" w:hAnsi="Arial" w:cs="Arial"/>
        </w:rPr>
        <w:t xml:space="preserve"> Asset variable has a</w:t>
      </w:r>
      <w:r>
        <w:rPr>
          <w:rFonts w:ascii="Arial" w:hAnsi="Arial" w:cs="Arial"/>
        </w:rPr>
        <w:t xml:space="preserve"> </w:t>
      </w:r>
      <w:r w:rsidRPr="007B314B">
        <w:rPr>
          <w:rFonts w:ascii="Arial" w:hAnsi="Arial" w:cs="Arial"/>
        </w:rPr>
        <w:t>regression coefficient of 5.609 with a significance value of 0.000, which means that there is a</w:t>
      </w:r>
      <w:r>
        <w:rPr>
          <w:rFonts w:ascii="Arial" w:hAnsi="Arial" w:cs="Arial"/>
        </w:rPr>
        <w:t xml:space="preserve"> </w:t>
      </w:r>
      <w:r w:rsidRPr="007B314B">
        <w:rPr>
          <w:rFonts w:ascii="Arial" w:hAnsi="Arial" w:cs="Arial"/>
        </w:rPr>
        <w:t>positive effect on liquidity at the East Java Provincial People's Economy Bank during the</w:t>
      </w:r>
      <w:r>
        <w:rPr>
          <w:rFonts w:ascii="Arial" w:hAnsi="Arial" w:cs="Arial"/>
        </w:rPr>
        <w:t xml:space="preserve"> </w:t>
      </w:r>
      <w:r w:rsidRPr="007B314B">
        <w:rPr>
          <w:rFonts w:ascii="Arial" w:hAnsi="Arial" w:cs="Arial"/>
        </w:rPr>
        <w:t>2022-2024 period. The results of this study are similar to those of Hardy (2025) in his study</w:t>
      </w:r>
      <w:r>
        <w:rPr>
          <w:rFonts w:ascii="Arial" w:hAnsi="Arial" w:cs="Arial"/>
        </w:rPr>
        <w:t xml:space="preserve"> </w:t>
      </w:r>
      <w:r w:rsidRPr="007B314B">
        <w:rPr>
          <w:rFonts w:ascii="Arial" w:hAnsi="Arial" w:cs="Arial"/>
        </w:rPr>
        <w:t>entitled "Analysis of the Effect of ROA, CAR, and NPL on the Liquidity of BRI for the Period</w:t>
      </w:r>
      <w:r>
        <w:rPr>
          <w:rFonts w:ascii="Arial" w:hAnsi="Arial" w:cs="Arial"/>
        </w:rPr>
        <w:t xml:space="preserve"> </w:t>
      </w:r>
      <w:r w:rsidRPr="007B314B">
        <w:rPr>
          <w:rFonts w:ascii="Arial" w:hAnsi="Arial" w:cs="Arial"/>
        </w:rPr>
        <w:t>2019-2023". Similarly, research conducted by Tahu et al. (2023) on "The Effect of Capital</w:t>
      </w:r>
      <w:r>
        <w:rPr>
          <w:rFonts w:ascii="Arial" w:hAnsi="Arial" w:cs="Arial"/>
        </w:rPr>
        <w:t xml:space="preserve"> </w:t>
      </w:r>
      <w:r w:rsidRPr="007B314B">
        <w:rPr>
          <w:rFonts w:ascii="Arial" w:hAnsi="Arial" w:cs="Arial"/>
        </w:rPr>
        <w:t>Ratio, Credit Risk, and Profitability on Liquidity in Commercial Banks Listed on the Indonesia</w:t>
      </w:r>
      <w:r>
        <w:rPr>
          <w:rFonts w:ascii="Arial" w:hAnsi="Arial" w:cs="Arial"/>
        </w:rPr>
        <w:t xml:space="preserve"> </w:t>
      </w:r>
      <w:r w:rsidRPr="007B314B">
        <w:rPr>
          <w:rFonts w:ascii="Arial" w:hAnsi="Arial" w:cs="Arial"/>
        </w:rPr>
        <w:t>Stock Exchange".</w:t>
      </w:r>
    </w:p>
    <w:p w14:paraId="3FB956F9" w14:textId="77777777" w:rsidR="007B314B" w:rsidRDefault="007B314B" w:rsidP="007B314B">
      <w:pPr>
        <w:pStyle w:val="Body"/>
        <w:spacing w:after="0"/>
        <w:rPr>
          <w:rFonts w:ascii="Arial" w:hAnsi="Arial" w:cs="Arial"/>
        </w:rPr>
      </w:pPr>
    </w:p>
    <w:p w14:paraId="22631593" w14:textId="777F7050" w:rsidR="007B314B" w:rsidRDefault="007B314B" w:rsidP="007B314B">
      <w:pPr>
        <w:pStyle w:val="Body"/>
        <w:spacing w:after="0"/>
        <w:rPr>
          <w:rFonts w:ascii="Arial" w:hAnsi="Arial" w:cs="Arial"/>
        </w:rPr>
      </w:pPr>
      <w:r w:rsidRPr="007B314B">
        <w:rPr>
          <w:rFonts w:ascii="Arial" w:hAnsi="Arial" w:cs="Arial"/>
        </w:rPr>
        <w:t>If ROA increases, the bank's liquidity will also increase, and vice versa, if ROA decreases,</w:t>
      </w:r>
      <w:r>
        <w:rPr>
          <w:rFonts w:ascii="Arial" w:hAnsi="Arial" w:cs="Arial"/>
        </w:rPr>
        <w:t xml:space="preserve"> </w:t>
      </w:r>
      <w:r w:rsidRPr="007B314B">
        <w:rPr>
          <w:rFonts w:ascii="Arial" w:hAnsi="Arial" w:cs="Arial"/>
        </w:rPr>
        <w:t>liquidity will also decrease. The results of this study are in line with the hypothesis and health</w:t>
      </w:r>
      <w:r>
        <w:rPr>
          <w:rFonts w:ascii="Arial" w:hAnsi="Arial" w:cs="Arial"/>
        </w:rPr>
        <w:t xml:space="preserve"> </w:t>
      </w:r>
      <w:r w:rsidRPr="007B314B">
        <w:rPr>
          <w:rFonts w:ascii="Arial" w:hAnsi="Arial" w:cs="Arial"/>
        </w:rPr>
        <w:t>theory, where high ROA tends to have better liquidity due to their ability to generate profits</w:t>
      </w:r>
      <w:r>
        <w:rPr>
          <w:rFonts w:ascii="Arial" w:hAnsi="Arial" w:cs="Arial"/>
        </w:rPr>
        <w:t xml:space="preserve"> </w:t>
      </w:r>
      <w:r w:rsidRPr="007B314B">
        <w:rPr>
          <w:rFonts w:ascii="Arial" w:hAnsi="Arial" w:cs="Arial"/>
        </w:rPr>
        <w:t>from their assets. The financial health of a bank is highly dependent on its ability to generate</w:t>
      </w:r>
      <w:r>
        <w:rPr>
          <w:rFonts w:ascii="Arial" w:hAnsi="Arial" w:cs="Arial"/>
        </w:rPr>
        <w:t xml:space="preserve"> </w:t>
      </w:r>
      <w:r w:rsidRPr="007B314B">
        <w:rPr>
          <w:rFonts w:ascii="Arial" w:hAnsi="Arial" w:cs="Arial"/>
        </w:rPr>
        <w:t>profits. Profitability is a reflection of effective management and business strategy. This</w:t>
      </w:r>
      <w:r>
        <w:rPr>
          <w:rFonts w:ascii="Arial" w:hAnsi="Arial" w:cs="Arial"/>
        </w:rPr>
        <w:t xml:space="preserve"> </w:t>
      </w:r>
      <w:r w:rsidRPr="007B314B">
        <w:rPr>
          <w:rFonts w:ascii="Arial" w:hAnsi="Arial" w:cs="Arial"/>
        </w:rPr>
        <w:t>trust is crucial for liquidity. Customers will feel safer and more confident to deposit their funds</w:t>
      </w:r>
      <w:r>
        <w:rPr>
          <w:rFonts w:ascii="Arial" w:hAnsi="Arial" w:cs="Arial"/>
        </w:rPr>
        <w:t xml:space="preserve"> </w:t>
      </w:r>
      <w:r w:rsidRPr="007B314B">
        <w:rPr>
          <w:rFonts w:ascii="Arial" w:hAnsi="Arial" w:cs="Arial"/>
        </w:rPr>
        <w:t>in a healthy and profitable bank, thereby reducing the risk of mass withdrawals that can</w:t>
      </w:r>
      <w:r>
        <w:rPr>
          <w:rFonts w:ascii="Arial" w:hAnsi="Arial" w:cs="Arial"/>
        </w:rPr>
        <w:t xml:space="preserve"> </w:t>
      </w:r>
      <w:r w:rsidRPr="007B314B">
        <w:rPr>
          <w:rFonts w:ascii="Arial" w:hAnsi="Arial" w:cs="Arial"/>
        </w:rPr>
        <w:t>drastically deplete liquidity.</w:t>
      </w:r>
    </w:p>
    <w:p w14:paraId="6E462E3A" w14:textId="77777777" w:rsidR="007B314B" w:rsidRDefault="007B314B" w:rsidP="00434601">
      <w:pPr>
        <w:pStyle w:val="Body"/>
        <w:spacing w:after="0"/>
        <w:rPr>
          <w:rFonts w:ascii="Arial" w:hAnsi="Arial" w:cs="Arial"/>
        </w:rPr>
      </w:pPr>
    </w:p>
    <w:p w14:paraId="51DAB7B7" w14:textId="4D8203D7" w:rsidR="00434601" w:rsidRPr="00434601" w:rsidRDefault="00434601" w:rsidP="00434601">
      <w:pPr>
        <w:pStyle w:val="Body"/>
        <w:spacing w:after="0"/>
        <w:rPr>
          <w:rFonts w:ascii="Arial" w:hAnsi="Arial" w:cs="Arial"/>
          <w:b/>
          <w:bCs/>
          <w:u w:val="single"/>
        </w:rPr>
      </w:pPr>
      <w:r w:rsidRPr="00434601">
        <w:rPr>
          <w:rFonts w:ascii="Arial" w:hAnsi="Arial" w:cs="Arial"/>
          <w:b/>
          <w:bCs/>
          <w:u w:val="single"/>
        </w:rPr>
        <w:t xml:space="preserve">4.2.3 The Effect of </w:t>
      </w:r>
      <w:r w:rsidR="007B314B" w:rsidRPr="007B314B">
        <w:rPr>
          <w:rFonts w:ascii="Arial" w:hAnsi="Arial" w:cs="Arial"/>
          <w:b/>
          <w:bCs/>
          <w:u w:val="single"/>
        </w:rPr>
        <w:t>Liquidity Risk on Liquidity</w:t>
      </w:r>
    </w:p>
    <w:p w14:paraId="22434632" w14:textId="77777777" w:rsidR="00434601" w:rsidRDefault="00434601" w:rsidP="00434601">
      <w:pPr>
        <w:pStyle w:val="Body"/>
        <w:spacing w:after="0"/>
        <w:rPr>
          <w:rFonts w:ascii="Arial" w:hAnsi="Arial" w:cs="Arial"/>
        </w:rPr>
      </w:pPr>
    </w:p>
    <w:p w14:paraId="64D24B03" w14:textId="725221FF" w:rsidR="007B314B" w:rsidRPr="007B314B" w:rsidRDefault="007B314B" w:rsidP="007B314B">
      <w:pPr>
        <w:pStyle w:val="Body"/>
        <w:spacing w:after="0"/>
        <w:rPr>
          <w:rFonts w:ascii="Arial" w:hAnsi="Arial" w:cs="Arial"/>
        </w:rPr>
      </w:pPr>
      <w:r w:rsidRPr="007B314B">
        <w:rPr>
          <w:rFonts w:ascii="Arial" w:hAnsi="Arial" w:cs="Arial"/>
        </w:rPr>
        <w:t>Based on the t-test results, it can be seen that the Load to Deposit Ratio variable with a</w:t>
      </w:r>
      <w:r>
        <w:rPr>
          <w:rFonts w:ascii="Arial" w:hAnsi="Arial" w:cs="Arial"/>
        </w:rPr>
        <w:t xml:space="preserve"> </w:t>
      </w:r>
      <w:r w:rsidRPr="007B314B">
        <w:rPr>
          <w:rFonts w:ascii="Arial" w:hAnsi="Arial" w:cs="Arial"/>
        </w:rPr>
        <w:t>regression coefficient of 1.373 and a significance value of 0.174 has no effect on liquidity at</w:t>
      </w:r>
      <w:r>
        <w:rPr>
          <w:rFonts w:ascii="Arial" w:hAnsi="Arial" w:cs="Arial"/>
        </w:rPr>
        <w:t xml:space="preserve"> </w:t>
      </w:r>
      <w:r w:rsidRPr="007B314B">
        <w:rPr>
          <w:rFonts w:ascii="Arial" w:hAnsi="Arial" w:cs="Arial"/>
        </w:rPr>
        <w:t>the East Java Provincial People's Economic Bank during the 2022-2024 period. The results</w:t>
      </w:r>
      <w:r>
        <w:rPr>
          <w:rFonts w:ascii="Arial" w:hAnsi="Arial" w:cs="Arial"/>
        </w:rPr>
        <w:t xml:space="preserve"> </w:t>
      </w:r>
      <w:r w:rsidRPr="007B314B">
        <w:rPr>
          <w:rFonts w:ascii="Arial" w:hAnsi="Arial" w:cs="Arial"/>
        </w:rPr>
        <w:t xml:space="preserve">of this study are consistent with those of </w:t>
      </w:r>
      <w:proofErr w:type="spellStart"/>
      <w:r w:rsidRPr="007B314B">
        <w:rPr>
          <w:rFonts w:ascii="Arial" w:hAnsi="Arial" w:cs="Arial"/>
        </w:rPr>
        <w:t>Yerismal</w:t>
      </w:r>
      <w:proofErr w:type="spellEnd"/>
      <w:r w:rsidRPr="007B314B">
        <w:rPr>
          <w:rFonts w:ascii="Arial" w:hAnsi="Arial" w:cs="Arial"/>
        </w:rPr>
        <w:t xml:space="preserve"> (2018) in his study titled "Analysis of the</w:t>
      </w:r>
      <w:r>
        <w:rPr>
          <w:rFonts w:ascii="Arial" w:hAnsi="Arial" w:cs="Arial"/>
        </w:rPr>
        <w:t xml:space="preserve"> </w:t>
      </w:r>
      <w:r w:rsidRPr="007B314B">
        <w:rPr>
          <w:rFonts w:ascii="Arial" w:hAnsi="Arial" w:cs="Arial"/>
        </w:rPr>
        <w:t>influence of LDR, NPL, and CAR on liquidity risk at Rural Credit Banks (BPR) in West</w:t>
      </w:r>
      <w:r>
        <w:rPr>
          <w:rFonts w:ascii="Arial" w:hAnsi="Arial" w:cs="Arial"/>
        </w:rPr>
        <w:t xml:space="preserve"> </w:t>
      </w:r>
      <w:r w:rsidRPr="007B314B">
        <w:rPr>
          <w:rFonts w:ascii="Arial" w:hAnsi="Arial" w:cs="Arial"/>
        </w:rPr>
        <w:t>Sumatra."</w:t>
      </w:r>
    </w:p>
    <w:p w14:paraId="7294AA92" w14:textId="445D28BA" w:rsidR="007B314B" w:rsidRPr="007B314B" w:rsidRDefault="007B314B" w:rsidP="007B314B">
      <w:pPr>
        <w:pStyle w:val="Body"/>
        <w:spacing w:after="0"/>
        <w:rPr>
          <w:rFonts w:ascii="Arial" w:hAnsi="Arial" w:cs="Arial"/>
        </w:rPr>
      </w:pPr>
    </w:p>
    <w:p w14:paraId="4F53075B" w14:textId="20F419FA" w:rsidR="007B314B" w:rsidRDefault="007B314B" w:rsidP="007B314B">
      <w:pPr>
        <w:pStyle w:val="Body"/>
        <w:spacing w:after="0"/>
        <w:rPr>
          <w:rFonts w:ascii="Arial" w:hAnsi="Arial" w:cs="Arial"/>
        </w:rPr>
      </w:pPr>
      <w:r w:rsidRPr="007B314B">
        <w:rPr>
          <w:rFonts w:ascii="Arial" w:hAnsi="Arial" w:cs="Arial"/>
        </w:rPr>
        <w:t>This study implies that a singular focus on LDR may no longer fully represent the complexity</w:t>
      </w:r>
      <w:r>
        <w:rPr>
          <w:rFonts w:ascii="Arial" w:hAnsi="Arial" w:cs="Arial"/>
        </w:rPr>
        <w:t xml:space="preserve"> </w:t>
      </w:r>
      <w:r w:rsidRPr="007B314B">
        <w:rPr>
          <w:rFonts w:ascii="Arial" w:hAnsi="Arial" w:cs="Arial"/>
        </w:rPr>
        <w:t>of bank liquidity management in an evolving financial landscape, where the role of financial</w:t>
      </w:r>
      <w:r>
        <w:rPr>
          <w:rFonts w:ascii="Arial" w:hAnsi="Arial" w:cs="Arial"/>
        </w:rPr>
        <w:t xml:space="preserve"> </w:t>
      </w:r>
      <w:r w:rsidRPr="007B314B">
        <w:rPr>
          <w:rFonts w:ascii="Arial" w:hAnsi="Arial" w:cs="Arial"/>
        </w:rPr>
        <w:t>intermediation goes beyond simply channeling funds from depositors to borrowers. This also</w:t>
      </w:r>
      <w:r>
        <w:rPr>
          <w:rFonts w:ascii="Arial" w:hAnsi="Arial" w:cs="Arial"/>
        </w:rPr>
        <w:t xml:space="preserve"> </w:t>
      </w:r>
      <w:r w:rsidRPr="007B314B">
        <w:rPr>
          <w:rFonts w:ascii="Arial" w:hAnsi="Arial" w:cs="Arial"/>
        </w:rPr>
        <w:t>reinforces the Anticipated Income Theory, which argues that what matters most is not the</w:t>
      </w:r>
      <w:r>
        <w:rPr>
          <w:rFonts w:ascii="Arial" w:hAnsi="Arial" w:cs="Arial"/>
        </w:rPr>
        <w:t xml:space="preserve"> </w:t>
      </w:r>
      <w:r w:rsidRPr="007B314B">
        <w:rPr>
          <w:rFonts w:ascii="Arial" w:hAnsi="Arial" w:cs="Arial"/>
        </w:rPr>
        <w:t>proportion of deposits that are lent out (LDR), but rather the certainty and stability of loan</w:t>
      </w:r>
      <w:r>
        <w:rPr>
          <w:rFonts w:ascii="Arial" w:hAnsi="Arial" w:cs="Arial"/>
        </w:rPr>
        <w:t xml:space="preserve"> </w:t>
      </w:r>
      <w:r w:rsidRPr="007B314B">
        <w:rPr>
          <w:rFonts w:ascii="Arial" w:hAnsi="Arial" w:cs="Arial"/>
        </w:rPr>
        <w:t>repayments. When banks successfully align loan maturity schedules with projected liabilities</w:t>
      </w:r>
      <w:r>
        <w:rPr>
          <w:rFonts w:ascii="Arial" w:hAnsi="Arial" w:cs="Arial"/>
        </w:rPr>
        <w:t xml:space="preserve"> </w:t>
      </w:r>
      <w:r w:rsidRPr="007B314B">
        <w:rPr>
          <w:rFonts w:ascii="Arial" w:hAnsi="Arial" w:cs="Arial"/>
        </w:rPr>
        <w:t>and fund withdrawals, they can maintain optimal liquidity, regardless of the LDR. The</w:t>
      </w:r>
      <w:r>
        <w:rPr>
          <w:rFonts w:ascii="Arial" w:hAnsi="Arial" w:cs="Arial"/>
        </w:rPr>
        <w:t xml:space="preserve"> </w:t>
      </w:r>
      <w:r w:rsidRPr="007B314B">
        <w:rPr>
          <w:rFonts w:ascii="Arial" w:hAnsi="Arial" w:cs="Arial"/>
        </w:rPr>
        <w:t>Anticipated Income Theory emphasizes the ability of banks to plan and rely on consistent</w:t>
      </w:r>
      <w:r>
        <w:rPr>
          <w:rFonts w:ascii="Arial" w:hAnsi="Arial" w:cs="Arial"/>
        </w:rPr>
        <w:t xml:space="preserve"> </w:t>
      </w:r>
      <w:r w:rsidRPr="007B314B">
        <w:rPr>
          <w:rFonts w:ascii="Arial" w:hAnsi="Arial" w:cs="Arial"/>
        </w:rPr>
        <w:t>cash inflows from loans, which may be more important than simply looking at static ratios</w:t>
      </w:r>
      <w:r>
        <w:rPr>
          <w:rFonts w:ascii="Arial" w:hAnsi="Arial" w:cs="Arial"/>
        </w:rPr>
        <w:t xml:space="preserve"> </w:t>
      </w:r>
      <w:r w:rsidRPr="007B314B">
        <w:rPr>
          <w:rFonts w:ascii="Arial" w:hAnsi="Arial" w:cs="Arial"/>
        </w:rPr>
        <w:t>such as the LDR</w:t>
      </w:r>
    </w:p>
    <w:p w14:paraId="55A1A09F" w14:textId="77777777" w:rsidR="007B314B" w:rsidRDefault="007B314B" w:rsidP="00434601">
      <w:pPr>
        <w:pStyle w:val="Body"/>
        <w:spacing w:after="0"/>
        <w:rPr>
          <w:rFonts w:ascii="Arial" w:hAnsi="Arial" w:cs="Arial"/>
        </w:rPr>
      </w:pPr>
    </w:p>
    <w:p w14:paraId="219AEF6D" w14:textId="34A16E46" w:rsidR="00434601" w:rsidRPr="00434601" w:rsidRDefault="00434601" w:rsidP="00434601">
      <w:pPr>
        <w:pStyle w:val="Body"/>
        <w:spacing w:after="0"/>
        <w:rPr>
          <w:rFonts w:ascii="Arial" w:hAnsi="Arial" w:cs="Arial"/>
          <w:b/>
          <w:bCs/>
          <w:u w:val="single"/>
        </w:rPr>
      </w:pPr>
      <w:r>
        <w:rPr>
          <w:rFonts w:ascii="Arial" w:hAnsi="Arial" w:cs="Arial"/>
          <w:b/>
          <w:bCs/>
          <w:u w:val="single"/>
        </w:rPr>
        <w:t xml:space="preserve">4.2.4 </w:t>
      </w:r>
      <w:r w:rsidRPr="00434601">
        <w:rPr>
          <w:rFonts w:ascii="Arial" w:hAnsi="Arial" w:cs="Arial"/>
          <w:b/>
          <w:bCs/>
          <w:u w:val="single"/>
        </w:rPr>
        <w:t xml:space="preserve">The Effect of </w:t>
      </w:r>
      <w:r w:rsidR="007B314B" w:rsidRPr="007B314B">
        <w:rPr>
          <w:rFonts w:ascii="Arial" w:hAnsi="Arial" w:cs="Arial"/>
          <w:b/>
          <w:bCs/>
          <w:u w:val="single"/>
        </w:rPr>
        <w:t>Company Size on Liquidity</w:t>
      </w:r>
    </w:p>
    <w:p w14:paraId="3CFF87A6" w14:textId="77777777" w:rsidR="00434601" w:rsidRDefault="00434601" w:rsidP="00434601">
      <w:pPr>
        <w:pStyle w:val="Body"/>
        <w:spacing w:after="0"/>
        <w:rPr>
          <w:rFonts w:ascii="Arial" w:hAnsi="Arial" w:cs="Arial"/>
        </w:rPr>
      </w:pPr>
    </w:p>
    <w:p w14:paraId="4DE96B87" w14:textId="4A90A958" w:rsidR="007B314B" w:rsidRPr="007B314B" w:rsidRDefault="007B314B" w:rsidP="00A169A5">
      <w:pPr>
        <w:pStyle w:val="Body"/>
        <w:spacing w:after="0"/>
        <w:rPr>
          <w:rFonts w:ascii="Arial" w:hAnsi="Arial" w:cs="Arial"/>
        </w:rPr>
      </w:pPr>
      <w:r w:rsidRPr="007B314B">
        <w:rPr>
          <w:rFonts w:ascii="Arial" w:hAnsi="Arial" w:cs="Arial"/>
        </w:rPr>
        <w:t>Based on the t-test results, it can be seen that for the company size variable, with a</w:t>
      </w:r>
      <w:r w:rsidR="00A169A5">
        <w:rPr>
          <w:rFonts w:ascii="Arial" w:hAnsi="Arial" w:cs="Arial"/>
        </w:rPr>
        <w:t xml:space="preserve"> </w:t>
      </w:r>
      <w:r w:rsidRPr="007B314B">
        <w:rPr>
          <w:rFonts w:ascii="Arial" w:hAnsi="Arial" w:cs="Arial"/>
        </w:rPr>
        <w:t>regression coefficient of -0.931 and a significance value of 0.355, it can be concluded that</w:t>
      </w:r>
      <w:r w:rsidR="00A169A5">
        <w:rPr>
          <w:rFonts w:ascii="Arial" w:hAnsi="Arial" w:cs="Arial"/>
        </w:rPr>
        <w:t xml:space="preserve"> </w:t>
      </w:r>
      <w:r w:rsidRPr="007B314B">
        <w:rPr>
          <w:rFonts w:ascii="Arial" w:hAnsi="Arial" w:cs="Arial"/>
        </w:rPr>
        <w:t>company size does not have a significant effect on liquidity at the East Java Provincial</w:t>
      </w:r>
      <w:r w:rsidR="00A169A5">
        <w:rPr>
          <w:rFonts w:ascii="Arial" w:hAnsi="Arial" w:cs="Arial"/>
        </w:rPr>
        <w:t xml:space="preserve"> Rural</w:t>
      </w:r>
      <w:r w:rsidRPr="007B314B">
        <w:rPr>
          <w:rFonts w:ascii="Arial" w:hAnsi="Arial" w:cs="Arial"/>
        </w:rPr>
        <w:t xml:space="preserve"> Bank during the 2022-2024 period. The results of this study are similar to</w:t>
      </w:r>
      <w:r w:rsidR="00A169A5">
        <w:rPr>
          <w:rFonts w:ascii="Arial" w:hAnsi="Arial" w:cs="Arial"/>
        </w:rPr>
        <w:t xml:space="preserve"> </w:t>
      </w:r>
      <w:r w:rsidRPr="007B314B">
        <w:rPr>
          <w:rFonts w:ascii="Arial" w:hAnsi="Arial" w:cs="Arial"/>
        </w:rPr>
        <w:t>those of Rahayu et al. (2020) on "The Effect of Capital Adequacy, Credit Risk, Profitability,</w:t>
      </w:r>
      <w:r w:rsidR="00A169A5">
        <w:rPr>
          <w:rFonts w:ascii="Arial" w:hAnsi="Arial" w:cs="Arial"/>
        </w:rPr>
        <w:t xml:space="preserve"> </w:t>
      </w:r>
      <w:r w:rsidRPr="007B314B">
        <w:rPr>
          <w:rFonts w:ascii="Arial" w:hAnsi="Arial" w:cs="Arial"/>
        </w:rPr>
        <w:t xml:space="preserve">and Bank Size on </w:t>
      </w:r>
      <w:r w:rsidRPr="007B314B">
        <w:rPr>
          <w:rFonts w:ascii="Arial" w:hAnsi="Arial" w:cs="Arial"/>
        </w:rPr>
        <w:lastRenderedPageBreak/>
        <w:t>Liquidity (A Study of Banking Companies Listed on the Indonesia Stock</w:t>
      </w:r>
      <w:r w:rsidR="00A169A5">
        <w:rPr>
          <w:rFonts w:ascii="Arial" w:hAnsi="Arial" w:cs="Arial"/>
        </w:rPr>
        <w:t xml:space="preserve"> </w:t>
      </w:r>
      <w:r w:rsidRPr="007B314B">
        <w:rPr>
          <w:rFonts w:ascii="Arial" w:hAnsi="Arial" w:cs="Arial"/>
        </w:rPr>
        <w:t>Exchange from 2013 to 2018)."</w:t>
      </w:r>
    </w:p>
    <w:p w14:paraId="0ECEE5CC" w14:textId="1DFB743A" w:rsidR="007B314B" w:rsidRPr="007B314B" w:rsidRDefault="007B314B" w:rsidP="00A169A5">
      <w:pPr>
        <w:pStyle w:val="Body"/>
        <w:spacing w:after="0"/>
        <w:rPr>
          <w:rFonts w:ascii="Arial" w:hAnsi="Arial" w:cs="Arial"/>
        </w:rPr>
      </w:pPr>
    </w:p>
    <w:p w14:paraId="4FDFE25E" w14:textId="4DDE98A0" w:rsidR="00434601" w:rsidRPr="00434601" w:rsidRDefault="007B314B" w:rsidP="00A169A5">
      <w:pPr>
        <w:pStyle w:val="Body"/>
        <w:spacing w:after="0"/>
        <w:rPr>
          <w:rFonts w:ascii="Arial" w:hAnsi="Arial" w:cs="Arial"/>
        </w:rPr>
      </w:pPr>
      <w:r w:rsidRPr="007B314B">
        <w:rPr>
          <w:rFonts w:ascii="Arial" w:hAnsi="Arial" w:cs="Arial"/>
        </w:rPr>
        <w:t>The size of the company does not have a significant effect on liquidity, indicating that a</w:t>
      </w:r>
      <w:r w:rsidR="00A169A5">
        <w:rPr>
          <w:rFonts w:ascii="Arial" w:hAnsi="Arial" w:cs="Arial"/>
        </w:rPr>
        <w:t xml:space="preserve"> </w:t>
      </w:r>
      <w:r w:rsidRPr="007B314B">
        <w:rPr>
          <w:rFonts w:ascii="Arial" w:hAnsi="Arial" w:cs="Arial"/>
        </w:rPr>
        <w:t>bank's ability to maintain its liquidity is more determined by the quality of internal</w:t>
      </w:r>
      <w:r w:rsidR="00A169A5">
        <w:rPr>
          <w:rFonts w:ascii="Arial" w:hAnsi="Arial" w:cs="Arial"/>
        </w:rPr>
        <w:t xml:space="preserve"> </w:t>
      </w:r>
      <w:r w:rsidRPr="007B314B">
        <w:rPr>
          <w:rFonts w:ascii="Arial" w:hAnsi="Arial" w:cs="Arial"/>
        </w:rPr>
        <w:t>management, the effectiveness of risk management strategies, and compliance with</w:t>
      </w:r>
      <w:r w:rsidR="00A169A5">
        <w:rPr>
          <w:rFonts w:ascii="Arial" w:hAnsi="Arial" w:cs="Arial"/>
        </w:rPr>
        <w:t xml:space="preserve"> </w:t>
      </w:r>
      <w:r w:rsidRPr="007B314B">
        <w:rPr>
          <w:rFonts w:ascii="Arial" w:hAnsi="Arial" w:cs="Arial"/>
        </w:rPr>
        <w:t>regulations, rather than simply the size of its assets. This is in line with the essence of Bank</w:t>
      </w:r>
      <w:r w:rsidR="00A169A5">
        <w:rPr>
          <w:rFonts w:ascii="Arial" w:hAnsi="Arial" w:cs="Arial"/>
        </w:rPr>
        <w:t xml:space="preserve"> </w:t>
      </w:r>
      <w:r w:rsidRPr="007B314B">
        <w:rPr>
          <w:rFonts w:ascii="Arial" w:hAnsi="Arial" w:cs="Arial"/>
        </w:rPr>
        <w:t>Health Theory, which emphasizes the importance of qualitative (management) and</w:t>
      </w:r>
      <w:r w:rsidR="00A169A5">
        <w:rPr>
          <w:rFonts w:ascii="Arial" w:hAnsi="Arial" w:cs="Arial"/>
        </w:rPr>
        <w:t xml:space="preserve"> </w:t>
      </w:r>
      <w:r w:rsidRPr="007B314B">
        <w:rPr>
          <w:rFonts w:ascii="Arial" w:hAnsi="Arial" w:cs="Arial"/>
        </w:rPr>
        <w:t>quantitative (asset quality, capitalization, and profitability) factors that are well managed,</w:t>
      </w:r>
      <w:r w:rsidR="00A169A5">
        <w:rPr>
          <w:rFonts w:ascii="Arial" w:hAnsi="Arial" w:cs="Arial"/>
        </w:rPr>
        <w:t xml:space="preserve"> </w:t>
      </w:r>
      <w:r w:rsidRPr="007B314B">
        <w:rPr>
          <w:rFonts w:ascii="Arial" w:hAnsi="Arial" w:cs="Arial"/>
        </w:rPr>
        <w:t>regardless of the scale of the bank's operations. A healthy bank is one that is efficient in</w:t>
      </w:r>
      <w:r w:rsidR="00A169A5">
        <w:rPr>
          <w:rFonts w:ascii="Arial" w:hAnsi="Arial" w:cs="Arial"/>
        </w:rPr>
        <w:t xml:space="preserve"> </w:t>
      </w:r>
      <w:r w:rsidRPr="007B314B">
        <w:rPr>
          <w:rFonts w:ascii="Arial" w:hAnsi="Arial" w:cs="Arial"/>
        </w:rPr>
        <w:t>managing its risks, not merely a large bank.</w:t>
      </w:r>
    </w:p>
    <w:p w14:paraId="5AFC0BB6" w14:textId="77777777" w:rsidR="00434601" w:rsidRPr="00434601" w:rsidRDefault="00434601" w:rsidP="00434601">
      <w:pPr>
        <w:pStyle w:val="Body"/>
        <w:spacing w:after="0"/>
        <w:rPr>
          <w:rFonts w:ascii="Arial" w:hAnsi="Arial" w:cs="Arial"/>
        </w:rPr>
      </w:pPr>
    </w:p>
    <w:p w14:paraId="166E2EF5" w14:textId="77777777" w:rsidR="00790ADA" w:rsidRPr="00FB3A86" w:rsidRDefault="00790ADA" w:rsidP="00434601">
      <w:pPr>
        <w:pStyle w:val="Body"/>
        <w:spacing w:after="0"/>
        <w:rPr>
          <w:rFonts w:ascii="Arial" w:hAnsi="Arial" w:cs="Arial"/>
        </w:rPr>
      </w:pPr>
    </w:p>
    <w:p w14:paraId="1C0C1FE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2FE165" w14:textId="77777777" w:rsidR="00790ADA" w:rsidRPr="00FB3A86" w:rsidRDefault="00790ADA" w:rsidP="00441B6F">
      <w:pPr>
        <w:pStyle w:val="ConcHead"/>
        <w:spacing w:after="0"/>
        <w:jc w:val="both"/>
        <w:rPr>
          <w:rFonts w:ascii="Arial" w:hAnsi="Arial" w:cs="Arial"/>
        </w:rPr>
      </w:pPr>
    </w:p>
    <w:p w14:paraId="38FF9C0E" w14:textId="719B09AE" w:rsidR="00A169A5" w:rsidRDefault="00A169A5" w:rsidP="00821832">
      <w:pPr>
        <w:pStyle w:val="Body"/>
        <w:spacing w:after="0"/>
        <w:rPr>
          <w:rFonts w:ascii="Arial" w:hAnsi="Arial" w:cs="Arial"/>
        </w:rPr>
      </w:pPr>
      <w:r w:rsidRPr="00A169A5">
        <w:rPr>
          <w:rFonts w:ascii="Arial" w:hAnsi="Arial" w:cs="Arial"/>
        </w:rPr>
        <w:t>The purpose of this study is to examine the effect of capital adequacy, profitability, and</w:t>
      </w:r>
      <w:r>
        <w:rPr>
          <w:rFonts w:ascii="Arial" w:hAnsi="Arial" w:cs="Arial"/>
        </w:rPr>
        <w:t xml:space="preserve"> </w:t>
      </w:r>
      <w:r w:rsidRPr="00A169A5">
        <w:rPr>
          <w:rFonts w:ascii="Arial" w:hAnsi="Arial" w:cs="Arial"/>
        </w:rPr>
        <w:t>liquidity risk on banking liquidity. The observation period for this study was three years, from</w:t>
      </w:r>
      <w:r>
        <w:rPr>
          <w:rFonts w:ascii="Arial" w:hAnsi="Arial" w:cs="Arial"/>
        </w:rPr>
        <w:t xml:space="preserve"> </w:t>
      </w:r>
      <w:r w:rsidRPr="00A169A5">
        <w:rPr>
          <w:rFonts w:ascii="Arial" w:hAnsi="Arial" w:cs="Arial"/>
        </w:rPr>
        <w:t>2022 to 2024. The type of data collection in this study</w:t>
      </w:r>
      <w:r>
        <w:rPr>
          <w:rFonts w:ascii="Arial" w:hAnsi="Arial" w:cs="Arial"/>
        </w:rPr>
        <w:t xml:space="preserve"> </w:t>
      </w:r>
      <w:r w:rsidRPr="00A169A5">
        <w:rPr>
          <w:rFonts w:ascii="Arial" w:hAnsi="Arial" w:cs="Arial"/>
        </w:rPr>
        <w:t>was secondary data obtained by</w:t>
      </w:r>
      <w:r>
        <w:rPr>
          <w:rFonts w:ascii="Arial" w:hAnsi="Arial" w:cs="Arial"/>
        </w:rPr>
        <w:t xml:space="preserve"> </w:t>
      </w:r>
      <w:r w:rsidRPr="00A169A5">
        <w:rPr>
          <w:rFonts w:ascii="Arial" w:hAnsi="Arial" w:cs="Arial"/>
        </w:rPr>
        <w:t>collecting company annual reports and financial statements through the Financial Services</w:t>
      </w:r>
      <w:r>
        <w:rPr>
          <w:rFonts w:ascii="Arial" w:hAnsi="Arial" w:cs="Arial"/>
        </w:rPr>
        <w:t xml:space="preserve"> </w:t>
      </w:r>
      <w:r w:rsidRPr="00A169A5">
        <w:rPr>
          <w:rFonts w:ascii="Arial" w:hAnsi="Arial" w:cs="Arial"/>
        </w:rPr>
        <w:t>Authority (OJK). Based on the results of the study conducted by the researcher, the following</w:t>
      </w:r>
      <w:r>
        <w:rPr>
          <w:rFonts w:ascii="Arial" w:hAnsi="Arial" w:cs="Arial"/>
        </w:rPr>
        <w:t xml:space="preserve"> </w:t>
      </w:r>
      <w:r w:rsidRPr="00A169A5">
        <w:rPr>
          <w:rFonts w:ascii="Arial" w:hAnsi="Arial" w:cs="Arial"/>
        </w:rPr>
        <w:t>conclusions can be drawn:</w:t>
      </w:r>
    </w:p>
    <w:p w14:paraId="37C78587" w14:textId="77777777" w:rsidR="00A169A5" w:rsidRDefault="00A169A5" w:rsidP="00821832">
      <w:pPr>
        <w:pStyle w:val="Body"/>
        <w:numPr>
          <w:ilvl w:val="0"/>
          <w:numId w:val="35"/>
        </w:numPr>
        <w:spacing w:after="0"/>
        <w:rPr>
          <w:rFonts w:ascii="Arial" w:hAnsi="Arial" w:cs="Arial"/>
        </w:rPr>
      </w:pPr>
      <w:r w:rsidRPr="00A169A5">
        <w:rPr>
          <w:rFonts w:ascii="Arial" w:hAnsi="Arial" w:cs="Arial"/>
        </w:rPr>
        <w:t>The capital adequacy ratio (CAR) variable has a positive effect on liquidity. Banks</w:t>
      </w:r>
      <w:r>
        <w:rPr>
          <w:rFonts w:ascii="Arial" w:hAnsi="Arial" w:cs="Arial"/>
        </w:rPr>
        <w:t xml:space="preserve"> </w:t>
      </w:r>
      <w:r w:rsidRPr="00A169A5">
        <w:rPr>
          <w:rFonts w:ascii="Arial" w:hAnsi="Arial" w:cs="Arial"/>
        </w:rPr>
        <w:t>with high CAR tend to have better liquidity due to their ability to absorb risk and meet</w:t>
      </w:r>
      <w:r>
        <w:rPr>
          <w:rFonts w:ascii="Arial" w:hAnsi="Arial" w:cs="Arial"/>
        </w:rPr>
        <w:t xml:space="preserve"> </w:t>
      </w:r>
      <w:r w:rsidRPr="00A169A5">
        <w:rPr>
          <w:rFonts w:ascii="Arial" w:hAnsi="Arial" w:cs="Arial"/>
        </w:rPr>
        <w:t>financial obligations. A strong CAR creates a foundation of stability that supports</w:t>
      </w:r>
      <w:r>
        <w:rPr>
          <w:rFonts w:ascii="Arial" w:hAnsi="Arial" w:cs="Arial"/>
        </w:rPr>
        <w:t xml:space="preserve"> </w:t>
      </w:r>
      <w:r w:rsidRPr="00A169A5">
        <w:rPr>
          <w:rFonts w:ascii="Arial" w:hAnsi="Arial" w:cs="Arial"/>
        </w:rPr>
        <w:t>liquidity, while adequate liquidity provides operational flexibility that helps maintain</w:t>
      </w:r>
      <w:r>
        <w:rPr>
          <w:rFonts w:ascii="Arial" w:hAnsi="Arial" w:cs="Arial"/>
        </w:rPr>
        <w:t xml:space="preserve"> </w:t>
      </w:r>
      <w:r w:rsidRPr="00A169A5">
        <w:rPr>
          <w:rFonts w:ascii="Arial" w:hAnsi="Arial" w:cs="Arial"/>
        </w:rPr>
        <w:t>and even improve CAR. In banking health theory, both are fundamental pillars tha</w:t>
      </w:r>
      <w:r>
        <w:rPr>
          <w:rFonts w:ascii="Arial" w:hAnsi="Arial" w:cs="Arial"/>
        </w:rPr>
        <w:t xml:space="preserve">t </w:t>
      </w:r>
      <w:r w:rsidRPr="00A169A5">
        <w:rPr>
          <w:rFonts w:ascii="Arial" w:hAnsi="Arial" w:cs="Arial"/>
        </w:rPr>
        <w:t>must be kept in balance to ensure the survival and sustainability of banks, as well as</w:t>
      </w:r>
      <w:r>
        <w:rPr>
          <w:rFonts w:ascii="Arial" w:hAnsi="Arial" w:cs="Arial"/>
        </w:rPr>
        <w:t xml:space="preserve"> </w:t>
      </w:r>
      <w:r w:rsidRPr="00A169A5">
        <w:rPr>
          <w:rFonts w:ascii="Arial" w:hAnsi="Arial" w:cs="Arial"/>
        </w:rPr>
        <w:t>the stability of the financial system as a whole.</w:t>
      </w:r>
    </w:p>
    <w:p w14:paraId="300360A8" w14:textId="77777777" w:rsidR="00A169A5" w:rsidRDefault="00A169A5" w:rsidP="00821832">
      <w:pPr>
        <w:pStyle w:val="Body"/>
        <w:numPr>
          <w:ilvl w:val="0"/>
          <w:numId w:val="35"/>
        </w:numPr>
        <w:spacing w:after="0"/>
        <w:rPr>
          <w:rFonts w:ascii="Arial" w:hAnsi="Arial" w:cs="Arial"/>
        </w:rPr>
      </w:pPr>
      <w:r w:rsidRPr="00A169A5">
        <w:rPr>
          <w:rFonts w:ascii="Arial" w:hAnsi="Arial" w:cs="Arial"/>
        </w:rPr>
        <w:t>The profitability variable (ROA) has a positive effect on liquidity. If ROA increases,</w:t>
      </w:r>
      <w:r>
        <w:rPr>
          <w:rFonts w:ascii="Arial" w:hAnsi="Arial" w:cs="Arial"/>
        </w:rPr>
        <w:t xml:space="preserve"> </w:t>
      </w:r>
      <w:r w:rsidRPr="00A169A5">
        <w:rPr>
          <w:rFonts w:ascii="Arial" w:hAnsi="Arial" w:cs="Arial"/>
        </w:rPr>
        <w:t>he bank's liquidity will also increase, and vice versa, if ROA decreases, liquidity will</w:t>
      </w:r>
      <w:r>
        <w:rPr>
          <w:rFonts w:ascii="Arial" w:hAnsi="Arial" w:cs="Arial"/>
        </w:rPr>
        <w:t xml:space="preserve"> </w:t>
      </w:r>
      <w:r w:rsidRPr="00A169A5">
        <w:rPr>
          <w:rFonts w:ascii="Arial" w:hAnsi="Arial" w:cs="Arial"/>
        </w:rPr>
        <w:t>also decrease. High ROA tends to have better liquidity due to their ability to</w:t>
      </w:r>
      <w:r>
        <w:rPr>
          <w:rFonts w:ascii="Arial" w:hAnsi="Arial" w:cs="Arial"/>
        </w:rPr>
        <w:t xml:space="preserve"> </w:t>
      </w:r>
      <w:r w:rsidRPr="00A169A5">
        <w:rPr>
          <w:rFonts w:ascii="Arial" w:hAnsi="Arial" w:cs="Arial"/>
        </w:rPr>
        <w:t>generate profits from their assets. Good profitability management is key to ensuring</w:t>
      </w:r>
      <w:r>
        <w:rPr>
          <w:rFonts w:ascii="Arial" w:hAnsi="Arial" w:cs="Arial"/>
        </w:rPr>
        <w:t xml:space="preserve"> </w:t>
      </w:r>
      <w:r w:rsidRPr="00A169A5">
        <w:rPr>
          <w:rFonts w:ascii="Arial" w:hAnsi="Arial" w:cs="Arial"/>
        </w:rPr>
        <w:t>that banks can maintain healthy liquidity, which is essential for their operational</w:t>
      </w:r>
      <w:r>
        <w:rPr>
          <w:rFonts w:ascii="Arial" w:hAnsi="Arial" w:cs="Arial"/>
        </w:rPr>
        <w:t xml:space="preserve"> </w:t>
      </w:r>
      <w:r w:rsidRPr="00A169A5">
        <w:rPr>
          <w:rFonts w:ascii="Arial" w:hAnsi="Arial" w:cs="Arial"/>
        </w:rPr>
        <w:t>continuity and contribution to the stability of the financial system. The financial health</w:t>
      </w:r>
      <w:r>
        <w:rPr>
          <w:rFonts w:ascii="Arial" w:hAnsi="Arial" w:cs="Arial"/>
        </w:rPr>
        <w:t xml:space="preserve"> </w:t>
      </w:r>
      <w:r w:rsidRPr="00A169A5">
        <w:rPr>
          <w:rFonts w:ascii="Arial" w:hAnsi="Arial" w:cs="Arial"/>
        </w:rPr>
        <w:t>of a bank is highly dependent on its ability to generate profits.</w:t>
      </w:r>
    </w:p>
    <w:p w14:paraId="04D719BE" w14:textId="77777777" w:rsidR="00A169A5" w:rsidRDefault="00A169A5" w:rsidP="00821832">
      <w:pPr>
        <w:pStyle w:val="Body"/>
        <w:numPr>
          <w:ilvl w:val="0"/>
          <w:numId w:val="35"/>
        </w:numPr>
        <w:spacing w:after="0"/>
        <w:rPr>
          <w:rFonts w:ascii="Arial" w:hAnsi="Arial" w:cs="Arial"/>
        </w:rPr>
      </w:pPr>
      <w:r w:rsidRPr="00A169A5">
        <w:rPr>
          <w:rFonts w:ascii="Arial" w:hAnsi="Arial" w:cs="Arial"/>
        </w:rPr>
        <w:t>Liquidity risk variables have no effect on liquidity. This also reinforces the</w:t>
      </w:r>
      <w:r>
        <w:rPr>
          <w:rFonts w:ascii="Arial" w:hAnsi="Arial" w:cs="Arial"/>
        </w:rPr>
        <w:t xml:space="preserve"> </w:t>
      </w:r>
      <w:r w:rsidRPr="00A169A5">
        <w:rPr>
          <w:rFonts w:ascii="Arial" w:hAnsi="Arial" w:cs="Arial"/>
        </w:rPr>
        <w:t>Anticipated Income Theory, which argues that what matters most is not the size of</w:t>
      </w:r>
      <w:r>
        <w:rPr>
          <w:rFonts w:ascii="Arial" w:hAnsi="Arial" w:cs="Arial"/>
        </w:rPr>
        <w:t xml:space="preserve"> </w:t>
      </w:r>
      <w:r w:rsidRPr="00A169A5">
        <w:rPr>
          <w:rFonts w:ascii="Arial" w:hAnsi="Arial" w:cs="Arial"/>
        </w:rPr>
        <w:t>the portion of deposits that are lent out (LDR), but rather the certainty and stability of</w:t>
      </w:r>
      <w:r>
        <w:rPr>
          <w:rFonts w:ascii="Arial" w:hAnsi="Arial" w:cs="Arial"/>
        </w:rPr>
        <w:t xml:space="preserve"> </w:t>
      </w:r>
      <w:r w:rsidRPr="00A169A5">
        <w:rPr>
          <w:rFonts w:ascii="Arial" w:hAnsi="Arial" w:cs="Arial"/>
        </w:rPr>
        <w:t>loan repayments. It can be indicated that banks have now developed more</w:t>
      </w:r>
      <w:r>
        <w:rPr>
          <w:rFonts w:ascii="Arial" w:hAnsi="Arial" w:cs="Arial"/>
        </w:rPr>
        <w:t xml:space="preserve"> </w:t>
      </w:r>
      <w:r w:rsidRPr="00A169A5">
        <w:rPr>
          <w:rFonts w:ascii="Arial" w:hAnsi="Arial" w:cs="Arial"/>
        </w:rPr>
        <w:t>appropriate mechanisms for managing liquidity risk. Banks no longer rely solely on</w:t>
      </w:r>
      <w:r>
        <w:rPr>
          <w:rFonts w:ascii="Arial" w:hAnsi="Arial" w:cs="Arial"/>
        </w:rPr>
        <w:t xml:space="preserve"> </w:t>
      </w:r>
      <w:r w:rsidRPr="00A169A5">
        <w:rPr>
          <w:rFonts w:ascii="Arial" w:hAnsi="Arial" w:cs="Arial"/>
        </w:rPr>
        <w:t>the DPK to credit ratio as the sole indicator of liquidity. Instead, efficiency in asset-liability management, access to diverse financial markets, credit portfolio quality, and</w:t>
      </w:r>
      <w:r>
        <w:rPr>
          <w:rFonts w:ascii="Arial" w:hAnsi="Arial" w:cs="Arial"/>
        </w:rPr>
        <w:t xml:space="preserve"> </w:t>
      </w:r>
      <w:r w:rsidRPr="00A169A5">
        <w:rPr>
          <w:rFonts w:ascii="Arial" w:hAnsi="Arial" w:cs="Arial"/>
        </w:rPr>
        <w:t>product innovation have become dominant factors in maintaining liquidity.</w:t>
      </w:r>
    </w:p>
    <w:p w14:paraId="5DE1E4A0" w14:textId="5AAD22DE" w:rsidR="00A169A5" w:rsidRDefault="00A169A5" w:rsidP="00821832">
      <w:pPr>
        <w:pStyle w:val="Body"/>
        <w:numPr>
          <w:ilvl w:val="0"/>
          <w:numId w:val="35"/>
        </w:numPr>
        <w:spacing w:after="0"/>
        <w:rPr>
          <w:rFonts w:ascii="Arial" w:hAnsi="Arial" w:cs="Arial"/>
        </w:rPr>
      </w:pPr>
      <w:r w:rsidRPr="00A169A5">
        <w:rPr>
          <w:rFonts w:ascii="Arial" w:hAnsi="Arial" w:cs="Arial"/>
        </w:rPr>
        <w:t xml:space="preserve">Company size does not affect liquidity. A larger company size does not significantly increase or decrease a company's ability to meet its short-term obligations. Regardless of size, banks with solid management in managing liquidity risk will be able to maintain their liquidity position. Even small banks, if they have prudent Asset-Liability Management (ALM) policies, good funding sources, and effective cash flow management, can have more stable liquidity than large banks with poor management. This shows that the effectiveness of governance and liquidity risk management is far more dominant than the size of the bank. </w:t>
      </w:r>
    </w:p>
    <w:p w14:paraId="3511CFA2" w14:textId="77777777" w:rsidR="00A169A5" w:rsidRPr="00A169A5" w:rsidRDefault="00A169A5" w:rsidP="00821832">
      <w:pPr>
        <w:pStyle w:val="Body"/>
        <w:spacing w:after="0"/>
        <w:ind w:left="780"/>
        <w:rPr>
          <w:rFonts w:ascii="Arial" w:hAnsi="Arial" w:cs="Arial"/>
        </w:rPr>
      </w:pPr>
    </w:p>
    <w:p w14:paraId="10970020" w14:textId="6E269A3F" w:rsidR="00B36CE0" w:rsidRDefault="00B36CE0" w:rsidP="00B36CE0">
      <w:pPr>
        <w:pStyle w:val="Body"/>
        <w:spacing w:after="0"/>
        <w:rPr>
          <w:rFonts w:ascii="Arial" w:hAnsi="Arial" w:cs="Arial"/>
        </w:rPr>
      </w:pPr>
      <w:r w:rsidRPr="00B36CE0">
        <w:rPr>
          <w:rFonts w:ascii="Arial" w:hAnsi="Arial" w:cs="Arial"/>
        </w:rPr>
        <w:lastRenderedPageBreak/>
        <w:t>These findings enrich the theoretical perspective on bank liquidity management by highlighting that profitability and capital adequacy play more critical roles than institutional size in determining the liquidity position of Rural Banks (BPR). This supports the view that internal performance indicators provide stronger explanatory power in liquidity theories than structural characteristics such as bank size.</w:t>
      </w:r>
      <w:r>
        <w:rPr>
          <w:rFonts w:ascii="Arial" w:hAnsi="Arial" w:cs="Arial"/>
        </w:rPr>
        <w:t xml:space="preserve"> </w:t>
      </w:r>
      <w:r w:rsidRPr="00B36CE0">
        <w:rPr>
          <w:rFonts w:ascii="Arial" w:hAnsi="Arial" w:cs="Arial"/>
        </w:rPr>
        <w:t>Practically, the results emphasize that BPR managers should prioritize strengthening profitability and maintaining adequate capital buffers rather than relying solely on expansion of bank size as a strategy to ensure liquidity stability. This underlines the importance of efficient asset management and prudent capital policies in sustaining liquidity resilience.</w:t>
      </w:r>
    </w:p>
    <w:p w14:paraId="002725F1" w14:textId="77777777" w:rsidR="00B36CE0" w:rsidRDefault="00B36CE0" w:rsidP="00B36CE0">
      <w:pPr>
        <w:pStyle w:val="Body"/>
        <w:spacing w:after="0"/>
        <w:rPr>
          <w:rFonts w:ascii="Arial" w:hAnsi="Arial" w:cs="Arial"/>
        </w:rPr>
      </w:pPr>
    </w:p>
    <w:p w14:paraId="3E17BBE6" w14:textId="2D38FF5C" w:rsidR="0007471B" w:rsidRPr="0007471B" w:rsidRDefault="0007471B" w:rsidP="00821832">
      <w:pPr>
        <w:pStyle w:val="Body"/>
        <w:spacing w:after="0"/>
        <w:rPr>
          <w:rFonts w:ascii="Arial" w:hAnsi="Arial" w:cs="Arial"/>
        </w:rPr>
      </w:pPr>
      <w:r w:rsidRPr="0007471B">
        <w:rPr>
          <w:rFonts w:ascii="Arial" w:hAnsi="Arial" w:cs="Arial"/>
        </w:rPr>
        <w:t>The results of this study indicate several limitations that need to be considered, so that they</w:t>
      </w:r>
      <w:r>
        <w:rPr>
          <w:rFonts w:ascii="Arial" w:hAnsi="Arial" w:cs="Arial"/>
        </w:rPr>
        <w:t xml:space="preserve"> </w:t>
      </w:r>
      <w:r w:rsidRPr="0007471B">
        <w:rPr>
          <w:rFonts w:ascii="Arial" w:hAnsi="Arial" w:cs="Arial"/>
        </w:rPr>
        <w:t>can be used as an evaluative reference for future researchers who will conduct studies with</w:t>
      </w:r>
      <w:r>
        <w:rPr>
          <w:rFonts w:ascii="Arial" w:hAnsi="Arial" w:cs="Arial"/>
        </w:rPr>
        <w:t xml:space="preserve"> </w:t>
      </w:r>
      <w:r w:rsidRPr="0007471B">
        <w:rPr>
          <w:rFonts w:ascii="Arial" w:hAnsi="Arial" w:cs="Arial"/>
        </w:rPr>
        <w:t>a similar focus or direction. An adjusted R2 value of 48.2% was obtained, where the</w:t>
      </w:r>
      <w:r>
        <w:rPr>
          <w:rFonts w:ascii="Arial" w:hAnsi="Arial" w:cs="Arial"/>
        </w:rPr>
        <w:t xml:space="preserve"> </w:t>
      </w:r>
      <w:r w:rsidRPr="0007471B">
        <w:rPr>
          <w:rFonts w:ascii="Arial" w:hAnsi="Arial" w:cs="Arial"/>
        </w:rPr>
        <w:t>dependent variable was influenced by CAR, ROA, LDR, and company size, while the</w:t>
      </w:r>
      <w:r>
        <w:rPr>
          <w:rFonts w:ascii="Arial" w:hAnsi="Arial" w:cs="Arial"/>
        </w:rPr>
        <w:t xml:space="preserve"> </w:t>
      </w:r>
      <w:r w:rsidRPr="0007471B">
        <w:rPr>
          <w:rFonts w:ascii="Arial" w:hAnsi="Arial" w:cs="Arial"/>
        </w:rPr>
        <w:t>remaining 51.8% was explained by other factors not included in the current study. It may be</w:t>
      </w:r>
      <w:r>
        <w:rPr>
          <w:rFonts w:ascii="Arial" w:hAnsi="Arial" w:cs="Arial"/>
        </w:rPr>
        <w:t xml:space="preserve"> </w:t>
      </w:r>
      <w:r w:rsidRPr="0007471B">
        <w:rPr>
          <w:rFonts w:ascii="Arial" w:hAnsi="Arial" w:cs="Arial"/>
        </w:rPr>
        <w:t>considered to include factors other than the independent variables in this study.</w:t>
      </w:r>
    </w:p>
    <w:p w14:paraId="10F192B2" w14:textId="77777777" w:rsidR="0007471B" w:rsidRDefault="0007471B" w:rsidP="00821832">
      <w:pPr>
        <w:pStyle w:val="Body"/>
        <w:spacing w:after="0"/>
        <w:rPr>
          <w:rFonts w:ascii="Arial" w:hAnsi="Arial" w:cs="Arial"/>
        </w:rPr>
      </w:pPr>
    </w:p>
    <w:p w14:paraId="2250CC39" w14:textId="66911BC4" w:rsidR="0007471B" w:rsidRDefault="0007471B" w:rsidP="00821832">
      <w:pPr>
        <w:pStyle w:val="Body"/>
        <w:spacing w:after="0"/>
        <w:rPr>
          <w:rFonts w:ascii="Arial" w:hAnsi="Arial" w:cs="Arial"/>
        </w:rPr>
      </w:pPr>
      <w:r w:rsidRPr="0007471B">
        <w:rPr>
          <w:rFonts w:ascii="Arial" w:hAnsi="Arial" w:cs="Arial"/>
        </w:rPr>
        <w:t>Based on the results of this study, it is recommended that future studies use a more diverse</w:t>
      </w:r>
      <w:r>
        <w:rPr>
          <w:rFonts w:ascii="Arial" w:hAnsi="Arial" w:cs="Arial"/>
        </w:rPr>
        <w:t xml:space="preserve"> </w:t>
      </w:r>
      <w:r w:rsidRPr="0007471B">
        <w:rPr>
          <w:rFonts w:ascii="Arial" w:hAnsi="Arial" w:cs="Arial"/>
        </w:rPr>
        <w:t>range of research subjects, add other financial ratios as research variables, and extend the</w:t>
      </w:r>
      <w:r>
        <w:rPr>
          <w:rFonts w:ascii="Arial" w:hAnsi="Arial" w:cs="Arial"/>
        </w:rPr>
        <w:t xml:space="preserve"> </w:t>
      </w:r>
      <w:r w:rsidRPr="0007471B">
        <w:rPr>
          <w:rFonts w:ascii="Arial" w:hAnsi="Arial" w:cs="Arial"/>
        </w:rPr>
        <w:t>research period in order to obtain better, more varied, and more accurate results. In addition,</w:t>
      </w:r>
      <w:r>
        <w:rPr>
          <w:rFonts w:ascii="Arial" w:hAnsi="Arial" w:cs="Arial"/>
        </w:rPr>
        <w:t xml:space="preserve"> </w:t>
      </w:r>
      <w:r w:rsidRPr="0007471B">
        <w:rPr>
          <w:rFonts w:ascii="Arial" w:hAnsi="Arial" w:cs="Arial"/>
        </w:rPr>
        <w:t>the banking sector should pay attention to ROA so that companies can measure the extent</w:t>
      </w:r>
      <w:r>
        <w:rPr>
          <w:rFonts w:ascii="Arial" w:hAnsi="Arial" w:cs="Arial"/>
        </w:rPr>
        <w:t xml:space="preserve"> </w:t>
      </w:r>
      <w:r w:rsidRPr="0007471B">
        <w:rPr>
          <w:rFonts w:ascii="Arial" w:hAnsi="Arial" w:cs="Arial"/>
        </w:rPr>
        <w:t>to which banks are able to manage assets to generate profits. Investors should pay attention</w:t>
      </w:r>
      <w:r>
        <w:rPr>
          <w:rFonts w:ascii="Arial" w:hAnsi="Arial" w:cs="Arial"/>
        </w:rPr>
        <w:t xml:space="preserve"> </w:t>
      </w:r>
      <w:r w:rsidRPr="0007471B">
        <w:rPr>
          <w:rFonts w:ascii="Arial" w:hAnsi="Arial" w:cs="Arial"/>
        </w:rPr>
        <w:t>to the bank's liquidity ratio over several periods and choose banks with good reputations</w:t>
      </w:r>
      <w:r>
        <w:rPr>
          <w:rFonts w:ascii="Arial" w:hAnsi="Arial" w:cs="Arial"/>
        </w:rPr>
        <w:t xml:space="preserve"> </w:t>
      </w:r>
      <w:r w:rsidRPr="0007471B">
        <w:rPr>
          <w:rFonts w:ascii="Arial" w:hAnsi="Arial" w:cs="Arial"/>
        </w:rPr>
        <w:t>when making investments.</w:t>
      </w:r>
    </w:p>
    <w:p w14:paraId="7DBF1B3C" w14:textId="77777777" w:rsidR="0007471B" w:rsidRDefault="0007471B" w:rsidP="00821832">
      <w:pPr>
        <w:pStyle w:val="Body"/>
        <w:spacing w:after="0"/>
        <w:rPr>
          <w:rFonts w:ascii="Arial" w:hAnsi="Arial" w:cs="Arial"/>
        </w:rPr>
      </w:pPr>
    </w:p>
    <w:p w14:paraId="0F20D257" w14:textId="77777777" w:rsidR="00A863A2" w:rsidRPr="00A863A2" w:rsidRDefault="00A863A2" w:rsidP="00A863A2">
      <w:pPr>
        <w:jc w:val="both"/>
        <w:rPr>
          <w:b/>
          <w:bCs/>
          <w:highlight w:val="yellow"/>
        </w:rPr>
      </w:pPr>
      <w:r w:rsidRPr="00A863A2">
        <w:rPr>
          <w:b/>
          <w:bCs/>
          <w:highlight w:val="yellow"/>
        </w:rPr>
        <w:t>Declaration Regarding the Use of Generative AI</w:t>
      </w:r>
    </w:p>
    <w:p w14:paraId="79321EAE" w14:textId="77777777" w:rsidR="00A863A2" w:rsidRPr="00A863A2" w:rsidRDefault="00A863A2" w:rsidP="00A863A2">
      <w:pPr>
        <w:rPr>
          <w:highlight w:val="yellow"/>
        </w:rPr>
      </w:pPr>
    </w:p>
    <w:p w14:paraId="28908E25" w14:textId="6B6AC4DB" w:rsidR="0091778F" w:rsidRPr="00D047BB" w:rsidRDefault="00A863A2" w:rsidP="00A863A2">
      <w:pPr>
        <w:jc w:val="both"/>
      </w:pPr>
      <w:r w:rsidRPr="00A863A2">
        <w:rPr>
          <w:highlight w:val="yellow"/>
        </w:rPr>
        <w:t>The Author(s) hereby declares that NO generative AI technologies such as Large Language Models (e.g., ChatGPT, Copilot, etc.) and text-to-image generators have been used during the writing, preparation, or editing of this manuscript. The entire content of the manuscript is the result of the authors’ own intellectual work, and full responsibility for its accuracy and integrity rests with the authors</w:t>
      </w:r>
    </w:p>
    <w:p w14:paraId="49854791" w14:textId="77777777" w:rsidR="00860000" w:rsidRDefault="00860000" w:rsidP="00821832">
      <w:pPr>
        <w:pStyle w:val="ReferHead"/>
        <w:spacing w:after="0"/>
        <w:jc w:val="both"/>
        <w:rPr>
          <w:rFonts w:ascii="Arial" w:hAnsi="Arial" w:cs="Arial"/>
        </w:rPr>
      </w:pPr>
    </w:p>
    <w:p w14:paraId="191755A1" w14:textId="77777777" w:rsidR="00B01FCD" w:rsidRPr="0007471B" w:rsidRDefault="00B01FCD" w:rsidP="00821832">
      <w:pPr>
        <w:pStyle w:val="ReferHead"/>
        <w:spacing w:after="0"/>
        <w:jc w:val="both"/>
        <w:rPr>
          <w:rFonts w:ascii="Arial" w:hAnsi="Arial" w:cs="Arial"/>
        </w:rPr>
      </w:pPr>
      <w:r w:rsidRPr="0007471B">
        <w:rPr>
          <w:rFonts w:ascii="Arial" w:hAnsi="Arial" w:cs="Arial"/>
        </w:rPr>
        <w:t>References</w:t>
      </w:r>
    </w:p>
    <w:p w14:paraId="2F3CADB3" w14:textId="77777777" w:rsidR="00790ADA" w:rsidRPr="0007471B" w:rsidRDefault="00790ADA" w:rsidP="00821832">
      <w:pPr>
        <w:pStyle w:val="ReferHead"/>
        <w:spacing w:after="0"/>
        <w:jc w:val="both"/>
        <w:rPr>
          <w:rFonts w:ascii="Arial" w:hAnsi="Arial" w:cs="Arial"/>
        </w:rPr>
      </w:pPr>
    </w:p>
    <w:p w14:paraId="44DFBF0E" w14:textId="0C07EDDC" w:rsidR="00EA0D63" w:rsidRDefault="00EA0D63" w:rsidP="009873B6">
      <w:pPr>
        <w:pStyle w:val="Body"/>
        <w:numPr>
          <w:ilvl w:val="0"/>
          <w:numId w:val="36"/>
        </w:numPr>
        <w:spacing w:after="0"/>
      </w:pPr>
      <w:r w:rsidRPr="00623EC2">
        <w:t xml:space="preserve">Adhitya, R. (2015). The effect of dividend policy, debt policy, investment decisions, and profitability on firm value in manufacturing companies listed on the Indonesia Stock Exchange. JOM </w:t>
      </w:r>
      <w:proofErr w:type="spellStart"/>
      <w:r w:rsidRPr="00623EC2">
        <w:t>Fekon</w:t>
      </w:r>
      <w:proofErr w:type="spellEnd"/>
      <w:r w:rsidRPr="00623EC2">
        <w:t>, 2(2).</w:t>
      </w:r>
      <w:r>
        <w:t xml:space="preserve"> Retrieved from </w:t>
      </w:r>
      <w:hyperlink r:id="rId15" w:history="1">
        <w:r w:rsidRPr="00EB3382">
          <w:rPr>
            <w:rStyle w:val="Hyperlink"/>
          </w:rPr>
          <w:t>https://www.neliti.com/publications/33983/pengaruh-kebijakan-dividen-kebijakan-utang-keputusan-investasi-dan-profitabilita</w:t>
        </w:r>
      </w:hyperlink>
    </w:p>
    <w:p w14:paraId="6AF28583" w14:textId="77777777" w:rsidR="00EA0D63" w:rsidRDefault="00EA0D63" w:rsidP="00821832">
      <w:pPr>
        <w:pStyle w:val="Body"/>
        <w:spacing w:after="0"/>
      </w:pPr>
    </w:p>
    <w:p w14:paraId="20480873" w14:textId="56B14D62" w:rsidR="00821832" w:rsidRDefault="00821832" w:rsidP="009873B6">
      <w:pPr>
        <w:pStyle w:val="Body"/>
        <w:numPr>
          <w:ilvl w:val="0"/>
          <w:numId w:val="36"/>
        </w:numPr>
        <w:spacing w:after="0"/>
      </w:pPr>
      <w:proofErr w:type="spellStart"/>
      <w:r>
        <w:t>Aduda</w:t>
      </w:r>
      <w:proofErr w:type="spellEnd"/>
      <w:r>
        <w:t xml:space="preserve">, J., &amp; </w:t>
      </w:r>
      <w:proofErr w:type="spellStart"/>
      <w:r>
        <w:t>Kalunda</w:t>
      </w:r>
      <w:proofErr w:type="spellEnd"/>
      <w:r>
        <w:t xml:space="preserve">, E. (2012). Financial inclusion and financial sector stability with reference to Kenya: A review of literature. Journal of Applied Finance &amp; Banking, 2(6), 95–120. Retrieved from </w:t>
      </w:r>
      <w:hyperlink r:id="rId16" w:history="1">
        <w:r w:rsidR="00A40B3D" w:rsidRPr="00EB3382">
          <w:rPr>
            <w:rStyle w:val="Hyperlink"/>
          </w:rPr>
          <w:t>https://www.researchgate.net/profile/Elizabeth-Kalunda/publication/375089321_Financial_Inclusion_and_Financial_Sector_Stability_With_Reference_To_Kenya_A_Review_of_Literature/links/6540a39c0426ef6369ebade9/Financial-Inclusion-and-Financial-Sector-Stability-With-Reference-To-Kenya-A-Review-of-Literature.pdf</w:t>
        </w:r>
      </w:hyperlink>
      <w:r w:rsidR="00A40B3D">
        <w:t xml:space="preserve"> </w:t>
      </w:r>
    </w:p>
    <w:p w14:paraId="0678D83B" w14:textId="77777777" w:rsidR="00821832" w:rsidRDefault="00821832" w:rsidP="00821832">
      <w:pPr>
        <w:pStyle w:val="Body"/>
        <w:spacing w:after="0"/>
      </w:pPr>
    </w:p>
    <w:p w14:paraId="650C089A" w14:textId="7428D507" w:rsidR="00821832" w:rsidRDefault="00821832" w:rsidP="009873B6">
      <w:pPr>
        <w:pStyle w:val="Body"/>
        <w:numPr>
          <w:ilvl w:val="0"/>
          <w:numId w:val="36"/>
        </w:numPr>
        <w:spacing w:after="0"/>
      </w:pPr>
      <w:proofErr w:type="spellStart"/>
      <w:r>
        <w:t>Almunawwaroh</w:t>
      </w:r>
      <w:proofErr w:type="spellEnd"/>
      <w:r>
        <w:t xml:space="preserve">, &amp; </w:t>
      </w:r>
      <w:proofErr w:type="spellStart"/>
      <w:r>
        <w:t>Marliana</w:t>
      </w:r>
      <w:proofErr w:type="spellEnd"/>
      <w:r>
        <w:t xml:space="preserve">. (2018). The influence of CAR, NPF, and FDR on the profitability of Islamic banks in Indonesia. </w:t>
      </w:r>
      <w:proofErr w:type="spellStart"/>
      <w:r>
        <w:t>Amwaluna</w:t>
      </w:r>
      <w:proofErr w:type="spellEnd"/>
      <w:r>
        <w:t xml:space="preserve">: Journal of Islamic Economics and Finance, 2(1), 9–20. Retrieved from </w:t>
      </w:r>
      <w:hyperlink r:id="rId17" w:history="1">
        <w:r w:rsidR="00A40B3D" w:rsidRPr="00EB3382">
          <w:rPr>
            <w:rStyle w:val="Hyperlink"/>
          </w:rPr>
          <w:t>https://www.researchgate.net/publication/334253992_PENGARUH_CARNPF_DAN_FDR_TERHADAP_PROFITABILITAS_BANK_SYARIAH_DI_INDONESIA</w:t>
        </w:r>
      </w:hyperlink>
      <w:r w:rsidR="00A40B3D">
        <w:t xml:space="preserve"> </w:t>
      </w:r>
      <w:r>
        <w:t xml:space="preserve"> </w:t>
      </w:r>
    </w:p>
    <w:p w14:paraId="7E62218F" w14:textId="77777777" w:rsidR="00821832" w:rsidRPr="00B36CE0" w:rsidRDefault="00821832" w:rsidP="00821832">
      <w:pPr>
        <w:pStyle w:val="Body"/>
        <w:spacing w:after="0"/>
        <w:rPr>
          <w:lang w:val="sv-SE"/>
        </w:rPr>
      </w:pPr>
    </w:p>
    <w:p w14:paraId="15AE5DF8" w14:textId="36FDC4B4" w:rsidR="00821832" w:rsidRPr="00C4515D" w:rsidRDefault="00C4515D" w:rsidP="009873B6">
      <w:pPr>
        <w:pStyle w:val="Body"/>
        <w:numPr>
          <w:ilvl w:val="0"/>
          <w:numId w:val="36"/>
        </w:numPr>
        <w:spacing w:after="0"/>
      </w:pPr>
      <w:r w:rsidRPr="00C4515D">
        <w:rPr>
          <w:lang w:val="sv-SE"/>
        </w:rPr>
        <w:t xml:space="preserve">Amruddin, A., et al. (2022). Metodologi penelitian kuantitatif. </w:t>
      </w:r>
      <w:proofErr w:type="spellStart"/>
      <w:r w:rsidRPr="00C4515D">
        <w:t>Sukoharjo</w:t>
      </w:r>
      <w:proofErr w:type="spellEnd"/>
      <w:r w:rsidRPr="00C4515D">
        <w:t xml:space="preserve">: </w:t>
      </w:r>
      <w:proofErr w:type="spellStart"/>
      <w:r w:rsidRPr="00C4515D">
        <w:t>Pradina</w:t>
      </w:r>
      <w:proofErr w:type="spellEnd"/>
      <w:r w:rsidRPr="00C4515D">
        <w:t xml:space="preserve"> </w:t>
      </w:r>
      <w:proofErr w:type="spellStart"/>
      <w:r w:rsidRPr="00C4515D">
        <w:t>Pustaka</w:t>
      </w:r>
      <w:proofErr w:type="spellEnd"/>
      <w:r w:rsidRPr="00C4515D">
        <w:t xml:space="preserve">. Retrieved from </w:t>
      </w:r>
      <w:hyperlink r:id="rId18" w:history="1">
        <w:r w:rsidRPr="00EB3382">
          <w:rPr>
            <w:rStyle w:val="Hyperlink"/>
          </w:rPr>
          <w:t>https://repository.umb.ac.id/59/1/BUKU%20METODOLOGI%20PENELITIAN%20KUANTITATIF%20_%20ANOVA.pdf</w:t>
        </w:r>
      </w:hyperlink>
      <w:r>
        <w:t xml:space="preserve"> </w:t>
      </w:r>
    </w:p>
    <w:p w14:paraId="5D57AE10" w14:textId="77777777" w:rsidR="00821832" w:rsidRDefault="00821832" w:rsidP="00821832">
      <w:pPr>
        <w:pStyle w:val="Body"/>
        <w:spacing w:after="0"/>
      </w:pPr>
    </w:p>
    <w:p w14:paraId="07BD73C8" w14:textId="5E6DBCD4" w:rsidR="00821832" w:rsidRDefault="00821832" w:rsidP="009873B6">
      <w:pPr>
        <w:pStyle w:val="Body"/>
        <w:numPr>
          <w:ilvl w:val="0"/>
          <w:numId w:val="36"/>
        </w:numPr>
        <w:spacing w:after="0"/>
      </w:pPr>
      <w:r w:rsidRPr="00821832">
        <w:rPr>
          <w:lang w:val="sv-SE"/>
        </w:rPr>
        <w:t xml:space="preserve">Bongomin, G. O. C., Ntayi, J. M., Munene, J. C., &amp; Nkote Nabeta, I. (2016). </w:t>
      </w:r>
      <w:r>
        <w:t xml:space="preserve">Social capital: Mediator of financial literacy and financial inclusion in rural Uganda. Review of International Business and Strategy, 26(2), 291–312. </w:t>
      </w:r>
      <w:hyperlink r:id="rId19" w:history="1">
        <w:r w:rsidRPr="0015241D">
          <w:rPr>
            <w:rStyle w:val="Hyperlink"/>
          </w:rPr>
          <w:t>https://doi.org/10.1108/RIBS-06-2014-0072</w:t>
        </w:r>
      </w:hyperlink>
      <w:r>
        <w:t xml:space="preserve"> </w:t>
      </w:r>
    </w:p>
    <w:p w14:paraId="0A0F7C94" w14:textId="77777777" w:rsidR="00821832" w:rsidRDefault="00821832" w:rsidP="00821832">
      <w:pPr>
        <w:pStyle w:val="Body"/>
        <w:spacing w:after="0"/>
      </w:pPr>
    </w:p>
    <w:p w14:paraId="0F2AE0BB" w14:textId="5E900E98" w:rsidR="00821832" w:rsidRDefault="00821832" w:rsidP="009873B6">
      <w:pPr>
        <w:pStyle w:val="Body"/>
        <w:numPr>
          <w:ilvl w:val="0"/>
          <w:numId w:val="36"/>
        </w:numPr>
        <w:spacing w:after="0"/>
      </w:pPr>
      <w:proofErr w:type="spellStart"/>
      <w:r>
        <w:t>Chandrarin</w:t>
      </w:r>
      <w:proofErr w:type="spellEnd"/>
      <w:r>
        <w:t xml:space="preserve">, G. (2017). Accounting research methods: A quantitative approach. </w:t>
      </w:r>
      <w:proofErr w:type="spellStart"/>
      <w:r>
        <w:t>Salemba</w:t>
      </w:r>
      <w:proofErr w:type="spellEnd"/>
      <w:r>
        <w:t xml:space="preserve"> </w:t>
      </w:r>
      <w:proofErr w:type="spellStart"/>
      <w:r>
        <w:t>Empat</w:t>
      </w:r>
      <w:proofErr w:type="spellEnd"/>
      <w:r w:rsidR="00C1670D">
        <w:t>: Jakarta</w:t>
      </w:r>
      <w:r>
        <w:t>.</w:t>
      </w:r>
    </w:p>
    <w:p w14:paraId="7AFC2ACA" w14:textId="77777777" w:rsidR="00821832" w:rsidRDefault="00821832" w:rsidP="00821832">
      <w:pPr>
        <w:pStyle w:val="Body"/>
        <w:spacing w:after="0"/>
      </w:pPr>
    </w:p>
    <w:p w14:paraId="370284D0" w14:textId="4964AEF5" w:rsidR="00821832" w:rsidRDefault="00821832" w:rsidP="009873B6">
      <w:pPr>
        <w:pStyle w:val="Body"/>
        <w:numPr>
          <w:ilvl w:val="0"/>
          <w:numId w:val="36"/>
        </w:numPr>
        <w:spacing w:after="0"/>
      </w:pPr>
      <w:proofErr w:type="spellStart"/>
      <w:r>
        <w:t>Ghozali</w:t>
      </w:r>
      <w:proofErr w:type="spellEnd"/>
      <w:r>
        <w:t xml:space="preserve">, I. (2018). Application of multivariate analysis with IBM SPSS program (9th ed.). </w:t>
      </w:r>
      <w:proofErr w:type="spellStart"/>
      <w:r>
        <w:t>Diponegoro</w:t>
      </w:r>
      <w:proofErr w:type="spellEnd"/>
      <w:r>
        <w:t xml:space="preserve"> University Publishing Agency</w:t>
      </w:r>
      <w:r w:rsidR="00C1670D">
        <w:t>: Semarang</w:t>
      </w:r>
      <w:r>
        <w:t>.</w:t>
      </w:r>
    </w:p>
    <w:p w14:paraId="76ADFC19" w14:textId="77777777" w:rsidR="00821832" w:rsidRDefault="00821832" w:rsidP="00821832">
      <w:pPr>
        <w:pStyle w:val="Body"/>
        <w:spacing w:after="0"/>
      </w:pPr>
    </w:p>
    <w:p w14:paraId="0BAD3170" w14:textId="5D4FAD81" w:rsidR="00821832" w:rsidRDefault="00821832" w:rsidP="009873B6">
      <w:pPr>
        <w:pStyle w:val="Body"/>
        <w:numPr>
          <w:ilvl w:val="0"/>
          <w:numId w:val="36"/>
        </w:numPr>
        <w:spacing w:after="0"/>
      </w:pPr>
      <w:r>
        <w:t xml:space="preserve">Hardy, M. B. F. (2025). Analysis of the effect of ROA, CAR, and NPL on the liquidity of BRI in the period 2019–2023 [Undergraduate thesis, Universitas Airlangga]. Retrieved from </w:t>
      </w:r>
      <w:hyperlink r:id="rId20" w:history="1">
        <w:r w:rsidR="00C1670D" w:rsidRPr="00EB3382">
          <w:rPr>
            <w:rStyle w:val="Hyperlink"/>
          </w:rPr>
          <w:t>https://unair.ac.id/post_fetcher/fakultas-vokasi-pengaruh-roa-car-dan-npl-terhadap-likuiditas-bri-periode-2019-2023/</w:t>
        </w:r>
      </w:hyperlink>
      <w:r w:rsidR="00C1670D">
        <w:t xml:space="preserve"> </w:t>
      </w:r>
    </w:p>
    <w:p w14:paraId="0E4E4DF6" w14:textId="77777777" w:rsidR="00821832" w:rsidRDefault="00821832" w:rsidP="00821832">
      <w:pPr>
        <w:pStyle w:val="Body"/>
        <w:spacing w:after="0"/>
      </w:pPr>
    </w:p>
    <w:p w14:paraId="574079DA" w14:textId="77777777" w:rsidR="00821832" w:rsidRDefault="00821832" w:rsidP="00821832">
      <w:pPr>
        <w:pStyle w:val="Body"/>
        <w:spacing w:after="0"/>
      </w:pPr>
    </w:p>
    <w:p w14:paraId="5F8F8679" w14:textId="408DC0DD" w:rsidR="00821832" w:rsidRDefault="00821832" w:rsidP="009873B6">
      <w:pPr>
        <w:pStyle w:val="Body"/>
        <w:numPr>
          <w:ilvl w:val="0"/>
          <w:numId w:val="36"/>
        </w:numPr>
        <w:spacing w:after="0"/>
      </w:pPr>
      <w:r>
        <w:t>Hartono, J. (201</w:t>
      </w:r>
      <w:r w:rsidR="006B3FBE">
        <w:t>3</w:t>
      </w:r>
      <w:r>
        <w:t xml:space="preserve">). Business research methodology: Misconceptions and experiences. </w:t>
      </w:r>
      <w:proofErr w:type="spellStart"/>
      <w:proofErr w:type="gramStart"/>
      <w:r>
        <w:t>BPFE</w:t>
      </w:r>
      <w:r w:rsidR="006B6909">
        <w:t>:Yogyakarta</w:t>
      </w:r>
      <w:proofErr w:type="spellEnd"/>
      <w:proofErr w:type="gramEnd"/>
      <w:r>
        <w:t>.</w:t>
      </w:r>
    </w:p>
    <w:p w14:paraId="2026A77A" w14:textId="77777777" w:rsidR="00821832" w:rsidRDefault="00821832" w:rsidP="00821832">
      <w:pPr>
        <w:pStyle w:val="Body"/>
        <w:spacing w:after="0"/>
      </w:pPr>
    </w:p>
    <w:p w14:paraId="7038A76F" w14:textId="77777777" w:rsidR="00821832" w:rsidRDefault="00821832" w:rsidP="00821832">
      <w:pPr>
        <w:pStyle w:val="Body"/>
        <w:spacing w:after="0"/>
      </w:pPr>
    </w:p>
    <w:p w14:paraId="487C364C" w14:textId="6DDF3FF0" w:rsidR="00821832" w:rsidRDefault="00821832" w:rsidP="009873B6">
      <w:pPr>
        <w:pStyle w:val="Body"/>
        <w:numPr>
          <w:ilvl w:val="0"/>
          <w:numId w:val="36"/>
        </w:numPr>
        <w:spacing w:after="0"/>
      </w:pPr>
      <w:r>
        <w:t xml:space="preserve">Kasmir. (2012). Financial statement analysis (5th ed.). PT </w:t>
      </w:r>
      <w:proofErr w:type="spellStart"/>
      <w:r>
        <w:t>Grafindo</w:t>
      </w:r>
      <w:proofErr w:type="spellEnd"/>
      <w:r>
        <w:t xml:space="preserve"> </w:t>
      </w:r>
      <w:proofErr w:type="spellStart"/>
      <w:proofErr w:type="gramStart"/>
      <w:r>
        <w:t>Persada</w:t>
      </w:r>
      <w:r w:rsidR="006B6909">
        <w:t>:Jakarta</w:t>
      </w:r>
      <w:proofErr w:type="spellEnd"/>
      <w:proofErr w:type="gramEnd"/>
      <w:r>
        <w:t>.</w:t>
      </w:r>
    </w:p>
    <w:p w14:paraId="603BEDE1" w14:textId="77777777" w:rsidR="00821832" w:rsidRDefault="00821832" w:rsidP="00821832">
      <w:pPr>
        <w:pStyle w:val="Body"/>
        <w:spacing w:after="0"/>
      </w:pPr>
    </w:p>
    <w:p w14:paraId="7621BCA2" w14:textId="4440B9BA" w:rsidR="00821832" w:rsidRDefault="00821832" w:rsidP="009873B6">
      <w:pPr>
        <w:pStyle w:val="Body"/>
        <w:numPr>
          <w:ilvl w:val="0"/>
          <w:numId w:val="36"/>
        </w:numPr>
        <w:spacing w:after="0"/>
      </w:pPr>
      <w:r>
        <w:t xml:space="preserve">Khaldi, K., &amp; </w:t>
      </w:r>
      <w:proofErr w:type="spellStart"/>
      <w:r>
        <w:t>Hamdouni</w:t>
      </w:r>
      <w:proofErr w:type="spellEnd"/>
      <w:r>
        <w:t xml:space="preserve">, A. (2011). Islamic financial intermediation: Equity, efficiency and risk. International Research Journal of Finance and Economics, 65, 145–160. Retrieved from </w:t>
      </w:r>
      <w:hyperlink r:id="rId21" w:history="1">
        <w:r w:rsidRPr="0015241D">
          <w:rPr>
            <w:rStyle w:val="Hyperlink"/>
          </w:rPr>
          <w:t>https://www.internationalresearchjournaloffinanceandeconomics.com/ISSUES/IRJFE_65.htm</w:t>
        </w:r>
      </w:hyperlink>
      <w:r>
        <w:t xml:space="preserve"> </w:t>
      </w:r>
    </w:p>
    <w:p w14:paraId="074E8246" w14:textId="77777777" w:rsidR="00821832" w:rsidRDefault="00821832" w:rsidP="00821832">
      <w:pPr>
        <w:pStyle w:val="Body"/>
        <w:spacing w:after="0"/>
      </w:pPr>
    </w:p>
    <w:p w14:paraId="69E86ECD" w14:textId="6EFD52BF" w:rsidR="00821832" w:rsidRDefault="00821832" w:rsidP="009873B6">
      <w:pPr>
        <w:pStyle w:val="Body"/>
        <w:numPr>
          <w:ilvl w:val="0"/>
          <w:numId w:val="36"/>
        </w:numPr>
        <w:spacing w:after="0"/>
      </w:pPr>
      <w:proofErr w:type="spellStart"/>
      <w:r>
        <w:t>Murniati</w:t>
      </w:r>
      <w:proofErr w:type="spellEnd"/>
      <w:r>
        <w:t xml:space="preserve">, A. (2022). Bank financial performance and profit growth in Islamic commercial banks (2018–2020). Journal of Accounting Theory &amp; Applied Research (PETA), 7(1), 134–146. </w:t>
      </w:r>
      <w:hyperlink r:id="rId22" w:history="1">
        <w:r w:rsidRPr="0015241D">
          <w:rPr>
            <w:rStyle w:val="Hyperlink"/>
          </w:rPr>
          <w:t>https://doi.org/10.51289/peta.v7i1.560</w:t>
        </w:r>
      </w:hyperlink>
      <w:r>
        <w:t xml:space="preserve"> </w:t>
      </w:r>
    </w:p>
    <w:p w14:paraId="14EF913B" w14:textId="77777777" w:rsidR="00821832" w:rsidRDefault="00821832" w:rsidP="00821832">
      <w:pPr>
        <w:pStyle w:val="Body"/>
        <w:spacing w:after="0"/>
      </w:pPr>
    </w:p>
    <w:p w14:paraId="23F4DCAD" w14:textId="77777777" w:rsidR="00821832" w:rsidRDefault="00821832" w:rsidP="00821832">
      <w:pPr>
        <w:pStyle w:val="Body"/>
        <w:spacing w:after="0"/>
      </w:pPr>
    </w:p>
    <w:p w14:paraId="03C2AD4C" w14:textId="3BBD9A39" w:rsidR="00821832" w:rsidRDefault="00821832" w:rsidP="009873B6">
      <w:pPr>
        <w:pStyle w:val="Body"/>
        <w:numPr>
          <w:ilvl w:val="0"/>
          <w:numId w:val="36"/>
        </w:numPr>
        <w:spacing w:after="0"/>
      </w:pPr>
      <w:r>
        <w:t xml:space="preserve">Pandia. (2012). Fund management and bank soundness. </w:t>
      </w:r>
      <w:proofErr w:type="spellStart"/>
      <w:r>
        <w:t>Rineka</w:t>
      </w:r>
      <w:proofErr w:type="spellEnd"/>
      <w:r>
        <w:t xml:space="preserve"> </w:t>
      </w:r>
      <w:proofErr w:type="spellStart"/>
      <w:r>
        <w:t>Cipta</w:t>
      </w:r>
      <w:proofErr w:type="spellEnd"/>
      <w:r w:rsidR="00EA0D63">
        <w:t>: Jakarta</w:t>
      </w:r>
      <w:r>
        <w:t>.</w:t>
      </w:r>
    </w:p>
    <w:p w14:paraId="5E7EE4EB" w14:textId="77777777" w:rsidR="00821832" w:rsidRDefault="00821832" w:rsidP="00821832">
      <w:pPr>
        <w:pStyle w:val="Body"/>
        <w:spacing w:after="0"/>
      </w:pPr>
    </w:p>
    <w:p w14:paraId="1E2DAA71" w14:textId="77777777" w:rsidR="00821832" w:rsidRDefault="00821832" w:rsidP="00821832">
      <w:pPr>
        <w:pStyle w:val="Body"/>
        <w:spacing w:after="0"/>
      </w:pPr>
    </w:p>
    <w:p w14:paraId="58F06DD1" w14:textId="029CAB87" w:rsidR="00821832" w:rsidRDefault="00821832" w:rsidP="009873B6">
      <w:pPr>
        <w:pStyle w:val="Body"/>
        <w:numPr>
          <w:ilvl w:val="0"/>
          <w:numId w:val="36"/>
        </w:numPr>
        <w:spacing w:after="0"/>
      </w:pPr>
      <w:r>
        <w:t xml:space="preserve">Putri, I., &amp; </w:t>
      </w:r>
      <w:proofErr w:type="spellStart"/>
      <w:r>
        <w:t>Suryantini</w:t>
      </w:r>
      <w:proofErr w:type="spellEnd"/>
      <w:r>
        <w:t>, N. P. S. (2017). Determinants of loan to deposit ratio in joint venture banks in Indonesia. E-</w:t>
      </w:r>
      <w:proofErr w:type="spellStart"/>
      <w:r>
        <w:t>Jurnal</w:t>
      </w:r>
      <w:proofErr w:type="spellEnd"/>
      <w:r>
        <w:t xml:space="preserve"> </w:t>
      </w:r>
      <w:proofErr w:type="spellStart"/>
      <w:r>
        <w:t>Manajemen</w:t>
      </w:r>
      <w:proofErr w:type="spellEnd"/>
      <w:r>
        <w:t xml:space="preserve"> </w:t>
      </w:r>
      <w:proofErr w:type="spellStart"/>
      <w:r>
        <w:t>Universitas</w:t>
      </w:r>
      <w:proofErr w:type="spellEnd"/>
      <w:r>
        <w:t xml:space="preserve"> </w:t>
      </w:r>
      <w:proofErr w:type="spellStart"/>
      <w:r>
        <w:t>Udayana</w:t>
      </w:r>
      <w:proofErr w:type="spellEnd"/>
      <w:r>
        <w:t xml:space="preserve">, 6(1), 204–234. Retrieved from </w:t>
      </w:r>
      <w:hyperlink r:id="rId23" w:history="1">
        <w:r w:rsidR="001E6EA8" w:rsidRPr="00EB3382">
          <w:rPr>
            <w:rStyle w:val="Hyperlink"/>
          </w:rPr>
          <w:t>https://media.neliti.com/media/publications/254060-none-3270ed07.pdf</w:t>
        </w:r>
      </w:hyperlink>
      <w:r w:rsidR="001E6EA8">
        <w:t xml:space="preserve"> </w:t>
      </w:r>
      <w:r>
        <w:t xml:space="preserve"> </w:t>
      </w:r>
    </w:p>
    <w:p w14:paraId="1AB1D0AE" w14:textId="77777777" w:rsidR="00821832" w:rsidRDefault="00821832" w:rsidP="00821832">
      <w:pPr>
        <w:pStyle w:val="Body"/>
        <w:spacing w:after="0"/>
      </w:pPr>
    </w:p>
    <w:p w14:paraId="329F7050" w14:textId="38EC72CE" w:rsidR="00821832" w:rsidRPr="00C31AB3" w:rsidRDefault="00821832" w:rsidP="009873B6">
      <w:pPr>
        <w:pStyle w:val="Body"/>
        <w:numPr>
          <w:ilvl w:val="0"/>
          <w:numId w:val="36"/>
        </w:numPr>
        <w:spacing w:after="0"/>
      </w:pPr>
      <w:r>
        <w:t xml:space="preserve">Rahayu, M. D., Rahayu, S., &amp; Wahyudi, I. (2020). The effect of capital adequacy, credit risk, profitability, and bank size on liquidity (Study on banking companies listed </w:t>
      </w:r>
      <w:r>
        <w:lastRenderedPageBreak/>
        <w:t xml:space="preserve">on IDX in 2013–2018). </w:t>
      </w:r>
      <w:r w:rsidRPr="00B36CE0">
        <w:rPr>
          <w:lang w:val="sv-SE"/>
        </w:rPr>
        <w:t xml:space="preserve">Jurnal Akuntansi &amp; Keuangan Unja, 5(2). </w:t>
      </w:r>
      <w:r w:rsidRPr="00C31AB3">
        <w:t xml:space="preserve">Retrieved from </w:t>
      </w:r>
      <w:hyperlink r:id="rId24" w:history="1">
        <w:r w:rsidR="00C31AB3" w:rsidRPr="00EB3382">
          <w:rPr>
            <w:rStyle w:val="Hyperlink"/>
          </w:rPr>
          <w:t>https://online-journal.unja.ac.id/jaku/article/view/10260</w:t>
        </w:r>
      </w:hyperlink>
      <w:r w:rsidR="00C31AB3">
        <w:t xml:space="preserve"> </w:t>
      </w:r>
      <w:r w:rsidRPr="00C31AB3">
        <w:t xml:space="preserve"> </w:t>
      </w:r>
    </w:p>
    <w:p w14:paraId="29A48362" w14:textId="77777777" w:rsidR="00821832" w:rsidRPr="00C31AB3" w:rsidRDefault="00821832" w:rsidP="00821832">
      <w:pPr>
        <w:pStyle w:val="Body"/>
        <w:spacing w:after="0"/>
      </w:pPr>
    </w:p>
    <w:p w14:paraId="275103AC" w14:textId="71A34461" w:rsidR="00821832" w:rsidRPr="00B36CE0" w:rsidRDefault="00821832" w:rsidP="009873B6">
      <w:pPr>
        <w:pStyle w:val="Body"/>
        <w:numPr>
          <w:ilvl w:val="0"/>
          <w:numId w:val="36"/>
        </w:numPr>
        <w:spacing w:after="0"/>
        <w:rPr>
          <w:lang w:val="sv-SE"/>
        </w:rPr>
      </w:pPr>
      <w:r w:rsidRPr="00B36CE0">
        <w:rPr>
          <w:lang w:val="sv-SE"/>
        </w:rPr>
        <w:t xml:space="preserve">Rahmani, H. F. (2019). </w:t>
      </w:r>
      <w:r>
        <w:t xml:space="preserve">The effect of ROA, PER, EPS, DER, and PBV on stock prices at PT Bank Negara Indonesia (Persero) </w:t>
      </w:r>
      <w:proofErr w:type="spellStart"/>
      <w:r>
        <w:t>Tbk</w:t>
      </w:r>
      <w:proofErr w:type="spellEnd"/>
      <w:r>
        <w:t xml:space="preserve">. 2005–2016. </w:t>
      </w:r>
      <w:r w:rsidRPr="00821832">
        <w:rPr>
          <w:lang w:val="sv-SE"/>
        </w:rPr>
        <w:t xml:space="preserve">Jurnal Riset Ekonomi dan Akuntansi, 4(1). </w:t>
      </w:r>
      <w:hyperlink r:id="rId25" w:history="1">
        <w:r w:rsidR="00C31AB3" w:rsidRPr="00C31AB3">
          <w:rPr>
            <w:rStyle w:val="Hyperlink"/>
          </w:rPr>
          <w:t>https://doi.org/10.30736/.v4i1.220</w:t>
        </w:r>
      </w:hyperlink>
      <w:r w:rsidRPr="00B36CE0">
        <w:rPr>
          <w:lang w:val="sv-SE"/>
        </w:rPr>
        <w:t xml:space="preserve"> </w:t>
      </w:r>
    </w:p>
    <w:p w14:paraId="6A069262" w14:textId="77777777" w:rsidR="00821832" w:rsidRPr="00B36CE0" w:rsidRDefault="00821832" w:rsidP="00821832">
      <w:pPr>
        <w:pStyle w:val="Body"/>
        <w:spacing w:after="0"/>
        <w:rPr>
          <w:lang w:val="sv-SE"/>
        </w:rPr>
      </w:pPr>
    </w:p>
    <w:p w14:paraId="192A9C96" w14:textId="17A5EA49" w:rsidR="00821832" w:rsidRDefault="00821832" w:rsidP="009873B6">
      <w:pPr>
        <w:pStyle w:val="Body"/>
        <w:numPr>
          <w:ilvl w:val="0"/>
          <w:numId w:val="36"/>
        </w:numPr>
        <w:spacing w:after="0"/>
      </w:pPr>
      <w:proofErr w:type="spellStart"/>
      <w:r>
        <w:t>Riyadi</w:t>
      </w:r>
      <w:proofErr w:type="spellEnd"/>
      <w:r>
        <w:t>, S. (2006). Banking assets and liability management. Faculty of Economics UI Publishing</w:t>
      </w:r>
      <w:r w:rsidR="00EA0D63">
        <w:t>: Jakarta</w:t>
      </w:r>
      <w:r>
        <w:t>.</w:t>
      </w:r>
    </w:p>
    <w:p w14:paraId="12C5D7F3" w14:textId="77777777" w:rsidR="00821832" w:rsidRDefault="00821832" w:rsidP="00821832">
      <w:pPr>
        <w:pStyle w:val="Body"/>
        <w:spacing w:after="0"/>
      </w:pPr>
    </w:p>
    <w:p w14:paraId="7BB39D8B" w14:textId="77777777" w:rsidR="00821832" w:rsidRDefault="00821832" w:rsidP="00821832">
      <w:pPr>
        <w:pStyle w:val="Body"/>
        <w:spacing w:after="0"/>
      </w:pPr>
    </w:p>
    <w:p w14:paraId="34AFC7F8" w14:textId="30B4D0E8" w:rsidR="00821832" w:rsidRDefault="00821832" w:rsidP="009873B6">
      <w:pPr>
        <w:pStyle w:val="Body"/>
        <w:numPr>
          <w:ilvl w:val="0"/>
          <w:numId w:val="36"/>
        </w:numPr>
        <w:spacing w:after="0"/>
      </w:pPr>
      <w:r>
        <w:t xml:space="preserve">Rufaidah, I. K., </w:t>
      </w:r>
      <w:proofErr w:type="spellStart"/>
      <w:r>
        <w:t>Djuwarsa</w:t>
      </w:r>
      <w:proofErr w:type="spellEnd"/>
      <w:r>
        <w:t xml:space="preserve">, T., &amp; </w:t>
      </w:r>
      <w:proofErr w:type="spellStart"/>
      <w:r>
        <w:t>Danisworo</w:t>
      </w:r>
      <w:proofErr w:type="spellEnd"/>
      <w:r>
        <w:t xml:space="preserve">, D. S. (2021). The effect of DPK, CAR, BOPO, and NPF on liquidity in Islamic commercial banks. Journal of Applied Islamic Economics and Finance, 2(1), 187–197. </w:t>
      </w:r>
      <w:hyperlink r:id="rId26" w:history="1">
        <w:r w:rsidRPr="0015241D">
          <w:rPr>
            <w:rStyle w:val="Hyperlink"/>
          </w:rPr>
          <w:t>https://doi.org/10.35313/jaief.v2i1.2912</w:t>
        </w:r>
      </w:hyperlink>
      <w:r>
        <w:t xml:space="preserve"> </w:t>
      </w:r>
    </w:p>
    <w:p w14:paraId="56975347" w14:textId="77777777" w:rsidR="00821832" w:rsidRDefault="00821832" w:rsidP="00821832">
      <w:pPr>
        <w:pStyle w:val="Body"/>
        <w:spacing w:after="0"/>
      </w:pPr>
    </w:p>
    <w:p w14:paraId="0662B100" w14:textId="7E8F12C2" w:rsidR="00821832" w:rsidRDefault="00821832" w:rsidP="009873B6">
      <w:pPr>
        <w:pStyle w:val="Body"/>
        <w:numPr>
          <w:ilvl w:val="0"/>
          <w:numId w:val="36"/>
        </w:numPr>
        <w:spacing w:after="0"/>
      </w:pPr>
      <w:r w:rsidRPr="00821832">
        <w:rPr>
          <w:lang w:val="sv-SE"/>
        </w:rPr>
        <w:t xml:space="preserve">Safitri, M. N., Dewi, R. R., &amp; Suhendro. </w:t>
      </w:r>
      <w:r>
        <w:t xml:space="preserve">(2018). The effect of profitability, solvency, firm size, and public ownership on audit report lag. </w:t>
      </w:r>
      <w:proofErr w:type="spellStart"/>
      <w:r>
        <w:t>Jurnal</w:t>
      </w:r>
      <w:proofErr w:type="spellEnd"/>
      <w:r>
        <w:t xml:space="preserve"> </w:t>
      </w:r>
      <w:proofErr w:type="spellStart"/>
      <w:r>
        <w:t>Akuntansi</w:t>
      </w:r>
      <w:proofErr w:type="spellEnd"/>
      <w:r>
        <w:t xml:space="preserve">. Retrieved from </w:t>
      </w:r>
      <w:hyperlink r:id="rId27" w:history="1">
        <w:r w:rsidR="00D00C6F" w:rsidRPr="00EB3382">
          <w:rPr>
            <w:rStyle w:val="Hyperlink"/>
          </w:rPr>
          <w:t>https://openjournal.unpam.ac.id/index.php/SNU/article/view/2503</w:t>
        </w:r>
      </w:hyperlink>
      <w:r w:rsidR="00D00C6F">
        <w:t xml:space="preserve"> </w:t>
      </w:r>
      <w:r>
        <w:t xml:space="preserve"> </w:t>
      </w:r>
    </w:p>
    <w:p w14:paraId="132CF730" w14:textId="77777777" w:rsidR="00821832" w:rsidRDefault="00821832" w:rsidP="00821832">
      <w:pPr>
        <w:pStyle w:val="Body"/>
        <w:spacing w:after="0"/>
      </w:pPr>
    </w:p>
    <w:p w14:paraId="706EB438" w14:textId="77777777" w:rsidR="00821832" w:rsidRDefault="00821832" w:rsidP="00821832">
      <w:pPr>
        <w:pStyle w:val="Body"/>
        <w:spacing w:after="0"/>
      </w:pPr>
    </w:p>
    <w:p w14:paraId="6204B4D7" w14:textId="73825DCA" w:rsidR="00821832" w:rsidRDefault="00821832" w:rsidP="009873B6">
      <w:pPr>
        <w:pStyle w:val="Body"/>
        <w:numPr>
          <w:ilvl w:val="0"/>
          <w:numId w:val="36"/>
        </w:numPr>
        <w:spacing w:after="0"/>
      </w:pPr>
      <w:r>
        <w:t xml:space="preserve">Saraswati, A. P., &amp; </w:t>
      </w:r>
      <w:proofErr w:type="spellStart"/>
      <w:r>
        <w:t>Suryantini</w:t>
      </w:r>
      <w:proofErr w:type="spellEnd"/>
      <w:r>
        <w:t xml:space="preserve">, N. P. S. (2019). The effect of leverage, firm size, and profitability on hedging decisions in manufacturing companies listed on IDX. E-Journal of Management Udayana University, 8(5), 2999. Retrieved from </w:t>
      </w:r>
      <w:hyperlink r:id="rId28" w:history="1">
        <w:r w:rsidR="000B1662" w:rsidRPr="00EB3382">
          <w:rPr>
            <w:rStyle w:val="Hyperlink"/>
          </w:rPr>
          <w:t>https://media.neliti.com/media/publications/401116-pengaruh-leverage-firm-size-profitabilit-0c92cd44.pdf</w:t>
        </w:r>
      </w:hyperlink>
      <w:r w:rsidR="000B1662">
        <w:t xml:space="preserve"> </w:t>
      </w:r>
      <w:r>
        <w:t xml:space="preserve"> </w:t>
      </w:r>
    </w:p>
    <w:p w14:paraId="699A768B" w14:textId="77777777" w:rsidR="00821832" w:rsidRDefault="00821832" w:rsidP="00821832">
      <w:pPr>
        <w:pStyle w:val="Body"/>
        <w:spacing w:after="0"/>
      </w:pPr>
    </w:p>
    <w:p w14:paraId="65C2958D" w14:textId="184AB686" w:rsidR="00821832" w:rsidRDefault="00821832" w:rsidP="009873B6">
      <w:pPr>
        <w:pStyle w:val="Body"/>
        <w:numPr>
          <w:ilvl w:val="0"/>
          <w:numId w:val="36"/>
        </w:numPr>
        <w:spacing w:after="0"/>
      </w:pPr>
      <w:proofErr w:type="spellStart"/>
      <w:r>
        <w:t>Sembiring</w:t>
      </w:r>
      <w:proofErr w:type="spellEnd"/>
      <w:r>
        <w:t xml:space="preserve">, R. P. B., &amp; Wulandari, I. (2023). The effect of ROA, ROE, and NPL on banking liquidity. </w:t>
      </w:r>
      <w:proofErr w:type="spellStart"/>
      <w:r>
        <w:t>Jurnal</w:t>
      </w:r>
      <w:proofErr w:type="spellEnd"/>
      <w:r>
        <w:t xml:space="preserve"> </w:t>
      </w:r>
      <w:proofErr w:type="spellStart"/>
      <w:r>
        <w:t>Ekonomi</w:t>
      </w:r>
      <w:proofErr w:type="spellEnd"/>
      <w:r>
        <w:t xml:space="preserve"> Pembangunan STIE Muhammadiyah Palopo, 9(2), 511. Retrieved from </w:t>
      </w:r>
      <w:hyperlink r:id="rId29" w:history="1">
        <w:r w:rsidR="000B1662" w:rsidRPr="00EB3382">
          <w:rPr>
            <w:rStyle w:val="Hyperlink"/>
          </w:rPr>
          <w:t>https://journal.stiem.ac.id/index.php/jurep/article/view/1790/0</w:t>
        </w:r>
      </w:hyperlink>
      <w:r w:rsidR="000B1662">
        <w:t xml:space="preserve"> </w:t>
      </w:r>
      <w:r>
        <w:t xml:space="preserve"> </w:t>
      </w:r>
    </w:p>
    <w:p w14:paraId="74F02101" w14:textId="77777777" w:rsidR="00821832" w:rsidRDefault="00821832" w:rsidP="00821832">
      <w:pPr>
        <w:pStyle w:val="Body"/>
        <w:spacing w:after="0"/>
      </w:pPr>
    </w:p>
    <w:p w14:paraId="1929B239" w14:textId="77777777" w:rsidR="00821832" w:rsidRDefault="00821832" w:rsidP="00821832">
      <w:pPr>
        <w:pStyle w:val="Body"/>
        <w:spacing w:after="0"/>
      </w:pPr>
    </w:p>
    <w:p w14:paraId="6FA6F54B" w14:textId="2974E59C" w:rsidR="00821832" w:rsidRDefault="00821832" w:rsidP="009873B6">
      <w:pPr>
        <w:pStyle w:val="Body"/>
        <w:numPr>
          <w:ilvl w:val="0"/>
          <w:numId w:val="36"/>
        </w:numPr>
        <w:spacing w:after="0"/>
      </w:pPr>
      <w:proofErr w:type="spellStart"/>
      <w:r>
        <w:t>Sugiyono</w:t>
      </w:r>
      <w:proofErr w:type="spellEnd"/>
      <w:r>
        <w:t xml:space="preserve">. (2013). Educational research methods: Quantitative, qualitative, and R&amp;D approaches. </w:t>
      </w:r>
      <w:proofErr w:type="spellStart"/>
      <w:r>
        <w:t>Alfabeta</w:t>
      </w:r>
      <w:proofErr w:type="spellEnd"/>
      <w:r w:rsidR="009104D5">
        <w:t>: Bandung</w:t>
      </w:r>
      <w:r>
        <w:t>.</w:t>
      </w:r>
    </w:p>
    <w:p w14:paraId="731D2E1C" w14:textId="77777777" w:rsidR="00821832" w:rsidRDefault="00821832" w:rsidP="00821832">
      <w:pPr>
        <w:pStyle w:val="Body"/>
        <w:spacing w:after="0"/>
      </w:pPr>
    </w:p>
    <w:p w14:paraId="417EEFB8" w14:textId="5110CD36" w:rsidR="00821832" w:rsidRDefault="00821832" w:rsidP="009873B6">
      <w:pPr>
        <w:pStyle w:val="Body"/>
        <w:numPr>
          <w:ilvl w:val="0"/>
          <w:numId w:val="36"/>
        </w:numPr>
        <w:spacing w:after="0"/>
      </w:pPr>
      <w:proofErr w:type="spellStart"/>
      <w:r>
        <w:t>Suliyanto</w:t>
      </w:r>
      <w:proofErr w:type="spellEnd"/>
      <w:r>
        <w:t>. (2011). Applied econometrics: Theory and application with SPSS. ANDI</w:t>
      </w:r>
      <w:r w:rsidR="009104D5">
        <w:t>: Yogyakarta</w:t>
      </w:r>
      <w:r>
        <w:t>.</w:t>
      </w:r>
    </w:p>
    <w:p w14:paraId="7BCFE33C" w14:textId="77777777" w:rsidR="00821832" w:rsidRDefault="00821832" w:rsidP="00821832">
      <w:pPr>
        <w:pStyle w:val="Body"/>
        <w:spacing w:after="0"/>
      </w:pPr>
    </w:p>
    <w:p w14:paraId="714D676F" w14:textId="6048199A" w:rsidR="00821832" w:rsidRDefault="00821832" w:rsidP="009873B6">
      <w:pPr>
        <w:pStyle w:val="Body"/>
        <w:numPr>
          <w:ilvl w:val="0"/>
          <w:numId w:val="36"/>
        </w:numPr>
        <w:spacing w:after="0"/>
      </w:pPr>
      <w:r>
        <w:t xml:space="preserve">Tahu, G. P., </w:t>
      </w:r>
      <w:proofErr w:type="spellStart"/>
      <w:r>
        <w:t>Udiana</w:t>
      </w:r>
      <w:proofErr w:type="spellEnd"/>
      <w:r>
        <w:t xml:space="preserve">, D. P. S., &amp; </w:t>
      </w:r>
      <w:proofErr w:type="spellStart"/>
      <w:r>
        <w:t>Widnyana</w:t>
      </w:r>
      <w:proofErr w:type="spellEnd"/>
      <w:r>
        <w:t xml:space="preserve">, I. W. (2023). The effect of capital ratio, credit risk, and profitability on liquidity in commercial banks listed on IDX. Journal of Economics, Social &amp; Humanities, 4(11), 12–30. Retrieved from </w:t>
      </w:r>
      <w:hyperlink r:id="rId30" w:history="1">
        <w:r w:rsidR="009104D5" w:rsidRPr="00EB3382">
          <w:rPr>
            <w:rStyle w:val="Hyperlink"/>
          </w:rPr>
          <w:t>https://www.jurnalintelektiva.com/index.php/jurnal/article/view/974</w:t>
        </w:r>
      </w:hyperlink>
      <w:r w:rsidR="009104D5">
        <w:t xml:space="preserve"> </w:t>
      </w:r>
    </w:p>
    <w:p w14:paraId="41860A3B" w14:textId="77777777" w:rsidR="00821832" w:rsidRDefault="00821832" w:rsidP="00821832">
      <w:pPr>
        <w:pStyle w:val="Body"/>
        <w:spacing w:after="0"/>
      </w:pPr>
    </w:p>
    <w:p w14:paraId="4E434B7B" w14:textId="564B4034" w:rsidR="00821832" w:rsidRDefault="00821832" w:rsidP="009873B6">
      <w:pPr>
        <w:pStyle w:val="Body"/>
        <w:numPr>
          <w:ilvl w:val="0"/>
          <w:numId w:val="36"/>
        </w:numPr>
        <w:spacing w:after="0"/>
      </w:pPr>
      <w:r>
        <w:t xml:space="preserve">Tan, Y. (2016). The impacts of risk and competition on bank profitability in China. Journal of International Financial Markets, Institutions and Money, 40, 85–110. </w:t>
      </w:r>
      <w:hyperlink r:id="rId31" w:history="1">
        <w:r w:rsidRPr="0015241D">
          <w:rPr>
            <w:rStyle w:val="Hyperlink"/>
          </w:rPr>
          <w:t>https://doi.org/10.1016/j.intfin.2015.09.003</w:t>
        </w:r>
      </w:hyperlink>
      <w:r>
        <w:t xml:space="preserve"> </w:t>
      </w:r>
    </w:p>
    <w:p w14:paraId="06B3838E" w14:textId="77777777" w:rsidR="00821832" w:rsidRDefault="00821832" w:rsidP="00821832">
      <w:pPr>
        <w:pStyle w:val="Body"/>
        <w:spacing w:after="0"/>
      </w:pPr>
    </w:p>
    <w:p w14:paraId="2FCA9835" w14:textId="2B033450" w:rsidR="00821832" w:rsidRDefault="00821832" w:rsidP="009873B6">
      <w:pPr>
        <w:pStyle w:val="Body"/>
        <w:numPr>
          <w:ilvl w:val="0"/>
          <w:numId w:val="36"/>
        </w:numPr>
        <w:spacing w:after="0"/>
      </w:pPr>
      <w:r w:rsidRPr="00821832">
        <w:rPr>
          <w:lang w:val="sv-SE"/>
        </w:rPr>
        <w:t xml:space="preserve">Warsa, N. M. I. U. P., &amp; Mustanda, I. K. (2016). </w:t>
      </w:r>
      <w:r>
        <w:t>The effect of CAR, LDR, and NPL on ROA in the banking sector listed on IDX. E-</w:t>
      </w:r>
      <w:proofErr w:type="spellStart"/>
      <w:r>
        <w:t>Jurnal</w:t>
      </w:r>
      <w:proofErr w:type="spellEnd"/>
      <w:r>
        <w:t xml:space="preserve"> </w:t>
      </w:r>
      <w:proofErr w:type="spellStart"/>
      <w:r>
        <w:t>Manajemen</w:t>
      </w:r>
      <w:proofErr w:type="spellEnd"/>
      <w:r>
        <w:t xml:space="preserve"> </w:t>
      </w:r>
      <w:proofErr w:type="spellStart"/>
      <w:r>
        <w:t>Universitas</w:t>
      </w:r>
      <w:proofErr w:type="spellEnd"/>
      <w:r>
        <w:t xml:space="preserve"> </w:t>
      </w:r>
      <w:proofErr w:type="spellStart"/>
      <w:r>
        <w:t>Udayana</w:t>
      </w:r>
      <w:proofErr w:type="spellEnd"/>
      <w:r>
        <w:t xml:space="preserve">, 5(5), 2842–2870. Retrieved from </w:t>
      </w:r>
      <w:hyperlink r:id="rId32" w:history="1">
        <w:r w:rsidR="009104D5" w:rsidRPr="00EB3382">
          <w:rPr>
            <w:rStyle w:val="Hyperlink"/>
          </w:rPr>
          <w:t>https://download.garuda.kemdikbud.go.id/article.php?article=1369974&amp;val=989&amp;title=PENGARUH%20CAR%20LDR%20DAN%20NPL%20TERHADAP%20ROA%20PADA%20SEKTOR%20PERBANKAN%20DI%20BURSA%20EFEK%20INDONESIA</w:t>
        </w:r>
      </w:hyperlink>
      <w:r w:rsidR="009104D5">
        <w:t xml:space="preserve"> </w:t>
      </w:r>
      <w:r>
        <w:t xml:space="preserve"> </w:t>
      </w:r>
    </w:p>
    <w:p w14:paraId="0A3DF6E2" w14:textId="77777777" w:rsidR="00821832" w:rsidRDefault="00821832" w:rsidP="00821832">
      <w:pPr>
        <w:pStyle w:val="Body"/>
        <w:spacing w:after="0"/>
      </w:pPr>
    </w:p>
    <w:p w14:paraId="38E0468A" w14:textId="77777777" w:rsidR="00821832" w:rsidRDefault="00821832" w:rsidP="00821832">
      <w:pPr>
        <w:pStyle w:val="Body"/>
        <w:spacing w:after="0"/>
      </w:pPr>
    </w:p>
    <w:p w14:paraId="0EFEFA05" w14:textId="667B8C81" w:rsidR="00821832" w:rsidRPr="009104D5" w:rsidRDefault="00821832" w:rsidP="009873B6">
      <w:pPr>
        <w:pStyle w:val="Body"/>
        <w:numPr>
          <w:ilvl w:val="0"/>
          <w:numId w:val="36"/>
        </w:numPr>
        <w:spacing w:after="0"/>
      </w:pPr>
      <w:proofErr w:type="spellStart"/>
      <w:r>
        <w:t>Widyaningsih</w:t>
      </w:r>
      <w:proofErr w:type="spellEnd"/>
      <w:r>
        <w:t xml:space="preserve">, F., </w:t>
      </w:r>
      <w:proofErr w:type="spellStart"/>
      <w:r>
        <w:t>Fursiana</w:t>
      </w:r>
      <w:proofErr w:type="spellEnd"/>
      <w:r>
        <w:t xml:space="preserve">, M., &amp; </w:t>
      </w:r>
      <w:proofErr w:type="spellStart"/>
      <w:r>
        <w:t>Hinawati</w:t>
      </w:r>
      <w:proofErr w:type="spellEnd"/>
      <w:r>
        <w:t xml:space="preserve">, T. (2024). The effect of CAR, NPF, BOPO, firm size, and DPK on the liquidity of Panin Dubai Syariah Bank 2017–2021. </w:t>
      </w:r>
      <w:r w:rsidRPr="00821832">
        <w:rPr>
          <w:lang w:val="sv-SE"/>
        </w:rPr>
        <w:t xml:space="preserve">Jurnal Akuntansi, Manajemen dan Perbankan Syariah, 4(1), 103–118. </w:t>
      </w:r>
      <w:hyperlink r:id="rId33" w:history="1">
        <w:r w:rsidR="009104D5" w:rsidRPr="00EB3382">
          <w:rPr>
            <w:rStyle w:val="Hyperlink"/>
          </w:rPr>
          <w:t>https://doi.org/https://doi.org/10.32699/jamasy.v4i1.6831</w:t>
        </w:r>
      </w:hyperlink>
      <w:r w:rsidR="009104D5">
        <w:t xml:space="preserve"> </w:t>
      </w:r>
    </w:p>
    <w:p w14:paraId="66CA5C25" w14:textId="77777777" w:rsidR="00821832" w:rsidRPr="009104D5" w:rsidRDefault="00821832" w:rsidP="00821832">
      <w:pPr>
        <w:pStyle w:val="Body"/>
        <w:spacing w:after="0"/>
      </w:pPr>
    </w:p>
    <w:p w14:paraId="14BA18B0" w14:textId="75B09FB0" w:rsidR="0007471B" w:rsidRPr="00B36CE0" w:rsidRDefault="00821832" w:rsidP="009873B6">
      <w:pPr>
        <w:pStyle w:val="Body"/>
        <w:numPr>
          <w:ilvl w:val="0"/>
          <w:numId w:val="36"/>
        </w:numPr>
        <w:spacing w:after="0"/>
        <w:rPr>
          <w:lang w:val="sv-SE"/>
        </w:rPr>
      </w:pPr>
      <w:proofErr w:type="spellStart"/>
      <w:r>
        <w:t>Yerismal</w:t>
      </w:r>
      <w:proofErr w:type="spellEnd"/>
      <w:r>
        <w:t xml:space="preserve">. (2018). The effect of LDR, NPL, and CAR on liquidity risk in rural banks (BPR) in West Sumatra. </w:t>
      </w:r>
      <w:r w:rsidRPr="00821832">
        <w:rPr>
          <w:lang w:val="sv-SE"/>
        </w:rPr>
        <w:t xml:space="preserve">Jurnal Ekonomi dan Perbankan, 5(1). </w:t>
      </w:r>
      <w:hyperlink r:id="rId34" w:history="1">
        <w:r w:rsidR="009104D5" w:rsidRPr="00EB3382">
          <w:rPr>
            <w:rStyle w:val="Hyperlink"/>
            <w:lang w:val="sv-SE"/>
          </w:rPr>
          <w:t>https://doi.org/10.35314/inovbiz.v6i2.843</w:t>
        </w:r>
      </w:hyperlink>
      <w:r w:rsidR="009104D5">
        <w:rPr>
          <w:lang w:val="sv-SE"/>
        </w:rPr>
        <w:t xml:space="preserve"> </w:t>
      </w:r>
    </w:p>
    <w:sectPr w:rsidR="0007471B" w:rsidRPr="00B36CE0" w:rsidSect="00C005D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ED15" w14:textId="77777777" w:rsidR="00B3393E" w:rsidRDefault="00B3393E" w:rsidP="00C37E61">
      <w:r>
        <w:separator/>
      </w:r>
    </w:p>
  </w:endnote>
  <w:endnote w:type="continuationSeparator" w:id="0">
    <w:p w14:paraId="764104B0" w14:textId="77777777" w:rsidR="00B3393E" w:rsidRDefault="00B339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9E47" w14:textId="77777777" w:rsidR="0006423C" w:rsidRDefault="0006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FB4C" w14:textId="77777777" w:rsidR="0006423C" w:rsidRDefault="0006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6021" w14:textId="13741ECB" w:rsidR="0006423C" w:rsidRPr="009932AD" w:rsidRDefault="0006423C" w:rsidP="00993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FF28F" w14:textId="77777777" w:rsidR="00B3393E" w:rsidRDefault="00B3393E" w:rsidP="00C37E61">
      <w:r>
        <w:separator/>
      </w:r>
    </w:p>
  </w:footnote>
  <w:footnote w:type="continuationSeparator" w:id="0">
    <w:p w14:paraId="4C53B468" w14:textId="77777777" w:rsidR="00B3393E" w:rsidRDefault="00B339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8A59" w14:textId="5CC32E7D" w:rsidR="0006423C" w:rsidRDefault="00B3393E">
    <w:pPr>
      <w:pStyle w:val="Header"/>
    </w:pPr>
    <w:r>
      <w:rPr>
        <w:noProof/>
      </w:rPr>
      <w:pict w14:anchorId="62045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88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9A4E" w14:textId="4BEF1C29" w:rsidR="0006423C" w:rsidRDefault="00B3393E">
    <w:pPr>
      <w:pStyle w:val="Header"/>
    </w:pPr>
    <w:r>
      <w:rPr>
        <w:noProof/>
      </w:rPr>
      <w:pict w14:anchorId="03FE4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88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FB4D" w14:textId="002AE4B8" w:rsidR="0006423C" w:rsidRPr="00296529" w:rsidRDefault="00B3393E" w:rsidP="00296529">
    <w:pPr>
      <w:ind w:left="2160"/>
      <w:jc w:val="center"/>
      <w:rPr>
        <w:rFonts w:ascii="Times New Roman" w:eastAsia="Calibri" w:hAnsi="Times New Roman"/>
        <w:i/>
        <w:sz w:val="18"/>
        <w:szCs w:val="22"/>
      </w:rPr>
    </w:pPr>
    <w:r>
      <w:rPr>
        <w:noProof/>
      </w:rPr>
      <w:pict w14:anchorId="2A28F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88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4D9C68" w14:textId="77777777" w:rsidR="0006423C" w:rsidRPr="00296529" w:rsidRDefault="0006423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8760DAE" w14:textId="77777777" w:rsidR="0006423C" w:rsidRPr="00296529" w:rsidRDefault="000642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F7CC7E" w14:textId="77777777" w:rsidR="0006423C" w:rsidRPr="00296529" w:rsidRDefault="0006423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CB00D" w14:textId="77777777" w:rsidR="0006423C" w:rsidRDefault="0006423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AAB7FD" w14:textId="77777777" w:rsidR="0006423C" w:rsidRDefault="000642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6159DF" w14:textId="77777777" w:rsidR="0006423C" w:rsidRDefault="0006423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C24DEE"/>
    <w:multiLevelType w:val="multilevel"/>
    <w:tmpl w:val="F8C080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B7020"/>
    <w:multiLevelType w:val="hybridMultilevel"/>
    <w:tmpl w:val="50E6D6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A84602"/>
    <w:multiLevelType w:val="hybridMultilevel"/>
    <w:tmpl w:val="50E6D6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D5525"/>
    <w:multiLevelType w:val="hybridMultilevel"/>
    <w:tmpl w:val="5B369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7F774B"/>
    <w:multiLevelType w:val="hybridMultilevel"/>
    <w:tmpl w:val="7B8E5E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64B075C2"/>
    <w:multiLevelType w:val="hybridMultilevel"/>
    <w:tmpl w:val="AA54C7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1"/>
  </w:num>
  <w:num w:numId="14">
    <w:abstractNumId w:val="9"/>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0"/>
  </w:num>
  <w:num w:numId="22">
    <w:abstractNumId w:val="15"/>
  </w:num>
  <w:num w:numId="23">
    <w:abstractNumId w:val="25"/>
  </w:num>
  <w:num w:numId="24">
    <w:abstractNumId w:val="32"/>
  </w:num>
  <w:num w:numId="25">
    <w:abstractNumId w:val="4"/>
  </w:num>
  <w:num w:numId="26">
    <w:abstractNumId w:val="19"/>
  </w:num>
  <w:num w:numId="27">
    <w:abstractNumId w:val="26"/>
  </w:num>
  <w:num w:numId="28">
    <w:abstractNumId w:val="33"/>
  </w:num>
  <w:num w:numId="29">
    <w:abstractNumId w:val="30"/>
  </w:num>
  <w:num w:numId="30">
    <w:abstractNumId w:val="11"/>
  </w:num>
  <w:num w:numId="31">
    <w:abstractNumId w:val="7"/>
  </w:num>
  <w:num w:numId="32">
    <w:abstractNumId w:val="17"/>
  </w:num>
  <w:num w:numId="33">
    <w:abstractNumId w:val="12"/>
  </w:num>
  <w:num w:numId="34">
    <w:abstractNumId w:val="20"/>
  </w:num>
  <w:num w:numId="35">
    <w:abstractNumId w:val="2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423C"/>
    <w:rsid w:val="0007471B"/>
    <w:rsid w:val="000A47FA"/>
    <w:rsid w:val="000A65D3"/>
    <w:rsid w:val="000B1662"/>
    <w:rsid w:val="000B1E33"/>
    <w:rsid w:val="000C5764"/>
    <w:rsid w:val="000D689F"/>
    <w:rsid w:val="000E7B7B"/>
    <w:rsid w:val="000E7D62"/>
    <w:rsid w:val="000F34E2"/>
    <w:rsid w:val="00103357"/>
    <w:rsid w:val="00123C9F"/>
    <w:rsid w:val="00126190"/>
    <w:rsid w:val="00130F17"/>
    <w:rsid w:val="001320BF"/>
    <w:rsid w:val="00142D5C"/>
    <w:rsid w:val="00163BC4"/>
    <w:rsid w:val="00164C1B"/>
    <w:rsid w:val="00172FFA"/>
    <w:rsid w:val="00191062"/>
    <w:rsid w:val="00192B72"/>
    <w:rsid w:val="001A29D8"/>
    <w:rsid w:val="001A5CAA"/>
    <w:rsid w:val="001A6E2D"/>
    <w:rsid w:val="001B0427"/>
    <w:rsid w:val="001B4158"/>
    <w:rsid w:val="001D3A51"/>
    <w:rsid w:val="001E10D2"/>
    <w:rsid w:val="001E25B4"/>
    <w:rsid w:val="001E44FE"/>
    <w:rsid w:val="001E6EA8"/>
    <w:rsid w:val="00200595"/>
    <w:rsid w:val="00204835"/>
    <w:rsid w:val="00231920"/>
    <w:rsid w:val="0023195C"/>
    <w:rsid w:val="0024282C"/>
    <w:rsid w:val="002460DC"/>
    <w:rsid w:val="0025050C"/>
    <w:rsid w:val="00250985"/>
    <w:rsid w:val="002556F6"/>
    <w:rsid w:val="0025641D"/>
    <w:rsid w:val="00283105"/>
    <w:rsid w:val="00284C4C"/>
    <w:rsid w:val="00287E68"/>
    <w:rsid w:val="00296529"/>
    <w:rsid w:val="002A666F"/>
    <w:rsid w:val="002B27FB"/>
    <w:rsid w:val="002B685A"/>
    <w:rsid w:val="002C57D2"/>
    <w:rsid w:val="002D2782"/>
    <w:rsid w:val="002E0D56"/>
    <w:rsid w:val="00315186"/>
    <w:rsid w:val="003243B8"/>
    <w:rsid w:val="0033343E"/>
    <w:rsid w:val="003512C2"/>
    <w:rsid w:val="00371FB6"/>
    <w:rsid w:val="003763C1"/>
    <w:rsid w:val="00376BBE"/>
    <w:rsid w:val="0039224F"/>
    <w:rsid w:val="003927EE"/>
    <w:rsid w:val="003A43A4"/>
    <w:rsid w:val="003A7E18"/>
    <w:rsid w:val="003C2107"/>
    <w:rsid w:val="003C4C86"/>
    <w:rsid w:val="003C6258"/>
    <w:rsid w:val="003E2904"/>
    <w:rsid w:val="00401927"/>
    <w:rsid w:val="0041027F"/>
    <w:rsid w:val="00412475"/>
    <w:rsid w:val="00423789"/>
    <w:rsid w:val="00434601"/>
    <w:rsid w:val="00440F43"/>
    <w:rsid w:val="00441B6F"/>
    <w:rsid w:val="00446221"/>
    <w:rsid w:val="00450E62"/>
    <w:rsid w:val="004539DB"/>
    <w:rsid w:val="00471A80"/>
    <w:rsid w:val="004A1D81"/>
    <w:rsid w:val="004C6D94"/>
    <w:rsid w:val="004D305E"/>
    <w:rsid w:val="004D4277"/>
    <w:rsid w:val="004F52E0"/>
    <w:rsid w:val="004F7DA6"/>
    <w:rsid w:val="00502516"/>
    <w:rsid w:val="00505F06"/>
    <w:rsid w:val="00506828"/>
    <w:rsid w:val="00523FE9"/>
    <w:rsid w:val="0053056E"/>
    <w:rsid w:val="00541A3B"/>
    <w:rsid w:val="00554FDA"/>
    <w:rsid w:val="005C784C"/>
    <w:rsid w:val="005D17F6"/>
    <w:rsid w:val="005D50D2"/>
    <w:rsid w:val="005E11F2"/>
    <w:rsid w:val="005E5539"/>
    <w:rsid w:val="005F6413"/>
    <w:rsid w:val="00602BF5"/>
    <w:rsid w:val="00607285"/>
    <w:rsid w:val="00617FDD"/>
    <w:rsid w:val="00633614"/>
    <w:rsid w:val="00633F68"/>
    <w:rsid w:val="00636EB2"/>
    <w:rsid w:val="006375B8"/>
    <w:rsid w:val="0066510A"/>
    <w:rsid w:val="00673F9F"/>
    <w:rsid w:val="00686953"/>
    <w:rsid w:val="00687DEA"/>
    <w:rsid w:val="00687E67"/>
    <w:rsid w:val="006967F7"/>
    <w:rsid w:val="006A250C"/>
    <w:rsid w:val="006B21D3"/>
    <w:rsid w:val="006B3FBE"/>
    <w:rsid w:val="006B57D0"/>
    <w:rsid w:val="006B6909"/>
    <w:rsid w:val="006D30FF"/>
    <w:rsid w:val="006D6940"/>
    <w:rsid w:val="006E35F3"/>
    <w:rsid w:val="006F11EC"/>
    <w:rsid w:val="0070082C"/>
    <w:rsid w:val="007369E6"/>
    <w:rsid w:val="00746E59"/>
    <w:rsid w:val="00754C9A"/>
    <w:rsid w:val="0075599A"/>
    <w:rsid w:val="00761D52"/>
    <w:rsid w:val="0077749E"/>
    <w:rsid w:val="00790ADA"/>
    <w:rsid w:val="007B00C3"/>
    <w:rsid w:val="007B314B"/>
    <w:rsid w:val="007D2288"/>
    <w:rsid w:val="007E088F"/>
    <w:rsid w:val="007F3A35"/>
    <w:rsid w:val="007F7B32"/>
    <w:rsid w:val="00804BC2"/>
    <w:rsid w:val="0081431A"/>
    <w:rsid w:val="00815EFF"/>
    <w:rsid w:val="00821832"/>
    <w:rsid w:val="0083216F"/>
    <w:rsid w:val="00860000"/>
    <w:rsid w:val="00863BD3"/>
    <w:rsid w:val="008641ED"/>
    <w:rsid w:val="00866D66"/>
    <w:rsid w:val="008671C6"/>
    <w:rsid w:val="00875803"/>
    <w:rsid w:val="008955AC"/>
    <w:rsid w:val="008B459E"/>
    <w:rsid w:val="008E13AE"/>
    <w:rsid w:val="008E1506"/>
    <w:rsid w:val="008E710C"/>
    <w:rsid w:val="008F69D6"/>
    <w:rsid w:val="00900D49"/>
    <w:rsid w:val="00902823"/>
    <w:rsid w:val="00907E7B"/>
    <w:rsid w:val="009104D5"/>
    <w:rsid w:val="00915CA6"/>
    <w:rsid w:val="0091778F"/>
    <w:rsid w:val="00927834"/>
    <w:rsid w:val="009500A6"/>
    <w:rsid w:val="00957C18"/>
    <w:rsid w:val="009659BA"/>
    <w:rsid w:val="00983040"/>
    <w:rsid w:val="009873B6"/>
    <w:rsid w:val="009932AD"/>
    <w:rsid w:val="009B3FB9"/>
    <w:rsid w:val="009C2465"/>
    <w:rsid w:val="009D35A0"/>
    <w:rsid w:val="009D7EB7"/>
    <w:rsid w:val="009E048A"/>
    <w:rsid w:val="009E08E9"/>
    <w:rsid w:val="009E3DB9"/>
    <w:rsid w:val="009E6267"/>
    <w:rsid w:val="009E6E35"/>
    <w:rsid w:val="009F0EDA"/>
    <w:rsid w:val="009F4FE5"/>
    <w:rsid w:val="00A03B96"/>
    <w:rsid w:val="00A05399"/>
    <w:rsid w:val="00A05B19"/>
    <w:rsid w:val="00A1134E"/>
    <w:rsid w:val="00A169A5"/>
    <w:rsid w:val="00A2258A"/>
    <w:rsid w:val="00A24E7E"/>
    <w:rsid w:val="00A258C3"/>
    <w:rsid w:val="00A347C0"/>
    <w:rsid w:val="00A40B3D"/>
    <w:rsid w:val="00A51431"/>
    <w:rsid w:val="00A539AD"/>
    <w:rsid w:val="00A7596C"/>
    <w:rsid w:val="00A863A2"/>
    <w:rsid w:val="00A94063"/>
    <w:rsid w:val="00A95892"/>
    <w:rsid w:val="00AA1EBA"/>
    <w:rsid w:val="00AA6219"/>
    <w:rsid w:val="00AA74E0"/>
    <w:rsid w:val="00AB3D24"/>
    <w:rsid w:val="00AB703F"/>
    <w:rsid w:val="00AC3202"/>
    <w:rsid w:val="00AC6BB8"/>
    <w:rsid w:val="00AE008F"/>
    <w:rsid w:val="00AE1C08"/>
    <w:rsid w:val="00B01FCD"/>
    <w:rsid w:val="00B1776C"/>
    <w:rsid w:val="00B3393E"/>
    <w:rsid w:val="00B36BDA"/>
    <w:rsid w:val="00B36CE0"/>
    <w:rsid w:val="00B52583"/>
    <w:rsid w:val="00B52896"/>
    <w:rsid w:val="00B95236"/>
    <w:rsid w:val="00B96267"/>
    <w:rsid w:val="00B96BD9"/>
    <w:rsid w:val="00BA1B01"/>
    <w:rsid w:val="00BA2641"/>
    <w:rsid w:val="00BA76EC"/>
    <w:rsid w:val="00BB37AA"/>
    <w:rsid w:val="00BC53A0"/>
    <w:rsid w:val="00BD6961"/>
    <w:rsid w:val="00BE62AD"/>
    <w:rsid w:val="00BF121F"/>
    <w:rsid w:val="00BF1F80"/>
    <w:rsid w:val="00C005D8"/>
    <w:rsid w:val="00C166EF"/>
    <w:rsid w:val="00C1670D"/>
    <w:rsid w:val="00C17EB0"/>
    <w:rsid w:val="00C27213"/>
    <w:rsid w:val="00C27F5F"/>
    <w:rsid w:val="00C30A0F"/>
    <w:rsid w:val="00C31AB3"/>
    <w:rsid w:val="00C37E61"/>
    <w:rsid w:val="00C40C72"/>
    <w:rsid w:val="00C4515D"/>
    <w:rsid w:val="00C70F1B"/>
    <w:rsid w:val="00C71A47"/>
    <w:rsid w:val="00C7464C"/>
    <w:rsid w:val="00C85588"/>
    <w:rsid w:val="00CC5B55"/>
    <w:rsid w:val="00CC721C"/>
    <w:rsid w:val="00CD6755"/>
    <w:rsid w:val="00CD6856"/>
    <w:rsid w:val="00CE0089"/>
    <w:rsid w:val="00CE793C"/>
    <w:rsid w:val="00CF193C"/>
    <w:rsid w:val="00D00C6F"/>
    <w:rsid w:val="00D173F1"/>
    <w:rsid w:val="00D74CB0"/>
    <w:rsid w:val="00D8295D"/>
    <w:rsid w:val="00DC2A65"/>
    <w:rsid w:val="00DE15F0"/>
    <w:rsid w:val="00DE3414"/>
    <w:rsid w:val="00DE5663"/>
    <w:rsid w:val="00DE78AA"/>
    <w:rsid w:val="00E053D0"/>
    <w:rsid w:val="00E15994"/>
    <w:rsid w:val="00E3114E"/>
    <w:rsid w:val="00E31A70"/>
    <w:rsid w:val="00E3536B"/>
    <w:rsid w:val="00E35B02"/>
    <w:rsid w:val="00E66496"/>
    <w:rsid w:val="00E66B35"/>
    <w:rsid w:val="00E66E10"/>
    <w:rsid w:val="00E7146F"/>
    <w:rsid w:val="00E769F6"/>
    <w:rsid w:val="00E8407C"/>
    <w:rsid w:val="00E84F3C"/>
    <w:rsid w:val="00EA012C"/>
    <w:rsid w:val="00EA0D63"/>
    <w:rsid w:val="00EA1585"/>
    <w:rsid w:val="00EC66B7"/>
    <w:rsid w:val="00EC6A55"/>
    <w:rsid w:val="00ED0288"/>
    <w:rsid w:val="00EE52CB"/>
    <w:rsid w:val="00EF581D"/>
    <w:rsid w:val="00EF7FD8"/>
    <w:rsid w:val="00F05A84"/>
    <w:rsid w:val="00F06F59"/>
    <w:rsid w:val="00F17988"/>
    <w:rsid w:val="00F469F0"/>
    <w:rsid w:val="00F53273"/>
    <w:rsid w:val="00F755E4"/>
    <w:rsid w:val="00F77D02"/>
    <w:rsid w:val="00FA0FB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F242D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6B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A15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Colorful List - Accent 11,spasi 2 taiiii,skripsi,Body Text Char1,Char Char2,List Paragraph2,List Paragraph1,Paragraf ISI,Header Char1,Dot pt,F5 List Paragraph,List Paragraph Char Char Char,Indicator Text,Numbered Para 1,ANNEX"/>
    <w:basedOn w:val="Normal"/>
    <w:link w:val="ListParagraphChar"/>
    <w:uiPriority w:val="34"/>
    <w:qFormat/>
    <w:rsid w:val="00541A3B"/>
    <w:pPr>
      <w:spacing w:after="200" w:line="276" w:lineRule="auto"/>
      <w:ind w:left="720"/>
      <w:contextualSpacing/>
    </w:pPr>
    <w:rPr>
      <w:rFonts w:ascii="Calibri" w:hAnsi="Calibri"/>
      <w:sz w:val="22"/>
      <w:szCs w:val="22"/>
      <w:lang w:eastAsia="ja-JP"/>
    </w:rPr>
  </w:style>
  <w:style w:type="character" w:customStyle="1" w:styleId="ListParagraphChar">
    <w:name w:val="List Paragraph Char"/>
    <w:aliases w:val="Body of text Char,Colorful List - Accent 11 Char,spasi 2 taiiii Char,skripsi Char,Body Text Char1 Char,Char Char2 Char,List Paragraph2 Char,List Paragraph1 Char,Paragraf ISI Char,Header Char1 Char,Dot pt Char,F5 List Paragraph Char"/>
    <w:link w:val="ListParagraph"/>
    <w:uiPriority w:val="34"/>
    <w:qFormat/>
    <w:rsid w:val="00541A3B"/>
    <w:rPr>
      <w:rFonts w:ascii="Calibri" w:hAnsi="Calibri"/>
      <w:sz w:val="22"/>
      <w:szCs w:val="22"/>
      <w:lang w:eastAsia="ja-JP"/>
    </w:rPr>
  </w:style>
  <w:style w:type="paragraph" w:styleId="NormalWeb">
    <w:name w:val="Normal (Web)"/>
    <w:basedOn w:val="Normal"/>
    <w:uiPriority w:val="99"/>
    <w:semiHidden/>
    <w:unhideWhenUsed/>
    <w:rsid w:val="00607285"/>
    <w:pPr>
      <w:spacing w:before="100" w:beforeAutospacing="1" w:after="100" w:afterAutospacing="1"/>
    </w:pPr>
    <w:rPr>
      <w:rFonts w:ascii="Times New Roman" w:hAnsi="Times New Roman"/>
      <w:sz w:val="24"/>
      <w:szCs w:val="24"/>
      <w:lang w:val="en-ID" w:eastAsia="en-ID"/>
    </w:rPr>
  </w:style>
  <w:style w:type="table" w:customStyle="1" w:styleId="Tesis">
    <w:name w:val="Tesis"/>
    <w:basedOn w:val="TableNormal"/>
    <w:uiPriority w:val="99"/>
    <w:rsid w:val="00607285"/>
    <w:rPr>
      <w:rFonts w:eastAsiaTheme="minorHAnsi" w:cstheme="minorBidi"/>
      <w:sz w:val="24"/>
      <w:szCs w:val="22"/>
    </w:rPr>
    <w:tblPr>
      <w:tblStyleRowBandSize w:val="1"/>
      <w:tblStyleColBandSize w:val="1"/>
      <w:tblBorders>
        <w:top w:val="single" w:sz="4" w:space="0" w:color="auto"/>
        <w:bottom w:val="single" w:sz="4" w:space="0" w:color="auto"/>
      </w:tblBorders>
    </w:tblPr>
    <w:tblStylePr w:type="firstRow">
      <w:tblPr/>
      <w:tcPr>
        <w:tcBorders>
          <w:bottom w:val="single" w:sz="4" w:space="0" w:color="auto"/>
        </w:tcBorders>
      </w:tcPr>
    </w:tblStylePr>
    <w:tblStylePr w:type="firstCol">
      <w:tblPr/>
      <w:tcPr>
        <w:tcBorders>
          <w:bottom w:val="single" w:sz="4" w:space="0" w:color="auto"/>
        </w:tcBorders>
      </w:tcPr>
    </w:tblStylePr>
    <w:tblStylePr w:type="lastCol">
      <w:tblPr/>
      <w:tcPr>
        <w:tcBorders>
          <w:bottom w:val="single" w:sz="4" w:space="0" w:color="auto"/>
        </w:tcBorders>
      </w:tcPr>
    </w:tblStylePr>
    <w:tblStylePr w:type="band1Vert">
      <w:tblPr/>
      <w:tcPr>
        <w:tcBorders>
          <w:bottom w:val="single" w:sz="4" w:space="0" w:color="auto"/>
        </w:tcBorders>
      </w:tcPr>
    </w:tblStylePr>
    <w:tblStylePr w:type="band1Horz">
      <w:tblPr/>
      <w:tcPr>
        <w:tcBorders>
          <w:bottom w:val="nil"/>
        </w:tcBorders>
      </w:tcPr>
    </w:tblStylePr>
    <w:tblStylePr w:type="nwCell">
      <w:tblPr/>
      <w:tcPr>
        <w:tcBorders>
          <w:bottom w:val="single" w:sz="4" w:space="0" w:color="auto"/>
        </w:tcBorders>
      </w:tcPr>
    </w:tblStylePr>
  </w:style>
  <w:style w:type="paragraph" w:styleId="BodyText">
    <w:name w:val="Body Text"/>
    <w:basedOn w:val="Normal"/>
    <w:link w:val="BodyTextChar"/>
    <w:unhideWhenUsed/>
    <w:rsid w:val="001A6E2D"/>
    <w:pPr>
      <w:spacing w:after="120"/>
    </w:pPr>
  </w:style>
  <w:style w:type="character" w:customStyle="1" w:styleId="BodyTextChar">
    <w:name w:val="Body Text Char"/>
    <w:basedOn w:val="DefaultParagraphFont"/>
    <w:link w:val="BodyText"/>
    <w:rsid w:val="001A6E2D"/>
    <w:rPr>
      <w:rFonts w:ascii="Helvetica" w:hAnsi="Helvetica"/>
    </w:rPr>
  </w:style>
  <w:style w:type="character" w:styleId="PlaceholderText">
    <w:name w:val="Placeholder Text"/>
    <w:basedOn w:val="DefaultParagraphFont"/>
    <w:uiPriority w:val="99"/>
    <w:semiHidden/>
    <w:rsid w:val="001A6E2D"/>
    <w:rPr>
      <w:color w:val="666666"/>
    </w:rPr>
  </w:style>
  <w:style w:type="character" w:customStyle="1" w:styleId="Heading2Char">
    <w:name w:val="Heading 2 Char"/>
    <w:basedOn w:val="DefaultParagraphFont"/>
    <w:link w:val="Heading2"/>
    <w:semiHidden/>
    <w:rsid w:val="00EA1585"/>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E7146F"/>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repository.umb.ac.id/59/1/BUKU%20METODOLOGI%20PENELITIAN%20KUANTITATIF%20_%20ANOVA.pdf" TargetMode="External"/><Relationship Id="rId26" Type="http://schemas.openxmlformats.org/officeDocument/2006/relationships/hyperlink" Target="https://doi.org/10.35313/jaief.v2i1.2912" TargetMode="External"/><Relationship Id="rId3" Type="http://schemas.openxmlformats.org/officeDocument/2006/relationships/styles" Target="styles.xml"/><Relationship Id="rId21" Type="http://schemas.openxmlformats.org/officeDocument/2006/relationships/hyperlink" Target="https://www.internationalresearchjournaloffinanceandeconomics.com/ISSUES/IRJFE_65.htm" TargetMode="External"/><Relationship Id="rId34" Type="http://schemas.openxmlformats.org/officeDocument/2006/relationships/hyperlink" Target="https://doi.org/10.35314/inovbiz.v6i2.84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34253992_PENGARUH_CARNPF_DAN_FDR_TERHADAP_PROFITABILITAS_BANK_SYARIAH_DI_INDONESIA" TargetMode="External"/><Relationship Id="rId25" Type="http://schemas.openxmlformats.org/officeDocument/2006/relationships/hyperlink" Target="https://doi.org/10.30736/.v4i1.220" TargetMode="External"/><Relationship Id="rId33" Type="http://schemas.openxmlformats.org/officeDocument/2006/relationships/hyperlink" Target="https://doi.org/https://doi.org/10.32699/jamasy.v4i1.6831" TargetMode="External"/><Relationship Id="rId2" Type="http://schemas.openxmlformats.org/officeDocument/2006/relationships/numbering" Target="numbering.xml"/><Relationship Id="rId16" Type="http://schemas.openxmlformats.org/officeDocument/2006/relationships/hyperlink" Target="https://www.researchgate.net/profile/Elizabeth-Kalunda/publication/375089321_Financial_Inclusion_and_Financial_Sector_Stability_With_Reference_To_Kenya_A_Review_of_Literature/links/6540a39c0426ef6369ebade9/Financial-Inclusion-and-Financial-Sector-Stability-With-Reference-To-Kenya-A-Review-of-Literature.pdf" TargetMode="External"/><Relationship Id="rId20" Type="http://schemas.openxmlformats.org/officeDocument/2006/relationships/hyperlink" Target="https://unair.ac.id/post_fetcher/fakultas-vokasi-pengaruh-roa-car-dan-npl-terhadap-likuiditas-bri-periode-2019-2023/" TargetMode="External"/><Relationship Id="rId29" Type="http://schemas.openxmlformats.org/officeDocument/2006/relationships/hyperlink" Target="https://journal.stiem.ac.id/index.php/jurep/article/view/179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nline-journal.unja.ac.id/jaku/article/view/10260" TargetMode="External"/><Relationship Id="rId32" Type="http://schemas.openxmlformats.org/officeDocument/2006/relationships/hyperlink" Target="https://download.garuda.kemdikbud.go.id/article.php?article=1369974&amp;val=989&amp;title=PENGARUH%20CAR%20LDR%20DAN%20NPL%20TERHADAP%20ROA%20PADA%20SEKTOR%20PERBANKAN%20DI%20BURSA%20EFEK%20INDONESIA" TargetMode="External"/><Relationship Id="rId5" Type="http://schemas.openxmlformats.org/officeDocument/2006/relationships/webSettings" Target="webSettings.xml"/><Relationship Id="rId15" Type="http://schemas.openxmlformats.org/officeDocument/2006/relationships/hyperlink" Target="https://www.neliti.com/publications/33983/pengaruh-kebijakan-dividen-kebijakan-utang-keputusan-investasi-dan-profitabilita" TargetMode="External"/><Relationship Id="rId23" Type="http://schemas.openxmlformats.org/officeDocument/2006/relationships/hyperlink" Target="https://media.neliti.com/media/publications/254060-none-3270ed07.pdf" TargetMode="External"/><Relationship Id="rId28" Type="http://schemas.openxmlformats.org/officeDocument/2006/relationships/hyperlink" Target="https://media.neliti.com/media/publications/401116-pengaruh-leverage-firm-size-profitabilit-0c92cd44.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08/RIBS-06-2014-0072" TargetMode="External"/><Relationship Id="rId31" Type="http://schemas.openxmlformats.org/officeDocument/2006/relationships/hyperlink" Target="https://doi.org/10.1016/j.intfin.2015.09.0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1289/peta.v7i1.560" TargetMode="External"/><Relationship Id="rId27" Type="http://schemas.openxmlformats.org/officeDocument/2006/relationships/hyperlink" Target="https://openjournal.unpam.ac.id/index.php/SNU/article/view/2503" TargetMode="External"/><Relationship Id="rId30" Type="http://schemas.openxmlformats.org/officeDocument/2006/relationships/hyperlink" Target="https://www.jurnalintelektiva.com/index.php/jurnal/article/view/97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3E02-C010-4915-98E4-F3D4BF0A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925</TotalTime>
  <Pages>16</Pages>
  <Words>6591</Words>
  <Characters>37571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28</cp:revision>
  <cp:lastPrinted>1999-07-06T11:00:00Z</cp:lastPrinted>
  <dcterms:created xsi:type="dcterms:W3CDTF">2014-10-25T14:34:00Z</dcterms:created>
  <dcterms:modified xsi:type="dcterms:W3CDTF">2025-09-18T12:45:00Z</dcterms:modified>
</cp:coreProperties>
</file>