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50674" w14:textId="77777777" w:rsidR="00946F64" w:rsidRPr="00C579F2" w:rsidRDefault="00946F64" w:rsidP="00F56E8A">
      <w:pPr>
        <w:spacing w:line="240" w:lineRule="auto"/>
        <w:rPr>
          <w:rStyle w:val="Strong"/>
          <w:rFonts w:ascii="Times New Roman" w:hAnsi="Times New Roman" w:cs="Times New Roman"/>
          <w:color w:val="0F1115"/>
          <w:shd w:val="clear" w:color="auto" w:fill="FFFFFF"/>
        </w:rPr>
      </w:pPr>
      <w:bookmarkStart w:id="0" w:name="_Toc176327306"/>
      <w:r w:rsidRPr="00C579F2">
        <w:rPr>
          <w:rStyle w:val="Strong"/>
          <w:rFonts w:ascii="Times New Roman" w:hAnsi="Times New Roman" w:cs="Times New Roman"/>
          <w:color w:val="0F1115"/>
          <w:shd w:val="clear" w:color="auto" w:fill="FFFFFF"/>
        </w:rPr>
        <w:t xml:space="preserve">Original Research Article </w:t>
      </w:r>
    </w:p>
    <w:p w14:paraId="74A83F4D" w14:textId="14A7D701" w:rsidR="00520258" w:rsidRPr="00C579F2" w:rsidRDefault="003960A2" w:rsidP="00520258">
      <w:pPr>
        <w:spacing w:line="240" w:lineRule="auto"/>
        <w:jc w:val="both"/>
        <w:rPr>
          <w:rFonts w:ascii="Times New Roman" w:hAnsi="Times New Roman" w:cs="Times New Roman"/>
          <w:b/>
          <w:bCs/>
        </w:rPr>
      </w:pPr>
      <w:bookmarkStart w:id="1" w:name="_GoBack"/>
      <w:bookmarkEnd w:id="1"/>
      <w:r w:rsidRPr="003960A2">
        <w:rPr>
          <w:rFonts w:ascii="Times New Roman" w:hAnsi="Times New Roman" w:cs="Times New Roman"/>
          <w:b/>
          <w:bCs/>
          <w:highlight w:val="yellow"/>
        </w:rPr>
        <w:t>Navigating Legal Pluralism: Slum Expansion, Tenure Insecurity, and Land Governance in Two Major Cities of Ghana: A Questionnaire Case Study</w:t>
      </w:r>
    </w:p>
    <w:p w14:paraId="75917078" w14:textId="77777777" w:rsidR="00520258" w:rsidRPr="00C579F2" w:rsidRDefault="00520258" w:rsidP="00520258">
      <w:pPr>
        <w:spacing w:line="240" w:lineRule="auto"/>
        <w:jc w:val="both"/>
        <w:rPr>
          <w:rFonts w:ascii="Times New Roman" w:hAnsi="Times New Roman" w:cs="Times New Roman"/>
          <w:b/>
          <w:bCs/>
        </w:rPr>
      </w:pPr>
    </w:p>
    <w:p w14:paraId="68A34F53" w14:textId="1ED2C219" w:rsidR="00DB0936" w:rsidRPr="00C579F2" w:rsidRDefault="00DB0936" w:rsidP="00547E9C">
      <w:pPr>
        <w:spacing w:line="240" w:lineRule="auto"/>
        <w:jc w:val="both"/>
        <w:rPr>
          <w:rFonts w:ascii="Times New Roman" w:hAnsi="Times New Roman" w:cs="Times New Roman"/>
          <w:b/>
          <w:bCs/>
        </w:rPr>
      </w:pPr>
      <w:r w:rsidRPr="00C579F2">
        <w:rPr>
          <w:rFonts w:ascii="Times New Roman" w:hAnsi="Times New Roman" w:cs="Times New Roman"/>
          <w:b/>
          <w:bCs/>
        </w:rPr>
        <w:t>ABTRACT</w:t>
      </w:r>
    </w:p>
    <w:p w14:paraId="787B37C5" w14:textId="0ECAF258" w:rsidR="00B74758" w:rsidRPr="00B74758" w:rsidRDefault="00B74758" w:rsidP="00B74758">
      <w:pPr>
        <w:spacing w:before="100" w:beforeAutospacing="1" w:after="100" w:afterAutospacing="1" w:line="240" w:lineRule="auto"/>
        <w:jc w:val="both"/>
        <w:rPr>
          <w:rFonts w:ascii="Times New Roman" w:hAnsi="Times New Roman" w:cs="Times New Roman"/>
        </w:rPr>
      </w:pPr>
      <w:r w:rsidRPr="00B74758">
        <w:rPr>
          <w:rFonts w:ascii="Times New Roman" w:hAnsi="Times New Roman" w:cs="Times New Roman"/>
        </w:rPr>
        <w:t>Urban informality remains a persistent challenge in Ghana’s rapidly urbanizing municipalities, yet the intersection of land tenure insecurity and service delivery in mid-sized cit</w:t>
      </w:r>
      <w:r w:rsidR="007D0465">
        <w:rPr>
          <w:rFonts w:ascii="Times New Roman" w:hAnsi="Times New Roman" w:cs="Times New Roman"/>
        </w:rPr>
        <w:t>ies is underexplored. This paper</w:t>
      </w:r>
      <w:r w:rsidRPr="00B74758">
        <w:rPr>
          <w:rFonts w:ascii="Times New Roman" w:hAnsi="Times New Roman" w:cs="Times New Roman"/>
        </w:rPr>
        <w:t xml:space="preserve"> investigates the socio-spatial dynamics of informal settlements in the </w:t>
      </w:r>
      <w:proofErr w:type="spellStart"/>
      <w:r w:rsidRPr="00B74758">
        <w:rPr>
          <w:rFonts w:ascii="Times New Roman" w:hAnsi="Times New Roman" w:cs="Times New Roman"/>
        </w:rPr>
        <w:t>Oforikrom</w:t>
      </w:r>
      <w:proofErr w:type="spellEnd"/>
      <w:r w:rsidRPr="00B74758">
        <w:rPr>
          <w:rFonts w:ascii="Times New Roman" w:hAnsi="Times New Roman" w:cs="Times New Roman"/>
        </w:rPr>
        <w:t xml:space="preserve"> Municipality, focusing on housing quality, land conflicts, and access to basic services. Employing a mixe</w:t>
      </w:r>
      <w:r w:rsidR="007D0465">
        <w:rPr>
          <w:rFonts w:ascii="Times New Roman" w:hAnsi="Times New Roman" w:cs="Times New Roman"/>
        </w:rPr>
        <w:t>d-methods approach, the paper</w:t>
      </w:r>
      <w:r w:rsidRPr="00B74758">
        <w:rPr>
          <w:rFonts w:ascii="Times New Roman" w:hAnsi="Times New Roman" w:cs="Times New Roman"/>
        </w:rPr>
        <w:t xml:space="preserve"> draws on survey data from 250 households and semi-structured interviews with 15 key informants. The findings reveal that tenure insecurity, fragmented service provision, and weak institutional coordination contribute significantly to the expansion and entrenchment of slum conditions. These dynamics not only hinder residents’ access to formal urban structures but also perpetuate spatial exclusion and socio-economic marginalization. The study underscores the need for integrated land governance reforms and inclusive urban planning strategies to address the structural barriers facing informal communities. By illuminating the complex interplay between statutory and customary land systems, the research offers practical insights for policymakers seeking to promote equitable urban development in Ghana and similar contexts.</w:t>
      </w:r>
    </w:p>
    <w:p w14:paraId="7D4674DF" w14:textId="1093283C" w:rsidR="00525EF8" w:rsidRPr="00C579F2" w:rsidRDefault="00525EF8" w:rsidP="00525EF8">
      <w:pPr>
        <w:spacing w:before="100" w:beforeAutospacing="1" w:after="100" w:afterAutospacing="1" w:line="240" w:lineRule="auto"/>
        <w:rPr>
          <w:rFonts w:ascii="Times New Roman" w:eastAsia="Times New Roman" w:hAnsi="Times New Roman" w:cs="Times New Roman"/>
          <w:kern w:val="0"/>
          <w14:ligatures w14:val="none"/>
        </w:rPr>
      </w:pPr>
      <w:r w:rsidRPr="00C579F2">
        <w:rPr>
          <w:rFonts w:ascii="Times New Roman" w:eastAsia="Times New Roman" w:hAnsi="Times New Roman" w:cs="Times New Roman"/>
          <w:b/>
          <w:bCs/>
          <w:kern w:val="0"/>
          <w14:ligatures w14:val="none"/>
        </w:rPr>
        <w:t>Keywords:</w:t>
      </w:r>
      <w:r w:rsidRPr="00C579F2">
        <w:rPr>
          <w:rFonts w:ascii="Times New Roman" w:eastAsia="Times New Roman" w:hAnsi="Times New Roman" w:cs="Times New Roman"/>
          <w:kern w:val="0"/>
          <w14:ligatures w14:val="none"/>
        </w:rPr>
        <w:t xml:space="preserve"> Land Rights, Tenure Security, Slum Growth, Legal Pluralism, Urban Development, Ghana</w:t>
      </w:r>
    </w:p>
    <w:p w14:paraId="166D0ECE" w14:textId="12FE9AD5" w:rsidR="00DB0936" w:rsidRPr="00C579F2" w:rsidRDefault="00DB0936" w:rsidP="00547E9C">
      <w:pPr>
        <w:spacing w:line="240" w:lineRule="auto"/>
        <w:jc w:val="both"/>
        <w:rPr>
          <w:rFonts w:ascii="Times New Roman" w:hAnsi="Times New Roman" w:cs="Times New Roman"/>
          <w:bCs/>
        </w:rPr>
      </w:pPr>
    </w:p>
    <w:p w14:paraId="11E885F3" w14:textId="61F5744B" w:rsidR="00525EF8" w:rsidRDefault="00525EF8" w:rsidP="00547E9C">
      <w:pPr>
        <w:spacing w:line="240" w:lineRule="auto"/>
        <w:jc w:val="both"/>
        <w:rPr>
          <w:rFonts w:ascii="Times New Roman" w:hAnsi="Times New Roman" w:cs="Times New Roman"/>
          <w:bCs/>
        </w:rPr>
      </w:pPr>
    </w:p>
    <w:p w14:paraId="207B52EA" w14:textId="3628A38A" w:rsidR="00A86339" w:rsidRDefault="00A86339" w:rsidP="00547E9C">
      <w:pPr>
        <w:spacing w:line="240" w:lineRule="auto"/>
        <w:jc w:val="both"/>
        <w:rPr>
          <w:rFonts w:ascii="Times New Roman" w:hAnsi="Times New Roman" w:cs="Times New Roman"/>
          <w:bCs/>
        </w:rPr>
      </w:pPr>
    </w:p>
    <w:p w14:paraId="5016B861" w14:textId="12AC3383" w:rsidR="00A86339" w:rsidRDefault="00A86339" w:rsidP="00547E9C">
      <w:pPr>
        <w:spacing w:line="240" w:lineRule="auto"/>
        <w:jc w:val="both"/>
        <w:rPr>
          <w:rFonts w:ascii="Times New Roman" w:hAnsi="Times New Roman" w:cs="Times New Roman"/>
          <w:bCs/>
        </w:rPr>
      </w:pPr>
    </w:p>
    <w:p w14:paraId="7340ECFF" w14:textId="1CD0EC9F" w:rsidR="00A86339" w:rsidRDefault="00A86339" w:rsidP="00547E9C">
      <w:pPr>
        <w:spacing w:line="240" w:lineRule="auto"/>
        <w:jc w:val="both"/>
        <w:rPr>
          <w:rFonts w:ascii="Times New Roman" w:hAnsi="Times New Roman" w:cs="Times New Roman"/>
          <w:bCs/>
        </w:rPr>
      </w:pPr>
    </w:p>
    <w:p w14:paraId="16125E84" w14:textId="59C09DC2" w:rsidR="00A86339" w:rsidRDefault="00A86339" w:rsidP="00547E9C">
      <w:pPr>
        <w:spacing w:line="240" w:lineRule="auto"/>
        <w:jc w:val="both"/>
        <w:rPr>
          <w:rFonts w:ascii="Times New Roman" w:hAnsi="Times New Roman" w:cs="Times New Roman"/>
          <w:bCs/>
        </w:rPr>
      </w:pPr>
    </w:p>
    <w:p w14:paraId="4D70F0F8" w14:textId="00D93D9A" w:rsidR="00A86339" w:rsidRDefault="00A86339" w:rsidP="00547E9C">
      <w:pPr>
        <w:spacing w:line="240" w:lineRule="auto"/>
        <w:jc w:val="both"/>
        <w:rPr>
          <w:rFonts w:ascii="Times New Roman" w:hAnsi="Times New Roman" w:cs="Times New Roman"/>
          <w:bCs/>
        </w:rPr>
      </w:pPr>
    </w:p>
    <w:p w14:paraId="291CF8D1" w14:textId="5782226C" w:rsidR="00A86339" w:rsidRDefault="00A86339" w:rsidP="00547E9C">
      <w:pPr>
        <w:spacing w:line="240" w:lineRule="auto"/>
        <w:jc w:val="both"/>
        <w:rPr>
          <w:rFonts w:ascii="Times New Roman" w:hAnsi="Times New Roman" w:cs="Times New Roman"/>
          <w:bCs/>
        </w:rPr>
      </w:pPr>
    </w:p>
    <w:p w14:paraId="366F6CED" w14:textId="6BB2A09A" w:rsidR="00A86339" w:rsidRDefault="00A86339" w:rsidP="00547E9C">
      <w:pPr>
        <w:spacing w:line="240" w:lineRule="auto"/>
        <w:jc w:val="both"/>
        <w:rPr>
          <w:rFonts w:ascii="Times New Roman" w:hAnsi="Times New Roman" w:cs="Times New Roman"/>
          <w:bCs/>
        </w:rPr>
      </w:pPr>
    </w:p>
    <w:p w14:paraId="3EC8325A" w14:textId="21406AA8" w:rsidR="00A86339" w:rsidRDefault="00A86339" w:rsidP="00547E9C">
      <w:pPr>
        <w:spacing w:line="240" w:lineRule="auto"/>
        <w:jc w:val="both"/>
        <w:rPr>
          <w:rFonts w:ascii="Times New Roman" w:hAnsi="Times New Roman" w:cs="Times New Roman"/>
          <w:bCs/>
        </w:rPr>
      </w:pPr>
    </w:p>
    <w:p w14:paraId="3F487F34" w14:textId="5B44D55E" w:rsidR="00A86339" w:rsidRDefault="00A86339" w:rsidP="00547E9C">
      <w:pPr>
        <w:spacing w:line="240" w:lineRule="auto"/>
        <w:jc w:val="both"/>
        <w:rPr>
          <w:rFonts w:ascii="Times New Roman" w:hAnsi="Times New Roman" w:cs="Times New Roman"/>
          <w:bCs/>
        </w:rPr>
      </w:pPr>
    </w:p>
    <w:p w14:paraId="7ABA4B11" w14:textId="57DEB5CC" w:rsidR="00A86339" w:rsidRDefault="00A86339" w:rsidP="00547E9C">
      <w:pPr>
        <w:spacing w:line="240" w:lineRule="auto"/>
        <w:jc w:val="both"/>
        <w:rPr>
          <w:rFonts w:ascii="Times New Roman" w:hAnsi="Times New Roman" w:cs="Times New Roman"/>
          <w:bCs/>
        </w:rPr>
      </w:pPr>
    </w:p>
    <w:p w14:paraId="15F13F3C" w14:textId="63139864" w:rsidR="00A86339" w:rsidRDefault="00A86339" w:rsidP="00547E9C">
      <w:pPr>
        <w:spacing w:line="240" w:lineRule="auto"/>
        <w:jc w:val="both"/>
        <w:rPr>
          <w:rFonts w:ascii="Times New Roman" w:hAnsi="Times New Roman" w:cs="Times New Roman"/>
          <w:bCs/>
        </w:rPr>
      </w:pPr>
    </w:p>
    <w:p w14:paraId="01CA2BFE" w14:textId="77777777" w:rsidR="00A86339" w:rsidRPr="00C579F2" w:rsidRDefault="00A86339" w:rsidP="00547E9C">
      <w:pPr>
        <w:spacing w:line="240" w:lineRule="auto"/>
        <w:jc w:val="both"/>
        <w:rPr>
          <w:rFonts w:ascii="Times New Roman" w:hAnsi="Times New Roman" w:cs="Times New Roman"/>
          <w:bCs/>
        </w:rPr>
      </w:pPr>
    </w:p>
    <w:p w14:paraId="61A7DAD0" w14:textId="45D45EFA" w:rsidR="00AA5E83" w:rsidRPr="00C579F2" w:rsidRDefault="00AA5E83" w:rsidP="00547E9C">
      <w:pPr>
        <w:spacing w:line="240" w:lineRule="auto"/>
        <w:jc w:val="both"/>
        <w:rPr>
          <w:rFonts w:ascii="Times New Roman" w:hAnsi="Times New Roman" w:cs="Times New Roman"/>
          <w:bCs/>
        </w:rPr>
      </w:pPr>
    </w:p>
    <w:p w14:paraId="65BFF19C" w14:textId="0660734F" w:rsidR="00596B34" w:rsidRPr="00C579F2" w:rsidRDefault="00042D49" w:rsidP="00547E9C">
      <w:pPr>
        <w:pStyle w:val="ListParagraph"/>
        <w:numPr>
          <w:ilvl w:val="0"/>
          <w:numId w:val="4"/>
        </w:numPr>
        <w:spacing w:line="240" w:lineRule="auto"/>
        <w:jc w:val="both"/>
        <w:rPr>
          <w:rFonts w:ascii="Times New Roman" w:hAnsi="Times New Roman" w:cs="Times New Roman"/>
          <w:b/>
          <w:bCs/>
        </w:rPr>
      </w:pPr>
      <w:r w:rsidRPr="00C579F2">
        <w:rPr>
          <w:rFonts w:ascii="Times New Roman" w:hAnsi="Times New Roman" w:cs="Times New Roman"/>
          <w:b/>
          <w:bCs/>
        </w:rPr>
        <w:t>INTRODUCTION</w:t>
      </w:r>
    </w:p>
    <w:p w14:paraId="0FA4D753" w14:textId="515047AF"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lastRenderedPageBreak/>
        <w:t xml:space="preserve">Land rights and tenure security are the foundations of urban sustainable development, economic investment, and social welfare in cities. While the world continues to experience an unprecedented level of urbanization, it has put pressure on land, resulting in slums or </w:t>
      </w:r>
      <w:r w:rsidR="00EB0E4F" w:rsidRPr="00C579F2">
        <w:rPr>
          <w:rFonts w:ascii="Times New Roman" w:hAnsi="Times New Roman" w:cs="Times New Roman"/>
        </w:rPr>
        <w:t>informal</w:t>
      </w:r>
      <w:r w:rsidRPr="00C579F2">
        <w:rPr>
          <w:rFonts w:ascii="Times New Roman" w:hAnsi="Times New Roman" w:cs="Times New Roman"/>
        </w:rPr>
        <w:t xml:space="preserve"> settlements </w:t>
      </w:r>
      <w:r w:rsidR="002C1759" w:rsidRPr="00C579F2">
        <w:rPr>
          <w:rFonts w:ascii="Times New Roman" w:hAnsi="Times New Roman" w:cs="Times New Roman"/>
        </w:rPr>
        <w:t>that are often</w:t>
      </w:r>
      <w:r w:rsidRPr="00C579F2">
        <w:rPr>
          <w:rFonts w:ascii="Times New Roman" w:hAnsi="Times New Roman" w:cs="Times New Roman"/>
        </w:rPr>
        <w:t xml:space="preserve"> characterized by insecure tenure, poor housing, and limited access to infrastructure and services (UN-Habitat, 2020). More than one billion individuals, or about 25% of the global urban population, live in slums, many of whom do not have legally recognized land rights and are at risk of forced eviction (UN-Habitat, 2022). </w:t>
      </w:r>
      <w:r w:rsidR="004B5018" w:rsidRPr="00C579F2">
        <w:rPr>
          <w:rFonts w:ascii="Times New Roman" w:hAnsi="Times New Roman" w:cs="Times New Roman"/>
        </w:rPr>
        <w:t xml:space="preserve">Slum settlements often develop outside formal governance systems, creating complex planning challenges not only in Africa but also across Asia. For instance, </w:t>
      </w:r>
      <w:r w:rsidR="00FC52D6" w:rsidRPr="00C579F2">
        <w:rPr>
          <w:rFonts w:ascii="Times New Roman" w:hAnsi="Times New Roman" w:cs="Times New Roman"/>
        </w:rPr>
        <w:t>in India, Islam et al.</w:t>
      </w:r>
      <w:r w:rsidR="004B5018" w:rsidRPr="00C579F2">
        <w:rPr>
          <w:rFonts w:ascii="Times New Roman" w:hAnsi="Times New Roman" w:cs="Times New Roman"/>
        </w:rPr>
        <w:t xml:space="preserve"> (2022) illustrate how slum residents negotiate a sense of place despite </w:t>
      </w:r>
      <w:r w:rsidR="00EB0E4F" w:rsidRPr="00C579F2">
        <w:rPr>
          <w:rFonts w:ascii="Times New Roman" w:hAnsi="Times New Roman" w:cs="Times New Roman"/>
        </w:rPr>
        <w:t>being excluded from urban planning processes, underscoring the universality of struggles in informal settlements</w:t>
      </w:r>
      <w:r w:rsidR="00FC52D6" w:rsidRPr="00C579F2">
        <w:rPr>
          <w:rFonts w:ascii="Times New Roman" w:hAnsi="Times New Roman" w:cs="Times New Roman"/>
        </w:rPr>
        <w:t>. Ofori (2023) also noted that s</w:t>
      </w:r>
      <w:r w:rsidRPr="00C579F2">
        <w:rPr>
          <w:rFonts w:ascii="Times New Roman" w:hAnsi="Times New Roman" w:cs="Times New Roman"/>
        </w:rPr>
        <w:t xml:space="preserve">lum settlements </w:t>
      </w:r>
      <w:r w:rsidR="002B0EA6" w:rsidRPr="00C579F2">
        <w:rPr>
          <w:rFonts w:ascii="Times New Roman" w:hAnsi="Times New Roman" w:cs="Times New Roman"/>
        </w:rPr>
        <w:t xml:space="preserve">pose significant challenges to legal land development and planning systems, </w:t>
      </w:r>
      <w:r w:rsidR="00EB0E4F" w:rsidRPr="00C579F2">
        <w:rPr>
          <w:rFonts w:ascii="Times New Roman" w:hAnsi="Times New Roman" w:cs="Times New Roman"/>
        </w:rPr>
        <w:t>as they often exist</w:t>
      </w:r>
      <w:r w:rsidRPr="00C579F2">
        <w:rPr>
          <w:rFonts w:ascii="Times New Roman" w:hAnsi="Times New Roman" w:cs="Times New Roman"/>
        </w:rPr>
        <w:t xml:space="preserve"> outside formal go</w:t>
      </w:r>
      <w:r w:rsidR="00FC52D6" w:rsidRPr="00C579F2">
        <w:rPr>
          <w:rFonts w:ascii="Times New Roman" w:hAnsi="Times New Roman" w:cs="Times New Roman"/>
        </w:rPr>
        <w:t>vernance structures.</w:t>
      </w:r>
    </w:p>
    <w:p w14:paraId="41E542F9" w14:textId="0EFD96C6"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 xml:space="preserve">In Sub-Saharan Africa, the issue is especially prevalent. The region has one of the globe's highest rates of urbanization, but it is largely unplanned and unregulated, and thus, slums are growing at an astronomical rate. More than 55% of the </w:t>
      </w:r>
      <w:r w:rsidR="00EB0E4F" w:rsidRPr="00C579F2">
        <w:rPr>
          <w:rFonts w:ascii="Times New Roman" w:hAnsi="Times New Roman" w:cs="Times New Roman"/>
        </w:rPr>
        <w:t xml:space="preserve">urban population in Sub-Saharan Africa </w:t>
      </w:r>
      <w:r w:rsidRPr="00C579F2">
        <w:rPr>
          <w:rFonts w:ascii="Times New Roman" w:hAnsi="Times New Roman" w:cs="Times New Roman"/>
        </w:rPr>
        <w:t xml:space="preserve">resides in slum conditions (World Bank, 2021). Insecure tenure, weak land governance institutions, and the absence of adequate legal frameworks </w:t>
      </w:r>
      <w:r w:rsidR="00EB0E4F" w:rsidRPr="00C579F2">
        <w:rPr>
          <w:rFonts w:ascii="Times New Roman" w:hAnsi="Times New Roman" w:cs="Times New Roman"/>
        </w:rPr>
        <w:t>exacerbate the situation</w:t>
      </w:r>
      <w:r w:rsidRPr="00C579F2">
        <w:rPr>
          <w:rFonts w:ascii="Times New Roman" w:hAnsi="Times New Roman" w:cs="Times New Roman"/>
        </w:rPr>
        <w:t>, rendering slum land rights hi</w:t>
      </w:r>
      <w:r w:rsidR="00777D1A" w:rsidRPr="00C579F2">
        <w:rPr>
          <w:rFonts w:ascii="Times New Roman" w:hAnsi="Times New Roman" w:cs="Times New Roman"/>
        </w:rPr>
        <w:t>ghly insecure (</w:t>
      </w:r>
      <w:proofErr w:type="spellStart"/>
      <w:r w:rsidR="00777D1A" w:rsidRPr="00C579F2">
        <w:rPr>
          <w:rFonts w:ascii="Times New Roman" w:hAnsi="Times New Roman" w:cs="Times New Roman"/>
        </w:rPr>
        <w:t>Ewnetu</w:t>
      </w:r>
      <w:proofErr w:type="spellEnd"/>
      <w:r w:rsidR="00777D1A" w:rsidRPr="00C579F2">
        <w:rPr>
          <w:rFonts w:ascii="Times New Roman" w:hAnsi="Times New Roman" w:cs="Times New Roman"/>
        </w:rPr>
        <w:t xml:space="preserve"> &amp; </w:t>
      </w:r>
      <w:proofErr w:type="spellStart"/>
      <w:r w:rsidR="00777D1A" w:rsidRPr="00C579F2">
        <w:rPr>
          <w:rFonts w:ascii="Times New Roman" w:hAnsi="Times New Roman" w:cs="Times New Roman"/>
        </w:rPr>
        <w:t>Seo</w:t>
      </w:r>
      <w:proofErr w:type="spellEnd"/>
      <w:r w:rsidR="00777D1A" w:rsidRPr="00C579F2">
        <w:rPr>
          <w:rFonts w:ascii="Times New Roman" w:hAnsi="Times New Roman" w:cs="Times New Roman"/>
        </w:rPr>
        <w:t>, 2025</w:t>
      </w:r>
      <w:r w:rsidRPr="00C579F2">
        <w:rPr>
          <w:rFonts w:ascii="Times New Roman" w:hAnsi="Times New Roman" w:cs="Times New Roman"/>
        </w:rPr>
        <w:t xml:space="preserve">). Therefore, land conflicts and development constraints are </w:t>
      </w:r>
      <w:r w:rsidR="00EB0E4F" w:rsidRPr="00C579F2">
        <w:rPr>
          <w:rFonts w:ascii="Times New Roman" w:hAnsi="Times New Roman" w:cs="Times New Roman"/>
        </w:rPr>
        <w:t>prevalent, hindering urban planning, infrastructure provision</w:t>
      </w:r>
      <w:r w:rsidRPr="00C579F2">
        <w:rPr>
          <w:rFonts w:ascii="Times New Roman" w:hAnsi="Times New Roman" w:cs="Times New Roman"/>
        </w:rPr>
        <w:t>, and investment opportunities.</w:t>
      </w:r>
    </w:p>
    <w:p w14:paraId="134730AA" w14:textId="2AFAFDE1"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 xml:space="preserve">Urbanization in Ghana has increased at an exponential rate, particularly in the major cities of Accra and Kumasi. The expansion, however, has not been </w:t>
      </w:r>
      <w:r w:rsidR="00EB0E4F" w:rsidRPr="00C579F2">
        <w:rPr>
          <w:rFonts w:ascii="Times New Roman" w:hAnsi="Times New Roman" w:cs="Times New Roman"/>
        </w:rPr>
        <w:t>accompanied by adequate planning and land management frameworks, resulting in the expansion of slums</w:t>
      </w:r>
      <w:r w:rsidRPr="00C579F2">
        <w:rPr>
          <w:rFonts w:ascii="Times New Roman" w:hAnsi="Times New Roman" w:cs="Times New Roman"/>
        </w:rPr>
        <w:t xml:space="preserve">. The Ghana Statistical Service (2021) indicates that more than 5.5 million Ghanaians reside in slums, with the majority </w:t>
      </w:r>
      <w:r w:rsidR="00EB0E4F" w:rsidRPr="00C579F2">
        <w:rPr>
          <w:rFonts w:ascii="Times New Roman" w:hAnsi="Times New Roman" w:cs="Times New Roman"/>
        </w:rPr>
        <w:t>living</w:t>
      </w:r>
      <w:r w:rsidRPr="00C579F2">
        <w:rPr>
          <w:rFonts w:ascii="Times New Roman" w:hAnsi="Times New Roman" w:cs="Times New Roman"/>
        </w:rPr>
        <w:t xml:space="preserve"> in urban areas. </w:t>
      </w:r>
      <w:r w:rsidR="00EB0E4F" w:rsidRPr="00C579F2">
        <w:rPr>
          <w:rFonts w:ascii="Times New Roman" w:hAnsi="Times New Roman" w:cs="Times New Roman"/>
        </w:rPr>
        <w:t>Despite numerous reforms, such as the Land Act, 2020 (Act 1036), tenure insecurity persists, particularly in the case of slum settlements, where land ownership is unclear and often unrecognized</w:t>
      </w:r>
      <w:r w:rsidR="00777D1A" w:rsidRPr="00C579F2">
        <w:rPr>
          <w:rFonts w:ascii="Times New Roman" w:hAnsi="Times New Roman" w:cs="Times New Roman"/>
        </w:rPr>
        <w:t xml:space="preserve"> (</w:t>
      </w:r>
      <w:proofErr w:type="spellStart"/>
      <w:r w:rsidR="00777D1A" w:rsidRPr="00C579F2">
        <w:rPr>
          <w:rFonts w:ascii="Times New Roman" w:hAnsi="Times New Roman" w:cs="Times New Roman"/>
        </w:rPr>
        <w:t>Studocu</w:t>
      </w:r>
      <w:proofErr w:type="spellEnd"/>
      <w:r w:rsidR="00777D1A" w:rsidRPr="00C579F2">
        <w:rPr>
          <w:rFonts w:ascii="Times New Roman" w:hAnsi="Times New Roman" w:cs="Times New Roman"/>
        </w:rPr>
        <w:t>, 2022</w:t>
      </w:r>
      <w:r w:rsidRPr="00C579F2">
        <w:rPr>
          <w:rFonts w:ascii="Times New Roman" w:hAnsi="Times New Roman" w:cs="Times New Roman"/>
        </w:rPr>
        <w:t xml:space="preserve">). The </w:t>
      </w:r>
      <w:r w:rsidR="00EB0E4F" w:rsidRPr="00C579F2">
        <w:rPr>
          <w:rFonts w:ascii="Times New Roman" w:hAnsi="Times New Roman" w:cs="Times New Roman"/>
        </w:rPr>
        <w:t xml:space="preserve">complex framework between the customary and statutory land tenure systems also hinders the realization of secure land access for </w:t>
      </w:r>
      <w:r w:rsidRPr="00C579F2">
        <w:rPr>
          <w:rFonts w:ascii="Times New Roman" w:hAnsi="Times New Roman" w:cs="Times New Roman"/>
        </w:rPr>
        <w:t>slum residents, stifling legal land development and integration of the groups into official urba</w:t>
      </w:r>
      <w:r w:rsidR="00777D1A" w:rsidRPr="00C579F2">
        <w:rPr>
          <w:rFonts w:ascii="Times New Roman" w:hAnsi="Times New Roman" w:cs="Times New Roman"/>
        </w:rPr>
        <w:t>n structures (Ghana Legal Information Institute, 2020</w:t>
      </w:r>
      <w:r w:rsidRPr="00C579F2">
        <w:rPr>
          <w:rFonts w:ascii="Times New Roman" w:hAnsi="Times New Roman" w:cs="Times New Roman"/>
        </w:rPr>
        <w:t>).</w:t>
      </w:r>
    </w:p>
    <w:p w14:paraId="2D2293F2" w14:textId="586695C5" w:rsidR="00596B34"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Such issues are best illustrated in the capital city of Accra. Slum neighborhoods</w:t>
      </w:r>
      <w:r w:rsidR="00EB0E4F" w:rsidRPr="00C579F2">
        <w:rPr>
          <w:rFonts w:ascii="Times New Roman" w:hAnsi="Times New Roman" w:cs="Times New Roman"/>
        </w:rPr>
        <w:t xml:space="preserve">, such as Old </w:t>
      </w:r>
      <w:proofErr w:type="spellStart"/>
      <w:r w:rsidR="00EB0E4F" w:rsidRPr="00C579F2">
        <w:rPr>
          <w:rFonts w:ascii="Times New Roman" w:hAnsi="Times New Roman" w:cs="Times New Roman"/>
        </w:rPr>
        <w:t>Fadama</w:t>
      </w:r>
      <w:proofErr w:type="spellEnd"/>
      <w:r w:rsidR="00EB0E4F" w:rsidRPr="00C579F2">
        <w:rPr>
          <w:rFonts w:ascii="Times New Roman" w:hAnsi="Times New Roman" w:cs="Times New Roman"/>
        </w:rPr>
        <w:t>, have emerged on outlying lands that lack legal tenure, often</w:t>
      </w:r>
      <w:r w:rsidRPr="00C579F2">
        <w:rPr>
          <w:rFonts w:ascii="Times New Roman" w:hAnsi="Times New Roman" w:cs="Times New Roman"/>
        </w:rPr>
        <w:t xml:space="preserve"> competing with urban develo</w:t>
      </w:r>
      <w:r w:rsidR="00483CDD" w:rsidRPr="00C579F2">
        <w:rPr>
          <w:rFonts w:ascii="Times New Roman" w:hAnsi="Times New Roman" w:cs="Times New Roman"/>
        </w:rPr>
        <w:t>pment plans (Oppong et al., 2020</w:t>
      </w:r>
      <w:r w:rsidRPr="00C579F2">
        <w:rPr>
          <w:rFonts w:ascii="Times New Roman" w:hAnsi="Times New Roman" w:cs="Times New Roman"/>
        </w:rPr>
        <w:t xml:space="preserve">). Legal uncertainty regarding land ownership in such slums discourages evictions and retards formal development plans. </w:t>
      </w:r>
      <w:r w:rsidR="000D1EFA" w:rsidRPr="00C579F2">
        <w:rPr>
          <w:rFonts w:ascii="Times New Roman" w:hAnsi="Times New Roman" w:cs="Times New Roman"/>
        </w:rPr>
        <w:t xml:space="preserve">Additionally, in Kumasi, the emergence of slums on peri-urban land has progressed more rapidly than land-use planning and socio-economic provision, threatening the city's developmental potential </w:t>
      </w:r>
      <w:r w:rsidRPr="00C579F2">
        <w:rPr>
          <w:rFonts w:ascii="Times New Roman" w:hAnsi="Times New Roman" w:cs="Times New Roman"/>
        </w:rPr>
        <w:t>and undermining environmental sustainabili</w:t>
      </w:r>
      <w:r w:rsidR="00483CDD" w:rsidRPr="00C579F2">
        <w:rPr>
          <w:rFonts w:ascii="Times New Roman" w:hAnsi="Times New Roman" w:cs="Times New Roman"/>
        </w:rPr>
        <w:t>ty (Koranteng et al., 2023</w:t>
      </w:r>
      <w:r w:rsidRPr="00C579F2">
        <w:rPr>
          <w:rFonts w:ascii="Times New Roman" w:hAnsi="Times New Roman" w:cs="Times New Roman"/>
        </w:rPr>
        <w:t xml:space="preserve">). The legitimacy of the growth of slums in Accra and Kumasi has extremely far-reaching implications. In their </w:t>
      </w:r>
      <w:r w:rsidR="00EB0E4F" w:rsidRPr="00C579F2">
        <w:rPr>
          <w:rFonts w:ascii="Times New Roman" w:hAnsi="Times New Roman" w:cs="Times New Roman"/>
        </w:rPr>
        <w:t>various manifestations, they impact the valuation of land, titling, conflict resolution, and infrastructure planning</w:t>
      </w:r>
      <w:r w:rsidRPr="00C579F2">
        <w:rPr>
          <w:rFonts w:ascii="Times New Roman" w:hAnsi="Times New Roman" w:cs="Times New Roman"/>
        </w:rPr>
        <w:t>. Therefore, knowledge about how informal settlements affect land rights and tenure security is vital in shaping urban policy, legal reform, and participatory development planning.</w:t>
      </w:r>
    </w:p>
    <w:p w14:paraId="72F008DD" w14:textId="4F955822" w:rsidR="00547E9C" w:rsidRPr="00C579F2" w:rsidRDefault="00596B34" w:rsidP="00547E9C">
      <w:pPr>
        <w:spacing w:line="240" w:lineRule="auto"/>
        <w:jc w:val="both"/>
        <w:rPr>
          <w:rFonts w:ascii="Times New Roman" w:hAnsi="Times New Roman" w:cs="Times New Roman"/>
        </w:rPr>
      </w:pPr>
      <w:r w:rsidRPr="00C579F2">
        <w:rPr>
          <w:rFonts w:ascii="Times New Roman" w:hAnsi="Times New Roman" w:cs="Times New Roman"/>
        </w:rPr>
        <w:t xml:space="preserve">This paper </w:t>
      </w:r>
      <w:r w:rsidR="00EB0E4F" w:rsidRPr="00C579F2">
        <w:rPr>
          <w:rFonts w:ascii="Times New Roman" w:hAnsi="Times New Roman" w:cs="Times New Roman"/>
        </w:rPr>
        <w:t>examines the legal implications of slum growth on land development,</w:t>
      </w:r>
      <w:r w:rsidRPr="00C579F2">
        <w:rPr>
          <w:rFonts w:ascii="Times New Roman" w:hAnsi="Times New Roman" w:cs="Times New Roman"/>
        </w:rPr>
        <w:t xml:space="preserve"> using Kumasi and Accra as case studies. The paper provided answers to the</w:t>
      </w:r>
      <w:r w:rsidR="009C4F53" w:rsidRPr="00C579F2">
        <w:rPr>
          <w:rFonts w:ascii="Times New Roman" w:hAnsi="Times New Roman" w:cs="Times New Roman"/>
        </w:rPr>
        <w:t xml:space="preserve"> following research questions: </w:t>
      </w:r>
      <w:r w:rsidRPr="00C579F2">
        <w:rPr>
          <w:rFonts w:ascii="Times New Roman" w:hAnsi="Times New Roman" w:cs="Times New Roman"/>
        </w:rPr>
        <w:t>(</w:t>
      </w:r>
      <w:proofErr w:type="spellStart"/>
      <w:r w:rsidRPr="00C579F2">
        <w:rPr>
          <w:rFonts w:ascii="Times New Roman" w:hAnsi="Times New Roman" w:cs="Times New Roman"/>
        </w:rPr>
        <w:t>i</w:t>
      </w:r>
      <w:proofErr w:type="spellEnd"/>
      <w:r w:rsidRPr="00C579F2">
        <w:rPr>
          <w:rFonts w:ascii="Times New Roman" w:hAnsi="Times New Roman" w:cs="Times New Roman"/>
        </w:rPr>
        <w:t>) What effects have slum development and expansion had on traditional land ownership systems and practices in Accra and Kumasi; (ii) How do formal legal frameworks interact with customary land tenure systems in the context of slum development; and (iii) How do land tenure insecurity and slum growth in Accra and Kumasi affect the willingness of landowners and slum residents to invest in property improvements and development?</w:t>
      </w:r>
    </w:p>
    <w:p w14:paraId="03A5A117" w14:textId="4D78C7B4" w:rsidR="00725CC4" w:rsidRPr="00C579F2" w:rsidRDefault="00725CC4" w:rsidP="00547E9C">
      <w:pPr>
        <w:spacing w:line="240" w:lineRule="auto"/>
        <w:jc w:val="both"/>
        <w:rPr>
          <w:rFonts w:ascii="Times New Roman" w:hAnsi="Times New Roman" w:cs="Times New Roman"/>
        </w:rPr>
      </w:pPr>
    </w:p>
    <w:p w14:paraId="2D921D55" w14:textId="77777777" w:rsidR="00420C13" w:rsidRPr="00C579F2" w:rsidRDefault="00420C13" w:rsidP="00547E9C">
      <w:pPr>
        <w:spacing w:line="240" w:lineRule="auto"/>
        <w:jc w:val="both"/>
        <w:rPr>
          <w:rFonts w:ascii="Times New Roman" w:hAnsi="Times New Roman" w:cs="Times New Roman"/>
        </w:rPr>
      </w:pPr>
    </w:p>
    <w:p w14:paraId="154C5228" w14:textId="1D42E431" w:rsidR="00596B34" w:rsidRPr="00C579F2" w:rsidRDefault="00596B34" w:rsidP="00547E9C">
      <w:pPr>
        <w:spacing w:line="240" w:lineRule="auto"/>
        <w:jc w:val="both"/>
        <w:rPr>
          <w:rFonts w:ascii="Times New Roman" w:hAnsi="Times New Roman" w:cs="Times New Roman"/>
          <w:b/>
          <w:bCs/>
        </w:rPr>
      </w:pPr>
      <w:r w:rsidRPr="00C579F2">
        <w:rPr>
          <w:rFonts w:ascii="Times New Roman" w:hAnsi="Times New Roman" w:cs="Times New Roman"/>
          <w:b/>
          <w:bCs/>
        </w:rPr>
        <w:t xml:space="preserve">2. </w:t>
      </w:r>
      <w:r w:rsidR="00042D49" w:rsidRPr="00C579F2">
        <w:rPr>
          <w:rFonts w:ascii="Times New Roman" w:hAnsi="Times New Roman" w:cs="Times New Roman"/>
          <w:b/>
          <w:bCs/>
        </w:rPr>
        <w:t>LITERATURE REVIEW</w:t>
      </w:r>
    </w:p>
    <w:p w14:paraId="60D2B66A"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lastRenderedPageBreak/>
        <w:t>2.1. Conceptualizing Land Rights and Tenure Security</w:t>
      </w:r>
    </w:p>
    <w:p w14:paraId="6BB5ADE3" w14:textId="6E0857FD" w:rsidR="00845AE1" w:rsidRPr="00C579F2" w:rsidRDefault="00845AE1" w:rsidP="00547E9C">
      <w:pPr>
        <w:jc w:val="both"/>
        <w:rPr>
          <w:rFonts w:ascii="Times New Roman" w:hAnsi="Times New Roman" w:cs="Times New Roman"/>
        </w:rPr>
      </w:pPr>
      <w:r w:rsidRPr="00C579F2">
        <w:rPr>
          <w:rFonts w:ascii="Times New Roman" w:hAnsi="Times New Roman" w:cs="Times New Roman"/>
        </w:rPr>
        <w:t xml:space="preserve">Land rights and tenure security are central to urban development, especially in rapidly urbanizing cities like Accra and Kumasi. Land rights refer to access, use, transfer, and ownership, while tenure security implies confidence that these rights will be upheld against eviction, conflict, or commodification. In Ghana, land rights are shaped by </w:t>
      </w:r>
      <w:r w:rsidR="00EB0E4F" w:rsidRPr="00C579F2">
        <w:rPr>
          <w:rFonts w:ascii="Times New Roman" w:hAnsi="Times New Roman" w:cs="Times New Roman"/>
        </w:rPr>
        <w:t xml:space="preserve">a combination of </w:t>
      </w:r>
      <w:r w:rsidRPr="00C579F2">
        <w:rPr>
          <w:rFonts w:ascii="Times New Roman" w:hAnsi="Times New Roman" w:cs="Times New Roman"/>
        </w:rPr>
        <w:t>legal, customary, institutional, and socio-political dynamics. The coexistence of statutory and customary systems creates structural contradictions, weakening indigenous practices and hindering development</w:t>
      </w:r>
      <w:r w:rsidR="0012337D" w:rsidRPr="00C579F2">
        <w:rPr>
          <w:rFonts w:ascii="Times New Roman" w:hAnsi="Times New Roman" w:cs="Times New Roman"/>
        </w:rPr>
        <w:t xml:space="preserve"> (Osei Tutu, 2025</w:t>
      </w:r>
      <w:r w:rsidR="002D4B18" w:rsidRPr="00C579F2">
        <w:rPr>
          <w:rFonts w:ascii="Times New Roman" w:hAnsi="Times New Roman" w:cs="Times New Roman"/>
        </w:rPr>
        <w:t>)</w:t>
      </w:r>
      <w:r w:rsidRPr="00C579F2">
        <w:rPr>
          <w:rFonts w:ascii="Times New Roman" w:hAnsi="Times New Roman" w:cs="Times New Roman"/>
        </w:rPr>
        <w:t xml:space="preserve">. </w:t>
      </w:r>
      <w:proofErr w:type="spellStart"/>
      <w:r w:rsidR="0012337D" w:rsidRPr="00C579F2">
        <w:rPr>
          <w:rFonts w:ascii="Times New Roman" w:hAnsi="Times New Roman" w:cs="Times New Roman"/>
        </w:rPr>
        <w:t>Ayimaa</w:t>
      </w:r>
      <w:proofErr w:type="spellEnd"/>
      <w:r w:rsidR="0012337D" w:rsidRPr="00C579F2">
        <w:rPr>
          <w:rFonts w:ascii="Times New Roman" w:hAnsi="Times New Roman" w:cs="Times New Roman"/>
        </w:rPr>
        <w:t xml:space="preserve"> et al</w:t>
      </w:r>
      <w:r w:rsidR="003D72F1" w:rsidRPr="00C579F2">
        <w:rPr>
          <w:rFonts w:ascii="Times New Roman" w:hAnsi="Times New Roman" w:cs="Times New Roman"/>
        </w:rPr>
        <w:t>.</w:t>
      </w:r>
      <w:r w:rsidR="0012337D" w:rsidRPr="00C579F2">
        <w:rPr>
          <w:rFonts w:ascii="Times New Roman" w:hAnsi="Times New Roman" w:cs="Times New Roman"/>
        </w:rPr>
        <w:t xml:space="preserve"> (2025</w:t>
      </w:r>
      <w:r w:rsidRPr="00C579F2">
        <w:rPr>
          <w:rFonts w:ascii="Times New Roman" w:hAnsi="Times New Roman" w:cs="Times New Roman"/>
        </w:rPr>
        <w:t xml:space="preserve">) </w:t>
      </w:r>
      <w:r w:rsidR="00EB0E4F" w:rsidRPr="00C579F2">
        <w:rPr>
          <w:rFonts w:ascii="Times New Roman" w:hAnsi="Times New Roman" w:cs="Times New Roman"/>
        </w:rPr>
        <w:t>highlight</w:t>
      </w:r>
      <w:r w:rsidRPr="00C579F2">
        <w:rPr>
          <w:rFonts w:ascii="Times New Roman" w:hAnsi="Times New Roman" w:cs="Times New Roman"/>
        </w:rPr>
        <w:t xml:space="preserve"> a crisis in customary land management, exacerbated by urban pressures and commodification. Chiefs, once trustees, increasingly act as quasi-owners, consolidating exclusion rights and undermining community access (</w:t>
      </w:r>
      <w:proofErr w:type="spellStart"/>
      <w:r w:rsidRPr="00C579F2">
        <w:rPr>
          <w:rFonts w:ascii="Times New Roman" w:hAnsi="Times New Roman" w:cs="Times New Roman"/>
        </w:rPr>
        <w:t>Anaafo</w:t>
      </w:r>
      <w:proofErr w:type="spellEnd"/>
      <w:r w:rsidRPr="00C579F2">
        <w:rPr>
          <w:rFonts w:ascii="Times New Roman" w:hAnsi="Times New Roman" w:cs="Times New Roman"/>
        </w:rPr>
        <w:t xml:space="preserve"> et al., 2023).</w:t>
      </w:r>
    </w:p>
    <w:p w14:paraId="1173846C" w14:textId="493EC902" w:rsidR="006F098B" w:rsidRPr="00C579F2" w:rsidRDefault="00845AE1" w:rsidP="00547E9C">
      <w:pPr>
        <w:jc w:val="both"/>
        <w:rPr>
          <w:rFonts w:ascii="Times New Roman" w:hAnsi="Times New Roman" w:cs="Times New Roman"/>
        </w:rPr>
      </w:pPr>
      <w:r w:rsidRPr="00C579F2">
        <w:rPr>
          <w:rFonts w:ascii="Times New Roman" w:hAnsi="Times New Roman" w:cs="Times New Roman"/>
        </w:rPr>
        <w:t xml:space="preserve">Security of tenure goes beyond legal titles to encompass perceived protection against eviction, control over land use, and institutional recognition. </w:t>
      </w:r>
      <w:r w:rsidR="003D72F1" w:rsidRPr="00C579F2">
        <w:rPr>
          <w:rFonts w:ascii="Times New Roman" w:hAnsi="Times New Roman" w:cs="Times New Roman"/>
        </w:rPr>
        <w:t xml:space="preserve">Research by </w:t>
      </w:r>
      <w:proofErr w:type="spellStart"/>
      <w:r w:rsidR="003D72F1" w:rsidRPr="00C579F2">
        <w:rPr>
          <w:rFonts w:ascii="Times New Roman" w:hAnsi="Times New Roman" w:cs="Times New Roman"/>
        </w:rPr>
        <w:t>Ayimaa</w:t>
      </w:r>
      <w:proofErr w:type="spellEnd"/>
      <w:r w:rsidR="003D72F1" w:rsidRPr="00C579F2">
        <w:rPr>
          <w:rFonts w:ascii="Times New Roman" w:hAnsi="Times New Roman" w:cs="Times New Roman"/>
        </w:rPr>
        <w:t xml:space="preserve"> et al. (202</w:t>
      </w:r>
      <w:r w:rsidR="009B27DC" w:rsidRPr="00C579F2">
        <w:rPr>
          <w:rFonts w:ascii="Times New Roman" w:hAnsi="Times New Roman" w:cs="Times New Roman"/>
        </w:rPr>
        <w:t xml:space="preserve">5) </w:t>
      </w:r>
      <w:r w:rsidRPr="00C579F2">
        <w:rPr>
          <w:rFonts w:ascii="Times New Roman" w:hAnsi="Times New Roman" w:cs="Times New Roman"/>
        </w:rPr>
        <w:t xml:space="preserve">associates secure tenure with investment incentives, particularly in </w:t>
      </w:r>
      <w:r w:rsidR="00EB0E4F" w:rsidRPr="00C579F2">
        <w:rPr>
          <w:rFonts w:ascii="Times New Roman" w:hAnsi="Times New Roman" w:cs="Times New Roman"/>
        </w:rPr>
        <w:t>the agricultural sector</w:t>
      </w:r>
      <w:r w:rsidRPr="00C579F2">
        <w:rPr>
          <w:rFonts w:ascii="Times New Roman" w:hAnsi="Times New Roman" w:cs="Times New Roman"/>
        </w:rPr>
        <w:t>. In urban contexts, it is associated with improved housing, health, and service delivery (</w:t>
      </w:r>
      <w:proofErr w:type="spellStart"/>
      <w:r w:rsidRPr="00C579F2">
        <w:rPr>
          <w:rFonts w:ascii="Times New Roman" w:hAnsi="Times New Roman" w:cs="Times New Roman"/>
        </w:rPr>
        <w:t>Nyametso</w:t>
      </w:r>
      <w:proofErr w:type="spellEnd"/>
      <w:r w:rsidRPr="00C579F2">
        <w:rPr>
          <w:rFonts w:ascii="Times New Roman" w:hAnsi="Times New Roman" w:cs="Times New Roman"/>
        </w:rPr>
        <w:t xml:space="preserve">, 2012; </w:t>
      </w:r>
      <w:proofErr w:type="spellStart"/>
      <w:r w:rsidRPr="00C579F2">
        <w:rPr>
          <w:rFonts w:ascii="Times New Roman" w:hAnsi="Times New Roman" w:cs="Times New Roman"/>
        </w:rPr>
        <w:t>Awunyo</w:t>
      </w:r>
      <w:proofErr w:type="spellEnd"/>
      <w:r w:rsidRPr="00C579F2">
        <w:rPr>
          <w:rFonts w:ascii="Times New Roman" w:hAnsi="Times New Roman" w:cs="Times New Roman"/>
        </w:rPr>
        <w:t xml:space="preserve">-Akaba et al., 2016). However, </w:t>
      </w:r>
      <w:proofErr w:type="spellStart"/>
      <w:r w:rsidRPr="00C579F2">
        <w:rPr>
          <w:rFonts w:ascii="Times New Roman" w:hAnsi="Times New Roman" w:cs="Times New Roman"/>
        </w:rPr>
        <w:t>Asaaga</w:t>
      </w:r>
      <w:proofErr w:type="spellEnd"/>
      <w:r w:rsidRPr="00C579F2">
        <w:rPr>
          <w:rFonts w:ascii="Times New Roman" w:hAnsi="Times New Roman" w:cs="Times New Roman"/>
        </w:rPr>
        <w:t xml:space="preserve"> et al. (2020) warn that the elements of tenure, alienation, exclusion, </w:t>
      </w:r>
      <w:r w:rsidR="00420C13" w:rsidRPr="00C579F2">
        <w:rPr>
          <w:rFonts w:ascii="Times New Roman" w:hAnsi="Times New Roman" w:cs="Times New Roman"/>
        </w:rPr>
        <w:t xml:space="preserve">and </w:t>
      </w:r>
      <w:r w:rsidRPr="00C579F2">
        <w:rPr>
          <w:rFonts w:ascii="Times New Roman" w:hAnsi="Times New Roman" w:cs="Times New Roman"/>
        </w:rPr>
        <w:t xml:space="preserve">duration affect land decisions differently. Tay &amp; Ocansey (2022) contend that wealth and location frequently trump tenure in determining urban outcomes. Internationally, tenure security falls along a spectrum from informal claims to full </w:t>
      </w:r>
      <w:r w:rsidR="00DA760A" w:rsidRPr="00C579F2">
        <w:rPr>
          <w:rFonts w:ascii="Times New Roman" w:hAnsi="Times New Roman" w:cs="Times New Roman"/>
        </w:rPr>
        <w:t>legal title</w:t>
      </w:r>
      <w:r w:rsidRPr="00C579F2">
        <w:rPr>
          <w:rFonts w:ascii="Times New Roman" w:hAnsi="Times New Roman" w:cs="Times New Roman"/>
        </w:rPr>
        <w:t>. Incremental upgrading is feasible, undermining binary legal/illegal categories. Hybrid arrangements, as in Indonesia (</w:t>
      </w:r>
      <w:proofErr w:type="spellStart"/>
      <w:r w:rsidRPr="00C579F2">
        <w:rPr>
          <w:rFonts w:ascii="Times New Roman" w:hAnsi="Times New Roman" w:cs="Times New Roman"/>
        </w:rPr>
        <w:t>Reerink</w:t>
      </w:r>
      <w:proofErr w:type="spellEnd"/>
      <w:r w:rsidRPr="00C579F2">
        <w:rPr>
          <w:rFonts w:ascii="Times New Roman" w:hAnsi="Times New Roman" w:cs="Times New Roman"/>
        </w:rPr>
        <w:t>, 2011) and Benin (</w:t>
      </w:r>
      <w:proofErr w:type="spellStart"/>
      <w:r w:rsidRPr="00C579F2">
        <w:rPr>
          <w:rFonts w:ascii="Times New Roman" w:hAnsi="Times New Roman" w:cs="Times New Roman"/>
        </w:rPr>
        <w:t>Ekpodessi</w:t>
      </w:r>
      <w:proofErr w:type="spellEnd"/>
      <w:r w:rsidRPr="00C579F2">
        <w:rPr>
          <w:rFonts w:ascii="Times New Roman" w:hAnsi="Times New Roman" w:cs="Times New Roman"/>
        </w:rPr>
        <w:t xml:space="preserve"> &amp; </w:t>
      </w:r>
      <w:proofErr w:type="spellStart"/>
      <w:r w:rsidRPr="00C579F2">
        <w:rPr>
          <w:rFonts w:ascii="Times New Roman" w:hAnsi="Times New Roman" w:cs="Times New Roman"/>
        </w:rPr>
        <w:t>Déguénon</w:t>
      </w:r>
      <w:proofErr w:type="spellEnd"/>
      <w:r w:rsidRPr="00C579F2">
        <w:rPr>
          <w:rFonts w:ascii="Times New Roman" w:hAnsi="Times New Roman" w:cs="Times New Roman"/>
        </w:rPr>
        <w:t>, 2023), provide inclusive pathways. In Ghana, informal governance in slums</w:t>
      </w:r>
      <w:r w:rsidR="00EB0E4F" w:rsidRPr="00C579F2">
        <w:rPr>
          <w:rFonts w:ascii="Times New Roman" w:hAnsi="Times New Roman" w:cs="Times New Roman"/>
        </w:rPr>
        <w:t xml:space="preserve">, such as Old </w:t>
      </w:r>
      <w:proofErr w:type="spellStart"/>
      <w:r w:rsidR="00EB0E4F" w:rsidRPr="00C579F2">
        <w:rPr>
          <w:rFonts w:ascii="Times New Roman" w:hAnsi="Times New Roman" w:cs="Times New Roman"/>
        </w:rPr>
        <w:t>Fadama</w:t>
      </w:r>
      <w:proofErr w:type="spellEnd"/>
      <w:r w:rsidR="00EB0E4F" w:rsidRPr="00C579F2">
        <w:rPr>
          <w:rFonts w:ascii="Times New Roman" w:hAnsi="Times New Roman" w:cs="Times New Roman"/>
        </w:rPr>
        <w:t>, fills the gaps left by</w:t>
      </w:r>
      <w:r w:rsidRPr="00C579F2">
        <w:rPr>
          <w:rFonts w:ascii="Times New Roman" w:hAnsi="Times New Roman" w:cs="Times New Roman"/>
        </w:rPr>
        <w:t xml:space="preserve"> weak formal institutions, establishing alternative regimes that guarantee de facto tenure security (Stacey, 2019; Boamah &amp; Yeboah, 2019).</w:t>
      </w:r>
    </w:p>
    <w:p w14:paraId="6A6DA10D"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2.2. Legal and Institutional Framework for Land Governance in Ghana</w:t>
      </w:r>
    </w:p>
    <w:p w14:paraId="0AC869DC" w14:textId="6F975DE2" w:rsidR="00135981" w:rsidRPr="00C579F2" w:rsidRDefault="00135981" w:rsidP="00547E9C">
      <w:pPr>
        <w:jc w:val="both"/>
        <w:rPr>
          <w:rFonts w:ascii="Times New Roman" w:hAnsi="Times New Roman" w:cs="Times New Roman"/>
        </w:rPr>
      </w:pPr>
      <w:r w:rsidRPr="00C579F2">
        <w:rPr>
          <w:rFonts w:ascii="Times New Roman" w:hAnsi="Times New Roman" w:cs="Times New Roman"/>
          <w:b/>
          <w:bCs/>
          <w:i/>
          <w:iCs/>
        </w:rPr>
        <w:t>Dualism in Ghana’s Land Tenure System:</w:t>
      </w:r>
      <w:r w:rsidRPr="00C579F2">
        <w:rPr>
          <w:rFonts w:ascii="Times New Roman" w:hAnsi="Times New Roman" w:cs="Times New Roman"/>
          <w:b/>
          <w:bCs/>
        </w:rPr>
        <w:t xml:space="preserve"> </w:t>
      </w:r>
      <w:r w:rsidRPr="00C579F2">
        <w:rPr>
          <w:rFonts w:ascii="Times New Roman" w:hAnsi="Times New Roman" w:cs="Times New Roman"/>
        </w:rPr>
        <w:t xml:space="preserve">Ghana's land governance </w:t>
      </w:r>
      <w:r w:rsidR="00420C13" w:rsidRPr="00C579F2">
        <w:rPr>
          <w:rFonts w:ascii="Times New Roman" w:hAnsi="Times New Roman" w:cs="Times New Roman"/>
        </w:rPr>
        <w:t>is based on a dual tenure regime, comprising</w:t>
      </w:r>
      <w:r w:rsidRPr="00C579F2">
        <w:rPr>
          <w:rFonts w:ascii="Times New Roman" w:hAnsi="Times New Roman" w:cs="Times New Roman"/>
        </w:rPr>
        <w:t xml:space="preserve"> customary and statutory systems. </w:t>
      </w:r>
      <w:r w:rsidR="00420C13" w:rsidRPr="00C579F2">
        <w:rPr>
          <w:rFonts w:ascii="Times New Roman" w:hAnsi="Times New Roman" w:cs="Times New Roman"/>
        </w:rPr>
        <w:t xml:space="preserve">Legal pluralism </w:t>
      </w:r>
      <w:r w:rsidR="00EB0E4F" w:rsidRPr="00C579F2">
        <w:rPr>
          <w:rFonts w:ascii="Times New Roman" w:hAnsi="Times New Roman" w:cs="Times New Roman"/>
        </w:rPr>
        <w:t>creates a complex terrain in which land access and management are subject to multiple, and often competing</w:t>
      </w:r>
      <w:r w:rsidRPr="00C579F2">
        <w:rPr>
          <w:rFonts w:ascii="Times New Roman" w:hAnsi="Times New Roman" w:cs="Times New Roman"/>
        </w:rPr>
        <w:t xml:space="preserve">, norms. Customary tenure covers </w:t>
      </w:r>
      <w:r w:rsidR="00420C13" w:rsidRPr="00C579F2">
        <w:rPr>
          <w:rFonts w:ascii="Times New Roman" w:hAnsi="Times New Roman" w:cs="Times New Roman"/>
        </w:rPr>
        <w:t>approximately 80% of the nation's land, which is managed by stools, skins, and clans through</w:t>
      </w:r>
      <w:r w:rsidRPr="00C579F2">
        <w:rPr>
          <w:rFonts w:ascii="Times New Roman" w:hAnsi="Times New Roman" w:cs="Times New Roman"/>
        </w:rPr>
        <w:t xml:space="preserve"> traditi</w:t>
      </w:r>
      <w:r w:rsidR="00DA760A" w:rsidRPr="00C579F2">
        <w:rPr>
          <w:rFonts w:ascii="Times New Roman" w:hAnsi="Times New Roman" w:cs="Times New Roman"/>
        </w:rPr>
        <w:t>onal leadership hierarchies (Gyan, 2025</w:t>
      </w:r>
      <w:r w:rsidRPr="00C579F2">
        <w:rPr>
          <w:rFonts w:ascii="Times New Roman" w:hAnsi="Times New Roman" w:cs="Times New Roman"/>
        </w:rPr>
        <w:t xml:space="preserve">). These arrangements traditionally underscored communal stewardship and social legitimacy. The intrusion of statutory law, </w:t>
      </w:r>
      <w:r w:rsidR="00420C13" w:rsidRPr="00C579F2">
        <w:rPr>
          <w:rFonts w:ascii="Times New Roman" w:hAnsi="Times New Roman" w:cs="Times New Roman"/>
        </w:rPr>
        <w:t xml:space="preserve">particularly </w:t>
      </w:r>
      <w:r w:rsidR="00EB0E4F" w:rsidRPr="00C579F2">
        <w:rPr>
          <w:rFonts w:ascii="Times New Roman" w:hAnsi="Times New Roman" w:cs="Times New Roman"/>
        </w:rPr>
        <w:t>within the Anglo-American legal tradition, has led to</w:t>
      </w:r>
      <w:r w:rsidRPr="00C579F2">
        <w:rPr>
          <w:rFonts w:ascii="Times New Roman" w:hAnsi="Times New Roman" w:cs="Times New Roman"/>
        </w:rPr>
        <w:t xml:space="preserve"> tensions between indigenous norms and formal codifica</w:t>
      </w:r>
      <w:r w:rsidR="00C579F2" w:rsidRPr="00C579F2">
        <w:rPr>
          <w:rFonts w:ascii="Times New Roman" w:hAnsi="Times New Roman" w:cs="Times New Roman"/>
        </w:rPr>
        <w:t>tions (Yeboah &amp; Owusu, 2022</w:t>
      </w:r>
      <w:r w:rsidRPr="00C579F2">
        <w:rPr>
          <w:rFonts w:ascii="Times New Roman" w:hAnsi="Times New Roman" w:cs="Times New Roman"/>
        </w:rPr>
        <w:t>). Though customary law still enjoys widespread legitimacy and operational salience, the transformation of traditional trusteeship into commodified private ownership has enabled exclusion, elite capture, and heightened tenure insecurity (</w:t>
      </w:r>
      <w:proofErr w:type="spellStart"/>
      <w:r w:rsidR="00DA760A" w:rsidRPr="00C579F2">
        <w:rPr>
          <w:rFonts w:ascii="Times New Roman" w:hAnsi="Times New Roman" w:cs="Times New Roman"/>
        </w:rPr>
        <w:t>Anaafo</w:t>
      </w:r>
      <w:proofErr w:type="spellEnd"/>
      <w:r w:rsidR="00DA760A" w:rsidRPr="00C579F2">
        <w:rPr>
          <w:rFonts w:ascii="Times New Roman" w:hAnsi="Times New Roman" w:cs="Times New Roman"/>
        </w:rPr>
        <w:t xml:space="preserve"> et al., 2023</w:t>
      </w:r>
      <w:r w:rsidRPr="00C579F2">
        <w:rPr>
          <w:rFonts w:ascii="Times New Roman" w:hAnsi="Times New Roman" w:cs="Times New Roman"/>
        </w:rPr>
        <w:t>).</w:t>
      </w:r>
    </w:p>
    <w:p w14:paraId="4591D33F" w14:textId="6A9D3F1A"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i/>
          <w:iCs/>
        </w:rPr>
        <w:t>Evolution of Legal Instruments and Policy Frameworks:</w:t>
      </w:r>
      <w:r w:rsidRPr="00C579F2">
        <w:rPr>
          <w:rFonts w:ascii="Times New Roman" w:hAnsi="Times New Roman" w:cs="Times New Roman"/>
          <w:b/>
          <w:bCs/>
        </w:rPr>
        <w:t xml:space="preserve"> </w:t>
      </w:r>
      <w:r w:rsidRPr="00C579F2">
        <w:rPr>
          <w:rFonts w:ascii="Times New Roman" w:hAnsi="Times New Roman" w:cs="Times New Roman"/>
        </w:rPr>
        <w:t xml:space="preserve">The governance of land encompasses </w:t>
      </w:r>
      <w:r w:rsidR="00420C13" w:rsidRPr="00C579F2">
        <w:rPr>
          <w:rFonts w:ascii="Times New Roman" w:hAnsi="Times New Roman" w:cs="Times New Roman"/>
        </w:rPr>
        <w:t>key policies, such as the 1999 National Land Policy, which emphasizes</w:t>
      </w:r>
      <w:r w:rsidRPr="00C579F2">
        <w:rPr>
          <w:rFonts w:ascii="Times New Roman" w:hAnsi="Times New Roman" w:cs="Times New Roman"/>
        </w:rPr>
        <w:t xml:space="preserve"> reform and stakeholder engagement. The 2020 Land Act (Act 1036) consolidated more than 150 pieces of legislation to simplify processes and enhance equity. Implementation</w:t>
      </w:r>
      <w:r w:rsidR="00EB0E4F" w:rsidRPr="00C579F2">
        <w:rPr>
          <w:rFonts w:ascii="Times New Roman" w:hAnsi="Times New Roman" w:cs="Times New Roman"/>
        </w:rPr>
        <w:t xml:space="preserve">, however, is </w:t>
      </w:r>
      <w:r w:rsidRPr="00C579F2">
        <w:rPr>
          <w:rFonts w:ascii="Times New Roman" w:hAnsi="Times New Roman" w:cs="Times New Roman"/>
        </w:rPr>
        <w:t xml:space="preserve">uneven due to institutional frailties and operational challenges. Ghana's Constitution (Article 20) permits </w:t>
      </w:r>
      <w:r w:rsidR="00EB0E4F" w:rsidRPr="00C579F2">
        <w:rPr>
          <w:rFonts w:ascii="Times New Roman" w:hAnsi="Times New Roman" w:cs="Times New Roman"/>
        </w:rPr>
        <w:t xml:space="preserve">the compulsory acquisition of land in the public interest; however, research demonstrates frequent procedural infringements, including inadequate compensation and the </w:t>
      </w:r>
      <w:r w:rsidRPr="00C579F2">
        <w:rPr>
          <w:rFonts w:ascii="Times New Roman" w:hAnsi="Times New Roman" w:cs="Times New Roman"/>
        </w:rPr>
        <w:t>absence of consultation (Adu-Gyamfi, 2012; King &amp; Boafo, 2016). These commonly lead to reoccupation of land and conflicts between the state and communities (</w:t>
      </w:r>
      <w:proofErr w:type="spellStart"/>
      <w:r w:rsidRPr="00C579F2">
        <w:rPr>
          <w:rFonts w:ascii="Times New Roman" w:hAnsi="Times New Roman" w:cs="Times New Roman"/>
        </w:rPr>
        <w:t>Akrofi</w:t>
      </w:r>
      <w:proofErr w:type="spellEnd"/>
      <w:r w:rsidRPr="00C579F2">
        <w:rPr>
          <w:rFonts w:ascii="Times New Roman" w:hAnsi="Times New Roman" w:cs="Times New Roman"/>
        </w:rPr>
        <w:t xml:space="preserve"> &amp; </w:t>
      </w:r>
      <w:proofErr w:type="spellStart"/>
      <w:r w:rsidR="00815C84" w:rsidRPr="00C579F2">
        <w:rPr>
          <w:rFonts w:ascii="Times New Roman" w:hAnsi="Times New Roman" w:cs="Times New Roman"/>
        </w:rPr>
        <w:t>Whittal</w:t>
      </w:r>
      <w:proofErr w:type="spellEnd"/>
      <w:r w:rsidRPr="00C579F2">
        <w:rPr>
          <w:rFonts w:ascii="Times New Roman" w:hAnsi="Times New Roman" w:cs="Times New Roman"/>
        </w:rPr>
        <w:t>, 2013).</w:t>
      </w:r>
    </w:p>
    <w:p w14:paraId="0661E5D1" w14:textId="440665D2"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i/>
          <w:iCs/>
        </w:rPr>
        <w:t>Institutional Framework and Governance Challenges:</w:t>
      </w:r>
      <w:r w:rsidRPr="00C579F2">
        <w:rPr>
          <w:rFonts w:ascii="Times New Roman" w:hAnsi="Times New Roman" w:cs="Times New Roman"/>
          <w:b/>
          <w:bCs/>
        </w:rPr>
        <w:t xml:space="preserve"> </w:t>
      </w:r>
      <w:r w:rsidRPr="00C579F2">
        <w:rPr>
          <w:rFonts w:ascii="Times New Roman" w:hAnsi="Times New Roman" w:cs="Times New Roman"/>
        </w:rPr>
        <w:t xml:space="preserve">Ghana's land governance </w:t>
      </w:r>
      <w:r w:rsidR="00EB0E4F" w:rsidRPr="00C579F2">
        <w:rPr>
          <w:rFonts w:ascii="Times New Roman" w:hAnsi="Times New Roman" w:cs="Times New Roman"/>
        </w:rPr>
        <w:t>is characterized by</w:t>
      </w:r>
      <w:r w:rsidRPr="00C579F2">
        <w:rPr>
          <w:rFonts w:ascii="Times New Roman" w:hAnsi="Times New Roman" w:cs="Times New Roman"/>
        </w:rPr>
        <w:t xml:space="preserve"> multiple actors with overlapping responsibilities. The Lands Commission, </w:t>
      </w:r>
      <w:r w:rsidR="00EB0E4F" w:rsidRPr="00C579F2">
        <w:rPr>
          <w:rFonts w:ascii="Times New Roman" w:hAnsi="Times New Roman" w:cs="Times New Roman"/>
        </w:rPr>
        <w:t>responsible for land administration, is hindered</w:t>
      </w:r>
      <w:r w:rsidRPr="00C579F2">
        <w:rPr>
          <w:rFonts w:ascii="Times New Roman" w:hAnsi="Times New Roman" w:cs="Times New Roman"/>
        </w:rPr>
        <w:t xml:space="preserve"> by ineffective coordination and record-keeping (</w:t>
      </w:r>
      <w:r w:rsidR="007D5CDC" w:rsidRPr="00C579F2">
        <w:rPr>
          <w:rFonts w:ascii="Times New Roman" w:hAnsi="Times New Roman" w:cs="Times New Roman"/>
        </w:rPr>
        <w:t>King &amp; Boafo, 2016</w:t>
      </w:r>
      <w:r w:rsidRPr="00C579F2">
        <w:rPr>
          <w:rFonts w:ascii="Times New Roman" w:hAnsi="Times New Roman" w:cs="Times New Roman"/>
        </w:rPr>
        <w:t xml:space="preserve">). The </w:t>
      </w:r>
      <w:r w:rsidRPr="00C579F2">
        <w:rPr>
          <w:rFonts w:ascii="Times New Roman" w:hAnsi="Times New Roman" w:cs="Times New Roman"/>
        </w:rPr>
        <w:lastRenderedPageBreak/>
        <w:t>Office of the Administrator of Stool Lands (OASL) manages customary land revenue but is not integrated with planning institutions. Local governments, including M</w:t>
      </w:r>
      <w:r w:rsidR="00BF271D" w:rsidRPr="00C579F2">
        <w:rPr>
          <w:rFonts w:ascii="Times New Roman" w:hAnsi="Times New Roman" w:cs="Times New Roman"/>
        </w:rPr>
        <w:t xml:space="preserve">etropolitan </w:t>
      </w:r>
      <w:r w:rsidRPr="00C579F2">
        <w:rPr>
          <w:rFonts w:ascii="Times New Roman" w:hAnsi="Times New Roman" w:cs="Times New Roman"/>
        </w:rPr>
        <w:t>M</w:t>
      </w:r>
      <w:r w:rsidR="00BF271D" w:rsidRPr="00C579F2">
        <w:rPr>
          <w:rFonts w:ascii="Times New Roman" w:hAnsi="Times New Roman" w:cs="Times New Roman"/>
        </w:rPr>
        <w:t xml:space="preserve">unicipal </w:t>
      </w:r>
      <w:r w:rsidRPr="00C579F2">
        <w:rPr>
          <w:rFonts w:ascii="Times New Roman" w:hAnsi="Times New Roman" w:cs="Times New Roman"/>
        </w:rPr>
        <w:t>D</w:t>
      </w:r>
      <w:r w:rsidR="00BF271D" w:rsidRPr="00C579F2">
        <w:rPr>
          <w:rFonts w:ascii="Times New Roman" w:hAnsi="Times New Roman" w:cs="Times New Roman"/>
        </w:rPr>
        <w:t xml:space="preserve">istrict </w:t>
      </w:r>
      <w:r w:rsidR="00EB0E4F" w:rsidRPr="00C579F2">
        <w:rPr>
          <w:rFonts w:ascii="Times New Roman" w:hAnsi="Times New Roman" w:cs="Times New Roman"/>
        </w:rPr>
        <w:t>Assemblies</w:t>
      </w:r>
      <w:r w:rsidRPr="00C579F2">
        <w:rPr>
          <w:rFonts w:ascii="Times New Roman" w:hAnsi="Times New Roman" w:cs="Times New Roman"/>
        </w:rPr>
        <w:t>, manage development but tend to conflict with traditional authorities regarding jurisdiction (Korah et al., 2017). In an effort to limit fragmentation, the state introduced Customary Land Secretariats (CLSs) to enhance land records and link systems</w:t>
      </w:r>
      <w:r w:rsidR="00EB0E4F" w:rsidRPr="00C579F2">
        <w:rPr>
          <w:rFonts w:ascii="Times New Roman" w:hAnsi="Times New Roman" w:cs="Times New Roman"/>
        </w:rPr>
        <w:t>. Still, CLSs</w:t>
      </w:r>
      <w:r w:rsidRPr="00C579F2">
        <w:rPr>
          <w:rFonts w:ascii="Times New Roman" w:hAnsi="Times New Roman" w:cs="Times New Roman"/>
        </w:rPr>
        <w:t xml:space="preserve"> are under-resourced an</w:t>
      </w:r>
      <w:r w:rsidR="007D5CDC" w:rsidRPr="00C579F2">
        <w:rPr>
          <w:rFonts w:ascii="Times New Roman" w:hAnsi="Times New Roman" w:cs="Times New Roman"/>
        </w:rPr>
        <w:t>d politically constrained. I</w:t>
      </w:r>
      <w:r w:rsidRPr="00C579F2">
        <w:rPr>
          <w:rFonts w:ascii="Times New Roman" w:hAnsi="Times New Roman" w:cs="Times New Roman"/>
        </w:rPr>
        <w:t xml:space="preserve">nstitutional reforms such as land banks are intended to </w:t>
      </w:r>
      <w:r w:rsidR="00EB0E4F" w:rsidRPr="00C579F2">
        <w:rPr>
          <w:rFonts w:ascii="Times New Roman" w:hAnsi="Times New Roman" w:cs="Times New Roman"/>
        </w:rPr>
        <w:t>alleviate tenure insecurity and facilitate urban development, although their impact is uncertain</w:t>
      </w:r>
      <w:r w:rsidR="00BF271D" w:rsidRPr="00C579F2">
        <w:rPr>
          <w:rFonts w:ascii="Times New Roman" w:hAnsi="Times New Roman" w:cs="Times New Roman"/>
        </w:rPr>
        <w:t xml:space="preserve"> (Aryeetey &amp; Kotey, 2010)</w:t>
      </w:r>
      <w:r w:rsidRPr="00C579F2">
        <w:rPr>
          <w:rFonts w:ascii="Times New Roman" w:hAnsi="Times New Roman" w:cs="Times New Roman"/>
        </w:rPr>
        <w:t>.</w:t>
      </w:r>
      <w:r w:rsidR="00BF271D" w:rsidRPr="00C579F2">
        <w:rPr>
          <w:rFonts w:ascii="Times New Roman" w:hAnsi="Times New Roman" w:cs="Times New Roman"/>
        </w:rPr>
        <w:t xml:space="preserve"> </w:t>
      </w:r>
    </w:p>
    <w:p w14:paraId="74BA32CD" w14:textId="2C6C5F28"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i/>
          <w:iCs/>
        </w:rPr>
        <w:t>Toward Hybrid and Inclusive Land Governance:</w:t>
      </w:r>
      <w:r w:rsidRPr="00C579F2">
        <w:rPr>
          <w:rFonts w:ascii="Times New Roman" w:hAnsi="Times New Roman" w:cs="Times New Roman"/>
          <w:b/>
          <w:bCs/>
        </w:rPr>
        <w:t xml:space="preserve"> </w:t>
      </w:r>
      <w:r w:rsidRPr="00C579F2">
        <w:rPr>
          <w:rFonts w:ascii="Times New Roman" w:hAnsi="Times New Roman" w:cs="Times New Roman"/>
        </w:rPr>
        <w:t xml:space="preserve">As urbanization accelerates, researchers advocate hybrid governance that blends formal regulation with community practice. </w:t>
      </w:r>
      <w:proofErr w:type="spellStart"/>
      <w:r w:rsidRPr="00C579F2">
        <w:rPr>
          <w:rFonts w:ascii="Times New Roman" w:hAnsi="Times New Roman" w:cs="Times New Roman"/>
        </w:rPr>
        <w:t>Akponzele</w:t>
      </w:r>
      <w:proofErr w:type="spellEnd"/>
      <w:r w:rsidRPr="00C579F2">
        <w:rPr>
          <w:rFonts w:ascii="Times New Roman" w:hAnsi="Times New Roman" w:cs="Times New Roman"/>
        </w:rPr>
        <w:t xml:space="preserve"> et al. (2025) recommend inclusive approaches </w:t>
      </w:r>
      <w:r w:rsidR="00EB0E4F" w:rsidRPr="00C579F2">
        <w:rPr>
          <w:rFonts w:ascii="Times New Roman" w:hAnsi="Times New Roman" w:cs="Times New Roman"/>
        </w:rPr>
        <w:t>that emphasize settlement regularization, anti-corruption, and participatory planning for migrants and low-income</w:t>
      </w:r>
      <w:r w:rsidRPr="00C579F2">
        <w:rPr>
          <w:rFonts w:ascii="Times New Roman" w:hAnsi="Times New Roman" w:cs="Times New Roman"/>
        </w:rPr>
        <w:t xml:space="preserve"> citizens. Such models recognize informal practice while building institutional capacity for transparent land administration. Bureaucratic cultures, legal inconsistencies, and elite domination of land institutions, however, hamper progress. The persistence of informal land guards, delayed adjudication, and disenfranchisement of citizens </w:t>
      </w:r>
      <w:r w:rsidR="00EB0E4F" w:rsidRPr="00C579F2">
        <w:rPr>
          <w:rFonts w:ascii="Times New Roman" w:hAnsi="Times New Roman" w:cs="Times New Roman"/>
        </w:rPr>
        <w:t>highlight the need for</w:t>
      </w:r>
      <w:r w:rsidRPr="00C579F2">
        <w:rPr>
          <w:rFonts w:ascii="Times New Roman" w:hAnsi="Times New Roman" w:cs="Times New Roman"/>
        </w:rPr>
        <w:t xml:space="preserve"> transformative governance (</w:t>
      </w:r>
      <w:proofErr w:type="spellStart"/>
      <w:r w:rsidRPr="00C579F2">
        <w:rPr>
          <w:rFonts w:ascii="Times New Roman" w:hAnsi="Times New Roman" w:cs="Times New Roman"/>
        </w:rPr>
        <w:t>Ubink</w:t>
      </w:r>
      <w:proofErr w:type="spellEnd"/>
      <w:r w:rsidRPr="00C579F2">
        <w:rPr>
          <w:rFonts w:ascii="Times New Roman" w:hAnsi="Times New Roman" w:cs="Times New Roman"/>
        </w:rPr>
        <w:t xml:space="preserve"> et al., 2009; Stacey</w:t>
      </w:r>
      <w:r w:rsidR="00756C38" w:rsidRPr="00C579F2">
        <w:rPr>
          <w:rFonts w:ascii="Times New Roman" w:hAnsi="Times New Roman" w:cs="Times New Roman"/>
        </w:rPr>
        <w:t xml:space="preserve"> and Lund</w:t>
      </w:r>
      <w:r w:rsidRPr="00C579F2">
        <w:rPr>
          <w:rFonts w:ascii="Times New Roman" w:hAnsi="Times New Roman" w:cs="Times New Roman"/>
        </w:rPr>
        <w:t>, 2016).</w:t>
      </w:r>
    </w:p>
    <w:p w14:paraId="263BE54D"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 xml:space="preserve">2.3. Urbanization and Slum Growth </w:t>
      </w:r>
    </w:p>
    <w:p w14:paraId="5B4C6F26" w14:textId="0939130E" w:rsidR="006F098B" w:rsidRPr="00C579F2" w:rsidRDefault="006F098B" w:rsidP="00547E9C">
      <w:pPr>
        <w:jc w:val="both"/>
        <w:rPr>
          <w:rFonts w:ascii="Times New Roman" w:hAnsi="Times New Roman" w:cs="Times New Roman"/>
        </w:rPr>
      </w:pPr>
      <w:r w:rsidRPr="00C579F2">
        <w:rPr>
          <w:rFonts w:ascii="Times New Roman" w:hAnsi="Times New Roman" w:cs="Times New Roman"/>
        </w:rPr>
        <w:t xml:space="preserve">Sub-Saharan Africa (SSA) has experienced rapid urbanization, with urban populations </w:t>
      </w:r>
      <w:r w:rsidR="00EB0E4F" w:rsidRPr="00C579F2">
        <w:rPr>
          <w:rFonts w:ascii="Times New Roman" w:hAnsi="Times New Roman" w:cs="Times New Roman"/>
        </w:rPr>
        <w:t>increasing from 130 million in 1980 to over 450 million in 2020, and projected to continue growing</w:t>
      </w:r>
      <w:r w:rsidRPr="00C579F2">
        <w:rPr>
          <w:rFonts w:ascii="Times New Roman" w:hAnsi="Times New Roman" w:cs="Times New Roman"/>
        </w:rPr>
        <w:t xml:space="preserve"> further by 2050 (Durand-</w:t>
      </w:r>
      <w:proofErr w:type="spellStart"/>
      <w:r w:rsidRPr="00C579F2">
        <w:rPr>
          <w:rFonts w:ascii="Times New Roman" w:hAnsi="Times New Roman" w:cs="Times New Roman"/>
        </w:rPr>
        <w:t>Lasserve</w:t>
      </w:r>
      <w:proofErr w:type="spellEnd"/>
      <w:r w:rsidRPr="00C579F2">
        <w:rPr>
          <w:rFonts w:ascii="Times New Roman" w:hAnsi="Times New Roman" w:cs="Times New Roman"/>
        </w:rPr>
        <w:t>, 2009; Marx et al., 2013). This growth is largely informal and exclusionary, driven by demographic pressure and rural-urban migration rather than in</w:t>
      </w:r>
      <w:r w:rsidR="00697A12" w:rsidRPr="00C579F2">
        <w:rPr>
          <w:rFonts w:ascii="Times New Roman" w:hAnsi="Times New Roman" w:cs="Times New Roman"/>
        </w:rPr>
        <w:t>dustrialization (Payne et al., 2009</w:t>
      </w:r>
      <w:r w:rsidRPr="00C579F2">
        <w:rPr>
          <w:rFonts w:ascii="Times New Roman" w:hAnsi="Times New Roman" w:cs="Times New Roman"/>
        </w:rPr>
        <w:t xml:space="preserve">; Quan &amp; Dyer, 2008). Urban expansion often outpaces institutional capacity, resulting in infrastructural deficits and governance challenges. Informal settlements </w:t>
      </w:r>
      <w:r w:rsidR="00EB0E4F" w:rsidRPr="00C579F2">
        <w:rPr>
          <w:rFonts w:ascii="Times New Roman" w:hAnsi="Times New Roman" w:cs="Times New Roman"/>
        </w:rPr>
        <w:t xml:space="preserve">usually emerge as the default housing option </w:t>
      </w:r>
      <w:r w:rsidRPr="00C579F2">
        <w:rPr>
          <w:rFonts w:ascii="Times New Roman" w:hAnsi="Times New Roman" w:cs="Times New Roman"/>
        </w:rPr>
        <w:t>for migrants and the urban poor due to limited access to affordable housing and tenure insecurity (Berger, 2006).</w:t>
      </w:r>
    </w:p>
    <w:p w14:paraId="1E50E11E" w14:textId="0303D451" w:rsidR="006F098B" w:rsidRPr="00C579F2" w:rsidRDefault="006F098B" w:rsidP="00547E9C">
      <w:pPr>
        <w:jc w:val="both"/>
        <w:rPr>
          <w:rFonts w:ascii="Times New Roman" w:hAnsi="Times New Roman" w:cs="Times New Roman"/>
        </w:rPr>
      </w:pPr>
      <w:r w:rsidRPr="00C579F2">
        <w:rPr>
          <w:rFonts w:ascii="Times New Roman" w:hAnsi="Times New Roman" w:cs="Times New Roman"/>
        </w:rPr>
        <w:t xml:space="preserve">In Ghana, Accra and Kumasi exemplify these dynamics. </w:t>
      </w:r>
      <w:r w:rsidR="00EB0E4F" w:rsidRPr="00C579F2">
        <w:rPr>
          <w:rFonts w:ascii="Times New Roman" w:hAnsi="Times New Roman" w:cs="Times New Roman"/>
        </w:rPr>
        <w:t>Approximately 40% of urban residents reside in informal settlements with inadequate</w:t>
      </w:r>
      <w:r w:rsidRPr="00C579F2">
        <w:rPr>
          <w:rFonts w:ascii="Times New Roman" w:hAnsi="Times New Roman" w:cs="Times New Roman"/>
        </w:rPr>
        <w:t xml:space="preserve"> services (Stacey, 2019; Amoako &amp; Frimpong, 2013). Slums like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reflect both marginalization and resilience (Stacey &amp; Lund, 2016). Migrants face discrimination, unaffordable rents, and bureaucratic hurdles (</w:t>
      </w:r>
      <w:proofErr w:type="spellStart"/>
      <w:r w:rsidRPr="00C579F2">
        <w:rPr>
          <w:rFonts w:ascii="Times New Roman" w:hAnsi="Times New Roman" w:cs="Times New Roman"/>
        </w:rPr>
        <w:t>Akponzele</w:t>
      </w:r>
      <w:proofErr w:type="spellEnd"/>
      <w:r w:rsidRPr="00C579F2">
        <w:rPr>
          <w:rFonts w:ascii="Times New Roman" w:hAnsi="Times New Roman" w:cs="Times New Roman"/>
        </w:rPr>
        <w:t xml:space="preserve"> et al., 2025; </w:t>
      </w:r>
      <w:proofErr w:type="spellStart"/>
      <w:r w:rsidRPr="00C579F2">
        <w:rPr>
          <w:rFonts w:ascii="Times New Roman" w:hAnsi="Times New Roman" w:cs="Times New Roman"/>
        </w:rPr>
        <w:t>Adamtey</w:t>
      </w:r>
      <w:proofErr w:type="spellEnd"/>
      <w:r w:rsidRPr="00C579F2">
        <w:rPr>
          <w:rFonts w:ascii="Times New Roman" w:hAnsi="Times New Roman" w:cs="Times New Roman"/>
        </w:rPr>
        <w:t xml:space="preserve"> et al., 2021), while community networks facilitate informal access to housing (Boamah &amp; Yeboah, 2017). State-led upgrading often prioritizes infrastructure over tenure and governance (Amoako &amp; Frimpong, 2013).</w:t>
      </w:r>
    </w:p>
    <w:p w14:paraId="64E1D3D1" w14:textId="63B204D6" w:rsidR="006F098B" w:rsidRPr="00C579F2" w:rsidRDefault="006F098B" w:rsidP="00547E9C">
      <w:pPr>
        <w:jc w:val="both"/>
        <w:rPr>
          <w:rFonts w:ascii="Times New Roman" w:hAnsi="Times New Roman" w:cs="Times New Roman"/>
        </w:rPr>
      </w:pPr>
      <w:r w:rsidRPr="00C579F2">
        <w:rPr>
          <w:rFonts w:ascii="Times New Roman" w:hAnsi="Times New Roman" w:cs="Times New Roman"/>
        </w:rPr>
        <w:t>Urbanization has also led to environmental degradation. In Accra and Kumasi, green spaces have been replaced by impermeable surfaces, increasing flood risks (Abass et al., 20</w:t>
      </w:r>
      <w:r w:rsidR="00CD0BB5" w:rsidRPr="00C579F2">
        <w:rPr>
          <w:rFonts w:ascii="Times New Roman" w:hAnsi="Times New Roman" w:cs="Times New Roman"/>
        </w:rPr>
        <w:t>20</w:t>
      </w:r>
      <w:r w:rsidRPr="00C579F2">
        <w:rPr>
          <w:rFonts w:ascii="Times New Roman" w:hAnsi="Times New Roman" w:cs="Times New Roman"/>
        </w:rPr>
        <w:t xml:space="preserve">). Slums frequently occupy flood-prone areas, compounding vulnerabilities. Interventions in areas like </w:t>
      </w:r>
      <w:proofErr w:type="spellStart"/>
      <w:r w:rsidRPr="00C579F2">
        <w:rPr>
          <w:rFonts w:ascii="Times New Roman" w:hAnsi="Times New Roman" w:cs="Times New Roman"/>
        </w:rPr>
        <w:t>Asawase</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Aboabo</w:t>
      </w:r>
      <w:proofErr w:type="spellEnd"/>
      <w:r w:rsidRPr="00C579F2">
        <w:rPr>
          <w:rFonts w:ascii="Times New Roman" w:hAnsi="Times New Roman" w:cs="Times New Roman"/>
        </w:rPr>
        <w:t xml:space="preserve"> often address symptoms</w:t>
      </w:r>
      <w:r w:rsidR="00EB0E4F" w:rsidRPr="00C579F2">
        <w:rPr>
          <w:rFonts w:ascii="Times New Roman" w:hAnsi="Times New Roman" w:cs="Times New Roman"/>
        </w:rPr>
        <w:t xml:space="preserve"> rather than</w:t>
      </w:r>
      <w:r w:rsidRPr="00C579F2">
        <w:rPr>
          <w:rFonts w:ascii="Times New Roman" w:hAnsi="Times New Roman" w:cs="Times New Roman"/>
        </w:rPr>
        <w:t xml:space="preserve"> root causes (</w:t>
      </w:r>
      <w:proofErr w:type="spellStart"/>
      <w:r w:rsidRPr="00C579F2">
        <w:rPr>
          <w:rFonts w:ascii="Times New Roman" w:hAnsi="Times New Roman" w:cs="Times New Roman"/>
        </w:rPr>
        <w:t>Dakpallah</w:t>
      </w:r>
      <w:proofErr w:type="spellEnd"/>
      <w:r w:rsidRPr="00C579F2">
        <w:rPr>
          <w:rFonts w:ascii="Times New Roman" w:hAnsi="Times New Roman" w:cs="Times New Roman"/>
        </w:rPr>
        <w:t>, 2011). Efforts now emphasize regularization, inclusive planning, and legal reform (Obeng-</w:t>
      </w:r>
      <w:proofErr w:type="spellStart"/>
      <w:r w:rsidRPr="00C579F2">
        <w:rPr>
          <w:rFonts w:ascii="Times New Roman" w:hAnsi="Times New Roman" w:cs="Times New Roman"/>
        </w:rPr>
        <w:t>Odoom</w:t>
      </w:r>
      <w:proofErr w:type="spellEnd"/>
      <w:r w:rsidRPr="00C579F2">
        <w:rPr>
          <w:rFonts w:ascii="Times New Roman" w:hAnsi="Times New Roman" w:cs="Times New Roman"/>
        </w:rPr>
        <w:t xml:space="preserve">, 2016; </w:t>
      </w:r>
      <w:proofErr w:type="spellStart"/>
      <w:r w:rsidRPr="00C579F2">
        <w:rPr>
          <w:rFonts w:ascii="Times New Roman" w:hAnsi="Times New Roman" w:cs="Times New Roman"/>
        </w:rPr>
        <w:t>Akrofi</w:t>
      </w:r>
      <w:proofErr w:type="spellEnd"/>
      <w:r w:rsidRPr="00C579F2">
        <w:rPr>
          <w:rFonts w:ascii="Times New Roman" w:hAnsi="Times New Roman" w:cs="Times New Roman"/>
        </w:rPr>
        <w:t xml:space="preserve"> &amp; </w:t>
      </w:r>
      <w:proofErr w:type="spellStart"/>
      <w:r w:rsidRPr="00C579F2">
        <w:rPr>
          <w:rFonts w:ascii="Times New Roman" w:hAnsi="Times New Roman" w:cs="Times New Roman"/>
        </w:rPr>
        <w:t>Whittal</w:t>
      </w:r>
      <w:proofErr w:type="spellEnd"/>
      <w:r w:rsidRPr="00C579F2">
        <w:rPr>
          <w:rFonts w:ascii="Times New Roman" w:hAnsi="Times New Roman" w:cs="Times New Roman"/>
        </w:rPr>
        <w:t xml:space="preserve">, 2013), aligning with </w:t>
      </w:r>
      <w:r w:rsidR="00EB0E4F" w:rsidRPr="00C579F2">
        <w:rPr>
          <w:rFonts w:ascii="Times New Roman" w:hAnsi="Times New Roman" w:cs="Times New Roman"/>
        </w:rPr>
        <w:t>the SDG goals for resilient and</w:t>
      </w:r>
      <w:r w:rsidRPr="00C579F2">
        <w:rPr>
          <w:rFonts w:ascii="Times New Roman" w:hAnsi="Times New Roman" w:cs="Times New Roman"/>
        </w:rPr>
        <w:t xml:space="preserve"> inclusive cities (Amoah, 2019).</w:t>
      </w:r>
    </w:p>
    <w:p w14:paraId="2F16AFA1"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2.4. Legal Implications of Slum Growth on Land Development</w:t>
      </w:r>
    </w:p>
    <w:p w14:paraId="145C865D" w14:textId="2A167D8D" w:rsidR="00135981" w:rsidRPr="00C579F2" w:rsidRDefault="00135981" w:rsidP="00547E9C">
      <w:pPr>
        <w:jc w:val="both"/>
        <w:rPr>
          <w:rFonts w:ascii="Times New Roman" w:hAnsi="Times New Roman" w:cs="Times New Roman"/>
          <w:color w:val="EE0000"/>
        </w:rPr>
      </w:pPr>
      <w:r w:rsidRPr="00C579F2">
        <w:rPr>
          <w:rFonts w:ascii="Times New Roman" w:hAnsi="Times New Roman" w:cs="Times New Roman"/>
          <w:b/>
          <w:bCs/>
          <w:i/>
          <w:iCs/>
        </w:rPr>
        <w:t>Slum Formation and the Legal Landscape:</w:t>
      </w:r>
      <w:r w:rsidRPr="00C579F2">
        <w:rPr>
          <w:rFonts w:ascii="Times New Roman" w:hAnsi="Times New Roman" w:cs="Times New Roman"/>
          <w:b/>
          <w:bCs/>
        </w:rPr>
        <w:t xml:space="preserve"> </w:t>
      </w:r>
      <w:r w:rsidR="00EB0E4F" w:rsidRPr="00C579F2">
        <w:rPr>
          <w:rFonts w:ascii="Times New Roman" w:hAnsi="Times New Roman" w:cs="Times New Roman"/>
        </w:rPr>
        <w:t>The proliferation of slums in Accra and Kumasi reveals</w:t>
      </w:r>
      <w:r w:rsidR="002F0758" w:rsidRPr="00C579F2">
        <w:rPr>
          <w:rFonts w:ascii="Times New Roman" w:hAnsi="Times New Roman" w:cs="Times New Roman"/>
        </w:rPr>
        <w:t xml:space="preserve"> critical gaps in Ghana’s urban land governance framework. Driven by population growth, unaffordable housing, and tenure insecurity, informal settlements often emerge outside statutory planning and land regulation (Stacey &amp; Lund, 2016; Amoah, 2019). These settlements challenge legal norms governing land ownership, zoning, and development. The Land Use and Spatial Planning Act, 2016 (Act 925), rarely accommodates the incremental, self-organized housing typical of slums (Korah et al., 2017), placing them in legal limbo and complicating tenure regularization. A key concern is the informality of land rights. Slum residents </w:t>
      </w:r>
      <w:r w:rsidR="00EB0E4F" w:rsidRPr="00C579F2">
        <w:rPr>
          <w:rFonts w:ascii="Times New Roman" w:hAnsi="Times New Roman" w:cs="Times New Roman"/>
        </w:rPr>
        <w:t xml:space="preserve">often </w:t>
      </w:r>
      <w:r w:rsidR="00EB0E4F" w:rsidRPr="00C579F2">
        <w:rPr>
          <w:rFonts w:ascii="Times New Roman" w:hAnsi="Times New Roman" w:cs="Times New Roman"/>
        </w:rPr>
        <w:lastRenderedPageBreak/>
        <w:t>lack legal titles, rendering</w:t>
      </w:r>
      <w:r w:rsidR="002F0758" w:rsidRPr="00C579F2">
        <w:rPr>
          <w:rFonts w:ascii="Times New Roman" w:hAnsi="Times New Roman" w:cs="Times New Roman"/>
        </w:rPr>
        <w:t xml:space="preserve"> them vulnerable to eviction (</w:t>
      </w:r>
      <w:proofErr w:type="spellStart"/>
      <w:r w:rsidR="002F0758" w:rsidRPr="00C579F2">
        <w:rPr>
          <w:rFonts w:ascii="Times New Roman" w:hAnsi="Times New Roman" w:cs="Times New Roman"/>
        </w:rPr>
        <w:t>Izar</w:t>
      </w:r>
      <w:proofErr w:type="spellEnd"/>
      <w:r w:rsidR="002F0758" w:rsidRPr="00C579F2">
        <w:rPr>
          <w:rFonts w:ascii="Times New Roman" w:hAnsi="Times New Roman" w:cs="Times New Roman"/>
        </w:rPr>
        <w:t xml:space="preserve">, 2004; </w:t>
      </w:r>
      <w:proofErr w:type="spellStart"/>
      <w:r w:rsidR="002F0758" w:rsidRPr="00C579F2">
        <w:rPr>
          <w:rFonts w:ascii="Times New Roman" w:hAnsi="Times New Roman" w:cs="Times New Roman"/>
        </w:rPr>
        <w:t>Ubink</w:t>
      </w:r>
      <w:proofErr w:type="spellEnd"/>
      <w:r w:rsidR="002F0758" w:rsidRPr="00C579F2">
        <w:rPr>
          <w:rFonts w:ascii="Times New Roman" w:hAnsi="Times New Roman" w:cs="Times New Roman"/>
        </w:rPr>
        <w:t xml:space="preserve"> et al., 2009). Frimpong-Boamah &amp; Walker (2017) argue that informality reflects community norms, not illegality. Yet, weak enforcement of the National Slum Upgrading Strategy (Amoako, 2019) and planning laws that treat slums as violations often lead to demolitions that ignore residents’ rights and urban contributions (Obeng-Odoom, 2016).</w:t>
      </w:r>
    </w:p>
    <w:p w14:paraId="3C9B4D37" w14:textId="6938FB64" w:rsidR="00135981" w:rsidRPr="00C579F2" w:rsidRDefault="00135981" w:rsidP="00547E9C">
      <w:pPr>
        <w:jc w:val="both"/>
        <w:rPr>
          <w:rFonts w:ascii="Times New Roman" w:hAnsi="Times New Roman" w:cs="Times New Roman"/>
        </w:rPr>
      </w:pPr>
      <w:r w:rsidRPr="00C579F2">
        <w:rPr>
          <w:rFonts w:ascii="Times New Roman" w:hAnsi="Times New Roman" w:cs="Times New Roman"/>
          <w:b/>
          <w:bCs/>
        </w:rPr>
        <w:t xml:space="preserve">Tenure Insecurity and Development Conflicts: </w:t>
      </w:r>
      <w:r w:rsidR="00EB0E4F" w:rsidRPr="00C579F2">
        <w:rPr>
          <w:rFonts w:ascii="Times New Roman" w:hAnsi="Times New Roman" w:cs="Times New Roman"/>
        </w:rPr>
        <w:t xml:space="preserve">The growth of slums </w:t>
      </w:r>
      <w:r w:rsidRPr="00C579F2">
        <w:rPr>
          <w:rFonts w:ascii="Times New Roman" w:hAnsi="Times New Roman" w:cs="Times New Roman"/>
        </w:rPr>
        <w:t>creates conflicts over land use and tenure security, particularly in peri-urban areas where legal and customary systems intersect. Customary landholders often view slum settlers as encroachers, while statutory authorities lack coherent processes for regularizing tenure (</w:t>
      </w:r>
      <w:proofErr w:type="spellStart"/>
      <w:r w:rsidRPr="00C579F2">
        <w:rPr>
          <w:rFonts w:ascii="Times New Roman" w:hAnsi="Times New Roman" w:cs="Times New Roman"/>
        </w:rPr>
        <w:t>Anaafo</w:t>
      </w:r>
      <w:proofErr w:type="spellEnd"/>
      <w:r w:rsidRPr="00C579F2">
        <w:rPr>
          <w:rFonts w:ascii="Times New Roman" w:hAnsi="Times New Roman" w:cs="Times New Roman"/>
        </w:rPr>
        <w:t xml:space="preserve"> et al., 2023). This disconnect undermines spatial development plans, complicates infrastructure delivery, and reduces investor confidence in urban land markets (</w:t>
      </w:r>
      <w:proofErr w:type="spellStart"/>
      <w:r w:rsidR="00815C84" w:rsidRPr="00C579F2">
        <w:rPr>
          <w:rFonts w:ascii="Times New Roman" w:hAnsi="Times New Roman" w:cs="Times New Roman"/>
        </w:rPr>
        <w:t>Akrofi</w:t>
      </w:r>
      <w:proofErr w:type="spellEnd"/>
      <w:r w:rsidR="00815C84" w:rsidRPr="00C579F2">
        <w:rPr>
          <w:rFonts w:ascii="Times New Roman" w:hAnsi="Times New Roman" w:cs="Times New Roman"/>
        </w:rPr>
        <w:t xml:space="preserve"> &amp; </w:t>
      </w:r>
      <w:proofErr w:type="spellStart"/>
      <w:r w:rsidR="00815C84" w:rsidRPr="00C579F2">
        <w:rPr>
          <w:rFonts w:ascii="Times New Roman" w:hAnsi="Times New Roman" w:cs="Times New Roman"/>
        </w:rPr>
        <w:t>Whittal</w:t>
      </w:r>
      <w:proofErr w:type="spellEnd"/>
      <w:r w:rsidRPr="00C579F2">
        <w:rPr>
          <w:rFonts w:ascii="Times New Roman" w:hAnsi="Times New Roman" w:cs="Times New Roman"/>
        </w:rPr>
        <w:t>, 2013). Legal ambiguity surrounding slums also generates administrative paralysis, where agencies hesitate to intervene due to unclear ownership or fear of public backlash. As Stacey</w:t>
      </w:r>
      <w:r w:rsidR="00756C38" w:rsidRPr="00C579F2">
        <w:rPr>
          <w:rFonts w:ascii="Times New Roman" w:hAnsi="Times New Roman" w:cs="Times New Roman"/>
        </w:rPr>
        <w:t xml:space="preserve"> &amp; Lund</w:t>
      </w:r>
      <w:r w:rsidRPr="00C579F2">
        <w:rPr>
          <w:rFonts w:ascii="Times New Roman" w:hAnsi="Times New Roman" w:cs="Times New Roman"/>
        </w:rPr>
        <w:t xml:space="preserve"> (2016) observed in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informal governance often emerges to fill legal voids, challenging the primacy of statutory systems and reshaping land development trajectories.</w:t>
      </w:r>
    </w:p>
    <w:p w14:paraId="2CEE0FFF" w14:textId="2EB13254"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 xml:space="preserve">Implications for Urban Planning and Policy Reform: </w:t>
      </w:r>
      <w:r w:rsidRPr="00C579F2">
        <w:rPr>
          <w:rFonts w:ascii="Times New Roman" w:hAnsi="Times New Roman" w:cs="Times New Roman"/>
        </w:rPr>
        <w:t xml:space="preserve">The legal </w:t>
      </w:r>
      <w:r w:rsidR="00EB0E4F" w:rsidRPr="00C579F2">
        <w:rPr>
          <w:rFonts w:ascii="Times New Roman" w:hAnsi="Times New Roman" w:cs="Times New Roman"/>
        </w:rPr>
        <w:t>consequences</w:t>
      </w:r>
      <w:r w:rsidRPr="00C579F2">
        <w:rPr>
          <w:rFonts w:ascii="Times New Roman" w:hAnsi="Times New Roman" w:cs="Times New Roman"/>
        </w:rPr>
        <w:t xml:space="preserve"> of slum expansion require </w:t>
      </w:r>
      <w:r w:rsidR="00D4351B" w:rsidRPr="00C579F2">
        <w:rPr>
          <w:rFonts w:ascii="Times New Roman" w:hAnsi="Times New Roman" w:cs="Times New Roman"/>
        </w:rPr>
        <w:t xml:space="preserve">the </w:t>
      </w:r>
      <w:r w:rsidRPr="00C579F2">
        <w:rPr>
          <w:rFonts w:ascii="Times New Roman" w:hAnsi="Times New Roman" w:cs="Times New Roman"/>
        </w:rPr>
        <w:t>transformation of urban planning and land governance institutions. Conventional enforcement tools need to be supplemented by inclusive legal regimes that legitimize incremental housing, community-based tenure, and negotiated development rights (Durand-</w:t>
      </w:r>
      <w:proofErr w:type="spellStart"/>
      <w:r w:rsidRPr="00C579F2">
        <w:rPr>
          <w:rFonts w:ascii="Times New Roman" w:hAnsi="Times New Roman" w:cs="Times New Roman"/>
        </w:rPr>
        <w:t>Lasserve</w:t>
      </w:r>
      <w:proofErr w:type="spellEnd"/>
      <w:r w:rsidRPr="00C579F2">
        <w:rPr>
          <w:rFonts w:ascii="Times New Roman" w:hAnsi="Times New Roman" w:cs="Times New Roman"/>
        </w:rPr>
        <w:t xml:space="preserve"> &amp; Royston, 2002). Suggestions range from applying tenure-sensitive land use planning (</w:t>
      </w:r>
      <w:proofErr w:type="spellStart"/>
      <w:r w:rsidRPr="00C579F2">
        <w:rPr>
          <w:rFonts w:ascii="Times New Roman" w:hAnsi="Times New Roman" w:cs="Times New Roman"/>
        </w:rPr>
        <w:t>Akaateba</w:t>
      </w:r>
      <w:proofErr w:type="spellEnd"/>
      <w:r w:rsidRPr="00C579F2">
        <w:rPr>
          <w:rFonts w:ascii="Times New Roman" w:hAnsi="Times New Roman" w:cs="Times New Roman"/>
        </w:rPr>
        <w:t>, 2023), embracing hybrid tenure approaches, to incorporating slum upgrading into statutory zoning procedures. Furthermore, frameworks like the Social Tenure Domain Model (</w:t>
      </w:r>
      <w:proofErr w:type="spellStart"/>
      <w:r w:rsidRPr="00C579F2">
        <w:rPr>
          <w:rFonts w:ascii="Times New Roman" w:hAnsi="Times New Roman" w:cs="Times New Roman"/>
        </w:rPr>
        <w:t>Wabineno-Oryema</w:t>
      </w:r>
      <w:proofErr w:type="spellEnd"/>
      <w:r w:rsidRPr="00C579F2">
        <w:rPr>
          <w:rFonts w:ascii="Times New Roman" w:hAnsi="Times New Roman" w:cs="Times New Roman"/>
        </w:rPr>
        <w:t xml:space="preserve">, 2020) provide alternative channels for mapping and securing informal tenure, particularly where residents have long-standing claims and community recognition. In the absence of such legal innovations, slums will </w:t>
      </w:r>
      <w:r w:rsidR="00EB0E4F" w:rsidRPr="00C579F2">
        <w:rPr>
          <w:rFonts w:ascii="Times New Roman" w:hAnsi="Times New Roman" w:cs="Times New Roman"/>
        </w:rPr>
        <w:t>continue</w:t>
      </w:r>
      <w:r w:rsidRPr="00C579F2">
        <w:rPr>
          <w:rFonts w:ascii="Times New Roman" w:hAnsi="Times New Roman" w:cs="Times New Roman"/>
        </w:rPr>
        <w:t xml:space="preserve"> to expand beyond statutory arrangements, undermining urban resilience, equity, and development potential.</w:t>
      </w:r>
    </w:p>
    <w:p w14:paraId="43E87B62" w14:textId="77777777" w:rsidR="00135981" w:rsidRPr="00C579F2" w:rsidRDefault="00135981" w:rsidP="00547E9C">
      <w:pPr>
        <w:jc w:val="both"/>
        <w:rPr>
          <w:rFonts w:ascii="Times New Roman" w:hAnsi="Times New Roman" w:cs="Times New Roman"/>
          <w:b/>
          <w:bCs/>
        </w:rPr>
      </w:pPr>
      <w:r w:rsidRPr="00C579F2">
        <w:rPr>
          <w:rFonts w:ascii="Times New Roman" w:hAnsi="Times New Roman" w:cs="Times New Roman"/>
          <w:b/>
          <w:bCs/>
        </w:rPr>
        <w:t>2.5. Tenure Insecurity and Its Socio-Economic Consequences</w:t>
      </w:r>
    </w:p>
    <w:p w14:paraId="2D6925DB" w14:textId="1A825BAF" w:rsidR="00FA063D" w:rsidRPr="00C579F2" w:rsidRDefault="00DD76C9" w:rsidP="003D72F1">
      <w:pPr>
        <w:jc w:val="both"/>
        <w:rPr>
          <w:rFonts w:ascii="Times New Roman" w:hAnsi="Times New Roman" w:cs="Times New Roman"/>
        </w:rPr>
      </w:pPr>
      <w:r w:rsidRPr="00C579F2">
        <w:rPr>
          <w:rFonts w:ascii="Times New Roman" w:hAnsi="Times New Roman" w:cs="Times New Roman"/>
        </w:rPr>
        <w:t>Tenure insecurity refers to the lack of formal, legal, or socially accepted claims to land or property. In rapidly urbanizing cities like Accra and Kumasi, it disproportionately affects low-income residents, migrants, and informal settlement dwellers who often lack titles or protection against eviction (</w:t>
      </w:r>
      <w:proofErr w:type="spellStart"/>
      <w:r w:rsidRPr="00C579F2">
        <w:rPr>
          <w:rFonts w:ascii="Times New Roman" w:hAnsi="Times New Roman" w:cs="Times New Roman"/>
        </w:rPr>
        <w:t>Nyametso</w:t>
      </w:r>
      <w:proofErr w:type="spellEnd"/>
      <w:r w:rsidRPr="00C579F2">
        <w:rPr>
          <w:rFonts w:ascii="Times New Roman" w:hAnsi="Times New Roman" w:cs="Times New Roman"/>
        </w:rPr>
        <w:t xml:space="preserve">, 2012; </w:t>
      </w:r>
      <w:proofErr w:type="spellStart"/>
      <w:r w:rsidRPr="00C579F2">
        <w:rPr>
          <w:rFonts w:ascii="Times New Roman" w:hAnsi="Times New Roman" w:cs="Times New Roman"/>
        </w:rPr>
        <w:t>Akponzele</w:t>
      </w:r>
      <w:proofErr w:type="spellEnd"/>
      <w:r w:rsidRPr="00C579F2">
        <w:rPr>
          <w:rFonts w:ascii="Times New Roman" w:hAnsi="Times New Roman" w:cs="Times New Roman"/>
        </w:rPr>
        <w:t xml:space="preserve"> et al., 2025). This undermines livelihoods, housing quality, and investment. Without secure tenure, residents struggle to </w:t>
      </w:r>
      <w:r w:rsidR="00EB0E4F" w:rsidRPr="00C579F2">
        <w:rPr>
          <w:rFonts w:ascii="Times New Roman" w:hAnsi="Times New Roman" w:cs="Times New Roman"/>
        </w:rPr>
        <w:t xml:space="preserve">assert their rights, access essential </w:t>
      </w:r>
      <w:r w:rsidRPr="00C579F2">
        <w:rPr>
          <w:rFonts w:ascii="Times New Roman" w:hAnsi="Times New Roman" w:cs="Times New Roman"/>
        </w:rPr>
        <w:t>services, or participate in land governance. In peri-urban areas, commodification of customary land has worsened insecurity, shifting control from community trustees to revenue-driven actors (</w:t>
      </w:r>
      <w:proofErr w:type="spellStart"/>
      <w:r w:rsidRPr="00C579F2">
        <w:rPr>
          <w:rFonts w:ascii="Times New Roman" w:hAnsi="Times New Roman" w:cs="Times New Roman"/>
        </w:rPr>
        <w:t>Ana</w:t>
      </w:r>
      <w:r w:rsidR="003D72F1" w:rsidRPr="00C579F2">
        <w:rPr>
          <w:rFonts w:ascii="Times New Roman" w:hAnsi="Times New Roman" w:cs="Times New Roman"/>
        </w:rPr>
        <w:t>afo</w:t>
      </w:r>
      <w:proofErr w:type="spellEnd"/>
      <w:r w:rsidR="003D72F1" w:rsidRPr="00C579F2">
        <w:rPr>
          <w:rFonts w:ascii="Times New Roman" w:hAnsi="Times New Roman" w:cs="Times New Roman"/>
        </w:rPr>
        <w:t xml:space="preserve"> et al., 2023; </w:t>
      </w:r>
      <w:proofErr w:type="spellStart"/>
      <w:r w:rsidR="003D72F1" w:rsidRPr="00C579F2">
        <w:rPr>
          <w:rFonts w:ascii="Times New Roman" w:hAnsi="Times New Roman" w:cs="Times New Roman"/>
        </w:rPr>
        <w:t>Sumbo</w:t>
      </w:r>
      <w:proofErr w:type="spellEnd"/>
      <w:r w:rsidR="003D72F1" w:rsidRPr="00C579F2">
        <w:rPr>
          <w:rFonts w:ascii="Times New Roman" w:hAnsi="Times New Roman" w:cs="Times New Roman"/>
        </w:rPr>
        <w:t xml:space="preserve">, 2022). </w:t>
      </w:r>
      <w:r w:rsidR="00FA063D" w:rsidRPr="00C579F2">
        <w:rPr>
          <w:rFonts w:ascii="Times New Roman" w:eastAsia="Times New Roman" w:hAnsi="Times New Roman" w:cs="Times New Roman"/>
          <w:kern w:val="0"/>
          <w14:ligatures w14:val="none"/>
        </w:rPr>
        <w:t>Tenure insecurity discourages households from investing in housing. Many avoid upgrading infrastructure because of fears of displacement (</w:t>
      </w:r>
      <w:proofErr w:type="spellStart"/>
      <w:r w:rsidR="00FA063D" w:rsidRPr="00C579F2">
        <w:rPr>
          <w:rFonts w:ascii="Times New Roman" w:eastAsia="Times New Roman" w:hAnsi="Times New Roman" w:cs="Times New Roman"/>
          <w:kern w:val="0"/>
          <w14:ligatures w14:val="none"/>
        </w:rPr>
        <w:t>Ekpodessi</w:t>
      </w:r>
      <w:proofErr w:type="spellEnd"/>
      <w:r w:rsidR="00FA063D" w:rsidRPr="00C579F2">
        <w:rPr>
          <w:rFonts w:ascii="Times New Roman" w:eastAsia="Times New Roman" w:hAnsi="Times New Roman" w:cs="Times New Roman"/>
          <w:kern w:val="0"/>
          <w14:ligatures w14:val="none"/>
        </w:rPr>
        <w:t xml:space="preserve"> &amp; </w:t>
      </w:r>
      <w:proofErr w:type="spellStart"/>
      <w:r w:rsidR="00FA063D" w:rsidRPr="00C579F2">
        <w:rPr>
          <w:rFonts w:ascii="Times New Roman" w:eastAsia="Times New Roman" w:hAnsi="Times New Roman" w:cs="Times New Roman"/>
          <w:kern w:val="0"/>
          <w14:ligatures w14:val="none"/>
        </w:rPr>
        <w:t>Déguénon</w:t>
      </w:r>
      <w:proofErr w:type="spellEnd"/>
      <w:r w:rsidR="00FA063D" w:rsidRPr="00C579F2">
        <w:rPr>
          <w:rFonts w:ascii="Times New Roman" w:eastAsia="Times New Roman" w:hAnsi="Times New Roman" w:cs="Times New Roman"/>
          <w:kern w:val="0"/>
          <w14:ligatures w14:val="none"/>
        </w:rPr>
        <w:t xml:space="preserve">, 2023; </w:t>
      </w:r>
      <w:proofErr w:type="spellStart"/>
      <w:r w:rsidR="00FA063D" w:rsidRPr="00C579F2">
        <w:rPr>
          <w:rFonts w:ascii="Times New Roman" w:eastAsia="Times New Roman" w:hAnsi="Times New Roman" w:cs="Times New Roman"/>
          <w:kern w:val="0"/>
          <w14:ligatures w14:val="none"/>
        </w:rPr>
        <w:t>Reerink</w:t>
      </w:r>
      <w:proofErr w:type="spellEnd"/>
      <w:r w:rsidR="00FA063D" w:rsidRPr="00C579F2">
        <w:rPr>
          <w:rFonts w:ascii="Times New Roman" w:eastAsia="Times New Roman" w:hAnsi="Times New Roman" w:cs="Times New Roman"/>
          <w:kern w:val="0"/>
          <w14:ligatures w14:val="none"/>
        </w:rPr>
        <w:t>, 2012). In contrast, secure tenure encourages sustainable land management and boosts both agricultural productivity and long-term investments (</w:t>
      </w:r>
      <w:proofErr w:type="spellStart"/>
      <w:r w:rsidR="00FA063D" w:rsidRPr="00C579F2">
        <w:rPr>
          <w:rFonts w:ascii="Times New Roman" w:eastAsia="Times New Roman" w:hAnsi="Times New Roman" w:cs="Times New Roman"/>
          <w:kern w:val="0"/>
          <w14:ligatures w14:val="none"/>
        </w:rPr>
        <w:t>Asaag</w:t>
      </w:r>
      <w:r w:rsidR="00CD0BB5" w:rsidRPr="00C579F2">
        <w:rPr>
          <w:rFonts w:ascii="Times New Roman" w:eastAsia="Times New Roman" w:hAnsi="Times New Roman" w:cs="Times New Roman"/>
          <w:kern w:val="0"/>
          <w14:ligatures w14:val="none"/>
        </w:rPr>
        <w:t>a</w:t>
      </w:r>
      <w:proofErr w:type="spellEnd"/>
      <w:r w:rsidR="00CD0BB5" w:rsidRPr="00C579F2">
        <w:rPr>
          <w:rFonts w:ascii="Times New Roman" w:eastAsia="Times New Roman" w:hAnsi="Times New Roman" w:cs="Times New Roman"/>
          <w:kern w:val="0"/>
          <w14:ligatures w14:val="none"/>
        </w:rPr>
        <w:t xml:space="preserve"> et al., 2020</w:t>
      </w:r>
      <w:r w:rsidR="00FA063D" w:rsidRPr="00C579F2">
        <w:rPr>
          <w:rFonts w:ascii="Times New Roman" w:eastAsia="Times New Roman" w:hAnsi="Times New Roman" w:cs="Times New Roman"/>
          <w:kern w:val="0"/>
          <w14:ligatures w14:val="none"/>
        </w:rPr>
        <w:t>).</w:t>
      </w:r>
    </w:p>
    <w:p w14:paraId="35DE0219" w14:textId="59BC7203" w:rsidR="00FA063D" w:rsidRPr="00C579F2"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kern w:val="0"/>
          <w14:ligatures w14:val="none"/>
        </w:rPr>
        <w:t xml:space="preserve">In urban areas, the </w:t>
      </w:r>
      <w:r w:rsidR="00EB0E4F" w:rsidRPr="00C579F2">
        <w:rPr>
          <w:rFonts w:ascii="Times New Roman" w:eastAsia="Times New Roman" w:hAnsi="Times New Roman" w:cs="Times New Roman"/>
          <w:kern w:val="0"/>
          <w14:ligatures w14:val="none"/>
        </w:rPr>
        <w:t>lack of legal titles restricts access to credit and pushes households further</w:t>
      </w:r>
      <w:r w:rsidRPr="00C579F2">
        <w:rPr>
          <w:rFonts w:ascii="Times New Roman" w:eastAsia="Times New Roman" w:hAnsi="Times New Roman" w:cs="Times New Roman"/>
          <w:kern w:val="0"/>
          <w14:ligatures w14:val="none"/>
        </w:rPr>
        <w:t xml:space="preserve"> into poverty. Tenure insecurity also reinforces social exclusion, especially for women, migrants, and other marginalized groups (Bell, 2007; </w:t>
      </w:r>
      <w:proofErr w:type="spellStart"/>
      <w:r w:rsidRPr="00C579F2">
        <w:rPr>
          <w:rFonts w:ascii="Times New Roman" w:eastAsia="Times New Roman" w:hAnsi="Times New Roman" w:cs="Times New Roman"/>
          <w:kern w:val="0"/>
          <w14:ligatures w14:val="none"/>
        </w:rPr>
        <w:t>Anaafo</w:t>
      </w:r>
      <w:proofErr w:type="spellEnd"/>
      <w:r w:rsidRPr="00C579F2">
        <w:rPr>
          <w:rFonts w:ascii="Times New Roman" w:eastAsia="Times New Roman" w:hAnsi="Times New Roman" w:cs="Times New Roman"/>
          <w:kern w:val="0"/>
          <w14:ligatures w14:val="none"/>
        </w:rPr>
        <w:t xml:space="preserve"> et al., 2023). In settlements such as Old </w:t>
      </w:r>
      <w:proofErr w:type="spellStart"/>
      <w:r w:rsidRPr="00C579F2">
        <w:rPr>
          <w:rFonts w:ascii="Times New Roman" w:eastAsia="Times New Roman" w:hAnsi="Times New Roman" w:cs="Times New Roman"/>
          <w:kern w:val="0"/>
          <w14:ligatures w14:val="none"/>
        </w:rPr>
        <w:t>Fadama</w:t>
      </w:r>
      <w:proofErr w:type="spellEnd"/>
      <w:r w:rsidRPr="00C579F2">
        <w:rPr>
          <w:rFonts w:ascii="Times New Roman" w:eastAsia="Times New Roman" w:hAnsi="Times New Roman" w:cs="Times New Roman"/>
          <w:kern w:val="0"/>
          <w14:ligatures w14:val="none"/>
        </w:rPr>
        <w:t>, land rights remain informal and legally weak (Stacey &amp; Lund, 2016). Access to housing and services is often dictated by political power and wealth rather than rights or need (</w:t>
      </w:r>
      <w:proofErr w:type="spellStart"/>
      <w:r w:rsidRPr="00C579F2">
        <w:rPr>
          <w:rFonts w:ascii="Times New Roman" w:eastAsia="Times New Roman" w:hAnsi="Times New Roman" w:cs="Times New Roman"/>
          <w:kern w:val="0"/>
          <w14:ligatures w14:val="none"/>
        </w:rPr>
        <w:t>Ubink</w:t>
      </w:r>
      <w:proofErr w:type="spellEnd"/>
      <w:r w:rsidRPr="00C579F2">
        <w:rPr>
          <w:rFonts w:ascii="Times New Roman" w:eastAsia="Times New Roman" w:hAnsi="Times New Roman" w:cs="Times New Roman"/>
          <w:kern w:val="0"/>
          <w14:ligatures w14:val="none"/>
        </w:rPr>
        <w:t>, 2007; Tay &amp; Ocansey, 2022).</w:t>
      </w:r>
    </w:p>
    <w:p w14:paraId="794371AA" w14:textId="2FF5BB8E" w:rsidR="00D66E7A" w:rsidRPr="00C579F2" w:rsidRDefault="00FA063D" w:rsidP="005B44A5">
      <w:pPr>
        <w:spacing w:before="100" w:beforeAutospacing="1" w:after="100" w:afterAutospacing="1"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kern w:val="0"/>
          <w14:ligatures w14:val="none"/>
        </w:rPr>
        <w:t xml:space="preserve">The lack of secure tenure further undermines service delivery and environmental management. Slum residents typically face inadequate access to water, sanitation, and waste services (Quaye, 2014). In peri-urban zones where tenure status is ambiguous, urban sprawl leads to unmanaged and unregulated </w:t>
      </w:r>
      <w:r w:rsidRPr="00C579F2">
        <w:rPr>
          <w:rFonts w:ascii="Times New Roman" w:eastAsia="Times New Roman" w:hAnsi="Times New Roman" w:cs="Times New Roman"/>
          <w:kern w:val="0"/>
          <w14:ligatures w14:val="none"/>
        </w:rPr>
        <w:lastRenderedPageBreak/>
        <w:t>development (</w:t>
      </w:r>
      <w:proofErr w:type="spellStart"/>
      <w:r w:rsidRPr="00C579F2">
        <w:rPr>
          <w:rFonts w:ascii="Times New Roman" w:eastAsia="Times New Roman" w:hAnsi="Times New Roman" w:cs="Times New Roman"/>
          <w:kern w:val="0"/>
          <w14:ligatures w14:val="none"/>
        </w:rPr>
        <w:t>Cobbinah</w:t>
      </w:r>
      <w:proofErr w:type="spellEnd"/>
      <w:r w:rsidRPr="00C579F2">
        <w:rPr>
          <w:rFonts w:ascii="Times New Roman" w:eastAsia="Times New Roman" w:hAnsi="Times New Roman" w:cs="Times New Roman"/>
          <w:kern w:val="0"/>
          <w14:ligatures w14:val="none"/>
        </w:rPr>
        <w:t xml:space="preserve"> et al., 2014; </w:t>
      </w:r>
      <w:proofErr w:type="spellStart"/>
      <w:r w:rsidRPr="00C579F2">
        <w:rPr>
          <w:rFonts w:ascii="Times New Roman" w:eastAsia="Times New Roman" w:hAnsi="Times New Roman" w:cs="Times New Roman"/>
          <w:kern w:val="0"/>
          <w14:ligatures w14:val="none"/>
        </w:rPr>
        <w:t>Akrofi</w:t>
      </w:r>
      <w:proofErr w:type="spellEnd"/>
      <w:r w:rsidRPr="00C579F2">
        <w:rPr>
          <w:rFonts w:ascii="Times New Roman" w:eastAsia="Times New Roman" w:hAnsi="Times New Roman" w:cs="Times New Roman"/>
          <w:kern w:val="0"/>
          <w14:ligatures w14:val="none"/>
        </w:rPr>
        <w:t xml:space="preserve"> &amp; </w:t>
      </w:r>
      <w:proofErr w:type="spellStart"/>
      <w:r w:rsidRPr="00C579F2">
        <w:rPr>
          <w:rFonts w:ascii="Times New Roman" w:eastAsia="Times New Roman" w:hAnsi="Times New Roman" w:cs="Times New Roman"/>
          <w:kern w:val="0"/>
          <w14:ligatures w14:val="none"/>
        </w:rPr>
        <w:t>Whittal</w:t>
      </w:r>
      <w:proofErr w:type="spellEnd"/>
      <w:r w:rsidRPr="00C579F2">
        <w:rPr>
          <w:rFonts w:ascii="Times New Roman" w:eastAsia="Times New Roman" w:hAnsi="Times New Roman" w:cs="Times New Roman"/>
          <w:kern w:val="0"/>
          <w14:ligatures w14:val="none"/>
        </w:rPr>
        <w:t>, 2013). Addressing these challenges requires inclusive reforms. Key measures include tenure regularization, gender-sensitive land policies, and stronger institutions to safeguard land rights (</w:t>
      </w:r>
      <w:proofErr w:type="spellStart"/>
      <w:r w:rsidRPr="00C579F2">
        <w:rPr>
          <w:rFonts w:ascii="Times New Roman" w:eastAsia="Times New Roman" w:hAnsi="Times New Roman" w:cs="Times New Roman"/>
          <w:kern w:val="0"/>
          <w14:ligatures w14:val="none"/>
        </w:rPr>
        <w:t>Ubink</w:t>
      </w:r>
      <w:proofErr w:type="spellEnd"/>
      <w:r w:rsidRPr="00C579F2">
        <w:rPr>
          <w:rFonts w:ascii="Times New Roman" w:eastAsia="Times New Roman" w:hAnsi="Times New Roman" w:cs="Times New Roman"/>
          <w:kern w:val="0"/>
          <w14:ligatures w14:val="none"/>
        </w:rPr>
        <w:t xml:space="preserve"> et al., 2009; Payne et al., 2002; </w:t>
      </w:r>
      <w:proofErr w:type="spellStart"/>
      <w:r w:rsidRPr="00C579F2">
        <w:rPr>
          <w:rFonts w:ascii="Times New Roman" w:eastAsia="Times New Roman" w:hAnsi="Times New Roman" w:cs="Times New Roman"/>
          <w:kern w:val="0"/>
          <w14:ligatures w14:val="none"/>
        </w:rPr>
        <w:t>Wabineno-Oryema</w:t>
      </w:r>
      <w:proofErr w:type="spellEnd"/>
      <w:r w:rsidRPr="00C579F2">
        <w:rPr>
          <w:rFonts w:ascii="Times New Roman" w:eastAsia="Times New Roman" w:hAnsi="Times New Roman" w:cs="Times New Roman"/>
          <w:kern w:val="0"/>
          <w14:ligatures w14:val="none"/>
        </w:rPr>
        <w:t>, 2020).</w:t>
      </w:r>
    </w:p>
    <w:p w14:paraId="2FAA1767" w14:textId="77777777" w:rsidR="006E456C" w:rsidRPr="00C579F2" w:rsidRDefault="006E456C" w:rsidP="00547E9C">
      <w:pPr>
        <w:spacing w:line="240" w:lineRule="auto"/>
        <w:jc w:val="both"/>
        <w:rPr>
          <w:rFonts w:ascii="Times New Roman" w:hAnsi="Times New Roman" w:cs="Times New Roman"/>
          <w:b/>
          <w:bCs/>
        </w:rPr>
      </w:pPr>
      <w:r w:rsidRPr="00C579F2">
        <w:rPr>
          <w:rFonts w:ascii="Times New Roman" w:hAnsi="Times New Roman" w:cs="Times New Roman"/>
          <w:b/>
          <w:bCs/>
        </w:rPr>
        <w:t>3.</w:t>
      </w:r>
      <w:r w:rsidRPr="00C579F2">
        <w:rPr>
          <w:rFonts w:ascii="Times New Roman" w:hAnsi="Times New Roman" w:cs="Times New Roman"/>
        </w:rPr>
        <w:t xml:space="preserve"> </w:t>
      </w:r>
      <w:r w:rsidRPr="00C579F2">
        <w:rPr>
          <w:rFonts w:ascii="Times New Roman" w:hAnsi="Times New Roman" w:cs="Times New Roman"/>
          <w:b/>
          <w:bCs/>
        </w:rPr>
        <w:t>METHODOLOGY</w:t>
      </w:r>
    </w:p>
    <w:p w14:paraId="4C676FEE" w14:textId="23CE7CC4" w:rsidR="006E456C" w:rsidRPr="00C579F2" w:rsidRDefault="006E456C" w:rsidP="00547E9C">
      <w:pPr>
        <w:spacing w:line="240" w:lineRule="auto"/>
        <w:jc w:val="both"/>
        <w:rPr>
          <w:rFonts w:ascii="Times New Roman" w:hAnsi="Times New Roman" w:cs="Times New Roman"/>
        </w:rPr>
      </w:pPr>
      <w:r w:rsidRPr="00C579F2">
        <w:rPr>
          <w:rFonts w:ascii="Times New Roman" w:hAnsi="Times New Roman" w:cs="Times New Roman"/>
        </w:rPr>
        <w:t xml:space="preserve">The study was conducted in the selected slum settlements </w:t>
      </w:r>
      <w:r w:rsidR="00EB0E4F" w:rsidRPr="00C579F2">
        <w:rPr>
          <w:rFonts w:ascii="Times New Roman" w:hAnsi="Times New Roman" w:cs="Times New Roman"/>
        </w:rPr>
        <w:t xml:space="preserve">of the </w:t>
      </w:r>
      <w:proofErr w:type="spellStart"/>
      <w:r w:rsidR="00EB0E4F" w:rsidRPr="00C579F2">
        <w:rPr>
          <w:rFonts w:ascii="Times New Roman" w:hAnsi="Times New Roman" w:cs="Times New Roman"/>
        </w:rPr>
        <w:t>Ashiedu</w:t>
      </w:r>
      <w:proofErr w:type="spellEnd"/>
      <w:r w:rsidR="00EB0E4F" w:rsidRPr="00C579F2">
        <w:rPr>
          <w:rFonts w:ascii="Times New Roman" w:hAnsi="Times New Roman" w:cs="Times New Roman"/>
        </w:rPr>
        <w:t xml:space="preserve"> </w:t>
      </w:r>
      <w:proofErr w:type="spellStart"/>
      <w:r w:rsidR="00EB0E4F" w:rsidRPr="00C579F2">
        <w:rPr>
          <w:rFonts w:ascii="Times New Roman" w:hAnsi="Times New Roman" w:cs="Times New Roman"/>
        </w:rPr>
        <w:t>Keteke</w:t>
      </w:r>
      <w:proofErr w:type="spellEnd"/>
      <w:r w:rsidR="00EB0E4F" w:rsidRPr="00C579F2">
        <w:rPr>
          <w:rFonts w:ascii="Times New Roman" w:hAnsi="Times New Roman" w:cs="Times New Roman"/>
        </w:rPr>
        <w:t xml:space="preserve"> Sub-Metro District in Accra and the </w:t>
      </w:r>
      <w:proofErr w:type="spellStart"/>
      <w:r w:rsidR="00EB0E4F" w:rsidRPr="00C579F2">
        <w:rPr>
          <w:rFonts w:ascii="Times New Roman" w:hAnsi="Times New Roman" w:cs="Times New Roman"/>
        </w:rPr>
        <w:t>Oforikrom</w:t>
      </w:r>
      <w:proofErr w:type="spellEnd"/>
      <w:r w:rsidR="00EB0E4F" w:rsidRPr="00C579F2">
        <w:rPr>
          <w:rFonts w:ascii="Times New Roman" w:hAnsi="Times New Roman" w:cs="Times New Roman"/>
        </w:rPr>
        <w:t xml:space="preserve"> Municipal Assembly in</w:t>
      </w:r>
      <w:r w:rsidRPr="00C579F2">
        <w:rPr>
          <w:rFonts w:ascii="Times New Roman" w:hAnsi="Times New Roman" w:cs="Times New Roman"/>
        </w:rPr>
        <w:t xml:space="preserve"> Kumasi</w:t>
      </w:r>
      <w:r w:rsidR="00D66E7A" w:rsidRPr="00C579F2">
        <w:rPr>
          <w:rFonts w:ascii="Times New Roman" w:hAnsi="Times New Roman" w:cs="Times New Roman"/>
        </w:rPr>
        <w:t>, as shown in Figures 1 and 2</w:t>
      </w:r>
      <w:r w:rsidRPr="00C579F2">
        <w:rPr>
          <w:rFonts w:ascii="Times New Roman" w:hAnsi="Times New Roman" w:cs="Times New Roman"/>
        </w:rPr>
        <w:t xml:space="preserve">. The two urban centers were purposively sampled based on their </w:t>
      </w:r>
      <w:r w:rsidR="00EB0E4F" w:rsidRPr="00C579F2">
        <w:rPr>
          <w:rFonts w:ascii="Times New Roman" w:hAnsi="Times New Roman" w:cs="Times New Roman"/>
        </w:rPr>
        <w:t>rapid rates of urbanization, the emergence of informal settlements, and the increasing</w:t>
      </w:r>
      <w:r w:rsidRPr="00C579F2">
        <w:rPr>
          <w:rFonts w:ascii="Times New Roman" w:hAnsi="Times New Roman" w:cs="Times New Roman"/>
        </w:rPr>
        <w:t xml:space="preserve"> conflicts associated with land access and development. While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Bukom</w:t>
      </w:r>
      <w:proofErr w:type="spellEnd"/>
      <w:r w:rsidRPr="00C579F2">
        <w:rPr>
          <w:rFonts w:ascii="Times New Roman" w:hAnsi="Times New Roman" w:cs="Times New Roman"/>
        </w:rPr>
        <w:t xml:space="preserve"> were researched in Accra, </w:t>
      </w:r>
      <w:proofErr w:type="spellStart"/>
      <w:r w:rsidRPr="00C579F2">
        <w:rPr>
          <w:rFonts w:ascii="Times New Roman" w:hAnsi="Times New Roman" w:cs="Times New Roman"/>
        </w:rPr>
        <w:t>Ayigya</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Zongo</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Anloga</w:t>
      </w:r>
      <w:proofErr w:type="spellEnd"/>
      <w:r w:rsidRPr="00C579F2">
        <w:rPr>
          <w:rFonts w:ascii="Times New Roman" w:hAnsi="Times New Roman" w:cs="Times New Roman"/>
        </w:rPr>
        <w:t xml:space="preserve"> were researched in Kumasi. According to Oppong et al. (2020</w:t>
      </w:r>
      <w:r w:rsidR="00480C85" w:rsidRPr="00C579F2">
        <w:rPr>
          <w:rFonts w:ascii="Times New Roman" w:hAnsi="Times New Roman" w:cs="Times New Roman"/>
        </w:rPr>
        <w:t>)</w:t>
      </w:r>
      <w:r w:rsidRPr="00C579F2">
        <w:rPr>
          <w:rFonts w:ascii="Times New Roman" w:hAnsi="Times New Roman" w:cs="Times New Roman"/>
        </w:rPr>
        <w:t xml:space="preserve"> &amp; Morrison (2017), these settlements have unique but similar issues related to land rights, tenure security, housing, and the provision of infrastructure.</w:t>
      </w:r>
      <w:r w:rsidR="00263B76" w:rsidRPr="00C579F2">
        <w:rPr>
          <w:rFonts w:ascii="Times New Roman" w:hAnsi="Times New Roman" w:cs="Times New Roman"/>
        </w:rPr>
        <w:t xml:space="preserve"> </w:t>
      </w:r>
      <w:proofErr w:type="spellStart"/>
      <w:r w:rsidRPr="00C579F2">
        <w:rPr>
          <w:rFonts w:ascii="Times New Roman" w:hAnsi="Times New Roman" w:cs="Times New Roman"/>
        </w:rPr>
        <w:t>Ashiedu</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Keteke</w:t>
      </w:r>
      <w:proofErr w:type="spellEnd"/>
      <w:r w:rsidRPr="00C579F2">
        <w:rPr>
          <w:rFonts w:ascii="Times New Roman" w:hAnsi="Times New Roman" w:cs="Times New Roman"/>
        </w:rPr>
        <w:t xml:space="preserve"> is situated in the </w:t>
      </w:r>
      <w:r w:rsidR="00EB0E4F" w:rsidRPr="00C579F2">
        <w:rPr>
          <w:rFonts w:ascii="Times New Roman" w:hAnsi="Times New Roman" w:cs="Times New Roman"/>
        </w:rPr>
        <w:t xml:space="preserve">heart of the Accra Metropolitan Assembly and is home to the central business district, key markets such as Agbogbloshie and Makola, </w:t>
      </w:r>
      <w:r w:rsidR="004C6EF3" w:rsidRPr="00C579F2">
        <w:rPr>
          <w:rFonts w:ascii="Times New Roman" w:hAnsi="Times New Roman" w:cs="Times New Roman"/>
        </w:rPr>
        <w:t>as well as</w:t>
      </w:r>
      <w:r w:rsidR="00EB0E4F" w:rsidRPr="00C579F2">
        <w:rPr>
          <w:rFonts w:ascii="Times New Roman" w:hAnsi="Times New Roman" w:cs="Times New Roman"/>
        </w:rPr>
        <w:t xml:space="preserve"> </w:t>
      </w:r>
      <w:r w:rsidRPr="00C579F2">
        <w:rPr>
          <w:rFonts w:ascii="Times New Roman" w:hAnsi="Times New Roman" w:cs="Times New Roman"/>
        </w:rPr>
        <w:t xml:space="preserve">densely populated neighborhoods. The sub-metro hosts over an estimated 284,000 people as of 2021, with settlements like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Bukom</w:t>
      </w:r>
      <w:proofErr w:type="spellEnd"/>
      <w:r w:rsidRPr="00C579F2">
        <w:rPr>
          <w:rFonts w:ascii="Times New Roman" w:hAnsi="Times New Roman" w:cs="Times New Roman"/>
        </w:rPr>
        <w:t xml:space="preserve"> featuring densely populated housing, informal jobs, poor sanitation, and land tenure insecurity Ghana Statistic Service (GSS), 2021 &amp; Tayler, 2011). </w:t>
      </w:r>
      <w:r w:rsidR="00EB0E4F" w:rsidRPr="00C579F2">
        <w:rPr>
          <w:rFonts w:ascii="Times New Roman" w:hAnsi="Times New Roman" w:cs="Times New Roman"/>
        </w:rPr>
        <w:t xml:space="preserve">Similarly, the </w:t>
      </w:r>
      <w:proofErr w:type="spellStart"/>
      <w:r w:rsidR="00EB0E4F" w:rsidRPr="00C579F2">
        <w:rPr>
          <w:rFonts w:ascii="Times New Roman" w:hAnsi="Times New Roman" w:cs="Times New Roman"/>
        </w:rPr>
        <w:t>Oforikrom</w:t>
      </w:r>
      <w:proofErr w:type="spellEnd"/>
      <w:r w:rsidR="00EB0E4F" w:rsidRPr="00C579F2">
        <w:rPr>
          <w:rFonts w:ascii="Times New Roman" w:hAnsi="Times New Roman" w:cs="Times New Roman"/>
        </w:rPr>
        <w:t xml:space="preserve"> Municipal Assembly has experienced rapid </w:t>
      </w:r>
      <w:r w:rsidR="004C6EF3" w:rsidRPr="00C579F2">
        <w:rPr>
          <w:rFonts w:ascii="Times New Roman" w:hAnsi="Times New Roman" w:cs="Times New Roman"/>
        </w:rPr>
        <w:t>population growth</w:t>
      </w:r>
      <w:r w:rsidR="00EB0E4F" w:rsidRPr="00C579F2">
        <w:rPr>
          <w:rFonts w:ascii="Times New Roman" w:hAnsi="Times New Roman" w:cs="Times New Roman"/>
        </w:rPr>
        <w:t>, with estimates in 2020 indicating a population of</w:t>
      </w:r>
      <w:r w:rsidRPr="00C579F2">
        <w:rPr>
          <w:rFonts w:ascii="Times New Roman" w:hAnsi="Times New Roman" w:cs="Times New Roman"/>
        </w:rPr>
        <w:t xml:space="preserve"> over 213,126 (GSS). </w:t>
      </w:r>
      <w:proofErr w:type="spellStart"/>
      <w:r w:rsidRPr="00C579F2">
        <w:rPr>
          <w:rFonts w:ascii="Times New Roman" w:hAnsi="Times New Roman" w:cs="Times New Roman"/>
        </w:rPr>
        <w:t>Ayigya</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Zongo</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Anloga</w:t>
      </w:r>
      <w:proofErr w:type="spellEnd"/>
      <w:r w:rsidRPr="00C579F2">
        <w:rPr>
          <w:rFonts w:ascii="Times New Roman" w:hAnsi="Times New Roman" w:cs="Times New Roman"/>
        </w:rPr>
        <w:t xml:space="preserve"> rank among the most populated areas in the municipality and are beset by significant issues of housing quality, service delivery, and land conflicts (</w:t>
      </w:r>
      <w:proofErr w:type="spellStart"/>
      <w:r w:rsidRPr="00C579F2">
        <w:rPr>
          <w:rFonts w:ascii="Times New Roman" w:hAnsi="Times New Roman" w:cs="Times New Roman"/>
        </w:rPr>
        <w:t>Ayivor</w:t>
      </w:r>
      <w:proofErr w:type="spellEnd"/>
      <w:r w:rsidRPr="00C579F2">
        <w:rPr>
          <w:rFonts w:ascii="Times New Roman" w:hAnsi="Times New Roman" w:cs="Times New Roman"/>
        </w:rPr>
        <w:t>, 2001). These neighborhoods capture the wider socio-economic and spatial patterns of urban informality in Ghana's two largest cities (</w:t>
      </w:r>
      <w:proofErr w:type="spellStart"/>
      <w:r w:rsidRPr="00C579F2">
        <w:rPr>
          <w:rFonts w:ascii="Times New Roman" w:hAnsi="Times New Roman" w:cs="Times New Roman"/>
        </w:rPr>
        <w:t>Afenah</w:t>
      </w:r>
      <w:proofErr w:type="spellEnd"/>
      <w:r w:rsidRPr="00C579F2">
        <w:rPr>
          <w:rFonts w:ascii="Times New Roman" w:hAnsi="Times New Roman" w:cs="Times New Roman"/>
        </w:rPr>
        <w:t>, 2010).</w:t>
      </w:r>
    </w:p>
    <w:p w14:paraId="008296B2" w14:textId="28FBE4E2" w:rsidR="00D9410B" w:rsidRPr="00C579F2" w:rsidRDefault="00D9410B" w:rsidP="00D66E7A">
      <w:pPr>
        <w:spacing w:line="240" w:lineRule="auto"/>
        <w:jc w:val="center"/>
        <w:rPr>
          <w:rFonts w:ascii="Times New Roman" w:hAnsi="Times New Roman" w:cs="Times New Roman"/>
          <w:highlight w:val="yellow"/>
        </w:rPr>
      </w:pPr>
      <w:r w:rsidRPr="00C579F2">
        <w:rPr>
          <w:rFonts w:ascii="Times New Roman" w:hAnsi="Times New Roman" w:cs="Times New Roman"/>
          <w:noProof/>
        </w:rPr>
        <w:drawing>
          <wp:inline distT="0" distB="0" distL="0" distR="0" wp14:anchorId="012B062B" wp14:editId="13FC1530">
            <wp:extent cx="4186989" cy="314763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0956" cy="3180684"/>
                    </a:xfrm>
                    <a:prstGeom prst="rect">
                      <a:avLst/>
                    </a:prstGeom>
                  </pic:spPr>
                </pic:pic>
              </a:graphicData>
            </a:graphic>
          </wp:inline>
        </w:drawing>
      </w:r>
    </w:p>
    <w:p w14:paraId="50917CC5" w14:textId="5D4D9468" w:rsidR="00D66E7A" w:rsidRPr="00C579F2" w:rsidRDefault="00D66E7A" w:rsidP="007558AF">
      <w:pPr>
        <w:spacing w:line="240" w:lineRule="auto"/>
        <w:jc w:val="center"/>
        <w:rPr>
          <w:rFonts w:ascii="Times New Roman" w:hAnsi="Times New Roman" w:cs="Times New Roman"/>
          <w:b/>
        </w:rPr>
      </w:pPr>
      <w:r w:rsidRPr="00C579F2">
        <w:rPr>
          <w:rFonts w:ascii="Times New Roman" w:hAnsi="Times New Roman" w:cs="Times New Roman"/>
          <w:b/>
        </w:rPr>
        <w:t>Figure 1: Map of the study area</w:t>
      </w:r>
    </w:p>
    <w:p w14:paraId="04433AE4" w14:textId="654884C2" w:rsidR="00D66E7A" w:rsidRPr="00C579F2" w:rsidRDefault="00D66E7A" w:rsidP="007558AF">
      <w:pPr>
        <w:spacing w:line="240" w:lineRule="auto"/>
        <w:jc w:val="center"/>
        <w:rPr>
          <w:rFonts w:ascii="Times New Roman" w:hAnsi="Times New Roman" w:cs="Times New Roman"/>
        </w:rPr>
      </w:pPr>
      <w:r w:rsidRPr="00C579F2">
        <w:rPr>
          <w:rFonts w:ascii="Times New Roman" w:hAnsi="Times New Roman" w:cs="Times New Roman"/>
        </w:rPr>
        <w:t>Authors’ construct</w:t>
      </w:r>
    </w:p>
    <w:p w14:paraId="62887636" w14:textId="5FFF1F7B" w:rsidR="00D9410B" w:rsidRPr="00C579F2" w:rsidRDefault="00D9410B" w:rsidP="00D66E7A">
      <w:pPr>
        <w:spacing w:line="240" w:lineRule="auto"/>
        <w:jc w:val="center"/>
        <w:rPr>
          <w:rFonts w:ascii="Times New Roman" w:hAnsi="Times New Roman" w:cs="Times New Roman"/>
          <w:highlight w:val="yellow"/>
        </w:rPr>
      </w:pPr>
      <w:r w:rsidRPr="00C579F2">
        <w:rPr>
          <w:rFonts w:ascii="Times New Roman" w:hAnsi="Times New Roman" w:cs="Times New Roman"/>
          <w:noProof/>
        </w:rPr>
        <w:lastRenderedPageBreak/>
        <w:drawing>
          <wp:inline distT="0" distB="0" distL="0" distR="0" wp14:anchorId="59679FE7" wp14:editId="537E4FC9">
            <wp:extent cx="4812632" cy="366294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9378" cy="3713749"/>
                    </a:xfrm>
                    <a:prstGeom prst="rect">
                      <a:avLst/>
                    </a:prstGeom>
                  </pic:spPr>
                </pic:pic>
              </a:graphicData>
            </a:graphic>
          </wp:inline>
        </w:drawing>
      </w:r>
    </w:p>
    <w:p w14:paraId="7B534C65" w14:textId="207F72BF" w:rsidR="00D66E7A" w:rsidRPr="00C579F2" w:rsidRDefault="00D66E7A" w:rsidP="007558AF">
      <w:pPr>
        <w:spacing w:line="240" w:lineRule="auto"/>
        <w:jc w:val="center"/>
        <w:rPr>
          <w:rFonts w:ascii="Times New Roman" w:hAnsi="Times New Roman" w:cs="Times New Roman"/>
          <w:b/>
        </w:rPr>
      </w:pPr>
      <w:r w:rsidRPr="00C579F2">
        <w:rPr>
          <w:rFonts w:ascii="Times New Roman" w:hAnsi="Times New Roman" w:cs="Times New Roman"/>
          <w:b/>
        </w:rPr>
        <w:t>Figure 2: Map of the study area</w:t>
      </w:r>
    </w:p>
    <w:p w14:paraId="5852CB6F" w14:textId="7734420E" w:rsidR="00D66E7A" w:rsidRPr="00C579F2" w:rsidRDefault="00D66E7A" w:rsidP="007558AF">
      <w:pPr>
        <w:spacing w:line="240" w:lineRule="auto"/>
        <w:jc w:val="center"/>
        <w:rPr>
          <w:rFonts w:ascii="Times New Roman" w:hAnsi="Times New Roman" w:cs="Times New Roman"/>
        </w:rPr>
      </w:pPr>
      <w:r w:rsidRPr="00C579F2">
        <w:rPr>
          <w:rFonts w:ascii="Times New Roman" w:hAnsi="Times New Roman" w:cs="Times New Roman"/>
        </w:rPr>
        <w:t>Authors’ construct</w:t>
      </w:r>
    </w:p>
    <w:p w14:paraId="0A1AB5D4" w14:textId="545679AD" w:rsidR="00B74758" w:rsidRPr="00B74758" w:rsidRDefault="00B74758" w:rsidP="00B74758">
      <w:pPr>
        <w:pStyle w:val="NormalWeb"/>
        <w:numPr>
          <w:ilvl w:val="1"/>
          <w:numId w:val="8"/>
        </w:numPr>
        <w:jc w:val="both"/>
        <w:rPr>
          <w:b/>
          <w:sz w:val="22"/>
          <w:szCs w:val="22"/>
          <w:lang w:eastAsia="en-US"/>
        </w:rPr>
      </w:pPr>
      <w:r w:rsidRPr="00B74758">
        <w:rPr>
          <w:b/>
          <w:sz w:val="22"/>
          <w:szCs w:val="22"/>
          <w:lang w:eastAsia="en-US"/>
        </w:rPr>
        <w:t>Research Design</w:t>
      </w:r>
    </w:p>
    <w:p w14:paraId="32374C2F" w14:textId="447D0C1F" w:rsidR="006E456C" w:rsidRPr="00C579F2" w:rsidRDefault="006E456C" w:rsidP="00B74758">
      <w:pPr>
        <w:pStyle w:val="NormalWeb"/>
        <w:jc w:val="both"/>
        <w:rPr>
          <w:sz w:val="22"/>
          <w:szCs w:val="22"/>
          <w:lang w:eastAsia="en-US"/>
        </w:rPr>
      </w:pPr>
      <w:r w:rsidRPr="00C579F2">
        <w:rPr>
          <w:sz w:val="22"/>
          <w:szCs w:val="22"/>
        </w:rPr>
        <w:t xml:space="preserve">The study employed a </w:t>
      </w:r>
      <w:r w:rsidR="00EB0E4F" w:rsidRPr="00C579F2">
        <w:rPr>
          <w:sz w:val="22"/>
          <w:szCs w:val="22"/>
        </w:rPr>
        <w:t>mixed-methods design, incorporating both qualitative and quantitative methods to examine how slum development influences land rights and tenure security, as well as</w:t>
      </w:r>
      <w:r w:rsidRPr="00C579F2">
        <w:rPr>
          <w:sz w:val="22"/>
          <w:szCs w:val="22"/>
        </w:rPr>
        <w:t xml:space="preserve"> the consequences this has on urban land development. According to Creswell and Clark (2011), mixed-method design is a procedure for collecting, analyzing, and “mixing” both quantitative and qualitative methods in a single study or a series of studies to understand a research problem. This approach was guided by the desire to gather both empirical information and in-depth, contextual stories from various actors in the communities. The design </w:t>
      </w:r>
      <w:r w:rsidR="00EB0E4F" w:rsidRPr="00C579F2">
        <w:rPr>
          <w:sz w:val="22"/>
          <w:szCs w:val="22"/>
        </w:rPr>
        <w:t>enabled triangulation of results, thereby increasing the study's validity by</w:t>
      </w:r>
      <w:r w:rsidRPr="00C579F2">
        <w:rPr>
          <w:sz w:val="22"/>
          <w:szCs w:val="22"/>
        </w:rPr>
        <w:t xml:space="preserve"> leveraging multiple data sources and viewpoints.</w:t>
      </w:r>
      <w:r w:rsidR="00263B76" w:rsidRPr="00C579F2">
        <w:rPr>
          <w:sz w:val="22"/>
          <w:szCs w:val="22"/>
        </w:rPr>
        <w:t xml:space="preserve"> </w:t>
      </w:r>
      <w:r w:rsidRPr="00C579F2">
        <w:rPr>
          <w:sz w:val="22"/>
          <w:szCs w:val="22"/>
        </w:rPr>
        <w:t xml:space="preserve">Primary data were obtained through the use of structured questionnaires and semi-structured interviews. </w:t>
      </w:r>
      <w:r w:rsidR="002F43DB" w:rsidRPr="00C579F2">
        <w:rPr>
          <w:sz w:val="22"/>
          <w:szCs w:val="22"/>
          <w:lang w:eastAsia="en-US"/>
        </w:rPr>
        <w:t xml:space="preserve">A total of 99 questionnaires were administered to slum dwellers, traditional leaders, and planning officials from the Accra Metropolitan Assembly and the </w:t>
      </w:r>
      <w:proofErr w:type="spellStart"/>
      <w:r w:rsidR="002F43DB" w:rsidRPr="00C579F2">
        <w:rPr>
          <w:sz w:val="22"/>
          <w:szCs w:val="22"/>
          <w:lang w:eastAsia="en-US"/>
        </w:rPr>
        <w:t>Oforikrom</w:t>
      </w:r>
      <w:proofErr w:type="spellEnd"/>
      <w:r w:rsidR="002F43DB" w:rsidRPr="00C579F2">
        <w:rPr>
          <w:sz w:val="22"/>
          <w:szCs w:val="22"/>
          <w:lang w:eastAsia="en-US"/>
        </w:rPr>
        <w:t xml:space="preserve"> Municipal Assembly. This number was determined by the size and accessibility of the study communities, as well as resource and time constraints. It was also considered sufficient to capture the diversity of views across the four selected settlements while allowing for manageable data analysis. The questionnaire combined closed and open-ended questions to generate both quantitative trends and qualitative insights. </w:t>
      </w:r>
      <w:r w:rsidR="002F43DB" w:rsidRPr="00C579F2">
        <w:rPr>
          <w:sz w:val="22"/>
          <w:szCs w:val="22"/>
        </w:rPr>
        <w:t>In addition to the survey, 20 interviews were conducted with landowners, municipal planning officers, and opinion leaders</w:t>
      </w:r>
      <w:r w:rsidR="00B74758">
        <w:rPr>
          <w:sz w:val="22"/>
          <w:szCs w:val="22"/>
        </w:rPr>
        <w:t xml:space="preserve"> </w:t>
      </w:r>
      <w:r w:rsidR="00A86339">
        <w:rPr>
          <w:sz w:val="22"/>
          <w:szCs w:val="22"/>
        </w:rPr>
        <w:t xml:space="preserve">using a </w:t>
      </w:r>
      <w:r w:rsidR="00B74758">
        <w:rPr>
          <w:sz w:val="22"/>
          <w:szCs w:val="22"/>
        </w:rPr>
        <w:t>purposive sampling method</w:t>
      </w:r>
      <w:r w:rsidR="002F43DB" w:rsidRPr="00C579F2">
        <w:rPr>
          <w:sz w:val="22"/>
          <w:szCs w:val="22"/>
        </w:rPr>
        <w:t xml:space="preserve">. The smaller number of interviewees was deliberate, as the aim was to obtain detailed, in-depth narratives rather than broad generalizations. These respondents were purposively selected based on their roles in land administration and community governance, ensuring that the perspectives collected reflected both lived experiences and institutional viewpoints. Together, the survey and interview data provided complementary evidence on </w:t>
      </w:r>
      <w:r w:rsidR="00EB0E4F" w:rsidRPr="00C579F2">
        <w:rPr>
          <w:sz w:val="22"/>
          <w:szCs w:val="22"/>
        </w:rPr>
        <w:t>the evolution of slums, land acquisition practices, tenure security challenges, and the legal and institutional responses to the growth of informal settlements</w:t>
      </w:r>
      <w:r w:rsidRPr="00C579F2">
        <w:rPr>
          <w:sz w:val="22"/>
          <w:szCs w:val="22"/>
        </w:rPr>
        <w:t>.</w:t>
      </w:r>
    </w:p>
    <w:p w14:paraId="0E726618" w14:textId="7C3669F2" w:rsidR="006E456C" w:rsidRPr="00C579F2" w:rsidRDefault="006E456C" w:rsidP="00547E9C">
      <w:pPr>
        <w:spacing w:line="240" w:lineRule="auto"/>
        <w:jc w:val="both"/>
        <w:rPr>
          <w:rFonts w:ascii="Times New Roman" w:hAnsi="Times New Roman" w:cs="Times New Roman"/>
        </w:rPr>
      </w:pPr>
      <w:r w:rsidRPr="00C579F2">
        <w:rPr>
          <w:rFonts w:ascii="Times New Roman" w:hAnsi="Times New Roman" w:cs="Times New Roman"/>
        </w:rPr>
        <w:lastRenderedPageBreak/>
        <w:t xml:space="preserve">Sampling for the research was conducted based on a combination of purposive, convenience, and snowball sampling methods. Purposive sampling was employed in the selection of planning officials and traditional authorities who were directly engaged in land administration and community governance. Convenience and snowball sampling methods were </w:t>
      </w:r>
      <w:r w:rsidR="00342193" w:rsidRPr="00C579F2">
        <w:rPr>
          <w:rFonts w:ascii="Times New Roman" w:hAnsi="Times New Roman" w:cs="Times New Roman"/>
        </w:rPr>
        <w:t>used</w:t>
      </w:r>
      <w:r w:rsidR="00EB0E4F" w:rsidRPr="00C579F2">
        <w:rPr>
          <w:rFonts w:ascii="Times New Roman" w:hAnsi="Times New Roman" w:cs="Times New Roman"/>
        </w:rPr>
        <w:t xml:space="preserve"> in the case of slum residents, as accessibility and willingness to participate were paramount in these densely populated</w:t>
      </w:r>
      <w:r w:rsidRPr="00C579F2">
        <w:rPr>
          <w:rFonts w:ascii="Times New Roman" w:hAnsi="Times New Roman" w:cs="Times New Roman"/>
        </w:rPr>
        <w:t xml:space="preserve"> and informal settlements. These approaches ensured that data were gathered from respondents who possessed relevant knowledge and experience, and also reached hidden or difficult-to-reach individuals in the case of the slum localities. Secondary data were also used to supplement primary data. These comprised academic publications, population census reports, municipal development plans, and legal documents such as the Land Act, 2020 (Act 1036). These sources </w:t>
      </w:r>
      <w:r w:rsidR="00EB0E4F" w:rsidRPr="00C579F2">
        <w:rPr>
          <w:rFonts w:ascii="Times New Roman" w:hAnsi="Times New Roman" w:cs="Times New Roman"/>
        </w:rPr>
        <w:t>helped establish the legal and institutional context of land tenure systems and slum regulation in Ghana, as well as providing context for the findings from the field</w:t>
      </w:r>
      <w:r w:rsidRPr="00C579F2">
        <w:rPr>
          <w:rFonts w:ascii="Times New Roman" w:hAnsi="Times New Roman" w:cs="Times New Roman"/>
        </w:rPr>
        <w:t>.</w:t>
      </w:r>
    </w:p>
    <w:p w14:paraId="78E8C7F7" w14:textId="36606B28" w:rsidR="00596B34" w:rsidRPr="00C579F2" w:rsidRDefault="006E456C" w:rsidP="00547E9C">
      <w:pPr>
        <w:spacing w:line="240" w:lineRule="auto"/>
        <w:jc w:val="both"/>
        <w:rPr>
          <w:rFonts w:ascii="Times New Roman" w:hAnsi="Times New Roman" w:cs="Times New Roman"/>
        </w:rPr>
      </w:pPr>
      <w:r w:rsidRPr="00C579F2">
        <w:rPr>
          <w:rFonts w:ascii="Times New Roman" w:hAnsi="Times New Roman" w:cs="Times New Roman"/>
        </w:rPr>
        <w:t xml:space="preserve">Data from </w:t>
      </w:r>
      <w:r w:rsidR="00EB0E4F" w:rsidRPr="00C579F2">
        <w:rPr>
          <w:rFonts w:ascii="Times New Roman" w:hAnsi="Times New Roman" w:cs="Times New Roman"/>
        </w:rPr>
        <w:t>the questionnaires were coded and analyzed in Microsoft Excel to produce tables, frequencies, and charts that described respondents' profiles and the incidence of major issues, such as</w:t>
      </w:r>
      <w:r w:rsidRPr="00C579F2">
        <w:rPr>
          <w:rFonts w:ascii="Times New Roman" w:hAnsi="Times New Roman" w:cs="Times New Roman"/>
        </w:rPr>
        <w:t xml:space="preserve"> tenure insecurity and access to housing and services. Interview data were transcribed and analyzed thematically using MAXQDA. Transcripts were read several times and categorized according to recurring themes. The integration of both statistical summaries and thematic narratives enabled a holistic analysis of issues being examined. Ethical considerations were adhered to throughout the research undertaking. All respondents were notified of the study objective and participated voluntarily. No names or personal identifiers were noted in any of the outputs. </w:t>
      </w:r>
      <w:r w:rsidR="00EB0E4F" w:rsidRPr="00C579F2">
        <w:rPr>
          <w:rFonts w:ascii="Times New Roman" w:hAnsi="Times New Roman" w:cs="Times New Roman"/>
        </w:rPr>
        <w:t>The data gathered was treated confidentially and used solely for academic purposes</w:t>
      </w:r>
      <w:r w:rsidRPr="00C579F2">
        <w:rPr>
          <w:rFonts w:ascii="Times New Roman" w:hAnsi="Times New Roman" w:cs="Times New Roman"/>
        </w:rPr>
        <w:t xml:space="preserve">. Where necessary, permission was </w:t>
      </w:r>
      <w:r w:rsidR="00EB0E4F" w:rsidRPr="00C579F2">
        <w:rPr>
          <w:rFonts w:ascii="Times New Roman" w:hAnsi="Times New Roman" w:cs="Times New Roman"/>
        </w:rPr>
        <w:t>obtained from local authorities before administering instruments, particularly in locations deemed</w:t>
      </w:r>
      <w:r w:rsidRPr="00C579F2">
        <w:rPr>
          <w:rFonts w:ascii="Times New Roman" w:hAnsi="Times New Roman" w:cs="Times New Roman"/>
        </w:rPr>
        <w:t xml:space="preserve"> politically or socially sensitive.</w:t>
      </w:r>
    </w:p>
    <w:p w14:paraId="75A814BA" w14:textId="7A7529C5" w:rsidR="000C7320" w:rsidRPr="00C579F2" w:rsidRDefault="007558AF" w:rsidP="00547E9C">
      <w:pPr>
        <w:jc w:val="both"/>
        <w:rPr>
          <w:rFonts w:ascii="Times New Roman" w:hAnsi="Times New Roman" w:cs="Times New Roman"/>
          <w:b/>
          <w:bCs/>
        </w:rPr>
      </w:pPr>
      <w:r w:rsidRPr="00C579F2">
        <w:rPr>
          <w:rFonts w:ascii="Times New Roman" w:hAnsi="Times New Roman" w:cs="Times New Roman"/>
          <w:b/>
          <w:bCs/>
        </w:rPr>
        <w:t>4. RESULTS AND DISCUSSION</w:t>
      </w:r>
    </w:p>
    <w:p w14:paraId="57F1FB48" w14:textId="10F5C1A8" w:rsidR="000C7320" w:rsidRPr="00C579F2" w:rsidRDefault="00D65473" w:rsidP="00547E9C">
      <w:pPr>
        <w:jc w:val="both"/>
        <w:rPr>
          <w:rFonts w:ascii="Times New Roman" w:hAnsi="Times New Roman" w:cs="Times New Roman"/>
          <w:b/>
          <w:bCs/>
        </w:rPr>
      </w:pPr>
      <w:r w:rsidRPr="00C579F2">
        <w:rPr>
          <w:rFonts w:ascii="Times New Roman" w:hAnsi="Times New Roman" w:cs="Times New Roman"/>
          <w:b/>
          <w:bCs/>
        </w:rPr>
        <w:t xml:space="preserve">4.1 </w:t>
      </w:r>
      <w:r w:rsidR="001C7635" w:rsidRPr="00C579F2">
        <w:rPr>
          <w:rFonts w:ascii="Times New Roman" w:hAnsi="Times New Roman" w:cs="Times New Roman"/>
          <w:b/>
          <w:bCs/>
        </w:rPr>
        <w:t xml:space="preserve">Selected </w:t>
      </w:r>
      <w:r w:rsidR="000C7320" w:rsidRPr="00C579F2">
        <w:rPr>
          <w:rFonts w:ascii="Times New Roman" w:hAnsi="Times New Roman" w:cs="Times New Roman"/>
          <w:b/>
          <w:bCs/>
        </w:rPr>
        <w:t xml:space="preserve">Demographic </w:t>
      </w:r>
      <w:r w:rsidR="001C7635" w:rsidRPr="00C579F2">
        <w:rPr>
          <w:rFonts w:ascii="Times New Roman" w:hAnsi="Times New Roman" w:cs="Times New Roman"/>
          <w:b/>
          <w:bCs/>
        </w:rPr>
        <w:t>F</w:t>
      </w:r>
      <w:r w:rsidR="000C7320" w:rsidRPr="00C579F2">
        <w:rPr>
          <w:rFonts w:ascii="Times New Roman" w:hAnsi="Times New Roman" w:cs="Times New Roman"/>
          <w:b/>
          <w:bCs/>
        </w:rPr>
        <w:t>eatures of Respondents</w:t>
      </w:r>
      <w:bookmarkEnd w:id="0"/>
    </w:p>
    <w:p w14:paraId="7941DFE1" w14:textId="76358351" w:rsidR="000C7320" w:rsidRPr="00C579F2" w:rsidRDefault="00445C8D" w:rsidP="00547E9C">
      <w:pPr>
        <w:jc w:val="both"/>
        <w:rPr>
          <w:rFonts w:ascii="Times New Roman" w:hAnsi="Times New Roman" w:cs="Times New Roman"/>
        </w:rPr>
      </w:pPr>
      <w:bookmarkStart w:id="2" w:name="_Toc176327307"/>
      <w:r w:rsidRPr="00C579F2">
        <w:rPr>
          <w:rStyle w:val="Heading3Char"/>
          <w:rFonts w:ascii="Times New Roman" w:hAnsi="Times New Roman" w:cs="Times New Roman"/>
          <w:b/>
          <w:bCs/>
          <w:color w:val="000000" w:themeColor="text1"/>
          <w:sz w:val="22"/>
          <w:szCs w:val="22"/>
        </w:rPr>
        <w:t xml:space="preserve">4.1.1 </w:t>
      </w:r>
      <w:r w:rsidR="000C7320" w:rsidRPr="00C579F2">
        <w:rPr>
          <w:rStyle w:val="Heading3Char"/>
          <w:rFonts w:ascii="Times New Roman" w:hAnsi="Times New Roman" w:cs="Times New Roman"/>
          <w:b/>
          <w:bCs/>
          <w:color w:val="000000" w:themeColor="text1"/>
          <w:sz w:val="22"/>
          <w:szCs w:val="22"/>
        </w:rPr>
        <w:t>Gender and Age of Respondents</w:t>
      </w:r>
      <w:bookmarkEnd w:id="2"/>
    </w:p>
    <w:p w14:paraId="3D36BD98" w14:textId="6CFB42DD" w:rsidR="00C82EF4" w:rsidRPr="00490555" w:rsidRDefault="00490555" w:rsidP="00C82EF4">
      <w:pPr>
        <w:spacing w:line="240" w:lineRule="auto"/>
        <w:jc w:val="both"/>
        <w:rPr>
          <w:rFonts w:ascii="Times New Roman" w:hAnsi="Times New Roman" w:cs="Times New Roman"/>
        </w:rPr>
      </w:pPr>
      <w:r>
        <w:rPr>
          <w:rFonts w:ascii="Times New Roman" w:hAnsi="Times New Roman" w:cs="Times New Roman"/>
        </w:rPr>
        <w:t>As indicated in Table 1, t</w:t>
      </w:r>
      <w:r w:rsidRPr="00490555">
        <w:rPr>
          <w:rFonts w:ascii="Times New Roman" w:hAnsi="Times New Roman" w:cs="Times New Roman"/>
        </w:rPr>
        <w:t>he data show a predominance of older respondents (77% were over 35 years), suggesting that long-term residents and those more engaged in land matters were more likely to participate. This age skew highlights how tenure and land negotiations are shaped by individuals with longstanding settlement ties. Gender distribution shows a slight male majority (57%), reflecting men’s stronger involvement in land transactions, though women also play crucial roles in household-level land use.</w:t>
      </w:r>
    </w:p>
    <w:p w14:paraId="21D99F6F" w14:textId="307CC24C"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 xml:space="preserve">Table 1: Gender and Age of </w:t>
      </w:r>
      <w:r w:rsidR="001C7635" w:rsidRPr="00C579F2">
        <w:rPr>
          <w:rFonts w:ascii="Times New Roman" w:hAnsi="Times New Roman" w:cs="Times New Roman"/>
          <w:b/>
          <w:bCs/>
        </w:rPr>
        <w:t>R</w:t>
      </w:r>
      <w:r w:rsidRPr="00C579F2">
        <w:rPr>
          <w:rFonts w:ascii="Times New Roman" w:hAnsi="Times New Roman" w:cs="Times New Roman"/>
          <w:b/>
          <w:bCs/>
        </w:rPr>
        <w:t>espondents</w:t>
      </w:r>
    </w:p>
    <w:tbl>
      <w:tblPr>
        <w:tblStyle w:val="PlainTable2"/>
        <w:tblW w:w="5000" w:type="pct"/>
        <w:tblLook w:val="0620" w:firstRow="1" w:lastRow="0" w:firstColumn="0" w:lastColumn="0" w:noHBand="1" w:noVBand="1"/>
      </w:tblPr>
      <w:tblGrid>
        <w:gridCol w:w="3774"/>
        <w:gridCol w:w="2793"/>
        <w:gridCol w:w="2793"/>
      </w:tblGrid>
      <w:tr w:rsidR="000C7320" w:rsidRPr="00C579F2" w14:paraId="13A9ECA9" w14:textId="77777777" w:rsidTr="00CD5230">
        <w:trPr>
          <w:cnfStyle w:val="100000000000" w:firstRow="1" w:lastRow="0" w:firstColumn="0" w:lastColumn="0" w:oddVBand="0" w:evenVBand="0" w:oddHBand="0" w:evenHBand="0" w:firstRowFirstColumn="0" w:firstRowLastColumn="0" w:lastRowFirstColumn="0" w:lastRowLastColumn="0"/>
        </w:trPr>
        <w:tc>
          <w:tcPr>
            <w:tcW w:w="2016" w:type="pct"/>
            <w:tcBorders>
              <w:top w:val="single" w:sz="18" w:space="0" w:color="000000" w:themeColor="text1"/>
              <w:bottom w:val="nil"/>
            </w:tcBorders>
          </w:tcPr>
          <w:p w14:paraId="34C6354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 xml:space="preserve">Demographics </w:t>
            </w:r>
          </w:p>
        </w:tc>
        <w:tc>
          <w:tcPr>
            <w:tcW w:w="1492" w:type="pct"/>
            <w:tcBorders>
              <w:top w:val="single" w:sz="18" w:space="0" w:color="000000" w:themeColor="text1"/>
              <w:bottom w:val="nil"/>
            </w:tcBorders>
          </w:tcPr>
          <w:p w14:paraId="32F69100"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492" w:type="pct"/>
            <w:tcBorders>
              <w:top w:val="single" w:sz="18" w:space="0" w:color="000000" w:themeColor="text1"/>
              <w:bottom w:val="nil"/>
            </w:tcBorders>
          </w:tcPr>
          <w:p w14:paraId="38258D49"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76A1E7BD" w14:textId="77777777" w:rsidTr="001C7635">
        <w:tc>
          <w:tcPr>
            <w:tcW w:w="2016" w:type="pct"/>
            <w:tcBorders>
              <w:top w:val="nil"/>
              <w:bottom w:val="single" w:sz="18" w:space="0" w:color="000000" w:themeColor="text1"/>
            </w:tcBorders>
          </w:tcPr>
          <w:p w14:paraId="78E8B947"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1318C73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8A03F1C"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36E7743F" w14:textId="77777777" w:rsidTr="001C7635">
        <w:trPr>
          <w:trHeight w:val="276"/>
        </w:trPr>
        <w:tc>
          <w:tcPr>
            <w:tcW w:w="2016" w:type="pct"/>
            <w:tcBorders>
              <w:top w:val="single" w:sz="18" w:space="0" w:color="000000" w:themeColor="text1"/>
              <w:bottom w:val="single" w:sz="4" w:space="0" w:color="auto"/>
            </w:tcBorders>
            <w:noWrap/>
            <w:hideMark/>
          </w:tcPr>
          <w:p w14:paraId="3C44444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Gender</w:t>
            </w:r>
          </w:p>
        </w:tc>
        <w:tc>
          <w:tcPr>
            <w:tcW w:w="1492" w:type="pct"/>
            <w:tcBorders>
              <w:top w:val="single" w:sz="18" w:space="0" w:color="000000" w:themeColor="text1"/>
              <w:bottom w:val="single" w:sz="4" w:space="0" w:color="auto"/>
            </w:tcBorders>
            <w:noWrap/>
            <w:hideMark/>
          </w:tcPr>
          <w:p w14:paraId="21FD4DE9" w14:textId="2F62758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18" w:space="0" w:color="000000" w:themeColor="text1"/>
              <w:bottom w:val="single" w:sz="4" w:space="0" w:color="auto"/>
            </w:tcBorders>
            <w:noWrap/>
            <w:hideMark/>
          </w:tcPr>
          <w:p w14:paraId="0DA2BADD" w14:textId="6F42C22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C579F2" w14:paraId="60794B13" w14:textId="77777777" w:rsidTr="001C7635">
        <w:trPr>
          <w:trHeight w:val="276"/>
        </w:trPr>
        <w:tc>
          <w:tcPr>
            <w:tcW w:w="2016" w:type="pct"/>
            <w:tcBorders>
              <w:top w:val="single" w:sz="4" w:space="0" w:color="auto"/>
              <w:bottom w:val="nil"/>
            </w:tcBorders>
            <w:noWrap/>
            <w:hideMark/>
          </w:tcPr>
          <w:p w14:paraId="6863650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Female</w:t>
            </w:r>
          </w:p>
        </w:tc>
        <w:tc>
          <w:tcPr>
            <w:tcW w:w="1492" w:type="pct"/>
            <w:tcBorders>
              <w:top w:val="single" w:sz="4" w:space="0" w:color="auto"/>
              <w:bottom w:val="nil"/>
            </w:tcBorders>
            <w:noWrap/>
            <w:hideMark/>
          </w:tcPr>
          <w:p w14:paraId="4828D7ED" w14:textId="5FD8BCC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r w:rsidR="00405C77" w:rsidRPr="00C579F2">
              <w:rPr>
                <w:rFonts w:ascii="Times New Roman" w:eastAsia="Times New Roman" w:hAnsi="Times New Roman" w:cs="Times New Roman"/>
                <w:color w:val="000000"/>
                <w:kern w:val="0"/>
                <w14:ligatures w14:val="none"/>
              </w:rPr>
              <w:t>3</w:t>
            </w:r>
          </w:p>
        </w:tc>
        <w:tc>
          <w:tcPr>
            <w:tcW w:w="1492" w:type="pct"/>
            <w:tcBorders>
              <w:top w:val="single" w:sz="4" w:space="0" w:color="auto"/>
              <w:bottom w:val="nil"/>
            </w:tcBorders>
            <w:noWrap/>
            <w:hideMark/>
          </w:tcPr>
          <w:p w14:paraId="61F07304" w14:textId="780E76F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43</w:t>
            </w:r>
          </w:p>
        </w:tc>
      </w:tr>
      <w:tr w:rsidR="000C7320" w:rsidRPr="00C579F2" w14:paraId="6D5D8595" w14:textId="77777777" w:rsidTr="001C7635">
        <w:trPr>
          <w:trHeight w:val="276"/>
        </w:trPr>
        <w:tc>
          <w:tcPr>
            <w:tcW w:w="2016" w:type="pct"/>
            <w:tcBorders>
              <w:top w:val="nil"/>
              <w:bottom w:val="single" w:sz="4" w:space="0" w:color="auto"/>
            </w:tcBorders>
            <w:noWrap/>
            <w:hideMark/>
          </w:tcPr>
          <w:p w14:paraId="284203F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Male</w:t>
            </w:r>
          </w:p>
        </w:tc>
        <w:tc>
          <w:tcPr>
            <w:tcW w:w="1492" w:type="pct"/>
            <w:tcBorders>
              <w:top w:val="nil"/>
              <w:bottom w:val="single" w:sz="4" w:space="0" w:color="auto"/>
            </w:tcBorders>
            <w:noWrap/>
            <w:hideMark/>
          </w:tcPr>
          <w:p w14:paraId="079E5846" w14:textId="0D457FBB"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56</w:t>
            </w:r>
          </w:p>
        </w:tc>
        <w:tc>
          <w:tcPr>
            <w:tcW w:w="1492" w:type="pct"/>
            <w:tcBorders>
              <w:top w:val="nil"/>
              <w:bottom w:val="single" w:sz="4" w:space="0" w:color="auto"/>
            </w:tcBorders>
            <w:noWrap/>
            <w:hideMark/>
          </w:tcPr>
          <w:p w14:paraId="60AD247C" w14:textId="3629AE3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57</w:t>
            </w:r>
          </w:p>
        </w:tc>
      </w:tr>
      <w:tr w:rsidR="001C7635" w:rsidRPr="00C579F2" w14:paraId="679E75E6" w14:textId="77777777" w:rsidTr="001C7635">
        <w:trPr>
          <w:trHeight w:val="276"/>
        </w:trPr>
        <w:tc>
          <w:tcPr>
            <w:tcW w:w="2016" w:type="pct"/>
            <w:tcBorders>
              <w:top w:val="nil"/>
              <w:bottom w:val="single" w:sz="4" w:space="0" w:color="auto"/>
            </w:tcBorders>
            <w:noWrap/>
          </w:tcPr>
          <w:p w14:paraId="5989015E" w14:textId="1B6BCC14" w:rsidR="001C7635" w:rsidRPr="00C579F2"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2" w:type="pct"/>
            <w:tcBorders>
              <w:top w:val="nil"/>
              <w:bottom w:val="single" w:sz="4" w:space="0" w:color="auto"/>
            </w:tcBorders>
            <w:noWrap/>
          </w:tcPr>
          <w:p w14:paraId="78066363" w14:textId="1B3B3673" w:rsidR="001C7635"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nil"/>
              <w:bottom w:val="single" w:sz="4" w:space="0" w:color="auto"/>
            </w:tcBorders>
            <w:noWrap/>
          </w:tcPr>
          <w:p w14:paraId="281FD0EA" w14:textId="5AEC4BED" w:rsidR="001C7635" w:rsidRPr="00C579F2" w:rsidRDefault="001C7635"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r w:rsidR="00FB3E11" w:rsidRPr="00C579F2">
              <w:rPr>
                <w:rFonts w:ascii="Times New Roman" w:eastAsia="Times New Roman" w:hAnsi="Times New Roman" w:cs="Times New Roman"/>
                <w:b/>
                <w:bCs/>
                <w:color w:val="000000"/>
                <w:kern w:val="0"/>
                <w14:ligatures w14:val="none"/>
              </w:rPr>
              <w:t>%</w:t>
            </w:r>
          </w:p>
        </w:tc>
      </w:tr>
      <w:tr w:rsidR="000C7320" w:rsidRPr="00C579F2" w14:paraId="6A609C16" w14:textId="77777777" w:rsidTr="001C7635">
        <w:trPr>
          <w:trHeight w:val="276"/>
        </w:trPr>
        <w:tc>
          <w:tcPr>
            <w:tcW w:w="2016" w:type="pct"/>
            <w:tcBorders>
              <w:top w:val="single" w:sz="4" w:space="0" w:color="auto"/>
              <w:bottom w:val="nil"/>
            </w:tcBorders>
            <w:noWrap/>
            <w:hideMark/>
          </w:tcPr>
          <w:p w14:paraId="37DA8B7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single" w:sz="4" w:space="0" w:color="auto"/>
              <w:bottom w:val="nil"/>
            </w:tcBorders>
            <w:noWrap/>
            <w:hideMark/>
          </w:tcPr>
          <w:p w14:paraId="5625CC5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c>
          <w:tcPr>
            <w:tcW w:w="1492" w:type="pct"/>
            <w:tcBorders>
              <w:top w:val="single" w:sz="4" w:space="0" w:color="auto"/>
              <w:bottom w:val="nil"/>
            </w:tcBorders>
            <w:noWrap/>
            <w:hideMark/>
          </w:tcPr>
          <w:p w14:paraId="031C291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C579F2" w14:paraId="3BDF6AA7" w14:textId="77777777" w:rsidTr="00441632">
        <w:trPr>
          <w:trHeight w:val="75"/>
        </w:trPr>
        <w:tc>
          <w:tcPr>
            <w:tcW w:w="2016" w:type="pct"/>
            <w:tcBorders>
              <w:top w:val="nil"/>
              <w:bottom w:val="single" w:sz="4" w:space="0" w:color="auto"/>
            </w:tcBorders>
            <w:noWrap/>
            <w:hideMark/>
          </w:tcPr>
          <w:p w14:paraId="1750DE3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Age</w:t>
            </w:r>
          </w:p>
        </w:tc>
        <w:tc>
          <w:tcPr>
            <w:tcW w:w="1492" w:type="pct"/>
            <w:tcBorders>
              <w:top w:val="nil"/>
              <w:bottom w:val="single" w:sz="4" w:space="0" w:color="auto"/>
            </w:tcBorders>
            <w:noWrap/>
            <w:hideMark/>
          </w:tcPr>
          <w:p w14:paraId="14690BB8" w14:textId="0947A391"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1CF3465F" w14:textId="1C5AB50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p>
        </w:tc>
      </w:tr>
      <w:tr w:rsidR="000C7320" w:rsidRPr="00C579F2" w14:paraId="36CF029C" w14:textId="77777777" w:rsidTr="001C7635">
        <w:trPr>
          <w:trHeight w:val="276"/>
        </w:trPr>
        <w:tc>
          <w:tcPr>
            <w:tcW w:w="2016" w:type="pct"/>
            <w:tcBorders>
              <w:top w:val="single" w:sz="4" w:space="0" w:color="auto"/>
            </w:tcBorders>
            <w:noWrap/>
            <w:hideMark/>
          </w:tcPr>
          <w:p w14:paraId="050B4EB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18-24 years</w:t>
            </w:r>
          </w:p>
        </w:tc>
        <w:tc>
          <w:tcPr>
            <w:tcW w:w="1492" w:type="pct"/>
            <w:tcBorders>
              <w:top w:val="single" w:sz="4" w:space="0" w:color="auto"/>
            </w:tcBorders>
            <w:noWrap/>
            <w:hideMark/>
          </w:tcPr>
          <w:p w14:paraId="1DD8090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w:t>
            </w:r>
          </w:p>
        </w:tc>
        <w:tc>
          <w:tcPr>
            <w:tcW w:w="1492" w:type="pct"/>
            <w:tcBorders>
              <w:top w:val="single" w:sz="4" w:space="0" w:color="auto"/>
            </w:tcBorders>
            <w:noWrap/>
            <w:hideMark/>
          </w:tcPr>
          <w:p w14:paraId="03DFABD0" w14:textId="5DF7820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w:t>
            </w:r>
          </w:p>
        </w:tc>
      </w:tr>
      <w:tr w:rsidR="000C7320" w:rsidRPr="00C579F2" w14:paraId="721B0C5E" w14:textId="77777777" w:rsidTr="00CD5230">
        <w:trPr>
          <w:trHeight w:val="276"/>
        </w:trPr>
        <w:tc>
          <w:tcPr>
            <w:tcW w:w="2016" w:type="pct"/>
            <w:noWrap/>
            <w:hideMark/>
          </w:tcPr>
          <w:p w14:paraId="3EA3EF6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25-34</w:t>
            </w:r>
          </w:p>
        </w:tc>
        <w:tc>
          <w:tcPr>
            <w:tcW w:w="1492" w:type="pct"/>
            <w:noWrap/>
            <w:hideMark/>
          </w:tcPr>
          <w:p w14:paraId="3224A00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c>
          <w:tcPr>
            <w:tcW w:w="1492" w:type="pct"/>
            <w:noWrap/>
            <w:hideMark/>
          </w:tcPr>
          <w:p w14:paraId="421D1E2A" w14:textId="7B452B2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r>
      <w:tr w:rsidR="000C7320" w:rsidRPr="00C579F2" w14:paraId="5074246C" w14:textId="77777777" w:rsidTr="00CD5230">
        <w:trPr>
          <w:trHeight w:val="276"/>
        </w:trPr>
        <w:tc>
          <w:tcPr>
            <w:tcW w:w="2016" w:type="pct"/>
            <w:noWrap/>
            <w:hideMark/>
          </w:tcPr>
          <w:p w14:paraId="12B66D8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35-44 years</w:t>
            </w:r>
          </w:p>
        </w:tc>
        <w:tc>
          <w:tcPr>
            <w:tcW w:w="1492" w:type="pct"/>
            <w:noWrap/>
            <w:hideMark/>
          </w:tcPr>
          <w:p w14:paraId="7B95C0B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23</w:t>
            </w:r>
          </w:p>
        </w:tc>
        <w:tc>
          <w:tcPr>
            <w:tcW w:w="1492" w:type="pct"/>
            <w:noWrap/>
            <w:hideMark/>
          </w:tcPr>
          <w:p w14:paraId="3B0F2E68" w14:textId="279454E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23</w:t>
            </w:r>
          </w:p>
        </w:tc>
      </w:tr>
      <w:tr w:rsidR="000C7320" w:rsidRPr="00C579F2" w14:paraId="0B9C889B" w14:textId="77777777" w:rsidTr="00CD5230">
        <w:trPr>
          <w:trHeight w:val="276"/>
        </w:trPr>
        <w:tc>
          <w:tcPr>
            <w:tcW w:w="2016" w:type="pct"/>
            <w:noWrap/>
            <w:hideMark/>
          </w:tcPr>
          <w:p w14:paraId="12A6188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45-54 years</w:t>
            </w:r>
          </w:p>
        </w:tc>
        <w:tc>
          <w:tcPr>
            <w:tcW w:w="1492" w:type="pct"/>
            <w:noWrap/>
            <w:hideMark/>
          </w:tcPr>
          <w:p w14:paraId="0906DB7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26</w:t>
            </w:r>
          </w:p>
        </w:tc>
        <w:tc>
          <w:tcPr>
            <w:tcW w:w="1492" w:type="pct"/>
            <w:noWrap/>
            <w:hideMark/>
          </w:tcPr>
          <w:p w14:paraId="671E2C76" w14:textId="0088DEB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26</w:t>
            </w:r>
          </w:p>
        </w:tc>
      </w:tr>
      <w:tr w:rsidR="000C7320" w:rsidRPr="00C579F2" w14:paraId="564D38A7" w14:textId="77777777" w:rsidTr="00892609">
        <w:trPr>
          <w:trHeight w:val="276"/>
        </w:trPr>
        <w:tc>
          <w:tcPr>
            <w:tcW w:w="2016" w:type="pct"/>
            <w:tcBorders>
              <w:bottom w:val="single" w:sz="4" w:space="0" w:color="auto"/>
            </w:tcBorders>
            <w:noWrap/>
            <w:hideMark/>
          </w:tcPr>
          <w:p w14:paraId="0F315EB4" w14:textId="6929F40B" w:rsidR="000C7320" w:rsidRPr="00C579F2" w:rsidRDefault="000C7320" w:rsidP="00D4351B">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55 </w:t>
            </w:r>
            <w:r w:rsidR="00D4351B" w:rsidRPr="00C579F2">
              <w:rPr>
                <w:rFonts w:ascii="Times New Roman" w:eastAsia="Times New Roman" w:hAnsi="Times New Roman" w:cs="Times New Roman"/>
                <w:color w:val="000000"/>
                <w:kern w:val="0"/>
                <w14:ligatures w14:val="none"/>
              </w:rPr>
              <w:t>years and above</w:t>
            </w:r>
          </w:p>
        </w:tc>
        <w:tc>
          <w:tcPr>
            <w:tcW w:w="1492" w:type="pct"/>
            <w:tcBorders>
              <w:bottom w:val="single" w:sz="4" w:space="0" w:color="auto"/>
            </w:tcBorders>
            <w:noWrap/>
            <w:hideMark/>
          </w:tcPr>
          <w:p w14:paraId="740AE24C"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28</w:t>
            </w:r>
          </w:p>
        </w:tc>
        <w:tc>
          <w:tcPr>
            <w:tcW w:w="1492" w:type="pct"/>
            <w:tcBorders>
              <w:bottom w:val="single" w:sz="4" w:space="0" w:color="auto"/>
            </w:tcBorders>
            <w:noWrap/>
            <w:hideMark/>
          </w:tcPr>
          <w:p w14:paraId="609885AD" w14:textId="1DD57F1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28</w:t>
            </w:r>
          </w:p>
        </w:tc>
      </w:tr>
      <w:tr w:rsidR="000C7320" w:rsidRPr="00C579F2" w14:paraId="4C417F9D" w14:textId="77777777" w:rsidTr="00892609">
        <w:trPr>
          <w:trHeight w:val="276"/>
        </w:trPr>
        <w:tc>
          <w:tcPr>
            <w:tcW w:w="2016" w:type="pct"/>
            <w:tcBorders>
              <w:top w:val="single" w:sz="4" w:space="0" w:color="auto"/>
              <w:bottom w:val="single" w:sz="4" w:space="0" w:color="7F7F7F" w:themeColor="text1" w:themeTint="80"/>
            </w:tcBorders>
            <w:noWrap/>
            <w:hideMark/>
          </w:tcPr>
          <w:p w14:paraId="6B8353B4" w14:textId="42EDF119"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2" w:type="pct"/>
            <w:tcBorders>
              <w:top w:val="single" w:sz="4" w:space="0" w:color="auto"/>
              <w:bottom w:val="single" w:sz="4" w:space="0" w:color="7F7F7F" w:themeColor="text1" w:themeTint="80"/>
            </w:tcBorders>
            <w:noWrap/>
            <w:hideMark/>
          </w:tcPr>
          <w:p w14:paraId="282F15F4" w14:textId="6F528BB6"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C579F2">
              <w:rPr>
                <w:rFonts w:ascii="Times New Roman" w:eastAsia="Times New Roman" w:hAnsi="Times New Roman" w:cs="Times New Roman"/>
                <w:b/>
                <w:bCs/>
                <w:kern w:val="0"/>
                <w14:ligatures w14:val="none"/>
              </w:rPr>
              <w:t>99</w:t>
            </w:r>
          </w:p>
        </w:tc>
        <w:tc>
          <w:tcPr>
            <w:tcW w:w="1492" w:type="pct"/>
            <w:tcBorders>
              <w:top w:val="single" w:sz="4" w:space="0" w:color="auto"/>
              <w:bottom w:val="single" w:sz="4" w:space="0" w:color="7F7F7F" w:themeColor="text1" w:themeTint="80"/>
            </w:tcBorders>
            <w:noWrap/>
            <w:hideMark/>
          </w:tcPr>
          <w:p w14:paraId="316A0B55" w14:textId="2279FA1D" w:rsidR="000C7320" w:rsidRPr="00C579F2" w:rsidRDefault="00892609"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C579F2">
              <w:rPr>
                <w:rFonts w:ascii="Times New Roman" w:eastAsia="Times New Roman" w:hAnsi="Times New Roman" w:cs="Times New Roman"/>
                <w:b/>
                <w:bCs/>
                <w:kern w:val="0"/>
                <w14:ligatures w14:val="none"/>
              </w:rPr>
              <w:t>100</w:t>
            </w:r>
            <w:r w:rsidR="00FB3E11" w:rsidRPr="00C579F2">
              <w:rPr>
                <w:rFonts w:ascii="Times New Roman" w:eastAsia="Times New Roman" w:hAnsi="Times New Roman" w:cs="Times New Roman"/>
                <w:b/>
                <w:bCs/>
                <w:kern w:val="0"/>
                <w14:ligatures w14:val="none"/>
              </w:rPr>
              <w:t>%</w:t>
            </w:r>
          </w:p>
        </w:tc>
      </w:tr>
    </w:tbl>
    <w:p w14:paraId="4C7F3936" w14:textId="7D90EF08" w:rsidR="00445C8D" w:rsidRPr="00C579F2" w:rsidRDefault="000C7320" w:rsidP="007558AF">
      <w:pPr>
        <w:spacing w:line="240" w:lineRule="auto"/>
        <w:jc w:val="center"/>
        <w:rPr>
          <w:rFonts w:ascii="Times New Roman" w:hAnsi="Times New Roman" w:cs="Times New Roman"/>
        </w:rPr>
      </w:pPr>
      <w:r w:rsidRPr="00C579F2">
        <w:rPr>
          <w:rFonts w:ascii="Times New Roman" w:hAnsi="Times New Roman" w:cs="Times New Roman"/>
        </w:rPr>
        <w:lastRenderedPageBreak/>
        <w:t xml:space="preserve">Source: </w:t>
      </w:r>
      <w:r w:rsidR="001C7635" w:rsidRPr="00C579F2">
        <w:rPr>
          <w:rFonts w:ascii="Times New Roman" w:hAnsi="Times New Roman" w:cs="Times New Roman"/>
        </w:rPr>
        <w:t>Authors'</w:t>
      </w:r>
      <w:r w:rsidRPr="00C579F2">
        <w:rPr>
          <w:rFonts w:ascii="Times New Roman" w:hAnsi="Times New Roman" w:cs="Times New Roman"/>
        </w:rPr>
        <w:t xml:space="preserve"> Construct</w:t>
      </w:r>
    </w:p>
    <w:p w14:paraId="4A247C61" w14:textId="56D42282" w:rsidR="000C7320" w:rsidRPr="00C579F2" w:rsidRDefault="00445C8D" w:rsidP="00547E9C">
      <w:pPr>
        <w:jc w:val="both"/>
        <w:rPr>
          <w:rFonts w:ascii="Times New Roman" w:hAnsi="Times New Roman" w:cs="Times New Roman"/>
          <w:b/>
          <w:bCs/>
        </w:rPr>
      </w:pPr>
      <w:bookmarkStart w:id="3" w:name="_Toc176327308"/>
      <w:r w:rsidRPr="00C579F2">
        <w:rPr>
          <w:rFonts w:ascii="Times New Roman" w:hAnsi="Times New Roman" w:cs="Times New Roman"/>
          <w:b/>
          <w:bCs/>
        </w:rPr>
        <w:t xml:space="preserve">4.1.2 </w:t>
      </w:r>
      <w:r w:rsidR="000C7320" w:rsidRPr="00C579F2">
        <w:rPr>
          <w:rFonts w:ascii="Times New Roman" w:hAnsi="Times New Roman" w:cs="Times New Roman"/>
          <w:b/>
          <w:bCs/>
        </w:rPr>
        <w:t>Marital status and Household size of Respondents</w:t>
      </w:r>
      <w:bookmarkEnd w:id="3"/>
    </w:p>
    <w:p w14:paraId="61623217" w14:textId="23BEF0E2" w:rsidR="00E55EAB" w:rsidRPr="00490555" w:rsidRDefault="00490555" w:rsidP="00547E9C">
      <w:pPr>
        <w:spacing w:line="240" w:lineRule="auto"/>
        <w:jc w:val="both"/>
        <w:rPr>
          <w:rFonts w:ascii="Times New Roman" w:hAnsi="Times New Roman" w:cs="Times New Roman"/>
        </w:rPr>
      </w:pPr>
      <w:r w:rsidRPr="00490555">
        <w:rPr>
          <w:rFonts w:ascii="Times New Roman" w:hAnsi="Times New Roman" w:cs="Times New Roman"/>
        </w:rPr>
        <w:t>Most respondents were married (60%), indicating family-centered settlement dynamics</w:t>
      </w:r>
      <w:r>
        <w:rPr>
          <w:rFonts w:ascii="Times New Roman" w:hAnsi="Times New Roman" w:cs="Times New Roman"/>
        </w:rPr>
        <w:t xml:space="preserve"> as shown in Table 2</w:t>
      </w:r>
      <w:r w:rsidRPr="00490555">
        <w:rPr>
          <w:rFonts w:ascii="Times New Roman" w:hAnsi="Times New Roman" w:cs="Times New Roman"/>
        </w:rPr>
        <w:t>. Large households (often 10+ members) underscore overcrowding and pressure on land, linking directly to tenure insecurity and disputes</w:t>
      </w:r>
    </w:p>
    <w:p w14:paraId="2D3F96F3" w14:textId="7078B977"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Table 2: Marital status and Household size of Respondents</w:t>
      </w:r>
    </w:p>
    <w:tbl>
      <w:tblPr>
        <w:tblStyle w:val="PlainTable2"/>
        <w:tblW w:w="5000" w:type="pct"/>
        <w:tblLook w:val="0620" w:firstRow="1" w:lastRow="0" w:firstColumn="0" w:lastColumn="0" w:noHBand="1" w:noVBand="1"/>
      </w:tblPr>
      <w:tblGrid>
        <w:gridCol w:w="4130"/>
        <w:gridCol w:w="2615"/>
        <w:gridCol w:w="200"/>
        <w:gridCol w:w="2415"/>
      </w:tblGrid>
      <w:tr w:rsidR="000C7320" w:rsidRPr="00C579F2" w14:paraId="3CFB1F38" w14:textId="77777777" w:rsidTr="00CD5230">
        <w:trPr>
          <w:cnfStyle w:val="100000000000" w:firstRow="1" w:lastRow="0" w:firstColumn="0" w:lastColumn="0" w:oddVBand="0" w:evenVBand="0" w:oddHBand="0" w:evenHBand="0" w:firstRowFirstColumn="0" w:firstRowLastColumn="0" w:lastRowFirstColumn="0" w:lastRowLastColumn="0"/>
        </w:trPr>
        <w:tc>
          <w:tcPr>
            <w:tcW w:w="2206" w:type="pct"/>
            <w:tcBorders>
              <w:top w:val="single" w:sz="18" w:space="0" w:color="000000" w:themeColor="text1"/>
              <w:bottom w:val="nil"/>
            </w:tcBorders>
          </w:tcPr>
          <w:p w14:paraId="7B8EB9B9"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 xml:space="preserve">Demographics </w:t>
            </w:r>
          </w:p>
        </w:tc>
        <w:tc>
          <w:tcPr>
            <w:tcW w:w="1397" w:type="pct"/>
            <w:tcBorders>
              <w:top w:val="single" w:sz="18" w:space="0" w:color="000000" w:themeColor="text1"/>
              <w:bottom w:val="nil"/>
            </w:tcBorders>
          </w:tcPr>
          <w:p w14:paraId="2D77D90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397" w:type="pct"/>
            <w:gridSpan w:val="2"/>
            <w:tcBorders>
              <w:top w:val="single" w:sz="18" w:space="0" w:color="000000" w:themeColor="text1"/>
              <w:bottom w:val="nil"/>
            </w:tcBorders>
          </w:tcPr>
          <w:p w14:paraId="69CEC8D2"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217E3A5F" w14:textId="77777777" w:rsidTr="00405C77">
        <w:tc>
          <w:tcPr>
            <w:tcW w:w="2206" w:type="pct"/>
            <w:tcBorders>
              <w:top w:val="nil"/>
              <w:bottom w:val="single" w:sz="18" w:space="0" w:color="000000" w:themeColor="text1"/>
            </w:tcBorders>
          </w:tcPr>
          <w:p w14:paraId="08E975A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397" w:type="pct"/>
            <w:tcBorders>
              <w:top w:val="nil"/>
              <w:bottom w:val="single" w:sz="18" w:space="0" w:color="000000" w:themeColor="text1"/>
            </w:tcBorders>
          </w:tcPr>
          <w:p w14:paraId="7F530DA9"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397" w:type="pct"/>
            <w:gridSpan w:val="2"/>
            <w:tcBorders>
              <w:top w:val="nil"/>
              <w:bottom w:val="single" w:sz="18" w:space="0" w:color="000000" w:themeColor="text1"/>
            </w:tcBorders>
          </w:tcPr>
          <w:p w14:paraId="303FFA9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21A82F7A" w14:textId="77777777" w:rsidTr="00405C77">
        <w:trPr>
          <w:trHeight w:val="276"/>
        </w:trPr>
        <w:tc>
          <w:tcPr>
            <w:tcW w:w="2206" w:type="pct"/>
            <w:tcBorders>
              <w:top w:val="single" w:sz="18" w:space="0" w:color="000000" w:themeColor="text1"/>
              <w:bottom w:val="single" w:sz="4" w:space="0" w:color="auto"/>
            </w:tcBorders>
            <w:noWrap/>
            <w:hideMark/>
          </w:tcPr>
          <w:p w14:paraId="0292001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Marital status</w:t>
            </w:r>
          </w:p>
        </w:tc>
        <w:tc>
          <w:tcPr>
            <w:tcW w:w="1397" w:type="pct"/>
            <w:tcBorders>
              <w:top w:val="single" w:sz="18" w:space="0" w:color="000000" w:themeColor="text1"/>
              <w:bottom w:val="single" w:sz="4" w:space="0" w:color="auto"/>
            </w:tcBorders>
            <w:noWrap/>
          </w:tcPr>
          <w:p w14:paraId="361B3BD1" w14:textId="6C8462A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18" w:space="0" w:color="000000" w:themeColor="text1"/>
              <w:bottom w:val="single" w:sz="4" w:space="0" w:color="auto"/>
            </w:tcBorders>
            <w:noWrap/>
          </w:tcPr>
          <w:p w14:paraId="4DD28E41" w14:textId="2DCAC17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4061CD5D" w14:textId="77777777" w:rsidTr="00405C77">
        <w:trPr>
          <w:trHeight w:val="276"/>
        </w:trPr>
        <w:tc>
          <w:tcPr>
            <w:tcW w:w="2206" w:type="pct"/>
            <w:tcBorders>
              <w:top w:val="single" w:sz="4" w:space="0" w:color="auto"/>
            </w:tcBorders>
            <w:noWrap/>
            <w:hideMark/>
          </w:tcPr>
          <w:p w14:paraId="4C32295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Divorced</w:t>
            </w:r>
          </w:p>
        </w:tc>
        <w:tc>
          <w:tcPr>
            <w:tcW w:w="1397" w:type="pct"/>
            <w:tcBorders>
              <w:top w:val="single" w:sz="4" w:space="0" w:color="auto"/>
            </w:tcBorders>
            <w:noWrap/>
            <w:hideMark/>
          </w:tcPr>
          <w:p w14:paraId="3B680C0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 4</w:t>
            </w:r>
          </w:p>
        </w:tc>
        <w:tc>
          <w:tcPr>
            <w:tcW w:w="1397" w:type="pct"/>
            <w:gridSpan w:val="2"/>
            <w:tcBorders>
              <w:top w:val="single" w:sz="4" w:space="0" w:color="auto"/>
            </w:tcBorders>
            <w:noWrap/>
            <w:hideMark/>
          </w:tcPr>
          <w:p w14:paraId="21A13458" w14:textId="0E31452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p>
        </w:tc>
      </w:tr>
      <w:tr w:rsidR="000C7320" w:rsidRPr="00C579F2" w14:paraId="6A498DEB" w14:textId="77777777" w:rsidTr="00CD5230">
        <w:trPr>
          <w:trHeight w:val="276"/>
        </w:trPr>
        <w:tc>
          <w:tcPr>
            <w:tcW w:w="2206" w:type="pct"/>
            <w:noWrap/>
            <w:hideMark/>
          </w:tcPr>
          <w:p w14:paraId="031047E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Married</w:t>
            </w:r>
          </w:p>
        </w:tc>
        <w:tc>
          <w:tcPr>
            <w:tcW w:w="1397" w:type="pct"/>
            <w:noWrap/>
            <w:hideMark/>
          </w:tcPr>
          <w:p w14:paraId="22A1FCB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59</w:t>
            </w:r>
          </w:p>
        </w:tc>
        <w:tc>
          <w:tcPr>
            <w:tcW w:w="1397" w:type="pct"/>
            <w:gridSpan w:val="2"/>
            <w:noWrap/>
            <w:hideMark/>
          </w:tcPr>
          <w:p w14:paraId="3B69F0D9" w14:textId="13370EC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60</w:t>
            </w:r>
          </w:p>
        </w:tc>
      </w:tr>
      <w:tr w:rsidR="000C7320" w:rsidRPr="00C579F2" w14:paraId="0800936F" w14:textId="77777777" w:rsidTr="00405C77">
        <w:trPr>
          <w:trHeight w:val="276"/>
        </w:trPr>
        <w:tc>
          <w:tcPr>
            <w:tcW w:w="2206" w:type="pct"/>
            <w:tcBorders>
              <w:bottom w:val="nil"/>
            </w:tcBorders>
            <w:noWrap/>
            <w:hideMark/>
          </w:tcPr>
          <w:p w14:paraId="22D66F74" w14:textId="77777777" w:rsidR="000C7320" w:rsidRPr="00C579F2" w:rsidRDefault="000C7320" w:rsidP="00547E9C">
            <w:pPr>
              <w:tabs>
                <w:tab w:val="right" w:pos="3558"/>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Single</w:t>
            </w:r>
            <w:r w:rsidRPr="00C579F2">
              <w:rPr>
                <w:rFonts w:ascii="Times New Roman" w:eastAsia="Times New Roman" w:hAnsi="Times New Roman" w:cs="Times New Roman"/>
                <w:color w:val="000000"/>
                <w:kern w:val="0"/>
                <w14:ligatures w14:val="none"/>
              </w:rPr>
              <w:tab/>
            </w:r>
          </w:p>
        </w:tc>
        <w:tc>
          <w:tcPr>
            <w:tcW w:w="1397" w:type="pct"/>
            <w:tcBorders>
              <w:bottom w:val="nil"/>
            </w:tcBorders>
            <w:noWrap/>
            <w:hideMark/>
          </w:tcPr>
          <w:p w14:paraId="177E6B0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23</w:t>
            </w:r>
          </w:p>
        </w:tc>
        <w:tc>
          <w:tcPr>
            <w:tcW w:w="1397" w:type="pct"/>
            <w:gridSpan w:val="2"/>
            <w:tcBorders>
              <w:bottom w:val="nil"/>
            </w:tcBorders>
            <w:noWrap/>
            <w:hideMark/>
          </w:tcPr>
          <w:p w14:paraId="67DC42EE" w14:textId="423E12A6"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23</w:t>
            </w:r>
          </w:p>
        </w:tc>
      </w:tr>
      <w:tr w:rsidR="000C7320" w:rsidRPr="00C579F2" w14:paraId="50D9A49E" w14:textId="77777777" w:rsidTr="00405C77">
        <w:trPr>
          <w:trHeight w:val="276"/>
        </w:trPr>
        <w:tc>
          <w:tcPr>
            <w:tcW w:w="2206" w:type="pct"/>
            <w:tcBorders>
              <w:top w:val="nil"/>
              <w:bottom w:val="single" w:sz="4" w:space="0" w:color="auto"/>
            </w:tcBorders>
            <w:noWrap/>
            <w:hideMark/>
          </w:tcPr>
          <w:p w14:paraId="1924BD2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Widowed</w:t>
            </w:r>
          </w:p>
        </w:tc>
        <w:tc>
          <w:tcPr>
            <w:tcW w:w="1397" w:type="pct"/>
            <w:tcBorders>
              <w:top w:val="nil"/>
              <w:bottom w:val="single" w:sz="4" w:space="0" w:color="auto"/>
            </w:tcBorders>
            <w:noWrap/>
            <w:hideMark/>
          </w:tcPr>
          <w:p w14:paraId="317A358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13</w:t>
            </w:r>
          </w:p>
        </w:tc>
        <w:tc>
          <w:tcPr>
            <w:tcW w:w="1397" w:type="pct"/>
            <w:gridSpan w:val="2"/>
            <w:tcBorders>
              <w:top w:val="nil"/>
              <w:bottom w:val="single" w:sz="4" w:space="0" w:color="auto"/>
            </w:tcBorders>
            <w:noWrap/>
            <w:hideMark/>
          </w:tcPr>
          <w:p w14:paraId="38633449" w14:textId="625E52E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13</w:t>
            </w:r>
          </w:p>
        </w:tc>
      </w:tr>
      <w:tr w:rsidR="000C7320" w:rsidRPr="00C579F2" w14:paraId="73054DD6" w14:textId="77777777" w:rsidTr="00405C77">
        <w:trPr>
          <w:trHeight w:val="276"/>
        </w:trPr>
        <w:tc>
          <w:tcPr>
            <w:tcW w:w="2206" w:type="pct"/>
            <w:tcBorders>
              <w:top w:val="single" w:sz="4" w:space="0" w:color="auto"/>
              <w:bottom w:val="single" w:sz="4" w:space="0" w:color="auto"/>
            </w:tcBorders>
            <w:noWrap/>
            <w:hideMark/>
          </w:tcPr>
          <w:p w14:paraId="488D21E8" w14:textId="4A818593"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397" w:type="pct"/>
            <w:tcBorders>
              <w:top w:val="single" w:sz="4" w:space="0" w:color="auto"/>
              <w:bottom w:val="single" w:sz="4" w:space="0" w:color="auto"/>
            </w:tcBorders>
            <w:noWrap/>
            <w:hideMark/>
          </w:tcPr>
          <w:p w14:paraId="695A9952" w14:textId="7D0A71B4"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auto"/>
            </w:tcBorders>
            <w:noWrap/>
            <w:hideMark/>
          </w:tcPr>
          <w:p w14:paraId="53B8C909" w14:textId="579F57A3"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0C7320" w:rsidRPr="00C579F2" w14:paraId="54DE5A91" w14:textId="77777777" w:rsidTr="00405C77">
        <w:trPr>
          <w:trHeight w:val="276"/>
        </w:trPr>
        <w:tc>
          <w:tcPr>
            <w:tcW w:w="2206" w:type="pct"/>
            <w:tcBorders>
              <w:top w:val="single" w:sz="4" w:space="0" w:color="auto"/>
              <w:bottom w:val="nil"/>
            </w:tcBorders>
            <w:noWrap/>
            <w:hideMark/>
          </w:tcPr>
          <w:p w14:paraId="2D87F65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tcBorders>
              <w:top w:val="single" w:sz="4" w:space="0" w:color="auto"/>
              <w:bottom w:val="nil"/>
            </w:tcBorders>
            <w:noWrap/>
            <w:hideMark/>
          </w:tcPr>
          <w:p w14:paraId="54023B26"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397" w:type="pct"/>
            <w:gridSpan w:val="2"/>
            <w:tcBorders>
              <w:top w:val="single" w:sz="4" w:space="0" w:color="auto"/>
              <w:bottom w:val="nil"/>
            </w:tcBorders>
            <w:noWrap/>
            <w:hideMark/>
          </w:tcPr>
          <w:p w14:paraId="74A40EF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2DEF4F9C" w14:textId="77777777" w:rsidTr="00405C77">
        <w:trPr>
          <w:trHeight w:val="171"/>
        </w:trPr>
        <w:tc>
          <w:tcPr>
            <w:tcW w:w="2206" w:type="pct"/>
            <w:tcBorders>
              <w:top w:val="nil"/>
              <w:bottom w:val="single" w:sz="4" w:space="0" w:color="auto"/>
            </w:tcBorders>
            <w:noWrap/>
            <w:hideMark/>
          </w:tcPr>
          <w:p w14:paraId="714541D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Household size</w:t>
            </w:r>
          </w:p>
        </w:tc>
        <w:tc>
          <w:tcPr>
            <w:tcW w:w="1504" w:type="pct"/>
            <w:gridSpan w:val="2"/>
            <w:tcBorders>
              <w:top w:val="nil"/>
              <w:bottom w:val="single" w:sz="4" w:space="0" w:color="auto"/>
            </w:tcBorders>
            <w:noWrap/>
            <w:hideMark/>
          </w:tcPr>
          <w:p w14:paraId="08FCCFA6" w14:textId="75FB5BA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290" w:type="pct"/>
            <w:tcBorders>
              <w:top w:val="nil"/>
              <w:bottom w:val="single" w:sz="4" w:space="0" w:color="auto"/>
            </w:tcBorders>
            <w:noWrap/>
            <w:hideMark/>
          </w:tcPr>
          <w:p w14:paraId="65B6B94B" w14:textId="46F8B518"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3D95D101" w14:textId="77777777" w:rsidTr="00405C77">
        <w:trPr>
          <w:trHeight w:val="276"/>
        </w:trPr>
        <w:tc>
          <w:tcPr>
            <w:tcW w:w="2206" w:type="pct"/>
            <w:tcBorders>
              <w:top w:val="single" w:sz="4" w:space="0" w:color="auto"/>
            </w:tcBorders>
            <w:noWrap/>
            <w:hideMark/>
          </w:tcPr>
          <w:p w14:paraId="50CDD396" w14:textId="3862615A" w:rsidR="000C7320" w:rsidRPr="00C579F2" w:rsidRDefault="000C7320" w:rsidP="00EB0E4F">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5 persons or </w:t>
            </w:r>
            <w:r w:rsidR="00EB0E4F" w:rsidRPr="00C579F2">
              <w:rPr>
                <w:rFonts w:ascii="Times New Roman" w:eastAsia="Times New Roman" w:hAnsi="Times New Roman" w:cs="Times New Roman"/>
                <w:color w:val="000000"/>
                <w:kern w:val="0"/>
                <w14:ligatures w14:val="none"/>
              </w:rPr>
              <w:t>fewer</w:t>
            </w:r>
          </w:p>
        </w:tc>
        <w:tc>
          <w:tcPr>
            <w:tcW w:w="1504" w:type="pct"/>
            <w:gridSpan w:val="2"/>
            <w:tcBorders>
              <w:top w:val="single" w:sz="4" w:space="0" w:color="auto"/>
            </w:tcBorders>
            <w:noWrap/>
            <w:hideMark/>
          </w:tcPr>
          <w:p w14:paraId="033AF90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22</w:t>
            </w:r>
          </w:p>
        </w:tc>
        <w:tc>
          <w:tcPr>
            <w:tcW w:w="1290" w:type="pct"/>
            <w:tcBorders>
              <w:top w:val="single" w:sz="4" w:space="0" w:color="auto"/>
            </w:tcBorders>
            <w:noWrap/>
            <w:hideMark/>
          </w:tcPr>
          <w:p w14:paraId="086FA190" w14:textId="059A8F9A" w:rsidR="000C7320" w:rsidRPr="00C579F2" w:rsidRDefault="00405C77"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w:t>
            </w:r>
            <w:r w:rsidR="000C7320" w:rsidRPr="00C579F2">
              <w:rPr>
                <w:rFonts w:ascii="Times New Roman" w:eastAsia="Times New Roman" w:hAnsi="Times New Roman" w:cs="Times New Roman"/>
                <w:color w:val="000000"/>
                <w:kern w:val="0"/>
                <w14:ligatures w14:val="none"/>
              </w:rPr>
              <w:t>2</w:t>
            </w:r>
          </w:p>
        </w:tc>
      </w:tr>
      <w:tr w:rsidR="000C7320" w:rsidRPr="00C579F2" w14:paraId="4B309B46" w14:textId="77777777" w:rsidTr="00CD5230">
        <w:trPr>
          <w:trHeight w:val="276"/>
        </w:trPr>
        <w:tc>
          <w:tcPr>
            <w:tcW w:w="2206" w:type="pct"/>
            <w:noWrap/>
            <w:hideMark/>
          </w:tcPr>
          <w:p w14:paraId="377FECF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6-10 people</w:t>
            </w:r>
          </w:p>
        </w:tc>
        <w:tc>
          <w:tcPr>
            <w:tcW w:w="1397" w:type="pct"/>
            <w:noWrap/>
            <w:hideMark/>
          </w:tcPr>
          <w:p w14:paraId="41B2B9F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28</w:t>
            </w:r>
          </w:p>
        </w:tc>
        <w:tc>
          <w:tcPr>
            <w:tcW w:w="1397" w:type="pct"/>
            <w:gridSpan w:val="2"/>
            <w:noWrap/>
            <w:hideMark/>
          </w:tcPr>
          <w:p w14:paraId="00940FD9" w14:textId="1583B3D5"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28</w:t>
            </w:r>
          </w:p>
        </w:tc>
      </w:tr>
      <w:tr w:rsidR="000C7320" w:rsidRPr="00C579F2" w14:paraId="6EFE3393" w14:textId="77777777" w:rsidTr="00CD5230">
        <w:trPr>
          <w:trHeight w:val="276"/>
        </w:trPr>
        <w:tc>
          <w:tcPr>
            <w:tcW w:w="2206" w:type="pct"/>
            <w:noWrap/>
          </w:tcPr>
          <w:p w14:paraId="22C1A30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11-15 people</w:t>
            </w:r>
          </w:p>
        </w:tc>
        <w:tc>
          <w:tcPr>
            <w:tcW w:w="1397" w:type="pct"/>
            <w:noWrap/>
          </w:tcPr>
          <w:p w14:paraId="7998E7C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14</w:t>
            </w:r>
          </w:p>
        </w:tc>
        <w:tc>
          <w:tcPr>
            <w:tcW w:w="1397" w:type="pct"/>
            <w:gridSpan w:val="2"/>
            <w:noWrap/>
          </w:tcPr>
          <w:p w14:paraId="7A000CF6" w14:textId="78969E49"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14</w:t>
            </w:r>
          </w:p>
        </w:tc>
      </w:tr>
      <w:tr w:rsidR="000C7320" w:rsidRPr="00C579F2" w14:paraId="119A7978" w14:textId="77777777" w:rsidTr="00CD5230">
        <w:trPr>
          <w:trHeight w:val="276"/>
        </w:trPr>
        <w:tc>
          <w:tcPr>
            <w:tcW w:w="2206" w:type="pct"/>
            <w:noWrap/>
          </w:tcPr>
          <w:p w14:paraId="290D722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16-20 people</w:t>
            </w:r>
          </w:p>
        </w:tc>
        <w:tc>
          <w:tcPr>
            <w:tcW w:w="1397" w:type="pct"/>
            <w:noWrap/>
          </w:tcPr>
          <w:p w14:paraId="03E0533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c>
          <w:tcPr>
            <w:tcW w:w="1397" w:type="pct"/>
            <w:gridSpan w:val="2"/>
            <w:noWrap/>
          </w:tcPr>
          <w:p w14:paraId="4FE4A4FE" w14:textId="4543414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r>
      <w:tr w:rsidR="000C7320" w:rsidRPr="00C579F2" w14:paraId="1838378C" w14:textId="77777777" w:rsidTr="008E4BE0">
        <w:trPr>
          <w:trHeight w:val="276"/>
        </w:trPr>
        <w:tc>
          <w:tcPr>
            <w:tcW w:w="2206" w:type="pct"/>
            <w:tcBorders>
              <w:bottom w:val="single" w:sz="4" w:space="0" w:color="auto"/>
            </w:tcBorders>
            <w:noWrap/>
          </w:tcPr>
          <w:p w14:paraId="2AD2556D" w14:textId="0256EE95" w:rsidR="000C7320" w:rsidRPr="00C579F2" w:rsidRDefault="000C7320" w:rsidP="00547E9C">
            <w:pPr>
              <w:tabs>
                <w:tab w:val="center" w:pos="4680"/>
                <w:tab w:val="right" w:pos="9360"/>
              </w:tabs>
              <w:spacing w:line="240" w:lineRule="auto"/>
              <w:jc w:val="both"/>
              <w:rPr>
                <w:rFonts w:ascii="Times New Roman" w:hAnsi="Times New Roman" w:cs="Times New Roman"/>
                <w:b/>
                <w:bCs/>
                <w:color w:val="000000"/>
              </w:rPr>
            </w:pPr>
            <w:r w:rsidRPr="00C579F2">
              <w:rPr>
                <w:rFonts w:ascii="Times New Roman" w:hAnsi="Times New Roman" w:cs="Times New Roman"/>
                <w:color w:val="000000"/>
              </w:rPr>
              <w:t>More than 20 people</w:t>
            </w:r>
          </w:p>
        </w:tc>
        <w:tc>
          <w:tcPr>
            <w:tcW w:w="1397" w:type="pct"/>
            <w:tcBorders>
              <w:bottom w:val="single" w:sz="4" w:space="0" w:color="auto"/>
            </w:tcBorders>
            <w:noWrap/>
          </w:tcPr>
          <w:p w14:paraId="6223EDA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26</w:t>
            </w:r>
          </w:p>
        </w:tc>
        <w:tc>
          <w:tcPr>
            <w:tcW w:w="1397" w:type="pct"/>
            <w:gridSpan w:val="2"/>
            <w:tcBorders>
              <w:bottom w:val="single" w:sz="4" w:space="0" w:color="auto"/>
            </w:tcBorders>
            <w:noWrap/>
          </w:tcPr>
          <w:p w14:paraId="1761A65F" w14:textId="402CADF1"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kern w:val="0"/>
                <w14:ligatures w14:val="none"/>
              </w:rPr>
              <w:t>26</w:t>
            </w:r>
          </w:p>
        </w:tc>
      </w:tr>
      <w:tr w:rsidR="00405C77" w:rsidRPr="00C579F2" w14:paraId="692954F0" w14:textId="77777777" w:rsidTr="008E4BE0">
        <w:trPr>
          <w:trHeight w:val="276"/>
        </w:trPr>
        <w:tc>
          <w:tcPr>
            <w:tcW w:w="2206" w:type="pct"/>
            <w:tcBorders>
              <w:top w:val="single" w:sz="4" w:space="0" w:color="auto"/>
              <w:bottom w:val="single" w:sz="4" w:space="0" w:color="7F7F7F" w:themeColor="text1" w:themeTint="80"/>
            </w:tcBorders>
            <w:noWrap/>
          </w:tcPr>
          <w:p w14:paraId="7680D841" w14:textId="06018009" w:rsidR="00405C77" w:rsidRPr="00C579F2" w:rsidRDefault="00405C77" w:rsidP="00547E9C">
            <w:pPr>
              <w:tabs>
                <w:tab w:val="center" w:pos="4680"/>
                <w:tab w:val="right" w:pos="9360"/>
              </w:tabs>
              <w:spacing w:line="240" w:lineRule="auto"/>
              <w:jc w:val="both"/>
              <w:rPr>
                <w:rFonts w:ascii="Times New Roman" w:hAnsi="Times New Roman" w:cs="Times New Roman"/>
                <w:b/>
                <w:bCs/>
                <w:color w:val="000000"/>
              </w:rPr>
            </w:pPr>
            <w:r w:rsidRPr="00C579F2">
              <w:rPr>
                <w:rFonts w:ascii="Times New Roman" w:hAnsi="Times New Roman" w:cs="Times New Roman"/>
                <w:b/>
                <w:bCs/>
                <w:color w:val="000000"/>
              </w:rPr>
              <w:t>Total</w:t>
            </w:r>
          </w:p>
        </w:tc>
        <w:tc>
          <w:tcPr>
            <w:tcW w:w="1397" w:type="pct"/>
            <w:tcBorders>
              <w:top w:val="single" w:sz="4" w:space="0" w:color="auto"/>
              <w:bottom w:val="single" w:sz="4" w:space="0" w:color="7F7F7F" w:themeColor="text1" w:themeTint="80"/>
            </w:tcBorders>
            <w:noWrap/>
          </w:tcPr>
          <w:p w14:paraId="47F527F4" w14:textId="56FE7577" w:rsidR="00405C77" w:rsidRPr="00C579F2" w:rsidRDefault="00405C77"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397" w:type="pct"/>
            <w:gridSpan w:val="2"/>
            <w:tcBorders>
              <w:top w:val="single" w:sz="4" w:space="0" w:color="auto"/>
              <w:bottom w:val="single" w:sz="4" w:space="0" w:color="7F7F7F" w:themeColor="text1" w:themeTint="80"/>
            </w:tcBorders>
            <w:noWrap/>
          </w:tcPr>
          <w:p w14:paraId="230A9CAD" w14:textId="0D19CC46" w:rsidR="00405C77" w:rsidRPr="00C579F2" w:rsidRDefault="00405C77" w:rsidP="00547E9C">
            <w:pPr>
              <w:tabs>
                <w:tab w:val="center" w:pos="4680"/>
                <w:tab w:val="right" w:pos="9360"/>
              </w:tabs>
              <w:spacing w:line="240" w:lineRule="auto"/>
              <w:jc w:val="both"/>
              <w:rPr>
                <w:rFonts w:ascii="Times New Roman" w:eastAsia="Times New Roman" w:hAnsi="Times New Roman" w:cs="Times New Roman"/>
                <w:b/>
                <w:bCs/>
                <w:kern w:val="0"/>
                <w14:ligatures w14:val="none"/>
              </w:rPr>
            </w:pPr>
            <w:r w:rsidRPr="00C579F2">
              <w:rPr>
                <w:rFonts w:ascii="Times New Roman" w:eastAsia="Times New Roman" w:hAnsi="Times New Roman" w:cs="Times New Roman"/>
                <w:b/>
                <w:bCs/>
                <w:kern w:val="0"/>
                <w14:ligatures w14:val="none"/>
              </w:rPr>
              <w:t>100%</w:t>
            </w:r>
          </w:p>
        </w:tc>
      </w:tr>
    </w:tbl>
    <w:p w14:paraId="3FB7AFB4" w14:textId="11AC301D" w:rsidR="000C7320" w:rsidRPr="00C579F2" w:rsidRDefault="000C7320" w:rsidP="007558AF">
      <w:pPr>
        <w:spacing w:line="240" w:lineRule="auto"/>
        <w:jc w:val="center"/>
        <w:rPr>
          <w:rFonts w:ascii="Times New Roman" w:hAnsi="Times New Roman" w:cs="Times New Roman"/>
        </w:rPr>
      </w:pPr>
      <w:r w:rsidRPr="00C579F2">
        <w:rPr>
          <w:rFonts w:ascii="Times New Roman" w:hAnsi="Times New Roman" w:cs="Times New Roman"/>
        </w:rPr>
        <w:t>Source: Authors Construct</w:t>
      </w:r>
    </w:p>
    <w:p w14:paraId="1798281B" w14:textId="0C0DFED6" w:rsidR="000C7320" w:rsidRPr="00C579F2" w:rsidRDefault="0041757D" w:rsidP="00547E9C">
      <w:pPr>
        <w:jc w:val="both"/>
        <w:rPr>
          <w:rFonts w:ascii="Times New Roman" w:hAnsi="Times New Roman" w:cs="Times New Roman"/>
          <w:b/>
          <w:bCs/>
        </w:rPr>
      </w:pPr>
      <w:bookmarkStart w:id="4" w:name="_Toc176327309"/>
      <w:r w:rsidRPr="00C579F2">
        <w:rPr>
          <w:rFonts w:ascii="Times New Roman" w:hAnsi="Times New Roman" w:cs="Times New Roman"/>
          <w:b/>
          <w:bCs/>
        </w:rPr>
        <w:t xml:space="preserve">4.1.3 </w:t>
      </w:r>
      <w:r w:rsidR="000C7320" w:rsidRPr="00C579F2">
        <w:rPr>
          <w:rFonts w:ascii="Times New Roman" w:hAnsi="Times New Roman" w:cs="Times New Roman"/>
          <w:b/>
          <w:bCs/>
        </w:rPr>
        <w:t>Ethnicity, Years of Residency</w:t>
      </w:r>
      <w:r w:rsidR="008E4BE0" w:rsidRPr="00C579F2">
        <w:rPr>
          <w:rFonts w:ascii="Times New Roman" w:hAnsi="Times New Roman" w:cs="Times New Roman"/>
          <w:b/>
          <w:bCs/>
        </w:rPr>
        <w:t>,</w:t>
      </w:r>
      <w:r w:rsidR="000C7320" w:rsidRPr="00C579F2">
        <w:rPr>
          <w:rFonts w:ascii="Times New Roman" w:hAnsi="Times New Roman" w:cs="Times New Roman"/>
          <w:b/>
          <w:bCs/>
        </w:rPr>
        <w:t xml:space="preserve"> and Occupation</w:t>
      </w:r>
      <w:bookmarkEnd w:id="4"/>
    </w:p>
    <w:p w14:paraId="74482F8C" w14:textId="47AD4DD3" w:rsidR="00DC6013" w:rsidRPr="00C579F2" w:rsidRDefault="00DC6013" w:rsidP="00547E9C">
      <w:pPr>
        <w:spacing w:line="240" w:lineRule="auto"/>
        <w:jc w:val="both"/>
        <w:rPr>
          <w:rFonts w:ascii="Times New Roman" w:hAnsi="Times New Roman" w:cs="Times New Roman"/>
        </w:rPr>
      </w:pPr>
      <w:r w:rsidRPr="00C579F2">
        <w:rPr>
          <w:rFonts w:ascii="Times New Roman" w:hAnsi="Times New Roman" w:cs="Times New Roman"/>
        </w:rPr>
        <w:t xml:space="preserve">The ethnic breakdown of respondents within the chosen slum settlements demonstrates a migrant and heterogeneous population. In </w:t>
      </w:r>
      <w:proofErr w:type="spellStart"/>
      <w:r w:rsidRPr="00C579F2">
        <w:rPr>
          <w:rFonts w:ascii="Times New Roman" w:hAnsi="Times New Roman" w:cs="Times New Roman"/>
        </w:rPr>
        <w:t>Ayigya</w:t>
      </w:r>
      <w:proofErr w:type="spellEnd"/>
      <w:r w:rsidRPr="00C579F2">
        <w:rPr>
          <w:rFonts w:ascii="Times New Roman" w:hAnsi="Times New Roman" w:cs="Times New Roman"/>
        </w:rPr>
        <w:t xml:space="preserve"> </w:t>
      </w:r>
      <w:proofErr w:type="spellStart"/>
      <w:r w:rsidRPr="00C579F2">
        <w:rPr>
          <w:rFonts w:ascii="Times New Roman" w:hAnsi="Times New Roman" w:cs="Times New Roman"/>
        </w:rPr>
        <w:t>Zongo</w:t>
      </w:r>
      <w:proofErr w:type="spellEnd"/>
      <w:r w:rsidRPr="00C579F2">
        <w:rPr>
          <w:rFonts w:ascii="Times New Roman" w:hAnsi="Times New Roman" w:cs="Times New Roman"/>
        </w:rPr>
        <w:t>, the majority were Mole-</w:t>
      </w:r>
      <w:proofErr w:type="spellStart"/>
      <w:r w:rsidRPr="00C579F2">
        <w:rPr>
          <w:rFonts w:ascii="Times New Roman" w:hAnsi="Times New Roman" w:cs="Times New Roman"/>
        </w:rPr>
        <w:t>Dagbanis</w:t>
      </w:r>
      <w:proofErr w:type="spellEnd"/>
      <w:r w:rsidRPr="00C579F2">
        <w:rPr>
          <w:rFonts w:ascii="Times New Roman" w:hAnsi="Times New Roman" w:cs="Times New Roman"/>
        </w:rPr>
        <w:t xml:space="preserve"> and </w:t>
      </w:r>
      <w:proofErr w:type="spellStart"/>
      <w:r w:rsidRPr="00C579F2">
        <w:rPr>
          <w:rFonts w:ascii="Times New Roman" w:hAnsi="Times New Roman" w:cs="Times New Roman"/>
        </w:rPr>
        <w:t>Akans</w:t>
      </w:r>
      <w:proofErr w:type="spellEnd"/>
      <w:r w:rsidRPr="00C579F2">
        <w:rPr>
          <w:rFonts w:ascii="Times New Roman" w:hAnsi="Times New Roman" w:cs="Times New Roman"/>
        </w:rPr>
        <w:t xml:space="preserve">, whereas in </w:t>
      </w:r>
      <w:proofErr w:type="spellStart"/>
      <w:r w:rsidRPr="00C579F2">
        <w:rPr>
          <w:rFonts w:ascii="Times New Roman" w:hAnsi="Times New Roman" w:cs="Times New Roman"/>
        </w:rPr>
        <w:t>Anloga</w:t>
      </w:r>
      <w:proofErr w:type="spellEnd"/>
      <w:r w:rsidRPr="00C579F2">
        <w:rPr>
          <w:rFonts w:ascii="Times New Roman" w:hAnsi="Times New Roman" w:cs="Times New Roman"/>
        </w:rPr>
        <w:t xml:space="preserve">, there were more Ewes, with minorities comprising </w:t>
      </w:r>
      <w:proofErr w:type="spellStart"/>
      <w:r w:rsidRPr="00C579F2">
        <w:rPr>
          <w:rFonts w:ascii="Times New Roman" w:hAnsi="Times New Roman" w:cs="Times New Roman"/>
        </w:rPr>
        <w:t>Fantes</w:t>
      </w:r>
      <w:proofErr w:type="spellEnd"/>
      <w:r w:rsidRPr="00C579F2">
        <w:rPr>
          <w:rFonts w:ascii="Times New Roman" w:hAnsi="Times New Roman" w:cs="Times New Roman"/>
        </w:rPr>
        <w:t xml:space="preserve"> and Mole-</w:t>
      </w:r>
      <w:proofErr w:type="spellStart"/>
      <w:r w:rsidRPr="00C579F2">
        <w:rPr>
          <w:rFonts w:ascii="Times New Roman" w:hAnsi="Times New Roman" w:cs="Times New Roman"/>
        </w:rPr>
        <w:t>Dagbanis</w:t>
      </w:r>
      <w:proofErr w:type="spellEnd"/>
      <w:r w:rsidRPr="00C579F2">
        <w:rPr>
          <w:rFonts w:ascii="Times New Roman" w:hAnsi="Times New Roman" w:cs="Times New Roman"/>
        </w:rPr>
        <w:t xml:space="preserv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was </w:t>
      </w:r>
      <w:r w:rsidR="00EB0E4F" w:rsidRPr="00C579F2">
        <w:rPr>
          <w:rFonts w:ascii="Times New Roman" w:hAnsi="Times New Roman" w:cs="Times New Roman"/>
        </w:rPr>
        <w:t>composed of Mole-</w:t>
      </w:r>
      <w:proofErr w:type="spellStart"/>
      <w:r w:rsidR="00EB0E4F" w:rsidRPr="00C579F2">
        <w:rPr>
          <w:rFonts w:ascii="Times New Roman" w:hAnsi="Times New Roman" w:cs="Times New Roman"/>
        </w:rPr>
        <w:t>Dagbanis</w:t>
      </w:r>
      <w:proofErr w:type="spellEnd"/>
      <w:r w:rsidR="00EB0E4F" w:rsidRPr="00C579F2">
        <w:rPr>
          <w:rFonts w:ascii="Times New Roman" w:hAnsi="Times New Roman" w:cs="Times New Roman"/>
        </w:rPr>
        <w:t xml:space="preserve"> and some </w:t>
      </w:r>
      <w:proofErr w:type="spellStart"/>
      <w:r w:rsidR="00EB0E4F" w:rsidRPr="00C579F2">
        <w:rPr>
          <w:rFonts w:ascii="Times New Roman" w:hAnsi="Times New Roman" w:cs="Times New Roman"/>
        </w:rPr>
        <w:t>Akans</w:t>
      </w:r>
      <w:proofErr w:type="spellEnd"/>
      <w:r w:rsidR="00EB0E4F" w:rsidRPr="00C579F2">
        <w:rPr>
          <w:rFonts w:ascii="Times New Roman" w:hAnsi="Times New Roman" w:cs="Times New Roman"/>
        </w:rPr>
        <w:t>, while Bukom consisted mostly of indigenous Ga-</w:t>
      </w:r>
      <w:proofErr w:type="spellStart"/>
      <w:r w:rsidR="00EB0E4F" w:rsidRPr="00C579F2">
        <w:rPr>
          <w:rFonts w:ascii="Times New Roman" w:hAnsi="Times New Roman" w:cs="Times New Roman"/>
        </w:rPr>
        <w:t>Adangbes</w:t>
      </w:r>
      <w:proofErr w:type="spellEnd"/>
      <w:r w:rsidR="00EB0E4F" w:rsidRPr="00C579F2">
        <w:rPr>
          <w:rFonts w:ascii="Times New Roman" w:hAnsi="Times New Roman" w:cs="Times New Roman"/>
        </w:rPr>
        <w:t xml:space="preserve">, with a </w:t>
      </w:r>
      <w:r w:rsidRPr="00C579F2">
        <w:rPr>
          <w:rFonts w:ascii="Times New Roman" w:hAnsi="Times New Roman" w:cs="Times New Roman"/>
        </w:rPr>
        <w:t>minority representation from other ethnic groups. In comparison to Bukom, which still has a mainly indigenous population, the other three settlements</w:t>
      </w:r>
      <w:r w:rsidR="00727802" w:rsidRPr="00C579F2">
        <w:rPr>
          <w:rFonts w:ascii="Times New Roman" w:hAnsi="Times New Roman" w:cs="Times New Roman"/>
        </w:rPr>
        <w:t xml:space="preserve">, </w:t>
      </w:r>
      <w:r w:rsidR="00EB0E4F" w:rsidRPr="00C579F2">
        <w:rPr>
          <w:rFonts w:ascii="Times New Roman" w:hAnsi="Times New Roman" w:cs="Times New Roman"/>
        </w:rPr>
        <w:t xml:space="preserve">Old </w:t>
      </w:r>
      <w:proofErr w:type="spellStart"/>
      <w:r w:rsidR="00EB0E4F" w:rsidRPr="00C579F2">
        <w:rPr>
          <w:rFonts w:ascii="Times New Roman" w:hAnsi="Times New Roman" w:cs="Times New Roman"/>
        </w:rPr>
        <w:t>Fa</w:t>
      </w:r>
      <w:r w:rsidR="00727802" w:rsidRPr="00C579F2">
        <w:rPr>
          <w:rFonts w:ascii="Times New Roman" w:hAnsi="Times New Roman" w:cs="Times New Roman"/>
        </w:rPr>
        <w:t>dama</w:t>
      </w:r>
      <w:proofErr w:type="spellEnd"/>
      <w:r w:rsidR="00727802" w:rsidRPr="00C579F2">
        <w:rPr>
          <w:rFonts w:ascii="Times New Roman" w:hAnsi="Times New Roman" w:cs="Times New Roman"/>
        </w:rPr>
        <w:t xml:space="preserve">, </w:t>
      </w:r>
      <w:proofErr w:type="spellStart"/>
      <w:r w:rsidR="00727802" w:rsidRPr="00C579F2">
        <w:rPr>
          <w:rFonts w:ascii="Times New Roman" w:hAnsi="Times New Roman" w:cs="Times New Roman"/>
        </w:rPr>
        <w:t>Ayigya</w:t>
      </w:r>
      <w:proofErr w:type="spellEnd"/>
      <w:r w:rsidR="00727802" w:rsidRPr="00C579F2">
        <w:rPr>
          <w:rFonts w:ascii="Times New Roman" w:hAnsi="Times New Roman" w:cs="Times New Roman"/>
        </w:rPr>
        <w:t xml:space="preserve"> </w:t>
      </w:r>
      <w:proofErr w:type="spellStart"/>
      <w:r w:rsidR="00727802" w:rsidRPr="00C579F2">
        <w:rPr>
          <w:rFonts w:ascii="Times New Roman" w:hAnsi="Times New Roman" w:cs="Times New Roman"/>
        </w:rPr>
        <w:t>Zongo</w:t>
      </w:r>
      <w:proofErr w:type="spellEnd"/>
      <w:r w:rsidR="00727802" w:rsidRPr="00C579F2">
        <w:rPr>
          <w:rFonts w:ascii="Times New Roman" w:hAnsi="Times New Roman" w:cs="Times New Roman"/>
        </w:rPr>
        <w:t xml:space="preserve">, and </w:t>
      </w:r>
      <w:proofErr w:type="spellStart"/>
      <w:r w:rsidR="00727802" w:rsidRPr="00C579F2">
        <w:rPr>
          <w:rFonts w:ascii="Times New Roman" w:hAnsi="Times New Roman" w:cs="Times New Roman"/>
        </w:rPr>
        <w:t>Anloga</w:t>
      </w:r>
      <w:proofErr w:type="spellEnd"/>
      <w:r w:rsidR="00727802" w:rsidRPr="00C579F2">
        <w:rPr>
          <w:rFonts w:ascii="Times New Roman" w:hAnsi="Times New Roman" w:cs="Times New Roman"/>
        </w:rPr>
        <w:t xml:space="preserve">, </w:t>
      </w:r>
      <w:r w:rsidRPr="00C579F2">
        <w:rPr>
          <w:rFonts w:ascii="Times New Roman" w:hAnsi="Times New Roman" w:cs="Times New Roman"/>
        </w:rPr>
        <w:t>were found to have predominantly migrants from northern and eastern Ghana. This illustrates internal migration fueled by regional economic imbalances and few livelihood options.</w:t>
      </w:r>
      <w:r w:rsidR="005E7628" w:rsidRPr="00C579F2">
        <w:rPr>
          <w:rFonts w:ascii="Times New Roman" w:hAnsi="Times New Roman" w:cs="Times New Roman"/>
        </w:rPr>
        <w:t xml:space="preserve"> </w:t>
      </w:r>
      <w:r w:rsidR="00EB0E4F" w:rsidRPr="00C579F2">
        <w:rPr>
          <w:rFonts w:ascii="Times New Roman" w:hAnsi="Times New Roman" w:cs="Times New Roman"/>
        </w:rPr>
        <w:t>The Mole-</w:t>
      </w:r>
      <w:proofErr w:type="spellStart"/>
      <w:r w:rsidR="00EB0E4F" w:rsidRPr="00C579F2">
        <w:rPr>
          <w:rFonts w:ascii="Times New Roman" w:hAnsi="Times New Roman" w:cs="Times New Roman"/>
        </w:rPr>
        <w:t>Dagbanis</w:t>
      </w:r>
      <w:proofErr w:type="spellEnd"/>
      <w:r w:rsidR="00EB0E4F" w:rsidRPr="00C579F2">
        <w:rPr>
          <w:rFonts w:ascii="Times New Roman" w:hAnsi="Times New Roman" w:cs="Times New Roman"/>
        </w:rPr>
        <w:t xml:space="preserve"> comprised the largest ethnic group in the study (43%), followed by the </w:t>
      </w:r>
      <w:proofErr w:type="spellStart"/>
      <w:r w:rsidR="00EB0E4F" w:rsidRPr="00C579F2">
        <w:rPr>
          <w:rFonts w:ascii="Times New Roman" w:hAnsi="Times New Roman" w:cs="Times New Roman"/>
        </w:rPr>
        <w:t>Akans</w:t>
      </w:r>
      <w:proofErr w:type="spellEnd"/>
      <w:r w:rsidR="00EB0E4F" w:rsidRPr="00C579F2">
        <w:rPr>
          <w:rFonts w:ascii="Times New Roman" w:hAnsi="Times New Roman" w:cs="Times New Roman"/>
        </w:rPr>
        <w:t xml:space="preserve"> (28%), the Ga-</w:t>
      </w:r>
      <w:proofErr w:type="spellStart"/>
      <w:r w:rsidR="00EB0E4F" w:rsidRPr="00C579F2">
        <w:rPr>
          <w:rFonts w:ascii="Times New Roman" w:hAnsi="Times New Roman" w:cs="Times New Roman"/>
        </w:rPr>
        <w:t>Adangbes</w:t>
      </w:r>
      <w:proofErr w:type="spellEnd"/>
      <w:r w:rsidR="00EB0E4F" w:rsidRPr="00C579F2">
        <w:rPr>
          <w:rFonts w:ascii="Times New Roman" w:hAnsi="Times New Roman" w:cs="Times New Roman"/>
        </w:rPr>
        <w:t xml:space="preserve"> (16%), and the </w:t>
      </w:r>
      <w:r w:rsidRPr="00C579F2">
        <w:rPr>
          <w:rFonts w:ascii="Times New Roman" w:hAnsi="Times New Roman" w:cs="Times New Roman"/>
        </w:rPr>
        <w:t xml:space="preserve">Ewes (12%). These proportions illustrate the multicultural nature of urban informal settlements in Ghana and how ethnicity </w:t>
      </w:r>
      <w:r w:rsidR="00EB0E4F" w:rsidRPr="00C579F2">
        <w:rPr>
          <w:rFonts w:ascii="Times New Roman" w:hAnsi="Times New Roman" w:cs="Times New Roman"/>
        </w:rPr>
        <w:t>influences settlement dynamics and access to land</w:t>
      </w:r>
      <w:r w:rsidRPr="00C579F2">
        <w:rPr>
          <w:rFonts w:ascii="Times New Roman" w:hAnsi="Times New Roman" w:cs="Times New Roman"/>
        </w:rPr>
        <w:t xml:space="preserve">. </w:t>
      </w:r>
      <w:r w:rsidR="005E7628" w:rsidRPr="00C579F2">
        <w:rPr>
          <w:rFonts w:ascii="Times New Roman" w:hAnsi="Times New Roman" w:cs="Times New Roman"/>
        </w:rPr>
        <w:t>According to Owusu (2008), e</w:t>
      </w:r>
      <w:r w:rsidRPr="00C579F2">
        <w:rPr>
          <w:rFonts w:ascii="Times New Roman" w:hAnsi="Times New Roman" w:cs="Times New Roman"/>
        </w:rPr>
        <w:t>thnic networks often facilitate migration and informal land acquisition, especially in contexts where formal mechanisms are inaccessible.</w:t>
      </w:r>
    </w:p>
    <w:p w14:paraId="1054FF3B" w14:textId="11DA9EF8" w:rsidR="00DC6013" w:rsidRPr="00C579F2" w:rsidRDefault="00DC6013" w:rsidP="00547E9C">
      <w:pPr>
        <w:spacing w:line="240" w:lineRule="auto"/>
        <w:jc w:val="both"/>
        <w:rPr>
          <w:rFonts w:ascii="Times New Roman" w:hAnsi="Times New Roman" w:cs="Times New Roman"/>
        </w:rPr>
      </w:pPr>
      <w:r w:rsidRPr="00C579F2">
        <w:rPr>
          <w:rFonts w:ascii="Times New Roman" w:hAnsi="Times New Roman" w:cs="Times New Roman"/>
        </w:rPr>
        <w:t xml:space="preserve">In terms of years of residency, a high percentage of respondents (32%) had resided in their respective settlements for over 41 years, with 19% having stayed for 31–40 years, as indicated in Table 3. This </w:t>
      </w:r>
      <w:r w:rsidR="00EB0E4F" w:rsidRPr="00C579F2">
        <w:rPr>
          <w:rFonts w:ascii="Times New Roman" w:hAnsi="Times New Roman" w:cs="Times New Roman"/>
        </w:rPr>
        <w:t>means</w:t>
      </w:r>
      <w:r w:rsidRPr="00C579F2">
        <w:rPr>
          <w:rFonts w:ascii="Times New Roman" w:hAnsi="Times New Roman" w:cs="Times New Roman"/>
        </w:rPr>
        <w:t xml:space="preserve"> that a majority of slum dwellers are long-term settlers. They have established strong social and spatial roots. Long-term residency </w:t>
      </w:r>
      <w:r w:rsidR="00EB0E4F" w:rsidRPr="00C579F2">
        <w:rPr>
          <w:rFonts w:ascii="Times New Roman" w:hAnsi="Times New Roman" w:cs="Times New Roman"/>
        </w:rPr>
        <w:t xml:space="preserve">is often associated with sentiments of belonging and informal tenure legitimacy, even in the absence of formal </w:t>
      </w:r>
      <w:r w:rsidRPr="00C579F2">
        <w:rPr>
          <w:rFonts w:ascii="Times New Roman" w:hAnsi="Times New Roman" w:cs="Times New Roman"/>
        </w:rPr>
        <w:t>legal titles. Conversely, just 15% of respondents had remained for 1–10 years, pointing to comparatively low recent migration into certain of the settlements.</w:t>
      </w:r>
    </w:p>
    <w:p w14:paraId="40D4EA69" w14:textId="30D39541" w:rsidR="00B06B80" w:rsidRPr="00C579F2" w:rsidRDefault="00004CD5" w:rsidP="004746A7">
      <w:pPr>
        <w:spacing w:line="240" w:lineRule="auto"/>
        <w:jc w:val="both"/>
        <w:rPr>
          <w:rFonts w:ascii="Times New Roman" w:hAnsi="Times New Roman" w:cs="Times New Roman"/>
        </w:rPr>
      </w:pPr>
      <w:r w:rsidRPr="00C579F2">
        <w:rPr>
          <w:rFonts w:ascii="Times New Roman" w:hAnsi="Times New Roman" w:cs="Times New Roman"/>
        </w:rPr>
        <w:lastRenderedPageBreak/>
        <w:t>Several respondents reported having lived in the communities for multiple decades, in some cases spanning more than two generations. This reflects the deep-rooted settlement patterns where families have remained for over half a century, reinforcing a sense of belonging and informal legitimacy despite lacking formal tenure</w:t>
      </w:r>
      <w:r w:rsidR="00B06B80" w:rsidRPr="00C579F2">
        <w:rPr>
          <w:rFonts w:ascii="Times New Roman" w:hAnsi="Times New Roman" w:cs="Times New Roman"/>
        </w:rPr>
        <w:t>.</w:t>
      </w:r>
    </w:p>
    <w:p w14:paraId="27D0272B" w14:textId="77777777" w:rsidR="00DC6013" w:rsidRPr="00C579F2" w:rsidRDefault="00DC6013" w:rsidP="00547E9C">
      <w:pPr>
        <w:spacing w:line="240" w:lineRule="auto"/>
        <w:jc w:val="both"/>
        <w:rPr>
          <w:rFonts w:ascii="Times New Roman" w:hAnsi="Times New Roman" w:cs="Times New Roman"/>
        </w:rPr>
      </w:pPr>
      <w:r w:rsidRPr="00C579F2">
        <w:rPr>
          <w:rFonts w:ascii="Times New Roman" w:hAnsi="Times New Roman" w:cs="Times New Roman"/>
        </w:rPr>
        <w:t>Occupationally, most respondents (60%) were traders, reflecting the prevalence of informal economic activity within these settlements. This is also true of the wider urban informal economy in Ghana, where petty trading provides a source of livelihood for numerous poor households (UN-Habitat, 2016). Other respondents were artisans (9%), drivers (7%), pensioners (4%), and teachers (2%). Significantly, 18% of respondents indicated that they were unemployed, reflecting the economic precariousness of slum residents and the interconnection between poverty, informality, and tenure insecurity.</w:t>
      </w:r>
    </w:p>
    <w:p w14:paraId="332718AC" w14:textId="5E66F2FA"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Table 3: Ethnicity, Years of Residency</w:t>
      </w:r>
      <w:r w:rsidR="00911DDD" w:rsidRPr="00C579F2">
        <w:rPr>
          <w:rFonts w:ascii="Times New Roman" w:hAnsi="Times New Roman" w:cs="Times New Roman"/>
          <w:b/>
          <w:bCs/>
        </w:rPr>
        <w:t>,</w:t>
      </w:r>
      <w:r w:rsidRPr="00C579F2">
        <w:rPr>
          <w:rFonts w:ascii="Times New Roman" w:hAnsi="Times New Roman" w:cs="Times New Roman"/>
          <w:b/>
          <w:bCs/>
        </w:rPr>
        <w:t xml:space="preserve"> and Occupation of Respondents</w:t>
      </w:r>
    </w:p>
    <w:tbl>
      <w:tblPr>
        <w:tblStyle w:val="PlainTable2"/>
        <w:tblW w:w="5000" w:type="pct"/>
        <w:tblLook w:val="0620" w:firstRow="1" w:lastRow="0" w:firstColumn="0" w:lastColumn="0" w:noHBand="1" w:noVBand="1"/>
      </w:tblPr>
      <w:tblGrid>
        <w:gridCol w:w="3772"/>
        <w:gridCol w:w="2795"/>
        <w:gridCol w:w="2793"/>
      </w:tblGrid>
      <w:tr w:rsidR="000C7320" w:rsidRPr="00C579F2" w14:paraId="2C86D7F3" w14:textId="77777777" w:rsidTr="008E4BE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7DEA3EC5"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 xml:space="preserve">Demographics </w:t>
            </w:r>
          </w:p>
        </w:tc>
        <w:tc>
          <w:tcPr>
            <w:tcW w:w="1493" w:type="pct"/>
            <w:tcBorders>
              <w:top w:val="single" w:sz="18" w:space="0" w:color="000000" w:themeColor="text1"/>
              <w:bottom w:val="nil"/>
            </w:tcBorders>
          </w:tcPr>
          <w:p w14:paraId="1E7705ED"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492" w:type="pct"/>
            <w:tcBorders>
              <w:top w:val="single" w:sz="18" w:space="0" w:color="000000" w:themeColor="text1"/>
              <w:bottom w:val="nil"/>
            </w:tcBorders>
          </w:tcPr>
          <w:p w14:paraId="572B206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406FF558" w14:textId="77777777" w:rsidTr="008E4BE0">
        <w:tc>
          <w:tcPr>
            <w:tcW w:w="2015" w:type="pct"/>
            <w:tcBorders>
              <w:top w:val="nil"/>
              <w:bottom w:val="single" w:sz="18" w:space="0" w:color="000000" w:themeColor="text1"/>
            </w:tcBorders>
          </w:tcPr>
          <w:p w14:paraId="4C17588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36ABDEF4"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7A94FB0C"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6FAAF8D7" w14:textId="77777777" w:rsidTr="008E4BE0">
        <w:trPr>
          <w:trHeight w:val="276"/>
        </w:trPr>
        <w:tc>
          <w:tcPr>
            <w:tcW w:w="2015" w:type="pct"/>
            <w:tcBorders>
              <w:top w:val="single" w:sz="18" w:space="0" w:color="000000" w:themeColor="text1"/>
              <w:bottom w:val="single" w:sz="4" w:space="0" w:color="auto"/>
            </w:tcBorders>
            <w:noWrap/>
            <w:hideMark/>
          </w:tcPr>
          <w:p w14:paraId="547DE81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Ethnicity</w:t>
            </w:r>
          </w:p>
        </w:tc>
        <w:tc>
          <w:tcPr>
            <w:tcW w:w="1493" w:type="pct"/>
            <w:tcBorders>
              <w:top w:val="single" w:sz="18" w:space="0" w:color="000000" w:themeColor="text1"/>
              <w:bottom w:val="single" w:sz="4" w:space="0" w:color="auto"/>
            </w:tcBorders>
            <w:noWrap/>
            <w:hideMark/>
          </w:tcPr>
          <w:p w14:paraId="7D3D4C7C" w14:textId="19A987D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33AC2F9A" w14:textId="17CCFAC8"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2F47A4AF" w14:textId="77777777" w:rsidTr="008E4BE0">
        <w:trPr>
          <w:trHeight w:val="276"/>
        </w:trPr>
        <w:tc>
          <w:tcPr>
            <w:tcW w:w="2015" w:type="pct"/>
            <w:tcBorders>
              <w:top w:val="single" w:sz="4" w:space="0" w:color="auto"/>
            </w:tcBorders>
            <w:noWrap/>
            <w:hideMark/>
          </w:tcPr>
          <w:p w14:paraId="0D193E6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Akan</w:t>
            </w:r>
          </w:p>
        </w:tc>
        <w:tc>
          <w:tcPr>
            <w:tcW w:w="1493" w:type="pct"/>
            <w:tcBorders>
              <w:top w:val="single" w:sz="4" w:space="0" w:color="auto"/>
            </w:tcBorders>
            <w:noWrap/>
            <w:hideMark/>
          </w:tcPr>
          <w:p w14:paraId="1C7BB74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51331208" w14:textId="7915BF64"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28</w:t>
            </w:r>
          </w:p>
        </w:tc>
      </w:tr>
      <w:tr w:rsidR="000C7320" w:rsidRPr="00C579F2" w14:paraId="77A9B443" w14:textId="77777777" w:rsidTr="008E4BE0">
        <w:trPr>
          <w:trHeight w:val="276"/>
        </w:trPr>
        <w:tc>
          <w:tcPr>
            <w:tcW w:w="2015" w:type="pct"/>
            <w:noWrap/>
            <w:hideMark/>
          </w:tcPr>
          <w:p w14:paraId="6A85970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Ewe</w:t>
            </w:r>
          </w:p>
        </w:tc>
        <w:tc>
          <w:tcPr>
            <w:tcW w:w="1493" w:type="pct"/>
            <w:noWrap/>
            <w:hideMark/>
          </w:tcPr>
          <w:p w14:paraId="21FEDB8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12</w:t>
            </w:r>
          </w:p>
        </w:tc>
        <w:tc>
          <w:tcPr>
            <w:tcW w:w="1492" w:type="pct"/>
            <w:noWrap/>
            <w:hideMark/>
          </w:tcPr>
          <w:p w14:paraId="4937AB0C" w14:textId="2C77557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12</w:t>
            </w:r>
          </w:p>
        </w:tc>
      </w:tr>
      <w:tr w:rsidR="000C7320" w:rsidRPr="00C579F2" w14:paraId="4E27B0F1" w14:textId="77777777" w:rsidTr="008E4BE0">
        <w:trPr>
          <w:trHeight w:val="276"/>
        </w:trPr>
        <w:tc>
          <w:tcPr>
            <w:tcW w:w="2015" w:type="pct"/>
            <w:noWrap/>
            <w:hideMark/>
          </w:tcPr>
          <w:p w14:paraId="4475646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Ga-</w:t>
            </w:r>
            <w:proofErr w:type="spellStart"/>
            <w:r w:rsidRPr="00C579F2">
              <w:rPr>
                <w:rFonts w:ascii="Times New Roman" w:eastAsia="Times New Roman" w:hAnsi="Times New Roman" w:cs="Times New Roman"/>
                <w:color w:val="000000"/>
                <w:kern w:val="0"/>
                <w14:ligatures w14:val="none"/>
              </w:rPr>
              <w:t>Adangbe</w:t>
            </w:r>
            <w:proofErr w:type="spellEnd"/>
          </w:p>
        </w:tc>
        <w:tc>
          <w:tcPr>
            <w:tcW w:w="1493" w:type="pct"/>
            <w:noWrap/>
            <w:hideMark/>
          </w:tcPr>
          <w:p w14:paraId="669A8DA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c>
          <w:tcPr>
            <w:tcW w:w="1492" w:type="pct"/>
            <w:noWrap/>
            <w:hideMark/>
          </w:tcPr>
          <w:p w14:paraId="52381FC5" w14:textId="0CD6EE0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16</w:t>
            </w:r>
          </w:p>
        </w:tc>
      </w:tr>
      <w:tr w:rsidR="000C7320" w:rsidRPr="00C579F2" w14:paraId="27EAF331" w14:textId="77777777" w:rsidTr="008E4BE0">
        <w:trPr>
          <w:trHeight w:val="276"/>
        </w:trPr>
        <w:tc>
          <w:tcPr>
            <w:tcW w:w="2015" w:type="pct"/>
            <w:tcBorders>
              <w:bottom w:val="nil"/>
            </w:tcBorders>
            <w:noWrap/>
            <w:hideMark/>
          </w:tcPr>
          <w:p w14:paraId="63BBE85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Guan</w:t>
            </w:r>
          </w:p>
        </w:tc>
        <w:tc>
          <w:tcPr>
            <w:tcW w:w="1493" w:type="pct"/>
            <w:tcBorders>
              <w:bottom w:val="nil"/>
            </w:tcBorders>
            <w:noWrap/>
            <w:hideMark/>
          </w:tcPr>
          <w:p w14:paraId="3ACE175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w:t>
            </w:r>
          </w:p>
        </w:tc>
        <w:tc>
          <w:tcPr>
            <w:tcW w:w="1492" w:type="pct"/>
            <w:tcBorders>
              <w:bottom w:val="nil"/>
            </w:tcBorders>
            <w:noWrap/>
            <w:hideMark/>
          </w:tcPr>
          <w:p w14:paraId="0F616EF9" w14:textId="6F1ED4C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w:t>
            </w:r>
          </w:p>
        </w:tc>
      </w:tr>
      <w:tr w:rsidR="000C7320" w:rsidRPr="00C579F2" w14:paraId="0A90AC7C" w14:textId="77777777" w:rsidTr="008E4BE0">
        <w:trPr>
          <w:trHeight w:val="276"/>
        </w:trPr>
        <w:tc>
          <w:tcPr>
            <w:tcW w:w="2015" w:type="pct"/>
            <w:tcBorders>
              <w:top w:val="nil"/>
              <w:bottom w:val="single" w:sz="4" w:space="0" w:color="auto"/>
            </w:tcBorders>
            <w:noWrap/>
            <w:hideMark/>
          </w:tcPr>
          <w:p w14:paraId="7B80632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Mole-Dagbani</w:t>
            </w:r>
          </w:p>
        </w:tc>
        <w:tc>
          <w:tcPr>
            <w:tcW w:w="1493" w:type="pct"/>
            <w:tcBorders>
              <w:top w:val="nil"/>
              <w:bottom w:val="single" w:sz="4" w:space="0" w:color="auto"/>
            </w:tcBorders>
            <w:noWrap/>
            <w:hideMark/>
          </w:tcPr>
          <w:p w14:paraId="0768025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42</w:t>
            </w:r>
          </w:p>
        </w:tc>
        <w:tc>
          <w:tcPr>
            <w:tcW w:w="1492" w:type="pct"/>
            <w:tcBorders>
              <w:top w:val="nil"/>
              <w:bottom w:val="single" w:sz="4" w:space="0" w:color="auto"/>
            </w:tcBorders>
            <w:noWrap/>
            <w:hideMark/>
          </w:tcPr>
          <w:p w14:paraId="3C2FA318" w14:textId="20C6365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43</w:t>
            </w:r>
          </w:p>
        </w:tc>
      </w:tr>
      <w:tr w:rsidR="000C7320" w:rsidRPr="00C579F2" w14:paraId="588814D5" w14:textId="77777777" w:rsidTr="008E4BE0">
        <w:trPr>
          <w:trHeight w:val="276"/>
        </w:trPr>
        <w:tc>
          <w:tcPr>
            <w:tcW w:w="2015" w:type="pct"/>
            <w:tcBorders>
              <w:top w:val="single" w:sz="4" w:space="0" w:color="auto"/>
              <w:bottom w:val="nil"/>
            </w:tcBorders>
            <w:noWrap/>
            <w:hideMark/>
          </w:tcPr>
          <w:p w14:paraId="6B35BF93" w14:textId="36A33639"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nil"/>
            </w:tcBorders>
            <w:noWrap/>
            <w:hideMark/>
          </w:tcPr>
          <w:p w14:paraId="080362E4" w14:textId="4A5E6D96"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nil"/>
            </w:tcBorders>
            <w:noWrap/>
            <w:hideMark/>
          </w:tcPr>
          <w:p w14:paraId="04F57B4E" w14:textId="205632DF"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8E4BE0" w:rsidRPr="00C579F2" w14:paraId="31B2CF0D" w14:textId="77777777" w:rsidTr="008E4BE0">
        <w:trPr>
          <w:trHeight w:val="276"/>
        </w:trPr>
        <w:tc>
          <w:tcPr>
            <w:tcW w:w="2015" w:type="pct"/>
            <w:tcBorders>
              <w:top w:val="single" w:sz="4" w:space="0" w:color="auto"/>
              <w:bottom w:val="nil"/>
            </w:tcBorders>
            <w:noWrap/>
          </w:tcPr>
          <w:p w14:paraId="1A2F7B77"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2AA03A68"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5FED67C5"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1BF4117A" w14:textId="77777777" w:rsidTr="00441632">
        <w:trPr>
          <w:trHeight w:val="115"/>
        </w:trPr>
        <w:tc>
          <w:tcPr>
            <w:tcW w:w="2015" w:type="pct"/>
            <w:tcBorders>
              <w:top w:val="nil"/>
              <w:bottom w:val="single" w:sz="4" w:space="0" w:color="auto"/>
            </w:tcBorders>
            <w:noWrap/>
            <w:hideMark/>
          </w:tcPr>
          <w:p w14:paraId="779423B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Years of residency</w:t>
            </w:r>
          </w:p>
        </w:tc>
        <w:tc>
          <w:tcPr>
            <w:tcW w:w="1493" w:type="pct"/>
            <w:tcBorders>
              <w:top w:val="nil"/>
              <w:bottom w:val="single" w:sz="4" w:space="0" w:color="auto"/>
            </w:tcBorders>
            <w:noWrap/>
            <w:hideMark/>
          </w:tcPr>
          <w:p w14:paraId="092C0D3D" w14:textId="24D7925F"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hideMark/>
          </w:tcPr>
          <w:p w14:paraId="7A048F22" w14:textId="7D1713E9"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3E38B5ED" w14:textId="77777777" w:rsidTr="008E4BE0">
        <w:trPr>
          <w:trHeight w:val="276"/>
        </w:trPr>
        <w:tc>
          <w:tcPr>
            <w:tcW w:w="2015" w:type="pct"/>
            <w:tcBorders>
              <w:top w:val="single" w:sz="4" w:space="0" w:color="auto"/>
            </w:tcBorders>
            <w:noWrap/>
            <w:hideMark/>
          </w:tcPr>
          <w:p w14:paraId="7D4F2E3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1-10 years</w:t>
            </w:r>
          </w:p>
        </w:tc>
        <w:tc>
          <w:tcPr>
            <w:tcW w:w="1493" w:type="pct"/>
            <w:tcBorders>
              <w:top w:val="single" w:sz="4" w:space="0" w:color="auto"/>
            </w:tcBorders>
            <w:noWrap/>
            <w:hideMark/>
          </w:tcPr>
          <w:p w14:paraId="61ABE27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15</w:t>
            </w:r>
          </w:p>
        </w:tc>
        <w:tc>
          <w:tcPr>
            <w:tcW w:w="1492" w:type="pct"/>
            <w:tcBorders>
              <w:top w:val="single" w:sz="4" w:space="0" w:color="auto"/>
            </w:tcBorders>
            <w:noWrap/>
            <w:hideMark/>
          </w:tcPr>
          <w:p w14:paraId="1A1BF953" w14:textId="1478397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15</w:t>
            </w:r>
          </w:p>
        </w:tc>
      </w:tr>
      <w:tr w:rsidR="000C7320" w:rsidRPr="00C579F2" w14:paraId="4E3AA27E" w14:textId="77777777" w:rsidTr="008E4BE0">
        <w:trPr>
          <w:trHeight w:val="276"/>
        </w:trPr>
        <w:tc>
          <w:tcPr>
            <w:tcW w:w="2015" w:type="pct"/>
            <w:noWrap/>
            <w:hideMark/>
          </w:tcPr>
          <w:p w14:paraId="20A81799"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11-20 years</w:t>
            </w:r>
          </w:p>
        </w:tc>
        <w:tc>
          <w:tcPr>
            <w:tcW w:w="1493" w:type="pct"/>
            <w:noWrap/>
            <w:hideMark/>
          </w:tcPr>
          <w:p w14:paraId="6B9DFB8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17</w:t>
            </w:r>
          </w:p>
        </w:tc>
        <w:tc>
          <w:tcPr>
            <w:tcW w:w="1492" w:type="pct"/>
            <w:noWrap/>
            <w:hideMark/>
          </w:tcPr>
          <w:p w14:paraId="26C77E07" w14:textId="634258D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17</w:t>
            </w:r>
          </w:p>
        </w:tc>
      </w:tr>
      <w:tr w:rsidR="000C7320" w:rsidRPr="00C579F2" w14:paraId="1BE76C00" w14:textId="77777777" w:rsidTr="008E4BE0">
        <w:trPr>
          <w:trHeight w:val="276"/>
        </w:trPr>
        <w:tc>
          <w:tcPr>
            <w:tcW w:w="2015" w:type="pct"/>
            <w:noWrap/>
          </w:tcPr>
          <w:p w14:paraId="3A788E5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21-30 years</w:t>
            </w:r>
          </w:p>
        </w:tc>
        <w:tc>
          <w:tcPr>
            <w:tcW w:w="1493" w:type="pct"/>
            <w:noWrap/>
          </w:tcPr>
          <w:p w14:paraId="3DF9A64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c>
          <w:tcPr>
            <w:tcW w:w="1492" w:type="pct"/>
            <w:noWrap/>
          </w:tcPr>
          <w:p w14:paraId="2D6BCEC0" w14:textId="0357D1B5"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16</w:t>
            </w:r>
          </w:p>
        </w:tc>
      </w:tr>
      <w:tr w:rsidR="000C7320" w:rsidRPr="00C579F2" w14:paraId="5E8F60BE" w14:textId="77777777" w:rsidTr="008E4BE0">
        <w:trPr>
          <w:trHeight w:val="276"/>
        </w:trPr>
        <w:tc>
          <w:tcPr>
            <w:tcW w:w="2015" w:type="pct"/>
            <w:noWrap/>
          </w:tcPr>
          <w:p w14:paraId="1827041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31-40 years</w:t>
            </w:r>
          </w:p>
        </w:tc>
        <w:tc>
          <w:tcPr>
            <w:tcW w:w="1493" w:type="pct"/>
            <w:noWrap/>
          </w:tcPr>
          <w:p w14:paraId="2BD4696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19</w:t>
            </w:r>
          </w:p>
        </w:tc>
        <w:tc>
          <w:tcPr>
            <w:tcW w:w="1492" w:type="pct"/>
            <w:noWrap/>
          </w:tcPr>
          <w:p w14:paraId="0EDD6599" w14:textId="5B14C1CD"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19</w:t>
            </w:r>
          </w:p>
        </w:tc>
      </w:tr>
      <w:tr w:rsidR="000C7320" w:rsidRPr="00C579F2" w14:paraId="41DF3A44" w14:textId="77777777" w:rsidTr="008E4BE0">
        <w:trPr>
          <w:trHeight w:val="276"/>
        </w:trPr>
        <w:tc>
          <w:tcPr>
            <w:tcW w:w="2015" w:type="pct"/>
            <w:tcBorders>
              <w:bottom w:val="single" w:sz="4" w:space="0" w:color="auto"/>
            </w:tcBorders>
            <w:noWrap/>
          </w:tcPr>
          <w:p w14:paraId="3D7F41C6"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 xml:space="preserve">41 years and above </w:t>
            </w:r>
          </w:p>
        </w:tc>
        <w:tc>
          <w:tcPr>
            <w:tcW w:w="1493" w:type="pct"/>
            <w:tcBorders>
              <w:bottom w:val="single" w:sz="4" w:space="0" w:color="auto"/>
            </w:tcBorders>
            <w:noWrap/>
          </w:tcPr>
          <w:p w14:paraId="560B203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32</w:t>
            </w:r>
          </w:p>
        </w:tc>
        <w:tc>
          <w:tcPr>
            <w:tcW w:w="1492" w:type="pct"/>
            <w:tcBorders>
              <w:bottom w:val="single" w:sz="4" w:space="0" w:color="auto"/>
            </w:tcBorders>
            <w:noWrap/>
          </w:tcPr>
          <w:p w14:paraId="03DFF5A4" w14:textId="465BC664"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32</w:t>
            </w:r>
          </w:p>
        </w:tc>
      </w:tr>
      <w:tr w:rsidR="000C7320" w:rsidRPr="00C579F2" w14:paraId="52C0F83B" w14:textId="77777777" w:rsidTr="008E4BE0">
        <w:trPr>
          <w:trHeight w:val="276"/>
        </w:trPr>
        <w:tc>
          <w:tcPr>
            <w:tcW w:w="2015" w:type="pct"/>
            <w:tcBorders>
              <w:top w:val="single" w:sz="4" w:space="0" w:color="auto"/>
              <w:bottom w:val="single" w:sz="4" w:space="0" w:color="auto"/>
            </w:tcBorders>
            <w:noWrap/>
          </w:tcPr>
          <w:p w14:paraId="2BCB2A8E" w14:textId="587E3163"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auto"/>
            </w:tcBorders>
            <w:noWrap/>
          </w:tcPr>
          <w:p w14:paraId="2C2C59FC" w14:textId="484FB026"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tcPr>
          <w:p w14:paraId="3C84EE91" w14:textId="3C8FBCD4" w:rsidR="000C732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8E4BE0" w:rsidRPr="00C579F2" w14:paraId="65805929" w14:textId="77777777" w:rsidTr="008E4BE0">
        <w:trPr>
          <w:trHeight w:val="276"/>
        </w:trPr>
        <w:tc>
          <w:tcPr>
            <w:tcW w:w="2015" w:type="pct"/>
            <w:tcBorders>
              <w:top w:val="single" w:sz="4" w:space="0" w:color="auto"/>
              <w:bottom w:val="nil"/>
            </w:tcBorders>
            <w:noWrap/>
          </w:tcPr>
          <w:p w14:paraId="15B6477F"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0CE18C16"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43C7DD44" w14:textId="77777777"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7C5BBA6D" w14:textId="77777777" w:rsidTr="00441632">
        <w:trPr>
          <w:trHeight w:val="75"/>
        </w:trPr>
        <w:tc>
          <w:tcPr>
            <w:tcW w:w="2015" w:type="pct"/>
            <w:tcBorders>
              <w:top w:val="nil"/>
              <w:bottom w:val="single" w:sz="4" w:space="0" w:color="auto"/>
            </w:tcBorders>
            <w:noWrap/>
          </w:tcPr>
          <w:p w14:paraId="4FFFDB2E" w14:textId="77777777" w:rsidR="000C7320" w:rsidRPr="00C579F2" w:rsidRDefault="000C7320" w:rsidP="00547E9C">
            <w:pPr>
              <w:tabs>
                <w:tab w:val="center" w:pos="4680"/>
                <w:tab w:val="right" w:pos="9360"/>
              </w:tabs>
              <w:spacing w:line="240" w:lineRule="auto"/>
              <w:jc w:val="both"/>
              <w:rPr>
                <w:rFonts w:ascii="Times New Roman" w:hAnsi="Times New Roman" w:cs="Times New Roman"/>
                <w:b/>
                <w:bCs/>
              </w:rPr>
            </w:pPr>
            <w:r w:rsidRPr="00C579F2">
              <w:rPr>
                <w:rFonts w:ascii="Times New Roman" w:eastAsia="Times New Roman" w:hAnsi="Times New Roman" w:cs="Times New Roman"/>
                <w:b/>
                <w:bCs/>
                <w:color w:val="000000"/>
                <w:kern w:val="0"/>
                <w14:ligatures w14:val="none"/>
              </w:rPr>
              <w:t>Occupation</w:t>
            </w:r>
          </w:p>
        </w:tc>
        <w:tc>
          <w:tcPr>
            <w:tcW w:w="1493" w:type="pct"/>
            <w:tcBorders>
              <w:top w:val="nil"/>
              <w:bottom w:val="single" w:sz="4" w:space="0" w:color="auto"/>
            </w:tcBorders>
            <w:noWrap/>
          </w:tcPr>
          <w:p w14:paraId="25885532" w14:textId="698AB9D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c>
          <w:tcPr>
            <w:tcW w:w="1492" w:type="pct"/>
            <w:tcBorders>
              <w:top w:val="nil"/>
              <w:bottom w:val="single" w:sz="4" w:space="0" w:color="auto"/>
            </w:tcBorders>
            <w:noWrap/>
          </w:tcPr>
          <w:p w14:paraId="7A391EB3" w14:textId="0A08F3A8"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p>
        </w:tc>
      </w:tr>
      <w:tr w:rsidR="000C7320" w:rsidRPr="00C579F2" w14:paraId="373D7504" w14:textId="77777777" w:rsidTr="008E4BE0">
        <w:trPr>
          <w:trHeight w:val="276"/>
        </w:trPr>
        <w:tc>
          <w:tcPr>
            <w:tcW w:w="2015" w:type="pct"/>
            <w:tcBorders>
              <w:top w:val="single" w:sz="4" w:space="0" w:color="auto"/>
            </w:tcBorders>
            <w:noWrap/>
          </w:tcPr>
          <w:p w14:paraId="660BDC1C"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Artisans</w:t>
            </w:r>
          </w:p>
        </w:tc>
        <w:tc>
          <w:tcPr>
            <w:tcW w:w="1493" w:type="pct"/>
            <w:tcBorders>
              <w:top w:val="single" w:sz="4" w:space="0" w:color="auto"/>
            </w:tcBorders>
            <w:noWrap/>
          </w:tcPr>
          <w:p w14:paraId="7008096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c>
          <w:tcPr>
            <w:tcW w:w="1492" w:type="pct"/>
            <w:tcBorders>
              <w:top w:val="single" w:sz="4" w:space="0" w:color="auto"/>
            </w:tcBorders>
            <w:noWrap/>
          </w:tcPr>
          <w:p w14:paraId="7F5D3EC1" w14:textId="49D6B9E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r>
      <w:tr w:rsidR="000C7320" w:rsidRPr="00C579F2" w14:paraId="6F07D363" w14:textId="77777777" w:rsidTr="008E4BE0">
        <w:trPr>
          <w:trHeight w:val="276"/>
        </w:trPr>
        <w:tc>
          <w:tcPr>
            <w:tcW w:w="2015" w:type="pct"/>
            <w:noWrap/>
          </w:tcPr>
          <w:p w14:paraId="4BBEDA84"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Driver</w:t>
            </w:r>
          </w:p>
        </w:tc>
        <w:tc>
          <w:tcPr>
            <w:tcW w:w="1493" w:type="pct"/>
            <w:noWrap/>
          </w:tcPr>
          <w:p w14:paraId="73D1DF6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7</w:t>
            </w:r>
          </w:p>
        </w:tc>
        <w:tc>
          <w:tcPr>
            <w:tcW w:w="1492" w:type="pct"/>
            <w:noWrap/>
          </w:tcPr>
          <w:p w14:paraId="5574705F" w14:textId="4DA6A90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7</w:t>
            </w:r>
          </w:p>
        </w:tc>
      </w:tr>
      <w:tr w:rsidR="000C7320" w:rsidRPr="00C579F2" w14:paraId="500DD687" w14:textId="77777777" w:rsidTr="008E4BE0">
        <w:trPr>
          <w:trHeight w:val="276"/>
        </w:trPr>
        <w:tc>
          <w:tcPr>
            <w:tcW w:w="2015" w:type="pct"/>
            <w:noWrap/>
          </w:tcPr>
          <w:p w14:paraId="1A4565D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Pensioner</w:t>
            </w:r>
          </w:p>
        </w:tc>
        <w:tc>
          <w:tcPr>
            <w:tcW w:w="1493" w:type="pct"/>
            <w:noWrap/>
          </w:tcPr>
          <w:p w14:paraId="7361B48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p>
        </w:tc>
        <w:tc>
          <w:tcPr>
            <w:tcW w:w="1492" w:type="pct"/>
            <w:noWrap/>
          </w:tcPr>
          <w:p w14:paraId="0656EEA5" w14:textId="0DAEA69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4</w:t>
            </w:r>
          </w:p>
        </w:tc>
      </w:tr>
      <w:tr w:rsidR="000C7320" w:rsidRPr="00C579F2" w14:paraId="48FA5296" w14:textId="77777777" w:rsidTr="008E4BE0">
        <w:trPr>
          <w:trHeight w:val="276"/>
        </w:trPr>
        <w:tc>
          <w:tcPr>
            <w:tcW w:w="2015" w:type="pct"/>
            <w:noWrap/>
          </w:tcPr>
          <w:p w14:paraId="3DEBE7CA"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Teacher</w:t>
            </w:r>
          </w:p>
        </w:tc>
        <w:tc>
          <w:tcPr>
            <w:tcW w:w="1493" w:type="pct"/>
            <w:noWrap/>
          </w:tcPr>
          <w:p w14:paraId="1E27F5B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w:t>
            </w:r>
          </w:p>
        </w:tc>
        <w:tc>
          <w:tcPr>
            <w:tcW w:w="1492" w:type="pct"/>
            <w:noWrap/>
          </w:tcPr>
          <w:p w14:paraId="7E0961D0" w14:textId="003ABCA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w:t>
            </w:r>
          </w:p>
        </w:tc>
      </w:tr>
      <w:tr w:rsidR="000C7320" w:rsidRPr="00C579F2" w14:paraId="28BDFDC5" w14:textId="77777777" w:rsidTr="008E4BE0">
        <w:trPr>
          <w:trHeight w:val="276"/>
        </w:trPr>
        <w:tc>
          <w:tcPr>
            <w:tcW w:w="2015" w:type="pct"/>
            <w:noWrap/>
          </w:tcPr>
          <w:p w14:paraId="463F1F3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Trading</w:t>
            </w:r>
          </w:p>
        </w:tc>
        <w:tc>
          <w:tcPr>
            <w:tcW w:w="1493" w:type="pct"/>
            <w:noWrap/>
          </w:tcPr>
          <w:p w14:paraId="7E9DF2FF"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59</w:t>
            </w:r>
          </w:p>
        </w:tc>
        <w:tc>
          <w:tcPr>
            <w:tcW w:w="1492" w:type="pct"/>
            <w:noWrap/>
          </w:tcPr>
          <w:p w14:paraId="0C80154E" w14:textId="68648140"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60</w:t>
            </w:r>
          </w:p>
        </w:tc>
      </w:tr>
      <w:tr w:rsidR="000C7320" w:rsidRPr="00C579F2" w14:paraId="6A56D7D3" w14:textId="77777777" w:rsidTr="008E4BE0">
        <w:trPr>
          <w:trHeight w:val="276"/>
        </w:trPr>
        <w:tc>
          <w:tcPr>
            <w:tcW w:w="2015" w:type="pct"/>
            <w:tcBorders>
              <w:bottom w:val="single" w:sz="4" w:space="0" w:color="auto"/>
            </w:tcBorders>
            <w:noWrap/>
          </w:tcPr>
          <w:p w14:paraId="1BBD3D6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Unemployed</w:t>
            </w:r>
          </w:p>
        </w:tc>
        <w:tc>
          <w:tcPr>
            <w:tcW w:w="1493" w:type="pct"/>
            <w:tcBorders>
              <w:bottom w:val="single" w:sz="4" w:space="0" w:color="auto"/>
            </w:tcBorders>
            <w:noWrap/>
          </w:tcPr>
          <w:p w14:paraId="45E9027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18</w:t>
            </w:r>
          </w:p>
        </w:tc>
        <w:tc>
          <w:tcPr>
            <w:tcW w:w="1492" w:type="pct"/>
            <w:tcBorders>
              <w:bottom w:val="single" w:sz="4" w:space="0" w:color="auto"/>
            </w:tcBorders>
            <w:noWrap/>
          </w:tcPr>
          <w:p w14:paraId="1710609B" w14:textId="72BF56A1"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18</w:t>
            </w:r>
          </w:p>
        </w:tc>
      </w:tr>
      <w:tr w:rsidR="008E4BE0" w:rsidRPr="00C579F2" w14:paraId="4BCEEA3E" w14:textId="77777777" w:rsidTr="008E4BE0">
        <w:trPr>
          <w:trHeight w:val="276"/>
        </w:trPr>
        <w:tc>
          <w:tcPr>
            <w:tcW w:w="2015" w:type="pct"/>
            <w:tcBorders>
              <w:top w:val="single" w:sz="4" w:space="0" w:color="auto"/>
              <w:bottom w:val="single" w:sz="4" w:space="0" w:color="7F7F7F" w:themeColor="text1" w:themeTint="80"/>
            </w:tcBorders>
            <w:noWrap/>
          </w:tcPr>
          <w:p w14:paraId="20A2985D" w14:textId="351F55A6"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b/>
                <w:bCs/>
                <w:color w:val="000000"/>
                <w:kern w:val="0"/>
                <w14:ligatures w14:val="none"/>
              </w:rPr>
              <w:t xml:space="preserve">Total </w:t>
            </w:r>
          </w:p>
        </w:tc>
        <w:tc>
          <w:tcPr>
            <w:tcW w:w="1493" w:type="pct"/>
            <w:tcBorders>
              <w:top w:val="single" w:sz="4" w:space="0" w:color="auto"/>
              <w:bottom w:val="single" w:sz="4" w:space="0" w:color="7F7F7F" w:themeColor="text1" w:themeTint="80"/>
            </w:tcBorders>
            <w:noWrap/>
          </w:tcPr>
          <w:p w14:paraId="18BBF20B" w14:textId="0E258066"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7D4143B1" w14:textId="4FBB7A48" w:rsidR="008E4BE0" w:rsidRPr="00C579F2" w:rsidRDefault="008E4BE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b/>
                <w:bCs/>
                <w:color w:val="000000"/>
                <w:kern w:val="0"/>
                <w14:ligatures w14:val="none"/>
              </w:rPr>
              <w:t>100%</w:t>
            </w:r>
          </w:p>
        </w:tc>
      </w:tr>
    </w:tbl>
    <w:p w14:paraId="0B325703" w14:textId="5C84B91E" w:rsidR="000C7320" w:rsidRPr="00C579F2" w:rsidRDefault="000C7320" w:rsidP="007558AF">
      <w:pPr>
        <w:spacing w:line="240" w:lineRule="auto"/>
        <w:jc w:val="center"/>
        <w:rPr>
          <w:rFonts w:ascii="Times New Roman" w:hAnsi="Times New Roman" w:cs="Times New Roman"/>
        </w:rPr>
      </w:pPr>
      <w:r w:rsidRPr="00C579F2">
        <w:rPr>
          <w:rFonts w:ascii="Times New Roman" w:hAnsi="Times New Roman" w:cs="Times New Roman"/>
        </w:rPr>
        <w:t xml:space="preserve">Source: </w:t>
      </w:r>
      <w:r w:rsidR="00FB3E11" w:rsidRPr="00C579F2">
        <w:rPr>
          <w:rFonts w:ascii="Times New Roman" w:hAnsi="Times New Roman" w:cs="Times New Roman"/>
        </w:rPr>
        <w:t>Authors'</w:t>
      </w:r>
      <w:r w:rsidRPr="00C579F2">
        <w:rPr>
          <w:rFonts w:ascii="Times New Roman" w:hAnsi="Times New Roman" w:cs="Times New Roman"/>
        </w:rPr>
        <w:t xml:space="preserve"> Construct</w:t>
      </w:r>
    </w:p>
    <w:p w14:paraId="2540BD12" w14:textId="07066FC0" w:rsidR="000C7320" w:rsidRPr="00C579F2" w:rsidRDefault="0041757D" w:rsidP="00547E9C">
      <w:pPr>
        <w:jc w:val="both"/>
        <w:rPr>
          <w:rFonts w:ascii="Times New Roman" w:hAnsi="Times New Roman" w:cs="Times New Roman"/>
          <w:b/>
          <w:bCs/>
        </w:rPr>
      </w:pPr>
      <w:bookmarkStart w:id="5" w:name="_Toc176327310"/>
      <w:r w:rsidRPr="00C579F2">
        <w:rPr>
          <w:rFonts w:ascii="Times New Roman" w:hAnsi="Times New Roman" w:cs="Times New Roman"/>
          <w:b/>
          <w:bCs/>
        </w:rPr>
        <w:t xml:space="preserve">4.1.4 </w:t>
      </w:r>
      <w:r w:rsidR="000C7320" w:rsidRPr="00C579F2">
        <w:rPr>
          <w:rFonts w:ascii="Times New Roman" w:hAnsi="Times New Roman" w:cs="Times New Roman"/>
          <w:b/>
          <w:bCs/>
        </w:rPr>
        <w:t>Education and Income Levels of Respondents</w:t>
      </w:r>
      <w:bookmarkEnd w:id="5"/>
    </w:p>
    <w:p w14:paraId="76859DC1" w14:textId="32324797" w:rsidR="00CE692C" w:rsidRPr="00CC586F" w:rsidRDefault="00C27BFB" w:rsidP="00547E9C">
      <w:pPr>
        <w:spacing w:line="240" w:lineRule="auto"/>
        <w:jc w:val="both"/>
        <w:rPr>
          <w:rFonts w:ascii="Times New Roman" w:hAnsi="Times New Roman" w:cs="Times New Roman"/>
          <w:i/>
          <w:iCs/>
        </w:rPr>
      </w:pPr>
      <w:r w:rsidRPr="00CC586F">
        <w:rPr>
          <w:rFonts w:ascii="Times New Roman" w:hAnsi="Times New Roman" w:cs="Times New Roman"/>
        </w:rPr>
        <w:t xml:space="preserve">As shown in Table 4, </w:t>
      </w:r>
      <w:r w:rsidR="00CC586F" w:rsidRPr="00CC586F">
        <w:rPr>
          <w:rFonts w:ascii="Times New Roman" w:hAnsi="Times New Roman" w:cs="Times New Roman"/>
        </w:rPr>
        <w:t>Low education (66% only up to secondary) and low incomes (79% earning less than GHC 1000 monthly) reflect structural vulnerabilities. Limited literacy and financial resources reduce residents’ bargaining power in land transactions and heighten their susceptibility to tenure insecurity</w:t>
      </w:r>
      <w:r w:rsidRPr="00CC586F">
        <w:rPr>
          <w:rFonts w:ascii="Times New Roman" w:hAnsi="Times New Roman" w:cs="Times New Roman"/>
        </w:rPr>
        <w:t>.</w:t>
      </w:r>
    </w:p>
    <w:p w14:paraId="2FE3B624" w14:textId="5471C45F" w:rsidR="000C7320" w:rsidRPr="00C579F2" w:rsidRDefault="000C7320" w:rsidP="007558AF">
      <w:pPr>
        <w:spacing w:line="240" w:lineRule="auto"/>
        <w:jc w:val="center"/>
        <w:rPr>
          <w:rFonts w:ascii="Times New Roman" w:hAnsi="Times New Roman" w:cs="Times New Roman"/>
          <w:b/>
          <w:bCs/>
        </w:rPr>
      </w:pPr>
      <w:r w:rsidRPr="00C579F2">
        <w:rPr>
          <w:rFonts w:ascii="Times New Roman" w:hAnsi="Times New Roman" w:cs="Times New Roman"/>
          <w:b/>
          <w:bCs/>
        </w:rPr>
        <w:t xml:space="preserve">Table 4: Education and Income </w:t>
      </w:r>
      <w:r w:rsidR="00FB3E11" w:rsidRPr="00C579F2">
        <w:rPr>
          <w:rFonts w:ascii="Times New Roman" w:hAnsi="Times New Roman" w:cs="Times New Roman"/>
          <w:b/>
          <w:bCs/>
        </w:rPr>
        <w:t>Levels</w:t>
      </w:r>
      <w:r w:rsidRPr="00C579F2">
        <w:rPr>
          <w:rFonts w:ascii="Times New Roman" w:hAnsi="Times New Roman" w:cs="Times New Roman"/>
          <w:b/>
          <w:bCs/>
        </w:rPr>
        <w:t xml:space="preserve"> of </w:t>
      </w:r>
      <w:r w:rsidR="00FB3E11" w:rsidRPr="00C579F2">
        <w:rPr>
          <w:rFonts w:ascii="Times New Roman" w:hAnsi="Times New Roman" w:cs="Times New Roman"/>
          <w:b/>
          <w:bCs/>
        </w:rPr>
        <w:t>Respondents</w:t>
      </w:r>
    </w:p>
    <w:tbl>
      <w:tblPr>
        <w:tblStyle w:val="PlainTable2"/>
        <w:tblW w:w="5000" w:type="pct"/>
        <w:tblLook w:val="0620" w:firstRow="1" w:lastRow="0" w:firstColumn="0" w:lastColumn="0" w:noHBand="1" w:noVBand="1"/>
      </w:tblPr>
      <w:tblGrid>
        <w:gridCol w:w="3772"/>
        <w:gridCol w:w="2795"/>
        <w:gridCol w:w="2793"/>
      </w:tblGrid>
      <w:tr w:rsidR="000C7320" w:rsidRPr="00C579F2" w14:paraId="00FE75F2" w14:textId="77777777" w:rsidTr="000C7320">
        <w:trPr>
          <w:cnfStyle w:val="100000000000" w:firstRow="1" w:lastRow="0" w:firstColumn="0" w:lastColumn="0" w:oddVBand="0" w:evenVBand="0" w:oddHBand="0" w:evenHBand="0" w:firstRowFirstColumn="0" w:firstRowLastColumn="0" w:lastRowFirstColumn="0" w:lastRowLastColumn="0"/>
        </w:trPr>
        <w:tc>
          <w:tcPr>
            <w:tcW w:w="2015" w:type="pct"/>
            <w:tcBorders>
              <w:top w:val="single" w:sz="18" w:space="0" w:color="000000" w:themeColor="text1"/>
              <w:bottom w:val="nil"/>
            </w:tcBorders>
          </w:tcPr>
          <w:p w14:paraId="4DCF45EA"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lastRenderedPageBreak/>
              <w:t xml:space="preserve">Demographics </w:t>
            </w:r>
          </w:p>
        </w:tc>
        <w:tc>
          <w:tcPr>
            <w:tcW w:w="1493" w:type="pct"/>
            <w:tcBorders>
              <w:top w:val="single" w:sz="18" w:space="0" w:color="000000" w:themeColor="text1"/>
              <w:bottom w:val="nil"/>
            </w:tcBorders>
          </w:tcPr>
          <w:p w14:paraId="23B9FCBF"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Frequency</w:t>
            </w:r>
          </w:p>
        </w:tc>
        <w:tc>
          <w:tcPr>
            <w:tcW w:w="1492" w:type="pct"/>
            <w:tcBorders>
              <w:top w:val="single" w:sz="18" w:space="0" w:color="000000" w:themeColor="text1"/>
              <w:bottom w:val="nil"/>
            </w:tcBorders>
          </w:tcPr>
          <w:p w14:paraId="312203F4"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r w:rsidRPr="00C579F2">
              <w:rPr>
                <w:rFonts w:ascii="Times New Roman" w:hAnsi="Times New Roman" w:cs="Times New Roman"/>
              </w:rPr>
              <w:t>Percentage</w:t>
            </w:r>
          </w:p>
        </w:tc>
      </w:tr>
      <w:tr w:rsidR="000C7320" w:rsidRPr="00C579F2" w14:paraId="500ABE81" w14:textId="77777777" w:rsidTr="00FB3E11">
        <w:tc>
          <w:tcPr>
            <w:tcW w:w="2015" w:type="pct"/>
            <w:tcBorders>
              <w:top w:val="nil"/>
              <w:bottom w:val="single" w:sz="18" w:space="0" w:color="000000" w:themeColor="text1"/>
            </w:tcBorders>
          </w:tcPr>
          <w:p w14:paraId="3CFF7146"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3" w:type="pct"/>
            <w:tcBorders>
              <w:top w:val="nil"/>
              <w:bottom w:val="single" w:sz="18" w:space="0" w:color="000000" w:themeColor="text1"/>
            </w:tcBorders>
          </w:tcPr>
          <w:p w14:paraId="2EA9524A"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c>
          <w:tcPr>
            <w:tcW w:w="1492" w:type="pct"/>
            <w:tcBorders>
              <w:top w:val="nil"/>
              <w:bottom w:val="single" w:sz="18" w:space="0" w:color="000000" w:themeColor="text1"/>
            </w:tcBorders>
          </w:tcPr>
          <w:p w14:paraId="30C6A73E" w14:textId="77777777" w:rsidR="000C7320" w:rsidRPr="00C579F2" w:rsidRDefault="000C7320" w:rsidP="00547E9C">
            <w:pPr>
              <w:tabs>
                <w:tab w:val="center" w:pos="4680"/>
                <w:tab w:val="right" w:pos="9360"/>
              </w:tabs>
              <w:spacing w:line="240" w:lineRule="auto"/>
              <w:jc w:val="both"/>
              <w:rPr>
                <w:rFonts w:ascii="Times New Roman" w:hAnsi="Times New Roman" w:cs="Times New Roman"/>
              </w:rPr>
            </w:pPr>
          </w:p>
        </w:tc>
      </w:tr>
      <w:tr w:rsidR="000C7320" w:rsidRPr="00C579F2" w14:paraId="547CAD7A" w14:textId="77777777" w:rsidTr="00FB3E11">
        <w:trPr>
          <w:trHeight w:val="276"/>
        </w:trPr>
        <w:tc>
          <w:tcPr>
            <w:tcW w:w="2015" w:type="pct"/>
            <w:tcBorders>
              <w:top w:val="single" w:sz="18" w:space="0" w:color="000000" w:themeColor="text1"/>
              <w:bottom w:val="single" w:sz="4" w:space="0" w:color="auto"/>
            </w:tcBorders>
            <w:noWrap/>
            <w:hideMark/>
          </w:tcPr>
          <w:p w14:paraId="53FB6C2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Level of education</w:t>
            </w:r>
          </w:p>
        </w:tc>
        <w:tc>
          <w:tcPr>
            <w:tcW w:w="1493" w:type="pct"/>
            <w:tcBorders>
              <w:top w:val="single" w:sz="18" w:space="0" w:color="000000" w:themeColor="text1"/>
              <w:bottom w:val="single" w:sz="4" w:space="0" w:color="auto"/>
            </w:tcBorders>
            <w:noWrap/>
            <w:hideMark/>
          </w:tcPr>
          <w:p w14:paraId="6F70F592" w14:textId="5E5B233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18" w:space="0" w:color="000000" w:themeColor="text1"/>
              <w:bottom w:val="single" w:sz="4" w:space="0" w:color="auto"/>
            </w:tcBorders>
            <w:noWrap/>
            <w:hideMark/>
          </w:tcPr>
          <w:p w14:paraId="5B89E756" w14:textId="6963A19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24168D69" w14:textId="77777777" w:rsidTr="00FB3E11">
        <w:trPr>
          <w:trHeight w:val="276"/>
        </w:trPr>
        <w:tc>
          <w:tcPr>
            <w:tcW w:w="2015" w:type="pct"/>
            <w:tcBorders>
              <w:top w:val="single" w:sz="4" w:space="0" w:color="auto"/>
            </w:tcBorders>
            <w:noWrap/>
            <w:hideMark/>
          </w:tcPr>
          <w:p w14:paraId="4E17F5FD"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No formal education</w:t>
            </w:r>
          </w:p>
        </w:tc>
        <w:tc>
          <w:tcPr>
            <w:tcW w:w="1493" w:type="pct"/>
            <w:tcBorders>
              <w:top w:val="single" w:sz="4" w:space="0" w:color="auto"/>
            </w:tcBorders>
            <w:noWrap/>
            <w:hideMark/>
          </w:tcPr>
          <w:p w14:paraId="0844CE7E"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24</w:t>
            </w:r>
          </w:p>
        </w:tc>
        <w:tc>
          <w:tcPr>
            <w:tcW w:w="1492" w:type="pct"/>
            <w:tcBorders>
              <w:top w:val="single" w:sz="4" w:space="0" w:color="auto"/>
            </w:tcBorders>
            <w:noWrap/>
            <w:hideMark/>
          </w:tcPr>
          <w:p w14:paraId="52B27A9C" w14:textId="7F43858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24</w:t>
            </w:r>
          </w:p>
        </w:tc>
      </w:tr>
      <w:tr w:rsidR="000C7320" w:rsidRPr="00C579F2" w14:paraId="12AFD314" w14:textId="77777777" w:rsidTr="000C7320">
        <w:trPr>
          <w:trHeight w:val="276"/>
        </w:trPr>
        <w:tc>
          <w:tcPr>
            <w:tcW w:w="2015" w:type="pct"/>
            <w:noWrap/>
            <w:hideMark/>
          </w:tcPr>
          <w:p w14:paraId="103BCDB7"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Primary education</w:t>
            </w:r>
          </w:p>
        </w:tc>
        <w:tc>
          <w:tcPr>
            <w:tcW w:w="1493" w:type="pct"/>
            <w:noWrap/>
            <w:hideMark/>
          </w:tcPr>
          <w:p w14:paraId="614F8D6A"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37</w:t>
            </w:r>
          </w:p>
        </w:tc>
        <w:tc>
          <w:tcPr>
            <w:tcW w:w="1492" w:type="pct"/>
            <w:noWrap/>
            <w:hideMark/>
          </w:tcPr>
          <w:p w14:paraId="43F11498" w14:textId="73758A3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37</w:t>
            </w:r>
          </w:p>
        </w:tc>
      </w:tr>
      <w:tr w:rsidR="000C7320" w:rsidRPr="00C579F2" w14:paraId="01B05042" w14:textId="77777777" w:rsidTr="00FB3E11">
        <w:trPr>
          <w:trHeight w:val="276"/>
        </w:trPr>
        <w:tc>
          <w:tcPr>
            <w:tcW w:w="2015" w:type="pct"/>
            <w:tcBorders>
              <w:bottom w:val="nil"/>
            </w:tcBorders>
            <w:noWrap/>
            <w:hideMark/>
          </w:tcPr>
          <w:p w14:paraId="7E41612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Secondary education</w:t>
            </w:r>
          </w:p>
        </w:tc>
        <w:tc>
          <w:tcPr>
            <w:tcW w:w="1493" w:type="pct"/>
            <w:tcBorders>
              <w:bottom w:val="nil"/>
            </w:tcBorders>
            <w:noWrap/>
            <w:hideMark/>
          </w:tcPr>
          <w:p w14:paraId="2D3932E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29</w:t>
            </w:r>
          </w:p>
        </w:tc>
        <w:tc>
          <w:tcPr>
            <w:tcW w:w="1492" w:type="pct"/>
            <w:tcBorders>
              <w:bottom w:val="nil"/>
            </w:tcBorders>
            <w:noWrap/>
            <w:hideMark/>
          </w:tcPr>
          <w:p w14:paraId="06623C4F" w14:textId="1D80DB9B"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29</w:t>
            </w:r>
          </w:p>
        </w:tc>
      </w:tr>
      <w:tr w:rsidR="000C7320" w:rsidRPr="00C579F2" w14:paraId="7FE6C694" w14:textId="77777777" w:rsidTr="007572AA">
        <w:trPr>
          <w:trHeight w:val="276"/>
        </w:trPr>
        <w:tc>
          <w:tcPr>
            <w:tcW w:w="2015" w:type="pct"/>
            <w:tcBorders>
              <w:top w:val="nil"/>
              <w:bottom w:val="single" w:sz="4" w:space="0" w:color="auto"/>
            </w:tcBorders>
            <w:noWrap/>
            <w:hideMark/>
          </w:tcPr>
          <w:p w14:paraId="6403B83C"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Tertiary education</w:t>
            </w:r>
          </w:p>
        </w:tc>
        <w:tc>
          <w:tcPr>
            <w:tcW w:w="1493" w:type="pct"/>
            <w:tcBorders>
              <w:top w:val="nil"/>
              <w:bottom w:val="single" w:sz="4" w:space="0" w:color="auto"/>
            </w:tcBorders>
            <w:noWrap/>
            <w:hideMark/>
          </w:tcPr>
          <w:p w14:paraId="7DBFC1D8"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c>
          <w:tcPr>
            <w:tcW w:w="1492" w:type="pct"/>
            <w:tcBorders>
              <w:top w:val="nil"/>
              <w:bottom w:val="single" w:sz="4" w:space="0" w:color="auto"/>
            </w:tcBorders>
            <w:noWrap/>
            <w:hideMark/>
          </w:tcPr>
          <w:p w14:paraId="407C6977" w14:textId="531D1379"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9</w:t>
            </w:r>
          </w:p>
        </w:tc>
      </w:tr>
      <w:tr w:rsidR="000C7320" w:rsidRPr="00C579F2" w14:paraId="59D014C1" w14:textId="77777777" w:rsidTr="007572AA">
        <w:trPr>
          <w:trHeight w:val="276"/>
        </w:trPr>
        <w:tc>
          <w:tcPr>
            <w:tcW w:w="2015" w:type="pct"/>
            <w:tcBorders>
              <w:top w:val="single" w:sz="4" w:space="0" w:color="auto"/>
              <w:bottom w:val="single" w:sz="4" w:space="0" w:color="auto"/>
            </w:tcBorders>
            <w:noWrap/>
            <w:hideMark/>
          </w:tcPr>
          <w:p w14:paraId="535D1F7D" w14:textId="196CF84E" w:rsidR="000C7320"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auto"/>
            </w:tcBorders>
            <w:noWrap/>
            <w:hideMark/>
          </w:tcPr>
          <w:p w14:paraId="368DE4D7" w14:textId="049CDE03" w:rsidR="000C7320"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auto"/>
            </w:tcBorders>
            <w:noWrap/>
            <w:hideMark/>
          </w:tcPr>
          <w:p w14:paraId="7C90CB31" w14:textId="7CB21459" w:rsidR="000C7320"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r w:rsidR="007572AA" w:rsidRPr="00C579F2" w14:paraId="580F13CE" w14:textId="77777777" w:rsidTr="007572AA">
        <w:trPr>
          <w:trHeight w:val="276"/>
        </w:trPr>
        <w:tc>
          <w:tcPr>
            <w:tcW w:w="2015" w:type="pct"/>
            <w:tcBorders>
              <w:top w:val="single" w:sz="4" w:space="0" w:color="auto"/>
              <w:bottom w:val="nil"/>
            </w:tcBorders>
            <w:noWrap/>
          </w:tcPr>
          <w:p w14:paraId="6EC2941A" w14:textId="77777777"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3" w:type="pct"/>
            <w:tcBorders>
              <w:top w:val="single" w:sz="4" w:space="0" w:color="auto"/>
              <w:bottom w:val="nil"/>
            </w:tcBorders>
            <w:noWrap/>
          </w:tcPr>
          <w:p w14:paraId="39B89EC9" w14:textId="77777777"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single" w:sz="4" w:space="0" w:color="auto"/>
              <w:bottom w:val="nil"/>
            </w:tcBorders>
            <w:noWrap/>
          </w:tcPr>
          <w:p w14:paraId="7AB049E0" w14:textId="77777777"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0BD7D30C" w14:textId="77777777" w:rsidTr="007572AA">
        <w:trPr>
          <w:trHeight w:val="276"/>
        </w:trPr>
        <w:tc>
          <w:tcPr>
            <w:tcW w:w="2015" w:type="pct"/>
            <w:tcBorders>
              <w:top w:val="nil"/>
              <w:bottom w:val="single" w:sz="4" w:space="0" w:color="auto"/>
            </w:tcBorders>
            <w:noWrap/>
            <w:hideMark/>
          </w:tcPr>
          <w:p w14:paraId="4238FD1B"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Income level</w:t>
            </w:r>
          </w:p>
        </w:tc>
        <w:tc>
          <w:tcPr>
            <w:tcW w:w="1493" w:type="pct"/>
            <w:tcBorders>
              <w:top w:val="nil"/>
              <w:bottom w:val="single" w:sz="4" w:space="0" w:color="auto"/>
            </w:tcBorders>
            <w:noWrap/>
            <w:hideMark/>
          </w:tcPr>
          <w:p w14:paraId="1F52D59E" w14:textId="0ED3EE9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c>
          <w:tcPr>
            <w:tcW w:w="1492" w:type="pct"/>
            <w:tcBorders>
              <w:top w:val="nil"/>
              <w:bottom w:val="single" w:sz="4" w:space="0" w:color="auto"/>
            </w:tcBorders>
            <w:noWrap/>
            <w:hideMark/>
          </w:tcPr>
          <w:p w14:paraId="47D9DBF3" w14:textId="7375996E"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p>
        </w:tc>
      </w:tr>
      <w:tr w:rsidR="000C7320" w:rsidRPr="00C579F2" w14:paraId="5D97E4D2" w14:textId="77777777" w:rsidTr="007572AA">
        <w:trPr>
          <w:trHeight w:val="276"/>
        </w:trPr>
        <w:tc>
          <w:tcPr>
            <w:tcW w:w="2015" w:type="pct"/>
            <w:tcBorders>
              <w:top w:val="single" w:sz="4" w:space="0" w:color="auto"/>
            </w:tcBorders>
            <w:noWrap/>
            <w:hideMark/>
          </w:tcPr>
          <w:p w14:paraId="71C817B2"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Less than 500 cedis</w:t>
            </w:r>
          </w:p>
        </w:tc>
        <w:tc>
          <w:tcPr>
            <w:tcW w:w="1493" w:type="pct"/>
            <w:tcBorders>
              <w:top w:val="single" w:sz="4" w:space="0" w:color="auto"/>
            </w:tcBorders>
            <w:noWrap/>
            <w:hideMark/>
          </w:tcPr>
          <w:p w14:paraId="24420B8A"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27</w:t>
            </w:r>
          </w:p>
        </w:tc>
        <w:tc>
          <w:tcPr>
            <w:tcW w:w="1492" w:type="pct"/>
            <w:tcBorders>
              <w:top w:val="single" w:sz="4" w:space="0" w:color="auto"/>
            </w:tcBorders>
            <w:noWrap/>
            <w:hideMark/>
          </w:tcPr>
          <w:p w14:paraId="14C17AFC" w14:textId="457D37B2"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31</w:t>
            </w:r>
          </w:p>
        </w:tc>
      </w:tr>
      <w:tr w:rsidR="000C7320" w:rsidRPr="00C579F2" w14:paraId="69F8F47E" w14:textId="77777777" w:rsidTr="000C7320">
        <w:trPr>
          <w:trHeight w:val="276"/>
        </w:trPr>
        <w:tc>
          <w:tcPr>
            <w:tcW w:w="2015" w:type="pct"/>
            <w:noWrap/>
            <w:hideMark/>
          </w:tcPr>
          <w:p w14:paraId="27322CE0"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Between 500 and 1000 cedis</w:t>
            </w:r>
          </w:p>
        </w:tc>
        <w:tc>
          <w:tcPr>
            <w:tcW w:w="1493" w:type="pct"/>
            <w:noWrap/>
            <w:hideMark/>
          </w:tcPr>
          <w:p w14:paraId="4AF04605"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42</w:t>
            </w:r>
          </w:p>
        </w:tc>
        <w:tc>
          <w:tcPr>
            <w:tcW w:w="1492" w:type="pct"/>
            <w:noWrap/>
            <w:hideMark/>
          </w:tcPr>
          <w:p w14:paraId="7EBB13F1" w14:textId="6FCE92BC"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kern w:val="0"/>
                <w14:ligatures w14:val="none"/>
              </w:rPr>
            </w:pPr>
            <w:r w:rsidRPr="00C579F2">
              <w:rPr>
                <w:rFonts w:ascii="Times New Roman" w:eastAsia="Times New Roman" w:hAnsi="Times New Roman" w:cs="Times New Roman"/>
                <w:color w:val="000000"/>
                <w:kern w:val="0"/>
                <w14:ligatures w14:val="none"/>
              </w:rPr>
              <w:t>48</w:t>
            </w:r>
          </w:p>
        </w:tc>
      </w:tr>
      <w:tr w:rsidR="000C7320" w:rsidRPr="00C579F2" w14:paraId="4E6CE899" w14:textId="77777777" w:rsidTr="000C7320">
        <w:trPr>
          <w:trHeight w:val="276"/>
        </w:trPr>
        <w:tc>
          <w:tcPr>
            <w:tcW w:w="2015" w:type="pct"/>
            <w:noWrap/>
          </w:tcPr>
          <w:p w14:paraId="0EC86E0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Between 1100 and 1900</w:t>
            </w:r>
          </w:p>
        </w:tc>
        <w:tc>
          <w:tcPr>
            <w:tcW w:w="1493" w:type="pct"/>
            <w:noWrap/>
          </w:tcPr>
          <w:p w14:paraId="3A30C2E1"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11</w:t>
            </w:r>
          </w:p>
        </w:tc>
        <w:tc>
          <w:tcPr>
            <w:tcW w:w="1492" w:type="pct"/>
            <w:noWrap/>
          </w:tcPr>
          <w:p w14:paraId="7BB0F326" w14:textId="62E025CA"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13</w:t>
            </w:r>
          </w:p>
        </w:tc>
      </w:tr>
      <w:tr w:rsidR="000C7320" w:rsidRPr="00C579F2" w14:paraId="25232986" w14:textId="77777777" w:rsidTr="007572AA">
        <w:trPr>
          <w:trHeight w:val="276"/>
        </w:trPr>
        <w:tc>
          <w:tcPr>
            <w:tcW w:w="2015" w:type="pct"/>
            <w:tcBorders>
              <w:bottom w:val="single" w:sz="4" w:space="0" w:color="auto"/>
            </w:tcBorders>
            <w:noWrap/>
          </w:tcPr>
          <w:p w14:paraId="43240FB9" w14:textId="2D94EE0D"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2000</w:t>
            </w:r>
            <w:r w:rsidR="007572AA" w:rsidRPr="00C579F2">
              <w:rPr>
                <w:rFonts w:ascii="Times New Roman" w:eastAsia="Times New Roman" w:hAnsi="Times New Roman" w:cs="Times New Roman"/>
                <w:color w:val="000000"/>
                <w:kern w:val="0"/>
                <w14:ligatures w14:val="none"/>
              </w:rPr>
              <w:t xml:space="preserve"> </w:t>
            </w:r>
            <w:r w:rsidRPr="00C579F2">
              <w:rPr>
                <w:rFonts w:ascii="Times New Roman" w:eastAsia="Times New Roman" w:hAnsi="Times New Roman" w:cs="Times New Roman"/>
                <w:color w:val="000000"/>
                <w:kern w:val="0"/>
                <w14:ligatures w14:val="none"/>
              </w:rPr>
              <w:t>cedis and above</w:t>
            </w:r>
          </w:p>
        </w:tc>
        <w:tc>
          <w:tcPr>
            <w:tcW w:w="1493" w:type="pct"/>
            <w:tcBorders>
              <w:bottom w:val="single" w:sz="4" w:space="0" w:color="auto"/>
            </w:tcBorders>
            <w:noWrap/>
          </w:tcPr>
          <w:p w14:paraId="597BF363" w14:textId="77777777"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7</w:t>
            </w:r>
          </w:p>
        </w:tc>
        <w:tc>
          <w:tcPr>
            <w:tcW w:w="1492" w:type="pct"/>
            <w:tcBorders>
              <w:bottom w:val="single" w:sz="4" w:space="0" w:color="auto"/>
            </w:tcBorders>
            <w:noWrap/>
          </w:tcPr>
          <w:p w14:paraId="03350C3D" w14:textId="4C169B03" w:rsidR="000C7320" w:rsidRPr="00C579F2" w:rsidRDefault="000C7320" w:rsidP="00547E9C">
            <w:pPr>
              <w:tabs>
                <w:tab w:val="center" w:pos="4680"/>
                <w:tab w:val="right" w:pos="9360"/>
              </w:tabs>
              <w:spacing w:line="240" w:lineRule="auto"/>
              <w:jc w:val="both"/>
              <w:rPr>
                <w:rFonts w:ascii="Times New Roman" w:eastAsia="Times New Roman" w:hAnsi="Times New Roman" w:cs="Times New Roman"/>
                <w:color w:val="000000"/>
                <w:kern w:val="0"/>
                <w14:ligatures w14:val="none"/>
              </w:rPr>
            </w:pPr>
            <w:r w:rsidRPr="00C579F2">
              <w:rPr>
                <w:rFonts w:ascii="Times New Roman" w:eastAsia="Times New Roman" w:hAnsi="Times New Roman" w:cs="Times New Roman"/>
                <w:color w:val="000000"/>
                <w:kern w:val="0"/>
                <w14:ligatures w14:val="none"/>
              </w:rPr>
              <w:t>8</w:t>
            </w:r>
          </w:p>
        </w:tc>
      </w:tr>
      <w:tr w:rsidR="007572AA" w:rsidRPr="00C579F2" w14:paraId="67A82D8E" w14:textId="77777777" w:rsidTr="007572AA">
        <w:trPr>
          <w:trHeight w:val="276"/>
        </w:trPr>
        <w:tc>
          <w:tcPr>
            <w:tcW w:w="2015" w:type="pct"/>
            <w:tcBorders>
              <w:top w:val="single" w:sz="4" w:space="0" w:color="auto"/>
              <w:bottom w:val="single" w:sz="4" w:space="0" w:color="7F7F7F" w:themeColor="text1" w:themeTint="80"/>
            </w:tcBorders>
            <w:noWrap/>
          </w:tcPr>
          <w:p w14:paraId="134CCF90" w14:textId="458A3698"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Total</w:t>
            </w:r>
          </w:p>
        </w:tc>
        <w:tc>
          <w:tcPr>
            <w:tcW w:w="1493" w:type="pct"/>
            <w:tcBorders>
              <w:top w:val="single" w:sz="4" w:space="0" w:color="auto"/>
              <w:bottom w:val="single" w:sz="4" w:space="0" w:color="7F7F7F" w:themeColor="text1" w:themeTint="80"/>
            </w:tcBorders>
            <w:noWrap/>
          </w:tcPr>
          <w:p w14:paraId="04C382F6" w14:textId="2F3D4921"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99</w:t>
            </w:r>
          </w:p>
        </w:tc>
        <w:tc>
          <w:tcPr>
            <w:tcW w:w="1492" w:type="pct"/>
            <w:tcBorders>
              <w:top w:val="single" w:sz="4" w:space="0" w:color="auto"/>
              <w:bottom w:val="single" w:sz="4" w:space="0" w:color="7F7F7F" w:themeColor="text1" w:themeTint="80"/>
            </w:tcBorders>
            <w:noWrap/>
          </w:tcPr>
          <w:p w14:paraId="5B83BAF5" w14:textId="1D2490F1" w:rsidR="007572AA" w:rsidRPr="00C579F2" w:rsidRDefault="007572AA" w:rsidP="00547E9C">
            <w:pPr>
              <w:tabs>
                <w:tab w:val="center" w:pos="4680"/>
                <w:tab w:val="right" w:pos="9360"/>
              </w:tabs>
              <w:spacing w:line="240" w:lineRule="auto"/>
              <w:jc w:val="both"/>
              <w:rPr>
                <w:rFonts w:ascii="Times New Roman" w:eastAsia="Times New Roman" w:hAnsi="Times New Roman" w:cs="Times New Roman"/>
                <w:b/>
                <w:bCs/>
                <w:color w:val="000000"/>
                <w:kern w:val="0"/>
                <w14:ligatures w14:val="none"/>
              </w:rPr>
            </w:pPr>
            <w:r w:rsidRPr="00C579F2">
              <w:rPr>
                <w:rFonts w:ascii="Times New Roman" w:eastAsia="Times New Roman" w:hAnsi="Times New Roman" w:cs="Times New Roman"/>
                <w:b/>
                <w:bCs/>
                <w:color w:val="000000"/>
                <w:kern w:val="0"/>
                <w14:ligatures w14:val="none"/>
              </w:rPr>
              <w:t>100%</w:t>
            </w:r>
          </w:p>
        </w:tc>
      </w:tr>
    </w:tbl>
    <w:p w14:paraId="50FCB759" w14:textId="2C006BB9" w:rsidR="000C7320" w:rsidRPr="00C579F2" w:rsidRDefault="000C7320" w:rsidP="007558AF">
      <w:pPr>
        <w:spacing w:line="240" w:lineRule="auto"/>
        <w:jc w:val="center"/>
        <w:rPr>
          <w:rFonts w:ascii="Times New Roman" w:hAnsi="Times New Roman" w:cs="Times New Roman"/>
        </w:rPr>
      </w:pPr>
      <w:bookmarkStart w:id="6" w:name="_Hlk176271859"/>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09C1C2B6" w14:textId="6DCC9A47" w:rsidR="000C7320" w:rsidRPr="00C579F2" w:rsidRDefault="00441632" w:rsidP="00547E9C">
      <w:pPr>
        <w:jc w:val="both"/>
        <w:rPr>
          <w:rFonts w:ascii="Times New Roman" w:hAnsi="Times New Roman" w:cs="Times New Roman"/>
          <w:b/>
          <w:bCs/>
        </w:rPr>
      </w:pPr>
      <w:bookmarkStart w:id="7" w:name="_Toc176327311"/>
      <w:bookmarkEnd w:id="6"/>
      <w:r w:rsidRPr="00C579F2">
        <w:rPr>
          <w:rFonts w:ascii="Times New Roman" w:hAnsi="Times New Roman" w:cs="Times New Roman"/>
          <w:b/>
          <w:bCs/>
        </w:rPr>
        <w:t>4.</w:t>
      </w:r>
      <w:r w:rsidR="00091194" w:rsidRPr="00C579F2">
        <w:rPr>
          <w:rFonts w:ascii="Times New Roman" w:hAnsi="Times New Roman" w:cs="Times New Roman"/>
          <w:b/>
          <w:bCs/>
        </w:rPr>
        <w:t>2</w:t>
      </w:r>
      <w:r w:rsidRPr="00C579F2">
        <w:rPr>
          <w:rFonts w:ascii="Times New Roman" w:hAnsi="Times New Roman" w:cs="Times New Roman"/>
          <w:b/>
          <w:bCs/>
        </w:rPr>
        <w:t xml:space="preserve"> </w:t>
      </w:r>
      <w:r w:rsidR="000C7320" w:rsidRPr="00C579F2">
        <w:rPr>
          <w:rFonts w:ascii="Times New Roman" w:hAnsi="Times New Roman" w:cs="Times New Roman"/>
          <w:b/>
          <w:bCs/>
        </w:rPr>
        <w:t>Effects of Slum Development and Expansion on Traditional Landownership</w:t>
      </w:r>
      <w:bookmarkEnd w:id="7"/>
    </w:p>
    <w:p w14:paraId="70678E28" w14:textId="6B02B674" w:rsidR="00911DDD" w:rsidRPr="00C579F2" w:rsidRDefault="00911DDD" w:rsidP="00547E9C">
      <w:pPr>
        <w:spacing w:line="240" w:lineRule="auto"/>
        <w:jc w:val="both"/>
        <w:rPr>
          <w:rFonts w:ascii="Times New Roman" w:hAnsi="Times New Roman" w:cs="Times New Roman"/>
        </w:rPr>
      </w:pPr>
      <w:r w:rsidRPr="00C579F2">
        <w:rPr>
          <w:rFonts w:ascii="Times New Roman" w:hAnsi="Times New Roman" w:cs="Times New Roman"/>
        </w:rPr>
        <w:t xml:space="preserve">The perceptions of slum dwellers, community leaders, and city planning authorities regarding the effects of slum development and expansion on traditional landownership reveal a complex and nuanced understanding of land dynamics within informal settlements. Figures </w:t>
      </w:r>
      <w:r w:rsidR="00D14BFC" w:rsidRPr="00C579F2">
        <w:rPr>
          <w:rFonts w:ascii="Times New Roman" w:hAnsi="Times New Roman" w:cs="Times New Roman"/>
        </w:rPr>
        <w:t>3</w:t>
      </w:r>
      <w:r w:rsidRPr="00C579F2">
        <w:rPr>
          <w:rFonts w:ascii="Times New Roman" w:hAnsi="Times New Roman" w:cs="Times New Roman"/>
        </w:rPr>
        <w:t xml:space="preserve"> and </w:t>
      </w:r>
      <w:r w:rsidR="00D14BFC" w:rsidRPr="00C579F2">
        <w:rPr>
          <w:rFonts w:ascii="Times New Roman" w:hAnsi="Times New Roman" w:cs="Times New Roman"/>
        </w:rPr>
        <w:t>4</w:t>
      </w:r>
      <w:r w:rsidRPr="00C579F2">
        <w:rPr>
          <w:rFonts w:ascii="Times New Roman" w:hAnsi="Times New Roman" w:cs="Times New Roman"/>
        </w:rPr>
        <w:t xml:space="preserve"> illustrate a consensus among respondents that slum proliferation has implications for the authority and control of traditional landowners, though the intensity of these perceptions varies.</w:t>
      </w:r>
      <w:r w:rsidR="00441632" w:rsidRPr="00C579F2">
        <w:rPr>
          <w:rFonts w:ascii="Times New Roman" w:hAnsi="Times New Roman" w:cs="Times New Roman"/>
        </w:rPr>
        <w:t xml:space="preserve"> </w:t>
      </w:r>
      <w:r w:rsidRPr="00C579F2">
        <w:rPr>
          <w:rFonts w:ascii="Times New Roman" w:hAnsi="Times New Roman" w:cs="Times New Roman"/>
        </w:rPr>
        <w:t>A</w:t>
      </w:r>
      <w:r w:rsidR="00863E3E" w:rsidRPr="00C579F2">
        <w:rPr>
          <w:rFonts w:ascii="Times New Roman" w:hAnsi="Times New Roman" w:cs="Times New Roman"/>
        </w:rPr>
        <w:t xml:space="preserve">s shown in </w:t>
      </w:r>
      <w:r w:rsidRPr="00C579F2">
        <w:rPr>
          <w:rFonts w:ascii="Times New Roman" w:hAnsi="Times New Roman" w:cs="Times New Roman"/>
        </w:rPr>
        <w:t xml:space="preserve">Figure </w:t>
      </w:r>
      <w:r w:rsidR="00D14BFC" w:rsidRPr="00C579F2">
        <w:rPr>
          <w:rFonts w:ascii="Times New Roman" w:hAnsi="Times New Roman" w:cs="Times New Roman"/>
        </w:rPr>
        <w:t>4</w:t>
      </w:r>
      <w:r w:rsidRPr="00C579F2">
        <w:rPr>
          <w:rFonts w:ascii="Times New Roman" w:hAnsi="Times New Roman" w:cs="Times New Roman"/>
        </w:rPr>
        <w:t xml:space="preserve">, </w:t>
      </w:r>
      <w:r w:rsidR="00863E3E" w:rsidRPr="00C579F2">
        <w:rPr>
          <w:rFonts w:ascii="Times New Roman" w:hAnsi="Times New Roman" w:cs="Times New Roman"/>
        </w:rPr>
        <w:t>50%</w:t>
      </w:r>
      <w:r w:rsidRPr="00C579F2">
        <w:rPr>
          <w:rFonts w:ascii="Times New Roman" w:hAnsi="Times New Roman" w:cs="Times New Roman"/>
        </w:rPr>
        <w:t xml:space="preserve"> of the respondents explicitly </w:t>
      </w:r>
      <w:r w:rsidR="00EB0E4F" w:rsidRPr="00C579F2">
        <w:rPr>
          <w:rFonts w:ascii="Times New Roman" w:hAnsi="Times New Roman" w:cs="Times New Roman"/>
        </w:rPr>
        <w:t>stated that slum development and expansion have negatively impacted traditional land ownership</w:t>
      </w:r>
      <w:r w:rsidRPr="00C579F2">
        <w:rPr>
          <w:rFonts w:ascii="Times New Roman" w:hAnsi="Times New Roman" w:cs="Times New Roman"/>
        </w:rPr>
        <w:t xml:space="preserve">. This sentiment reflects concerns about how </w:t>
      </w:r>
      <w:r w:rsidR="00EB0E4F" w:rsidRPr="00C579F2">
        <w:rPr>
          <w:rFonts w:ascii="Times New Roman" w:hAnsi="Times New Roman" w:cs="Times New Roman"/>
        </w:rPr>
        <w:t>the growth of informal settlements</w:t>
      </w:r>
      <w:r w:rsidRPr="00C579F2">
        <w:rPr>
          <w:rFonts w:ascii="Times New Roman" w:hAnsi="Times New Roman" w:cs="Times New Roman"/>
        </w:rPr>
        <w:t xml:space="preserve"> disrupts customary land allocation processes, often leading to the fragmentation of family or stool lands, unauthorized occupation, and the erosion of traditional custodianship. Such changes align with </w:t>
      </w:r>
      <w:r w:rsidR="00655A89" w:rsidRPr="00C579F2">
        <w:rPr>
          <w:rFonts w:ascii="Times New Roman" w:hAnsi="Times New Roman" w:cs="Times New Roman"/>
        </w:rPr>
        <w:t xml:space="preserve">what </w:t>
      </w:r>
      <w:proofErr w:type="spellStart"/>
      <w:r w:rsidR="00655A89" w:rsidRPr="00C579F2">
        <w:rPr>
          <w:rFonts w:ascii="Times New Roman" w:hAnsi="Times New Roman" w:cs="Times New Roman"/>
        </w:rPr>
        <w:t>Ubink</w:t>
      </w:r>
      <w:proofErr w:type="spellEnd"/>
      <w:r w:rsidR="00655A89" w:rsidRPr="00C579F2">
        <w:rPr>
          <w:rFonts w:ascii="Times New Roman" w:hAnsi="Times New Roman" w:cs="Times New Roman"/>
        </w:rPr>
        <w:t xml:space="preserve"> &amp; </w:t>
      </w:r>
      <w:proofErr w:type="spellStart"/>
      <w:r w:rsidR="00655A89" w:rsidRPr="00C579F2">
        <w:rPr>
          <w:rFonts w:ascii="Times New Roman" w:hAnsi="Times New Roman" w:cs="Times New Roman"/>
        </w:rPr>
        <w:t>Amanor</w:t>
      </w:r>
      <w:proofErr w:type="spellEnd"/>
      <w:r w:rsidR="00655A89" w:rsidRPr="00C579F2">
        <w:rPr>
          <w:rFonts w:ascii="Times New Roman" w:hAnsi="Times New Roman" w:cs="Times New Roman"/>
        </w:rPr>
        <w:t xml:space="preserve"> (2008) reported that </w:t>
      </w:r>
      <w:r w:rsidRPr="00C579F2">
        <w:rPr>
          <w:rFonts w:ascii="Times New Roman" w:hAnsi="Times New Roman" w:cs="Times New Roman"/>
        </w:rPr>
        <w:t>rapid urbanization and the rise of informal settlements in Ghana have progressively undermined the authority of traditional landowners, particularly in peri-urban areas</w:t>
      </w:r>
      <w:r w:rsidR="00655A89" w:rsidRPr="00C579F2">
        <w:rPr>
          <w:rFonts w:ascii="Times New Roman" w:hAnsi="Times New Roman" w:cs="Times New Roman"/>
        </w:rPr>
        <w:t>.</w:t>
      </w:r>
    </w:p>
    <w:p w14:paraId="4FC58D2A" w14:textId="3A39A52A" w:rsidR="00911DDD" w:rsidRPr="00C579F2" w:rsidRDefault="00911DDD" w:rsidP="00547E9C">
      <w:pPr>
        <w:spacing w:line="240" w:lineRule="auto"/>
        <w:jc w:val="both"/>
        <w:rPr>
          <w:rFonts w:ascii="Times New Roman" w:hAnsi="Times New Roman" w:cs="Times New Roman"/>
        </w:rPr>
      </w:pPr>
      <w:r w:rsidRPr="00C579F2">
        <w:rPr>
          <w:rFonts w:ascii="Times New Roman" w:hAnsi="Times New Roman" w:cs="Times New Roman"/>
        </w:rPr>
        <w:t xml:space="preserve">Figure </w:t>
      </w:r>
      <w:r w:rsidR="00D14BFC" w:rsidRPr="00C579F2">
        <w:rPr>
          <w:rFonts w:ascii="Times New Roman" w:hAnsi="Times New Roman" w:cs="Times New Roman"/>
        </w:rPr>
        <w:t>3</w:t>
      </w:r>
      <w:r w:rsidRPr="00C579F2">
        <w:rPr>
          <w:rFonts w:ascii="Times New Roman" w:hAnsi="Times New Roman" w:cs="Times New Roman"/>
        </w:rPr>
        <w:t xml:space="preserve"> further supports this trend, with the largest proportion of respondents (28%) believing that slum expansion has had a significant impact on traditional landownership. This was closely followed by those who perceived only a slight </w:t>
      </w:r>
      <w:r w:rsidR="001D45E6" w:rsidRPr="00C579F2">
        <w:rPr>
          <w:rFonts w:ascii="Times New Roman" w:hAnsi="Times New Roman" w:cs="Times New Roman"/>
        </w:rPr>
        <w:t>effect</w:t>
      </w:r>
      <w:r w:rsidRPr="00C579F2">
        <w:rPr>
          <w:rFonts w:ascii="Times New Roman" w:hAnsi="Times New Roman" w:cs="Times New Roman"/>
        </w:rPr>
        <w:t>, suggesting that while some residents view the change as severe, others acknowledge a more gradual weakening of traditional land tenure systems. Interestingly, a considerable number of respondents remained indifferent, which may reflect limited awareness of land governance issues or the normalization of informal land practices in their daily lives.</w:t>
      </w:r>
    </w:p>
    <w:p w14:paraId="68C56F2E" w14:textId="41D64F92" w:rsidR="00911DDD" w:rsidRPr="00C579F2" w:rsidRDefault="00911DDD" w:rsidP="00547E9C">
      <w:pPr>
        <w:spacing w:line="240" w:lineRule="auto"/>
        <w:jc w:val="both"/>
        <w:rPr>
          <w:rFonts w:ascii="Times New Roman" w:hAnsi="Times New Roman" w:cs="Times New Roman"/>
        </w:rPr>
      </w:pPr>
      <w:r w:rsidRPr="00C579F2">
        <w:rPr>
          <w:rFonts w:ascii="Times New Roman" w:hAnsi="Times New Roman" w:cs="Times New Roman"/>
        </w:rPr>
        <w:t>Overall, the data suggest that slum dwellers largely recognize that the expansion of informal settlements affects traditional systems of land control. The shift from customary authority to unregulated, informal land transactions, often involving unauthorized sales, encroachments, or politicized land allocations, poses challenges for traditional leaders seeking to maintain oversight and accountability. As noted by Kasanga and Kotey (2001), the encroachment of informal housing on customary lands contributes to tenure insecurity, inter-family disputes, and a breakdown in community trust regarding land administration.</w:t>
      </w:r>
    </w:p>
    <w:p w14:paraId="31EF21E0" w14:textId="77777777" w:rsidR="00911DDD" w:rsidRPr="00C579F2" w:rsidRDefault="00911DDD" w:rsidP="00547E9C">
      <w:pPr>
        <w:spacing w:after="0" w:line="240" w:lineRule="auto"/>
        <w:jc w:val="both"/>
        <w:rPr>
          <w:rFonts w:ascii="Times New Roman" w:hAnsi="Times New Roman" w:cs="Times New Roman"/>
        </w:rPr>
      </w:pPr>
    </w:p>
    <w:p w14:paraId="28D77498" w14:textId="1736F203" w:rsidR="000C7320" w:rsidRPr="00C579F2" w:rsidRDefault="000C7320" w:rsidP="00D66E7A">
      <w:pPr>
        <w:spacing w:after="0" w:line="240" w:lineRule="auto"/>
        <w:jc w:val="center"/>
        <w:rPr>
          <w:rFonts w:ascii="Times New Roman" w:hAnsi="Times New Roman" w:cs="Times New Roman"/>
        </w:rPr>
      </w:pPr>
      <w:r w:rsidRPr="00C579F2">
        <w:rPr>
          <w:rFonts w:ascii="Times New Roman" w:hAnsi="Times New Roman" w:cs="Times New Roman"/>
          <w:noProof/>
        </w:rPr>
        <w:lastRenderedPageBreak/>
        <w:drawing>
          <wp:inline distT="0" distB="0" distL="0" distR="0" wp14:anchorId="3819A92E" wp14:editId="72DEDEF3">
            <wp:extent cx="4286250" cy="2705100"/>
            <wp:effectExtent l="0" t="0" r="0" b="0"/>
            <wp:docPr id="1031656037" name="Chart 1">
              <a:extLst xmlns:a="http://schemas.openxmlformats.org/drawingml/2006/main">
                <a:ext uri="{FF2B5EF4-FFF2-40B4-BE49-F238E27FC236}">
                  <a16:creationId xmlns:a16="http://schemas.microsoft.com/office/drawing/2014/main" id="{B40859B7-F2A6-C0EF-7CB9-94A5670DE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A0C26F" w14:textId="77777777" w:rsidR="000C7320" w:rsidRPr="00C579F2" w:rsidRDefault="000C7320" w:rsidP="00547E9C">
      <w:pPr>
        <w:spacing w:after="0" w:line="240" w:lineRule="auto"/>
        <w:jc w:val="both"/>
        <w:rPr>
          <w:rFonts w:ascii="Times New Roman" w:hAnsi="Times New Roman" w:cs="Times New Roman"/>
        </w:rPr>
      </w:pPr>
    </w:p>
    <w:p w14:paraId="6E5006A5" w14:textId="7862EA68" w:rsidR="000C7320" w:rsidRPr="00C579F2" w:rsidRDefault="000C7320" w:rsidP="007558AF">
      <w:pPr>
        <w:spacing w:after="0" w:line="240" w:lineRule="auto"/>
        <w:ind w:left="-1587"/>
        <w:jc w:val="center"/>
        <w:rPr>
          <w:rFonts w:ascii="Times New Roman" w:hAnsi="Times New Roman" w:cs="Times New Roman"/>
          <w:b/>
          <w:bCs/>
        </w:rPr>
      </w:pPr>
      <w:r w:rsidRPr="00C579F2">
        <w:rPr>
          <w:rFonts w:ascii="Times New Roman" w:hAnsi="Times New Roman" w:cs="Times New Roman"/>
          <w:b/>
          <w:bCs/>
        </w:rPr>
        <w:t>Fig</w:t>
      </w:r>
      <w:r w:rsidR="004F4CFF" w:rsidRPr="00C579F2">
        <w:rPr>
          <w:rFonts w:ascii="Times New Roman" w:hAnsi="Times New Roman" w:cs="Times New Roman"/>
          <w:b/>
          <w:bCs/>
        </w:rPr>
        <w:t>ure</w:t>
      </w:r>
      <w:r w:rsidRPr="00C579F2">
        <w:rPr>
          <w:rFonts w:ascii="Times New Roman" w:hAnsi="Times New Roman" w:cs="Times New Roman"/>
          <w:b/>
          <w:bCs/>
        </w:rPr>
        <w:t xml:space="preserve"> </w:t>
      </w:r>
      <w:r w:rsidR="00D14BFC" w:rsidRPr="00C579F2">
        <w:rPr>
          <w:rFonts w:ascii="Times New Roman" w:hAnsi="Times New Roman" w:cs="Times New Roman"/>
          <w:b/>
          <w:bCs/>
        </w:rPr>
        <w:t>3</w:t>
      </w:r>
      <w:r w:rsidR="004F4CFF" w:rsidRPr="00C579F2">
        <w:rPr>
          <w:rFonts w:ascii="Times New Roman" w:hAnsi="Times New Roman" w:cs="Times New Roman"/>
          <w:b/>
          <w:bCs/>
        </w:rPr>
        <w:t>:</w:t>
      </w:r>
      <w:r w:rsidRPr="00C579F2">
        <w:rPr>
          <w:rFonts w:ascii="Times New Roman" w:hAnsi="Times New Roman" w:cs="Times New Roman"/>
          <w:b/>
          <w:bCs/>
        </w:rPr>
        <w:t xml:space="preserve"> Perception of </w:t>
      </w:r>
      <w:r w:rsidR="0047566F" w:rsidRPr="00C579F2">
        <w:rPr>
          <w:rFonts w:ascii="Times New Roman" w:hAnsi="Times New Roman" w:cs="Times New Roman"/>
          <w:b/>
          <w:bCs/>
        </w:rPr>
        <w:t>S</w:t>
      </w:r>
      <w:r w:rsidRPr="00C579F2">
        <w:rPr>
          <w:rFonts w:ascii="Times New Roman" w:hAnsi="Times New Roman" w:cs="Times New Roman"/>
          <w:b/>
          <w:bCs/>
        </w:rPr>
        <w:t xml:space="preserve">lum </w:t>
      </w:r>
      <w:r w:rsidR="0047566F" w:rsidRPr="00C579F2">
        <w:rPr>
          <w:rFonts w:ascii="Times New Roman" w:hAnsi="Times New Roman" w:cs="Times New Roman"/>
          <w:b/>
          <w:bCs/>
        </w:rPr>
        <w:t>D</w:t>
      </w:r>
      <w:r w:rsidRPr="00C579F2">
        <w:rPr>
          <w:rFonts w:ascii="Times New Roman" w:hAnsi="Times New Roman" w:cs="Times New Roman"/>
          <w:b/>
          <w:bCs/>
        </w:rPr>
        <w:t xml:space="preserve">wellers on </w:t>
      </w:r>
      <w:r w:rsidR="0047566F" w:rsidRPr="00C579F2">
        <w:rPr>
          <w:rFonts w:ascii="Times New Roman" w:hAnsi="Times New Roman" w:cs="Times New Roman"/>
          <w:b/>
          <w:bCs/>
        </w:rPr>
        <w:t>S</w:t>
      </w:r>
      <w:r w:rsidRPr="00C579F2">
        <w:rPr>
          <w:rFonts w:ascii="Times New Roman" w:hAnsi="Times New Roman" w:cs="Times New Roman"/>
          <w:b/>
          <w:bCs/>
        </w:rPr>
        <w:t xml:space="preserve">lum </w:t>
      </w:r>
      <w:r w:rsidR="0047566F" w:rsidRPr="00C579F2">
        <w:rPr>
          <w:rFonts w:ascii="Times New Roman" w:hAnsi="Times New Roman" w:cs="Times New Roman"/>
          <w:b/>
          <w:bCs/>
        </w:rPr>
        <w:t>D</w:t>
      </w:r>
      <w:r w:rsidRPr="00C579F2">
        <w:rPr>
          <w:rFonts w:ascii="Times New Roman" w:hAnsi="Times New Roman" w:cs="Times New Roman"/>
          <w:b/>
          <w:bCs/>
        </w:rPr>
        <w:t>evelopment</w:t>
      </w:r>
    </w:p>
    <w:p w14:paraId="168A10CB" w14:textId="192DD3FA" w:rsidR="000C7320" w:rsidRPr="00C579F2" w:rsidRDefault="004F4CFF" w:rsidP="007558AF">
      <w:pPr>
        <w:spacing w:line="240" w:lineRule="auto"/>
        <w:ind w:left="-1587"/>
        <w:jc w:val="center"/>
        <w:rPr>
          <w:rFonts w:ascii="Times New Roman" w:hAnsi="Times New Roman" w:cs="Times New Roman"/>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49B2FC42" w14:textId="77777777" w:rsidR="000C7320" w:rsidRPr="00C579F2" w:rsidRDefault="000C7320" w:rsidP="00547E9C">
      <w:pPr>
        <w:spacing w:after="0" w:line="240" w:lineRule="auto"/>
        <w:jc w:val="both"/>
        <w:rPr>
          <w:rFonts w:ascii="Times New Roman" w:hAnsi="Times New Roman" w:cs="Times New Roman"/>
        </w:rPr>
      </w:pPr>
    </w:p>
    <w:p w14:paraId="728458E0" w14:textId="77777777" w:rsidR="000C7320" w:rsidRPr="00C579F2" w:rsidRDefault="000C7320" w:rsidP="00D66E7A">
      <w:pPr>
        <w:spacing w:after="0" w:line="240" w:lineRule="auto"/>
        <w:jc w:val="center"/>
        <w:rPr>
          <w:rFonts w:ascii="Times New Roman" w:hAnsi="Times New Roman" w:cs="Times New Roman"/>
          <w:noProof/>
        </w:rPr>
      </w:pPr>
      <w:r w:rsidRPr="00C579F2">
        <w:rPr>
          <w:rFonts w:ascii="Times New Roman" w:hAnsi="Times New Roman" w:cs="Times New Roman"/>
          <w:noProof/>
        </w:rPr>
        <w:drawing>
          <wp:inline distT="0" distB="0" distL="0" distR="0" wp14:anchorId="75D9B978" wp14:editId="391B01F0">
            <wp:extent cx="5527343" cy="3248167"/>
            <wp:effectExtent l="0" t="0" r="16510" b="9525"/>
            <wp:docPr id="613181013" name="Chart 1">
              <a:extLst xmlns:a="http://schemas.openxmlformats.org/drawingml/2006/main">
                <a:ext uri="{FF2B5EF4-FFF2-40B4-BE49-F238E27FC236}">
                  <a16:creationId xmlns:a16="http://schemas.microsoft.com/office/drawing/2014/main" id="{9CE6435F-EB1F-3F90-BA72-EE34221314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69F312" w14:textId="5543CE89" w:rsidR="000C7320" w:rsidRPr="00C579F2" w:rsidRDefault="000C7320" w:rsidP="007558AF">
      <w:pPr>
        <w:spacing w:after="0" w:line="240" w:lineRule="auto"/>
        <w:jc w:val="center"/>
        <w:textAlignment w:val="baseline"/>
        <w:rPr>
          <w:rFonts w:ascii="Times New Roman" w:eastAsiaTheme="minorEastAsia" w:hAnsi="Times New Roman" w:cs="Times New Roman"/>
          <w:b/>
          <w:bCs/>
          <w:kern w:val="24"/>
          <w14:ligatures w14:val="none"/>
        </w:rPr>
      </w:pPr>
      <w:r w:rsidRPr="00C579F2">
        <w:rPr>
          <w:rFonts w:ascii="Times New Roman" w:eastAsiaTheme="minorEastAsia" w:hAnsi="Times New Roman" w:cs="Times New Roman"/>
          <w:b/>
          <w:bCs/>
          <w:kern w:val="24"/>
          <w14:ligatures w14:val="none"/>
        </w:rPr>
        <w:t>Fig</w:t>
      </w:r>
      <w:r w:rsidR="004F4CFF" w:rsidRPr="00C579F2">
        <w:rPr>
          <w:rFonts w:ascii="Times New Roman" w:eastAsiaTheme="minorEastAsia" w:hAnsi="Times New Roman" w:cs="Times New Roman"/>
          <w:b/>
          <w:bCs/>
          <w:kern w:val="24"/>
          <w14:ligatures w14:val="none"/>
        </w:rPr>
        <w:t xml:space="preserve">ure </w:t>
      </w:r>
      <w:r w:rsidR="00D14BFC" w:rsidRPr="00C579F2">
        <w:rPr>
          <w:rFonts w:ascii="Times New Roman" w:eastAsiaTheme="minorEastAsia" w:hAnsi="Times New Roman" w:cs="Times New Roman"/>
          <w:b/>
          <w:bCs/>
          <w:kern w:val="24"/>
          <w14:ligatures w14:val="none"/>
        </w:rPr>
        <w:t>4</w:t>
      </w:r>
      <w:r w:rsidR="004F4CFF" w:rsidRPr="00C579F2">
        <w:rPr>
          <w:rFonts w:ascii="Times New Roman" w:eastAsiaTheme="minorEastAsia" w:hAnsi="Times New Roman" w:cs="Times New Roman"/>
          <w:b/>
          <w:bCs/>
          <w:kern w:val="24"/>
          <w14:ligatures w14:val="none"/>
        </w:rPr>
        <w:t>:</w:t>
      </w:r>
      <w:r w:rsidRPr="00C579F2">
        <w:rPr>
          <w:rFonts w:ascii="Times New Roman" w:eastAsiaTheme="minorEastAsia" w:hAnsi="Times New Roman" w:cs="Times New Roman"/>
          <w:b/>
          <w:bCs/>
          <w:kern w:val="24"/>
          <w14:ligatures w14:val="none"/>
        </w:rPr>
        <w:t xml:space="preserve"> Impact of slum development on </w:t>
      </w:r>
      <w:r w:rsidR="007572AA" w:rsidRPr="00C579F2">
        <w:rPr>
          <w:rFonts w:ascii="Times New Roman" w:eastAsiaTheme="minorEastAsia" w:hAnsi="Times New Roman" w:cs="Times New Roman"/>
          <w:b/>
          <w:bCs/>
          <w:kern w:val="24"/>
          <w14:ligatures w14:val="none"/>
        </w:rPr>
        <w:t xml:space="preserve">the </w:t>
      </w:r>
      <w:r w:rsidRPr="00C579F2">
        <w:rPr>
          <w:rFonts w:ascii="Times New Roman" w:eastAsiaTheme="minorEastAsia" w:hAnsi="Times New Roman" w:cs="Times New Roman"/>
          <w:b/>
          <w:bCs/>
          <w:kern w:val="24"/>
          <w14:ligatures w14:val="none"/>
        </w:rPr>
        <w:t>traditional landownership system</w:t>
      </w:r>
    </w:p>
    <w:p w14:paraId="2D3C28E3" w14:textId="0E29EB39" w:rsidR="004F4CFF" w:rsidRPr="00C579F2" w:rsidRDefault="004F4CFF" w:rsidP="007558AF">
      <w:pPr>
        <w:spacing w:line="240" w:lineRule="auto"/>
        <w:ind w:left="-794"/>
        <w:jc w:val="center"/>
        <w:rPr>
          <w:rFonts w:ascii="Times New Roman" w:hAnsi="Times New Roman" w:cs="Times New Roman"/>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20AE9FE4" w14:textId="078AE6AF"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Data from the communities’ traditional leaders generally confirmed these perceptions held by the slum dwellers</w:t>
      </w:r>
      <w:r w:rsidR="007572AA" w:rsidRPr="00C579F2">
        <w:rPr>
          <w:rFonts w:ascii="Times New Roman" w:hAnsi="Times New Roman" w:cs="Times New Roman"/>
        </w:rPr>
        <w:t>,</w:t>
      </w:r>
      <w:r w:rsidRPr="00C579F2">
        <w:rPr>
          <w:rFonts w:ascii="Times New Roman" w:hAnsi="Times New Roman" w:cs="Times New Roman"/>
        </w:rPr>
        <w:t xml:space="preserve"> for the majority of the traditional leaders were of the view that slum developments and their expansions have had </w:t>
      </w:r>
      <w:r w:rsidR="007572AA" w:rsidRPr="00C579F2">
        <w:rPr>
          <w:rFonts w:ascii="Times New Roman" w:hAnsi="Times New Roman" w:cs="Times New Roman"/>
        </w:rPr>
        <w:t xml:space="preserve">a </w:t>
      </w:r>
      <w:r w:rsidRPr="00C579F2">
        <w:rPr>
          <w:rFonts w:ascii="Times New Roman" w:hAnsi="Times New Roman" w:cs="Times New Roman"/>
        </w:rPr>
        <w:t xml:space="preserve">significant impact on their traditional ownership of lands within the various communities. </w:t>
      </w:r>
      <w:r w:rsidR="004746A7" w:rsidRPr="00C579F2">
        <w:rPr>
          <w:rFonts w:ascii="Times New Roman" w:hAnsi="Times New Roman" w:cs="Times New Roman"/>
        </w:rPr>
        <w:t>Traditional leaders emphasized that slum development has weakened their authority over land allocation</w:t>
      </w:r>
      <w:r w:rsidR="001D45E6" w:rsidRPr="00C579F2">
        <w:rPr>
          <w:rFonts w:ascii="Times New Roman" w:hAnsi="Times New Roman" w:cs="Times New Roman"/>
        </w:rPr>
        <w:t xml:space="preserve"> and distribution</w:t>
      </w:r>
      <w:r w:rsidR="004746A7" w:rsidRPr="00C579F2">
        <w:rPr>
          <w:rFonts w:ascii="Times New Roman" w:hAnsi="Times New Roman" w:cs="Times New Roman"/>
        </w:rPr>
        <w:t xml:space="preserve">. Several chiefs explained that in the past, they </w:t>
      </w:r>
      <w:r w:rsidR="001D45E6" w:rsidRPr="00C579F2">
        <w:rPr>
          <w:rFonts w:ascii="Times New Roman" w:hAnsi="Times New Roman" w:cs="Times New Roman"/>
        </w:rPr>
        <w:t>were able to</w:t>
      </w:r>
      <w:r w:rsidR="004746A7" w:rsidRPr="00C579F2">
        <w:rPr>
          <w:rFonts w:ascii="Times New Roman" w:hAnsi="Times New Roman" w:cs="Times New Roman"/>
        </w:rPr>
        <w:t xml:space="preserve"> prevent unauthorized construction, but political interference has eroded their influence. They noted that migrants now build </w:t>
      </w:r>
      <w:r w:rsidR="004746A7" w:rsidRPr="00C579F2">
        <w:rPr>
          <w:rFonts w:ascii="Times New Roman" w:hAnsi="Times New Roman" w:cs="Times New Roman"/>
        </w:rPr>
        <w:lastRenderedPageBreak/>
        <w:t>without following customary or municipal procedures, reflecting the broader fragmentation of land governance.</w:t>
      </w:r>
    </w:p>
    <w:p w14:paraId="31B300F8" w14:textId="40C8A91C" w:rsidR="000C7320" w:rsidRPr="00C579F2" w:rsidRDefault="00004CD5" w:rsidP="000D1EFA">
      <w:pPr>
        <w:pStyle w:val="NormalWeb"/>
        <w:jc w:val="both"/>
        <w:rPr>
          <w:sz w:val="22"/>
          <w:szCs w:val="22"/>
        </w:rPr>
      </w:pPr>
      <w:r w:rsidRPr="00C579F2">
        <w:rPr>
          <w:sz w:val="22"/>
          <w:szCs w:val="22"/>
        </w:rPr>
        <w:t xml:space="preserve">Traditional leaders </w:t>
      </w:r>
      <w:r w:rsidR="001D45E6" w:rsidRPr="00C579F2">
        <w:rPr>
          <w:sz w:val="22"/>
          <w:szCs w:val="22"/>
        </w:rPr>
        <w:t xml:space="preserve">have noted that the expansion of slums </w:t>
      </w:r>
      <w:r w:rsidRPr="00C579F2">
        <w:rPr>
          <w:sz w:val="22"/>
          <w:szCs w:val="22"/>
        </w:rPr>
        <w:t xml:space="preserve">has significantly weakened their authority over land allocation. They explained that political interference and unauthorized development had </w:t>
      </w:r>
      <w:r w:rsidR="001D45E6" w:rsidRPr="00C579F2">
        <w:rPr>
          <w:sz w:val="22"/>
          <w:szCs w:val="22"/>
        </w:rPr>
        <w:t>compromised their ability to enforce customary land ownership</w:t>
      </w:r>
      <w:r w:rsidRPr="00C579F2">
        <w:rPr>
          <w:sz w:val="22"/>
          <w:szCs w:val="22"/>
        </w:rPr>
        <w:t xml:space="preserve"> practices. In some communities, respondents </w:t>
      </w:r>
      <w:r w:rsidR="001D45E6" w:rsidRPr="00C579F2">
        <w:rPr>
          <w:sz w:val="22"/>
          <w:szCs w:val="22"/>
        </w:rPr>
        <w:t>noted that residents are now bypassing traditional procedures, disregarding designated spaces for infrastructure,</w:t>
      </w:r>
      <w:r w:rsidRPr="00C579F2">
        <w:rPr>
          <w:sz w:val="22"/>
          <w:szCs w:val="22"/>
        </w:rPr>
        <w:t xml:space="preserve"> such as roads and waterways. Despite these challenges, traditional leaders acknowledged that customary systems are gradually adapting. Many pointed to ongoing efforts to merge customary ownership with formal registration and emphasized the importance of engaging communities in recognizing traditional authority while working with municipal assemblies to addr</w:t>
      </w:r>
      <w:r w:rsidR="000D1EFA" w:rsidRPr="00C579F2">
        <w:rPr>
          <w:sz w:val="22"/>
          <w:szCs w:val="22"/>
        </w:rPr>
        <w:t>ess land governance challenges.</w:t>
      </w:r>
    </w:p>
    <w:p w14:paraId="3B3900C9" w14:textId="332F1232" w:rsidR="000C7320" w:rsidRPr="00C579F2" w:rsidRDefault="00441632" w:rsidP="00547E9C">
      <w:pPr>
        <w:jc w:val="both"/>
        <w:rPr>
          <w:rFonts w:ascii="Times New Roman" w:hAnsi="Times New Roman" w:cs="Times New Roman"/>
          <w:b/>
          <w:bCs/>
        </w:rPr>
      </w:pPr>
      <w:bookmarkStart w:id="8" w:name="_Hlk175113880"/>
      <w:bookmarkStart w:id="9" w:name="_Toc176327312"/>
      <w:r w:rsidRPr="00C579F2">
        <w:rPr>
          <w:rFonts w:ascii="Times New Roman" w:hAnsi="Times New Roman" w:cs="Times New Roman"/>
          <w:b/>
          <w:bCs/>
        </w:rPr>
        <w:t>4.</w:t>
      </w:r>
      <w:r w:rsidR="00071EBB" w:rsidRPr="00C579F2">
        <w:rPr>
          <w:rFonts w:ascii="Times New Roman" w:hAnsi="Times New Roman" w:cs="Times New Roman"/>
          <w:b/>
          <w:bCs/>
        </w:rPr>
        <w:t>3</w:t>
      </w:r>
      <w:r w:rsidRPr="00C579F2">
        <w:rPr>
          <w:rFonts w:ascii="Times New Roman" w:hAnsi="Times New Roman" w:cs="Times New Roman"/>
          <w:b/>
          <w:bCs/>
        </w:rPr>
        <w:t xml:space="preserve"> </w:t>
      </w:r>
      <w:r w:rsidR="000C7320" w:rsidRPr="00C579F2">
        <w:rPr>
          <w:rFonts w:ascii="Times New Roman" w:hAnsi="Times New Roman" w:cs="Times New Roman"/>
          <w:b/>
          <w:bCs/>
        </w:rPr>
        <w:t xml:space="preserve">The </w:t>
      </w:r>
      <w:r w:rsidRPr="00C579F2">
        <w:rPr>
          <w:rFonts w:ascii="Times New Roman" w:hAnsi="Times New Roman" w:cs="Times New Roman"/>
          <w:b/>
          <w:bCs/>
        </w:rPr>
        <w:t xml:space="preserve">Interaction </w:t>
      </w:r>
      <w:r w:rsidR="00D4351B" w:rsidRPr="00C579F2">
        <w:rPr>
          <w:rFonts w:ascii="Times New Roman" w:hAnsi="Times New Roman" w:cs="Times New Roman"/>
          <w:b/>
          <w:bCs/>
        </w:rPr>
        <w:t>between</w:t>
      </w:r>
      <w:r w:rsidRPr="00C579F2">
        <w:rPr>
          <w:rFonts w:ascii="Times New Roman" w:hAnsi="Times New Roman" w:cs="Times New Roman"/>
          <w:b/>
          <w:bCs/>
        </w:rPr>
        <w:t xml:space="preserve"> Legal Frameworks and </w:t>
      </w:r>
      <w:r w:rsidR="000C7320" w:rsidRPr="00C579F2">
        <w:rPr>
          <w:rFonts w:ascii="Times New Roman" w:hAnsi="Times New Roman" w:cs="Times New Roman"/>
          <w:b/>
          <w:bCs/>
        </w:rPr>
        <w:t xml:space="preserve">Customary </w:t>
      </w:r>
      <w:r w:rsidRPr="00C579F2">
        <w:rPr>
          <w:rFonts w:ascii="Times New Roman" w:hAnsi="Times New Roman" w:cs="Times New Roman"/>
          <w:b/>
          <w:bCs/>
        </w:rPr>
        <w:t xml:space="preserve">Land Tenure Systems </w:t>
      </w:r>
      <w:bookmarkEnd w:id="8"/>
      <w:r w:rsidRPr="00C579F2">
        <w:rPr>
          <w:rFonts w:ascii="Times New Roman" w:hAnsi="Times New Roman" w:cs="Times New Roman"/>
          <w:b/>
          <w:bCs/>
        </w:rPr>
        <w:t>in the Context of Slum Development</w:t>
      </w:r>
      <w:bookmarkEnd w:id="9"/>
    </w:p>
    <w:p w14:paraId="2D16ACE6" w14:textId="65BBBBCD" w:rsidR="00004CD5" w:rsidRPr="00C579F2" w:rsidRDefault="000C7320" w:rsidP="00004CD5">
      <w:pPr>
        <w:pStyle w:val="NormalWeb"/>
        <w:jc w:val="both"/>
        <w:rPr>
          <w:sz w:val="22"/>
          <w:szCs w:val="22"/>
        </w:rPr>
      </w:pPr>
      <w:r w:rsidRPr="00C579F2">
        <w:rPr>
          <w:sz w:val="22"/>
          <w:szCs w:val="22"/>
        </w:rPr>
        <w:t>The interplay between legal frameworks and customary land tenure systems does not significantly affect the development of slums. Our interactions with the planning institutions in the slum areas, slum dwellers</w:t>
      </w:r>
      <w:r w:rsidR="00D4351B" w:rsidRPr="00C579F2">
        <w:rPr>
          <w:sz w:val="22"/>
          <w:szCs w:val="22"/>
        </w:rPr>
        <w:t>,</w:t>
      </w:r>
      <w:r w:rsidRPr="00C579F2">
        <w:rPr>
          <w:sz w:val="22"/>
          <w:szCs w:val="22"/>
        </w:rPr>
        <w:t xml:space="preserve"> and community traditional leaders revealed that there has not been much conflict between existing legal frameworks and customary land tenure systems in the context of slum development. It is believed that there have been no major issues concerning customary land tenure recognition</w:t>
      </w:r>
      <w:r w:rsidR="00D4351B" w:rsidRPr="00C579F2">
        <w:rPr>
          <w:sz w:val="22"/>
          <w:szCs w:val="22"/>
        </w:rPr>
        <w:t>,</w:t>
      </w:r>
      <w:r w:rsidRPr="00C579F2">
        <w:rPr>
          <w:sz w:val="22"/>
          <w:szCs w:val="22"/>
        </w:rPr>
        <w:t xml:space="preserve"> as existing legal frameworks concerning </w:t>
      </w:r>
      <w:r w:rsidR="00D4351B" w:rsidRPr="00C579F2">
        <w:rPr>
          <w:sz w:val="22"/>
          <w:szCs w:val="22"/>
        </w:rPr>
        <w:t>land-related</w:t>
      </w:r>
      <w:r w:rsidRPr="00C579F2">
        <w:rPr>
          <w:sz w:val="22"/>
          <w:szCs w:val="22"/>
        </w:rPr>
        <w:t xml:space="preserve"> issues recognize customary </w:t>
      </w:r>
      <w:r w:rsidR="001D45E6" w:rsidRPr="00C579F2">
        <w:rPr>
          <w:sz w:val="22"/>
          <w:szCs w:val="22"/>
        </w:rPr>
        <w:t>land ownership</w:t>
      </w:r>
      <w:r w:rsidRPr="00C579F2">
        <w:rPr>
          <w:sz w:val="22"/>
          <w:szCs w:val="22"/>
        </w:rPr>
        <w:t>. However, customary land tenure is based on traditional practices and community norms, without legal documentation. The lack of this legal recognition makes slum residents vulnerable to eviction and denies them access to legal protection as well.  From the perspective of the planning institutions, there are no specific policies in place to ensure effective interactions between existing legal frameworks and customary land tenure systems in the context of slum development. There have been many challenges in their quest to ensure effective and positive interaction between planning regulations and customary land tenure systems</w:t>
      </w:r>
      <w:r w:rsidR="00D4351B" w:rsidRPr="00C579F2">
        <w:rPr>
          <w:sz w:val="22"/>
          <w:szCs w:val="22"/>
        </w:rPr>
        <w:t>,</w:t>
      </w:r>
      <w:r w:rsidRPr="00C579F2">
        <w:rPr>
          <w:sz w:val="22"/>
          <w:szCs w:val="22"/>
        </w:rPr>
        <w:t xml:space="preserve"> but certain factors do not permit these efforts. Responses from the planning respondents seem to suggest that there have been many challenges emanating from both financial difficulty and non-adherence of traditional landowners to planning schemes. </w:t>
      </w:r>
      <w:r w:rsidR="00004CD5" w:rsidRPr="00C579F2">
        <w:rPr>
          <w:sz w:val="22"/>
          <w:szCs w:val="22"/>
        </w:rPr>
        <w:t>Planning authorities reported that landowners sometimes contribute to slum formation by informally subdividing land outside statutory schemes, which complicates urban planning. They also emphasized that most residents lack legal documentation, holding only customary papers that provide limited protection.</w:t>
      </w:r>
    </w:p>
    <w:p w14:paraId="7E30D975" w14:textId="7CCFBA65" w:rsidR="000C7320" w:rsidRPr="00C579F2" w:rsidRDefault="00004CD5" w:rsidP="00004CD5">
      <w:pPr>
        <w:pStyle w:val="NormalWeb"/>
        <w:jc w:val="both"/>
        <w:rPr>
          <w:sz w:val="22"/>
          <w:szCs w:val="22"/>
        </w:rPr>
      </w:pPr>
      <w:r w:rsidRPr="00C579F2">
        <w:rPr>
          <w:sz w:val="22"/>
          <w:szCs w:val="22"/>
        </w:rPr>
        <w:t>Traditional leaders expressed mixed views. While some recognized the stronger security offered by statutory documentation, others criticized government agencies for bypassing customary authorities in decision-making. Community leaders acknowledged that there are periodic meetings between chiefs, landowners, and district assemblies to align planning regulations with customary practices, but they stressed that more coordination is needed. Respondents also reflected on the decline of traditional authority under modern governance systems. Some leaders felt that democratic structures had reduced their influence over local land matters, while others remained optimistic that future governments would prioritize slum challenges and better integrate customary perspectives.</w:t>
      </w:r>
    </w:p>
    <w:p w14:paraId="0818C4DA" w14:textId="27AB0EE5"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 xml:space="preserve">The slum dwellers had a mixed perception about the effective interaction between legal frameworks and customary land tenure systems in the context of slum development. Figure </w:t>
      </w:r>
      <w:r w:rsidR="00D14BFC" w:rsidRPr="00C579F2">
        <w:rPr>
          <w:rFonts w:ascii="Times New Roman" w:hAnsi="Times New Roman" w:cs="Times New Roman"/>
        </w:rPr>
        <w:t>5</w:t>
      </w:r>
      <w:r w:rsidRPr="00C579F2">
        <w:rPr>
          <w:rFonts w:ascii="Times New Roman" w:hAnsi="Times New Roman" w:cs="Times New Roman"/>
        </w:rPr>
        <w:t xml:space="preserve"> shows that </w:t>
      </w:r>
      <w:r w:rsidR="00D4351B" w:rsidRPr="00C579F2">
        <w:rPr>
          <w:rFonts w:ascii="Times New Roman" w:hAnsi="Times New Roman" w:cs="Times New Roman"/>
        </w:rPr>
        <w:t xml:space="preserve">the </w:t>
      </w:r>
      <w:r w:rsidRPr="00C579F2">
        <w:rPr>
          <w:rFonts w:ascii="Times New Roman" w:hAnsi="Times New Roman" w:cs="Times New Roman"/>
        </w:rPr>
        <w:t>majority of the slum dwellers (representing 57%) do not think legal frameworks effectively interact with customary land tenure systems in the context</w:t>
      </w:r>
      <w:r w:rsidR="00004CD5" w:rsidRPr="00C579F2">
        <w:rPr>
          <w:rFonts w:ascii="Times New Roman" w:hAnsi="Times New Roman" w:cs="Times New Roman"/>
        </w:rPr>
        <w:t xml:space="preserve"> of slum development. </w:t>
      </w:r>
      <w:r w:rsidRPr="00C579F2">
        <w:rPr>
          <w:rFonts w:ascii="Times New Roman" w:hAnsi="Times New Roman" w:cs="Times New Roman"/>
        </w:rPr>
        <w:t xml:space="preserve">Figure </w:t>
      </w:r>
      <w:r w:rsidR="00D14BFC" w:rsidRPr="00C579F2">
        <w:rPr>
          <w:rFonts w:ascii="Times New Roman" w:hAnsi="Times New Roman" w:cs="Times New Roman"/>
        </w:rPr>
        <w:t>6</w:t>
      </w:r>
      <w:r w:rsidRPr="00C579F2">
        <w:rPr>
          <w:rFonts w:ascii="Times New Roman" w:hAnsi="Times New Roman" w:cs="Times New Roman"/>
        </w:rPr>
        <w:t xml:space="preserve"> shows that </w:t>
      </w:r>
      <w:r w:rsidR="00D4351B" w:rsidRPr="00C579F2">
        <w:rPr>
          <w:rFonts w:ascii="Times New Roman" w:hAnsi="Times New Roman" w:cs="Times New Roman"/>
        </w:rPr>
        <w:t xml:space="preserve">the </w:t>
      </w:r>
      <w:r w:rsidRPr="00C579F2">
        <w:rPr>
          <w:rFonts w:ascii="Times New Roman" w:hAnsi="Times New Roman" w:cs="Times New Roman"/>
        </w:rPr>
        <w:t xml:space="preserve">majority of the slum dwellers (representing 46%) perceived that there is a peaceful coexistence between legal frameworks and customary land tenure systems in the context of slum development. This is followed by 34% who think that legal frameworks and customary land tenure systems minimally interact.  </w:t>
      </w:r>
    </w:p>
    <w:p w14:paraId="3944899B" w14:textId="77777777" w:rsidR="000C7320" w:rsidRPr="00C579F2" w:rsidRDefault="000C7320" w:rsidP="00547E9C">
      <w:pPr>
        <w:spacing w:after="0" w:line="240" w:lineRule="auto"/>
        <w:jc w:val="both"/>
        <w:rPr>
          <w:rFonts w:ascii="Times New Roman" w:hAnsi="Times New Roman" w:cs="Times New Roman"/>
        </w:rPr>
      </w:pPr>
      <w:r w:rsidRPr="00C579F2">
        <w:rPr>
          <w:rFonts w:ascii="Times New Roman" w:hAnsi="Times New Roman" w:cs="Times New Roman"/>
          <w:noProof/>
        </w:rPr>
        <w:lastRenderedPageBreak/>
        <w:t xml:space="preserve"> </w:t>
      </w:r>
    </w:p>
    <w:p w14:paraId="155FD1CF" w14:textId="77777777" w:rsidR="000C7320" w:rsidRPr="00C579F2" w:rsidRDefault="000C7320" w:rsidP="00D66E7A">
      <w:pPr>
        <w:spacing w:line="240" w:lineRule="auto"/>
        <w:jc w:val="center"/>
        <w:rPr>
          <w:rFonts w:ascii="Times New Roman" w:hAnsi="Times New Roman" w:cs="Times New Roman"/>
        </w:rPr>
      </w:pPr>
      <w:r w:rsidRPr="00C579F2">
        <w:rPr>
          <w:rFonts w:ascii="Times New Roman" w:hAnsi="Times New Roman" w:cs="Times New Roman"/>
          <w:noProof/>
        </w:rPr>
        <w:drawing>
          <wp:inline distT="0" distB="0" distL="0" distR="0" wp14:anchorId="5772DF1B" wp14:editId="22A903B5">
            <wp:extent cx="4043986" cy="28486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2247" cy="2868517"/>
                    </a:xfrm>
                    <a:prstGeom prst="rect">
                      <a:avLst/>
                    </a:prstGeom>
                    <a:noFill/>
                  </pic:spPr>
                </pic:pic>
              </a:graphicData>
            </a:graphic>
          </wp:inline>
        </w:drawing>
      </w:r>
    </w:p>
    <w:p w14:paraId="1800A527" w14:textId="77777777" w:rsidR="000C7320" w:rsidRPr="00C579F2" w:rsidRDefault="000C7320" w:rsidP="00547E9C">
      <w:pPr>
        <w:spacing w:after="0" w:line="240" w:lineRule="auto"/>
        <w:jc w:val="both"/>
        <w:rPr>
          <w:rFonts w:ascii="Times New Roman" w:hAnsi="Times New Roman" w:cs="Times New Roman"/>
        </w:rPr>
      </w:pPr>
    </w:p>
    <w:p w14:paraId="6BCC906C" w14:textId="15023115" w:rsidR="000C7320" w:rsidRPr="00C579F2" w:rsidRDefault="000C7320" w:rsidP="007558AF">
      <w:pPr>
        <w:spacing w:after="0" w:line="240" w:lineRule="auto"/>
        <w:jc w:val="center"/>
        <w:rPr>
          <w:rFonts w:ascii="Times New Roman" w:hAnsi="Times New Roman" w:cs="Times New Roman"/>
          <w:b/>
          <w:bCs/>
        </w:rPr>
      </w:pPr>
      <w:bookmarkStart w:id="10" w:name="_Hlk174959096"/>
      <w:r w:rsidRPr="00C579F2">
        <w:rPr>
          <w:rFonts w:ascii="Times New Roman" w:hAnsi="Times New Roman" w:cs="Times New Roman"/>
          <w:b/>
          <w:bCs/>
        </w:rPr>
        <w:t>Fig</w:t>
      </w:r>
      <w:r w:rsidR="004F4CFF" w:rsidRPr="00C579F2">
        <w:rPr>
          <w:rFonts w:ascii="Times New Roman" w:hAnsi="Times New Roman" w:cs="Times New Roman"/>
          <w:b/>
          <w:bCs/>
        </w:rPr>
        <w:t>ure</w:t>
      </w:r>
      <w:r w:rsidRPr="00C579F2">
        <w:rPr>
          <w:rFonts w:ascii="Times New Roman" w:hAnsi="Times New Roman" w:cs="Times New Roman"/>
          <w:b/>
          <w:bCs/>
        </w:rPr>
        <w:t xml:space="preserve"> </w:t>
      </w:r>
      <w:r w:rsidR="00D14BFC" w:rsidRPr="00C579F2">
        <w:rPr>
          <w:rFonts w:ascii="Times New Roman" w:hAnsi="Times New Roman" w:cs="Times New Roman"/>
          <w:b/>
          <w:bCs/>
        </w:rPr>
        <w:t>5</w:t>
      </w:r>
      <w:r w:rsidR="004F4CFF" w:rsidRPr="00C579F2">
        <w:rPr>
          <w:rFonts w:ascii="Times New Roman" w:hAnsi="Times New Roman" w:cs="Times New Roman"/>
          <w:b/>
          <w:bCs/>
        </w:rPr>
        <w:t>:</w:t>
      </w:r>
      <w:r w:rsidRPr="00C579F2">
        <w:rPr>
          <w:rFonts w:ascii="Times New Roman" w:hAnsi="Times New Roman" w:cs="Times New Roman"/>
          <w:b/>
          <w:bCs/>
        </w:rPr>
        <w:t xml:space="preserve"> Interaction between legal frameworks and customary land tenure systems</w:t>
      </w:r>
    </w:p>
    <w:bookmarkEnd w:id="10"/>
    <w:p w14:paraId="79F76199" w14:textId="7931B588" w:rsidR="000C7320" w:rsidRPr="00C579F2" w:rsidRDefault="004F4CFF" w:rsidP="007558AF">
      <w:pPr>
        <w:spacing w:line="240" w:lineRule="auto"/>
        <w:jc w:val="center"/>
        <w:rPr>
          <w:rFonts w:ascii="Times New Roman" w:hAnsi="Times New Roman" w:cs="Times New Roman"/>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22682577" w14:textId="77777777" w:rsidR="000C7320" w:rsidRPr="00C579F2" w:rsidRDefault="000C7320" w:rsidP="00547E9C">
      <w:pPr>
        <w:spacing w:after="0" w:line="240" w:lineRule="auto"/>
        <w:jc w:val="both"/>
        <w:rPr>
          <w:rFonts w:ascii="Times New Roman" w:hAnsi="Times New Roman" w:cs="Times New Roman"/>
          <w:b/>
          <w:bCs/>
        </w:rPr>
      </w:pPr>
    </w:p>
    <w:p w14:paraId="59DA3836" w14:textId="77777777" w:rsidR="0087695C" w:rsidRPr="00C579F2" w:rsidRDefault="000C7320" w:rsidP="00D66E7A">
      <w:pPr>
        <w:spacing w:line="240" w:lineRule="auto"/>
        <w:jc w:val="center"/>
        <w:rPr>
          <w:rFonts w:ascii="Times New Roman" w:hAnsi="Times New Roman" w:cs="Times New Roman"/>
          <w:i/>
          <w:iCs/>
        </w:rPr>
      </w:pPr>
      <w:r w:rsidRPr="00C579F2">
        <w:rPr>
          <w:rFonts w:ascii="Times New Roman" w:hAnsi="Times New Roman" w:cs="Times New Roman"/>
          <w:noProof/>
        </w:rPr>
        <w:drawing>
          <wp:inline distT="0" distB="0" distL="0" distR="0" wp14:anchorId="4AF59BA8" wp14:editId="2BC24FC3">
            <wp:extent cx="4829175" cy="2286000"/>
            <wp:effectExtent l="0" t="0" r="9525" b="0"/>
            <wp:docPr id="1730197771" name="Chart 1">
              <a:extLst xmlns:a="http://schemas.openxmlformats.org/drawingml/2006/main">
                <a:ext uri="{FF2B5EF4-FFF2-40B4-BE49-F238E27FC236}">
                  <a16:creationId xmlns:a16="http://schemas.microsoft.com/office/drawing/2014/main" id="{8328A679-D659-1A05-685D-BF25646D3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30018C" w14:textId="75D16CC5" w:rsidR="0087695C" w:rsidRPr="00C579F2" w:rsidRDefault="000C7320" w:rsidP="007558AF">
      <w:pPr>
        <w:spacing w:line="240" w:lineRule="auto"/>
        <w:jc w:val="center"/>
        <w:rPr>
          <w:rFonts w:ascii="Times New Roman" w:hAnsi="Times New Roman" w:cs="Times New Roman"/>
          <w:i/>
          <w:iCs/>
        </w:rPr>
      </w:pPr>
      <w:r w:rsidRPr="00C579F2">
        <w:rPr>
          <w:rFonts w:ascii="Times New Roman" w:hAnsi="Times New Roman" w:cs="Times New Roman"/>
          <w:b/>
          <w:bCs/>
        </w:rPr>
        <w:t>Fig</w:t>
      </w:r>
      <w:r w:rsidR="004F4CFF" w:rsidRPr="00C579F2">
        <w:rPr>
          <w:rFonts w:ascii="Times New Roman" w:hAnsi="Times New Roman" w:cs="Times New Roman"/>
          <w:b/>
          <w:bCs/>
        </w:rPr>
        <w:t>ure</w:t>
      </w:r>
      <w:r w:rsidRPr="00C579F2">
        <w:rPr>
          <w:rFonts w:ascii="Times New Roman" w:hAnsi="Times New Roman" w:cs="Times New Roman"/>
          <w:b/>
          <w:bCs/>
        </w:rPr>
        <w:t xml:space="preserve"> </w:t>
      </w:r>
      <w:r w:rsidR="00D14BFC" w:rsidRPr="00C579F2">
        <w:rPr>
          <w:rFonts w:ascii="Times New Roman" w:hAnsi="Times New Roman" w:cs="Times New Roman"/>
          <w:b/>
          <w:bCs/>
        </w:rPr>
        <w:t>6</w:t>
      </w:r>
      <w:r w:rsidR="004F4CFF" w:rsidRPr="00C579F2">
        <w:rPr>
          <w:rFonts w:ascii="Times New Roman" w:hAnsi="Times New Roman" w:cs="Times New Roman"/>
          <w:b/>
          <w:bCs/>
        </w:rPr>
        <w:t>:</w:t>
      </w:r>
      <w:r w:rsidRPr="00C579F2">
        <w:rPr>
          <w:rFonts w:ascii="Times New Roman" w:hAnsi="Times New Roman" w:cs="Times New Roman"/>
          <w:b/>
          <w:bCs/>
        </w:rPr>
        <w:t xml:space="preserve"> Interaction </w:t>
      </w:r>
      <w:r w:rsidR="00D4351B" w:rsidRPr="00C579F2">
        <w:rPr>
          <w:rFonts w:ascii="Times New Roman" w:hAnsi="Times New Roman" w:cs="Times New Roman"/>
          <w:b/>
          <w:bCs/>
        </w:rPr>
        <w:t>between</w:t>
      </w:r>
      <w:r w:rsidR="0087695C" w:rsidRPr="00C579F2">
        <w:rPr>
          <w:rFonts w:ascii="Times New Roman" w:hAnsi="Times New Roman" w:cs="Times New Roman"/>
          <w:b/>
          <w:bCs/>
        </w:rPr>
        <w:t xml:space="preserve"> Legal Frameworks and Customary Land Tenure Systems</w:t>
      </w:r>
    </w:p>
    <w:p w14:paraId="5F9A6098" w14:textId="030E1BB8" w:rsidR="000C7320" w:rsidRPr="00C579F2" w:rsidRDefault="004F4CFF" w:rsidP="007558AF">
      <w:pPr>
        <w:spacing w:line="240" w:lineRule="auto"/>
        <w:jc w:val="center"/>
        <w:rPr>
          <w:rFonts w:ascii="Times New Roman" w:hAnsi="Times New Roman" w:cs="Times New Roman"/>
          <w:i/>
          <w:iCs/>
        </w:rPr>
      </w:pPr>
      <w:r w:rsidRPr="00C579F2">
        <w:rPr>
          <w:rFonts w:ascii="Times New Roman" w:hAnsi="Times New Roman" w:cs="Times New Roman"/>
        </w:rPr>
        <w:t>Source: Authors</w:t>
      </w:r>
      <w:r w:rsidR="007572AA" w:rsidRPr="00C579F2">
        <w:rPr>
          <w:rFonts w:ascii="Times New Roman" w:hAnsi="Times New Roman" w:cs="Times New Roman"/>
        </w:rPr>
        <w:t>’</w:t>
      </w:r>
      <w:r w:rsidRPr="00C579F2">
        <w:rPr>
          <w:rFonts w:ascii="Times New Roman" w:hAnsi="Times New Roman" w:cs="Times New Roman"/>
        </w:rPr>
        <w:t xml:space="preserve"> Construct</w:t>
      </w:r>
    </w:p>
    <w:p w14:paraId="40789EBB" w14:textId="38E4BE8C" w:rsidR="000C7320" w:rsidRPr="00C579F2" w:rsidRDefault="001A1169" w:rsidP="00547E9C">
      <w:pPr>
        <w:jc w:val="both"/>
        <w:rPr>
          <w:rFonts w:ascii="Times New Roman" w:hAnsi="Times New Roman" w:cs="Times New Roman"/>
          <w:b/>
          <w:bCs/>
        </w:rPr>
      </w:pPr>
      <w:bookmarkStart w:id="11" w:name="_Toc176327313"/>
      <w:r w:rsidRPr="00C579F2">
        <w:rPr>
          <w:rFonts w:ascii="Times New Roman" w:hAnsi="Times New Roman" w:cs="Times New Roman"/>
          <w:b/>
          <w:bCs/>
        </w:rPr>
        <w:t>4.</w:t>
      </w:r>
      <w:r w:rsidR="00071EBB" w:rsidRPr="00C579F2">
        <w:rPr>
          <w:rFonts w:ascii="Times New Roman" w:hAnsi="Times New Roman" w:cs="Times New Roman"/>
          <w:b/>
          <w:bCs/>
        </w:rPr>
        <w:t>3</w:t>
      </w:r>
      <w:r w:rsidRPr="00C579F2">
        <w:rPr>
          <w:rFonts w:ascii="Times New Roman" w:hAnsi="Times New Roman" w:cs="Times New Roman"/>
          <w:b/>
          <w:bCs/>
        </w:rPr>
        <w:t xml:space="preserve">.1 </w:t>
      </w:r>
      <w:r w:rsidR="000C7320" w:rsidRPr="00C579F2">
        <w:rPr>
          <w:rFonts w:ascii="Times New Roman" w:hAnsi="Times New Roman" w:cs="Times New Roman"/>
          <w:b/>
          <w:bCs/>
        </w:rPr>
        <w:t>Effective interaction between legal frameworks and customary land tenure systems in the context of slum development</w:t>
      </w:r>
      <w:bookmarkEnd w:id="11"/>
    </w:p>
    <w:p w14:paraId="67C6C33D" w14:textId="50820D54" w:rsidR="00217C9F" w:rsidRPr="00C579F2" w:rsidRDefault="00217C9F" w:rsidP="00217C9F">
      <w:pPr>
        <w:pStyle w:val="NormalWeb"/>
        <w:jc w:val="both"/>
        <w:rPr>
          <w:sz w:val="22"/>
          <w:szCs w:val="22"/>
        </w:rPr>
      </w:pPr>
      <w:r w:rsidRPr="00C579F2">
        <w:rPr>
          <w:sz w:val="22"/>
          <w:szCs w:val="22"/>
        </w:rPr>
        <w:t xml:space="preserve">Evidence from planning authorities and community leaders indicates that some mechanisms for interaction between statutory and customary systems exist, but these are ad hoc and limited in effectiveness. Planning departments reported routinely sharing scheme maps and guidance with traditional landowners and issuing formal notices (for example, stop-work orders) to developments that contravene statutory plans. Likewise, traditional leaders described periodic meetings with district assemblies and landowners aimed at aligning </w:t>
      </w:r>
      <w:r w:rsidRPr="00C579F2">
        <w:rPr>
          <w:sz w:val="22"/>
          <w:szCs w:val="22"/>
        </w:rPr>
        <w:lastRenderedPageBreak/>
        <w:t>local practices with planning requirements. These interactions demonstrate an intention to harmonize the two systems, and in some places</w:t>
      </w:r>
      <w:r w:rsidR="001D45E6" w:rsidRPr="00C579F2">
        <w:rPr>
          <w:sz w:val="22"/>
          <w:szCs w:val="22"/>
        </w:rPr>
        <w:t>,</w:t>
      </w:r>
      <w:r w:rsidRPr="00C579F2">
        <w:rPr>
          <w:sz w:val="22"/>
          <w:szCs w:val="22"/>
        </w:rPr>
        <w:t xml:space="preserve"> they have helped prevent the most egregious breaches of spatial plans.</w:t>
      </w:r>
    </w:p>
    <w:p w14:paraId="4F3CEA0E" w14:textId="77777777" w:rsidR="00217C9F" w:rsidRPr="00C579F2" w:rsidRDefault="00217C9F" w:rsidP="00217C9F">
      <w:pPr>
        <w:pStyle w:val="NormalWeb"/>
        <w:jc w:val="both"/>
        <w:rPr>
          <w:sz w:val="22"/>
          <w:szCs w:val="22"/>
        </w:rPr>
      </w:pPr>
      <w:r w:rsidRPr="00C579F2">
        <w:rPr>
          <w:sz w:val="22"/>
          <w:szCs w:val="22"/>
        </w:rPr>
        <w:t>However, several institutional and practical constraints weaken these interactions. Landowners frequently subdivide and allocate plots outside statutory schemes, reducing the effectiveness of planning guidance. Customary documentation remains the primary form of tenure evidence for many residents, which complicates enforcement and legal protection. Political interference, limited financial resources, and weak capacity within institutions such as Customary Land Secretariats constrain follow-through on agreements and enforcement actions. As a result, joint meetings and advisory efforts often fail to translate into systematic, sustained compliance or formalization of tenure.</w:t>
      </w:r>
    </w:p>
    <w:p w14:paraId="7F8F72BF" w14:textId="355D5F05" w:rsidR="000C7320" w:rsidRPr="00C579F2" w:rsidRDefault="00217C9F" w:rsidP="00217C9F">
      <w:pPr>
        <w:pStyle w:val="NormalWeb"/>
        <w:jc w:val="both"/>
        <w:rPr>
          <w:sz w:val="22"/>
          <w:szCs w:val="22"/>
        </w:rPr>
      </w:pPr>
      <w:r w:rsidRPr="00C579F2">
        <w:rPr>
          <w:sz w:val="22"/>
          <w:szCs w:val="22"/>
        </w:rPr>
        <w:t>To strengthen the interface between statutory and customary systems, the findings point to three priority actions. First, formalize and res</w:t>
      </w:r>
      <w:r w:rsidR="00F56E8A" w:rsidRPr="00C579F2">
        <w:rPr>
          <w:sz w:val="22"/>
          <w:szCs w:val="22"/>
        </w:rPr>
        <w:t>ource collaborative mechanisms,</w:t>
      </w:r>
      <w:r w:rsidRPr="00C579F2">
        <w:rPr>
          <w:sz w:val="22"/>
          <w:szCs w:val="22"/>
        </w:rPr>
        <w:t xml:space="preserve"> for example, empowering Customary Land Secretariats and institutionalizing regular, documented coordination between assemblies and traditional authorities. Second, adopt tenure-sensitive planning tools (including participatory mapping and incremental regularization) that recognize customary claims while working toward formal documentation. Third, improve enforcement capacity and transparency so that statutory measures (e.g., stop-work orders) are applied consistently and accompanied by support for regularization rather than solely punitive measures. Taken together, these measures can convert episodic cooperation into a more durable hybrid governance model that better manages slum growth while protecting legitimate customary interests.</w:t>
      </w:r>
    </w:p>
    <w:p w14:paraId="3A95AF8C" w14:textId="48954489" w:rsidR="00795087" w:rsidRPr="00C579F2" w:rsidRDefault="001A1169" w:rsidP="00547E9C">
      <w:pPr>
        <w:jc w:val="both"/>
        <w:rPr>
          <w:rFonts w:ascii="Times New Roman" w:hAnsi="Times New Roman" w:cs="Times New Roman"/>
          <w:b/>
          <w:bCs/>
        </w:rPr>
      </w:pPr>
      <w:bookmarkStart w:id="12" w:name="_Toc176327314"/>
      <w:r w:rsidRPr="00C579F2">
        <w:rPr>
          <w:rFonts w:ascii="Times New Roman" w:hAnsi="Times New Roman" w:cs="Times New Roman"/>
          <w:b/>
          <w:bCs/>
        </w:rPr>
        <w:t>4.</w:t>
      </w:r>
      <w:r w:rsidR="00071EBB" w:rsidRPr="00C579F2">
        <w:rPr>
          <w:rFonts w:ascii="Times New Roman" w:hAnsi="Times New Roman" w:cs="Times New Roman"/>
          <w:b/>
          <w:bCs/>
        </w:rPr>
        <w:t>4</w:t>
      </w:r>
      <w:r w:rsidRPr="00C579F2">
        <w:rPr>
          <w:rFonts w:ascii="Times New Roman" w:hAnsi="Times New Roman" w:cs="Times New Roman"/>
          <w:b/>
          <w:bCs/>
        </w:rPr>
        <w:t xml:space="preserve"> </w:t>
      </w:r>
      <w:r w:rsidR="000C7320" w:rsidRPr="00C579F2">
        <w:rPr>
          <w:rFonts w:ascii="Times New Roman" w:hAnsi="Times New Roman" w:cs="Times New Roman"/>
          <w:b/>
          <w:bCs/>
        </w:rPr>
        <w:t>Effects of Land Tenure Insecurity</w:t>
      </w:r>
      <w:bookmarkEnd w:id="12"/>
    </w:p>
    <w:p w14:paraId="42509FA0" w14:textId="77777777"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Land tenure insecurity remains a defining feature of slum settlements in Ghana and across much of Sub-Saharan Africa, where formal legal documentation of land rights is largely absent. In such contexts, residents often occupy land through informal arrangements, including verbal consent or customary permissions granted by traditional landowners. In the study communities, many slum dwellers reported that their continued occupancy is based on longstanding relationships with chiefs or family heads who permitted them to settle on the land. Despite the informal nature of these arrangements, they appear to offer a degree of perceived stability for residents.</w:t>
      </w:r>
    </w:p>
    <w:p w14:paraId="2A088522" w14:textId="7BE0702C"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 xml:space="preserve">According to data presented in Figure </w:t>
      </w:r>
      <w:r w:rsidR="00D14BFC" w:rsidRPr="00C579F2">
        <w:rPr>
          <w:rFonts w:ascii="Times New Roman" w:hAnsi="Times New Roman" w:cs="Times New Roman"/>
        </w:rPr>
        <w:t>7</w:t>
      </w:r>
      <w:r w:rsidRPr="00C579F2">
        <w:rPr>
          <w:rFonts w:ascii="Times New Roman" w:hAnsi="Times New Roman" w:cs="Times New Roman"/>
        </w:rPr>
        <w:t>, a significant majority of respondents (79%) indicated that they have never been threatened with eviction. This finding suggests that while formal tenure is lacking, the social legitimacy granted by traditional authorities continues to provide a measure of security against displacement. This aligns with findings by Payne</w:t>
      </w:r>
      <w:r w:rsidR="00106A09" w:rsidRPr="00C579F2">
        <w:rPr>
          <w:rFonts w:ascii="Times New Roman" w:hAnsi="Times New Roman" w:cs="Times New Roman"/>
        </w:rPr>
        <w:t xml:space="preserve"> et al. </w:t>
      </w:r>
      <w:r w:rsidRPr="00C579F2">
        <w:rPr>
          <w:rFonts w:ascii="Times New Roman" w:hAnsi="Times New Roman" w:cs="Times New Roman"/>
        </w:rPr>
        <w:t>(20</w:t>
      </w:r>
      <w:r w:rsidR="00EC55D0" w:rsidRPr="00C579F2">
        <w:rPr>
          <w:rFonts w:ascii="Times New Roman" w:hAnsi="Times New Roman" w:cs="Times New Roman"/>
        </w:rPr>
        <w:t>12</w:t>
      </w:r>
      <w:r w:rsidRPr="00C579F2">
        <w:rPr>
          <w:rFonts w:ascii="Times New Roman" w:hAnsi="Times New Roman" w:cs="Times New Roman"/>
        </w:rPr>
        <w:t>), who argue that in many informal settlements, perceived security of tenure can be maintained even in the absence of legal documentation, especially when community networks and traditional authorities support residency.</w:t>
      </w:r>
    </w:p>
    <w:p w14:paraId="23E8322F" w14:textId="3AFDD1BC"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Nonetheless, respondents noted that the government has frequently issued verbal or public threats of eviction, often citing the need for redevelopment, sanitation improvements, or urban beautification. While such threats have historically not been acted upon, their existence contributes to an atmosphere of uncertainty and tension. Slum dwellers live with the underlying fear that their homes could be demolished without compensation or relocation alternatives</w:t>
      </w:r>
      <w:r w:rsidR="00106A09" w:rsidRPr="00C579F2">
        <w:rPr>
          <w:rFonts w:ascii="Times New Roman" w:hAnsi="Times New Roman" w:cs="Times New Roman"/>
        </w:rPr>
        <w:t xml:space="preserve">, </w:t>
      </w:r>
      <w:r w:rsidRPr="00C579F2">
        <w:rPr>
          <w:rFonts w:ascii="Times New Roman" w:hAnsi="Times New Roman" w:cs="Times New Roman"/>
        </w:rPr>
        <w:t xml:space="preserve">an experience that has played out in other urban centers like Old </w:t>
      </w:r>
      <w:proofErr w:type="spellStart"/>
      <w:r w:rsidRPr="00C579F2">
        <w:rPr>
          <w:rFonts w:ascii="Times New Roman" w:hAnsi="Times New Roman" w:cs="Times New Roman"/>
        </w:rPr>
        <w:t>Fadama</w:t>
      </w:r>
      <w:proofErr w:type="spellEnd"/>
      <w:r w:rsidRPr="00C579F2">
        <w:rPr>
          <w:rFonts w:ascii="Times New Roman" w:hAnsi="Times New Roman" w:cs="Times New Roman"/>
        </w:rPr>
        <w:t xml:space="preserve"> in Accra (Morrison, 2017).</w:t>
      </w:r>
    </w:p>
    <w:p w14:paraId="1DD9FDD5" w14:textId="77777777" w:rsidR="00795087" w:rsidRPr="00C579F2" w:rsidRDefault="00795087" w:rsidP="00547E9C">
      <w:pPr>
        <w:spacing w:line="240" w:lineRule="auto"/>
        <w:jc w:val="both"/>
        <w:rPr>
          <w:rFonts w:ascii="Times New Roman" w:hAnsi="Times New Roman" w:cs="Times New Roman"/>
        </w:rPr>
      </w:pPr>
      <w:r w:rsidRPr="00C579F2">
        <w:rPr>
          <w:rFonts w:ascii="Times New Roman" w:hAnsi="Times New Roman" w:cs="Times New Roman"/>
        </w:rPr>
        <w:t>The ambiguity surrounding land tenure in these areas complicates urban planning and land administration efforts. Without legal recognition or formal titles, residents are unable to invest confidently in long-term housing improvements or claim legal protections. Moreover, the coexistence of informal settlements with formal land management systems leads to jurisdictional conflicts and challenges in enforcing land use regulations (</w:t>
      </w:r>
      <w:proofErr w:type="spellStart"/>
      <w:r w:rsidRPr="00C579F2">
        <w:rPr>
          <w:rFonts w:ascii="Times New Roman" w:hAnsi="Times New Roman" w:cs="Times New Roman"/>
        </w:rPr>
        <w:t>Ubink</w:t>
      </w:r>
      <w:proofErr w:type="spellEnd"/>
      <w:r w:rsidRPr="00C579F2">
        <w:rPr>
          <w:rFonts w:ascii="Times New Roman" w:hAnsi="Times New Roman" w:cs="Times New Roman"/>
        </w:rPr>
        <w:t xml:space="preserve"> &amp; </w:t>
      </w:r>
      <w:proofErr w:type="spellStart"/>
      <w:r w:rsidRPr="00C579F2">
        <w:rPr>
          <w:rFonts w:ascii="Times New Roman" w:hAnsi="Times New Roman" w:cs="Times New Roman"/>
        </w:rPr>
        <w:t>Amanor</w:t>
      </w:r>
      <w:proofErr w:type="spellEnd"/>
      <w:r w:rsidRPr="00C579F2">
        <w:rPr>
          <w:rFonts w:ascii="Times New Roman" w:hAnsi="Times New Roman" w:cs="Times New Roman"/>
        </w:rPr>
        <w:t>, 2008).</w:t>
      </w:r>
    </w:p>
    <w:p w14:paraId="0790ECFE" w14:textId="41E2F31E"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 xml:space="preserve"> </w:t>
      </w:r>
    </w:p>
    <w:p w14:paraId="5DE082E5" w14:textId="77777777" w:rsidR="000C7320" w:rsidRPr="00C579F2" w:rsidRDefault="000C7320" w:rsidP="00D66E7A">
      <w:pPr>
        <w:spacing w:after="0" w:line="240" w:lineRule="auto"/>
        <w:jc w:val="center"/>
        <w:rPr>
          <w:rFonts w:ascii="Times New Roman" w:hAnsi="Times New Roman" w:cs="Times New Roman"/>
        </w:rPr>
      </w:pPr>
      <w:r w:rsidRPr="00C579F2">
        <w:rPr>
          <w:rFonts w:ascii="Times New Roman" w:hAnsi="Times New Roman" w:cs="Times New Roman"/>
          <w:noProof/>
        </w:rPr>
        <w:lastRenderedPageBreak/>
        <w:drawing>
          <wp:inline distT="0" distB="0" distL="0" distR="0" wp14:anchorId="72614413" wp14:editId="52186F38">
            <wp:extent cx="4651131" cy="2664069"/>
            <wp:effectExtent l="0" t="0" r="16510" b="3175"/>
            <wp:docPr id="928211006" name="Chart 1">
              <a:extLst xmlns:a="http://schemas.openxmlformats.org/drawingml/2006/main">
                <a:ext uri="{FF2B5EF4-FFF2-40B4-BE49-F238E27FC236}">
                  <a16:creationId xmlns:a16="http://schemas.microsoft.com/office/drawing/2014/main" id="{62549DD8-FA9E-B0D9-6EF9-ADB41A712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A37142" w14:textId="5E233CC5" w:rsidR="00296645" w:rsidRPr="00C579F2" w:rsidRDefault="000C7320" w:rsidP="007558AF">
      <w:pPr>
        <w:spacing w:after="0" w:line="240" w:lineRule="auto"/>
        <w:jc w:val="center"/>
        <w:rPr>
          <w:rFonts w:ascii="Times New Roman" w:hAnsi="Times New Roman" w:cs="Times New Roman"/>
          <w:b/>
          <w:bCs/>
          <w:i/>
          <w:iCs/>
        </w:rPr>
      </w:pPr>
      <w:r w:rsidRPr="00C579F2">
        <w:rPr>
          <w:rFonts w:ascii="Times New Roman" w:hAnsi="Times New Roman" w:cs="Times New Roman"/>
          <w:b/>
          <w:bCs/>
        </w:rPr>
        <w:t xml:space="preserve">Figure </w:t>
      </w:r>
      <w:r w:rsidR="00D14BFC" w:rsidRPr="00C579F2">
        <w:rPr>
          <w:rFonts w:ascii="Times New Roman" w:hAnsi="Times New Roman" w:cs="Times New Roman"/>
          <w:b/>
          <w:bCs/>
        </w:rPr>
        <w:t>7</w:t>
      </w:r>
      <w:r w:rsidR="00296645" w:rsidRPr="00C579F2">
        <w:rPr>
          <w:rFonts w:ascii="Times New Roman" w:hAnsi="Times New Roman" w:cs="Times New Roman"/>
          <w:b/>
          <w:bCs/>
        </w:rPr>
        <w:t>:</w:t>
      </w:r>
      <w:r w:rsidRPr="00C579F2">
        <w:rPr>
          <w:rFonts w:ascii="Times New Roman" w:hAnsi="Times New Roman" w:cs="Times New Roman"/>
          <w:b/>
          <w:bCs/>
        </w:rPr>
        <w:t xml:space="preserve"> Threats of eviction</w:t>
      </w:r>
    </w:p>
    <w:p w14:paraId="7136FA07" w14:textId="4F4A1851" w:rsidR="000C7320" w:rsidRPr="00C579F2" w:rsidRDefault="00296645" w:rsidP="007558AF">
      <w:pPr>
        <w:spacing w:after="0" w:line="240" w:lineRule="auto"/>
        <w:jc w:val="center"/>
        <w:rPr>
          <w:rFonts w:ascii="Times New Roman" w:hAnsi="Times New Roman" w:cs="Times New Roman"/>
          <w:i/>
          <w:iCs/>
        </w:rPr>
      </w:pPr>
      <w:r w:rsidRPr="00C579F2">
        <w:rPr>
          <w:rFonts w:ascii="Times New Roman" w:hAnsi="Times New Roman" w:cs="Times New Roman"/>
        </w:rPr>
        <w:t>Source: Authors Construct</w:t>
      </w:r>
    </w:p>
    <w:p w14:paraId="06663019" w14:textId="77777777" w:rsidR="000C7320" w:rsidRPr="00C579F2" w:rsidRDefault="000C7320" w:rsidP="00547E9C">
      <w:pPr>
        <w:spacing w:after="0" w:line="240" w:lineRule="auto"/>
        <w:jc w:val="both"/>
        <w:rPr>
          <w:rFonts w:ascii="Times New Roman" w:hAnsi="Times New Roman" w:cs="Times New Roman"/>
          <w:i/>
          <w:iCs/>
        </w:rPr>
      </w:pPr>
    </w:p>
    <w:p w14:paraId="0CDD4628" w14:textId="7F01FB1A" w:rsidR="000D1EFA" w:rsidRPr="00C579F2" w:rsidRDefault="000C7320" w:rsidP="00004CD5">
      <w:pPr>
        <w:pStyle w:val="NormalWeb"/>
        <w:jc w:val="both"/>
        <w:rPr>
          <w:sz w:val="22"/>
          <w:szCs w:val="22"/>
        </w:rPr>
      </w:pPr>
      <w:r w:rsidRPr="00C579F2">
        <w:rPr>
          <w:sz w:val="22"/>
          <w:szCs w:val="22"/>
        </w:rPr>
        <w:t xml:space="preserve">When probed further, a respondent asserted that they have a good relationship with the landowners, and they usually pay homage to the traditional </w:t>
      </w:r>
      <w:r w:rsidR="007572AA" w:rsidRPr="00C579F2">
        <w:rPr>
          <w:sz w:val="22"/>
          <w:szCs w:val="22"/>
        </w:rPr>
        <w:t>landowners</w:t>
      </w:r>
      <w:r w:rsidRPr="00C579F2">
        <w:rPr>
          <w:sz w:val="22"/>
          <w:szCs w:val="22"/>
        </w:rPr>
        <w:t xml:space="preserve"> during festivals. </w:t>
      </w:r>
      <w:r w:rsidR="00004CD5" w:rsidRPr="00C579F2">
        <w:rPr>
          <w:sz w:val="22"/>
          <w:szCs w:val="22"/>
        </w:rPr>
        <w:t xml:space="preserve">Several residents described their occupancy as based on long-standing informal agreements with traditional landowners, often reinforced through symbolic gestures such as seasonal contributions during festivals. While these practices provided a sense of social legitimacy, many admitted that they remained insecure, recognizing that they could be evicted at any time. Planning officers confirmed these insecurities, emphasizing that informal settlements frequently occupy land designated for other uses, such as nature reserves or infrastructure corridors. This misalignment creates ongoing conflicts between statutory planning requirements and community realities. </w:t>
      </w:r>
      <w:r w:rsidRPr="00C579F2">
        <w:rPr>
          <w:sz w:val="22"/>
          <w:szCs w:val="22"/>
        </w:rPr>
        <w:t>This confirms the suspicion</w:t>
      </w:r>
      <w:r w:rsidR="00500E09" w:rsidRPr="00C579F2">
        <w:rPr>
          <w:sz w:val="22"/>
          <w:szCs w:val="22"/>
        </w:rPr>
        <w:t>,</w:t>
      </w:r>
      <w:r w:rsidRPr="00C579F2">
        <w:rPr>
          <w:sz w:val="22"/>
          <w:szCs w:val="22"/>
        </w:rPr>
        <w:t xml:space="preserve"> therefore</w:t>
      </w:r>
      <w:r w:rsidR="00500E09" w:rsidRPr="00C579F2">
        <w:rPr>
          <w:sz w:val="22"/>
          <w:szCs w:val="22"/>
        </w:rPr>
        <w:t>,</w:t>
      </w:r>
      <w:r w:rsidRPr="00C579F2">
        <w:rPr>
          <w:sz w:val="22"/>
          <w:szCs w:val="22"/>
        </w:rPr>
        <w:t xml:space="preserve"> that from the legal point of view, slum dwellers are not qualified to be occupying such lands</w:t>
      </w:r>
      <w:r w:rsidR="00D4351B" w:rsidRPr="00C579F2">
        <w:rPr>
          <w:sz w:val="22"/>
          <w:szCs w:val="22"/>
        </w:rPr>
        <w:t>,</w:t>
      </w:r>
      <w:r w:rsidRPr="00C579F2">
        <w:rPr>
          <w:sz w:val="22"/>
          <w:szCs w:val="22"/>
        </w:rPr>
        <w:t xml:space="preserve"> as the law does not recognize their existence on those lands.</w:t>
      </w:r>
    </w:p>
    <w:p w14:paraId="12E4E0F6" w14:textId="2F677F57" w:rsidR="000C7320" w:rsidRPr="00C579F2" w:rsidRDefault="00071EBB" w:rsidP="00547E9C">
      <w:pPr>
        <w:jc w:val="both"/>
        <w:rPr>
          <w:rFonts w:ascii="Times New Roman" w:hAnsi="Times New Roman" w:cs="Times New Roman"/>
          <w:b/>
          <w:bCs/>
        </w:rPr>
      </w:pPr>
      <w:bookmarkStart w:id="13" w:name="_Toc176327315"/>
      <w:r w:rsidRPr="00C579F2">
        <w:rPr>
          <w:rFonts w:ascii="Times New Roman" w:hAnsi="Times New Roman" w:cs="Times New Roman"/>
          <w:b/>
          <w:bCs/>
        </w:rPr>
        <w:t xml:space="preserve">4.4.1 </w:t>
      </w:r>
      <w:r w:rsidR="000C7320" w:rsidRPr="00C579F2">
        <w:rPr>
          <w:rFonts w:ascii="Times New Roman" w:hAnsi="Times New Roman" w:cs="Times New Roman"/>
          <w:b/>
          <w:bCs/>
        </w:rPr>
        <w:t>Willingness of Slum dwellers and Landowners to invest in property development</w:t>
      </w:r>
      <w:bookmarkEnd w:id="13"/>
    </w:p>
    <w:p w14:paraId="7196F9E8" w14:textId="790ED2B8" w:rsidR="000C7320" w:rsidRPr="00C579F2" w:rsidRDefault="000C7320" w:rsidP="00547E9C">
      <w:pPr>
        <w:spacing w:line="240" w:lineRule="auto"/>
        <w:jc w:val="both"/>
        <w:rPr>
          <w:rFonts w:ascii="Times New Roman" w:hAnsi="Times New Roman" w:cs="Times New Roman"/>
        </w:rPr>
      </w:pPr>
      <w:r w:rsidRPr="00C579F2">
        <w:rPr>
          <w:rFonts w:ascii="Times New Roman" w:hAnsi="Times New Roman" w:cs="Times New Roman"/>
        </w:rPr>
        <w:t xml:space="preserve">The willingness to invest in a venture is dependent on the risk associated with the venture. For slum dwellers, this risk is tied to their tenure security. From </w:t>
      </w:r>
      <w:r w:rsidR="00500E09" w:rsidRPr="00C579F2">
        <w:rPr>
          <w:rFonts w:ascii="Times New Roman" w:hAnsi="Times New Roman" w:cs="Times New Roman"/>
        </w:rPr>
        <w:t>Figure</w:t>
      </w:r>
      <w:r w:rsidRPr="00C579F2">
        <w:rPr>
          <w:rFonts w:ascii="Times New Roman" w:hAnsi="Times New Roman" w:cs="Times New Roman"/>
        </w:rPr>
        <w:t xml:space="preserve"> </w:t>
      </w:r>
      <w:r w:rsidR="00D14BFC" w:rsidRPr="00C579F2">
        <w:rPr>
          <w:rFonts w:ascii="Times New Roman" w:hAnsi="Times New Roman" w:cs="Times New Roman"/>
        </w:rPr>
        <w:t>8</w:t>
      </w:r>
      <w:r w:rsidRPr="00C579F2">
        <w:rPr>
          <w:rFonts w:ascii="Times New Roman" w:hAnsi="Times New Roman" w:cs="Times New Roman"/>
        </w:rPr>
        <w:t>, about 61% of slum dwellers agree that the lack of tenure security affects their willingness to invest in property developments. However, about 28% cumulatively held an opposing view that tenure insecurity does not affect their willingness to invest in property improvement. This, they say</w:t>
      </w:r>
      <w:r w:rsidR="00D4351B" w:rsidRPr="00C579F2">
        <w:rPr>
          <w:rFonts w:ascii="Times New Roman" w:hAnsi="Times New Roman" w:cs="Times New Roman"/>
        </w:rPr>
        <w:t>,</w:t>
      </w:r>
      <w:r w:rsidRPr="00C579F2">
        <w:rPr>
          <w:rFonts w:ascii="Times New Roman" w:hAnsi="Times New Roman" w:cs="Times New Roman"/>
        </w:rPr>
        <w:t xml:space="preserve"> is because the majority have assumed that they do not have any documentation to back their claim to the land.</w:t>
      </w:r>
    </w:p>
    <w:p w14:paraId="47FE307E" w14:textId="77777777" w:rsidR="000C7320" w:rsidRPr="00C579F2" w:rsidRDefault="000C7320" w:rsidP="00D66E7A">
      <w:pPr>
        <w:spacing w:line="240" w:lineRule="auto"/>
        <w:jc w:val="center"/>
        <w:rPr>
          <w:rFonts w:ascii="Times New Roman" w:hAnsi="Times New Roman" w:cs="Times New Roman"/>
        </w:rPr>
      </w:pPr>
      <w:r w:rsidRPr="00C579F2">
        <w:rPr>
          <w:rFonts w:ascii="Times New Roman" w:hAnsi="Times New Roman" w:cs="Times New Roman"/>
          <w:noProof/>
        </w:rPr>
        <w:lastRenderedPageBreak/>
        <w:drawing>
          <wp:inline distT="0" distB="0" distL="0" distR="0" wp14:anchorId="21FD292E" wp14:editId="098F52B8">
            <wp:extent cx="4495800" cy="3019425"/>
            <wp:effectExtent l="0" t="0" r="0" b="9525"/>
            <wp:docPr id="1786630762" name="Chart 1">
              <a:extLst xmlns:a="http://schemas.openxmlformats.org/drawingml/2006/main">
                <a:ext uri="{FF2B5EF4-FFF2-40B4-BE49-F238E27FC236}">
                  <a16:creationId xmlns:a16="http://schemas.microsoft.com/office/drawing/2014/main" id="{B72DBFD7-518B-A191-E5F7-46FB4A714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972B4F" w14:textId="2A67A5D1" w:rsidR="000C7320" w:rsidRPr="00C579F2" w:rsidRDefault="000C7320" w:rsidP="007558AF">
      <w:pPr>
        <w:spacing w:after="0" w:line="240" w:lineRule="auto"/>
        <w:ind w:left="-1417"/>
        <w:jc w:val="center"/>
        <w:rPr>
          <w:rFonts w:ascii="Times New Roman" w:hAnsi="Times New Roman" w:cs="Times New Roman"/>
          <w:b/>
          <w:bCs/>
        </w:rPr>
      </w:pPr>
      <w:r w:rsidRPr="00C579F2">
        <w:rPr>
          <w:rFonts w:ascii="Times New Roman" w:hAnsi="Times New Roman" w:cs="Times New Roman"/>
          <w:b/>
          <w:bCs/>
        </w:rPr>
        <w:t>Figure</w:t>
      </w:r>
      <w:r w:rsidR="00296645" w:rsidRPr="00C579F2">
        <w:rPr>
          <w:rFonts w:ascii="Times New Roman" w:hAnsi="Times New Roman" w:cs="Times New Roman"/>
          <w:b/>
          <w:bCs/>
        </w:rPr>
        <w:t xml:space="preserve"> </w:t>
      </w:r>
      <w:r w:rsidR="00D14BFC" w:rsidRPr="00C579F2">
        <w:rPr>
          <w:rFonts w:ascii="Times New Roman" w:hAnsi="Times New Roman" w:cs="Times New Roman"/>
          <w:b/>
          <w:bCs/>
        </w:rPr>
        <w:t>8</w:t>
      </w:r>
      <w:r w:rsidR="00296645" w:rsidRPr="00C579F2">
        <w:rPr>
          <w:rFonts w:ascii="Times New Roman" w:hAnsi="Times New Roman" w:cs="Times New Roman"/>
          <w:b/>
          <w:bCs/>
        </w:rPr>
        <w:t>:</w:t>
      </w:r>
      <w:r w:rsidRPr="00C579F2">
        <w:rPr>
          <w:rFonts w:ascii="Times New Roman" w:hAnsi="Times New Roman" w:cs="Times New Roman"/>
          <w:b/>
          <w:bCs/>
        </w:rPr>
        <w:t xml:space="preserve"> Willingness of slum dwellers to invest in properties</w:t>
      </w:r>
    </w:p>
    <w:p w14:paraId="6EC20CBA" w14:textId="05EB76E4" w:rsidR="000C7320" w:rsidRPr="00C579F2" w:rsidRDefault="000C7320" w:rsidP="007558AF">
      <w:pPr>
        <w:spacing w:after="0" w:line="240" w:lineRule="auto"/>
        <w:ind w:left="-1417"/>
        <w:jc w:val="center"/>
        <w:rPr>
          <w:rFonts w:ascii="Times New Roman" w:hAnsi="Times New Roman" w:cs="Times New Roman"/>
        </w:rPr>
      </w:pPr>
      <w:r w:rsidRPr="00C579F2">
        <w:rPr>
          <w:rFonts w:ascii="Times New Roman" w:hAnsi="Times New Roman" w:cs="Times New Roman"/>
        </w:rPr>
        <w:t xml:space="preserve">Source: </w:t>
      </w:r>
      <w:r w:rsidR="00296645" w:rsidRPr="00C579F2">
        <w:rPr>
          <w:rFonts w:ascii="Times New Roman" w:hAnsi="Times New Roman" w:cs="Times New Roman"/>
        </w:rPr>
        <w:t>Source: Authors Construct</w:t>
      </w:r>
    </w:p>
    <w:p w14:paraId="763BB847" w14:textId="77777777" w:rsidR="00296645" w:rsidRPr="00C579F2" w:rsidRDefault="00296645" w:rsidP="00547E9C">
      <w:pPr>
        <w:spacing w:after="0" w:line="240" w:lineRule="auto"/>
        <w:ind w:left="-1417"/>
        <w:jc w:val="both"/>
        <w:rPr>
          <w:rFonts w:ascii="Times New Roman" w:hAnsi="Times New Roman" w:cs="Times New Roman"/>
        </w:rPr>
      </w:pPr>
    </w:p>
    <w:p w14:paraId="64CF8617" w14:textId="7F8D14EF" w:rsidR="000C7320" w:rsidRPr="00C579F2" w:rsidRDefault="000C7320" w:rsidP="00217C9F">
      <w:pPr>
        <w:spacing w:line="240" w:lineRule="auto"/>
        <w:jc w:val="both"/>
        <w:rPr>
          <w:rFonts w:ascii="Times New Roman" w:hAnsi="Times New Roman" w:cs="Times New Roman"/>
        </w:rPr>
      </w:pPr>
      <w:r w:rsidRPr="00C579F2">
        <w:rPr>
          <w:rFonts w:ascii="Times New Roman" w:hAnsi="Times New Roman" w:cs="Times New Roman"/>
        </w:rPr>
        <w:t xml:space="preserve">The majority </w:t>
      </w:r>
      <w:r w:rsidR="00500E09" w:rsidRPr="00C579F2">
        <w:rPr>
          <w:rFonts w:ascii="Times New Roman" w:hAnsi="Times New Roman" w:cs="Times New Roman"/>
        </w:rPr>
        <w:t xml:space="preserve">of </w:t>
      </w:r>
      <w:r w:rsidRPr="00C579F2">
        <w:rPr>
          <w:rFonts w:ascii="Times New Roman" w:hAnsi="Times New Roman" w:cs="Times New Roman"/>
        </w:rPr>
        <w:t>views are that they cannot invest in something they do not own. They opined that if they had clear ownership, they would have invested in improving the nature of their structures, sanitation</w:t>
      </w:r>
      <w:r w:rsidR="00500E09" w:rsidRPr="00C579F2">
        <w:rPr>
          <w:rFonts w:ascii="Times New Roman" w:hAnsi="Times New Roman" w:cs="Times New Roman"/>
        </w:rPr>
        <w:t>,</w:t>
      </w:r>
      <w:r w:rsidRPr="00C579F2">
        <w:rPr>
          <w:rFonts w:ascii="Times New Roman" w:hAnsi="Times New Roman" w:cs="Times New Roman"/>
        </w:rPr>
        <w:t xml:space="preserve"> and other areas to make their slum communities look good.  Thus, the majority are of the view that they would invest in improving the nature of their structures and sanitation</w:t>
      </w:r>
      <w:r w:rsidR="00500E09" w:rsidRPr="00C579F2">
        <w:rPr>
          <w:rFonts w:ascii="Times New Roman" w:hAnsi="Times New Roman" w:cs="Times New Roman"/>
        </w:rPr>
        <w:t>,</w:t>
      </w:r>
      <w:r w:rsidRPr="00C579F2">
        <w:rPr>
          <w:rFonts w:ascii="Times New Roman" w:hAnsi="Times New Roman" w:cs="Times New Roman"/>
        </w:rPr>
        <w:t xml:space="preserve"> should</w:t>
      </w:r>
      <w:r w:rsidR="00217C9F" w:rsidRPr="00C579F2">
        <w:rPr>
          <w:rFonts w:ascii="Times New Roman" w:hAnsi="Times New Roman" w:cs="Times New Roman"/>
        </w:rPr>
        <w:t xml:space="preserve"> they have secured land rights. Residents consistently expressed that tenure insecurity discouraged them from investing in their homes or communities. However, they reported that if they had secure land rights, they would prioritize improvements such as sanitation facilities, road networks, and small-scale infrastructure projects. This reflects the latent capacity of residents to contribute to community upgrading if provided with legal security.</w:t>
      </w:r>
    </w:p>
    <w:p w14:paraId="5B0C0551" w14:textId="1ECF7692" w:rsidR="00071EBB" w:rsidRPr="00C579F2" w:rsidRDefault="00D4351B" w:rsidP="00547E9C">
      <w:pPr>
        <w:spacing w:line="240" w:lineRule="auto"/>
        <w:jc w:val="both"/>
        <w:rPr>
          <w:rFonts w:ascii="Times New Roman" w:hAnsi="Times New Roman" w:cs="Times New Roman"/>
        </w:rPr>
      </w:pPr>
      <w:r w:rsidRPr="00C579F2">
        <w:rPr>
          <w:rFonts w:ascii="Times New Roman" w:hAnsi="Times New Roman" w:cs="Times New Roman"/>
        </w:rPr>
        <w:t>These expressions by the slum dwellers may indicate their willingness to invest in ensuring that their communities meet planning standards, but the fact that they lack tenure security acts as a barrier. This shows that tenure insecurity might be the reason why slum areas remain informal settlements and receive little to no social amenities from the government. Therefore, if slum dwellers obtain legal documentation for the lands they occupy, they are more likely to invest in improving their communities, as reflected in their responses.</w:t>
      </w:r>
    </w:p>
    <w:p w14:paraId="358CA9A8" w14:textId="31E2F656" w:rsidR="00707F3B" w:rsidRPr="00C579F2" w:rsidRDefault="00042D49" w:rsidP="00547E9C">
      <w:pPr>
        <w:spacing w:line="240" w:lineRule="auto"/>
        <w:jc w:val="both"/>
        <w:rPr>
          <w:rFonts w:ascii="Times New Roman" w:hAnsi="Times New Roman" w:cs="Times New Roman"/>
          <w:b/>
          <w:bCs/>
        </w:rPr>
      </w:pPr>
      <w:r w:rsidRPr="00C579F2">
        <w:rPr>
          <w:rFonts w:ascii="Times New Roman" w:hAnsi="Times New Roman" w:cs="Times New Roman"/>
          <w:b/>
          <w:bCs/>
        </w:rPr>
        <w:t>5. CONCLUSION</w:t>
      </w:r>
    </w:p>
    <w:p w14:paraId="2F786D58" w14:textId="31D48C9D" w:rsidR="005E0FBB" w:rsidRDefault="00717D68" w:rsidP="00547E9C">
      <w:pPr>
        <w:spacing w:line="240" w:lineRule="auto"/>
        <w:jc w:val="both"/>
        <w:rPr>
          <w:rFonts w:ascii="Times New Roman" w:hAnsi="Times New Roman" w:cs="Times New Roman"/>
        </w:rPr>
      </w:pPr>
      <w:r w:rsidRPr="00C579F2">
        <w:rPr>
          <w:rFonts w:ascii="Times New Roman" w:hAnsi="Times New Roman" w:cs="Times New Roman"/>
        </w:rPr>
        <w:t xml:space="preserve">This study examined the legal effects of slum formation on land development in Accra and Kumasi and found that informal settlements weaken both customary landownership and formal land management. Customary authorities, although still respected, increasingly lose control over land use, and planning institutions cannot enforce development plans due to political interference, lack of coordination, and limited resources. Slum residents rely on informal permissions to occupy land, which gives them perceived security but no legal protection or recognition. This insecurity discourages long-term investment in housing, infrastructure, and community development, although residents show a strong interest in improving their surroundings if they could obtain secure tenure. While Ghana's legal system recognizes customary landownership, poor integration of statutory and customary systems allows slums to develop outside the regulation, leading to unregulated land subdivision, inadequate service delivery, and difficulties in implementing spatial plans. Both planning authorities and traditional leaders see the need for better </w:t>
      </w:r>
      <w:r w:rsidRPr="00C579F2">
        <w:rPr>
          <w:rFonts w:ascii="Times New Roman" w:hAnsi="Times New Roman" w:cs="Times New Roman"/>
        </w:rPr>
        <w:lastRenderedPageBreak/>
        <w:t>coordination, but current efforts are underfunded and fragmented. To address these issues, the research suggests enhancing cooperation between planning authorities and traditional leaders, establishing tenure recognition programs that encourage community investment, and supporting inclusive land governance models that incorporate both informal tenure practices and formal legal standards. Strengthening community engagement, improving documentation of land rights, and aligning planning practices with local customs are essential to ensuring secure tenure, reducing land disputes, and promoting sustainable urban growth in Ghana's rapidly developing cities.</w:t>
      </w:r>
    </w:p>
    <w:p w14:paraId="4223317C" w14:textId="5B2E42B4" w:rsidR="00514AB8" w:rsidRDefault="00514AB8" w:rsidP="00547E9C">
      <w:pPr>
        <w:spacing w:line="240" w:lineRule="auto"/>
        <w:jc w:val="both"/>
        <w:rPr>
          <w:rFonts w:ascii="Times New Roman" w:hAnsi="Times New Roman" w:cs="Times New Roman"/>
        </w:rPr>
      </w:pPr>
    </w:p>
    <w:p w14:paraId="4AB520A2" w14:textId="77777777" w:rsidR="00514AB8" w:rsidRPr="00514AB8" w:rsidRDefault="00514AB8" w:rsidP="00514AB8">
      <w:pPr>
        <w:spacing w:line="240" w:lineRule="auto"/>
        <w:jc w:val="both"/>
        <w:rPr>
          <w:rFonts w:ascii="Times New Roman" w:hAnsi="Times New Roman" w:cs="Times New Roman"/>
        </w:rPr>
      </w:pPr>
      <w:r w:rsidRPr="00514AB8">
        <w:rPr>
          <w:rFonts w:ascii="Times New Roman" w:hAnsi="Times New Roman" w:cs="Times New Roman"/>
        </w:rPr>
        <w:t>Ethical Approval:</w:t>
      </w:r>
    </w:p>
    <w:p w14:paraId="21B1CC88" w14:textId="77777777" w:rsidR="00514AB8" w:rsidRPr="00514AB8" w:rsidRDefault="00514AB8" w:rsidP="00514AB8">
      <w:pPr>
        <w:spacing w:line="240" w:lineRule="auto"/>
        <w:jc w:val="both"/>
        <w:rPr>
          <w:rFonts w:ascii="Times New Roman" w:hAnsi="Times New Roman" w:cs="Times New Roman"/>
        </w:rPr>
      </w:pPr>
    </w:p>
    <w:p w14:paraId="18C1D95F" w14:textId="4E2BDF92" w:rsidR="00514AB8" w:rsidRDefault="00514AB8" w:rsidP="00514AB8">
      <w:pPr>
        <w:spacing w:line="240" w:lineRule="auto"/>
        <w:jc w:val="both"/>
        <w:rPr>
          <w:rFonts w:ascii="Times New Roman" w:hAnsi="Times New Roman" w:cs="Times New Roman"/>
        </w:rPr>
      </w:pPr>
      <w:r w:rsidRPr="00514AB8">
        <w:rPr>
          <w:rFonts w:ascii="Times New Roman" w:hAnsi="Times New Roman" w:cs="Times New Roman"/>
        </w:rPr>
        <w:t>As per international standards or university standards written ethical approval has been collected and preserved by the author(s).</w:t>
      </w:r>
    </w:p>
    <w:p w14:paraId="042CC719" w14:textId="44DEC281" w:rsidR="00514AB8" w:rsidRDefault="00514AB8" w:rsidP="00514AB8">
      <w:pPr>
        <w:spacing w:line="240" w:lineRule="auto"/>
        <w:jc w:val="both"/>
        <w:rPr>
          <w:rFonts w:ascii="Times New Roman" w:hAnsi="Times New Roman" w:cs="Times New Roman"/>
        </w:rPr>
      </w:pPr>
    </w:p>
    <w:p w14:paraId="0A8983C3" w14:textId="77777777" w:rsidR="00514AB8" w:rsidRPr="00514AB8" w:rsidRDefault="00514AB8" w:rsidP="00514AB8">
      <w:pPr>
        <w:spacing w:line="240" w:lineRule="auto"/>
        <w:jc w:val="both"/>
        <w:rPr>
          <w:rFonts w:ascii="Times New Roman" w:hAnsi="Times New Roman" w:cs="Times New Roman"/>
        </w:rPr>
      </w:pPr>
      <w:r w:rsidRPr="00514AB8">
        <w:rPr>
          <w:rFonts w:ascii="Times New Roman" w:hAnsi="Times New Roman" w:cs="Times New Roman"/>
        </w:rPr>
        <w:t xml:space="preserve">Consent </w:t>
      </w:r>
    </w:p>
    <w:p w14:paraId="30D8A016" w14:textId="3D075535" w:rsidR="00514AB8" w:rsidRDefault="00514AB8" w:rsidP="00514AB8">
      <w:pPr>
        <w:spacing w:line="240" w:lineRule="auto"/>
        <w:jc w:val="both"/>
        <w:rPr>
          <w:rFonts w:ascii="Times New Roman" w:hAnsi="Times New Roman" w:cs="Times New Roman"/>
        </w:rPr>
      </w:pPr>
      <w:r w:rsidRPr="00514AB8">
        <w:rPr>
          <w:rFonts w:ascii="Times New Roman" w:hAnsi="Times New Roman" w:cs="Times New Roman"/>
        </w:rPr>
        <w:t>As per international standards or university standards, Participants’ written consent has been collected and preserved by the author(s).</w:t>
      </w:r>
    </w:p>
    <w:p w14:paraId="5D5CAB1E" w14:textId="77777777" w:rsidR="00514AB8" w:rsidRPr="00C579F2" w:rsidRDefault="00514AB8" w:rsidP="00514AB8">
      <w:pPr>
        <w:spacing w:line="240" w:lineRule="auto"/>
        <w:jc w:val="both"/>
        <w:rPr>
          <w:rFonts w:ascii="Times New Roman" w:hAnsi="Times New Roman" w:cs="Times New Roman"/>
        </w:rPr>
      </w:pPr>
    </w:p>
    <w:p w14:paraId="2B0A5DD1" w14:textId="77777777" w:rsidR="006047BA" w:rsidRPr="00C579F2" w:rsidRDefault="006047BA" w:rsidP="00547E9C">
      <w:pPr>
        <w:spacing w:line="240" w:lineRule="auto"/>
        <w:jc w:val="both"/>
        <w:rPr>
          <w:rFonts w:ascii="Times New Roman" w:hAnsi="Times New Roman" w:cs="Times New Roman"/>
          <w:b/>
          <w:shd w:val="clear" w:color="auto" w:fill="FFFFFF"/>
        </w:rPr>
      </w:pPr>
      <w:r w:rsidRPr="00C579F2">
        <w:rPr>
          <w:rFonts w:ascii="Times New Roman" w:hAnsi="Times New Roman" w:cs="Times New Roman"/>
          <w:b/>
          <w:shd w:val="clear" w:color="auto" w:fill="FFFFFF"/>
        </w:rPr>
        <w:t>DISCLAIMER (ARTIFICIAL INTELLIGENCE)</w:t>
      </w:r>
    </w:p>
    <w:p w14:paraId="5DEC8939" w14:textId="5E8F6FB1" w:rsidR="006047BA" w:rsidRPr="00C579F2" w:rsidRDefault="006047BA" w:rsidP="00547E9C">
      <w:pPr>
        <w:spacing w:line="240" w:lineRule="auto"/>
        <w:jc w:val="both"/>
        <w:rPr>
          <w:rFonts w:ascii="Times New Roman" w:hAnsi="Times New Roman" w:cs="Times New Roman"/>
          <w:shd w:val="clear" w:color="auto" w:fill="FFFFFF"/>
        </w:rPr>
      </w:pPr>
      <w:r w:rsidRPr="00C579F2">
        <w:rPr>
          <w:rFonts w:ascii="Times New Roman" w:hAnsi="Times New Roman" w:cs="Times New Roman"/>
          <w:shd w:val="clear" w:color="auto" w:fill="FFFFFF"/>
        </w:rPr>
        <w:t xml:space="preserve">Authors hereby declare </w:t>
      </w:r>
      <w:proofErr w:type="gramStart"/>
      <w:r w:rsidRPr="00C579F2">
        <w:rPr>
          <w:rFonts w:ascii="Times New Roman" w:hAnsi="Times New Roman" w:cs="Times New Roman"/>
          <w:shd w:val="clear" w:color="auto" w:fill="FFFFFF"/>
        </w:rPr>
        <w:t>that  NO</w:t>
      </w:r>
      <w:proofErr w:type="gramEnd"/>
      <w:r w:rsidRPr="00C579F2">
        <w:rPr>
          <w:rFonts w:ascii="Times New Roman" w:hAnsi="Times New Roman" w:cs="Times New Roman"/>
          <w:shd w:val="clear" w:color="auto" w:fill="FFFFFF"/>
        </w:rPr>
        <w:t xml:space="preserve"> generative  AI technologies such as  Large  Language  Models (</w:t>
      </w:r>
      <w:proofErr w:type="spellStart"/>
      <w:r w:rsidRPr="00C579F2">
        <w:rPr>
          <w:rFonts w:ascii="Times New Roman" w:hAnsi="Times New Roman" w:cs="Times New Roman"/>
          <w:shd w:val="clear" w:color="auto" w:fill="FFFFFF"/>
        </w:rPr>
        <w:t>ChatGPT</w:t>
      </w:r>
      <w:proofErr w:type="spellEnd"/>
      <w:r w:rsidRPr="00C579F2">
        <w:rPr>
          <w:rFonts w:ascii="Times New Roman" w:hAnsi="Times New Roman" w:cs="Times New Roman"/>
          <w:shd w:val="clear" w:color="auto" w:fill="FFFFFF"/>
        </w:rPr>
        <w:t xml:space="preserve">,   COPILOT,   </w:t>
      </w:r>
      <w:proofErr w:type="spellStart"/>
      <w:r w:rsidRPr="00C579F2">
        <w:rPr>
          <w:rFonts w:ascii="Times New Roman" w:hAnsi="Times New Roman" w:cs="Times New Roman"/>
          <w:shd w:val="clear" w:color="auto" w:fill="FFFFFF"/>
        </w:rPr>
        <w:t>etc</w:t>
      </w:r>
      <w:proofErr w:type="spellEnd"/>
      <w:r w:rsidRPr="00C579F2">
        <w:rPr>
          <w:rFonts w:ascii="Times New Roman" w:hAnsi="Times New Roman" w:cs="Times New Roman"/>
          <w:shd w:val="clear" w:color="auto" w:fill="FFFFFF"/>
        </w:rPr>
        <w:t xml:space="preserve">)   and text-to-image generators have been used during </w:t>
      </w:r>
      <w:r w:rsidR="00042D49" w:rsidRPr="00C579F2">
        <w:rPr>
          <w:rFonts w:ascii="Times New Roman" w:hAnsi="Times New Roman" w:cs="Times New Roman"/>
          <w:shd w:val="clear" w:color="auto" w:fill="FFFFFF"/>
        </w:rPr>
        <w:t xml:space="preserve">the </w:t>
      </w:r>
      <w:r w:rsidRPr="00C579F2">
        <w:rPr>
          <w:rFonts w:ascii="Times New Roman" w:hAnsi="Times New Roman" w:cs="Times New Roman"/>
          <w:shd w:val="clear" w:color="auto" w:fill="FFFFFF"/>
        </w:rPr>
        <w:t>writing or editing of this manuscript</w:t>
      </w:r>
      <w:r w:rsidR="001D45E6" w:rsidRPr="00C579F2">
        <w:rPr>
          <w:rFonts w:ascii="Times New Roman" w:hAnsi="Times New Roman" w:cs="Times New Roman"/>
          <w:shd w:val="clear" w:color="auto" w:fill="FFFFFF"/>
        </w:rPr>
        <w:t>.</w:t>
      </w:r>
    </w:p>
    <w:p w14:paraId="57F180F2" w14:textId="77777777" w:rsidR="00D14BFC" w:rsidRPr="00C579F2" w:rsidRDefault="00D14BFC" w:rsidP="00D14BFC">
      <w:pPr>
        <w:spacing w:line="480" w:lineRule="auto"/>
        <w:rPr>
          <w:rFonts w:ascii="Times New Roman" w:hAnsi="Times New Roman" w:cs="Times New Roman"/>
          <w:b/>
        </w:rPr>
      </w:pPr>
      <w:r w:rsidRPr="00C579F2">
        <w:rPr>
          <w:rFonts w:ascii="Times New Roman" w:hAnsi="Times New Roman" w:cs="Times New Roman"/>
          <w:b/>
        </w:rPr>
        <w:t>COMPETING INTERESTS DISCLAIMER:</w:t>
      </w:r>
    </w:p>
    <w:p w14:paraId="781D0B51" w14:textId="60FCAE9D" w:rsidR="001E7F28" w:rsidRPr="00C579F2" w:rsidRDefault="00D14BFC" w:rsidP="009446E9">
      <w:pPr>
        <w:spacing w:line="480" w:lineRule="auto"/>
        <w:rPr>
          <w:rFonts w:ascii="Times New Roman" w:hAnsi="Times New Roman" w:cs="Times New Roman"/>
        </w:rPr>
      </w:pPr>
      <w:r w:rsidRPr="00C579F2">
        <w:rPr>
          <w:rFonts w:ascii="Times New Roman" w:hAnsi="Times New Roman" w:cs="Times New Roman"/>
        </w:rPr>
        <w:t>Authors have declared that they have no known competing financial interests OR non-financial interests</w:t>
      </w:r>
      <w:r w:rsidR="001D45E6" w:rsidRPr="00C579F2">
        <w:rPr>
          <w:rFonts w:ascii="Times New Roman" w:hAnsi="Times New Roman" w:cs="Times New Roman"/>
        </w:rPr>
        <w:t>,</w:t>
      </w:r>
      <w:r w:rsidRPr="00C579F2">
        <w:rPr>
          <w:rFonts w:ascii="Times New Roman" w:hAnsi="Times New Roman" w:cs="Times New Roman"/>
        </w:rPr>
        <w:t xml:space="preserve"> OR personal relationships that could have appeared to influence the work reported in this paper.</w:t>
      </w:r>
    </w:p>
    <w:p w14:paraId="77F67CFC" w14:textId="77777777" w:rsidR="00A11057" w:rsidRPr="00C579F2" w:rsidRDefault="00A11057" w:rsidP="00A11057">
      <w:pPr>
        <w:spacing w:after="189" w:line="240" w:lineRule="auto"/>
        <w:ind w:left="-5" w:right="21"/>
        <w:rPr>
          <w:rFonts w:ascii="Times New Roman" w:hAnsi="Times New Roman" w:cs="Times New Roman"/>
          <w:b/>
          <w:bCs/>
        </w:rPr>
      </w:pPr>
      <w:r w:rsidRPr="00C579F2">
        <w:rPr>
          <w:rFonts w:ascii="Times New Roman" w:hAnsi="Times New Roman" w:cs="Times New Roman"/>
          <w:b/>
          <w:bCs/>
        </w:rPr>
        <w:t>Conflict of Interest Statement</w:t>
      </w:r>
    </w:p>
    <w:p w14:paraId="4625D8E4" w14:textId="77777777" w:rsidR="00A11057" w:rsidRPr="00C579F2" w:rsidRDefault="00A11057" w:rsidP="00A11057">
      <w:pPr>
        <w:spacing w:after="189" w:line="240" w:lineRule="auto"/>
        <w:ind w:left="-5" w:right="21"/>
        <w:rPr>
          <w:rFonts w:ascii="Times New Roman" w:hAnsi="Times New Roman" w:cs="Times New Roman"/>
        </w:rPr>
      </w:pPr>
      <w:r w:rsidRPr="00C579F2">
        <w:rPr>
          <w:rFonts w:ascii="Times New Roman" w:hAnsi="Times New Roman" w:cs="Times New Roman"/>
        </w:rPr>
        <w:t>The authors do not know of any conflicts of interest associated with this publication, and there has been no significant financial support for this work that could have influenced its outcome.</w:t>
      </w:r>
    </w:p>
    <w:p w14:paraId="31C66A3F" w14:textId="77777777" w:rsidR="00A11057" w:rsidRPr="00C579F2" w:rsidRDefault="00A11057" w:rsidP="009446E9">
      <w:pPr>
        <w:spacing w:line="480" w:lineRule="auto"/>
        <w:rPr>
          <w:rFonts w:ascii="Times New Roman" w:hAnsi="Times New Roman" w:cs="Times New Roman"/>
        </w:rPr>
      </w:pPr>
    </w:p>
    <w:p w14:paraId="43CEDC34" w14:textId="051B7F36" w:rsidR="00135981" w:rsidRPr="00C579F2" w:rsidRDefault="007558AF" w:rsidP="00547E9C">
      <w:pPr>
        <w:spacing w:line="240" w:lineRule="auto"/>
        <w:jc w:val="both"/>
        <w:rPr>
          <w:rFonts w:ascii="Times New Roman" w:hAnsi="Times New Roman" w:cs="Times New Roman"/>
          <w:b/>
          <w:bCs/>
        </w:rPr>
      </w:pPr>
      <w:r w:rsidRPr="00C579F2">
        <w:rPr>
          <w:rFonts w:ascii="Times New Roman" w:hAnsi="Times New Roman" w:cs="Times New Roman"/>
          <w:b/>
          <w:bCs/>
        </w:rPr>
        <w:t>REFERENCES</w:t>
      </w:r>
    </w:p>
    <w:p w14:paraId="029FDC78" w14:textId="21AFAE71" w:rsidR="00CD0BB5" w:rsidRPr="00C579F2" w:rsidRDefault="00CD0BB5"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 xml:space="preserve">Abass, K., </w:t>
      </w:r>
      <w:proofErr w:type="spellStart"/>
      <w:r w:rsidRPr="00C579F2">
        <w:rPr>
          <w:rStyle w:val="Strong"/>
          <w:rFonts w:eastAsiaTheme="majorEastAsia"/>
          <w:b w:val="0"/>
          <w:sz w:val="22"/>
        </w:rPr>
        <w:t>Buor</w:t>
      </w:r>
      <w:proofErr w:type="spellEnd"/>
      <w:r w:rsidRPr="00C579F2">
        <w:rPr>
          <w:rStyle w:val="Strong"/>
          <w:rFonts w:eastAsiaTheme="majorEastAsia"/>
          <w:b w:val="0"/>
          <w:sz w:val="22"/>
        </w:rPr>
        <w:t xml:space="preserve">, D., Afriyie, K., </w:t>
      </w:r>
      <w:proofErr w:type="spellStart"/>
      <w:r w:rsidRPr="00C579F2">
        <w:rPr>
          <w:rStyle w:val="Strong"/>
          <w:rFonts w:eastAsiaTheme="majorEastAsia"/>
          <w:b w:val="0"/>
          <w:sz w:val="22"/>
        </w:rPr>
        <w:t>Dumedah</w:t>
      </w:r>
      <w:proofErr w:type="spellEnd"/>
      <w:r w:rsidRPr="00C579F2">
        <w:rPr>
          <w:rStyle w:val="Strong"/>
          <w:rFonts w:eastAsiaTheme="majorEastAsia"/>
          <w:b w:val="0"/>
          <w:sz w:val="22"/>
        </w:rPr>
        <w:t xml:space="preserve">, G., Segbefi, A. Y., &amp; </w:t>
      </w:r>
      <w:proofErr w:type="spellStart"/>
      <w:r w:rsidRPr="00C579F2">
        <w:rPr>
          <w:rStyle w:val="Strong"/>
          <w:rFonts w:eastAsiaTheme="majorEastAsia"/>
          <w:b w:val="0"/>
          <w:sz w:val="22"/>
        </w:rPr>
        <w:t>Guodaar</w:t>
      </w:r>
      <w:proofErr w:type="spellEnd"/>
      <w:r w:rsidRPr="00C579F2">
        <w:rPr>
          <w:rStyle w:val="Strong"/>
          <w:rFonts w:eastAsiaTheme="majorEastAsia"/>
          <w:b w:val="0"/>
          <w:sz w:val="22"/>
        </w:rPr>
        <w:t>, L.</w:t>
      </w:r>
      <w:r w:rsidRPr="00C579F2">
        <w:rPr>
          <w:sz w:val="22"/>
        </w:rPr>
        <w:t xml:space="preserve"> (2020). </w:t>
      </w:r>
      <w:r w:rsidRPr="00C579F2">
        <w:rPr>
          <w:rStyle w:val="Emphasis"/>
          <w:rFonts w:eastAsiaTheme="majorEastAsia"/>
          <w:sz w:val="22"/>
        </w:rPr>
        <w:t>Urban sprawl and green space depletion: Implications for flood incidence in Kumasi, Ghana</w:t>
      </w:r>
      <w:r w:rsidRPr="00C579F2">
        <w:rPr>
          <w:sz w:val="22"/>
        </w:rPr>
        <w:t xml:space="preserve">. </w:t>
      </w:r>
      <w:r w:rsidRPr="00C579F2">
        <w:rPr>
          <w:rStyle w:val="Emphasis"/>
          <w:rFonts w:eastAsiaTheme="majorEastAsia"/>
          <w:sz w:val="22"/>
        </w:rPr>
        <w:t>International Journal of Disaster Risk Reduction</w:t>
      </w:r>
      <w:r w:rsidRPr="00C579F2">
        <w:rPr>
          <w:sz w:val="22"/>
        </w:rPr>
        <w:t xml:space="preserve">, 51, Article 101915. </w:t>
      </w:r>
      <w:hyperlink r:id="rId16" w:history="1">
        <w:r w:rsidRPr="00C579F2">
          <w:rPr>
            <w:rStyle w:val="Hyperlink"/>
            <w:sz w:val="22"/>
          </w:rPr>
          <w:t>https://doi.org/10.1016/j.ijdrr.2020.101915</w:t>
        </w:r>
      </w:hyperlink>
    </w:p>
    <w:p w14:paraId="43D4BD57" w14:textId="024EA689" w:rsidR="007D5CDC" w:rsidRPr="00C579F2" w:rsidRDefault="007D5CDC"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Adamtey, D., Osei, R., &amp; Owusu, G.</w:t>
      </w:r>
      <w:r w:rsidRPr="00C579F2">
        <w:rPr>
          <w:sz w:val="22"/>
        </w:rPr>
        <w:t xml:space="preserve"> (2021). </w:t>
      </w:r>
      <w:r w:rsidRPr="00C579F2">
        <w:rPr>
          <w:rStyle w:val="Emphasis"/>
          <w:rFonts w:eastAsiaTheme="majorEastAsia"/>
          <w:sz w:val="22"/>
        </w:rPr>
        <w:t>Inequalities and realities in migration: Key urban challenges faced by internal migrants in Ghana</w:t>
      </w:r>
      <w:r w:rsidRPr="00C579F2">
        <w:rPr>
          <w:sz w:val="22"/>
        </w:rPr>
        <w:t xml:space="preserve">. </w:t>
      </w:r>
      <w:r w:rsidRPr="00C579F2">
        <w:rPr>
          <w:rStyle w:val="Emphasis"/>
          <w:rFonts w:eastAsiaTheme="majorEastAsia"/>
          <w:sz w:val="22"/>
        </w:rPr>
        <w:t>SN Social Sciences</w:t>
      </w:r>
      <w:r w:rsidRPr="00C579F2">
        <w:rPr>
          <w:sz w:val="22"/>
        </w:rPr>
        <w:t xml:space="preserve">, </w:t>
      </w:r>
      <w:r w:rsidRPr="00C579F2">
        <w:rPr>
          <w:rStyle w:val="Emphasis"/>
          <w:rFonts w:eastAsiaTheme="majorEastAsia"/>
          <w:sz w:val="22"/>
        </w:rPr>
        <w:t>1</w:t>
      </w:r>
      <w:r w:rsidRPr="00C579F2">
        <w:rPr>
          <w:sz w:val="22"/>
        </w:rPr>
        <w:t xml:space="preserve">(216). </w:t>
      </w:r>
      <w:hyperlink r:id="rId17" w:history="1">
        <w:r w:rsidRPr="00C579F2">
          <w:rPr>
            <w:rStyle w:val="Hyperlink"/>
            <w:sz w:val="22"/>
          </w:rPr>
          <w:t>https://doi.org/10.1007/s43545-021-00226-2</w:t>
        </w:r>
      </w:hyperlink>
    </w:p>
    <w:p w14:paraId="6232BD1B" w14:textId="5FFB395E" w:rsidR="002F43DB" w:rsidRPr="00C579F2" w:rsidRDefault="002F43DB" w:rsidP="001942EC">
      <w:pPr>
        <w:pStyle w:val="ListParagraph1"/>
        <w:numPr>
          <w:ilvl w:val="0"/>
          <w:numId w:val="7"/>
        </w:numPr>
        <w:spacing w:after="891" w:line="240" w:lineRule="auto"/>
        <w:ind w:right="136"/>
        <w:jc w:val="both"/>
        <w:rPr>
          <w:sz w:val="22"/>
        </w:rPr>
      </w:pPr>
      <w:r w:rsidRPr="00C579F2">
        <w:rPr>
          <w:sz w:val="22"/>
        </w:rPr>
        <w:lastRenderedPageBreak/>
        <w:t xml:space="preserve">Adu-Gyamfi, A. (2012). </w:t>
      </w:r>
      <w:r w:rsidRPr="00C579F2">
        <w:rPr>
          <w:rFonts w:eastAsiaTheme="majorEastAsia"/>
          <w:i/>
          <w:iCs/>
          <w:sz w:val="22"/>
        </w:rPr>
        <w:t>An overview of compulsory land acquisition in Ghana: Examining its applicability and effects</w:t>
      </w:r>
      <w:r w:rsidRPr="00C579F2">
        <w:rPr>
          <w:sz w:val="22"/>
        </w:rPr>
        <w:t xml:space="preserve">. </w:t>
      </w:r>
      <w:r w:rsidRPr="00C579F2">
        <w:rPr>
          <w:rFonts w:eastAsiaTheme="majorEastAsia"/>
          <w:i/>
          <w:iCs/>
          <w:sz w:val="22"/>
        </w:rPr>
        <w:t>Environmental Management and Sustainable Development</w:t>
      </w:r>
      <w:r w:rsidRPr="00C579F2">
        <w:rPr>
          <w:sz w:val="22"/>
        </w:rPr>
        <w:t xml:space="preserve">, </w:t>
      </w:r>
      <w:r w:rsidRPr="00C579F2">
        <w:rPr>
          <w:rFonts w:eastAsiaTheme="majorEastAsia"/>
          <w:i/>
          <w:iCs/>
          <w:sz w:val="22"/>
        </w:rPr>
        <w:t>1</w:t>
      </w:r>
      <w:r w:rsidRPr="00C579F2">
        <w:rPr>
          <w:sz w:val="22"/>
        </w:rPr>
        <w:t xml:space="preserve">(2), 187–203. </w:t>
      </w:r>
      <w:hyperlink r:id="rId18" w:history="1">
        <w:r w:rsidRPr="00C579F2">
          <w:rPr>
            <w:rStyle w:val="Hyperlink"/>
            <w:sz w:val="22"/>
          </w:rPr>
          <w:t>https://doi.org/10.5296/emsd.v1i2.2519</w:t>
        </w:r>
      </w:hyperlink>
    </w:p>
    <w:p w14:paraId="047B3562" w14:textId="70863909" w:rsidR="002F43DB" w:rsidRPr="00C579F2" w:rsidRDefault="00BA1770" w:rsidP="001942EC">
      <w:pPr>
        <w:pStyle w:val="ListParagraph1"/>
        <w:numPr>
          <w:ilvl w:val="0"/>
          <w:numId w:val="7"/>
        </w:numPr>
        <w:spacing w:after="891" w:line="240" w:lineRule="auto"/>
        <w:ind w:right="136"/>
        <w:jc w:val="both"/>
        <w:rPr>
          <w:sz w:val="22"/>
        </w:rPr>
      </w:pPr>
      <w:proofErr w:type="spellStart"/>
      <w:r w:rsidRPr="00C579F2">
        <w:rPr>
          <w:sz w:val="22"/>
        </w:rPr>
        <w:t>Afenah</w:t>
      </w:r>
      <w:proofErr w:type="spellEnd"/>
      <w:r w:rsidRPr="00C579F2">
        <w:rPr>
          <w:sz w:val="22"/>
        </w:rPr>
        <w:t xml:space="preserve">, A. (2010). </w:t>
      </w:r>
      <w:r w:rsidRPr="00C579F2">
        <w:rPr>
          <w:rStyle w:val="Emphasis"/>
          <w:rFonts w:eastAsiaTheme="majorEastAsia"/>
          <w:sz w:val="22"/>
        </w:rPr>
        <w:t>Conceptualizing the Effects of Neoliberal Urban Policies on Housing Rights: An Analysis of the Attempted Unlawful Forced Eviction of an Informal Settlement in Accra, Ghana</w:t>
      </w:r>
      <w:r w:rsidRPr="00C579F2">
        <w:rPr>
          <w:sz w:val="22"/>
        </w:rPr>
        <w:t>. DPU Working Paper No. 139, University College London</w:t>
      </w:r>
      <w:r w:rsidR="002F43DB" w:rsidRPr="00C579F2">
        <w:rPr>
          <w:sz w:val="22"/>
        </w:rPr>
        <w:t>.</w:t>
      </w:r>
      <w:r w:rsidRPr="00C579F2">
        <w:rPr>
          <w:sz w:val="22"/>
        </w:rPr>
        <w:t xml:space="preserve"> </w:t>
      </w:r>
      <w:r w:rsidRPr="00C579F2">
        <w:rPr>
          <w:color w:val="272320"/>
          <w:sz w:val="22"/>
        </w:rPr>
        <w:t>https://www.ucl.ac.uk/bartlett/sites/bartlett/files/migrated-files/WP139_Afia_Afenah_Internet_copy_0.pdf.</w:t>
      </w:r>
    </w:p>
    <w:p w14:paraId="0CD14B13" w14:textId="47A6C16D"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Akaateba</w:t>
      </w:r>
      <w:proofErr w:type="spellEnd"/>
      <w:r w:rsidRPr="00C579F2">
        <w:rPr>
          <w:sz w:val="22"/>
        </w:rPr>
        <w:t xml:space="preserve">, M. A. (2023). </w:t>
      </w:r>
      <w:r w:rsidR="00727802" w:rsidRPr="00C579F2">
        <w:rPr>
          <w:sz w:val="22"/>
        </w:rPr>
        <w:t>Tenure-responsive</w:t>
      </w:r>
      <w:r w:rsidRPr="00C579F2">
        <w:rPr>
          <w:sz w:val="22"/>
        </w:rPr>
        <w:t xml:space="preserve"> land use planning in Ghana: evidence from peri-urban Tamale. </w:t>
      </w:r>
      <w:r w:rsidRPr="00C579F2">
        <w:rPr>
          <w:i/>
          <w:iCs/>
          <w:sz w:val="22"/>
        </w:rPr>
        <w:t>International Planning Studies</w:t>
      </w:r>
      <w:r w:rsidRPr="00C579F2">
        <w:rPr>
          <w:sz w:val="22"/>
        </w:rPr>
        <w:t>, </w:t>
      </w:r>
      <w:r w:rsidRPr="00C579F2">
        <w:rPr>
          <w:i/>
          <w:iCs/>
          <w:sz w:val="22"/>
        </w:rPr>
        <w:t>28</w:t>
      </w:r>
      <w:r w:rsidRPr="00C579F2">
        <w:rPr>
          <w:sz w:val="22"/>
        </w:rPr>
        <w:t xml:space="preserve">(2), 107-123. </w:t>
      </w:r>
      <w:hyperlink r:id="rId19" w:history="1">
        <w:r w:rsidRPr="00C579F2">
          <w:rPr>
            <w:rStyle w:val="Hyperlink"/>
            <w:sz w:val="22"/>
          </w:rPr>
          <w:t>https://doi.org/10.1080/13563475.2022.2137114</w:t>
        </w:r>
      </w:hyperlink>
    </w:p>
    <w:p w14:paraId="5439DEB5"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Akponzele</w:t>
      </w:r>
      <w:proofErr w:type="spellEnd"/>
      <w:r w:rsidRPr="00C579F2">
        <w:rPr>
          <w:sz w:val="22"/>
        </w:rPr>
        <w:t xml:space="preserve">, R., &amp; </w:t>
      </w:r>
      <w:proofErr w:type="spellStart"/>
      <w:r w:rsidRPr="00C579F2">
        <w:rPr>
          <w:sz w:val="22"/>
        </w:rPr>
        <w:t>Dinye</w:t>
      </w:r>
      <w:proofErr w:type="spellEnd"/>
      <w:r w:rsidRPr="00C579F2">
        <w:rPr>
          <w:sz w:val="22"/>
        </w:rPr>
        <w:t xml:space="preserve">, R. D. (2025). Urbanization without belonging: Land tenure insecurity among migrants in Ghana. </w:t>
      </w:r>
      <w:r w:rsidRPr="00C579F2">
        <w:rPr>
          <w:rFonts w:eastAsiaTheme="majorEastAsia"/>
          <w:i/>
          <w:iCs/>
          <w:sz w:val="22"/>
        </w:rPr>
        <w:t>Asian Journal of Education and Social Studies</w:t>
      </w:r>
      <w:r w:rsidRPr="00C579F2">
        <w:rPr>
          <w:sz w:val="22"/>
        </w:rPr>
        <w:t xml:space="preserve">, 51(7), 948–966. </w:t>
      </w:r>
      <w:hyperlink r:id="rId20" w:history="1">
        <w:r w:rsidRPr="00C579F2">
          <w:rPr>
            <w:rStyle w:val="Hyperlink"/>
            <w:sz w:val="22"/>
          </w:rPr>
          <w:t>https://doi.org/10.9734/ajess/2025/v51i72182</w:t>
        </w:r>
      </w:hyperlink>
    </w:p>
    <w:p w14:paraId="4B21B88B"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Akrofi</w:t>
      </w:r>
      <w:proofErr w:type="spellEnd"/>
      <w:r w:rsidRPr="00C579F2">
        <w:rPr>
          <w:sz w:val="22"/>
        </w:rPr>
        <w:t xml:space="preserve">, E. O., &amp; </w:t>
      </w:r>
      <w:proofErr w:type="spellStart"/>
      <w:r w:rsidRPr="00C579F2">
        <w:rPr>
          <w:sz w:val="22"/>
        </w:rPr>
        <w:t>Whittal</w:t>
      </w:r>
      <w:proofErr w:type="spellEnd"/>
      <w:r w:rsidRPr="00C579F2">
        <w:rPr>
          <w:sz w:val="22"/>
        </w:rPr>
        <w:t xml:space="preserve">, J. (2013). Compulsory acquisition and urban land delivery in customary areas. </w:t>
      </w:r>
      <w:r w:rsidRPr="00C579F2">
        <w:rPr>
          <w:i/>
          <w:iCs/>
          <w:sz w:val="22"/>
        </w:rPr>
        <w:t>South African Journal of Geomatics, 2</w:t>
      </w:r>
      <w:r w:rsidRPr="00C579F2">
        <w:rPr>
          <w:sz w:val="22"/>
        </w:rPr>
        <w:t xml:space="preserve">(4), 319–335. </w:t>
      </w:r>
      <w:hyperlink r:id="rId21" w:history="1">
        <w:r w:rsidRPr="00C579F2">
          <w:rPr>
            <w:rStyle w:val="Hyperlink"/>
            <w:sz w:val="22"/>
          </w:rPr>
          <w:t>https://www.ajol.info/index.php/sajg/article/view/106971</w:t>
        </w:r>
      </w:hyperlink>
      <w:r w:rsidRPr="00C579F2">
        <w:rPr>
          <w:sz w:val="22"/>
        </w:rPr>
        <w:t xml:space="preserve">. </w:t>
      </w:r>
    </w:p>
    <w:p w14:paraId="67B190D3"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Amoah, K. K. (2019). </w:t>
      </w:r>
      <w:r w:rsidRPr="00C579F2">
        <w:rPr>
          <w:rFonts w:eastAsiaTheme="majorEastAsia"/>
          <w:i/>
          <w:iCs/>
          <w:sz w:val="22"/>
        </w:rPr>
        <w:t>Influence of biochar and irrigation on crop production in the coastal savannah zone of Ghana</w:t>
      </w:r>
      <w:r w:rsidRPr="00C579F2">
        <w:rPr>
          <w:sz w:val="22"/>
        </w:rPr>
        <w:t xml:space="preserve"> (Doctoral dissertation, University of Cape Coast). </w:t>
      </w:r>
      <w:hyperlink r:id="rId22" w:history="1">
        <w:r w:rsidRPr="00C579F2">
          <w:rPr>
            <w:rStyle w:val="Hyperlink"/>
            <w:sz w:val="22"/>
          </w:rPr>
          <w:t>Influence of Biochar and Irrigation on Crop Production in the Coastal Savannah Zone of Ghana</w:t>
        </w:r>
      </w:hyperlink>
      <w:r w:rsidRPr="00C579F2">
        <w:rPr>
          <w:sz w:val="22"/>
        </w:rPr>
        <w:t xml:space="preserve">. </w:t>
      </w:r>
    </w:p>
    <w:p w14:paraId="682CFA60" w14:textId="48CC80AF" w:rsidR="007D5CDC" w:rsidRPr="00C579F2" w:rsidRDefault="007D5CDC" w:rsidP="001942EC">
      <w:pPr>
        <w:pStyle w:val="ListParagraph1"/>
        <w:numPr>
          <w:ilvl w:val="0"/>
          <w:numId w:val="7"/>
        </w:numPr>
        <w:spacing w:after="891" w:line="240" w:lineRule="auto"/>
        <w:ind w:right="136"/>
        <w:jc w:val="both"/>
        <w:rPr>
          <w:sz w:val="22"/>
        </w:rPr>
      </w:pPr>
      <w:r w:rsidRPr="00C579F2">
        <w:rPr>
          <w:sz w:val="22"/>
        </w:rPr>
        <w:t xml:space="preserve">Amoako, C., &amp; Frimpong Boamah, E. (2017). </w:t>
      </w:r>
      <w:r w:rsidRPr="00C579F2">
        <w:rPr>
          <w:rStyle w:val="Emphasis"/>
          <w:rFonts w:eastAsiaTheme="majorEastAsia"/>
          <w:sz w:val="22"/>
        </w:rPr>
        <w:t>Build as you earn and learn: Informal urbanism and incremental housing financing in Kumasi, Ghana</w:t>
      </w:r>
      <w:r w:rsidRPr="00C579F2">
        <w:rPr>
          <w:sz w:val="22"/>
        </w:rPr>
        <w:t xml:space="preserve">. </w:t>
      </w:r>
      <w:r w:rsidRPr="00C579F2">
        <w:rPr>
          <w:rStyle w:val="Emphasis"/>
          <w:rFonts w:eastAsiaTheme="majorEastAsia"/>
          <w:sz w:val="22"/>
        </w:rPr>
        <w:t>Journal of Housing and the Built Environment</w:t>
      </w:r>
      <w:r w:rsidRPr="00C579F2">
        <w:rPr>
          <w:sz w:val="22"/>
        </w:rPr>
        <w:t xml:space="preserve">, 32(3), 429–448. </w:t>
      </w:r>
      <w:hyperlink r:id="rId23" w:history="1">
        <w:r w:rsidRPr="00C579F2">
          <w:rPr>
            <w:rStyle w:val="Hyperlink"/>
            <w:sz w:val="22"/>
          </w:rPr>
          <w:t>https://www.jstor.org/stable/44983804</w:t>
        </w:r>
      </w:hyperlink>
      <w:r w:rsidRPr="00C579F2">
        <w:rPr>
          <w:color w:val="272320"/>
          <w:sz w:val="22"/>
        </w:rPr>
        <w:t xml:space="preserve">. </w:t>
      </w:r>
    </w:p>
    <w:p w14:paraId="220DD0D0" w14:textId="18EA1B7B"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Anaafo</w:t>
      </w:r>
      <w:proofErr w:type="spellEnd"/>
      <w:r w:rsidRPr="00C579F2">
        <w:rPr>
          <w:sz w:val="22"/>
        </w:rPr>
        <w:t xml:space="preserve">, D., </w:t>
      </w:r>
      <w:proofErr w:type="spellStart"/>
      <w:r w:rsidRPr="00C579F2">
        <w:rPr>
          <w:sz w:val="22"/>
        </w:rPr>
        <w:t>Ayamga</w:t>
      </w:r>
      <w:proofErr w:type="spellEnd"/>
      <w:r w:rsidRPr="00C579F2">
        <w:rPr>
          <w:sz w:val="22"/>
        </w:rPr>
        <w:t xml:space="preserve">, A., &amp; </w:t>
      </w:r>
      <w:proofErr w:type="spellStart"/>
      <w:r w:rsidRPr="00C579F2">
        <w:rPr>
          <w:sz w:val="22"/>
        </w:rPr>
        <w:t>Domanban</w:t>
      </w:r>
      <w:proofErr w:type="spellEnd"/>
      <w:r w:rsidRPr="00C579F2">
        <w:rPr>
          <w:sz w:val="22"/>
        </w:rPr>
        <w:t xml:space="preserve">, P. B. (2023). Custom, modernity, and stability of land rights in Ghana: An </w:t>
      </w:r>
      <w:proofErr w:type="spellStart"/>
      <w:r w:rsidRPr="00C579F2">
        <w:rPr>
          <w:sz w:val="22"/>
        </w:rPr>
        <w:t>empirico</w:t>
      </w:r>
      <w:proofErr w:type="spellEnd"/>
      <w:r w:rsidRPr="00C579F2">
        <w:rPr>
          <w:sz w:val="22"/>
        </w:rPr>
        <w:t xml:space="preserve">-legal review. </w:t>
      </w:r>
      <w:r w:rsidRPr="00C579F2">
        <w:rPr>
          <w:rFonts w:eastAsiaTheme="majorEastAsia"/>
          <w:i/>
          <w:iCs/>
          <w:sz w:val="22"/>
        </w:rPr>
        <w:t>Cogent Social Sciences, 9</w:t>
      </w:r>
      <w:r w:rsidRPr="00C579F2">
        <w:rPr>
          <w:sz w:val="22"/>
        </w:rPr>
        <w:t xml:space="preserve">(1), Article 2209366. </w:t>
      </w:r>
      <w:hyperlink r:id="rId24" w:history="1">
        <w:r w:rsidRPr="00C579F2">
          <w:rPr>
            <w:rStyle w:val="Hyperlink"/>
            <w:rFonts w:eastAsiaTheme="majorEastAsia"/>
            <w:sz w:val="22"/>
          </w:rPr>
          <w:t>https://doi.org/10.1080/23311886.2023.2209366</w:t>
        </w:r>
      </w:hyperlink>
    </w:p>
    <w:p w14:paraId="13443787" w14:textId="0D35E231" w:rsidR="007D5CDC" w:rsidRPr="00C579F2" w:rsidRDefault="007D5CDC" w:rsidP="001942EC">
      <w:pPr>
        <w:pStyle w:val="ListParagraph1"/>
        <w:numPr>
          <w:ilvl w:val="0"/>
          <w:numId w:val="7"/>
        </w:numPr>
        <w:spacing w:after="891" w:line="240" w:lineRule="auto"/>
        <w:ind w:right="136"/>
        <w:jc w:val="both"/>
        <w:rPr>
          <w:sz w:val="22"/>
        </w:rPr>
      </w:pPr>
      <w:proofErr w:type="spellStart"/>
      <w:r w:rsidRPr="00C579F2">
        <w:rPr>
          <w:rStyle w:val="Strong"/>
          <w:rFonts w:eastAsiaTheme="majorEastAsia"/>
          <w:b w:val="0"/>
          <w:sz w:val="22"/>
        </w:rPr>
        <w:t>Aryeetey</w:t>
      </w:r>
      <w:proofErr w:type="spellEnd"/>
      <w:r w:rsidRPr="00C579F2">
        <w:rPr>
          <w:rStyle w:val="Strong"/>
          <w:rFonts w:eastAsiaTheme="majorEastAsia"/>
          <w:b w:val="0"/>
          <w:sz w:val="22"/>
        </w:rPr>
        <w:t xml:space="preserve">, E., &amp; </w:t>
      </w:r>
      <w:proofErr w:type="spellStart"/>
      <w:r w:rsidRPr="00C579F2">
        <w:rPr>
          <w:rStyle w:val="Strong"/>
          <w:rFonts w:eastAsiaTheme="majorEastAsia"/>
          <w:b w:val="0"/>
          <w:sz w:val="22"/>
        </w:rPr>
        <w:t>Udry</w:t>
      </w:r>
      <w:proofErr w:type="spellEnd"/>
      <w:r w:rsidRPr="00C579F2">
        <w:rPr>
          <w:rStyle w:val="Strong"/>
          <w:rFonts w:eastAsiaTheme="majorEastAsia"/>
          <w:b w:val="0"/>
          <w:sz w:val="22"/>
        </w:rPr>
        <w:t>, C.</w:t>
      </w:r>
      <w:r w:rsidRPr="00C579F2">
        <w:rPr>
          <w:sz w:val="22"/>
        </w:rPr>
        <w:t xml:space="preserve"> (2010). </w:t>
      </w:r>
      <w:r w:rsidRPr="00C579F2">
        <w:rPr>
          <w:rStyle w:val="Emphasis"/>
          <w:rFonts w:eastAsiaTheme="majorEastAsia"/>
          <w:sz w:val="22"/>
        </w:rPr>
        <w:t>Creating Property Rights: Land Banks in Ghana</w:t>
      </w:r>
      <w:r w:rsidRPr="00C579F2">
        <w:rPr>
          <w:sz w:val="22"/>
        </w:rPr>
        <w:t xml:space="preserve">. </w:t>
      </w:r>
      <w:r w:rsidRPr="00C579F2">
        <w:rPr>
          <w:rStyle w:val="Emphasis"/>
          <w:rFonts w:eastAsiaTheme="majorEastAsia"/>
          <w:sz w:val="22"/>
        </w:rPr>
        <w:t>American Economic Review</w:t>
      </w:r>
      <w:r w:rsidRPr="00C579F2">
        <w:rPr>
          <w:sz w:val="22"/>
        </w:rPr>
        <w:t xml:space="preserve">, 100(2), 130–134. </w:t>
      </w:r>
      <w:hyperlink r:id="rId25" w:history="1">
        <w:r w:rsidRPr="00C579F2">
          <w:rPr>
            <w:rStyle w:val="Hyperlink"/>
            <w:sz w:val="22"/>
          </w:rPr>
          <w:t>https://doi.org/10.1257/aer.100.2.130</w:t>
        </w:r>
      </w:hyperlink>
    </w:p>
    <w:p w14:paraId="1C35E7AB" w14:textId="7A7FC8B8"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Asaaga</w:t>
      </w:r>
      <w:proofErr w:type="spellEnd"/>
      <w:r w:rsidRPr="00C579F2">
        <w:rPr>
          <w:sz w:val="22"/>
        </w:rPr>
        <w:t xml:space="preserve">, F. A., Hirons, M. A., &amp; Malhi, Y. (2020). Questioning the link between tenure security and sustainable land management in cocoa landscapes in Ghana. </w:t>
      </w:r>
      <w:r w:rsidRPr="00C579F2">
        <w:rPr>
          <w:rFonts w:eastAsiaTheme="majorEastAsia"/>
          <w:i/>
          <w:iCs/>
          <w:sz w:val="22"/>
        </w:rPr>
        <w:t>World Development, 130</w:t>
      </w:r>
      <w:r w:rsidRPr="00C579F2">
        <w:rPr>
          <w:sz w:val="22"/>
        </w:rPr>
        <w:t xml:space="preserve">, 104913. </w:t>
      </w:r>
      <w:hyperlink r:id="rId26" w:history="1">
        <w:r w:rsidRPr="00C579F2">
          <w:rPr>
            <w:rStyle w:val="Hyperlink"/>
            <w:rFonts w:eastAsiaTheme="majorEastAsia"/>
            <w:sz w:val="22"/>
          </w:rPr>
          <w:t>https://doi.org/10.1016/j.worlddev.2020.104913</w:t>
        </w:r>
      </w:hyperlink>
    </w:p>
    <w:p w14:paraId="5B055C91" w14:textId="63575E31"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Awunyo</w:t>
      </w:r>
      <w:proofErr w:type="spellEnd"/>
      <w:r w:rsidRPr="00C579F2">
        <w:rPr>
          <w:sz w:val="22"/>
        </w:rPr>
        <w:t xml:space="preserve">-Akaba, Y., </w:t>
      </w:r>
      <w:proofErr w:type="spellStart"/>
      <w:r w:rsidRPr="00C579F2">
        <w:rPr>
          <w:sz w:val="22"/>
        </w:rPr>
        <w:t>Awunyo</w:t>
      </w:r>
      <w:proofErr w:type="spellEnd"/>
      <w:r w:rsidRPr="00C579F2">
        <w:rPr>
          <w:sz w:val="22"/>
        </w:rPr>
        <w:t xml:space="preserve">-Akaba, J., </w:t>
      </w:r>
      <w:proofErr w:type="spellStart"/>
      <w:r w:rsidRPr="00C579F2">
        <w:rPr>
          <w:sz w:val="22"/>
        </w:rPr>
        <w:t>Gyapong</w:t>
      </w:r>
      <w:proofErr w:type="spellEnd"/>
      <w:r w:rsidRPr="00C579F2">
        <w:rPr>
          <w:sz w:val="22"/>
        </w:rPr>
        <w:t xml:space="preserve">, M., Senah, K., Konradsen, F., &amp; </w:t>
      </w:r>
      <w:proofErr w:type="spellStart"/>
      <w:r w:rsidRPr="00C579F2">
        <w:rPr>
          <w:sz w:val="22"/>
        </w:rPr>
        <w:t>Rheinländer</w:t>
      </w:r>
      <w:proofErr w:type="spellEnd"/>
      <w:r w:rsidRPr="00C579F2">
        <w:rPr>
          <w:sz w:val="22"/>
        </w:rPr>
        <w:t>, T. (2016). Sanitation investments in Ghana: An ethnographic investigation of the role of tenure security, land ownership</w:t>
      </w:r>
      <w:r w:rsidR="00727802" w:rsidRPr="00C579F2">
        <w:rPr>
          <w:sz w:val="22"/>
        </w:rPr>
        <w:t>,</w:t>
      </w:r>
      <w:r w:rsidRPr="00C579F2">
        <w:rPr>
          <w:sz w:val="22"/>
        </w:rPr>
        <w:t xml:space="preserve"> and livelihoods. </w:t>
      </w:r>
      <w:r w:rsidRPr="00C579F2">
        <w:rPr>
          <w:rFonts w:eastAsiaTheme="majorEastAsia"/>
          <w:i/>
          <w:iCs/>
          <w:sz w:val="22"/>
        </w:rPr>
        <w:t>BMC Public Health, 16</w:t>
      </w:r>
      <w:r w:rsidRPr="00C579F2">
        <w:rPr>
          <w:sz w:val="22"/>
        </w:rPr>
        <w:t xml:space="preserve">, Article 594. </w:t>
      </w:r>
      <w:hyperlink r:id="rId27" w:history="1">
        <w:r w:rsidRPr="00C579F2">
          <w:rPr>
            <w:rStyle w:val="Hyperlink"/>
            <w:rFonts w:eastAsiaTheme="majorEastAsia"/>
            <w:sz w:val="22"/>
          </w:rPr>
          <w:t>https://doi.org/10.1186/s12889-016-3283-7</w:t>
        </w:r>
      </w:hyperlink>
    </w:p>
    <w:p w14:paraId="5D2A073D" w14:textId="77777777" w:rsidR="003D72F1" w:rsidRPr="00C579F2" w:rsidRDefault="003D72F1" w:rsidP="001942EC">
      <w:pPr>
        <w:pStyle w:val="ListParagraph1"/>
        <w:numPr>
          <w:ilvl w:val="0"/>
          <w:numId w:val="7"/>
        </w:numPr>
        <w:spacing w:after="891" w:line="360" w:lineRule="auto"/>
        <w:ind w:right="136"/>
        <w:jc w:val="both"/>
        <w:rPr>
          <w:sz w:val="22"/>
        </w:rPr>
      </w:pPr>
      <w:proofErr w:type="spellStart"/>
      <w:r w:rsidRPr="00C579F2">
        <w:rPr>
          <w:sz w:val="22"/>
        </w:rPr>
        <w:t>Ayimaa</w:t>
      </w:r>
      <w:proofErr w:type="spellEnd"/>
      <w:r w:rsidRPr="00C579F2">
        <w:rPr>
          <w:sz w:val="22"/>
        </w:rPr>
        <w:t xml:space="preserve">, R., </w:t>
      </w:r>
      <w:proofErr w:type="spellStart"/>
      <w:r w:rsidRPr="00C579F2">
        <w:rPr>
          <w:sz w:val="22"/>
        </w:rPr>
        <w:t>Dinye</w:t>
      </w:r>
      <w:proofErr w:type="spellEnd"/>
      <w:r w:rsidRPr="00C579F2">
        <w:rPr>
          <w:sz w:val="22"/>
        </w:rPr>
        <w:t xml:space="preserve">, R. D., &amp; </w:t>
      </w:r>
      <w:proofErr w:type="spellStart"/>
      <w:r w:rsidRPr="00C579F2">
        <w:rPr>
          <w:sz w:val="22"/>
        </w:rPr>
        <w:t>Dinye</w:t>
      </w:r>
      <w:proofErr w:type="spellEnd"/>
      <w:r w:rsidRPr="00C579F2">
        <w:rPr>
          <w:sz w:val="22"/>
        </w:rPr>
        <w:t xml:space="preserve">, I. N. (2025). </w:t>
      </w:r>
      <w:r w:rsidRPr="00C579F2">
        <w:rPr>
          <w:rStyle w:val="Emphasis"/>
          <w:rFonts w:eastAsiaTheme="majorEastAsia"/>
          <w:sz w:val="22"/>
        </w:rPr>
        <w:t>Compulsory land acquisition in Ghana: Impacts on customary land rights and legal institutional frameworks</w:t>
      </w:r>
      <w:r w:rsidRPr="00C579F2">
        <w:rPr>
          <w:sz w:val="22"/>
        </w:rPr>
        <w:t xml:space="preserve">. </w:t>
      </w:r>
      <w:r w:rsidRPr="00C579F2">
        <w:rPr>
          <w:rStyle w:val="Emphasis"/>
          <w:rFonts w:eastAsiaTheme="majorEastAsia"/>
          <w:sz w:val="22"/>
        </w:rPr>
        <w:t>South Asian Journal of Social Studies and Economics, 22</w:t>
      </w:r>
      <w:r w:rsidRPr="00C579F2">
        <w:rPr>
          <w:sz w:val="22"/>
        </w:rPr>
        <w:t xml:space="preserve">(6), 203–216. https://hal.science </w:t>
      </w:r>
    </w:p>
    <w:p w14:paraId="754337BD" w14:textId="413303EA" w:rsidR="003D72F1" w:rsidRPr="00C579F2" w:rsidRDefault="003D72F1" w:rsidP="001942EC">
      <w:pPr>
        <w:pStyle w:val="ListParagraph1"/>
        <w:numPr>
          <w:ilvl w:val="0"/>
          <w:numId w:val="7"/>
        </w:numPr>
        <w:spacing w:after="891" w:line="360" w:lineRule="auto"/>
        <w:ind w:right="136"/>
        <w:jc w:val="both"/>
        <w:rPr>
          <w:noProof/>
          <w:sz w:val="22"/>
          <w14:ligatures w14:val="none"/>
        </w:rPr>
      </w:pPr>
      <w:proofErr w:type="spellStart"/>
      <w:r w:rsidRPr="00C579F2">
        <w:rPr>
          <w:sz w:val="22"/>
        </w:rPr>
        <w:t>Ayimaa</w:t>
      </w:r>
      <w:proofErr w:type="spellEnd"/>
      <w:r w:rsidRPr="00C579F2">
        <w:rPr>
          <w:sz w:val="22"/>
        </w:rPr>
        <w:t xml:space="preserve">, R., Sarpong, C. K., Dinye, I. N., &amp; </w:t>
      </w:r>
      <w:proofErr w:type="spellStart"/>
      <w:r w:rsidRPr="00C579F2">
        <w:rPr>
          <w:sz w:val="22"/>
        </w:rPr>
        <w:t>Dinye</w:t>
      </w:r>
      <w:proofErr w:type="spellEnd"/>
      <w:r w:rsidRPr="00C579F2">
        <w:rPr>
          <w:sz w:val="22"/>
        </w:rPr>
        <w:t xml:space="preserve">, R. D. (2025). </w:t>
      </w:r>
      <w:r w:rsidRPr="00C579F2">
        <w:rPr>
          <w:rStyle w:val="Emphasis"/>
          <w:rFonts w:eastAsiaTheme="majorEastAsia"/>
          <w:sz w:val="22"/>
        </w:rPr>
        <w:t>Land tenure security and agricultural productivity in Ghana: Insights from a dual customary and legal land system</w:t>
      </w:r>
      <w:r w:rsidRPr="00C579F2">
        <w:rPr>
          <w:sz w:val="22"/>
        </w:rPr>
        <w:t xml:space="preserve">. </w:t>
      </w:r>
      <w:r w:rsidRPr="00C579F2">
        <w:rPr>
          <w:rStyle w:val="Emphasis"/>
          <w:rFonts w:eastAsiaTheme="majorEastAsia"/>
          <w:sz w:val="22"/>
        </w:rPr>
        <w:t>Asian Journal of Education and Social Studies, 51</w:t>
      </w:r>
      <w:r w:rsidRPr="00C579F2">
        <w:rPr>
          <w:sz w:val="22"/>
        </w:rPr>
        <w:t>(5), 711–725. https://journalajess.com</w:t>
      </w:r>
      <w:r w:rsidRPr="00C579F2">
        <w:rPr>
          <w:noProof/>
          <w:sz w:val="22"/>
          <w14:ligatures w14:val="none"/>
        </w:rPr>
        <w:t xml:space="preserve"> </w:t>
      </w:r>
    </w:p>
    <w:p w14:paraId="77BD1185" w14:textId="3647A2F4" w:rsidR="002F43DB" w:rsidRPr="00C579F2" w:rsidRDefault="002F43DB" w:rsidP="001942EC">
      <w:pPr>
        <w:pStyle w:val="ListParagraph1"/>
        <w:numPr>
          <w:ilvl w:val="0"/>
          <w:numId w:val="7"/>
        </w:numPr>
        <w:spacing w:after="891" w:line="360" w:lineRule="auto"/>
        <w:ind w:right="136"/>
        <w:jc w:val="both"/>
        <w:rPr>
          <w:sz w:val="22"/>
        </w:rPr>
      </w:pPr>
      <w:r w:rsidRPr="00C579F2">
        <w:rPr>
          <w:noProof/>
          <w:sz w:val="22"/>
          <w14:ligatures w14:val="none"/>
        </w:rPr>
        <w:t xml:space="preserve">Ayivor, J. S. (2001). </w:t>
      </w:r>
      <w:r w:rsidRPr="00C579F2">
        <w:rPr>
          <w:i/>
          <w:iCs/>
          <w:noProof/>
          <w:sz w:val="22"/>
          <w14:ligatures w14:val="none"/>
        </w:rPr>
        <w:t>Patterns of land tenure in Anloga, Ghana</w:t>
      </w:r>
      <w:r w:rsidRPr="00C579F2">
        <w:rPr>
          <w:noProof/>
          <w:sz w:val="22"/>
          <w14:ligatures w14:val="none"/>
        </w:rPr>
        <w:t>. RICS Foundation.</w:t>
      </w:r>
    </w:p>
    <w:p w14:paraId="2B561C45"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Bell, K. C. (2007, May). </w:t>
      </w:r>
      <w:r w:rsidRPr="00C579F2">
        <w:rPr>
          <w:i/>
          <w:iCs/>
          <w:sz w:val="22"/>
        </w:rPr>
        <w:t>Good governance in land administration and management</w:t>
      </w:r>
      <w:r w:rsidRPr="00C579F2">
        <w:rPr>
          <w:sz w:val="22"/>
        </w:rPr>
        <w:t>. Paper presented at the International Federation of Surveyors (FIG) Working Week, Hong Kong</w:t>
      </w:r>
    </w:p>
    <w:p w14:paraId="20BD1CA3" w14:textId="28E187A2" w:rsidR="00697A12" w:rsidRPr="00C579F2" w:rsidRDefault="00697A12" w:rsidP="001942EC">
      <w:pPr>
        <w:pStyle w:val="ListParagraph1"/>
        <w:numPr>
          <w:ilvl w:val="0"/>
          <w:numId w:val="7"/>
        </w:numPr>
        <w:spacing w:after="891" w:line="240" w:lineRule="auto"/>
        <w:ind w:right="136"/>
        <w:jc w:val="both"/>
        <w:rPr>
          <w:sz w:val="22"/>
        </w:rPr>
      </w:pPr>
      <w:r w:rsidRPr="00C579F2">
        <w:rPr>
          <w:sz w:val="22"/>
        </w:rPr>
        <w:lastRenderedPageBreak/>
        <w:t xml:space="preserve">Berger, T. (2006). </w:t>
      </w:r>
      <w:r w:rsidRPr="00C579F2">
        <w:rPr>
          <w:rStyle w:val="Emphasis"/>
          <w:rFonts w:eastAsiaTheme="majorEastAsia"/>
          <w:sz w:val="22"/>
        </w:rPr>
        <w:t>Slum areas and insecure tenure in urban Sub-Saharan Africa: A conceptual review of African best practices</w:t>
      </w:r>
      <w:r w:rsidRPr="00C579F2">
        <w:rPr>
          <w:sz w:val="22"/>
        </w:rPr>
        <w:t xml:space="preserve">. Rotterdam: Institute of Housing and Urban Research, Uppsala. </w:t>
      </w:r>
      <w:hyperlink r:id="rId28" w:history="1">
        <w:r w:rsidRPr="00C579F2">
          <w:rPr>
            <w:rStyle w:val="Hyperlink"/>
            <w:sz w:val="22"/>
          </w:rPr>
          <w:t>https://www.scirp.org/reference/referencespapers?referenceid=1626442</w:t>
        </w:r>
      </w:hyperlink>
      <w:r w:rsidRPr="00C579F2">
        <w:rPr>
          <w:color w:val="272320"/>
          <w:sz w:val="22"/>
        </w:rPr>
        <w:t xml:space="preserve">. </w:t>
      </w:r>
    </w:p>
    <w:p w14:paraId="5EBF5C13" w14:textId="66E9570B"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Boamah, E. F., &amp; Yeboah, T. (2017). </w:t>
      </w:r>
      <w:r w:rsidRPr="00C579F2">
        <w:rPr>
          <w:rFonts w:eastAsiaTheme="majorEastAsia"/>
          <w:i/>
          <w:iCs/>
          <w:sz w:val="22"/>
        </w:rPr>
        <w:t>Planning by (mis)rule of laws: The idiom and dilemma of planning within Ghana’s dual legal land systems</w:t>
      </w:r>
      <w:r w:rsidRPr="00C579F2">
        <w:rPr>
          <w:sz w:val="22"/>
        </w:rPr>
        <w:t xml:space="preserve">. </w:t>
      </w:r>
      <w:r w:rsidRPr="00C579F2">
        <w:rPr>
          <w:rFonts w:eastAsiaTheme="majorEastAsia"/>
          <w:i/>
          <w:iCs/>
          <w:sz w:val="22"/>
        </w:rPr>
        <w:t>Environment and Planning C: Politics and Space</w:t>
      </w:r>
      <w:r w:rsidRPr="00C579F2">
        <w:rPr>
          <w:sz w:val="22"/>
        </w:rPr>
        <w:t xml:space="preserve">, 38(1), 97–115. </w:t>
      </w:r>
      <w:hyperlink r:id="rId29" w:history="1">
        <w:r w:rsidRPr="00C579F2">
          <w:rPr>
            <w:rStyle w:val="Hyperlink"/>
            <w:sz w:val="22"/>
          </w:rPr>
          <w:t>https://doi.org/10.1177/2399654417727191</w:t>
        </w:r>
      </w:hyperlink>
    </w:p>
    <w:p w14:paraId="6E3C391D"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Boamah, E. F., &amp; Yeboah, T. (2019). </w:t>
      </w:r>
      <w:r w:rsidRPr="00C579F2">
        <w:rPr>
          <w:rFonts w:eastAsiaTheme="majorEastAsia"/>
          <w:i/>
          <w:iCs/>
          <w:sz w:val="22"/>
        </w:rPr>
        <w:t>Planning by (mis)rule of laws: The idiom and dilemma of planning within Ghana’s dual legal land systems</w:t>
      </w:r>
      <w:r w:rsidRPr="00C579F2">
        <w:rPr>
          <w:sz w:val="22"/>
        </w:rPr>
        <w:t xml:space="preserve">. </w:t>
      </w:r>
      <w:r w:rsidRPr="00C579F2">
        <w:rPr>
          <w:rFonts w:eastAsiaTheme="majorEastAsia"/>
          <w:i/>
          <w:iCs/>
          <w:sz w:val="22"/>
        </w:rPr>
        <w:t>Environment and Planning C: Politics and Space</w:t>
      </w:r>
      <w:r w:rsidRPr="00C579F2">
        <w:rPr>
          <w:sz w:val="22"/>
        </w:rPr>
        <w:t xml:space="preserve">, 38(1), 97–115. </w:t>
      </w:r>
      <w:hyperlink r:id="rId30" w:history="1">
        <w:r w:rsidRPr="00C579F2">
          <w:rPr>
            <w:rStyle w:val="Hyperlink"/>
            <w:sz w:val="22"/>
          </w:rPr>
          <w:t>https://doi.org/10.1177/2399654419855400</w:t>
        </w:r>
      </w:hyperlink>
      <w:r w:rsidRPr="00C579F2">
        <w:rPr>
          <w:sz w:val="22"/>
        </w:rPr>
        <w:t xml:space="preserve">. </w:t>
      </w:r>
    </w:p>
    <w:p w14:paraId="17FA19EA" w14:textId="14ACC15B" w:rsidR="003D72F1" w:rsidRPr="00C579F2" w:rsidRDefault="00CD0BB5" w:rsidP="009B27DC">
      <w:pPr>
        <w:pStyle w:val="ListParagraph1"/>
        <w:numPr>
          <w:ilvl w:val="0"/>
          <w:numId w:val="7"/>
        </w:numPr>
        <w:spacing w:after="891" w:line="360" w:lineRule="auto"/>
        <w:ind w:right="136"/>
        <w:jc w:val="both"/>
        <w:rPr>
          <w:sz w:val="22"/>
        </w:rPr>
      </w:pPr>
      <w:r w:rsidRPr="00C579F2">
        <w:rPr>
          <w:sz w:val="22"/>
        </w:rPr>
        <w:t xml:space="preserve">King, R., &amp; Boafo, H. K. (2016). </w:t>
      </w:r>
      <w:r w:rsidRPr="00C579F2">
        <w:rPr>
          <w:rStyle w:val="Emphasis"/>
          <w:rFonts w:eastAsiaTheme="majorEastAsia"/>
          <w:sz w:val="22"/>
        </w:rPr>
        <w:t>Associated challenges of urban land acquisition and development procedures in Ghana: A case study of Kumasi</w:t>
      </w:r>
      <w:r w:rsidRPr="00C579F2">
        <w:rPr>
          <w:sz w:val="22"/>
        </w:rPr>
        <w:t xml:space="preserve">. International Journal of Multidisciplinary Research and Analysis, 6(9), 4284–4298. </w:t>
      </w:r>
      <w:hyperlink r:id="rId31" w:history="1">
        <w:r w:rsidRPr="00C579F2">
          <w:rPr>
            <w:rStyle w:val="Hyperlink"/>
            <w:sz w:val="22"/>
          </w:rPr>
          <w:t>https://pdfs.semanticscholar.org/0a8e/c0fe1d9566dded83bdcdc4e10ef866afa399.pdf</w:t>
        </w:r>
      </w:hyperlink>
      <w:r w:rsidRPr="00C579F2">
        <w:rPr>
          <w:color w:val="272320"/>
          <w:sz w:val="22"/>
        </w:rPr>
        <w:t xml:space="preserve">. </w:t>
      </w:r>
      <w:r w:rsidR="003D72F1" w:rsidRPr="00C579F2">
        <w:rPr>
          <w:sz w:val="22"/>
        </w:rPr>
        <w:t xml:space="preserve"> </w:t>
      </w:r>
    </w:p>
    <w:p w14:paraId="1768032D" w14:textId="6CC68C1D"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Cobbinah</w:t>
      </w:r>
      <w:proofErr w:type="spellEnd"/>
      <w:r w:rsidRPr="00C579F2">
        <w:rPr>
          <w:sz w:val="22"/>
        </w:rPr>
        <w:t xml:space="preserve">, P. B., </w:t>
      </w:r>
      <w:proofErr w:type="spellStart"/>
      <w:r w:rsidRPr="00C579F2">
        <w:rPr>
          <w:sz w:val="22"/>
        </w:rPr>
        <w:t>Gaisie</w:t>
      </w:r>
      <w:proofErr w:type="spellEnd"/>
      <w:r w:rsidRPr="00C579F2">
        <w:rPr>
          <w:sz w:val="22"/>
        </w:rPr>
        <w:t xml:space="preserve">, E., &amp; Opoku-Boamah, E. (2014). Urban sprawl and the loss of peri-urban land in Kumasi, Ghana. </w:t>
      </w:r>
      <w:r w:rsidRPr="00C579F2">
        <w:rPr>
          <w:rFonts w:eastAsiaTheme="majorEastAsia"/>
          <w:i/>
          <w:iCs/>
          <w:sz w:val="22"/>
        </w:rPr>
        <w:t>International Journal of Social, Human Science and Engineering</w:t>
      </w:r>
      <w:r w:rsidRPr="00C579F2">
        <w:rPr>
          <w:sz w:val="22"/>
        </w:rPr>
        <w:t>, 8(1), 378–386. https://www.researchgate.net/publication/232957200</w:t>
      </w:r>
    </w:p>
    <w:p w14:paraId="0C4E8FB8"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noProof/>
          <w:sz w:val="22"/>
          <w14:ligatures w14:val="none"/>
        </w:rPr>
        <w:t>Creswell, J.W. and Clark, V.L.P. (2011). Designing and Conducting Mixed Methods Research. A practical, how-to guide to designing mixed methods studies.</w:t>
      </w:r>
    </w:p>
    <w:p w14:paraId="1468B4D7" w14:textId="1DEEB420" w:rsidR="00CD0BB5" w:rsidRPr="00C579F2" w:rsidRDefault="00CD0BB5"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Dakpallah, T. A. G.</w:t>
      </w:r>
      <w:r w:rsidRPr="00C579F2">
        <w:rPr>
          <w:sz w:val="22"/>
        </w:rPr>
        <w:t xml:space="preserve"> (2011). </w:t>
      </w:r>
      <w:r w:rsidRPr="00C579F2">
        <w:rPr>
          <w:rStyle w:val="Emphasis"/>
          <w:rFonts w:eastAsiaTheme="majorEastAsia"/>
          <w:sz w:val="22"/>
        </w:rPr>
        <w:t xml:space="preserve">Slum improvement in Ghana: The study of </w:t>
      </w:r>
      <w:proofErr w:type="spellStart"/>
      <w:r w:rsidRPr="00C579F2">
        <w:rPr>
          <w:rStyle w:val="Emphasis"/>
          <w:rFonts w:eastAsiaTheme="majorEastAsia"/>
          <w:sz w:val="22"/>
        </w:rPr>
        <w:t>Aboabo</w:t>
      </w:r>
      <w:proofErr w:type="spellEnd"/>
      <w:r w:rsidRPr="00C579F2">
        <w:rPr>
          <w:rStyle w:val="Emphasis"/>
          <w:rFonts w:eastAsiaTheme="majorEastAsia"/>
          <w:sz w:val="22"/>
        </w:rPr>
        <w:t xml:space="preserve"> and </w:t>
      </w:r>
      <w:proofErr w:type="spellStart"/>
      <w:r w:rsidRPr="00C579F2">
        <w:rPr>
          <w:rStyle w:val="Emphasis"/>
          <w:rFonts w:eastAsiaTheme="majorEastAsia"/>
          <w:sz w:val="22"/>
        </w:rPr>
        <w:t>Asawase</w:t>
      </w:r>
      <w:proofErr w:type="spellEnd"/>
      <w:r w:rsidRPr="00C579F2">
        <w:rPr>
          <w:rStyle w:val="Emphasis"/>
          <w:rFonts w:eastAsiaTheme="majorEastAsia"/>
          <w:sz w:val="22"/>
        </w:rPr>
        <w:t xml:space="preserve"> in Kumasi</w:t>
      </w:r>
      <w:r w:rsidRPr="00C579F2">
        <w:rPr>
          <w:sz w:val="22"/>
        </w:rPr>
        <w:t xml:space="preserve"> (Master’s thesis). Kwame Nkrumah University of Science and Technology, Kumasi. </w:t>
      </w:r>
      <w:r w:rsidRPr="00C579F2">
        <w:rPr>
          <w:color w:val="272320"/>
          <w:sz w:val="22"/>
        </w:rPr>
        <w:t>https://ir.knust.edu.gh/server/api/core/bitstreams/a16fc814-40b0-402e-a551-dd97c5ce7bfb/content</w:t>
      </w:r>
    </w:p>
    <w:p w14:paraId="503CCF7B" w14:textId="4A4000BA"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Ekpodessi</w:t>
      </w:r>
      <w:proofErr w:type="spellEnd"/>
      <w:r w:rsidRPr="00C579F2">
        <w:rPr>
          <w:sz w:val="22"/>
        </w:rPr>
        <w:t xml:space="preserve">, A. A., &amp; </w:t>
      </w:r>
      <w:proofErr w:type="spellStart"/>
      <w:r w:rsidRPr="00C579F2">
        <w:rPr>
          <w:sz w:val="22"/>
        </w:rPr>
        <w:t>Déguénon</w:t>
      </w:r>
      <w:proofErr w:type="spellEnd"/>
      <w:r w:rsidRPr="00C579F2">
        <w:rPr>
          <w:sz w:val="22"/>
        </w:rPr>
        <w:t xml:space="preserve">, A. (2023). Impact of insecure land tenure on sustainable housing development: A case study of urban housing lands in the Republic of Benin. </w:t>
      </w:r>
      <w:r w:rsidRPr="00C579F2">
        <w:rPr>
          <w:rFonts w:eastAsiaTheme="majorEastAsia"/>
          <w:i/>
          <w:iCs/>
          <w:sz w:val="22"/>
        </w:rPr>
        <w:t>Sustainability</w:t>
      </w:r>
      <w:r w:rsidRPr="00C579F2">
        <w:rPr>
          <w:sz w:val="22"/>
        </w:rPr>
        <w:t xml:space="preserve">, 15(21), 15497. </w:t>
      </w:r>
      <w:hyperlink r:id="rId32" w:history="1">
        <w:r w:rsidRPr="00C579F2">
          <w:rPr>
            <w:rStyle w:val="Hyperlink"/>
            <w:sz w:val="22"/>
          </w:rPr>
          <w:t>https://doi.org/10.3390/su152115497</w:t>
        </w:r>
      </w:hyperlink>
    </w:p>
    <w:p w14:paraId="52533596" w14:textId="4782A895" w:rsidR="00777D1A" w:rsidRPr="00C579F2" w:rsidRDefault="00777D1A" w:rsidP="001942EC">
      <w:pPr>
        <w:pStyle w:val="ListParagraph1"/>
        <w:numPr>
          <w:ilvl w:val="0"/>
          <w:numId w:val="7"/>
        </w:numPr>
        <w:spacing w:after="891" w:line="360" w:lineRule="auto"/>
        <w:ind w:right="136"/>
        <w:jc w:val="both"/>
        <w:rPr>
          <w:sz w:val="22"/>
        </w:rPr>
      </w:pPr>
      <w:r w:rsidRPr="00C579F2">
        <w:rPr>
          <w:sz w:val="22"/>
        </w:rPr>
        <w:t xml:space="preserve">Ewnetu, B. M., &amp; Seo, B. K. (2025). </w:t>
      </w:r>
      <w:r w:rsidRPr="00CC586F">
        <w:rPr>
          <w:rStyle w:val="Emphasis"/>
          <w:rFonts w:eastAsiaTheme="majorEastAsia"/>
          <w:i w:val="0"/>
          <w:sz w:val="22"/>
        </w:rPr>
        <w:t>Governance of urban informal settlements in Africa: A scoping review</w:t>
      </w:r>
      <w:r w:rsidRPr="00C579F2">
        <w:rPr>
          <w:sz w:val="22"/>
        </w:rPr>
        <w:t xml:space="preserve">. </w:t>
      </w:r>
      <w:proofErr w:type="spellStart"/>
      <w:r w:rsidRPr="00C579F2">
        <w:rPr>
          <w:rStyle w:val="Emphasis"/>
          <w:rFonts w:eastAsiaTheme="majorEastAsia"/>
          <w:sz w:val="22"/>
        </w:rPr>
        <w:t>Heliyon</w:t>
      </w:r>
      <w:proofErr w:type="spellEnd"/>
      <w:r w:rsidRPr="00C579F2">
        <w:rPr>
          <w:sz w:val="22"/>
        </w:rPr>
        <w:t xml:space="preserve">. </w:t>
      </w:r>
      <w:hyperlink r:id="rId33" w:history="1">
        <w:r w:rsidRPr="00C579F2">
          <w:rPr>
            <w:rStyle w:val="Hyperlink"/>
            <w:sz w:val="22"/>
          </w:rPr>
          <w:t>https://africanresearchers.org</w:t>
        </w:r>
      </w:hyperlink>
    </w:p>
    <w:p w14:paraId="47F09260" w14:textId="1C71BC58"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Frimpong Boamah, E., &amp; Walker, M. (2017). Legal pluralism, land tenure and the production of “</w:t>
      </w:r>
      <w:proofErr w:type="spellStart"/>
      <w:r w:rsidRPr="00C579F2">
        <w:rPr>
          <w:sz w:val="22"/>
        </w:rPr>
        <w:t>nomotropic</w:t>
      </w:r>
      <w:proofErr w:type="spellEnd"/>
      <w:r w:rsidRPr="00C579F2">
        <w:rPr>
          <w:sz w:val="22"/>
        </w:rPr>
        <w:t xml:space="preserve"> urban spaces” in post-colonial Accra, Ghana. </w:t>
      </w:r>
      <w:r w:rsidRPr="00C579F2">
        <w:rPr>
          <w:i/>
          <w:iCs/>
          <w:sz w:val="22"/>
        </w:rPr>
        <w:t>Geography Research Forum, 36</w:t>
      </w:r>
      <w:r w:rsidRPr="00C579F2">
        <w:rPr>
          <w:sz w:val="22"/>
        </w:rPr>
        <w:t xml:space="preserve">, 86–109. </w:t>
      </w:r>
      <w:hyperlink r:id="rId34" w:history="1">
        <w:r w:rsidRPr="00C579F2">
          <w:rPr>
            <w:rStyle w:val="Hyperlink"/>
            <w:sz w:val="22"/>
          </w:rPr>
          <w: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w:t>
        </w:r>
      </w:hyperlink>
      <w:r w:rsidRPr="00C579F2">
        <w:rPr>
          <w:sz w:val="22"/>
        </w:rPr>
        <w:t xml:space="preserve">. </w:t>
      </w:r>
    </w:p>
    <w:p w14:paraId="5605C29F" w14:textId="0E5E3821" w:rsidR="009B27DC" w:rsidRPr="00C579F2" w:rsidRDefault="009B27DC" w:rsidP="001942EC">
      <w:pPr>
        <w:pStyle w:val="ListParagraph1"/>
        <w:numPr>
          <w:ilvl w:val="0"/>
          <w:numId w:val="7"/>
        </w:numPr>
        <w:spacing w:after="891" w:line="240" w:lineRule="auto"/>
        <w:ind w:right="136"/>
        <w:jc w:val="both"/>
        <w:rPr>
          <w:rStyle w:val="Emphasis"/>
          <w:i w:val="0"/>
          <w:iCs w:val="0"/>
          <w:sz w:val="22"/>
        </w:rPr>
      </w:pPr>
      <w:r w:rsidRPr="00C579F2">
        <w:rPr>
          <w:sz w:val="22"/>
        </w:rPr>
        <w:t>Ghana Legal Information Institute (</w:t>
      </w:r>
      <w:proofErr w:type="spellStart"/>
      <w:r w:rsidRPr="00C579F2">
        <w:rPr>
          <w:sz w:val="22"/>
        </w:rPr>
        <w:t>GhaLII</w:t>
      </w:r>
      <w:proofErr w:type="spellEnd"/>
      <w:r w:rsidRPr="00C579F2">
        <w:rPr>
          <w:sz w:val="22"/>
        </w:rPr>
        <w:t xml:space="preserve">). (2020). </w:t>
      </w:r>
      <w:r w:rsidRPr="00C579F2">
        <w:rPr>
          <w:rStyle w:val="Emphasis"/>
          <w:rFonts w:eastAsiaTheme="majorEastAsia"/>
          <w:sz w:val="22"/>
        </w:rPr>
        <w:t xml:space="preserve">Land Tenure and Legal Frameworks in Ghana. </w:t>
      </w:r>
      <w:hyperlink r:id="rId35" w:history="1">
        <w:r w:rsidRPr="00C579F2">
          <w:rPr>
            <w:rStyle w:val="Hyperlink"/>
            <w:sz w:val="22"/>
          </w:rPr>
          <w:t>https://ghalii.org</w:t>
        </w:r>
      </w:hyperlink>
      <w:r w:rsidRPr="00C579F2">
        <w:rPr>
          <w:color w:val="272320"/>
          <w:sz w:val="22"/>
        </w:rPr>
        <w:t xml:space="preserve">. </w:t>
      </w:r>
    </w:p>
    <w:p w14:paraId="7C388E19" w14:textId="2D5A1E90" w:rsidR="009B27DC" w:rsidRPr="00C579F2" w:rsidRDefault="009B27DC" w:rsidP="001942EC">
      <w:pPr>
        <w:pStyle w:val="ListParagraph1"/>
        <w:numPr>
          <w:ilvl w:val="0"/>
          <w:numId w:val="7"/>
        </w:numPr>
        <w:spacing w:after="891" w:line="240" w:lineRule="auto"/>
        <w:ind w:right="136"/>
        <w:jc w:val="both"/>
        <w:rPr>
          <w:sz w:val="22"/>
        </w:rPr>
      </w:pPr>
      <w:r w:rsidRPr="00C579F2">
        <w:rPr>
          <w:sz w:val="22"/>
        </w:rPr>
        <w:t xml:space="preserve">Ghana Statistical Service. (2021). </w:t>
      </w:r>
      <w:r w:rsidRPr="00C579F2">
        <w:rPr>
          <w:rStyle w:val="Emphasis"/>
          <w:rFonts w:eastAsiaTheme="majorEastAsia"/>
          <w:sz w:val="22"/>
        </w:rPr>
        <w:t>Slums and Informal Settlements in Ghana: Insights from the 2021 Population and Housing Census</w:t>
      </w:r>
      <w:r w:rsidRPr="00C579F2">
        <w:rPr>
          <w:sz w:val="22"/>
        </w:rPr>
        <w:t xml:space="preserve">. </w:t>
      </w:r>
      <w:r w:rsidRPr="00C579F2">
        <w:rPr>
          <w:color w:val="272320"/>
          <w:sz w:val="22"/>
        </w:rPr>
        <w:t>https://statsghana.gov.gh/gssmain/fileUpload/pressrelease/SLUMS-SO_FAFA_20250620_final.pdf</w:t>
      </w:r>
    </w:p>
    <w:p w14:paraId="6B874DD7" w14:textId="677B31F6" w:rsidR="00BA1770" w:rsidRPr="00C579F2" w:rsidRDefault="00BA1770" w:rsidP="001942EC">
      <w:pPr>
        <w:pStyle w:val="ListParagraph1"/>
        <w:numPr>
          <w:ilvl w:val="0"/>
          <w:numId w:val="7"/>
        </w:numPr>
        <w:spacing w:after="891" w:line="240" w:lineRule="auto"/>
        <w:ind w:right="136"/>
        <w:jc w:val="both"/>
        <w:rPr>
          <w:sz w:val="22"/>
        </w:rPr>
      </w:pPr>
      <w:r w:rsidRPr="00C579F2">
        <w:rPr>
          <w:sz w:val="22"/>
        </w:rPr>
        <w:lastRenderedPageBreak/>
        <w:t xml:space="preserve">Ghana Statistical Service (2021). </w:t>
      </w:r>
      <w:r w:rsidRPr="00C579F2">
        <w:rPr>
          <w:rStyle w:val="Emphasis"/>
          <w:rFonts w:eastAsiaTheme="majorEastAsia"/>
          <w:sz w:val="22"/>
        </w:rPr>
        <w:t>2021 Population and Housing Census: Population of Regions and Districts</w:t>
      </w:r>
      <w:r w:rsidRPr="00C579F2">
        <w:rPr>
          <w:sz w:val="22"/>
        </w:rPr>
        <w:t>. Volume 3A</w:t>
      </w:r>
      <w:r w:rsidR="009B27DC" w:rsidRPr="00C579F2">
        <w:rPr>
          <w:sz w:val="22"/>
        </w:rPr>
        <w:t xml:space="preserve">. </w:t>
      </w:r>
      <w:r w:rsidR="009B27DC" w:rsidRPr="00C579F2">
        <w:rPr>
          <w:color w:val="272320"/>
          <w:sz w:val="22"/>
        </w:rPr>
        <w:t>https://statsghana.gov.gh/gssmain/fileUpload/pressrelease/2021%20PHC%20General%20Report%20Vol%203A_Population%20of%20Regions%20and%20Districts_181121.pdf</w:t>
      </w:r>
    </w:p>
    <w:p w14:paraId="46C26862" w14:textId="0747E0CA" w:rsidR="002F43DB" w:rsidRPr="00C579F2" w:rsidRDefault="002F43DB" w:rsidP="001942EC">
      <w:pPr>
        <w:pStyle w:val="ListParagraph1"/>
        <w:numPr>
          <w:ilvl w:val="0"/>
          <w:numId w:val="7"/>
        </w:numPr>
        <w:spacing w:after="891" w:line="240" w:lineRule="auto"/>
        <w:ind w:right="136"/>
        <w:jc w:val="both"/>
        <w:rPr>
          <w:sz w:val="22"/>
        </w:rPr>
      </w:pPr>
      <w:r w:rsidRPr="00C579F2">
        <w:rPr>
          <w:rFonts w:eastAsiaTheme="majorEastAsia"/>
          <w:sz w:val="22"/>
        </w:rPr>
        <w:t>Gough, K. V., &amp; Yankson, P. W. K</w:t>
      </w:r>
      <w:r w:rsidRPr="00C579F2">
        <w:rPr>
          <w:rFonts w:eastAsiaTheme="majorEastAsia"/>
          <w:b/>
          <w:bCs/>
          <w:sz w:val="22"/>
        </w:rPr>
        <w:t>.</w:t>
      </w:r>
      <w:r w:rsidRPr="00C579F2">
        <w:rPr>
          <w:sz w:val="22"/>
        </w:rPr>
        <w:t xml:space="preserve"> (2000). Land markets in African cities: The case of peri-urban Accra, Ghana. </w:t>
      </w:r>
      <w:r w:rsidRPr="00C579F2">
        <w:rPr>
          <w:rFonts w:eastAsiaTheme="majorEastAsia"/>
          <w:i/>
          <w:iCs/>
          <w:sz w:val="22"/>
        </w:rPr>
        <w:t>Urban Studies</w:t>
      </w:r>
      <w:r w:rsidRPr="00C579F2">
        <w:rPr>
          <w:sz w:val="22"/>
        </w:rPr>
        <w:t xml:space="preserve">, 37(13), 2485–2500. </w:t>
      </w:r>
      <w:hyperlink r:id="rId36" w:history="1">
        <w:r w:rsidRPr="00C579F2">
          <w:rPr>
            <w:rStyle w:val="Hyperlink"/>
            <w:sz w:val="22"/>
          </w:rPr>
          <w:t>https://doi.org/10.1080/00420980020080651</w:t>
        </w:r>
      </w:hyperlink>
    </w:p>
    <w:p w14:paraId="604E5A20" w14:textId="77777777" w:rsidR="00FC52D6" w:rsidRPr="00C579F2" w:rsidRDefault="002F43DB" w:rsidP="001942EC">
      <w:pPr>
        <w:pStyle w:val="ListParagraph1"/>
        <w:numPr>
          <w:ilvl w:val="0"/>
          <w:numId w:val="7"/>
        </w:numPr>
        <w:spacing w:after="891" w:line="240" w:lineRule="auto"/>
        <w:ind w:right="136"/>
        <w:jc w:val="both"/>
        <w:rPr>
          <w:rStyle w:val="Hyperlink"/>
          <w:sz w:val="22"/>
        </w:rPr>
      </w:pPr>
      <w:r w:rsidRPr="00C579F2">
        <w:rPr>
          <w:sz w:val="22"/>
        </w:rPr>
        <w:t xml:space="preserve">Gough, K. V., &amp; Yankson, P. W. K. (2011). A neglected aspect of the housing market: The caretakers of peri-urban Accra, Ghana. </w:t>
      </w:r>
      <w:r w:rsidRPr="00C579F2">
        <w:rPr>
          <w:i/>
          <w:iCs/>
          <w:sz w:val="22"/>
        </w:rPr>
        <w:t>Urban Studies, 48</w:t>
      </w:r>
      <w:r w:rsidRPr="00C579F2">
        <w:rPr>
          <w:sz w:val="22"/>
        </w:rPr>
        <w:t xml:space="preserve">(4), 793–810. </w:t>
      </w:r>
      <w:hyperlink r:id="rId37" w:history="1">
        <w:r w:rsidRPr="00C579F2">
          <w:rPr>
            <w:rStyle w:val="Hyperlink"/>
            <w:sz w:val="22"/>
          </w:rPr>
          <w:t>https://doi.org/10.1177/0042098010367861</w:t>
        </w:r>
      </w:hyperlink>
    </w:p>
    <w:p w14:paraId="0F254BF3" w14:textId="5ADC53A3" w:rsidR="00DA760A" w:rsidRPr="00C579F2" w:rsidRDefault="00DA760A" w:rsidP="001942EC">
      <w:pPr>
        <w:pStyle w:val="ListParagraph1"/>
        <w:numPr>
          <w:ilvl w:val="0"/>
          <w:numId w:val="7"/>
        </w:numPr>
        <w:spacing w:after="891" w:line="240" w:lineRule="auto"/>
        <w:ind w:right="136"/>
        <w:jc w:val="both"/>
        <w:rPr>
          <w:sz w:val="22"/>
        </w:rPr>
      </w:pPr>
      <w:r w:rsidRPr="00C579F2">
        <w:rPr>
          <w:rStyle w:val="Strong"/>
          <w:rFonts w:eastAsiaTheme="majorEastAsia"/>
          <w:b w:val="0"/>
          <w:sz w:val="22"/>
        </w:rPr>
        <w:t>Gyan, A. (2025).</w:t>
      </w:r>
      <w:r w:rsidRPr="00C579F2">
        <w:rPr>
          <w:sz w:val="22"/>
        </w:rPr>
        <w:t xml:space="preserve"> </w:t>
      </w:r>
      <w:r w:rsidRPr="00C579F2">
        <w:rPr>
          <w:rStyle w:val="Emphasis"/>
          <w:rFonts w:eastAsiaTheme="majorEastAsia"/>
          <w:sz w:val="22"/>
        </w:rPr>
        <w:t>Persistent Shadows of Legal Pluralism: Digital Land Governance and Cyclical Land Administration Setbacks in Ghana.</w:t>
      </w:r>
      <w:r w:rsidRPr="00C579F2">
        <w:rPr>
          <w:sz w:val="22"/>
        </w:rPr>
        <w:t xml:space="preserve"> </w:t>
      </w:r>
      <w:r w:rsidRPr="00C579F2">
        <w:rPr>
          <w:rStyle w:val="Emphasis"/>
          <w:rFonts w:eastAsiaTheme="majorEastAsia"/>
          <w:sz w:val="22"/>
        </w:rPr>
        <w:t>Africa Spectrum</w:t>
      </w:r>
      <w:r w:rsidRPr="00C579F2">
        <w:rPr>
          <w:sz w:val="22"/>
        </w:rPr>
        <w:t xml:space="preserve">, 1–26. </w:t>
      </w:r>
      <w:hyperlink r:id="rId38" w:history="1">
        <w:r w:rsidRPr="00C579F2">
          <w:rPr>
            <w:rStyle w:val="Hyperlink"/>
            <w:sz w:val="22"/>
          </w:rPr>
          <w:t>https://journals.sagepub.com/doi/pdf/10.1177/00020397251361944?download=true</w:t>
        </w:r>
      </w:hyperlink>
      <w:r w:rsidRPr="00C579F2">
        <w:rPr>
          <w:color w:val="272320"/>
          <w:sz w:val="22"/>
        </w:rPr>
        <w:t xml:space="preserve"> </w:t>
      </w:r>
    </w:p>
    <w:p w14:paraId="2C2A9D2A" w14:textId="0D8DACA7" w:rsidR="00FC52D6" w:rsidRPr="00C579F2" w:rsidRDefault="00FC52D6" w:rsidP="001942EC">
      <w:pPr>
        <w:pStyle w:val="ListParagraph1"/>
        <w:numPr>
          <w:ilvl w:val="0"/>
          <w:numId w:val="7"/>
        </w:numPr>
        <w:spacing w:after="891" w:line="240" w:lineRule="auto"/>
        <w:ind w:right="136"/>
        <w:jc w:val="both"/>
        <w:rPr>
          <w:sz w:val="22"/>
        </w:rPr>
      </w:pPr>
      <w:r w:rsidRPr="00C579F2">
        <w:rPr>
          <w:sz w:val="22"/>
          <w:lang w:val="en-GB"/>
        </w:rPr>
        <w:t xml:space="preserve">Islam, J., Ali, M. J., &amp; Mithun, S. (2022). Slums in India: Making sense of place in urban planning. </w:t>
      </w:r>
      <w:proofErr w:type="spellStart"/>
      <w:r w:rsidRPr="00C579F2">
        <w:rPr>
          <w:sz w:val="22"/>
          <w:lang w:val="en-GB"/>
        </w:rPr>
        <w:t>GeoJournal</w:t>
      </w:r>
      <w:proofErr w:type="spellEnd"/>
      <w:r w:rsidRPr="00C579F2">
        <w:rPr>
          <w:sz w:val="22"/>
          <w:lang w:val="en-GB"/>
        </w:rPr>
        <w:t>, 87(3), 1913-1928.</w:t>
      </w:r>
    </w:p>
    <w:p w14:paraId="359B87D9"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Kasanga, K., &amp; Kotey, N. A. (2001). </w:t>
      </w:r>
      <w:r w:rsidRPr="00C579F2">
        <w:rPr>
          <w:i/>
          <w:iCs/>
          <w:sz w:val="22"/>
        </w:rPr>
        <w:t>Land management in Ghana: Building on tradition and modernity</w:t>
      </w:r>
      <w:r w:rsidRPr="00C579F2">
        <w:rPr>
          <w:sz w:val="22"/>
        </w:rPr>
        <w:t xml:space="preserve"> (Land Tenure and Resource Access in West Africa Series). International Institute for Environment and Development. </w:t>
      </w:r>
      <w:hyperlink r:id="rId39" w:history="1">
        <w:r w:rsidRPr="00C579F2">
          <w:rPr>
            <w:rStyle w:val="Hyperlink"/>
            <w:sz w:val="22"/>
          </w:rPr>
          <w:t>https://www.iied.org/9002iied</w:t>
        </w:r>
      </w:hyperlink>
    </w:p>
    <w:p w14:paraId="2AB75DAF"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Korah, A., Smith, L. C., &amp; Wimberly, M. C. (2017). </w:t>
      </w:r>
      <w:r w:rsidRPr="00C579F2">
        <w:rPr>
          <w:rFonts w:eastAsiaTheme="majorEastAsia"/>
          <w:i/>
          <w:iCs/>
          <w:sz w:val="22"/>
        </w:rPr>
        <w:t>Understanding urban expansion across primary and secondary cities in Ghana</w:t>
      </w:r>
      <w:r w:rsidRPr="00C579F2">
        <w:rPr>
          <w:sz w:val="22"/>
        </w:rPr>
        <w:t xml:space="preserve">. </w:t>
      </w:r>
      <w:r w:rsidRPr="00C579F2">
        <w:rPr>
          <w:rFonts w:eastAsiaTheme="majorEastAsia"/>
          <w:i/>
          <w:iCs/>
          <w:sz w:val="22"/>
        </w:rPr>
        <w:t>Habitat International</w:t>
      </w:r>
      <w:r w:rsidRPr="00C579F2">
        <w:rPr>
          <w:sz w:val="22"/>
        </w:rPr>
        <w:t>, 58, 1–20. [Pending full citation—please confirm authors and title]</w:t>
      </w:r>
    </w:p>
    <w:p w14:paraId="2B333D3F" w14:textId="75326B3C" w:rsidR="00483CDD" w:rsidRPr="00C579F2" w:rsidRDefault="00483CDD" w:rsidP="001942EC">
      <w:pPr>
        <w:pStyle w:val="ListParagraph1"/>
        <w:numPr>
          <w:ilvl w:val="0"/>
          <w:numId w:val="7"/>
        </w:numPr>
        <w:spacing w:after="891" w:line="240" w:lineRule="auto"/>
        <w:ind w:right="136"/>
        <w:jc w:val="both"/>
        <w:rPr>
          <w:sz w:val="22"/>
        </w:rPr>
      </w:pPr>
      <w:r w:rsidRPr="00C579F2">
        <w:rPr>
          <w:sz w:val="22"/>
        </w:rPr>
        <w:t xml:space="preserve">Koranteng, A., Adu-Poku, I., Frimpong, B. F., Asamoah, J. N., Agyei, J., &amp; </w:t>
      </w:r>
      <w:proofErr w:type="spellStart"/>
      <w:r w:rsidRPr="00C579F2">
        <w:rPr>
          <w:sz w:val="22"/>
        </w:rPr>
        <w:t>Zawiła-Niedźwiecki</w:t>
      </w:r>
      <w:proofErr w:type="spellEnd"/>
      <w:r w:rsidRPr="00C579F2">
        <w:rPr>
          <w:sz w:val="22"/>
        </w:rPr>
        <w:t xml:space="preserve">, T. (2023). </w:t>
      </w:r>
      <w:r w:rsidRPr="00C579F2">
        <w:rPr>
          <w:rStyle w:val="Emphasis"/>
          <w:rFonts w:eastAsiaTheme="majorEastAsia"/>
          <w:sz w:val="22"/>
        </w:rPr>
        <w:t>Urbanization and other land use land cover change assessment in the Greater Kumasi Area of Ghana</w:t>
      </w:r>
      <w:r w:rsidRPr="00C579F2">
        <w:rPr>
          <w:sz w:val="22"/>
        </w:rPr>
        <w:t xml:space="preserve">. </w:t>
      </w:r>
      <w:r w:rsidRPr="00C579F2">
        <w:rPr>
          <w:rStyle w:val="Emphasis"/>
          <w:rFonts w:eastAsiaTheme="majorEastAsia"/>
          <w:sz w:val="22"/>
        </w:rPr>
        <w:t>Journal of Geoscience and Environment Protection, 11</w:t>
      </w:r>
      <w:r w:rsidRPr="00C579F2">
        <w:rPr>
          <w:sz w:val="22"/>
        </w:rPr>
        <w:t xml:space="preserve">(5), 363–383. </w:t>
      </w:r>
      <w:hyperlink r:id="rId40" w:history="1">
        <w:r w:rsidRPr="00C579F2">
          <w:rPr>
            <w:rStyle w:val="Hyperlink"/>
            <w:sz w:val="22"/>
          </w:rPr>
          <w:t>https://www.scirp.org</w:t>
        </w:r>
      </w:hyperlink>
    </w:p>
    <w:p w14:paraId="471B95DC" w14:textId="77777777" w:rsidR="00697A12" w:rsidRPr="00C579F2" w:rsidRDefault="00697A12" w:rsidP="001942EC">
      <w:pPr>
        <w:pStyle w:val="ListParagraph1"/>
        <w:numPr>
          <w:ilvl w:val="0"/>
          <w:numId w:val="7"/>
        </w:numPr>
        <w:spacing w:after="891" w:line="240" w:lineRule="auto"/>
        <w:ind w:right="136"/>
        <w:jc w:val="both"/>
        <w:rPr>
          <w:sz w:val="22"/>
        </w:rPr>
      </w:pPr>
      <w:r w:rsidRPr="00C579F2">
        <w:rPr>
          <w:sz w:val="22"/>
        </w:rPr>
        <w:t xml:space="preserve">Marx, B., Stoker, T., &amp; Suri, T. (2013). </w:t>
      </w:r>
      <w:r w:rsidRPr="00C579F2">
        <w:rPr>
          <w:rStyle w:val="Emphasis"/>
          <w:rFonts w:eastAsiaTheme="majorEastAsia"/>
          <w:sz w:val="22"/>
        </w:rPr>
        <w:t>The economics of slums in the developing world</w:t>
      </w:r>
      <w:r w:rsidRPr="00C579F2">
        <w:rPr>
          <w:sz w:val="22"/>
        </w:rPr>
        <w:t>. Journal of Economic Perspectives, 27(4), 187–210. This paper is widely cited in discussions of informal urban growth and slum economics, including in Sub-Saharan Africa contexts</w:t>
      </w:r>
    </w:p>
    <w:p w14:paraId="5791D1D9" w14:textId="3BEE7C19"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Morrison, N. (2017). Struggling for the right to be recognized: The informal settlement of Old </w:t>
      </w:r>
      <w:proofErr w:type="spellStart"/>
      <w:r w:rsidRPr="00C579F2">
        <w:rPr>
          <w:sz w:val="22"/>
        </w:rPr>
        <w:t>Fadama</w:t>
      </w:r>
      <w:proofErr w:type="spellEnd"/>
      <w:r w:rsidRPr="00C579F2">
        <w:rPr>
          <w:sz w:val="22"/>
        </w:rPr>
        <w:t xml:space="preserve">, Accra, Ghana. In </w:t>
      </w:r>
      <w:r w:rsidRPr="00C579F2">
        <w:rPr>
          <w:i/>
          <w:iCs/>
          <w:sz w:val="22"/>
        </w:rPr>
        <w:t>Geographies of Forced Eviction</w:t>
      </w:r>
      <w:r w:rsidRPr="00C579F2">
        <w:rPr>
          <w:sz w:val="22"/>
        </w:rPr>
        <w:t xml:space="preserve"> (pp. 25–45). Palgrave Macmillan.</w:t>
      </w:r>
    </w:p>
    <w:p w14:paraId="102C526B"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Nyametso</w:t>
      </w:r>
      <w:proofErr w:type="spellEnd"/>
      <w:r w:rsidRPr="00C579F2">
        <w:rPr>
          <w:sz w:val="22"/>
        </w:rPr>
        <w:t xml:space="preserve">, J. K. (2012). Resettlement of slum dwellers, land tenure security and improved housing, living and environmental conditions at Madina Estate, Accra, Ghana. </w:t>
      </w:r>
      <w:r w:rsidRPr="00C579F2">
        <w:rPr>
          <w:rFonts w:eastAsiaTheme="majorEastAsia"/>
          <w:i/>
          <w:iCs/>
          <w:sz w:val="22"/>
        </w:rPr>
        <w:t>Urban Forum</w:t>
      </w:r>
      <w:r w:rsidRPr="00C579F2">
        <w:rPr>
          <w:sz w:val="22"/>
        </w:rPr>
        <w:t xml:space="preserve">, 23(3), 343–365. </w:t>
      </w:r>
      <w:hyperlink r:id="rId41" w:history="1">
        <w:r w:rsidRPr="00C579F2">
          <w:rPr>
            <w:rStyle w:val="Hyperlink"/>
            <w:sz w:val="22"/>
          </w:rPr>
          <w:t>https://doi.org/10.1007/s12132-011-9137-6</w:t>
        </w:r>
      </w:hyperlink>
    </w:p>
    <w:p w14:paraId="0F628B85" w14:textId="77777777"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Nyametso</w:t>
      </w:r>
      <w:proofErr w:type="spellEnd"/>
      <w:r w:rsidRPr="00C579F2">
        <w:rPr>
          <w:sz w:val="22"/>
        </w:rPr>
        <w:t xml:space="preserve">, J. K. (2012). The link between land tenure security, access to housing, and improved living and environmental conditions: A study of three low-income settlements in Accra, Ghana. </w:t>
      </w:r>
      <w:proofErr w:type="spellStart"/>
      <w:r w:rsidRPr="00C579F2">
        <w:rPr>
          <w:rFonts w:eastAsiaTheme="majorEastAsia"/>
          <w:i/>
          <w:iCs/>
          <w:sz w:val="22"/>
        </w:rPr>
        <w:t>Norsk</w:t>
      </w:r>
      <w:proofErr w:type="spellEnd"/>
      <w:r w:rsidRPr="00C579F2">
        <w:rPr>
          <w:rFonts w:eastAsiaTheme="majorEastAsia"/>
          <w:i/>
          <w:iCs/>
          <w:sz w:val="22"/>
        </w:rPr>
        <w:t xml:space="preserve"> </w:t>
      </w:r>
      <w:proofErr w:type="spellStart"/>
      <w:r w:rsidRPr="00C579F2">
        <w:rPr>
          <w:rFonts w:eastAsiaTheme="majorEastAsia"/>
          <w:i/>
          <w:iCs/>
          <w:sz w:val="22"/>
        </w:rPr>
        <w:t>Geografisk</w:t>
      </w:r>
      <w:proofErr w:type="spellEnd"/>
      <w:r w:rsidRPr="00C579F2">
        <w:rPr>
          <w:rFonts w:eastAsiaTheme="majorEastAsia"/>
          <w:i/>
          <w:iCs/>
          <w:sz w:val="22"/>
        </w:rPr>
        <w:t xml:space="preserve"> </w:t>
      </w:r>
      <w:proofErr w:type="spellStart"/>
      <w:r w:rsidRPr="00C579F2">
        <w:rPr>
          <w:rFonts w:eastAsiaTheme="majorEastAsia"/>
          <w:i/>
          <w:iCs/>
          <w:sz w:val="22"/>
        </w:rPr>
        <w:t>Tidsskrift</w:t>
      </w:r>
      <w:proofErr w:type="spellEnd"/>
      <w:r w:rsidRPr="00C579F2">
        <w:rPr>
          <w:rFonts w:eastAsiaTheme="majorEastAsia"/>
          <w:i/>
          <w:iCs/>
          <w:sz w:val="22"/>
        </w:rPr>
        <w:t>–Norwegian Journal of Geography, 66</w:t>
      </w:r>
      <w:r w:rsidRPr="00C579F2">
        <w:rPr>
          <w:sz w:val="22"/>
        </w:rPr>
        <w:t xml:space="preserve">(2), 84–98. </w:t>
      </w:r>
      <w:hyperlink r:id="rId42" w:history="1">
        <w:r w:rsidRPr="00C579F2">
          <w:rPr>
            <w:rStyle w:val="Hyperlink"/>
            <w:rFonts w:eastAsiaTheme="majorEastAsia"/>
            <w:sz w:val="22"/>
          </w:rPr>
          <w:t>https://doi.org/10.1080/00291951.2012.665079</w:t>
        </w:r>
      </w:hyperlink>
    </w:p>
    <w:p w14:paraId="528F2D14" w14:textId="77777777" w:rsidR="002F43DB" w:rsidRPr="00C579F2" w:rsidRDefault="002F43DB" w:rsidP="001942EC">
      <w:pPr>
        <w:pStyle w:val="ListParagraph1"/>
        <w:numPr>
          <w:ilvl w:val="0"/>
          <w:numId w:val="7"/>
        </w:numPr>
        <w:spacing w:after="891" w:line="240" w:lineRule="auto"/>
        <w:ind w:right="136"/>
        <w:jc w:val="both"/>
        <w:rPr>
          <w:noProof/>
          <w:sz w:val="22"/>
          <w14:ligatures w14:val="none"/>
        </w:rPr>
      </w:pPr>
      <w:r w:rsidRPr="00C579F2">
        <w:rPr>
          <w:noProof/>
          <w:sz w:val="22"/>
          <w14:ligatures w14:val="none"/>
        </w:rPr>
        <w:t xml:space="preserve">Obeng-Odoom, F. (2016). Understanding land reform in Ghana: A critical postcolonial institutional approach. </w:t>
      </w:r>
      <w:r w:rsidRPr="00C579F2">
        <w:rPr>
          <w:i/>
          <w:iCs/>
          <w:noProof/>
          <w:sz w:val="22"/>
          <w14:ligatures w14:val="none"/>
        </w:rPr>
        <w:t>Review of Radical Political Economics, 48</w:t>
      </w:r>
      <w:r w:rsidRPr="00C579F2">
        <w:rPr>
          <w:noProof/>
          <w:sz w:val="22"/>
          <w14:ligatures w14:val="none"/>
        </w:rPr>
        <w:t xml:space="preserve">(4), 661–680. </w:t>
      </w:r>
      <w:hyperlink r:id="rId43" w:history="1">
        <w:r w:rsidRPr="00C579F2">
          <w:rPr>
            <w:rStyle w:val="Hyperlink"/>
            <w:noProof/>
            <w:sz w:val="22"/>
            <w14:ligatures w14:val="none"/>
          </w:rPr>
          <w:t>https://doi.org/10.1177/0486613415603161</w:t>
        </w:r>
      </w:hyperlink>
    </w:p>
    <w:p w14:paraId="5CE89671" w14:textId="4F1E6A80" w:rsidR="00777D1A" w:rsidRPr="00C579F2" w:rsidRDefault="00777D1A" w:rsidP="001942EC">
      <w:pPr>
        <w:pStyle w:val="ListParagraph1"/>
        <w:numPr>
          <w:ilvl w:val="0"/>
          <w:numId w:val="7"/>
        </w:numPr>
        <w:spacing w:after="891" w:line="240" w:lineRule="auto"/>
        <w:ind w:right="136"/>
        <w:jc w:val="both"/>
        <w:rPr>
          <w:sz w:val="22"/>
        </w:rPr>
      </w:pPr>
      <w:r w:rsidRPr="00C579F2">
        <w:rPr>
          <w:sz w:val="22"/>
        </w:rPr>
        <w:t xml:space="preserve">Ofori, S. C. M. (2023). </w:t>
      </w:r>
      <w:r w:rsidRPr="00C579F2">
        <w:rPr>
          <w:rStyle w:val="Emphasis"/>
          <w:rFonts w:eastAsiaTheme="majorEastAsia"/>
          <w:sz w:val="22"/>
        </w:rPr>
        <w:t xml:space="preserve">The challenge of slums in the Global South and community-led settlement planning and design under UN-HABITAT’s Participatory Slum Upgrading </w:t>
      </w:r>
      <w:proofErr w:type="spellStart"/>
      <w:r w:rsidRPr="00C579F2">
        <w:rPr>
          <w:rStyle w:val="Emphasis"/>
          <w:rFonts w:eastAsiaTheme="majorEastAsia"/>
          <w:sz w:val="22"/>
        </w:rPr>
        <w:t>Programme</w:t>
      </w:r>
      <w:proofErr w:type="spellEnd"/>
      <w:r w:rsidRPr="00C579F2">
        <w:rPr>
          <w:rStyle w:val="Emphasis"/>
          <w:rFonts w:eastAsiaTheme="majorEastAsia"/>
          <w:sz w:val="22"/>
        </w:rPr>
        <w:t xml:space="preserve"> in Ga Mashie in Accra</w:t>
      </w:r>
      <w:r w:rsidRPr="00C579F2">
        <w:rPr>
          <w:sz w:val="22"/>
        </w:rPr>
        <w:t xml:space="preserve">. Historical Research Letter, 54. </w:t>
      </w:r>
      <w:hyperlink r:id="rId44" w:history="1">
        <w:r w:rsidRPr="00C579F2">
          <w:rPr>
            <w:rStyle w:val="Hyperlink"/>
            <w:sz w:val="22"/>
          </w:rPr>
          <w:t>https://www.iiste.org</w:t>
        </w:r>
      </w:hyperlink>
    </w:p>
    <w:p w14:paraId="39EAEAF6" w14:textId="0A1B1EA1" w:rsidR="00483CDD" w:rsidRPr="00C579F2" w:rsidRDefault="00483CDD" w:rsidP="001942EC">
      <w:pPr>
        <w:pStyle w:val="ListParagraph1"/>
        <w:numPr>
          <w:ilvl w:val="0"/>
          <w:numId w:val="7"/>
        </w:numPr>
        <w:spacing w:after="891" w:line="240" w:lineRule="auto"/>
        <w:ind w:right="136"/>
        <w:jc w:val="both"/>
        <w:rPr>
          <w:sz w:val="22"/>
        </w:rPr>
      </w:pPr>
      <w:r w:rsidRPr="00C579F2">
        <w:rPr>
          <w:sz w:val="22"/>
        </w:rPr>
        <w:t xml:space="preserve">Oppong, B. E., </w:t>
      </w:r>
      <w:proofErr w:type="spellStart"/>
      <w:r w:rsidRPr="00C579F2">
        <w:rPr>
          <w:sz w:val="22"/>
        </w:rPr>
        <w:t>Asomani</w:t>
      </w:r>
      <w:proofErr w:type="spellEnd"/>
      <w:r w:rsidRPr="00C579F2">
        <w:rPr>
          <w:sz w:val="22"/>
        </w:rPr>
        <w:t xml:space="preserve">-Boateng, R., &amp; Fricano, R. J. (2020). </w:t>
      </w:r>
      <w:r w:rsidRPr="00C579F2">
        <w:rPr>
          <w:rStyle w:val="Emphasis"/>
          <w:rFonts w:eastAsiaTheme="majorEastAsia"/>
          <w:sz w:val="22"/>
        </w:rPr>
        <w:t xml:space="preserve">Accra’s Old </w:t>
      </w:r>
      <w:proofErr w:type="spellStart"/>
      <w:r w:rsidRPr="00C579F2">
        <w:rPr>
          <w:rStyle w:val="Emphasis"/>
          <w:rFonts w:eastAsiaTheme="majorEastAsia"/>
          <w:sz w:val="22"/>
        </w:rPr>
        <w:t>Fadama</w:t>
      </w:r>
      <w:proofErr w:type="spellEnd"/>
      <w:r w:rsidRPr="00C579F2">
        <w:rPr>
          <w:rStyle w:val="Emphasis"/>
          <w:rFonts w:eastAsiaTheme="majorEastAsia"/>
          <w:sz w:val="22"/>
        </w:rPr>
        <w:t>/</w:t>
      </w:r>
      <w:proofErr w:type="spellStart"/>
      <w:r w:rsidRPr="00C579F2">
        <w:rPr>
          <w:rStyle w:val="Emphasis"/>
          <w:rFonts w:eastAsiaTheme="majorEastAsia"/>
          <w:sz w:val="22"/>
        </w:rPr>
        <w:t>Agbogbloshie</w:t>
      </w:r>
      <w:proofErr w:type="spellEnd"/>
      <w:r w:rsidRPr="00C579F2">
        <w:rPr>
          <w:rStyle w:val="Emphasis"/>
          <w:rFonts w:eastAsiaTheme="majorEastAsia"/>
          <w:sz w:val="22"/>
        </w:rPr>
        <w:t xml:space="preserve"> settlement: To what extent is this slum sustainable?</w:t>
      </w:r>
      <w:r w:rsidRPr="00C579F2">
        <w:rPr>
          <w:sz w:val="22"/>
        </w:rPr>
        <w:t xml:space="preserve"> </w:t>
      </w:r>
      <w:r w:rsidRPr="00C579F2">
        <w:rPr>
          <w:rStyle w:val="Emphasis"/>
          <w:rFonts w:eastAsiaTheme="majorEastAsia"/>
          <w:sz w:val="22"/>
        </w:rPr>
        <w:t>African Geographical Review</w:t>
      </w:r>
      <w:r w:rsidRPr="00C579F2">
        <w:rPr>
          <w:sz w:val="22"/>
        </w:rPr>
        <w:t xml:space="preserve">. </w:t>
      </w:r>
      <w:hyperlink r:id="rId45" w:history="1">
        <w:r w:rsidRPr="00C579F2">
          <w:rPr>
            <w:rStyle w:val="Hyperlink"/>
            <w:sz w:val="22"/>
          </w:rPr>
          <w:t>https://www.researchgate.net</w:t>
        </w:r>
      </w:hyperlink>
    </w:p>
    <w:p w14:paraId="3E29BF05" w14:textId="58ED653E" w:rsidR="003D72F1" w:rsidRPr="00C579F2" w:rsidRDefault="003D72F1" w:rsidP="001942EC">
      <w:pPr>
        <w:pStyle w:val="ListParagraph1"/>
        <w:numPr>
          <w:ilvl w:val="0"/>
          <w:numId w:val="7"/>
        </w:numPr>
        <w:spacing w:after="891" w:line="240" w:lineRule="auto"/>
        <w:ind w:right="136"/>
        <w:jc w:val="both"/>
        <w:rPr>
          <w:sz w:val="22"/>
        </w:rPr>
      </w:pPr>
      <w:r w:rsidRPr="00C579F2">
        <w:rPr>
          <w:sz w:val="22"/>
        </w:rPr>
        <w:t xml:space="preserve">Osei Tutu, J. A. (2025). </w:t>
      </w:r>
      <w:r w:rsidRPr="00C579F2">
        <w:rPr>
          <w:rStyle w:val="Emphasis"/>
          <w:rFonts w:eastAsiaTheme="majorEastAsia"/>
          <w:sz w:val="22"/>
        </w:rPr>
        <w:t>Revalidating customary law: The new era of good title in Ghana’s Land Act</w:t>
      </w:r>
      <w:r w:rsidRPr="00C579F2">
        <w:rPr>
          <w:sz w:val="22"/>
        </w:rPr>
        <w:t xml:space="preserve">. </w:t>
      </w:r>
      <w:r w:rsidRPr="00C579F2">
        <w:rPr>
          <w:rStyle w:val="Emphasis"/>
          <w:rFonts w:eastAsiaTheme="majorEastAsia"/>
          <w:sz w:val="22"/>
        </w:rPr>
        <w:t>Ghana Law Hub</w:t>
      </w:r>
      <w:r w:rsidRPr="00C579F2">
        <w:rPr>
          <w:sz w:val="22"/>
        </w:rPr>
        <w:t xml:space="preserve">. </w:t>
      </w:r>
      <w:hyperlink r:id="rId46" w:history="1">
        <w:r w:rsidRPr="00C579F2">
          <w:rPr>
            <w:rStyle w:val="Hyperlink"/>
            <w:sz w:val="22"/>
          </w:rPr>
          <w:t>https://ghanalawhub.com</w:t>
        </w:r>
      </w:hyperlink>
      <w:r w:rsidRPr="00C579F2">
        <w:rPr>
          <w:sz w:val="22"/>
        </w:rPr>
        <w:t xml:space="preserve">   </w:t>
      </w:r>
    </w:p>
    <w:p w14:paraId="59C14835" w14:textId="01373646" w:rsidR="002F43DB" w:rsidRPr="00C579F2" w:rsidRDefault="002F43DB" w:rsidP="001942EC">
      <w:pPr>
        <w:pStyle w:val="ListParagraph1"/>
        <w:numPr>
          <w:ilvl w:val="0"/>
          <w:numId w:val="7"/>
        </w:numPr>
        <w:spacing w:after="891" w:line="240" w:lineRule="auto"/>
        <w:ind w:right="136"/>
        <w:jc w:val="both"/>
        <w:rPr>
          <w:sz w:val="22"/>
        </w:rPr>
      </w:pPr>
      <w:r w:rsidRPr="00C579F2">
        <w:rPr>
          <w:sz w:val="22"/>
        </w:rPr>
        <w:lastRenderedPageBreak/>
        <w:t xml:space="preserve">Owusu, G. (2008). Indigenes' and migrants' access to land in peri-urban areas of Accra, Ghana. </w:t>
      </w:r>
      <w:r w:rsidRPr="00C579F2">
        <w:rPr>
          <w:i/>
          <w:iCs/>
          <w:sz w:val="22"/>
        </w:rPr>
        <w:t>International Development Planning Review, 30</w:t>
      </w:r>
      <w:r w:rsidRPr="00C579F2">
        <w:rPr>
          <w:sz w:val="22"/>
        </w:rPr>
        <w:t xml:space="preserve">(2), 177–198. </w:t>
      </w:r>
      <w:hyperlink r:id="rId47" w:history="1">
        <w:r w:rsidRPr="00C579F2">
          <w:rPr>
            <w:rStyle w:val="Hyperlink"/>
            <w:sz w:val="22"/>
          </w:rPr>
          <w:t>https://doi.org/10.3828/idpr.30.2.5</w:t>
        </w:r>
      </w:hyperlink>
    </w:p>
    <w:p w14:paraId="1E6F41AC" w14:textId="78A7144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Payne, G., Durand-</w:t>
      </w:r>
      <w:proofErr w:type="spellStart"/>
      <w:r w:rsidR="00697A12" w:rsidRPr="00C579F2">
        <w:rPr>
          <w:sz w:val="22"/>
        </w:rPr>
        <w:t>Lasserve</w:t>
      </w:r>
      <w:proofErr w:type="spellEnd"/>
      <w:r w:rsidR="00697A12" w:rsidRPr="00C579F2">
        <w:rPr>
          <w:sz w:val="22"/>
        </w:rPr>
        <w:t xml:space="preserve">, A., &amp; </w:t>
      </w:r>
      <w:proofErr w:type="spellStart"/>
      <w:r w:rsidR="00697A12" w:rsidRPr="00C579F2">
        <w:rPr>
          <w:sz w:val="22"/>
        </w:rPr>
        <w:t>Rakodi</w:t>
      </w:r>
      <w:proofErr w:type="spellEnd"/>
      <w:r w:rsidR="00697A12" w:rsidRPr="00C579F2">
        <w:rPr>
          <w:sz w:val="22"/>
        </w:rPr>
        <w:t>, C. (2009</w:t>
      </w:r>
      <w:r w:rsidRPr="00C579F2">
        <w:rPr>
          <w:sz w:val="22"/>
        </w:rPr>
        <w:t xml:space="preserve">). The limits of land titling and home ownership. </w:t>
      </w:r>
      <w:r w:rsidRPr="00C579F2">
        <w:rPr>
          <w:rFonts w:eastAsiaTheme="majorEastAsia"/>
          <w:i/>
          <w:iCs/>
          <w:sz w:val="22"/>
        </w:rPr>
        <w:t>Environment and Urbanization</w:t>
      </w:r>
      <w:r w:rsidRPr="00C579F2">
        <w:rPr>
          <w:sz w:val="22"/>
        </w:rPr>
        <w:t xml:space="preserve">, 14(1), 179–192. </w:t>
      </w:r>
      <w:hyperlink r:id="rId48" w:history="1">
        <w:r w:rsidRPr="00C579F2">
          <w:rPr>
            <w:rStyle w:val="Hyperlink"/>
            <w:sz w:val="22"/>
          </w:rPr>
          <w:t>https://doi.org/10.1177/0956247809344364</w:t>
        </w:r>
      </w:hyperlink>
    </w:p>
    <w:p w14:paraId="29EF3015" w14:textId="77777777" w:rsidR="00697A12" w:rsidRPr="00C579F2" w:rsidRDefault="00697A12" w:rsidP="001942EC">
      <w:pPr>
        <w:pStyle w:val="ListParagraph1"/>
        <w:numPr>
          <w:ilvl w:val="0"/>
          <w:numId w:val="7"/>
        </w:numPr>
        <w:spacing w:after="891" w:line="240" w:lineRule="auto"/>
        <w:ind w:right="136"/>
        <w:jc w:val="both"/>
        <w:rPr>
          <w:sz w:val="22"/>
        </w:rPr>
      </w:pPr>
      <w:r w:rsidRPr="00C579F2">
        <w:rPr>
          <w:sz w:val="22"/>
        </w:rPr>
        <w:t xml:space="preserve">Quan, J., &amp; Dyer, N. (2008). </w:t>
      </w:r>
      <w:r w:rsidRPr="00C579F2">
        <w:rPr>
          <w:rStyle w:val="Emphasis"/>
          <w:rFonts w:eastAsiaTheme="majorEastAsia"/>
          <w:sz w:val="22"/>
        </w:rPr>
        <w:t>Climate change and land tenure: The implications of climate change for land tenure and land policy</w:t>
      </w:r>
      <w:r w:rsidRPr="00C579F2">
        <w:rPr>
          <w:sz w:val="22"/>
        </w:rPr>
        <w:t>. FAO Land Tenure Working Paper 2</w:t>
      </w:r>
    </w:p>
    <w:p w14:paraId="379DB457" w14:textId="11DEC318"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Quaye, B. A. (2014). </w:t>
      </w:r>
      <w:r w:rsidRPr="00C579F2">
        <w:rPr>
          <w:i/>
          <w:iCs/>
          <w:sz w:val="22"/>
        </w:rPr>
        <w:t>Formal and informal land institutions, land information deficiencies, and the development of urban land markets in Ghana</w:t>
      </w:r>
      <w:r w:rsidRPr="00C579F2">
        <w:rPr>
          <w:sz w:val="22"/>
        </w:rPr>
        <w:t xml:space="preserve"> (Master’s thesis). </w:t>
      </w:r>
      <w:hyperlink r:id="rId49" w:history="1">
        <w:r w:rsidRPr="00C579F2">
          <w:rPr>
            <w:rStyle w:val="Hyperlink"/>
            <w:sz w:val="22"/>
          </w:rPr>
          <w:t>(99+) Formal and Informal Land Institutions, Land Information Deficiencies, and the Development of Urban Land Markets in Ghana</w:t>
        </w:r>
      </w:hyperlink>
    </w:p>
    <w:p w14:paraId="381C3324"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Rakodi</w:t>
      </w:r>
      <w:proofErr w:type="spellEnd"/>
      <w:r w:rsidRPr="00C579F2">
        <w:rPr>
          <w:sz w:val="22"/>
        </w:rPr>
        <w:t xml:space="preserve">, C., &amp; Lloyd-Jones, T. (Eds.). (2002). </w:t>
      </w:r>
      <w:r w:rsidRPr="00C579F2">
        <w:rPr>
          <w:i/>
          <w:iCs/>
          <w:sz w:val="22"/>
        </w:rPr>
        <w:t>Urban livelihoods: A people-</w:t>
      </w:r>
      <w:proofErr w:type="spellStart"/>
      <w:r w:rsidRPr="00C579F2">
        <w:rPr>
          <w:i/>
          <w:iCs/>
          <w:sz w:val="22"/>
        </w:rPr>
        <w:t>centred</w:t>
      </w:r>
      <w:proofErr w:type="spellEnd"/>
      <w:r w:rsidRPr="00C579F2">
        <w:rPr>
          <w:i/>
          <w:iCs/>
          <w:sz w:val="22"/>
        </w:rPr>
        <w:t xml:space="preserve"> approach to reducing poverty</w:t>
      </w:r>
      <w:r w:rsidRPr="00C579F2">
        <w:rPr>
          <w:sz w:val="22"/>
        </w:rPr>
        <w:t xml:space="preserve">. Earthscan. </w:t>
      </w:r>
      <w:hyperlink r:id="rId50" w:history="1">
        <w:r w:rsidRPr="00C579F2">
          <w:rPr>
            <w:rStyle w:val="Hyperlink"/>
            <w:sz w:val="22"/>
          </w:rPr>
          <w:t>https://doi.org/10.4324/9781849773805</w:t>
        </w:r>
      </w:hyperlink>
    </w:p>
    <w:p w14:paraId="2CE2B522" w14:textId="77777777"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Reerink</w:t>
      </w:r>
      <w:proofErr w:type="spellEnd"/>
      <w:r w:rsidRPr="00C579F2">
        <w:rPr>
          <w:sz w:val="22"/>
        </w:rPr>
        <w:t xml:space="preserve">, G. (2011). Tenure security for Indonesia’s urban poor: A socio-legal study on land, </w:t>
      </w:r>
      <w:proofErr w:type="spellStart"/>
      <w:r w:rsidRPr="00C579F2">
        <w:rPr>
          <w:sz w:val="22"/>
        </w:rPr>
        <w:t>decentralisation</w:t>
      </w:r>
      <w:proofErr w:type="spellEnd"/>
      <w:r w:rsidRPr="00C579F2">
        <w:rPr>
          <w:sz w:val="22"/>
        </w:rPr>
        <w:t xml:space="preserve">, and the rule of law. </w:t>
      </w:r>
      <w:r w:rsidRPr="00C579F2">
        <w:rPr>
          <w:rFonts w:eastAsiaTheme="majorEastAsia"/>
          <w:i/>
          <w:iCs/>
          <w:sz w:val="22"/>
        </w:rPr>
        <w:t>Leiden University Press</w:t>
      </w:r>
      <w:r w:rsidRPr="00C579F2">
        <w:rPr>
          <w:sz w:val="22"/>
        </w:rPr>
        <w:t>.</w:t>
      </w:r>
    </w:p>
    <w:p w14:paraId="104BB704"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Songsore</w:t>
      </w:r>
      <w:proofErr w:type="spellEnd"/>
      <w:r w:rsidRPr="00C579F2">
        <w:rPr>
          <w:sz w:val="22"/>
        </w:rPr>
        <w:t xml:space="preserve">, J. (2003). </w:t>
      </w:r>
      <w:r w:rsidRPr="00C579F2">
        <w:rPr>
          <w:i/>
          <w:iCs/>
          <w:sz w:val="22"/>
        </w:rPr>
        <w:t>Towards a better understanding of urban change: Urbanization, national development and inequality in Ghana</w:t>
      </w:r>
      <w:r w:rsidRPr="00C579F2">
        <w:rPr>
          <w:sz w:val="22"/>
        </w:rPr>
        <w:t>. Accra, Ghana: Ghana Universities Press.</w:t>
      </w:r>
    </w:p>
    <w:p w14:paraId="43B8C9E1"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Stacey, P. (2019). </w:t>
      </w:r>
      <w:r w:rsidRPr="00C579F2">
        <w:rPr>
          <w:i/>
          <w:iCs/>
          <w:sz w:val="22"/>
        </w:rPr>
        <w:t>State of Slum: Precarity and Informal Governance at the Margins in Accra</w:t>
      </w:r>
      <w:r w:rsidRPr="00C579F2">
        <w:rPr>
          <w:sz w:val="22"/>
        </w:rPr>
        <w:t xml:space="preserve">. Bloomsbury Publishing. </w:t>
      </w:r>
      <w:hyperlink r:id="rId51" w:history="1">
        <w:r w:rsidRPr="00C579F2">
          <w:rPr>
            <w:rStyle w:val="Hyperlink"/>
            <w:sz w:val="22"/>
          </w:rPr>
          <w:t>https://books.google.com/books/about/State_of_Slum.html?id=Nf80EAAAQBAJ</w:t>
        </w:r>
      </w:hyperlink>
      <w:r w:rsidRPr="00C579F2">
        <w:rPr>
          <w:sz w:val="22"/>
        </w:rPr>
        <w:t xml:space="preserve">. </w:t>
      </w:r>
    </w:p>
    <w:p w14:paraId="232583C6"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Stacey, P. A., &amp; Lund, C. (2016). </w:t>
      </w:r>
      <w:r w:rsidRPr="00C579F2">
        <w:rPr>
          <w:rFonts w:eastAsiaTheme="majorEastAsia"/>
          <w:i/>
          <w:iCs/>
          <w:sz w:val="22"/>
        </w:rPr>
        <w:t>In a state of slum: Governance in an informal urban settlement in Ghana</w:t>
      </w:r>
      <w:r w:rsidRPr="00C579F2">
        <w:rPr>
          <w:sz w:val="22"/>
        </w:rPr>
        <w:t xml:space="preserve">. </w:t>
      </w:r>
      <w:r w:rsidRPr="00C579F2">
        <w:rPr>
          <w:rFonts w:eastAsiaTheme="majorEastAsia"/>
          <w:i/>
          <w:iCs/>
          <w:sz w:val="22"/>
        </w:rPr>
        <w:t>Journal of Modern African Studies</w:t>
      </w:r>
      <w:r w:rsidRPr="00C579F2">
        <w:rPr>
          <w:sz w:val="22"/>
        </w:rPr>
        <w:t xml:space="preserve">, 54(4), 591–615. </w:t>
      </w:r>
      <w:hyperlink r:id="rId52" w:history="1">
        <w:r w:rsidRPr="00C579F2">
          <w:rPr>
            <w:rStyle w:val="Hyperlink"/>
            <w:sz w:val="22"/>
          </w:rPr>
          <w:t>https://doi.org/10.1017/S0022278X16000586</w:t>
        </w:r>
      </w:hyperlink>
    </w:p>
    <w:p w14:paraId="13A2FD58" w14:textId="3D0352C4" w:rsidR="00777D1A" w:rsidRPr="00C579F2" w:rsidRDefault="00777D1A" w:rsidP="001942EC">
      <w:pPr>
        <w:pStyle w:val="ListParagraph1"/>
        <w:numPr>
          <w:ilvl w:val="0"/>
          <w:numId w:val="7"/>
        </w:numPr>
        <w:spacing w:after="891" w:line="360" w:lineRule="auto"/>
        <w:ind w:right="136"/>
        <w:jc w:val="both"/>
        <w:rPr>
          <w:sz w:val="22"/>
        </w:rPr>
      </w:pPr>
      <w:proofErr w:type="spellStart"/>
      <w:r w:rsidRPr="00C579F2">
        <w:rPr>
          <w:sz w:val="22"/>
        </w:rPr>
        <w:t>Studocu</w:t>
      </w:r>
      <w:proofErr w:type="spellEnd"/>
      <w:r w:rsidRPr="00C579F2">
        <w:rPr>
          <w:sz w:val="22"/>
        </w:rPr>
        <w:t xml:space="preserve">. (2022). </w:t>
      </w:r>
      <w:r w:rsidRPr="00C579F2">
        <w:rPr>
          <w:rStyle w:val="Emphasis"/>
          <w:rFonts w:eastAsiaTheme="majorEastAsia"/>
          <w:sz w:val="22"/>
        </w:rPr>
        <w:t>Changes in the Land Act, 2020 (Act 1036)</w:t>
      </w:r>
      <w:r w:rsidRPr="00C579F2">
        <w:rPr>
          <w:sz w:val="22"/>
        </w:rPr>
        <w:t xml:space="preserve">. </w:t>
      </w:r>
      <w:proofErr w:type="spellStart"/>
      <w:r w:rsidRPr="00C579F2">
        <w:rPr>
          <w:sz w:val="22"/>
        </w:rPr>
        <w:t>Mountcrest</w:t>
      </w:r>
      <w:proofErr w:type="spellEnd"/>
      <w:r w:rsidRPr="00C579F2">
        <w:rPr>
          <w:sz w:val="22"/>
        </w:rPr>
        <w:t xml:space="preserve"> University College. </w:t>
      </w:r>
      <w:hyperlink r:id="rId53" w:history="1">
        <w:r w:rsidRPr="00C579F2">
          <w:rPr>
            <w:rStyle w:val="Hyperlink"/>
            <w:sz w:val="22"/>
          </w:rPr>
          <w:t>https://www.studocu.com</w:t>
        </w:r>
      </w:hyperlink>
    </w:p>
    <w:p w14:paraId="713CFDE5" w14:textId="5A8AA32E"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sz w:val="22"/>
        </w:rPr>
        <w:t>Sumbo</w:t>
      </w:r>
      <w:proofErr w:type="spellEnd"/>
      <w:r w:rsidRPr="00C579F2">
        <w:rPr>
          <w:sz w:val="22"/>
        </w:rPr>
        <w:t xml:space="preserve">, D. K. (2022). Indigenes’ exclusion from neo-customary land tenure: A perspective from changes in usufruct rights in </w:t>
      </w:r>
      <w:proofErr w:type="spellStart"/>
      <w:r w:rsidRPr="00C579F2">
        <w:rPr>
          <w:sz w:val="22"/>
        </w:rPr>
        <w:t>Pramso</w:t>
      </w:r>
      <w:proofErr w:type="spellEnd"/>
      <w:r w:rsidRPr="00C579F2">
        <w:rPr>
          <w:sz w:val="22"/>
        </w:rPr>
        <w:t xml:space="preserve">, peri-urban Kumasi-Ghana. </w:t>
      </w:r>
      <w:r w:rsidRPr="00C579F2">
        <w:rPr>
          <w:rFonts w:eastAsiaTheme="majorEastAsia"/>
          <w:i/>
          <w:iCs/>
          <w:sz w:val="22"/>
        </w:rPr>
        <w:t>Land Use Policy</w:t>
      </w:r>
      <w:r w:rsidRPr="00C579F2">
        <w:rPr>
          <w:sz w:val="22"/>
        </w:rPr>
        <w:t xml:space="preserve">, 120, 106276. </w:t>
      </w:r>
      <w:hyperlink r:id="rId54" w:tgtFrame="_blank" w:tooltip="Persistent link using digital object identifier" w:history="1">
        <w:r w:rsidRPr="00C579F2">
          <w:rPr>
            <w:rStyle w:val="Hyperlink"/>
            <w:sz w:val="22"/>
          </w:rPr>
          <w:t>https://doi.org/10.1016/j.landusepol.2022.106268</w:t>
        </w:r>
      </w:hyperlink>
    </w:p>
    <w:p w14:paraId="4BE53885" w14:textId="77777777" w:rsidR="002F43DB" w:rsidRPr="00C579F2" w:rsidRDefault="002F43DB" w:rsidP="001942EC">
      <w:pPr>
        <w:pStyle w:val="ListParagraph1"/>
        <w:numPr>
          <w:ilvl w:val="0"/>
          <w:numId w:val="7"/>
        </w:numPr>
        <w:spacing w:after="891" w:line="360" w:lineRule="auto"/>
        <w:ind w:right="136"/>
        <w:jc w:val="both"/>
        <w:rPr>
          <w:sz w:val="22"/>
        </w:rPr>
      </w:pPr>
      <w:r w:rsidRPr="00C579F2">
        <w:rPr>
          <w:sz w:val="22"/>
        </w:rPr>
        <w:t xml:space="preserve">Tay, D. A., &amp; Ocansey, R. T. A. (2022). Impact of urbanization on health and well-being in Ghana: Status of research, intervention strategies and future directions—A rapid review. </w:t>
      </w:r>
      <w:r w:rsidRPr="00C579F2">
        <w:rPr>
          <w:i/>
          <w:iCs/>
          <w:sz w:val="22"/>
        </w:rPr>
        <w:t>Frontiers in Public Health, 10</w:t>
      </w:r>
      <w:r w:rsidRPr="00C579F2">
        <w:rPr>
          <w:sz w:val="22"/>
        </w:rPr>
        <w:t xml:space="preserve">, Article 877920. </w:t>
      </w:r>
      <w:hyperlink r:id="rId55" w:history="1">
        <w:r w:rsidRPr="00C579F2">
          <w:rPr>
            <w:rStyle w:val="Hyperlink"/>
            <w:sz w:val="22"/>
          </w:rPr>
          <w:t>https://doi.org/10.3389/fpubh.2022.877920</w:t>
        </w:r>
      </w:hyperlink>
    </w:p>
    <w:p w14:paraId="33B629BF" w14:textId="77777777" w:rsidR="002F43DB" w:rsidRPr="000B7120" w:rsidRDefault="002F43DB" w:rsidP="001942EC">
      <w:pPr>
        <w:pStyle w:val="ListParagraph1"/>
        <w:numPr>
          <w:ilvl w:val="0"/>
          <w:numId w:val="7"/>
        </w:numPr>
        <w:spacing w:after="891" w:line="240" w:lineRule="auto"/>
        <w:ind w:right="136"/>
        <w:jc w:val="both"/>
        <w:rPr>
          <w:sz w:val="22"/>
          <w:highlight w:val="red"/>
        </w:rPr>
      </w:pPr>
      <w:r w:rsidRPr="000B7120">
        <w:rPr>
          <w:sz w:val="22"/>
          <w:highlight w:val="red"/>
        </w:rPr>
        <w:t xml:space="preserve">Tayler, J. (2011). A decade of struggles and lessons in Old </w:t>
      </w:r>
      <w:proofErr w:type="spellStart"/>
      <w:r w:rsidRPr="000B7120">
        <w:rPr>
          <w:sz w:val="22"/>
          <w:highlight w:val="red"/>
        </w:rPr>
        <w:t>Fadama</w:t>
      </w:r>
      <w:proofErr w:type="spellEnd"/>
      <w:r w:rsidRPr="000B7120">
        <w:rPr>
          <w:sz w:val="22"/>
          <w:highlight w:val="red"/>
        </w:rPr>
        <w:t xml:space="preserve">. </w:t>
      </w:r>
      <w:r w:rsidRPr="000B7120">
        <w:rPr>
          <w:i/>
          <w:iCs/>
          <w:sz w:val="22"/>
          <w:highlight w:val="red"/>
        </w:rPr>
        <w:t>Slum Dwellers International</w:t>
      </w:r>
      <w:r w:rsidRPr="000B7120">
        <w:rPr>
          <w:sz w:val="22"/>
          <w:highlight w:val="red"/>
        </w:rPr>
        <w:t>. https://sdinet.org/2011/11/a-decade-of-struggles-and-lessons-in-old-fadama/</w:t>
      </w:r>
      <w:r w:rsidRPr="000B7120">
        <w:rPr>
          <w:b/>
          <w:bCs/>
          <w:sz w:val="22"/>
          <w:highlight w:val="red"/>
        </w:rPr>
        <w:t xml:space="preserve"> </w:t>
      </w:r>
    </w:p>
    <w:p w14:paraId="4E9E4649" w14:textId="77777777"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Toulmin, C. (2009). Securing land and property rights in sub-Saharan Africa: The role of local institutions. </w:t>
      </w:r>
      <w:r w:rsidRPr="00C579F2">
        <w:rPr>
          <w:i/>
          <w:iCs/>
          <w:sz w:val="22"/>
        </w:rPr>
        <w:t>Land Use Policy, 26</w:t>
      </w:r>
      <w:r w:rsidRPr="00C579F2">
        <w:rPr>
          <w:sz w:val="22"/>
        </w:rPr>
        <w:t xml:space="preserve">(1), 10–19. </w:t>
      </w:r>
      <w:hyperlink r:id="rId56" w:history="1">
        <w:r w:rsidRPr="00C579F2">
          <w:rPr>
            <w:rStyle w:val="Hyperlink"/>
            <w:sz w:val="22"/>
          </w:rPr>
          <w:t>https://doi.org/10.1016/j.landusepol.2008.07.006</w:t>
        </w:r>
      </w:hyperlink>
    </w:p>
    <w:p w14:paraId="212CF7F4" w14:textId="77777777" w:rsidR="002F43DB" w:rsidRPr="00C579F2" w:rsidRDefault="002F43DB" w:rsidP="001942EC">
      <w:pPr>
        <w:pStyle w:val="ListParagraph1"/>
        <w:numPr>
          <w:ilvl w:val="0"/>
          <w:numId w:val="7"/>
        </w:numPr>
        <w:spacing w:after="891" w:line="360" w:lineRule="auto"/>
        <w:ind w:right="136"/>
        <w:jc w:val="both"/>
        <w:rPr>
          <w:sz w:val="22"/>
        </w:rPr>
      </w:pPr>
      <w:proofErr w:type="spellStart"/>
      <w:r w:rsidRPr="00C579F2">
        <w:rPr>
          <w:rFonts w:eastAsiaTheme="majorEastAsia"/>
          <w:sz w:val="22"/>
        </w:rPr>
        <w:t>Ubink</w:t>
      </w:r>
      <w:proofErr w:type="spellEnd"/>
      <w:r w:rsidRPr="00C579F2">
        <w:rPr>
          <w:rFonts w:eastAsiaTheme="majorEastAsia"/>
          <w:sz w:val="22"/>
        </w:rPr>
        <w:t>, J. M.</w:t>
      </w:r>
      <w:r w:rsidRPr="00C579F2">
        <w:rPr>
          <w:sz w:val="22"/>
        </w:rPr>
        <w:t xml:space="preserve"> (2008). </w:t>
      </w:r>
      <w:r w:rsidRPr="00C579F2">
        <w:rPr>
          <w:rFonts w:eastAsiaTheme="majorEastAsia"/>
          <w:i/>
          <w:iCs/>
          <w:sz w:val="22"/>
        </w:rPr>
        <w:t>In the land of the chiefs: Customary law, land conflicts, and the role of the state in peri-urban Ghana</w:t>
      </w:r>
      <w:r w:rsidRPr="00C579F2">
        <w:rPr>
          <w:sz w:val="22"/>
        </w:rPr>
        <w:t>. Leiden University Press.</w:t>
      </w:r>
    </w:p>
    <w:p w14:paraId="55311020"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Ubink</w:t>
      </w:r>
      <w:proofErr w:type="spellEnd"/>
      <w:r w:rsidRPr="00C579F2">
        <w:rPr>
          <w:sz w:val="22"/>
        </w:rPr>
        <w:t xml:space="preserve">, J. M., Hoekema, A. J., &amp; Assies, W. (2009). </w:t>
      </w:r>
      <w:proofErr w:type="spellStart"/>
      <w:r w:rsidRPr="00C579F2">
        <w:rPr>
          <w:rFonts w:eastAsiaTheme="majorEastAsia"/>
          <w:i/>
          <w:iCs/>
          <w:sz w:val="22"/>
        </w:rPr>
        <w:t>Legalising</w:t>
      </w:r>
      <w:proofErr w:type="spellEnd"/>
      <w:r w:rsidRPr="00C579F2">
        <w:rPr>
          <w:rFonts w:eastAsiaTheme="majorEastAsia"/>
          <w:i/>
          <w:iCs/>
          <w:sz w:val="22"/>
        </w:rPr>
        <w:t xml:space="preserve"> land rights: Local practices, state responses and tenure security in Africa, Asia and Latin America</w:t>
      </w:r>
      <w:r w:rsidRPr="00C579F2">
        <w:rPr>
          <w:sz w:val="22"/>
        </w:rPr>
        <w:t>. Leiden University Press.</w:t>
      </w:r>
    </w:p>
    <w:p w14:paraId="56447636" w14:textId="15CB3DDB" w:rsidR="002F43DB" w:rsidRPr="00C579F2" w:rsidRDefault="002F43DB" w:rsidP="001942EC">
      <w:pPr>
        <w:pStyle w:val="ListParagraph1"/>
        <w:numPr>
          <w:ilvl w:val="0"/>
          <w:numId w:val="7"/>
        </w:numPr>
        <w:spacing w:after="891" w:line="240" w:lineRule="auto"/>
        <w:ind w:right="136"/>
        <w:jc w:val="both"/>
        <w:rPr>
          <w:sz w:val="22"/>
        </w:rPr>
      </w:pPr>
      <w:r w:rsidRPr="00C579F2">
        <w:rPr>
          <w:sz w:val="22"/>
        </w:rPr>
        <w:lastRenderedPageBreak/>
        <w:t xml:space="preserve">UN-Habitat. (2020). </w:t>
      </w:r>
      <w:r w:rsidRPr="00C579F2">
        <w:rPr>
          <w:rFonts w:eastAsiaTheme="majorEastAsia"/>
          <w:i/>
          <w:iCs/>
          <w:sz w:val="22"/>
        </w:rPr>
        <w:t>Security of tenure: Key messages for participatory city-wide slum upgrading</w:t>
      </w:r>
      <w:r w:rsidRPr="00C579F2">
        <w:rPr>
          <w:sz w:val="22"/>
        </w:rPr>
        <w:t xml:space="preserve">. UN-Habitat. </w:t>
      </w:r>
      <w:hyperlink r:id="rId57" w:history="1">
        <w:r w:rsidRPr="00C579F2">
          <w:rPr>
            <w:rStyle w:val="Hyperlink"/>
            <w:sz w:val="22"/>
          </w:rPr>
          <w:t>https://unhabitat.org/sites/default/files/download-manager-files/KM06_Security%20of%20tenure.pdf</w:t>
        </w:r>
      </w:hyperlink>
    </w:p>
    <w:p w14:paraId="66741005" w14:textId="00C8A2EC" w:rsidR="00C579F2" w:rsidRPr="00C579F2" w:rsidRDefault="00C579F2" w:rsidP="001942EC">
      <w:pPr>
        <w:pStyle w:val="ListParagraph1"/>
        <w:numPr>
          <w:ilvl w:val="0"/>
          <w:numId w:val="7"/>
        </w:numPr>
        <w:spacing w:after="891" w:line="240" w:lineRule="auto"/>
        <w:ind w:right="136"/>
        <w:jc w:val="both"/>
        <w:rPr>
          <w:sz w:val="22"/>
        </w:rPr>
      </w:pPr>
      <w:r w:rsidRPr="00C579F2">
        <w:rPr>
          <w:sz w:val="22"/>
        </w:rPr>
        <w:t xml:space="preserve">United Nations Human Settlements </w:t>
      </w:r>
      <w:proofErr w:type="spellStart"/>
      <w:r w:rsidRPr="00C579F2">
        <w:rPr>
          <w:sz w:val="22"/>
        </w:rPr>
        <w:t>Programme</w:t>
      </w:r>
      <w:proofErr w:type="spellEnd"/>
      <w:r w:rsidRPr="00C579F2">
        <w:rPr>
          <w:sz w:val="22"/>
        </w:rPr>
        <w:t xml:space="preserve"> (UN-Habitat). (2022). </w:t>
      </w:r>
      <w:r w:rsidRPr="00C579F2">
        <w:rPr>
          <w:rStyle w:val="Emphasis"/>
          <w:rFonts w:eastAsiaTheme="majorEastAsia"/>
          <w:sz w:val="22"/>
        </w:rPr>
        <w:t>Annual Report 2022</w:t>
      </w:r>
      <w:r w:rsidRPr="00C579F2">
        <w:rPr>
          <w:sz w:val="22"/>
        </w:rPr>
        <w:t xml:space="preserve">. Nairobi: UN-Habitat. </w:t>
      </w:r>
      <w:hyperlink r:id="rId58" w:history="1">
        <w:r w:rsidRPr="00C579F2">
          <w:rPr>
            <w:rStyle w:val="Hyperlink"/>
            <w:sz w:val="22"/>
          </w:rPr>
          <w:t>https://unhabitat.org/annual-report-2022</w:t>
        </w:r>
      </w:hyperlink>
      <w:r w:rsidRPr="00C579F2">
        <w:rPr>
          <w:color w:val="272320"/>
          <w:sz w:val="22"/>
        </w:rPr>
        <w:t xml:space="preserve">. </w:t>
      </w:r>
    </w:p>
    <w:p w14:paraId="61D6C536" w14:textId="14A704E9" w:rsidR="002F43DB" w:rsidRPr="00C579F2" w:rsidRDefault="002F43DB" w:rsidP="001942EC">
      <w:pPr>
        <w:pStyle w:val="ListParagraph1"/>
        <w:numPr>
          <w:ilvl w:val="0"/>
          <w:numId w:val="7"/>
        </w:numPr>
        <w:spacing w:after="891" w:line="240" w:lineRule="auto"/>
        <w:ind w:right="136"/>
        <w:jc w:val="both"/>
        <w:rPr>
          <w:sz w:val="22"/>
        </w:rPr>
      </w:pPr>
      <w:r w:rsidRPr="00C579F2">
        <w:rPr>
          <w:sz w:val="22"/>
        </w:rPr>
        <w:t xml:space="preserve">UN-Habitat. (2016). </w:t>
      </w:r>
      <w:r w:rsidRPr="00C579F2">
        <w:rPr>
          <w:i/>
          <w:iCs/>
          <w:sz w:val="22"/>
        </w:rPr>
        <w:t>Slum Almanac 2015/2016: Tracking improvement in the lives of slum dwellers</w:t>
      </w:r>
      <w:r w:rsidRPr="00C579F2">
        <w:rPr>
          <w:sz w:val="22"/>
        </w:rPr>
        <w:t xml:space="preserve">. Nairobi, Kenya: United Nations Human Settlements </w:t>
      </w:r>
      <w:proofErr w:type="spellStart"/>
      <w:r w:rsidRPr="00C579F2">
        <w:rPr>
          <w:sz w:val="22"/>
        </w:rPr>
        <w:t>Programme</w:t>
      </w:r>
      <w:proofErr w:type="spellEnd"/>
      <w:r w:rsidRPr="00C579F2">
        <w:rPr>
          <w:sz w:val="22"/>
        </w:rPr>
        <w:t xml:space="preserve"> (UN-Habitat). Available from UN-Habitat</w:t>
      </w:r>
    </w:p>
    <w:p w14:paraId="0758A0F5" w14:textId="77777777" w:rsidR="002F43DB" w:rsidRPr="00C579F2" w:rsidRDefault="002F43DB" w:rsidP="001942EC">
      <w:pPr>
        <w:pStyle w:val="ListParagraph1"/>
        <w:numPr>
          <w:ilvl w:val="0"/>
          <w:numId w:val="7"/>
        </w:numPr>
        <w:spacing w:after="891" w:line="240" w:lineRule="auto"/>
        <w:ind w:right="136"/>
        <w:jc w:val="both"/>
        <w:rPr>
          <w:sz w:val="22"/>
        </w:rPr>
      </w:pPr>
      <w:proofErr w:type="spellStart"/>
      <w:r w:rsidRPr="00C579F2">
        <w:rPr>
          <w:sz w:val="22"/>
        </w:rPr>
        <w:t>Wabineno-Oryema</w:t>
      </w:r>
      <w:proofErr w:type="spellEnd"/>
      <w:r w:rsidRPr="00C579F2">
        <w:rPr>
          <w:sz w:val="22"/>
        </w:rPr>
        <w:t xml:space="preserve">, L. M. (2020). The role of the Social Tenure Domain Model in strengthening land tenure security in informal settlements of Uganda. In E. N. Chigbu (Ed.), </w:t>
      </w:r>
      <w:r w:rsidRPr="00C579F2">
        <w:rPr>
          <w:i/>
          <w:iCs/>
          <w:sz w:val="22"/>
        </w:rPr>
        <w:t>Responsible and smart land management interventions</w:t>
      </w:r>
      <w:r w:rsidRPr="00C579F2">
        <w:rPr>
          <w:sz w:val="22"/>
        </w:rPr>
        <w:t xml:space="preserve"> (pp. 185–194). CRC Press. </w:t>
      </w:r>
      <w:hyperlink r:id="rId59" w:history="1">
        <w:r w:rsidRPr="00C579F2">
          <w:rPr>
            <w:rStyle w:val="Hyperlink"/>
            <w:sz w:val="22"/>
          </w:rPr>
          <w:t>https://doi.org/10.1201/9781003021636-18</w:t>
        </w:r>
      </w:hyperlink>
    </w:p>
    <w:p w14:paraId="3410CCC3" w14:textId="68B164C9" w:rsidR="00C579F2" w:rsidRPr="00C579F2" w:rsidRDefault="00C579F2" w:rsidP="00C579F2">
      <w:pPr>
        <w:pStyle w:val="ListParagraph1"/>
        <w:numPr>
          <w:ilvl w:val="0"/>
          <w:numId w:val="7"/>
        </w:numPr>
        <w:spacing w:after="891" w:line="240" w:lineRule="auto"/>
        <w:ind w:right="136"/>
        <w:jc w:val="both"/>
        <w:rPr>
          <w:sz w:val="22"/>
        </w:rPr>
      </w:pPr>
      <w:r w:rsidRPr="00C579F2">
        <w:rPr>
          <w:sz w:val="22"/>
        </w:rPr>
        <w:t xml:space="preserve">World Bank. (2021). </w:t>
      </w:r>
      <w:r w:rsidRPr="00C579F2">
        <w:rPr>
          <w:rStyle w:val="Emphasis"/>
          <w:rFonts w:eastAsiaTheme="majorEastAsia"/>
          <w:sz w:val="22"/>
        </w:rPr>
        <w:t>Population living in slums (% of urban population) – Sub-Saharan Africa</w:t>
      </w:r>
      <w:r w:rsidRPr="00C579F2">
        <w:rPr>
          <w:sz w:val="22"/>
        </w:rPr>
        <w:t xml:space="preserve">. Urban Indicators Database, UN-Habitat. </w:t>
      </w:r>
      <w:hyperlink r:id="rId60" w:history="1">
        <w:r w:rsidRPr="00C579F2">
          <w:rPr>
            <w:rStyle w:val="Hyperlink"/>
            <w:sz w:val="22"/>
          </w:rPr>
          <w:t>https://data.worldbank.org/indicator/EN.POP.SLUM.UR.ZS?locations=ZG</w:t>
        </w:r>
      </w:hyperlink>
    </w:p>
    <w:p w14:paraId="62E0B53C" w14:textId="68D2BCA3" w:rsidR="002F43DB" w:rsidRPr="00C579F2" w:rsidRDefault="00C579F2" w:rsidP="00C579F2">
      <w:pPr>
        <w:pStyle w:val="ListParagraph1"/>
        <w:numPr>
          <w:ilvl w:val="0"/>
          <w:numId w:val="7"/>
        </w:numPr>
        <w:spacing w:after="891" w:line="240" w:lineRule="auto"/>
        <w:ind w:right="136"/>
        <w:jc w:val="both"/>
        <w:rPr>
          <w:sz w:val="22"/>
        </w:rPr>
      </w:pPr>
      <w:r w:rsidRPr="00C579F2">
        <w:rPr>
          <w:sz w:val="22"/>
        </w:rPr>
        <w:t xml:space="preserve">Yeboah, M. O., &amp; Owusu, R. D. (2022). </w:t>
      </w:r>
      <w:r w:rsidRPr="00C579F2">
        <w:rPr>
          <w:rStyle w:val="Emphasis"/>
          <w:rFonts w:eastAsiaTheme="majorEastAsia"/>
          <w:sz w:val="22"/>
        </w:rPr>
        <w:t>Assessing the Effects of Land Registration on Tenure Security in Kumasi, Ghana</w:t>
      </w:r>
      <w:r w:rsidRPr="00C579F2">
        <w:rPr>
          <w:sz w:val="22"/>
        </w:rPr>
        <w:t xml:space="preserve">. </w:t>
      </w:r>
      <w:r w:rsidRPr="00C579F2">
        <w:rPr>
          <w:rStyle w:val="Emphasis"/>
          <w:rFonts w:eastAsiaTheme="majorEastAsia"/>
          <w:sz w:val="22"/>
        </w:rPr>
        <w:t>Asian Journal of Research in Climate and Sustainability</w:t>
      </w:r>
      <w:r w:rsidRPr="00C579F2">
        <w:rPr>
          <w:sz w:val="22"/>
        </w:rPr>
        <w:t xml:space="preserve">, Volume 25, Issue 8. </w:t>
      </w:r>
      <w:hyperlink r:id="rId61" w:history="1">
        <w:r w:rsidRPr="00C579F2">
          <w:rPr>
            <w:rStyle w:val="Hyperlink"/>
            <w:sz w:val="22"/>
          </w:rPr>
          <w:t>https://journalacri.com/index.php/ACRI/article/view/1412</w:t>
        </w:r>
      </w:hyperlink>
      <w:r w:rsidRPr="00C579F2">
        <w:rPr>
          <w:color w:val="272320"/>
          <w:sz w:val="22"/>
        </w:rPr>
        <w:t xml:space="preserve">. </w:t>
      </w:r>
    </w:p>
    <w:sectPr w:rsidR="002F43DB" w:rsidRPr="00C579F2">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0340F" w14:textId="77777777" w:rsidR="0021387E" w:rsidRDefault="0021387E" w:rsidP="000D5C6D">
      <w:pPr>
        <w:spacing w:after="0" w:line="240" w:lineRule="auto"/>
      </w:pPr>
      <w:r>
        <w:separator/>
      </w:r>
    </w:p>
  </w:endnote>
  <w:endnote w:type="continuationSeparator" w:id="0">
    <w:p w14:paraId="3701733D" w14:textId="77777777" w:rsidR="0021387E" w:rsidRDefault="0021387E" w:rsidP="000D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3006" w14:textId="77777777" w:rsidR="00B74758" w:rsidRDefault="00B74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C062" w14:textId="77777777" w:rsidR="00B74758" w:rsidRDefault="00B74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A5DA" w14:textId="77777777" w:rsidR="00B74758" w:rsidRDefault="00B74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2EF2" w14:textId="77777777" w:rsidR="0021387E" w:rsidRDefault="0021387E" w:rsidP="000D5C6D">
      <w:pPr>
        <w:spacing w:after="0" w:line="240" w:lineRule="auto"/>
      </w:pPr>
      <w:r>
        <w:separator/>
      </w:r>
    </w:p>
  </w:footnote>
  <w:footnote w:type="continuationSeparator" w:id="0">
    <w:p w14:paraId="7E0FD0CB" w14:textId="77777777" w:rsidR="0021387E" w:rsidRDefault="0021387E" w:rsidP="000D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5AA5" w14:textId="47A493A7" w:rsidR="00B74758" w:rsidRDefault="009D30FB">
    <w:pPr>
      <w:pStyle w:val="Header"/>
    </w:pPr>
    <w:r>
      <w:rPr>
        <w:noProof/>
      </w:rPr>
      <w:pict w14:anchorId="39B09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4C54" w14:textId="6FB802EB" w:rsidR="00B74758" w:rsidRDefault="009D30FB">
    <w:pPr>
      <w:pStyle w:val="Header"/>
    </w:pPr>
    <w:r>
      <w:rPr>
        <w:noProof/>
      </w:rPr>
      <w:pict w14:anchorId="755C4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63C9" w14:textId="7C05538E" w:rsidR="00B74758" w:rsidRDefault="009D30FB">
    <w:pPr>
      <w:pStyle w:val="Header"/>
    </w:pPr>
    <w:r>
      <w:rPr>
        <w:noProof/>
      </w:rPr>
      <w:pict w14:anchorId="0AB9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477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343"/>
    <w:multiLevelType w:val="hybridMultilevel"/>
    <w:tmpl w:val="0B10C2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D4AAE"/>
    <w:multiLevelType w:val="multilevel"/>
    <w:tmpl w:val="736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80F"/>
    <w:multiLevelType w:val="multilevel"/>
    <w:tmpl w:val="C92A0BE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color w:val="000000" w:themeColor="text1"/>
        <w:sz w:val="24"/>
        <w:szCs w:val="24"/>
      </w:rPr>
    </w:lvl>
    <w:lvl w:ilvl="2">
      <w:start w:val="1"/>
      <w:numFmt w:val="decimal"/>
      <w:lvlText w:val="%1.%2.%3"/>
      <w:lvlJc w:val="left"/>
      <w:pPr>
        <w:ind w:left="720" w:hanging="720"/>
      </w:pPr>
      <w:rPr>
        <w:rFonts w:ascii="Times New Roman" w:hAnsi="Times New Roman" w:cs="Times New Roman"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95658"/>
    <w:multiLevelType w:val="hybridMultilevel"/>
    <w:tmpl w:val="823CC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92729B"/>
    <w:multiLevelType w:val="multilevel"/>
    <w:tmpl w:val="290C22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A6D0705"/>
    <w:multiLevelType w:val="multilevel"/>
    <w:tmpl w:val="D75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64BC8"/>
    <w:multiLevelType w:val="multilevel"/>
    <w:tmpl w:val="0098197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AF78E0"/>
    <w:multiLevelType w:val="hybridMultilevel"/>
    <w:tmpl w:val="F8045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7"/>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20"/>
    <w:rsid w:val="00004CD5"/>
    <w:rsid w:val="0000703D"/>
    <w:rsid w:val="00016AB6"/>
    <w:rsid w:val="00042D49"/>
    <w:rsid w:val="00050DB1"/>
    <w:rsid w:val="00064A62"/>
    <w:rsid w:val="00071EBB"/>
    <w:rsid w:val="00091194"/>
    <w:rsid w:val="00095155"/>
    <w:rsid w:val="000B7120"/>
    <w:rsid w:val="000C7320"/>
    <w:rsid w:val="000D1EFA"/>
    <w:rsid w:val="000D5C6D"/>
    <w:rsid w:val="00105166"/>
    <w:rsid w:val="00106A09"/>
    <w:rsid w:val="0012337D"/>
    <w:rsid w:val="00135981"/>
    <w:rsid w:val="001544B4"/>
    <w:rsid w:val="00177E02"/>
    <w:rsid w:val="001942EC"/>
    <w:rsid w:val="001A1169"/>
    <w:rsid w:val="001A34FB"/>
    <w:rsid w:val="001C7635"/>
    <w:rsid w:val="001D45E6"/>
    <w:rsid w:val="001E602D"/>
    <w:rsid w:val="001E6140"/>
    <w:rsid w:val="001E7F28"/>
    <w:rsid w:val="0021387E"/>
    <w:rsid w:val="002149D0"/>
    <w:rsid w:val="00215FF5"/>
    <w:rsid w:val="00217C9F"/>
    <w:rsid w:val="00234B55"/>
    <w:rsid w:val="00262D97"/>
    <w:rsid w:val="00263B76"/>
    <w:rsid w:val="00264957"/>
    <w:rsid w:val="00271E0A"/>
    <w:rsid w:val="00286D2B"/>
    <w:rsid w:val="00296645"/>
    <w:rsid w:val="002B0EA6"/>
    <w:rsid w:val="002C1759"/>
    <w:rsid w:val="002D4B18"/>
    <w:rsid w:val="002F0758"/>
    <w:rsid w:val="002F43DB"/>
    <w:rsid w:val="00342193"/>
    <w:rsid w:val="00355708"/>
    <w:rsid w:val="003872E0"/>
    <w:rsid w:val="003960A2"/>
    <w:rsid w:val="003B47EA"/>
    <w:rsid w:val="003D72F1"/>
    <w:rsid w:val="003E2DBD"/>
    <w:rsid w:val="00405C77"/>
    <w:rsid w:val="0041757D"/>
    <w:rsid w:val="00420C13"/>
    <w:rsid w:val="00421363"/>
    <w:rsid w:val="00441632"/>
    <w:rsid w:val="00445C8D"/>
    <w:rsid w:val="004526E4"/>
    <w:rsid w:val="004746A7"/>
    <w:rsid w:val="0047566F"/>
    <w:rsid w:val="00480C85"/>
    <w:rsid w:val="00483CDD"/>
    <w:rsid w:val="004844F9"/>
    <w:rsid w:val="00490555"/>
    <w:rsid w:val="00497E26"/>
    <w:rsid w:val="004A5B61"/>
    <w:rsid w:val="004A60DC"/>
    <w:rsid w:val="004B5018"/>
    <w:rsid w:val="004C6EF3"/>
    <w:rsid w:val="004F4CFF"/>
    <w:rsid w:val="00500E09"/>
    <w:rsid w:val="00514AB8"/>
    <w:rsid w:val="00520258"/>
    <w:rsid w:val="00525EF8"/>
    <w:rsid w:val="00543C33"/>
    <w:rsid w:val="00547E9C"/>
    <w:rsid w:val="00596B34"/>
    <w:rsid w:val="005A406A"/>
    <w:rsid w:val="005B44A5"/>
    <w:rsid w:val="005C6F82"/>
    <w:rsid w:val="005D0E3B"/>
    <w:rsid w:val="005E0FBB"/>
    <w:rsid w:val="005E3B3F"/>
    <w:rsid w:val="005E7628"/>
    <w:rsid w:val="006047BA"/>
    <w:rsid w:val="006102F8"/>
    <w:rsid w:val="006329CF"/>
    <w:rsid w:val="00655A89"/>
    <w:rsid w:val="006745E1"/>
    <w:rsid w:val="00674CC6"/>
    <w:rsid w:val="00692958"/>
    <w:rsid w:val="00697A12"/>
    <w:rsid w:val="006E456C"/>
    <w:rsid w:val="006F098B"/>
    <w:rsid w:val="00707F3B"/>
    <w:rsid w:val="00717D68"/>
    <w:rsid w:val="00725CC4"/>
    <w:rsid w:val="00727802"/>
    <w:rsid w:val="0075435E"/>
    <w:rsid w:val="007558AF"/>
    <w:rsid w:val="00756C38"/>
    <w:rsid w:val="007572AA"/>
    <w:rsid w:val="007629C3"/>
    <w:rsid w:val="00777D1A"/>
    <w:rsid w:val="00795087"/>
    <w:rsid w:val="007C1A79"/>
    <w:rsid w:val="007C6338"/>
    <w:rsid w:val="007D0465"/>
    <w:rsid w:val="007D5CDC"/>
    <w:rsid w:val="00815C84"/>
    <w:rsid w:val="00826746"/>
    <w:rsid w:val="00843B07"/>
    <w:rsid w:val="00845AE1"/>
    <w:rsid w:val="00863E3E"/>
    <w:rsid w:val="0087695C"/>
    <w:rsid w:val="0088138F"/>
    <w:rsid w:val="00881D3F"/>
    <w:rsid w:val="00882F7D"/>
    <w:rsid w:val="00892609"/>
    <w:rsid w:val="008A0927"/>
    <w:rsid w:val="008C6895"/>
    <w:rsid w:val="008E4BE0"/>
    <w:rsid w:val="008E7869"/>
    <w:rsid w:val="00911DDD"/>
    <w:rsid w:val="00920352"/>
    <w:rsid w:val="009446E9"/>
    <w:rsid w:val="00946F64"/>
    <w:rsid w:val="009B27DC"/>
    <w:rsid w:val="009C04BA"/>
    <w:rsid w:val="009C2A41"/>
    <w:rsid w:val="009C4F53"/>
    <w:rsid w:val="009D30FB"/>
    <w:rsid w:val="009E257D"/>
    <w:rsid w:val="00A11057"/>
    <w:rsid w:val="00A43494"/>
    <w:rsid w:val="00A62B56"/>
    <w:rsid w:val="00A75E1C"/>
    <w:rsid w:val="00A856DC"/>
    <w:rsid w:val="00A86339"/>
    <w:rsid w:val="00AA5E83"/>
    <w:rsid w:val="00AC6490"/>
    <w:rsid w:val="00AE6BB9"/>
    <w:rsid w:val="00B0150A"/>
    <w:rsid w:val="00B06B80"/>
    <w:rsid w:val="00B454AF"/>
    <w:rsid w:val="00B5204D"/>
    <w:rsid w:val="00B74758"/>
    <w:rsid w:val="00B94243"/>
    <w:rsid w:val="00BA1770"/>
    <w:rsid w:val="00BA2B12"/>
    <w:rsid w:val="00BA6D98"/>
    <w:rsid w:val="00BD5010"/>
    <w:rsid w:val="00BF271D"/>
    <w:rsid w:val="00C17CD9"/>
    <w:rsid w:val="00C21ECA"/>
    <w:rsid w:val="00C27BFB"/>
    <w:rsid w:val="00C579F2"/>
    <w:rsid w:val="00C82EF4"/>
    <w:rsid w:val="00C85594"/>
    <w:rsid w:val="00C87382"/>
    <w:rsid w:val="00CC586F"/>
    <w:rsid w:val="00CD0BB5"/>
    <w:rsid w:val="00CD5230"/>
    <w:rsid w:val="00CE692C"/>
    <w:rsid w:val="00D10BFC"/>
    <w:rsid w:val="00D14BFC"/>
    <w:rsid w:val="00D4351B"/>
    <w:rsid w:val="00D57060"/>
    <w:rsid w:val="00D65473"/>
    <w:rsid w:val="00D66E7A"/>
    <w:rsid w:val="00D76BA0"/>
    <w:rsid w:val="00D8108B"/>
    <w:rsid w:val="00D9410B"/>
    <w:rsid w:val="00DA3A41"/>
    <w:rsid w:val="00DA760A"/>
    <w:rsid w:val="00DB0936"/>
    <w:rsid w:val="00DB65F4"/>
    <w:rsid w:val="00DC24E9"/>
    <w:rsid w:val="00DC6013"/>
    <w:rsid w:val="00DD76C9"/>
    <w:rsid w:val="00E15D14"/>
    <w:rsid w:val="00E24FDA"/>
    <w:rsid w:val="00E30351"/>
    <w:rsid w:val="00E55EAB"/>
    <w:rsid w:val="00E6767C"/>
    <w:rsid w:val="00E81BF9"/>
    <w:rsid w:val="00E97725"/>
    <w:rsid w:val="00EB00A3"/>
    <w:rsid w:val="00EB0E4F"/>
    <w:rsid w:val="00EB5C40"/>
    <w:rsid w:val="00EC55D0"/>
    <w:rsid w:val="00ED1388"/>
    <w:rsid w:val="00ED1B5B"/>
    <w:rsid w:val="00EE164F"/>
    <w:rsid w:val="00F55C4F"/>
    <w:rsid w:val="00F56E8A"/>
    <w:rsid w:val="00F62971"/>
    <w:rsid w:val="00F842E4"/>
    <w:rsid w:val="00FA063D"/>
    <w:rsid w:val="00FB3E11"/>
    <w:rsid w:val="00FC52D6"/>
    <w:rsid w:val="00FF1CC5"/>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A71973"/>
  <w15:chartTrackingRefBased/>
  <w15:docId w15:val="{6AC8108B-B202-43BB-93D8-30ED6F7E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CFF"/>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0C7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7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7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7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7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320"/>
    <w:rPr>
      <w:rFonts w:eastAsiaTheme="majorEastAsia" w:cstheme="majorBidi"/>
      <w:color w:val="272727" w:themeColor="text1" w:themeTint="D8"/>
    </w:rPr>
  </w:style>
  <w:style w:type="paragraph" w:styleId="Title">
    <w:name w:val="Title"/>
    <w:basedOn w:val="Normal"/>
    <w:next w:val="Normal"/>
    <w:link w:val="TitleChar"/>
    <w:uiPriority w:val="10"/>
    <w:qFormat/>
    <w:rsid w:val="000C7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320"/>
    <w:pPr>
      <w:spacing w:before="160"/>
      <w:jc w:val="center"/>
    </w:pPr>
    <w:rPr>
      <w:i/>
      <w:iCs/>
      <w:color w:val="404040" w:themeColor="text1" w:themeTint="BF"/>
    </w:rPr>
  </w:style>
  <w:style w:type="character" w:customStyle="1" w:styleId="QuoteChar">
    <w:name w:val="Quote Char"/>
    <w:basedOn w:val="DefaultParagraphFont"/>
    <w:link w:val="Quote"/>
    <w:uiPriority w:val="29"/>
    <w:rsid w:val="000C7320"/>
    <w:rPr>
      <w:i/>
      <w:iCs/>
      <w:color w:val="404040" w:themeColor="text1" w:themeTint="BF"/>
    </w:rPr>
  </w:style>
  <w:style w:type="paragraph" w:styleId="ListParagraph">
    <w:name w:val="List Paragraph"/>
    <w:basedOn w:val="Normal"/>
    <w:uiPriority w:val="34"/>
    <w:qFormat/>
    <w:rsid w:val="000C7320"/>
    <w:pPr>
      <w:ind w:left="720"/>
      <w:contextualSpacing/>
    </w:pPr>
  </w:style>
  <w:style w:type="character" w:styleId="IntenseEmphasis">
    <w:name w:val="Intense Emphasis"/>
    <w:basedOn w:val="DefaultParagraphFont"/>
    <w:uiPriority w:val="21"/>
    <w:qFormat/>
    <w:rsid w:val="000C7320"/>
    <w:rPr>
      <w:i/>
      <w:iCs/>
      <w:color w:val="2F5496" w:themeColor="accent1" w:themeShade="BF"/>
    </w:rPr>
  </w:style>
  <w:style w:type="paragraph" w:styleId="IntenseQuote">
    <w:name w:val="Intense Quote"/>
    <w:basedOn w:val="Normal"/>
    <w:next w:val="Normal"/>
    <w:link w:val="IntenseQuoteChar"/>
    <w:uiPriority w:val="30"/>
    <w:qFormat/>
    <w:rsid w:val="000C7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320"/>
    <w:rPr>
      <w:i/>
      <w:iCs/>
      <w:color w:val="2F5496" w:themeColor="accent1" w:themeShade="BF"/>
    </w:rPr>
  </w:style>
  <w:style w:type="character" w:styleId="IntenseReference">
    <w:name w:val="Intense Reference"/>
    <w:basedOn w:val="DefaultParagraphFont"/>
    <w:uiPriority w:val="32"/>
    <w:qFormat/>
    <w:rsid w:val="000C7320"/>
    <w:rPr>
      <w:b/>
      <w:bCs/>
      <w:smallCaps/>
      <w:color w:val="2F5496" w:themeColor="accent1" w:themeShade="BF"/>
      <w:spacing w:val="5"/>
    </w:rPr>
  </w:style>
  <w:style w:type="table" w:styleId="PlainTable2">
    <w:name w:val="Plain Table 2"/>
    <w:basedOn w:val="TableNormal"/>
    <w:uiPriority w:val="42"/>
    <w:rsid w:val="000C7320"/>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7629C3"/>
    <w:pPr>
      <w:spacing w:before="100" w:beforeAutospacing="1" w:after="100" w:afterAutospacing="1" w:line="240" w:lineRule="auto"/>
    </w:pPr>
    <w:rPr>
      <w:rFonts w:ascii="Times New Roman" w:eastAsia="Times New Roman" w:hAnsi="Times New Roman" w:cs="Times New Roman"/>
      <w:kern w:val="0"/>
      <w:sz w:val="24"/>
      <w:szCs w:val="24"/>
      <w:lang w:eastAsia="zh-TW"/>
      <w14:ligatures w14:val="none"/>
    </w:rPr>
  </w:style>
  <w:style w:type="character" w:styleId="Emphasis">
    <w:name w:val="Emphasis"/>
    <w:basedOn w:val="DefaultParagraphFont"/>
    <w:uiPriority w:val="20"/>
    <w:qFormat/>
    <w:rsid w:val="007629C3"/>
    <w:rPr>
      <w:i/>
      <w:iCs/>
    </w:rPr>
  </w:style>
  <w:style w:type="character" w:styleId="Hyperlink">
    <w:name w:val="Hyperlink"/>
    <w:basedOn w:val="DefaultParagraphFont"/>
    <w:uiPriority w:val="99"/>
    <w:unhideWhenUsed/>
    <w:rsid w:val="00596B34"/>
    <w:rPr>
      <w:color w:val="0563C1" w:themeColor="hyperlink"/>
      <w:u w:val="single"/>
    </w:rPr>
  </w:style>
  <w:style w:type="paragraph" w:customStyle="1" w:styleId="ListParagraph1">
    <w:name w:val="List Paragraph1"/>
    <w:basedOn w:val="Normal"/>
    <w:uiPriority w:val="34"/>
    <w:qFormat/>
    <w:rsid w:val="00596B34"/>
    <w:pPr>
      <w:spacing w:after="234" w:line="264" w:lineRule="auto"/>
      <w:ind w:left="720" w:right="67" w:hanging="10"/>
      <w:contextualSpacing/>
    </w:pPr>
    <w:rPr>
      <w:rFonts w:ascii="Times New Roman" w:eastAsia="Times New Roman" w:hAnsi="Times New Roman" w:cs="Times New Roman"/>
      <w:color w:val="000008"/>
      <w:kern w:val="0"/>
      <w:sz w:val="24"/>
    </w:rPr>
  </w:style>
  <w:style w:type="character" w:customStyle="1" w:styleId="UnresolvedMention1">
    <w:name w:val="Unresolved Mention1"/>
    <w:basedOn w:val="DefaultParagraphFont"/>
    <w:uiPriority w:val="99"/>
    <w:semiHidden/>
    <w:unhideWhenUsed/>
    <w:rsid w:val="006E456C"/>
    <w:rPr>
      <w:color w:val="605E5C"/>
      <w:shd w:val="clear" w:color="auto" w:fill="E1DFDD"/>
    </w:rPr>
  </w:style>
  <w:style w:type="character" w:styleId="CommentReference">
    <w:name w:val="annotation reference"/>
    <w:basedOn w:val="DefaultParagraphFont"/>
    <w:uiPriority w:val="99"/>
    <w:semiHidden/>
    <w:unhideWhenUsed/>
    <w:rsid w:val="00135981"/>
    <w:rPr>
      <w:sz w:val="16"/>
      <w:szCs w:val="16"/>
    </w:rPr>
  </w:style>
  <w:style w:type="paragraph" w:styleId="CommentText">
    <w:name w:val="annotation text"/>
    <w:basedOn w:val="Normal"/>
    <w:link w:val="CommentTextChar"/>
    <w:uiPriority w:val="99"/>
    <w:semiHidden/>
    <w:unhideWhenUsed/>
    <w:rsid w:val="00135981"/>
    <w:pPr>
      <w:spacing w:line="240" w:lineRule="auto"/>
    </w:pPr>
    <w:rPr>
      <w:sz w:val="20"/>
      <w:szCs w:val="20"/>
    </w:rPr>
  </w:style>
  <w:style w:type="character" w:customStyle="1" w:styleId="CommentTextChar">
    <w:name w:val="Comment Text Char"/>
    <w:basedOn w:val="DefaultParagraphFont"/>
    <w:link w:val="CommentText"/>
    <w:uiPriority w:val="99"/>
    <w:semiHidden/>
    <w:rsid w:val="00135981"/>
    <w:rPr>
      <w:rFonts w:eastAsiaTheme="minorHAnsi"/>
      <w:sz w:val="20"/>
      <w:szCs w:val="20"/>
      <w:lang w:eastAsia="en-US"/>
    </w:rPr>
  </w:style>
  <w:style w:type="character" w:styleId="FollowedHyperlink">
    <w:name w:val="FollowedHyperlink"/>
    <w:basedOn w:val="DefaultParagraphFont"/>
    <w:uiPriority w:val="99"/>
    <w:semiHidden/>
    <w:unhideWhenUsed/>
    <w:rsid w:val="00717D68"/>
    <w:rPr>
      <w:color w:val="954F72" w:themeColor="followedHyperlink"/>
      <w:u w:val="single"/>
    </w:rPr>
  </w:style>
  <w:style w:type="character" w:styleId="Strong">
    <w:name w:val="Strong"/>
    <w:basedOn w:val="DefaultParagraphFont"/>
    <w:uiPriority w:val="22"/>
    <w:qFormat/>
    <w:rsid w:val="00525EF8"/>
    <w:rPr>
      <w:b/>
      <w:bCs/>
    </w:rPr>
  </w:style>
  <w:style w:type="character" w:customStyle="1" w:styleId="UnresolvedMention2">
    <w:name w:val="Unresolved Mention2"/>
    <w:basedOn w:val="DefaultParagraphFont"/>
    <w:uiPriority w:val="99"/>
    <w:semiHidden/>
    <w:unhideWhenUsed/>
    <w:rsid w:val="001E7F28"/>
    <w:rPr>
      <w:color w:val="605E5C"/>
      <w:shd w:val="clear" w:color="auto" w:fill="E1DFDD"/>
    </w:rPr>
  </w:style>
  <w:style w:type="paragraph" w:styleId="Header">
    <w:name w:val="header"/>
    <w:basedOn w:val="Normal"/>
    <w:link w:val="HeaderChar"/>
    <w:uiPriority w:val="99"/>
    <w:unhideWhenUsed/>
    <w:rsid w:val="000D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6D"/>
    <w:rPr>
      <w:rFonts w:eastAsiaTheme="minorHAnsi"/>
      <w:sz w:val="22"/>
      <w:szCs w:val="22"/>
      <w:lang w:eastAsia="en-US"/>
    </w:rPr>
  </w:style>
  <w:style w:type="paragraph" w:styleId="Footer">
    <w:name w:val="footer"/>
    <w:basedOn w:val="Normal"/>
    <w:link w:val="FooterChar"/>
    <w:uiPriority w:val="99"/>
    <w:unhideWhenUsed/>
    <w:rsid w:val="000D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6D"/>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0255">
      <w:bodyDiv w:val="1"/>
      <w:marLeft w:val="0"/>
      <w:marRight w:val="0"/>
      <w:marTop w:val="0"/>
      <w:marBottom w:val="0"/>
      <w:divBdr>
        <w:top w:val="none" w:sz="0" w:space="0" w:color="auto"/>
        <w:left w:val="none" w:sz="0" w:space="0" w:color="auto"/>
        <w:bottom w:val="none" w:sz="0" w:space="0" w:color="auto"/>
        <w:right w:val="none" w:sz="0" w:space="0" w:color="auto"/>
      </w:divBdr>
    </w:div>
    <w:div w:id="182401758">
      <w:bodyDiv w:val="1"/>
      <w:marLeft w:val="0"/>
      <w:marRight w:val="0"/>
      <w:marTop w:val="0"/>
      <w:marBottom w:val="0"/>
      <w:divBdr>
        <w:top w:val="none" w:sz="0" w:space="0" w:color="auto"/>
        <w:left w:val="none" w:sz="0" w:space="0" w:color="auto"/>
        <w:bottom w:val="none" w:sz="0" w:space="0" w:color="auto"/>
        <w:right w:val="none" w:sz="0" w:space="0" w:color="auto"/>
      </w:divBdr>
    </w:div>
    <w:div w:id="221257787">
      <w:bodyDiv w:val="1"/>
      <w:marLeft w:val="0"/>
      <w:marRight w:val="0"/>
      <w:marTop w:val="0"/>
      <w:marBottom w:val="0"/>
      <w:divBdr>
        <w:top w:val="none" w:sz="0" w:space="0" w:color="auto"/>
        <w:left w:val="none" w:sz="0" w:space="0" w:color="auto"/>
        <w:bottom w:val="none" w:sz="0" w:space="0" w:color="auto"/>
        <w:right w:val="none" w:sz="0" w:space="0" w:color="auto"/>
      </w:divBdr>
    </w:div>
    <w:div w:id="235629597">
      <w:bodyDiv w:val="1"/>
      <w:marLeft w:val="0"/>
      <w:marRight w:val="0"/>
      <w:marTop w:val="0"/>
      <w:marBottom w:val="0"/>
      <w:divBdr>
        <w:top w:val="none" w:sz="0" w:space="0" w:color="auto"/>
        <w:left w:val="none" w:sz="0" w:space="0" w:color="auto"/>
        <w:bottom w:val="none" w:sz="0" w:space="0" w:color="auto"/>
        <w:right w:val="none" w:sz="0" w:space="0" w:color="auto"/>
      </w:divBdr>
    </w:div>
    <w:div w:id="340788013">
      <w:bodyDiv w:val="1"/>
      <w:marLeft w:val="0"/>
      <w:marRight w:val="0"/>
      <w:marTop w:val="0"/>
      <w:marBottom w:val="0"/>
      <w:divBdr>
        <w:top w:val="none" w:sz="0" w:space="0" w:color="auto"/>
        <w:left w:val="none" w:sz="0" w:space="0" w:color="auto"/>
        <w:bottom w:val="none" w:sz="0" w:space="0" w:color="auto"/>
        <w:right w:val="none" w:sz="0" w:space="0" w:color="auto"/>
      </w:divBdr>
    </w:div>
    <w:div w:id="474297034">
      <w:bodyDiv w:val="1"/>
      <w:marLeft w:val="0"/>
      <w:marRight w:val="0"/>
      <w:marTop w:val="0"/>
      <w:marBottom w:val="0"/>
      <w:divBdr>
        <w:top w:val="none" w:sz="0" w:space="0" w:color="auto"/>
        <w:left w:val="none" w:sz="0" w:space="0" w:color="auto"/>
        <w:bottom w:val="none" w:sz="0" w:space="0" w:color="auto"/>
        <w:right w:val="none" w:sz="0" w:space="0" w:color="auto"/>
      </w:divBdr>
    </w:div>
    <w:div w:id="640039616">
      <w:bodyDiv w:val="1"/>
      <w:marLeft w:val="0"/>
      <w:marRight w:val="0"/>
      <w:marTop w:val="0"/>
      <w:marBottom w:val="0"/>
      <w:divBdr>
        <w:top w:val="none" w:sz="0" w:space="0" w:color="auto"/>
        <w:left w:val="none" w:sz="0" w:space="0" w:color="auto"/>
        <w:bottom w:val="none" w:sz="0" w:space="0" w:color="auto"/>
        <w:right w:val="none" w:sz="0" w:space="0" w:color="auto"/>
      </w:divBdr>
    </w:div>
    <w:div w:id="777486198">
      <w:bodyDiv w:val="1"/>
      <w:marLeft w:val="0"/>
      <w:marRight w:val="0"/>
      <w:marTop w:val="0"/>
      <w:marBottom w:val="0"/>
      <w:divBdr>
        <w:top w:val="none" w:sz="0" w:space="0" w:color="auto"/>
        <w:left w:val="none" w:sz="0" w:space="0" w:color="auto"/>
        <w:bottom w:val="none" w:sz="0" w:space="0" w:color="auto"/>
        <w:right w:val="none" w:sz="0" w:space="0" w:color="auto"/>
      </w:divBdr>
    </w:div>
    <w:div w:id="805319683">
      <w:bodyDiv w:val="1"/>
      <w:marLeft w:val="0"/>
      <w:marRight w:val="0"/>
      <w:marTop w:val="0"/>
      <w:marBottom w:val="0"/>
      <w:divBdr>
        <w:top w:val="none" w:sz="0" w:space="0" w:color="auto"/>
        <w:left w:val="none" w:sz="0" w:space="0" w:color="auto"/>
        <w:bottom w:val="none" w:sz="0" w:space="0" w:color="auto"/>
        <w:right w:val="none" w:sz="0" w:space="0" w:color="auto"/>
      </w:divBdr>
    </w:div>
    <w:div w:id="815534825">
      <w:bodyDiv w:val="1"/>
      <w:marLeft w:val="0"/>
      <w:marRight w:val="0"/>
      <w:marTop w:val="0"/>
      <w:marBottom w:val="0"/>
      <w:divBdr>
        <w:top w:val="none" w:sz="0" w:space="0" w:color="auto"/>
        <w:left w:val="none" w:sz="0" w:space="0" w:color="auto"/>
        <w:bottom w:val="none" w:sz="0" w:space="0" w:color="auto"/>
        <w:right w:val="none" w:sz="0" w:space="0" w:color="auto"/>
      </w:divBdr>
    </w:div>
    <w:div w:id="861094266">
      <w:bodyDiv w:val="1"/>
      <w:marLeft w:val="0"/>
      <w:marRight w:val="0"/>
      <w:marTop w:val="0"/>
      <w:marBottom w:val="0"/>
      <w:divBdr>
        <w:top w:val="none" w:sz="0" w:space="0" w:color="auto"/>
        <w:left w:val="none" w:sz="0" w:space="0" w:color="auto"/>
        <w:bottom w:val="none" w:sz="0" w:space="0" w:color="auto"/>
        <w:right w:val="none" w:sz="0" w:space="0" w:color="auto"/>
      </w:divBdr>
    </w:div>
    <w:div w:id="921567621">
      <w:bodyDiv w:val="1"/>
      <w:marLeft w:val="0"/>
      <w:marRight w:val="0"/>
      <w:marTop w:val="0"/>
      <w:marBottom w:val="0"/>
      <w:divBdr>
        <w:top w:val="none" w:sz="0" w:space="0" w:color="auto"/>
        <w:left w:val="none" w:sz="0" w:space="0" w:color="auto"/>
        <w:bottom w:val="none" w:sz="0" w:space="0" w:color="auto"/>
        <w:right w:val="none" w:sz="0" w:space="0" w:color="auto"/>
      </w:divBdr>
    </w:div>
    <w:div w:id="1021123941">
      <w:bodyDiv w:val="1"/>
      <w:marLeft w:val="0"/>
      <w:marRight w:val="0"/>
      <w:marTop w:val="0"/>
      <w:marBottom w:val="0"/>
      <w:divBdr>
        <w:top w:val="none" w:sz="0" w:space="0" w:color="auto"/>
        <w:left w:val="none" w:sz="0" w:space="0" w:color="auto"/>
        <w:bottom w:val="none" w:sz="0" w:space="0" w:color="auto"/>
        <w:right w:val="none" w:sz="0" w:space="0" w:color="auto"/>
      </w:divBdr>
    </w:div>
    <w:div w:id="1029140456">
      <w:bodyDiv w:val="1"/>
      <w:marLeft w:val="0"/>
      <w:marRight w:val="0"/>
      <w:marTop w:val="0"/>
      <w:marBottom w:val="0"/>
      <w:divBdr>
        <w:top w:val="none" w:sz="0" w:space="0" w:color="auto"/>
        <w:left w:val="none" w:sz="0" w:space="0" w:color="auto"/>
        <w:bottom w:val="none" w:sz="0" w:space="0" w:color="auto"/>
        <w:right w:val="none" w:sz="0" w:space="0" w:color="auto"/>
      </w:divBdr>
    </w:div>
    <w:div w:id="1036924811">
      <w:bodyDiv w:val="1"/>
      <w:marLeft w:val="0"/>
      <w:marRight w:val="0"/>
      <w:marTop w:val="0"/>
      <w:marBottom w:val="0"/>
      <w:divBdr>
        <w:top w:val="none" w:sz="0" w:space="0" w:color="auto"/>
        <w:left w:val="none" w:sz="0" w:space="0" w:color="auto"/>
        <w:bottom w:val="none" w:sz="0" w:space="0" w:color="auto"/>
        <w:right w:val="none" w:sz="0" w:space="0" w:color="auto"/>
      </w:divBdr>
    </w:div>
    <w:div w:id="1090614352">
      <w:bodyDiv w:val="1"/>
      <w:marLeft w:val="0"/>
      <w:marRight w:val="0"/>
      <w:marTop w:val="0"/>
      <w:marBottom w:val="0"/>
      <w:divBdr>
        <w:top w:val="none" w:sz="0" w:space="0" w:color="auto"/>
        <w:left w:val="none" w:sz="0" w:space="0" w:color="auto"/>
        <w:bottom w:val="none" w:sz="0" w:space="0" w:color="auto"/>
        <w:right w:val="none" w:sz="0" w:space="0" w:color="auto"/>
      </w:divBdr>
    </w:div>
    <w:div w:id="1123379430">
      <w:bodyDiv w:val="1"/>
      <w:marLeft w:val="0"/>
      <w:marRight w:val="0"/>
      <w:marTop w:val="0"/>
      <w:marBottom w:val="0"/>
      <w:divBdr>
        <w:top w:val="none" w:sz="0" w:space="0" w:color="auto"/>
        <w:left w:val="none" w:sz="0" w:space="0" w:color="auto"/>
        <w:bottom w:val="none" w:sz="0" w:space="0" w:color="auto"/>
        <w:right w:val="none" w:sz="0" w:space="0" w:color="auto"/>
      </w:divBdr>
    </w:div>
    <w:div w:id="1161853708">
      <w:bodyDiv w:val="1"/>
      <w:marLeft w:val="0"/>
      <w:marRight w:val="0"/>
      <w:marTop w:val="0"/>
      <w:marBottom w:val="0"/>
      <w:divBdr>
        <w:top w:val="none" w:sz="0" w:space="0" w:color="auto"/>
        <w:left w:val="none" w:sz="0" w:space="0" w:color="auto"/>
        <w:bottom w:val="none" w:sz="0" w:space="0" w:color="auto"/>
        <w:right w:val="none" w:sz="0" w:space="0" w:color="auto"/>
      </w:divBdr>
    </w:div>
    <w:div w:id="1205479587">
      <w:bodyDiv w:val="1"/>
      <w:marLeft w:val="0"/>
      <w:marRight w:val="0"/>
      <w:marTop w:val="0"/>
      <w:marBottom w:val="0"/>
      <w:divBdr>
        <w:top w:val="none" w:sz="0" w:space="0" w:color="auto"/>
        <w:left w:val="none" w:sz="0" w:space="0" w:color="auto"/>
        <w:bottom w:val="none" w:sz="0" w:space="0" w:color="auto"/>
        <w:right w:val="none" w:sz="0" w:space="0" w:color="auto"/>
      </w:divBdr>
    </w:div>
    <w:div w:id="1225528545">
      <w:bodyDiv w:val="1"/>
      <w:marLeft w:val="0"/>
      <w:marRight w:val="0"/>
      <w:marTop w:val="0"/>
      <w:marBottom w:val="0"/>
      <w:divBdr>
        <w:top w:val="none" w:sz="0" w:space="0" w:color="auto"/>
        <w:left w:val="none" w:sz="0" w:space="0" w:color="auto"/>
        <w:bottom w:val="none" w:sz="0" w:space="0" w:color="auto"/>
        <w:right w:val="none" w:sz="0" w:space="0" w:color="auto"/>
      </w:divBdr>
    </w:div>
    <w:div w:id="1251430348">
      <w:bodyDiv w:val="1"/>
      <w:marLeft w:val="0"/>
      <w:marRight w:val="0"/>
      <w:marTop w:val="0"/>
      <w:marBottom w:val="0"/>
      <w:divBdr>
        <w:top w:val="none" w:sz="0" w:space="0" w:color="auto"/>
        <w:left w:val="none" w:sz="0" w:space="0" w:color="auto"/>
        <w:bottom w:val="none" w:sz="0" w:space="0" w:color="auto"/>
        <w:right w:val="none" w:sz="0" w:space="0" w:color="auto"/>
      </w:divBdr>
    </w:div>
    <w:div w:id="1336180423">
      <w:bodyDiv w:val="1"/>
      <w:marLeft w:val="0"/>
      <w:marRight w:val="0"/>
      <w:marTop w:val="0"/>
      <w:marBottom w:val="0"/>
      <w:divBdr>
        <w:top w:val="none" w:sz="0" w:space="0" w:color="auto"/>
        <w:left w:val="none" w:sz="0" w:space="0" w:color="auto"/>
        <w:bottom w:val="none" w:sz="0" w:space="0" w:color="auto"/>
        <w:right w:val="none" w:sz="0" w:space="0" w:color="auto"/>
      </w:divBdr>
    </w:div>
    <w:div w:id="1355767698">
      <w:bodyDiv w:val="1"/>
      <w:marLeft w:val="0"/>
      <w:marRight w:val="0"/>
      <w:marTop w:val="0"/>
      <w:marBottom w:val="0"/>
      <w:divBdr>
        <w:top w:val="none" w:sz="0" w:space="0" w:color="auto"/>
        <w:left w:val="none" w:sz="0" w:space="0" w:color="auto"/>
        <w:bottom w:val="none" w:sz="0" w:space="0" w:color="auto"/>
        <w:right w:val="none" w:sz="0" w:space="0" w:color="auto"/>
      </w:divBdr>
    </w:div>
    <w:div w:id="1358969259">
      <w:bodyDiv w:val="1"/>
      <w:marLeft w:val="0"/>
      <w:marRight w:val="0"/>
      <w:marTop w:val="0"/>
      <w:marBottom w:val="0"/>
      <w:divBdr>
        <w:top w:val="none" w:sz="0" w:space="0" w:color="auto"/>
        <w:left w:val="none" w:sz="0" w:space="0" w:color="auto"/>
        <w:bottom w:val="none" w:sz="0" w:space="0" w:color="auto"/>
        <w:right w:val="none" w:sz="0" w:space="0" w:color="auto"/>
      </w:divBdr>
    </w:div>
    <w:div w:id="1546214888">
      <w:bodyDiv w:val="1"/>
      <w:marLeft w:val="0"/>
      <w:marRight w:val="0"/>
      <w:marTop w:val="0"/>
      <w:marBottom w:val="0"/>
      <w:divBdr>
        <w:top w:val="none" w:sz="0" w:space="0" w:color="auto"/>
        <w:left w:val="none" w:sz="0" w:space="0" w:color="auto"/>
        <w:bottom w:val="none" w:sz="0" w:space="0" w:color="auto"/>
        <w:right w:val="none" w:sz="0" w:space="0" w:color="auto"/>
      </w:divBdr>
    </w:div>
    <w:div w:id="1546865986">
      <w:bodyDiv w:val="1"/>
      <w:marLeft w:val="0"/>
      <w:marRight w:val="0"/>
      <w:marTop w:val="0"/>
      <w:marBottom w:val="0"/>
      <w:divBdr>
        <w:top w:val="none" w:sz="0" w:space="0" w:color="auto"/>
        <w:left w:val="none" w:sz="0" w:space="0" w:color="auto"/>
        <w:bottom w:val="none" w:sz="0" w:space="0" w:color="auto"/>
        <w:right w:val="none" w:sz="0" w:space="0" w:color="auto"/>
      </w:divBdr>
    </w:div>
    <w:div w:id="1548449786">
      <w:bodyDiv w:val="1"/>
      <w:marLeft w:val="0"/>
      <w:marRight w:val="0"/>
      <w:marTop w:val="0"/>
      <w:marBottom w:val="0"/>
      <w:divBdr>
        <w:top w:val="none" w:sz="0" w:space="0" w:color="auto"/>
        <w:left w:val="none" w:sz="0" w:space="0" w:color="auto"/>
        <w:bottom w:val="none" w:sz="0" w:space="0" w:color="auto"/>
        <w:right w:val="none" w:sz="0" w:space="0" w:color="auto"/>
      </w:divBdr>
    </w:div>
    <w:div w:id="1744797189">
      <w:bodyDiv w:val="1"/>
      <w:marLeft w:val="0"/>
      <w:marRight w:val="0"/>
      <w:marTop w:val="0"/>
      <w:marBottom w:val="0"/>
      <w:divBdr>
        <w:top w:val="none" w:sz="0" w:space="0" w:color="auto"/>
        <w:left w:val="none" w:sz="0" w:space="0" w:color="auto"/>
        <w:bottom w:val="none" w:sz="0" w:space="0" w:color="auto"/>
        <w:right w:val="none" w:sz="0" w:space="0" w:color="auto"/>
      </w:divBdr>
    </w:div>
    <w:div w:id="1870337717">
      <w:bodyDiv w:val="1"/>
      <w:marLeft w:val="0"/>
      <w:marRight w:val="0"/>
      <w:marTop w:val="0"/>
      <w:marBottom w:val="0"/>
      <w:divBdr>
        <w:top w:val="none" w:sz="0" w:space="0" w:color="auto"/>
        <w:left w:val="none" w:sz="0" w:space="0" w:color="auto"/>
        <w:bottom w:val="none" w:sz="0" w:space="0" w:color="auto"/>
        <w:right w:val="none" w:sz="0" w:space="0" w:color="auto"/>
      </w:divBdr>
    </w:div>
    <w:div w:id="2047364658">
      <w:bodyDiv w:val="1"/>
      <w:marLeft w:val="0"/>
      <w:marRight w:val="0"/>
      <w:marTop w:val="0"/>
      <w:marBottom w:val="0"/>
      <w:divBdr>
        <w:top w:val="none" w:sz="0" w:space="0" w:color="auto"/>
        <w:left w:val="none" w:sz="0" w:space="0" w:color="auto"/>
        <w:bottom w:val="none" w:sz="0" w:space="0" w:color="auto"/>
        <w:right w:val="none" w:sz="0" w:space="0" w:color="auto"/>
      </w:divBdr>
    </w:div>
    <w:div w:id="2051102240">
      <w:bodyDiv w:val="1"/>
      <w:marLeft w:val="0"/>
      <w:marRight w:val="0"/>
      <w:marTop w:val="0"/>
      <w:marBottom w:val="0"/>
      <w:divBdr>
        <w:top w:val="none" w:sz="0" w:space="0" w:color="auto"/>
        <w:left w:val="none" w:sz="0" w:space="0" w:color="auto"/>
        <w:bottom w:val="none" w:sz="0" w:space="0" w:color="auto"/>
        <w:right w:val="none" w:sz="0" w:space="0" w:color="auto"/>
      </w:divBdr>
    </w:div>
    <w:div w:id="20613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worlddev.2020.104913" TargetMode="External"/><Relationship Id="rId21" Type="http://schemas.openxmlformats.org/officeDocument/2006/relationships/hyperlink" Target="https://www.ajol.info/index.php/sajg/article/view/106971" TargetMode="External"/><Relationship Id="rId42" Type="http://schemas.openxmlformats.org/officeDocument/2006/relationships/hyperlink" Target="https://doi.org/10.1080/00291951.2012.665079" TargetMode="External"/><Relationship Id="rId47" Type="http://schemas.openxmlformats.org/officeDocument/2006/relationships/hyperlink" Target="https://doi.org/10.3828/idpr.30.2.5"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drr.2020.101915" TargetMode="External"/><Relationship Id="rId29" Type="http://schemas.openxmlformats.org/officeDocument/2006/relationships/hyperlink" Target="https://doi.org/10.1177/2399654417727191" TargetMode="External"/><Relationship Id="rId11" Type="http://schemas.openxmlformats.org/officeDocument/2006/relationships/chart" Target="charts/chart2.xml"/><Relationship Id="rId24" Type="http://schemas.openxmlformats.org/officeDocument/2006/relationships/hyperlink" Target="https://doi.org/10.1080/23311886.2023.2209366" TargetMode="External"/><Relationship Id="rId32" Type="http://schemas.openxmlformats.org/officeDocument/2006/relationships/hyperlink" Target="https://doi.org/10.3390/su152115497" TargetMode="External"/><Relationship Id="rId37" Type="http://schemas.openxmlformats.org/officeDocument/2006/relationships/hyperlink" Target="https://doi.org/10.1177/0042098010367861" TargetMode="External"/><Relationship Id="rId40" Type="http://schemas.openxmlformats.org/officeDocument/2006/relationships/hyperlink" Target="https://www.scirp.org" TargetMode="External"/><Relationship Id="rId45" Type="http://schemas.openxmlformats.org/officeDocument/2006/relationships/hyperlink" Target="https://www.researchgate.net" TargetMode="External"/><Relationship Id="rId53" Type="http://schemas.openxmlformats.org/officeDocument/2006/relationships/hyperlink" Target="https://www.studocu.com" TargetMode="External"/><Relationship Id="rId58" Type="http://schemas.openxmlformats.org/officeDocument/2006/relationships/hyperlink" Target="https://unhabitat.org/annual-report-2022"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journalacri.com/index.php/ACRI/article/view/1412" TargetMode="External"/><Relationship Id="rId19" Type="http://schemas.openxmlformats.org/officeDocument/2006/relationships/hyperlink" Target="https://doi.org/10.1080/13563475.2022.2137114" TargetMode="External"/><Relationship Id="rId14" Type="http://schemas.openxmlformats.org/officeDocument/2006/relationships/chart" Target="charts/chart4.xml"/><Relationship Id="rId22" Type="http://schemas.openxmlformats.org/officeDocument/2006/relationships/hyperlink" Target="https://ir.ucc.edu.gh/xmlui/handle/123456789/7173" TargetMode="External"/><Relationship Id="rId27" Type="http://schemas.openxmlformats.org/officeDocument/2006/relationships/hyperlink" Target="https://doi.org/10.1186/s12889-016-3283-7" TargetMode="External"/><Relationship Id="rId30" Type="http://schemas.openxmlformats.org/officeDocument/2006/relationships/hyperlink" Target="https://doi.org/10.1177/2399654419855400" TargetMode="External"/><Relationship Id="rId35" Type="http://schemas.openxmlformats.org/officeDocument/2006/relationships/hyperlink" Target="https://ghalii.org" TargetMode="External"/><Relationship Id="rId43" Type="http://schemas.openxmlformats.org/officeDocument/2006/relationships/hyperlink" Target="https://doi.org/10.1177/0486613415603161" TargetMode="External"/><Relationship Id="rId48" Type="http://schemas.openxmlformats.org/officeDocument/2006/relationships/hyperlink" Target="https://doi.org/10.1177/0956247809344364" TargetMode="External"/><Relationship Id="rId56" Type="http://schemas.openxmlformats.org/officeDocument/2006/relationships/hyperlink" Target="https://doi.org/10.1016/j.landusepol.2008.07.006"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books.google.com/books/about/State_of_Slum.html?id=Nf80EAAAQBAJ"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07/s43545-021-00226-2" TargetMode="External"/><Relationship Id="rId25" Type="http://schemas.openxmlformats.org/officeDocument/2006/relationships/hyperlink" Target="https://doi.org/10.1257/aer.100.2.130" TargetMode="External"/><Relationship Id="rId33" Type="http://schemas.openxmlformats.org/officeDocument/2006/relationships/hyperlink" Target="https://africanresearchers.org" TargetMode="External"/><Relationship Id="rId38" Type="http://schemas.openxmlformats.org/officeDocument/2006/relationships/hyperlink" Target="https://journals.sagepub.com/doi/pdf/10.1177/00020397251361944?download=true" TargetMode="External"/><Relationship Id="rId46" Type="http://schemas.openxmlformats.org/officeDocument/2006/relationships/hyperlink" Target="https://ghanalawhub.com" TargetMode="External"/><Relationship Id="rId59" Type="http://schemas.openxmlformats.org/officeDocument/2006/relationships/hyperlink" Target="https://doi.org/10.1201/9781003021636-18" TargetMode="External"/><Relationship Id="rId67" Type="http://schemas.openxmlformats.org/officeDocument/2006/relationships/footer" Target="footer3.xml"/><Relationship Id="rId20" Type="http://schemas.openxmlformats.org/officeDocument/2006/relationships/hyperlink" Target="https://doi.org/10.9734/ajess/2025/v51i72182" TargetMode="External"/><Relationship Id="rId41" Type="http://schemas.openxmlformats.org/officeDocument/2006/relationships/hyperlink" Target="https://doi.org/10.1007/s12132-011-9137-6" TargetMode="External"/><Relationship Id="rId54" Type="http://schemas.openxmlformats.org/officeDocument/2006/relationships/hyperlink" Target="https://doi.org/10.1016/j.landusepol.2022.106268"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www.jstor.org/stable/44983804" TargetMode="External"/><Relationship Id="rId28" Type="http://schemas.openxmlformats.org/officeDocument/2006/relationships/hyperlink" Target="https://www.scirp.org/reference/referencespapers?referenceid=1626442" TargetMode="External"/><Relationship Id="rId36" Type="http://schemas.openxmlformats.org/officeDocument/2006/relationships/hyperlink" Target="https://doi.org/10.1080/00420980020080651" TargetMode="External"/><Relationship Id="rId49" Type="http://schemas.openxmlformats.org/officeDocument/2006/relationships/hyperlink" Target="https://www.academia.edu/65602949/Formal_and_Informal_Land_Institutions_Land_Information_Deficiencies_and_the_Development_of_Urban_Land_Markets_in_Ghana" TargetMode="External"/><Relationship Id="rId57" Type="http://schemas.openxmlformats.org/officeDocument/2006/relationships/hyperlink" Target="https://unhabitat.org/sites/default/files/download-manager-files/KM06_Security%20of%20tenure.pdf" TargetMode="External"/><Relationship Id="rId10" Type="http://schemas.openxmlformats.org/officeDocument/2006/relationships/chart" Target="charts/chart1.xml"/><Relationship Id="rId31" Type="http://schemas.openxmlformats.org/officeDocument/2006/relationships/hyperlink" Target="https://pdfs.semanticscholar.org/0a8e/c0fe1d9566dded83bdcdc4e10ef866afa399.pdf" TargetMode="External"/><Relationship Id="rId44" Type="http://schemas.openxmlformats.org/officeDocument/2006/relationships/hyperlink" Target="https://www.iiste.org" TargetMode="External"/><Relationship Id="rId52" Type="http://schemas.openxmlformats.org/officeDocument/2006/relationships/hyperlink" Target="https://doi.org/10.1017/S0022278X16000586" TargetMode="External"/><Relationship Id="rId60" Type="http://schemas.openxmlformats.org/officeDocument/2006/relationships/hyperlink" Target="https://data.worldbank.org/indicator/EN.POP.SLUM.UR.ZS?locations=ZG"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chart" Target="charts/chart3.xml"/><Relationship Id="rId18" Type="http://schemas.openxmlformats.org/officeDocument/2006/relationships/hyperlink" Target="https://doi.org/10.5296/emsd.v1i2.2519" TargetMode="External"/><Relationship Id="rId39" Type="http://schemas.openxmlformats.org/officeDocument/2006/relationships/hyperlink" Target="https://www.iied.org/9002iied" TargetMode="External"/><Relationship Id="rId34" Type="http://schemas.openxmlformats.org/officeDocument/2006/relationships/hyperlink" Target="https://www.researchgate.net/profile/Emmanuel-Frimpong-Boamah/publication/312121125_Legal_Pluralism_Land_Tenure_and_the_Production_of_Nomotropic_Urban_Spaces_in_Post-colonial_Accra_Ghana/links/5870016608ae329d62162b6b/Legal-Pluralism-Land-Tenure-and-the-Production-of-Nomotropic-Urban-Spaces-in-Post-colonial-Accra-Ghana.pdf?origin=publication_detail" TargetMode="External"/><Relationship Id="rId50" Type="http://schemas.openxmlformats.org/officeDocument/2006/relationships/hyperlink" Target="https://doi.org/10.4324/9781849773805" TargetMode="External"/><Relationship Id="rId55" Type="http://schemas.openxmlformats.org/officeDocument/2006/relationships/hyperlink" Target="https://doi.org/10.3389/fpubh.2022.87792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Downloads\Untitled%20form%20(Responses).od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ownloads\Untitled%20form%20(Responses).od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useable%20response%20form%20slum%20dwellers%20quantitative.od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PC\AppData\Roaming\Microsoft\Excel\Untitled%20form%20(Responses)%20(version%201).xlsb"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data\useable%20response%20form%20slum%20dwellers%20quantitative.od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Sheet10!$A$25:$A$29</c:f>
              <c:strCache>
                <c:ptCount val="5"/>
                <c:pt idx="0">
                  <c:v>Extremely</c:v>
                </c:pt>
                <c:pt idx="1">
                  <c:v>Significantly</c:v>
                </c:pt>
                <c:pt idx="2">
                  <c:v>Moderately</c:v>
                </c:pt>
                <c:pt idx="3">
                  <c:v>Slightly</c:v>
                </c:pt>
                <c:pt idx="4">
                  <c:v>Not at all</c:v>
                </c:pt>
              </c:strCache>
            </c:strRef>
          </c:cat>
          <c:val>
            <c:numRef>
              <c:f>Sheet10!$B$25:$B$29</c:f>
              <c:numCache>
                <c:formatCode>0%</c:formatCode>
                <c:ptCount val="5"/>
                <c:pt idx="0">
                  <c:v>0.12121212121212122</c:v>
                </c:pt>
                <c:pt idx="1">
                  <c:v>0.28282828282828282</c:v>
                </c:pt>
                <c:pt idx="2">
                  <c:v>0.12121212121212122</c:v>
                </c:pt>
                <c:pt idx="3">
                  <c:v>0.27272727272727271</c:v>
                </c:pt>
                <c:pt idx="4">
                  <c:v>0.20202020202020202</c:v>
                </c:pt>
              </c:numCache>
            </c:numRef>
          </c:val>
          <c:extLst>
            <c:ext xmlns:c16="http://schemas.microsoft.com/office/drawing/2014/chart" uri="{C3380CC4-5D6E-409C-BE32-E72D297353CC}">
              <c16:uniqueId val="{00000000-DEA0-40F6-B398-026DE076E97A}"/>
            </c:ext>
          </c:extLst>
        </c:ser>
        <c:dLbls>
          <c:showLegendKey val="0"/>
          <c:showVal val="1"/>
          <c:showCatName val="0"/>
          <c:showSerName val="0"/>
          <c:showPercent val="0"/>
          <c:showBubbleSize val="0"/>
        </c:dLbls>
        <c:gapWidth val="100"/>
        <c:overlap val="-24"/>
        <c:axId val="2069755152"/>
        <c:axId val="2069754192"/>
      </c:barChart>
      <c:catAx>
        <c:axId val="2069755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2069754192"/>
        <c:crosses val="autoZero"/>
        <c:auto val="1"/>
        <c:lblAlgn val="ctr"/>
        <c:lblOffset val="100"/>
        <c:noMultiLvlLbl val="0"/>
      </c:catAx>
      <c:valAx>
        <c:axId val="206975419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6975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Sheet10!$A$10:$A$14</c:f>
              <c:strCache>
                <c:ptCount val="5"/>
                <c:pt idx="0">
                  <c:v>Very positively</c:v>
                </c:pt>
                <c:pt idx="1">
                  <c:v>Positively</c:v>
                </c:pt>
                <c:pt idx="2">
                  <c:v>No significant impact</c:v>
                </c:pt>
                <c:pt idx="3">
                  <c:v>Negatively</c:v>
                </c:pt>
                <c:pt idx="4">
                  <c:v>Very negatively</c:v>
                </c:pt>
              </c:strCache>
            </c:strRef>
          </c:cat>
          <c:val>
            <c:numRef>
              <c:f>Sheet10!$B$10:$B$14</c:f>
              <c:numCache>
                <c:formatCode>0%</c:formatCode>
                <c:ptCount val="5"/>
                <c:pt idx="0">
                  <c:v>1.020408163265306E-2</c:v>
                </c:pt>
                <c:pt idx="1">
                  <c:v>0.1326530612244898</c:v>
                </c:pt>
                <c:pt idx="2">
                  <c:v>0.34693877551020408</c:v>
                </c:pt>
                <c:pt idx="3">
                  <c:v>0.5</c:v>
                </c:pt>
                <c:pt idx="4">
                  <c:v>1.020408163265306E-2</c:v>
                </c:pt>
              </c:numCache>
            </c:numRef>
          </c:val>
          <c:extLst>
            <c:ext xmlns:c16="http://schemas.microsoft.com/office/drawing/2014/chart" uri="{C3380CC4-5D6E-409C-BE32-E72D297353CC}">
              <c16:uniqueId val="{00000000-FA1B-4500-8E2C-B3E61962D091}"/>
            </c:ext>
          </c:extLst>
        </c:ser>
        <c:dLbls>
          <c:showLegendKey val="0"/>
          <c:showVal val="1"/>
          <c:showCatName val="0"/>
          <c:showSerName val="0"/>
          <c:showPercent val="0"/>
          <c:showBubbleSize val="0"/>
        </c:dLbls>
        <c:gapWidth val="75"/>
        <c:axId val="2069116832"/>
        <c:axId val="2069114912"/>
      </c:barChart>
      <c:catAx>
        <c:axId val="206911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4912"/>
        <c:crosses val="autoZero"/>
        <c:auto val="1"/>
        <c:lblAlgn val="ctr"/>
        <c:lblOffset val="100"/>
        <c:noMultiLvlLbl val="0"/>
      </c:catAx>
      <c:valAx>
        <c:axId val="20691149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11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9"/>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dPt>
            <c:idx val="0"/>
            <c:bubble3D val="0"/>
            <c:spPr>
              <a:solidFill>
                <a:srgbClr val="ED7D31"/>
              </a:solidFill>
              <a:ln w="25402">
                <a:solidFill>
                  <a:srgbClr val="FFFFFF"/>
                </a:solidFill>
                <a:prstDash val="solid"/>
              </a:ln>
            </c:spPr>
            <c:extLst>
              <c:ext xmlns:c16="http://schemas.microsoft.com/office/drawing/2014/chart" uri="{C3380CC4-5D6E-409C-BE32-E72D297353CC}">
                <c16:uniqueId val="{00000001-CD15-4285-8AF8-9C22CE9FD47A}"/>
              </c:ext>
            </c:extLst>
          </c:dPt>
          <c:dPt>
            <c:idx val="1"/>
            <c:bubble3D val="0"/>
            <c:spPr>
              <a:solidFill>
                <a:srgbClr val="FFC000"/>
              </a:solidFill>
              <a:ln w="25402">
                <a:solidFill>
                  <a:srgbClr val="FFFFFF"/>
                </a:solidFill>
                <a:prstDash val="solid"/>
              </a:ln>
            </c:spPr>
            <c:extLst>
              <c:ext xmlns:c16="http://schemas.microsoft.com/office/drawing/2014/chart" uri="{C3380CC4-5D6E-409C-BE32-E72D297353CC}">
                <c16:uniqueId val="{00000003-CD15-4285-8AF8-9C22CE9FD47A}"/>
              </c:ext>
            </c:extLst>
          </c:dPt>
          <c:dPt>
            <c:idx val="2"/>
            <c:bubble3D val="0"/>
            <c:spPr>
              <a:solidFill>
                <a:srgbClr val="70AD47"/>
              </a:solidFill>
              <a:ln w="25402">
                <a:solidFill>
                  <a:srgbClr val="FFFFFF"/>
                </a:solidFill>
                <a:prstDash val="solid"/>
              </a:ln>
            </c:spPr>
            <c:extLst>
              <c:ext xmlns:c16="http://schemas.microsoft.com/office/drawing/2014/chart" uri="{C3380CC4-5D6E-409C-BE32-E72D297353CC}">
                <c16:uniqueId val="{00000005-CD15-4285-8AF8-9C22CE9FD47A}"/>
              </c:ext>
            </c:extLst>
          </c:dPt>
          <c:dPt>
            <c:idx val="3"/>
            <c:bubble3D val="0"/>
            <c:spPr>
              <a:solidFill>
                <a:srgbClr val="9E480E"/>
              </a:solidFill>
              <a:ln w="25402">
                <a:solidFill>
                  <a:srgbClr val="FFFFFF"/>
                </a:solidFill>
                <a:prstDash val="solid"/>
              </a:ln>
            </c:spPr>
            <c:extLst>
              <c:ext xmlns:c16="http://schemas.microsoft.com/office/drawing/2014/chart" uri="{C3380CC4-5D6E-409C-BE32-E72D297353CC}">
                <c16:uniqueId val="{00000007-CD15-4285-8AF8-9C22CE9FD47A}"/>
              </c:ext>
            </c:extLst>
          </c:dPt>
          <c:dLbls>
            <c:dLbl>
              <c:idx val="0"/>
              <c:layout>
                <c:manualLayout>
                  <c:x val="-0.2156454259785574"/>
                  <c:y val="6.4179790026246714E-2"/>
                </c:manualLayout>
              </c:layout>
              <c:spPr>
                <a:noFill/>
                <a:ln>
                  <a:noFill/>
                </a:ln>
                <a:effectLst/>
              </c:spPr>
              <c:txPr>
                <a:bodyPr anchorCtr="0"/>
                <a:lstStyle/>
                <a:p>
                  <a:pPr algn="just">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3980286487857658"/>
                      <c:h val="0.24666666666666667"/>
                    </c:manualLayout>
                  </c15:layout>
                </c:ext>
                <c:ext xmlns:c16="http://schemas.microsoft.com/office/drawing/2014/chart" uri="{C3380CC4-5D6E-409C-BE32-E72D297353CC}">
                  <c16:uniqueId val="{00000001-CD15-4285-8AF8-9C22CE9FD47A}"/>
                </c:ext>
              </c:extLst>
            </c:dLbl>
            <c:spPr>
              <a:noFill/>
              <a:ln>
                <a:noFill/>
              </a:ln>
              <a:effectLst/>
            </c:spPr>
            <c:txPr>
              <a:bodyPr/>
              <a:lstStyle/>
              <a:p>
                <a:pPr algn="ctr">
                  <a:defRPr/>
                </a:pPr>
                <a:endParaRPr lang="en-US"/>
              </a:p>
            </c:txPr>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Ref>
              <c:f>Sheet1!$B$38:$B$41</c:f>
              <c:strCache>
                <c:ptCount val="4"/>
                <c:pt idx="0">
                  <c:v>Coexist peacefully</c:v>
                </c:pt>
                <c:pt idx="1">
                  <c:v>Enhance customary systems</c:v>
                </c:pt>
                <c:pt idx="2">
                  <c:v>Minimally interact</c:v>
                </c:pt>
                <c:pt idx="3">
                  <c:v>Conflicts with customary systems</c:v>
                </c:pt>
              </c:strCache>
            </c:strRef>
          </c:cat>
          <c:val>
            <c:numRef>
              <c:f>Sheet1!$C$38:$C$41</c:f>
              <c:numCache>
                <c:formatCode>0%</c:formatCode>
                <c:ptCount val="4"/>
                <c:pt idx="0">
                  <c:v>0.45918367346938777</c:v>
                </c:pt>
                <c:pt idx="1">
                  <c:v>1.020408163265306E-2</c:v>
                </c:pt>
                <c:pt idx="2">
                  <c:v>0.33673469387755101</c:v>
                </c:pt>
                <c:pt idx="3">
                  <c:v>0.19387755102040816</c:v>
                </c:pt>
              </c:numCache>
            </c:numRef>
          </c:val>
          <c:extLst>
            <c:ext xmlns:c16="http://schemas.microsoft.com/office/drawing/2014/chart" uri="{C3380CC4-5D6E-409C-BE32-E72D297353CC}">
              <c16:uniqueId val="{00000008-CD15-4285-8AF8-9C22CE9FD47A}"/>
            </c:ext>
          </c:extLst>
        </c:ser>
        <c:dLbls>
          <c:showLegendKey val="0"/>
          <c:showVal val="0"/>
          <c:showCatName val="1"/>
          <c:showSerName val="0"/>
          <c:showPercent val="1"/>
          <c:showBubbleSize val="0"/>
          <c:showLeaderLines val="1"/>
        </c:dLbls>
      </c:pie3DChart>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algn="just" defTabSz="914400" fontAlgn="auto" hangingPunct="1">
        <a:lnSpc>
          <a:spcPct val="100000"/>
        </a:lnSpc>
        <a:spcBef>
          <a:spcPts val="0"/>
        </a:spcBef>
        <a:spcAft>
          <a:spcPts val="0"/>
        </a:spcAft>
        <a:tabLst/>
        <a:defRPr lang="en-US" sz="1200" b="0" i="0" u="none" strike="noStrike" kern="1200" baseline="0">
          <a:solidFill>
            <a:srgbClr val="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Respondents</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6A-4E66-A0C1-92D83B7A1A52}"/>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6A-4E66-A0C1-92D83B7A1A52}"/>
              </c:ext>
            </c:extLst>
          </c:dPt>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Sheet1!$B$78:$B$79</c:f>
              <c:strCache>
                <c:ptCount val="2"/>
                <c:pt idx="0">
                  <c:v>Yes</c:v>
                </c:pt>
                <c:pt idx="1">
                  <c:v>No</c:v>
                </c:pt>
              </c:strCache>
            </c:strRef>
          </c:cat>
          <c:val>
            <c:numRef>
              <c:f>Sheet1!$C$78:$C$79</c:f>
              <c:numCache>
                <c:formatCode>0%</c:formatCode>
                <c:ptCount val="2"/>
                <c:pt idx="0">
                  <c:v>0.21212121212121213</c:v>
                </c:pt>
                <c:pt idx="1">
                  <c:v>0.78787878787878785</c:v>
                </c:pt>
              </c:numCache>
            </c:numRef>
          </c:val>
          <c:extLst>
            <c:ext xmlns:c16="http://schemas.microsoft.com/office/drawing/2014/chart" uri="{C3380CC4-5D6E-409C-BE32-E72D297353CC}">
              <c16:uniqueId val="{00000004-D46A-4E66-A0C1-92D83B7A1A52}"/>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Sheet1!$B$65:$B$69</c:f>
              <c:strCache>
                <c:ptCount val="5"/>
                <c:pt idx="0">
                  <c:v>Strongly agree</c:v>
                </c:pt>
                <c:pt idx="1">
                  <c:v>Agree</c:v>
                </c:pt>
                <c:pt idx="2">
                  <c:v>Neutral</c:v>
                </c:pt>
                <c:pt idx="3">
                  <c:v>Disagree</c:v>
                </c:pt>
                <c:pt idx="4">
                  <c:v>Strongly disagree</c:v>
                </c:pt>
              </c:strCache>
            </c:strRef>
          </c:cat>
          <c:val>
            <c:numRef>
              <c:f>Sheet1!$C$65:$C$69</c:f>
              <c:numCache>
                <c:formatCode>0%</c:formatCode>
                <c:ptCount val="5"/>
                <c:pt idx="0">
                  <c:v>0.39583333333333331</c:v>
                </c:pt>
                <c:pt idx="1">
                  <c:v>0.20833333333333334</c:v>
                </c:pt>
                <c:pt idx="2">
                  <c:v>0.11458333333333333</c:v>
                </c:pt>
                <c:pt idx="3">
                  <c:v>8.3333333333333329E-2</c:v>
                </c:pt>
                <c:pt idx="4">
                  <c:v>0.19791666666666666</c:v>
                </c:pt>
              </c:numCache>
            </c:numRef>
          </c:val>
          <c:extLst>
            <c:ext xmlns:c16="http://schemas.microsoft.com/office/drawing/2014/chart" uri="{C3380CC4-5D6E-409C-BE32-E72D297353CC}">
              <c16:uniqueId val="{00000000-256A-4BEF-BDF8-88BC75A0E3E5}"/>
            </c:ext>
          </c:extLst>
        </c:ser>
        <c:dLbls>
          <c:dLblPos val="outEnd"/>
          <c:showLegendKey val="0"/>
          <c:showVal val="1"/>
          <c:showCatName val="0"/>
          <c:showSerName val="0"/>
          <c:showPercent val="0"/>
          <c:showBubbleSize val="0"/>
        </c:dLbls>
        <c:gapWidth val="219"/>
        <c:overlap val="-27"/>
        <c:axId val="908143296"/>
        <c:axId val="908143776"/>
      </c:barChart>
      <c:catAx>
        <c:axId val="90814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776"/>
        <c:crosses val="autoZero"/>
        <c:auto val="1"/>
        <c:lblAlgn val="ctr"/>
        <c:lblOffset val="100"/>
        <c:noMultiLvlLbl val="0"/>
      </c:catAx>
      <c:valAx>
        <c:axId val="908143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14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28F1-F488-42B6-8E31-447C236C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23</Pages>
  <Words>10018</Words>
  <Characters>57108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Kofi Sarpong</dc:creator>
  <cp:keywords/>
  <dc:description/>
  <cp:lastModifiedBy>SDI PC New 16</cp:lastModifiedBy>
  <cp:revision>67</cp:revision>
  <dcterms:created xsi:type="dcterms:W3CDTF">2025-08-26T15:48:00Z</dcterms:created>
  <dcterms:modified xsi:type="dcterms:W3CDTF">2025-09-23T13:35:00Z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f4f16513-4f32-4dda-bf04-9ffc54b86228</vt:lpwstr>
  </property>
</Properties>
</file>