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890B" w14:textId="77777777" w:rsidR="00754C9A" w:rsidRDefault="00754C9A" w:rsidP="00441B6F">
      <w:pPr>
        <w:pStyle w:val="Title"/>
        <w:spacing w:after="0"/>
        <w:jc w:val="both"/>
        <w:rPr>
          <w:rFonts w:ascii="Arial" w:hAnsi="Arial" w:cs="Arial"/>
        </w:rPr>
      </w:pPr>
    </w:p>
    <w:p w14:paraId="55953EAC" w14:textId="77777777" w:rsidR="006748E4" w:rsidRDefault="006748E4" w:rsidP="00441B6F">
      <w:pPr>
        <w:pStyle w:val="Title"/>
        <w:spacing w:after="0"/>
        <w:jc w:val="both"/>
        <w:rPr>
          <w:rFonts w:ascii="Arial" w:hAnsi="Arial" w:cs="Arial"/>
        </w:rPr>
      </w:pPr>
    </w:p>
    <w:p w14:paraId="12D9A010" w14:textId="77777777" w:rsidR="006748E4" w:rsidRDefault="006748E4" w:rsidP="00441B6F">
      <w:pPr>
        <w:pStyle w:val="Title"/>
        <w:spacing w:after="0"/>
        <w:jc w:val="both"/>
        <w:rPr>
          <w:rFonts w:ascii="Arial" w:hAnsi="Arial" w:cs="Arial"/>
        </w:rPr>
      </w:pPr>
    </w:p>
    <w:p w14:paraId="6A8F3C18" w14:textId="77777777" w:rsidR="006748E4" w:rsidRDefault="006748E4" w:rsidP="00441B6F">
      <w:pPr>
        <w:pStyle w:val="Title"/>
        <w:spacing w:after="0"/>
        <w:jc w:val="both"/>
        <w:rPr>
          <w:rFonts w:ascii="Arial" w:hAnsi="Arial" w:cs="Arial"/>
        </w:rPr>
      </w:pPr>
    </w:p>
    <w:p w14:paraId="00C07C7F" w14:textId="77777777" w:rsidR="008F7382" w:rsidRPr="00562062" w:rsidRDefault="008F7382" w:rsidP="00441B6F">
      <w:pPr>
        <w:pStyle w:val="Author"/>
        <w:spacing w:line="240" w:lineRule="auto"/>
        <w:rPr>
          <w:rFonts w:ascii="Arial" w:hAnsi="Arial" w:cs="Arial"/>
          <w:bCs/>
          <w:iCs/>
          <w:kern w:val="28"/>
          <w:sz w:val="36"/>
        </w:rPr>
      </w:pPr>
      <w:r w:rsidRPr="00562062">
        <w:rPr>
          <w:rFonts w:ascii="Arial" w:hAnsi="Arial" w:cs="Arial"/>
          <w:bCs/>
          <w:iCs/>
          <w:kern w:val="28"/>
          <w:sz w:val="36"/>
        </w:rPr>
        <w:t xml:space="preserve">Original Research Article </w:t>
      </w:r>
    </w:p>
    <w:p w14:paraId="0C4C4F54" w14:textId="72E0B673" w:rsidR="00163BC4" w:rsidRPr="005A09F3" w:rsidRDefault="008A3266" w:rsidP="0082626E">
      <w:pPr>
        <w:pStyle w:val="Author"/>
        <w:spacing w:line="240" w:lineRule="auto"/>
        <w:jc w:val="both"/>
        <w:rPr>
          <w:rFonts w:ascii="Arial" w:hAnsi="Arial" w:cs="Arial"/>
          <w:bCs/>
          <w:iCs/>
          <w:color w:val="EE0000"/>
          <w:kern w:val="28"/>
          <w:sz w:val="36"/>
        </w:rPr>
      </w:pPr>
      <w:r w:rsidRPr="005A09F3">
        <w:rPr>
          <w:rFonts w:ascii="Arial" w:hAnsi="Arial" w:cs="Arial"/>
          <w:bCs/>
          <w:iCs/>
          <w:color w:val="EE0000"/>
          <w:kern w:val="28"/>
          <w:sz w:val="36"/>
        </w:rPr>
        <w:t>The Role of Renewable</w:t>
      </w:r>
      <w:r w:rsidR="00B06F96" w:rsidRPr="005A09F3">
        <w:rPr>
          <w:rFonts w:ascii="Arial" w:hAnsi="Arial" w:cs="Arial"/>
          <w:bCs/>
          <w:iCs/>
          <w:color w:val="EE0000"/>
          <w:kern w:val="28"/>
          <w:sz w:val="36"/>
        </w:rPr>
        <w:t xml:space="preserve"> Energy and Globalization on Consumption</w:t>
      </w:r>
      <w:r w:rsidR="00012892" w:rsidRPr="005A09F3">
        <w:rPr>
          <w:rFonts w:ascii="Arial" w:hAnsi="Arial" w:cs="Arial"/>
          <w:bCs/>
          <w:iCs/>
          <w:color w:val="EE0000"/>
          <w:kern w:val="28"/>
          <w:sz w:val="36"/>
        </w:rPr>
        <w:t>-Based Carbon Emission</w:t>
      </w:r>
      <w:r w:rsidR="00AB52F4" w:rsidRPr="005A09F3">
        <w:rPr>
          <w:rFonts w:ascii="Arial" w:hAnsi="Arial" w:cs="Arial"/>
          <w:bCs/>
          <w:iCs/>
          <w:color w:val="EE0000"/>
          <w:kern w:val="28"/>
          <w:sz w:val="36"/>
        </w:rPr>
        <w:t>s</w:t>
      </w:r>
      <w:r w:rsidR="0082626E" w:rsidRPr="005A09F3">
        <w:rPr>
          <w:rFonts w:ascii="Arial" w:hAnsi="Arial" w:cs="Arial"/>
          <w:bCs/>
          <w:iCs/>
          <w:color w:val="EE0000"/>
          <w:kern w:val="28"/>
          <w:sz w:val="36"/>
        </w:rPr>
        <w:t>: Revisiting the EKC Hypothesis in India</w:t>
      </w:r>
      <w:r w:rsidR="00231920" w:rsidRPr="005A09F3">
        <w:rPr>
          <w:rFonts w:ascii="Arial" w:hAnsi="Arial" w:cs="Arial"/>
          <w:bCs/>
          <w:iCs/>
          <w:color w:val="EE0000"/>
          <w:kern w:val="28"/>
          <w:sz w:val="36"/>
        </w:rPr>
        <w:t xml:space="preserve"> </w:t>
      </w:r>
    </w:p>
    <w:p w14:paraId="668C054E" w14:textId="77777777" w:rsidR="00A258C3" w:rsidRPr="00562062" w:rsidRDefault="00A258C3" w:rsidP="00441B6F">
      <w:pPr>
        <w:pStyle w:val="Author"/>
        <w:spacing w:line="240" w:lineRule="auto"/>
        <w:jc w:val="both"/>
        <w:rPr>
          <w:rFonts w:ascii="Arial" w:hAnsi="Arial" w:cs="Arial"/>
          <w:sz w:val="36"/>
        </w:rPr>
      </w:pPr>
    </w:p>
    <w:p w14:paraId="2F4D2AA7" w14:textId="77777777" w:rsidR="002C57D2" w:rsidRPr="00562062" w:rsidRDefault="002C57D2" w:rsidP="00441B6F">
      <w:pPr>
        <w:pStyle w:val="Affiliation"/>
        <w:spacing w:after="0" w:line="240" w:lineRule="auto"/>
        <w:jc w:val="both"/>
        <w:rPr>
          <w:rFonts w:ascii="Arial" w:hAnsi="Arial" w:cs="Arial"/>
        </w:rPr>
      </w:pPr>
    </w:p>
    <w:p w14:paraId="6ACA0902" w14:textId="77777777" w:rsidR="00B01FCD" w:rsidRPr="00562062" w:rsidRDefault="00000000" w:rsidP="00441B6F">
      <w:pPr>
        <w:pStyle w:val="Copyright"/>
        <w:spacing w:after="0" w:line="240" w:lineRule="auto"/>
        <w:jc w:val="both"/>
        <w:rPr>
          <w:rFonts w:ascii="Arial" w:hAnsi="Arial" w:cs="Arial"/>
        </w:rPr>
        <w:sectPr w:rsidR="00B01FCD" w:rsidRPr="00562062" w:rsidSect="00EA5D9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3C882DE">
          <v:shapetype id="_x0000_t32" coordsize="21600,21600" o:spt="32" o:oned="t" path="m,l21600,21600e" filled="f">
            <v:path arrowok="t" fillok="f" o:connecttype="none"/>
            <o:lock v:ext="edit" shapetype="t"/>
          </v:shapetype>
          <v:shape id="_x0000_s205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62062">
        <w:rPr>
          <w:rFonts w:ascii="Arial" w:hAnsi="Arial" w:cs="Arial"/>
        </w:rPr>
        <w:t>.</w:t>
      </w:r>
    </w:p>
    <w:p w14:paraId="2FE5E046" w14:textId="4C0974D3" w:rsidR="00B01FCD" w:rsidRPr="00562062" w:rsidRDefault="00B01FCD" w:rsidP="00441B6F">
      <w:pPr>
        <w:pStyle w:val="AbstHead"/>
        <w:spacing w:after="0"/>
        <w:jc w:val="both"/>
        <w:rPr>
          <w:rFonts w:ascii="Arial" w:hAnsi="Arial" w:cs="Arial"/>
        </w:rPr>
      </w:pPr>
      <w:r w:rsidRPr="00562062">
        <w:rPr>
          <w:rFonts w:ascii="Arial" w:hAnsi="Arial" w:cs="Arial"/>
        </w:rPr>
        <w:t>ABSTRACT</w:t>
      </w:r>
      <w:r w:rsidR="0066510A" w:rsidRPr="00562062">
        <w:rPr>
          <w:rFonts w:ascii="Arial" w:hAnsi="Arial" w:cs="Arial"/>
        </w:rPr>
        <w:t xml:space="preserve"> </w:t>
      </w:r>
    </w:p>
    <w:p w14:paraId="20D9BB3E" w14:textId="77777777" w:rsidR="00790ADA" w:rsidRPr="0056206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62062" w14:paraId="1AFA3933" w14:textId="77777777" w:rsidTr="001E44FE">
        <w:tc>
          <w:tcPr>
            <w:tcW w:w="9576" w:type="dxa"/>
            <w:shd w:val="clear" w:color="auto" w:fill="F2F2F2"/>
          </w:tcPr>
          <w:p w14:paraId="1FD84DD9" w14:textId="37220494" w:rsidR="009452BA" w:rsidRPr="00720037" w:rsidRDefault="00403B8B" w:rsidP="009452BA">
            <w:pPr>
              <w:pStyle w:val="Body"/>
              <w:spacing w:after="0"/>
              <w:rPr>
                <w:rFonts w:ascii="Arial" w:eastAsia="Calibri" w:hAnsi="Arial" w:cs="Arial"/>
                <w:color w:val="EE0000"/>
                <w:szCs w:val="22"/>
              </w:rPr>
            </w:pPr>
            <w:r w:rsidRPr="00720037">
              <w:rPr>
                <w:rFonts w:ascii="Arial" w:eastAsia="Calibri" w:hAnsi="Arial" w:cs="Arial"/>
                <w:color w:val="EE0000"/>
                <w:szCs w:val="22"/>
              </w:rPr>
              <w:t>India’s rapid economic expansion presents a critical challenge in balancing growth with environmental sustainability, making it a pivotal case for testing the Environmental Kuznets Curve (EKC) hypothesis. This study provides a novel contribution by examining the EKC for India from 1990 to 2021 using a consumption-based metric for CO</w:t>
            </w:r>
            <w:r w:rsidRPr="00720037">
              <w:rPr>
                <w:rFonts w:ascii="Cambria Math" w:eastAsia="Calibri" w:hAnsi="Cambria Math" w:cs="Cambria Math"/>
                <w:color w:val="EE0000"/>
                <w:szCs w:val="22"/>
              </w:rPr>
              <w:t>₂</w:t>
            </w:r>
            <w:r w:rsidRPr="00720037">
              <w:rPr>
                <w:rFonts w:ascii="Arial" w:eastAsia="Calibri" w:hAnsi="Arial" w:cs="Arial"/>
                <w:color w:val="EE0000"/>
                <w:szCs w:val="22"/>
              </w:rPr>
              <w:t xml:space="preserve"> emissions, which accounts for emissions embedded in trade. Employing the ARDL bounds testing approach, we analyze the roles of renewable energy consumption and globalization alongside economic growth. The results </w:t>
            </w:r>
            <w:r w:rsidR="00D23C5C" w:rsidRPr="00720037">
              <w:rPr>
                <w:rFonts w:ascii="Arial" w:eastAsia="Calibri" w:hAnsi="Arial" w:cs="Arial"/>
                <w:color w:val="EE0000"/>
                <w:szCs w:val="22"/>
              </w:rPr>
              <w:t xml:space="preserve">provide evidence for </w:t>
            </w:r>
            <w:r w:rsidRPr="00720037">
              <w:rPr>
                <w:rFonts w:ascii="Arial" w:eastAsia="Calibri" w:hAnsi="Arial" w:cs="Arial"/>
                <w:color w:val="EE0000"/>
                <w:szCs w:val="22"/>
              </w:rPr>
              <w:t xml:space="preserve">an inverted U-shaped EKC relationship, indicating that environmental degradation initially increases with economic growth but eventually declines after a certain income threshold is surpassed. Renewable energy consumption is found to significantly reduce emissions, whereas globalization exhibits an insignificant impact. </w:t>
            </w:r>
            <w:proofErr w:type="gramStart"/>
            <w:r w:rsidRPr="00720037">
              <w:rPr>
                <w:rFonts w:ascii="Arial" w:eastAsia="Calibri" w:hAnsi="Arial" w:cs="Arial"/>
                <w:color w:val="EE0000"/>
                <w:szCs w:val="22"/>
              </w:rPr>
              <w:t>Robustness</w:t>
            </w:r>
            <w:proofErr w:type="gramEnd"/>
            <w:r w:rsidRPr="00720037">
              <w:rPr>
                <w:rFonts w:ascii="Arial" w:eastAsia="Calibri" w:hAnsi="Arial" w:cs="Arial"/>
                <w:color w:val="EE0000"/>
                <w:szCs w:val="22"/>
              </w:rPr>
              <w:t xml:space="preserve"> checks using DOLS and Johansen cointegration confirm these findings. The study underscores the importance of promoting renewable energy and strategically managing economic growth to achieve environmental sustainability</w:t>
            </w:r>
            <w:r w:rsidR="009452BA" w:rsidRPr="00720037">
              <w:rPr>
                <w:rFonts w:ascii="Arial" w:eastAsia="Calibri" w:hAnsi="Arial" w:cs="Arial"/>
                <w:color w:val="EE0000"/>
                <w:szCs w:val="22"/>
                <w:lang w:val="en-IN"/>
              </w:rPr>
              <w:t>Policy recommendations include accelerating green energy adoption and enforcing stringent environmental standards for foreign investment.</w:t>
            </w:r>
          </w:p>
          <w:p w14:paraId="59332AB5" w14:textId="4FC6A93C" w:rsidR="00505F06" w:rsidRPr="00562062" w:rsidRDefault="00505F06" w:rsidP="00441B6F">
            <w:pPr>
              <w:pStyle w:val="Body"/>
              <w:spacing w:after="0"/>
              <w:rPr>
                <w:rFonts w:ascii="Arial" w:eastAsia="Calibri" w:hAnsi="Arial" w:cs="Arial"/>
                <w:szCs w:val="22"/>
              </w:rPr>
            </w:pPr>
          </w:p>
        </w:tc>
      </w:tr>
    </w:tbl>
    <w:p w14:paraId="0C710C08" w14:textId="77777777" w:rsidR="00636EB2" w:rsidRPr="00562062" w:rsidRDefault="00636EB2" w:rsidP="00441B6F">
      <w:pPr>
        <w:pStyle w:val="Body"/>
        <w:spacing w:after="0"/>
        <w:rPr>
          <w:rFonts w:ascii="Arial" w:hAnsi="Arial" w:cs="Arial"/>
          <w:i/>
        </w:rPr>
      </w:pPr>
    </w:p>
    <w:p w14:paraId="67E752B7" w14:textId="1587B4DB" w:rsidR="00A24E7E" w:rsidRPr="00562062" w:rsidRDefault="00A24E7E" w:rsidP="00441B6F">
      <w:pPr>
        <w:pStyle w:val="Body"/>
        <w:spacing w:after="0"/>
        <w:rPr>
          <w:rFonts w:ascii="Arial" w:hAnsi="Arial" w:cs="Arial"/>
          <w:i/>
        </w:rPr>
      </w:pPr>
      <w:r w:rsidRPr="00562062">
        <w:rPr>
          <w:rFonts w:ascii="Arial" w:hAnsi="Arial" w:cs="Arial"/>
          <w:i/>
        </w:rPr>
        <w:t xml:space="preserve">Keywords: </w:t>
      </w:r>
      <w:r w:rsidR="0082626E" w:rsidRPr="0082626E">
        <w:rPr>
          <w:rFonts w:ascii="Arial" w:hAnsi="Arial" w:cs="Arial"/>
          <w:i/>
        </w:rPr>
        <w:t xml:space="preserve">Environmental Kuznets Curve </w:t>
      </w:r>
      <w:r w:rsidR="0082626E">
        <w:rPr>
          <w:rFonts w:ascii="Arial" w:hAnsi="Arial" w:cs="Arial"/>
          <w:i/>
        </w:rPr>
        <w:t>(</w:t>
      </w:r>
      <w:r w:rsidR="006D5ACC" w:rsidRPr="00562062">
        <w:rPr>
          <w:rFonts w:ascii="Arial" w:hAnsi="Arial" w:cs="Arial"/>
          <w:i/>
        </w:rPr>
        <w:t>EKC</w:t>
      </w:r>
      <w:r w:rsidR="0082626E">
        <w:rPr>
          <w:rFonts w:ascii="Arial" w:hAnsi="Arial" w:cs="Arial"/>
          <w:i/>
        </w:rPr>
        <w:t>)</w:t>
      </w:r>
      <w:r w:rsidR="006D5ACC" w:rsidRPr="00562062">
        <w:rPr>
          <w:rFonts w:ascii="Arial" w:hAnsi="Arial" w:cs="Arial"/>
          <w:i/>
        </w:rPr>
        <w:t xml:space="preserve">, </w:t>
      </w:r>
      <w:r w:rsidR="00084E65" w:rsidRPr="00562062">
        <w:rPr>
          <w:rFonts w:ascii="Arial" w:hAnsi="Arial" w:cs="Arial"/>
          <w:i/>
        </w:rPr>
        <w:t>Globalization,</w:t>
      </w:r>
      <w:r w:rsidR="00F5221E" w:rsidRPr="00562062">
        <w:rPr>
          <w:rFonts w:ascii="Arial" w:hAnsi="Arial" w:cs="Arial"/>
          <w:i/>
        </w:rPr>
        <w:t xml:space="preserve"> Renewable</w:t>
      </w:r>
      <w:r w:rsidR="008A48DF" w:rsidRPr="00562062">
        <w:rPr>
          <w:rFonts w:ascii="Arial" w:hAnsi="Arial" w:cs="Arial"/>
          <w:i/>
        </w:rPr>
        <w:t xml:space="preserve"> energy, GDP, </w:t>
      </w:r>
      <w:r w:rsidR="0082626E" w:rsidRPr="0082626E">
        <w:rPr>
          <w:rFonts w:ascii="Arial" w:hAnsi="Arial" w:cs="Arial"/>
          <w:i/>
        </w:rPr>
        <w:t xml:space="preserve">Autoregressive Distributed Lag </w:t>
      </w:r>
      <w:r w:rsidR="0082626E">
        <w:rPr>
          <w:rFonts w:ascii="Arial" w:hAnsi="Arial" w:cs="Arial"/>
          <w:i/>
        </w:rPr>
        <w:t>(</w:t>
      </w:r>
      <w:r w:rsidR="008A48DF" w:rsidRPr="00562062">
        <w:rPr>
          <w:rFonts w:ascii="Arial" w:hAnsi="Arial" w:cs="Arial"/>
          <w:i/>
        </w:rPr>
        <w:t>ARDL</w:t>
      </w:r>
      <w:r w:rsidR="0082626E">
        <w:rPr>
          <w:rFonts w:ascii="Arial" w:hAnsi="Arial" w:cs="Arial"/>
          <w:i/>
        </w:rPr>
        <w:t xml:space="preserve">), </w:t>
      </w:r>
      <w:r w:rsidR="0082626E" w:rsidRPr="0082626E">
        <w:rPr>
          <w:rFonts w:ascii="Arial" w:hAnsi="Arial" w:cs="Arial"/>
          <w:i/>
        </w:rPr>
        <w:t>Dynamic Ordinary Least Squares</w:t>
      </w:r>
      <w:r w:rsidR="0082626E">
        <w:rPr>
          <w:rFonts w:ascii="Arial" w:hAnsi="Arial" w:cs="Arial"/>
          <w:i/>
        </w:rPr>
        <w:t xml:space="preserve"> (DOLS)</w:t>
      </w:r>
    </w:p>
    <w:p w14:paraId="305D1F15" w14:textId="77777777" w:rsidR="00790ADA" w:rsidRPr="00562062" w:rsidRDefault="00790ADA" w:rsidP="00441B6F">
      <w:pPr>
        <w:pStyle w:val="Body"/>
        <w:spacing w:after="0"/>
        <w:rPr>
          <w:rFonts w:ascii="Arial" w:hAnsi="Arial" w:cs="Arial"/>
          <w:i/>
        </w:rPr>
      </w:pPr>
    </w:p>
    <w:p w14:paraId="0AEB1B15" w14:textId="77777777" w:rsidR="0024282C" w:rsidRPr="00562062" w:rsidRDefault="0024282C" w:rsidP="00441B6F">
      <w:pPr>
        <w:pStyle w:val="Body"/>
        <w:spacing w:after="0"/>
        <w:rPr>
          <w:rFonts w:ascii="Arial" w:hAnsi="Arial" w:cs="Arial"/>
          <w:i/>
        </w:rPr>
      </w:pPr>
    </w:p>
    <w:p w14:paraId="787A9944" w14:textId="77777777" w:rsidR="00505F06" w:rsidRPr="00562062" w:rsidRDefault="00505F06" w:rsidP="00441B6F">
      <w:pPr>
        <w:pStyle w:val="Body"/>
        <w:spacing w:after="0"/>
        <w:rPr>
          <w:rFonts w:ascii="Arial" w:hAnsi="Arial" w:cs="Arial"/>
          <w:i/>
        </w:rPr>
      </w:pPr>
    </w:p>
    <w:p w14:paraId="1256BF17" w14:textId="4E18C69A" w:rsidR="007F7B32" w:rsidRPr="00562062" w:rsidRDefault="00902823" w:rsidP="008721DF">
      <w:pPr>
        <w:pStyle w:val="AbstHead"/>
        <w:spacing w:after="0"/>
        <w:rPr>
          <w:rFonts w:ascii="Arial" w:hAnsi="Arial" w:cs="Arial"/>
        </w:rPr>
      </w:pPr>
      <w:r w:rsidRPr="00562062">
        <w:rPr>
          <w:rFonts w:ascii="Arial" w:hAnsi="Arial" w:cs="Arial"/>
        </w:rPr>
        <w:t xml:space="preserve">1. </w:t>
      </w:r>
      <w:r w:rsidR="00B01FCD" w:rsidRPr="00562062">
        <w:rPr>
          <w:rFonts w:ascii="Arial" w:hAnsi="Arial" w:cs="Arial"/>
        </w:rPr>
        <w:t>INTRODUCTION</w:t>
      </w:r>
      <w:r w:rsidR="007F7B32" w:rsidRPr="00562062">
        <w:rPr>
          <w:rFonts w:ascii="Arial" w:hAnsi="Arial" w:cs="Arial"/>
        </w:rPr>
        <w:t xml:space="preserve"> </w:t>
      </w:r>
    </w:p>
    <w:p w14:paraId="24ED92B9" w14:textId="77777777" w:rsidR="00790ADA" w:rsidRPr="00562062" w:rsidRDefault="00790ADA" w:rsidP="00441B6F">
      <w:pPr>
        <w:pStyle w:val="AbstHead"/>
        <w:spacing w:after="0"/>
        <w:jc w:val="both"/>
        <w:rPr>
          <w:rFonts w:ascii="Arial" w:hAnsi="Arial" w:cs="Arial"/>
        </w:rPr>
      </w:pPr>
    </w:p>
    <w:p w14:paraId="76AF7C5C" w14:textId="2754A06A" w:rsidR="002220AD" w:rsidRPr="00562062" w:rsidRDefault="002220AD" w:rsidP="002220AD">
      <w:pPr>
        <w:pStyle w:val="Body"/>
        <w:spacing w:after="0"/>
        <w:rPr>
          <w:rFonts w:ascii="Arial" w:hAnsi="Arial" w:cs="Arial"/>
        </w:rPr>
      </w:pPr>
      <w:r w:rsidRPr="00562062">
        <w:rPr>
          <w:rFonts w:ascii="Arial" w:hAnsi="Arial" w:cs="Arial"/>
          <w:lang w:val="en-IN"/>
        </w:rPr>
        <w:t xml:space="preserve">The relentless pursuit of economic growth has been instrumental in alleviating poverty. It has also been crucial for raising living standards. However, this pursuit has precipitated an unprecedented environmental crisis. This crisis is epitomized by climate change. Climate change is driven largely by anthropogenic greenhouse gas emissions. </w:t>
      </w:r>
      <w:r w:rsidRPr="00562062">
        <w:rPr>
          <w:rFonts w:ascii="Arial" w:hAnsi="Arial" w:cs="Arial"/>
        </w:rPr>
        <w:t xml:space="preserve">Navigating the complex interplay between economic development and environmental sustainability has thus emerged as a paramount challenge for global policymakers, particularly in rapidly growing emerging economies. The Environmental Kuznets Curve (EKC) hypothesis provides a seminal framework for understanding this dynamic. It postulates an inverted U-shaped relationship between economic growth and environmental </w:t>
      </w:r>
      <w:r w:rsidR="00635E27" w:rsidRPr="00562062">
        <w:rPr>
          <w:rFonts w:ascii="Arial" w:hAnsi="Arial" w:cs="Arial"/>
        </w:rPr>
        <w:t>degradation.</w:t>
      </w:r>
      <w:r w:rsidR="00635E27" w:rsidRPr="00562062">
        <w:rPr>
          <w:rFonts w:ascii="Arial" w:hAnsi="Arial" w:cs="Arial"/>
          <w:lang w:val="en-IN"/>
        </w:rPr>
        <w:t xml:space="preserve"> This</w:t>
      </w:r>
      <w:r w:rsidRPr="00562062">
        <w:rPr>
          <w:rFonts w:ascii="Arial" w:hAnsi="Arial" w:cs="Arial"/>
          <w:lang w:val="en-IN"/>
        </w:rPr>
        <w:t xml:space="preserve"> suggests that environmental quality initially deteriorates in the early stages of economic development. However, it eventually improves after a certain income threshold is reached. </w:t>
      </w:r>
      <w:r w:rsidRPr="00562062">
        <w:rPr>
          <w:rFonts w:ascii="Arial" w:hAnsi="Arial" w:cs="Arial"/>
          <w:lang w:val="en-IN"/>
        </w:rPr>
        <w:lastRenderedPageBreak/>
        <w:t xml:space="preserve">This improvement occurs due to structural changes, </w:t>
      </w:r>
      <w:r w:rsidRPr="00562062">
        <w:rPr>
          <w:rFonts w:ascii="Arial" w:hAnsi="Arial" w:cs="Arial"/>
        </w:rPr>
        <w:t>technological innovation, and heightened environmental awareness (Grossman &amp; Krueger, 1995).</w:t>
      </w:r>
    </w:p>
    <w:p w14:paraId="66274BF1" w14:textId="77777777" w:rsidR="00AB09DE" w:rsidRPr="00720037" w:rsidRDefault="00AB09DE" w:rsidP="002220AD">
      <w:pPr>
        <w:pStyle w:val="Body"/>
        <w:spacing w:after="0"/>
        <w:rPr>
          <w:rFonts w:ascii="Arial" w:hAnsi="Arial" w:cs="Arial"/>
          <w:color w:val="EE0000"/>
        </w:rPr>
      </w:pPr>
      <w:r w:rsidRPr="00720037">
        <w:rPr>
          <w:rFonts w:ascii="Arial" w:hAnsi="Arial" w:cs="Arial"/>
          <w:color w:val="EE0000"/>
        </w:rPr>
        <w:t>India represents a critical and compelling case for examining this hypothesis. As the world's fifth-largest economy by nominal GDP (International Monetary Fund, 2023) and the third-largest emitter of carbon dioxide in absolute terms (Global Carbon Project, 2023), India sits at the heart of the global development-environment dilemma. Its remarkable economic expansion over the past three decades, fueled by industrialization and a growing middle class, has been accompanied by a surge in energy consumption and CO</w:t>
      </w:r>
      <w:r w:rsidRPr="00720037">
        <w:rPr>
          <w:rFonts w:ascii="Cambria Math" w:hAnsi="Cambria Math" w:cs="Cambria Math"/>
          <w:color w:val="EE0000"/>
        </w:rPr>
        <w:t>₂</w:t>
      </w:r>
      <w:r w:rsidRPr="00720037">
        <w:rPr>
          <w:rFonts w:ascii="Arial" w:hAnsi="Arial" w:cs="Arial"/>
          <w:color w:val="EE0000"/>
        </w:rPr>
        <w:t xml:space="preserve"> emissions, placing immense strain on its ecological systems and public health. Consequently, the country faces a formidable challenge: to maintain its growth trajectory and lift millions out of poverty while simultaneously </w:t>
      </w:r>
      <w:proofErr w:type="spellStart"/>
      <w:r w:rsidRPr="00720037">
        <w:rPr>
          <w:rFonts w:ascii="Arial" w:hAnsi="Arial" w:cs="Arial"/>
          <w:color w:val="EE0000"/>
        </w:rPr>
        <w:t>honouring</w:t>
      </w:r>
      <w:proofErr w:type="spellEnd"/>
      <w:r w:rsidRPr="00720037">
        <w:rPr>
          <w:rFonts w:ascii="Arial" w:hAnsi="Arial" w:cs="Arial"/>
          <w:color w:val="EE0000"/>
        </w:rPr>
        <w:t xml:space="preserve"> its international commitments under the Paris Agreement and pursuing the United Nations Sustainable Development Goals (SDGs). The urgency of this balancing act necessitates a nuanced and accurate understanding of the factors driving its environmental impact. While existing literature has explored this relationship, many studies rely on production-based emissions accounting, which fails to capture the full scope of India's carbon footprint in an increasingly globalized world. This study aims to fill this gap by employing a consumption-based metric, offering a more comprehensive ground for analysis that accounts for emissions embedded in trade. By integrating the roles of renewable energy and globalization into this refined framework, this analysis seeks to provide timely and policy-relevant insights into India's path towards sustainable development.</w:t>
      </w:r>
    </w:p>
    <w:p w14:paraId="2E07A3F3" w14:textId="4DBCFC49" w:rsidR="002220AD" w:rsidRPr="00562062" w:rsidRDefault="002220AD" w:rsidP="002220AD">
      <w:pPr>
        <w:pStyle w:val="Body"/>
        <w:spacing w:after="0"/>
        <w:rPr>
          <w:rFonts w:ascii="Arial" w:hAnsi="Arial" w:cs="Arial"/>
          <w:lang w:val="en-IN"/>
        </w:rPr>
      </w:pPr>
      <w:r w:rsidRPr="00562062">
        <w:rPr>
          <w:rFonts w:ascii="Arial" w:hAnsi="Arial" w:cs="Arial"/>
          <w:lang w:val="en-IN"/>
        </w:rPr>
        <w:t>To provide a comprehensive analysis, this paper is structured into five sections: following this introduction, section 2 reviews the relevant theoretical and empirical literature, section 3 outlines the data and methodology employed, section 4 presents and discusses the empirical results and section 5 concludes with the key findings and their policy.</w:t>
      </w:r>
    </w:p>
    <w:p w14:paraId="24D587A0" w14:textId="77777777" w:rsidR="009F1B35" w:rsidRPr="00562062" w:rsidRDefault="009F1B35" w:rsidP="002220AD">
      <w:pPr>
        <w:pStyle w:val="Body"/>
        <w:spacing w:after="0"/>
        <w:rPr>
          <w:rFonts w:ascii="Arial" w:hAnsi="Arial" w:cs="Arial"/>
          <w:lang w:val="en-IN"/>
        </w:rPr>
      </w:pPr>
    </w:p>
    <w:p w14:paraId="659D341A" w14:textId="77777777" w:rsidR="009F1B35" w:rsidRPr="00562062" w:rsidRDefault="009F1B35" w:rsidP="002220AD">
      <w:pPr>
        <w:pStyle w:val="Body"/>
        <w:spacing w:after="0"/>
        <w:rPr>
          <w:rFonts w:ascii="Arial" w:hAnsi="Arial" w:cs="Arial"/>
          <w:lang w:val="en-IN"/>
        </w:rPr>
      </w:pPr>
    </w:p>
    <w:p w14:paraId="2C42AD82" w14:textId="739A64E9" w:rsidR="00FF3E97" w:rsidRDefault="00FF3E97" w:rsidP="008721DF">
      <w:pPr>
        <w:pStyle w:val="Body"/>
        <w:spacing w:after="0"/>
        <w:jc w:val="left"/>
        <w:rPr>
          <w:rFonts w:ascii="Arial" w:hAnsi="Arial" w:cs="Arial"/>
          <w:b/>
          <w:bCs/>
          <w:sz w:val="22"/>
          <w:szCs w:val="22"/>
        </w:rPr>
      </w:pPr>
      <w:r w:rsidRPr="00562062">
        <w:rPr>
          <w:rFonts w:ascii="Arial" w:hAnsi="Arial" w:cs="Arial"/>
          <w:b/>
          <w:bCs/>
          <w:sz w:val="22"/>
          <w:szCs w:val="22"/>
        </w:rPr>
        <w:t xml:space="preserve">2. </w:t>
      </w:r>
      <w:r w:rsidR="00CF06AC" w:rsidRPr="00562062">
        <w:rPr>
          <w:rFonts w:ascii="Arial" w:hAnsi="Arial" w:cs="Arial"/>
          <w:b/>
          <w:bCs/>
          <w:sz w:val="22"/>
          <w:szCs w:val="22"/>
        </w:rPr>
        <w:t>LITERATURE REVIEW ON THE ENVIRONMENTAL KUZNETS CURVE (EKC) HYPOTHESIS</w:t>
      </w:r>
    </w:p>
    <w:p w14:paraId="0CA67E7A" w14:textId="77777777" w:rsidR="00F85718" w:rsidRDefault="00F85718" w:rsidP="008721DF">
      <w:pPr>
        <w:pStyle w:val="Body"/>
        <w:spacing w:after="0"/>
        <w:jc w:val="left"/>
        <w:rPr>
          <w:rFonts w:ascii="Arial" w:hAnsi="Arial" w:cs="Arial"/>
          <w:b/>
          <w:bCs/>
          <w:sz w:val="22"/>
          <w:szCs w:val="22"/>
        </w:rPr>
      </w:pPr>
    </w:p>
    <w:p w14:paraId="6CEBA412" w14:textId="5005E0EC" w:rsidR="00F85718" w:rsidRPr="00720037" w:rsidRDefault="00F85718" w:rsidP="00F85718">
      <w:pPr>
        <w:pStyle w:val="Body"/>
        <w:spacing w:after="0"/>
        <w:rPr>
          <w:rFonts w:ascii="Arial" w:hAnsi="Arial" w:cs="Arial"/>
          <w:color w:val="EE0000"/>
        </w:rPr>
      </w:pPr>
      <w:r w:rsidRPr="00720037">
        <w:rPr>
          <w:rFonts w:ascii="Arial" w:hAnsi="Arial" w:cs="Arial"/>
          <w:color w:val="EE0000"/>
        </w:rPr>
        <w:t>To systematically contextualize this study within the existing body of knowledge, the literature review is structured to first synthesize the empirical evidence specific to India, highlighting the inconsistent findings and ongoing debates regarding the EKC hypothesis. This is presented in a summarized tabular form (Table 2.1) for clarity and conciseness, allowing for an efficient comparison of study periods, methodologies, and divergent conclusions. Following this, the review expands to incorporate key global evidence (Table 2.2), which provides broader perspectives and helps identify common moderating factors and contextual differences. This bipartite structure—detailed national context followed by wider global insights—effectively maps the research landscape, clearly elucidates the contested nature of the EKC, and provides a solid foundation for identifying the specific research gaps that this study aims to address.</w:t>
      </w:r>
    </w:p>
    <w:p w14:paraId="54F9586E" w14:textId="77777777" w:rsidR="00F85718" w:rsidRPr="00F85718" w:rsidRDefault="00F85718" w:rsidP="00F85718">
      <w:pPr>
        <w:pStyle w:val="Body"/>
        <w:spacing w:after="0"/>
        <w:rPr>
          <w:rFonts w:ascii="Arial" w:hAnsi="Arial" w:cs="Arial"/>
        </w:rPr>
      </w:pPr>
    </w:p>
    <w:tbl>
      <w:tblPr>
        <w:tblStyle w:val="TableGrid"/>
        <w:tblW w:w="0" w:type="auto"/>
        <w:tblLook w:val="04A0" w:firstRow="1" w:lastRow="0" w:firstColumn="1" w:lastColumn="0" w:noHBand="0" w:noVBand="1"/>
      </w:tblPr>
      <w:tblGrid>
        <w:gridCol w:w="2117"/>
        <w:gridCol w:w="1028"/>
        <w:gridCol w:w="1073"/>
        <w:gridCol w:w="4639"/>
        <w:gridCol w:w="2159"/>
      </w:tblGrid>
      <w:tr w:rsidR="00FF3E97" w:rsidRPr="00562062" w14:paraId="4A9F8BFA" w14:textId="77777777" w:rsidTr="00373CF8">
        <w:tc>
          <w:tcPr>
            <w:tcW w:w="0" w:type="auto"/>
            <w:gridSpan w:val="5"/>
            <w:vAlign w:val="center"/>
          </w:tcPr>
          <w:p w14:paraId="15070D8D" w14:textId="01DEA513" w:rsidR="00FF3E97" w:rsidRPr="00562062" w:rsidRDefault="00850744" w:rsidP="00355CE0">
            <w:pPr>
              <w:pStyle w:val="Body"/>
              <w:spacing w:after="0"/>
              <w:jc w:val="center"/>
              <w:rPr>
                <w:rFonts w:ascii="Arial" w:eastAsia="Times New Roman" w:hAnsi="Arial" w:cs="Arial"/>
                <w:b/>
                <w:bCs/>
                <w:sz w:val="20"/>
                <w:szCs w:val="20"/>
              </w:rPr>
            </w:pPr>
            <w:r w:rsidRPr="00562062">
              <w:rPr>
                <w:rFonts w:ascii="Arial" w:eastAsia="Times New Roman" w:hAnsi="Arial" w:cs="Arial"/>
                <w:b/>
                <w:bCs/>
              </w:rPr>
              <w:t>2.</w:t>
            </w:r>
            <w:r w:rsidR="00FF3E97" w:rsidRPr="00562062">
              <w:rPr>
                <w:rFonts w:ascii="Arial" w:eastAsia="Times New Roman" w:hAnsi="Arial" w:cs="Arial"/>
                <w:b/>
                <w:bCs/>
              </w:rPr>
              <w:t>1 Evidence from India</w:t>
            </w:r>
          </w:p>
        </w:tc>
      </w:tr>
      <w:tr w:rsidR="00FF3E97" w:rsidRPr="00562062" w14:paraId="609B94DF" w14:textId="77777777" w:rsidTr="00373CF8">
        <w:tc>
          <w:tcPr>
            <w:tcW w:w="2117" w:type="dxa"/>
            <w:gridSpan w:val="2"/>
            <w:vAlign w:val="center"/>
          </w:tcPr>
          <w:p w14:paraId="65C9C0AC"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Author(s)</w:t>
            </w:r>
          </w:p>
        </w:tc>
        <w:tc>
          <w:tcPr>
            <w:tcW w:w="1073" w:type="dxa"/>
            <w:vAlign w:val="center"/>
          </w:tcPr>
          <w:p w14:paraId="07F171EF"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Study period</w:t>
            </w:r>
          </w:p>
        </w:tc>
        <w:tc>
          <w:tcPr>
            <w:tcW w:w="4639" w:type="dxa"/>
            <w:vAlign w:val="center"/>
          </w:tcPr>
          <w:p w14:paraId="54ACA36F"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Major findings</w:t>
            </w:r>
          </w:p>
        </w:tc>
        <w:tc>
          <w:tcPr>
            <w:tcW w:w="0" w:type="auto"/>
            <w:vAlign w:val="center"/>
          </w:tcPr>
          <w:p w14:paraId="7E06A958"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EKC (inverted-U)</w:t>
            </w:r>
          </w:p>
        </w:tc>
      </w:tr>
      <w:tr w:rsidR="00FF3E97" w:rsidRPr="00562062" w14:paraId="03E40A5B" w14:textId="77777777" w:rsidTr="00373CF8">
        <w:tc>
          <w:tcPr>
            <w:tcW w:w="2117" w:type="dxa"/>
            <w:gridSpan w:val="2"/>
            <w:vAlign w:val="center"/>
          </w:tcPr>
          <w:p w14:paraId="4BAB0B4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Tiwari et al. (2013)</w:t>
            </w:r>
          </w:p>
        </w:tc>
        <w:tc>
          <w:tcPr>
            <w:tcW w:w="1073" w:type="dxa"/>
            <w:vAlign w:val="center"/>
          </w:tcPr>
          <w:p w14:paraId="7BDB60B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1966–2011</w:t>
            </w:r>
          </w:p>
        </w:tc>
        <w:tc>
          <w:tcPr>
            <w:tcW w:w="4639" w:type="dxa"/>
            <w:vAlign w:val="center"/>
          </w:tcPr>
          <w:p w14:paraId="2A1AAE8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Coal consumption and trade openness contribute to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Bidirectional causality exists between economic growth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and between coal consumption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Trade openness Granger-causes economic growth, coal consumption,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w:t>
            </w:r>
          </w:p>
        </w:tc>
        <w:tc>
          <w:tcPr>
            <w:tcW w:w="0" w:type="auto"/>
            <w:vAlign w:val="center"/>
          </w:tcPr>
          <w:p w14:paraId="5CA6BE6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334F667D" w14:textId="77777777" w:rsidTr="00373CF8">
        <w:tc>
          <w:tcPr>
            <w:tcW w:w="2117" w:type="dxa"/>
            <w:gridSpan w:val="2"/>
            <w:vAlign w:val="center"/>
          </w:tcPr>
          <w:p w14:paraId="5E6E05B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Yang &amp; Zhao (2014)</w:t>
            </w:r>
          </w:p>
        </w:tc>
        <w:tc>
          <w:tcPr>
            <w:tcW w:w="1073" w:type="dxa"/>
            <w:vAlign w:val="center"/>
          </w:tcPr>
          <w:p w14:paraId="3DDE5AA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1970-2008</w:t>
            </w:r>
          </w:p>
        </w:tc>
        <w:tc>
          <w:tcPr>
            <w:tcW w:w="4639" w:type="dxa"/>
            <w:vAlign w:val="center"/>
          </w:tcPr>
          <w:p w14:paraId="1649A23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A two-way causal link exists between emissions and growth. Trade openness significantly influences energy use and emissions.</w:t>
            </w:r>
          </w:p>
        </w:tc>
        <w:tc>
          <w:tcPr>
            <w:tcW w:w="0" w:type="auto"/>
            <w:vAlign w:val="center"/>
          </w:tcPr>
          <w:p w14:paraId="21E041F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52219B3E" w14:textId="77777777" w:rsidTr="00373CF8">
        <w:tc>
          <w:tcPr>
            <w:tcW w:w="2117" w:type="dxa"/>
            <w:gridSpan w:val="2"/>
            <w:vAlign w:val="center"/>
          </w:tcPr>
          <w:p w14:paraId="081BA76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Murthy &amp; Gambhir (2018)</w:t>
            </w:r>
          </w:p>
        </w:tc>
        <w:tc>
          <w:tcPr>
            <w:tcW w:w="1073" w:type="dxa"/>
            <w:vAlign w:val="center"/>
          </w:tcPr>
          <w:p w14:paraId="27F0B8D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1991–2014</w:t>
            </w:r>
          </w:p>
        </w:tc>
        <w:tc>
          <w:tcPr>
            <w:tcW w:w="4639" w:type="dxa"/>
            <w:vAlign w:val="center"/>
          </w:tcPr>
          <w:p w14:paraId="58EEBA1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the Pollution Haven Hypothesis, showing FDI significantly increases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Policy must target both consumption patterns and screen polluting</w:t>
            </w:r>
          </w:p>
        </w:tc>
        <w:tc>
          <w:tcPr>
            <w:tcW w:w="0" w:type="auto"/>
            <w:vAlign w:val="center"/>
          </w:tcPr>
          <w:p w14:paraId="5966A70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7483F912" w14:textId="77777777" w:rsidTr="00373CF8">
        <w:tc>
          <w:tcPr>
            <w:tcW w:w="2117" w:type="dxa"/>
            <w:gridSpan w:val="2"/>
            <w:vAlign w:val="center"/>
          </w:tcPr>
          <w:p w14:paraId="6E4D771B" w14:textId="0A5C7ABC"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 xml:space="preserve">Sinha &amp; </w:t>
            </w:r>
            <w:r w:rsidR="00D44B27" w:rsidRPr="00562062">
              <w:rPr>
                <w:rFonts w:ascii="Arial" w:eastAsia="Times New Roman" w:hAnsi="Arial" w:cs="Arial"/>
                <w:sz w:val="20"/>
                <w:szCs w:val="20"/>
                <w:lang w:val="en-IN"/>
              </w:rPr>
              <w:t xml:space="preserve">Shahbaz </w:t>
            </w:r>
            <w:r w:rsidR="00D44B27" w:rsidRPr="00562062">
              <w:rPr>
                <w:rFonts w:ascii="Arial" w:hAnsi="Arial" w:cs="Arial"/>
                <w:lang w:val="en-IN"/>
              </w:rPr>
              <w:t>(</w:t>
            </w:r>
            <w:r w:rsidRPr="00562062">
              <w:rPr>
                <w:rFonts w:ascii="Arial" w:eastAsia="Times New Roman" w:hAnsi="Arial" w:cs="Arial"/>
                <w:sz w:val="20"/>
                <w:szCs w:val="20"/>
                <w:lang w:val="en-IN"/>
              </w:rPr>
              <w:t>2018)</w:t>
            </w:r>
          </w:p>
        </w:tc>
        <w:tc>
          <w:tcPr>
            <w:tcW w:w="1073" w:type="dxa"/>
            <w:vAlign w:val="center"/>
          </w:tcPr>
          <w:p w14:paraId="2CDF41F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1971-2015</w:t>
            </w:r>
          </w:p>
        </w:tc>
        <w:tc>
          <w:tcPr>
            <w:tcW w:w="4639" w:type="dxa"/>
            <w:vAlign w:val="center"/>
          </w:tcPr>
          <w:p w14:paraId="0BF3786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Renewable energy and Trade openness had a significant negative impact on CO2 emissions. Energy consumption and total factor productivity had positive effects.</w:t>
            </w:r>
          </w:p>
        </w:tc>
        <w:tc>
          <w:tcPr>
            <w:tcW w:w="0" w:type="auto"/>
            <w:vAlign w:val="center"/>
          </w:tcPr>
          <w:p w14:paraId="165FCE8F"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37219099" w14:textId="77777777" w:rsidTr="00373CF8">
        <w:tc>
          <w:tcPr>
            <w:tcW w:w="2117" w:type="dxa"/>
            <w:gridSpan w:val="2"/>
            <w:vAlign w:val="center"/>
          </w:tcPr>
          <w:p w14:paraId="05F71F6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Alam &amp; Adil (2019)</w:t>
            </w:r>
          </w:p>
        </w:tc>
        <w:tc>
          <w:tcPr>
            <w:tcW w:w="1073" w:type="dxa"/>
            <w:vAlign w:val="center"/>
          </w:tcPr>
          <w:p w14:paraId="747D640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1971–2016</w:t>
            </w:r>
          </w:p>
        </w:tc>
        <w:tc>
          <w:tcPr>
            <w:tcW w:w="4639" w:type="dxa"/>
            <w:vAlign w:val="center"/>
          </w:tcPr>
          <w:p w14:paraId="09741D3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Energy supply has a significant positive effect on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Economic growth and financial development have insignificant effects. Trade openness has a negative long-run effect.</w:t>
            </w:r>
          </w:p>
        </w:tc>
        <w:tc>
          <w:tcPr>
            <w:tcW w:w="0" w:type="auto"/>
            <w:vAlign w:val="center"/>
          </w:tcPr>
          <w:p w14:paraId="4690ABF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12EB6424" w14:textId="77777777" w:rsidTr="00373CF8">
        <w:tc>
          <w:tcPr>
            <w:tcW w:w="2117" w:type="dxa"/>
            <w:gridSpan w:val="2"/>
            <w:vAlign w:val="center"/>
          </w:tcPr>
          <w:p w14:paraId="1DB5191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Usman et al. (2019)</w:t>
            </w:r>
          </w:p>
        </w:tc>
        <w:tc>
          <w:tcPr>
            <w:tcW w:w="1073" w:type="dxa"/>
            <w:vAlign w:val="center"/>
          </w:tcPr>
          <w:p w14:paraId="478F991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1971–2014</w:t>
            </w:r>
          </w:p>
        </w:tc>
        <w:tc>
          <w:tcPr>
            <w:tcW w:w="4639" w:type="dxa"/>
            <w:vAlign w:val="center"/>
          </w:tcPr>
          <w:p w14:paraId="6AEFC64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 xml:space="preserve">Energy consumption increases environmental degradation in both the long and short run. </w:t>
            </w:r>
            <w:r w:rsidRPr="00562062">
              <w:rPr>
                <w:rFonts w:ascii="Arial" w:eastAsia="Times New Roman" w:hAnsi="Arial" w:cs="Arial"/>
                <w:sz w:val="20"/>
                <w:szCs w:val="20"/>
                <w:lang w:val="en-IN"/>
              </w:rPr>
              <w:lastRenderedPageBreak/>
              <w:t>Democracy has a weak (insignificant) effect on reducing degradation in the long run but a strong (significant) effect in the short run.</w:t>
            </w:r>
          </w:p>
        </w:tc>
        <w:tc>
          <w:tcPr>
            <w:tcW w:w="0" w:type="auto"/>
            <w:vAlign w:val="center"/>
          </w:tcPr>
          <w:p w14:paraId="0B95F52D"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supported</w:t>
            </w:r>
          </w:p>
        </w:tc>
      </w:tr>
      <w:tr w:rsidR="00FF3E97" w:rsidRPr="00562062" w14:paraId="680D6692" w14:textId="77777777" w:rsidTr="00373CF8">
        <w:tc>
          <w:tcPr>
            <w:tcW w:w="2117" w:type="dxa"/>
            <w:gridSpan w:val="2"/>
            <w:vAlign w:val="center"/>
          </w:tcPr>
          <w:p w14:paraId="6B6D73AB"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Behera (2021)</w:t>
            </w:r>
          </w:p>
        </w:tc>
        <w:tc>
          <w:tcPr>
            <w:tcW w:w="1073" w:type="dxa"/>
            <w:vAlign w:val="center"/>
          </w:tcPr>
          <w:p w14:paraId="60FB68F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1971-2016</w:t>
            </w:r>
          </w:p>
        </w:tc>
        <w:tc>
          <w:tcPr>
            <w:tcW w:w="4639" w:type="dxa"/>
            <w:vAlign w:val="center"/>
          </w:tcPr>
          <w:p w14:paraId="27F6EA0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Found a long-run equilibrium relationship between CO2 emissions, energy consumption, and economic growth.</w:t>
            </w:r>
          </w:p>
        </w:tc>
        <w:tc>
          <w:tcPr>
            <w:tcW w:w="0" w:type="auto"/>
            <w:vAlign w:val="center"/>
          </w:tcPr>
          <w:p w14:paraId="467DED8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673B3419" w14:textId="77777777" w:rsidTr="00373CF8">
        <w:tc>
          <w:tcPr>
            <w:tcW w:w="2117" w:type="dxa"/>
            <w:gridSpan w:val="2"/>
            <w:vAlign w:val="center"/>
          </w:tcPr>
          <w:p w14:paraId="6524E0C7" w14:textId="6A35D7EF" w:rsidR="00FF3E97" w:rsidRPr="00562062" w:rsidRDefault="00FF3E97" w:rsidP="00FF3E97">
            <w:pPr>
              <w:pStyle w:val="Body"/>
              <w:spacing w:after="0"/>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Villanthenkodath</w:t>
            </w:r>
            <w:proofErr w:type="spellEnd"/>
            <w:r w:rsidR="00D44B27" w:rsidRPr="00562062">
              <w:rPr>
                <w:rFonts w:ascii="Arial" w:eastAsia="Times New Roman" w:hAnsi="Arial" w:cs="Arial"/>
                <w:sz w:val="20"/>
                <w:szCs w:val="20"/>
                <w:lang w:val="en-IN"/>
              </w:rPr>
              <w:t xml:space="preserve"> </w:t>
            </w:r>
            <w:r w:rsidRPr="00562062">
              <w:rPr>
                <w:rFonts w:ascii="Arial" w:eastAsia="Times New Roman" w:hAnsi="Arial" w:cs="Arial"/>
                <w:sz w:val="20"/>
                <w:szCs w:val="20"/>
                <w:lang w:val="en-IN"/>
              </w:rPr>
              <w:t>et al. (2021)</w:t>
            </w:r>
          </w:p>
        </w:tc>
        <w:tc>
          <w:tcPr>
            <w:tcW w:w="1073" w:type="dxa"/>
            <w:vAlign w:val="center"/>
          </w:tcPr>
          <w:p w14:paraId="52D0282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1971–2014</w:t>
            </w:r>
          </w:p>
        </w:tc>
        <w:tc>
          <w:tcPr>
            <w:tcW w:w="4639" w:type="dxa"/>
            <w:vAlign w:val="center"/>
          </w:tcPr>
          <w:p w14:paraId="16A155A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Population and energy structure (fossil fuel share) increased emissions, while urbanization reduced them. Causality runs from energy structure to economic growth.</w:t>
            </w:r>
          </w:p>
        </w:tc>
        <w:tc>
          <w:tcPr>
            <w:tcW w:w="0" w:type="auto"/>
            <w:vAlign w:val="center"/>
          </w:tcPr>
          <w:p w14:paraId="465FE0AD"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7AABAE11" w14:textId="77777777" w:rsidTr="00373CF8">
        <w:tc>
          <w:tcPr>
            <w:tcW w:w="2117" w:type="dxa"/>
            <w:gridSpan w:val="2"/>
            <w:vAlign w:val="center"/>
          </w:tcPr>
          <w:p w14:paraId="654A8875"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Uche et al. (2022)</w:t>
            </w:r>
          </w:p>
        </w:tc>
        <w:tc>
          <w:tcPr>
            <w:tcW w:w="1073" w:type="dxa"/>
            <w:vAlign w:val="center"/>
          </w:tcPr>
          <w:p w14:paraId="7761E77D"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1980–2018</w:t>
            </w:r>
          </w:p>
        </w:tc>
        <w:tc>
          <w:tcPr>
            <w:tcW w:w="4639" w:type="dxa"/>
            <w:vAlign w:val="center"/>
          </w:tcPr>
          <w:p w14:paraId="01FA9156"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Environmental-control technology had only short-term insignificant effects. Energy consumption and urbanization significantly increased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w:t>
            </w:r>
          </w:p>
        </w:tc>
        <w:tc>
          <w:tcPr>
            <w:tcW w:w="0" w:type="auto"/>
            <w:vAlign w:val="center"/>
          </w:tcPr>
          <w:p w14:paraId="04A64B8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2D8562F8" w14:textId="77777777" w:rsidTr="00373CF8">
        <w:tc>
          <w:tcPr>
            <w:tcW w:w="2117" w:type="dxa"/>
            <w:gridSpan w:val="2"/>
            <w:vAlign w:val="center"/>
          </w:tcPr>
          <w:p w14:paraId="2741ABF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Qayoom &amp; Altaf (2024)</w:t>
            </w:r>
          </w:p>
        </w:tc>
        <w:tc>
          <w:tcPr>
            <w:tcW w:w="1073" w:type="dxa"/>
            <w:vAlign w:val="center"/>
          </w:tcPr>
          <w:p w14:paraId="1D6EFFB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1965-2022</w:t>
            </w:r>
          </w:p>
        </w:tc>
        <w:tc>
          <w:tcPr>
            <w:tcW w:w="4639" w:type="dxa"/>
            <w:vAlign w:val="center"/>
          </w:tcPr>
          <w:p w14:paraId="4654F94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Found an inverted N-shaped EKC in the long run for both the basic and interaction models. Energy consumption had a detrimental effect on environmental quality, while trade openness had a positive effect.</w:t>
            </w:r>
          </w:p>
        </w:tc>
        <w:tc>
          <w:tcPr>
            <w:tcW w:w="0" w:type="auto"/>
            <w:vAlign w:val="center"/>
          </w:tcPr>
          <w:p w14:paraId="44EC04E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3C99FA3D" w14:textId="77777777" w:rsidTr="00373CF8">
        <w:tc>
          <w:tcPr>
            <w:tcW w:w="0" w:type="auto"/>
            <w:gridSpan w:val="5"/>
            <w:vAlign w:val="center"/>
          </w:tcPr>
          <w:p w14:paraId="71329563" w14:textId="20AA3921" w:rsidR="00FF3E97" w:rsidRPr="00562062" w:rsidRDefault="000B7EF9" w:rsidP="00D44B27">
            <w:pPr>
              <w:pStyle w:val="Body"/>
              <w:spacing w:after="0"/>
              <w:jc w:val="center"/>
              <w:rPr>
                <w:rFonts w:ascii="Arial" w:eastAsia="Times New Roman" w:hAnsi="Arial" w:cs="Arial"/>
                <w:sz w:val="20"/>
                <w:szCs w:val="20"/>
              </w:rPr>
            </w:pPr>
            <w:r w:rsidRPr="00562062">
              <w:rPr>
                <w:rFonts w:ascii="Arial" w:eastAsia="Times New Roman" w:hAnsi="Arial" w:cs="Arial"/>
                <w:b/>
                <w:bCs/>
              </w:rPr>
              <w:t>2.</w:t>
            </w:r>
            <w:r w:rsidRPr="00562062">
              <w:rPr>
                <w:rFonts w:ascii="Arial" w:hAnsi="Arial" w:cs="Arial"/>
                <w:b/>
                <w:bCs/>
              </w:rPr>
              <w:t>2 Global</w:t>
            </w:r>
            <w:r w:rsidR="00FF3E97" w:rsidRPr="00562062">
              <w:rPr>
                <w:rFonts w:ascii="Arial" w:eastAsia="Times New Roman" w:hAnsi="Arial" w:cs="Arial"/>
                <w:b/>
                <w:bCs/>
              </w:rPr>
              <w:t xml:space="preserve"> Evidence and Divergent Perspectives</w:t>
            </w:r>
          </w:p>
        </w:tc>
      </w:tr>
      <w:tr w:rsidR="00FF3E97" w:rsidRPr="00562062" w14:paraId="0837EC14" w14:textId="77777777" w:rsidTr="00373CF8">
        <w:tc>
          <w:tcPr>
            <w:tcW w:w="0" w:type="auto"/>
            <w:vAlign w:val="center"/>
          </w:tcPr>
          <w:p w14:paraId="7A21D8FD"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Author(s)</w:t>
            </w:r>
          </w:p>
        </w:tc>
        <w:tc>
          <w:tcPr>
            <w:tcW w:w="916" w:type="dxa"/>
            <w:vAlign w:val="center"/>
          </w:tcPr>
          <w:p w14:paraId="7F8E5226"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Country</w:t>
            </w:r>
          </w:p>
        </w:tc>
        <w:tc>
          <w:tcPr>
            <w:tcW w:w="1073" w:type="dxa"/>
            <w:vAlign w:val="center"/>
          </w:tcPr>
          <w:p w14:paraId="11F27FE8"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Study period</w:t>
            </w:r>
          </w:p>
        </w:tc>
        <w:tc>
          <w:tcPr>
            <w:tcW w:w="4639" w:type="dxa"/>
            <w:vAlign w:val="center"/>
          </w:tcPr>
          <w:p w14:paraId="1F21A3C0"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Major findings</w:t>
            </w:r>
          </w:p>
        </w:tc>
        <w:tc>
          <w:tcPr>
            <w:tcW w:w="0" w:type="auto"/>
            <w:vAlign w:val="center"/>
          </w:tcPr>
          <w:p w14:paraId="6893C6A1"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EKC (inverted-U)</w:t>
            </w:r>
          </w:p>
        </w:tc>
      </w:tr>
      <w:tr w:rsidR="00FF3E97" w:rsidRPr="00562062" w14:paraId="13BE802D" w14:textId="77777777" w:rsidTr="00373CF8">
        <w:tc>
          <w:tcPr>
            <w:tcW w:w="0" w:type="auto"/>
            <w:vAlign w:val="center"/>
          </w:tcPr>
          <w:p w14:paraId="646869B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Ahmed et al. (2014)</w:t>
            </w:r>
          </w:p>
        </w:tc>
        <w:tc>
          <w:tcPr>
            <w:tcW w:w="916" w:type="dxa"/>
            <w:vAlign w:val="center"/>
          </w:tcPr>
          <w:p w14:paraId="14ACA95D"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rPr>
              <w:t>Pakistan</w:t>
            </w:r>
          </w:p>
        </w:tc>
        <w:tc>
          <w:tcPr>
            <w:tcW w:w="1073" w:type="dxa"/>
            <w:vAlign w:val="center"/>
          </w:tcPr>
          <w:p w14:paraId="3EEA0F61"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rPr>
              <w:t>1980-2013</w:t>
            </w:r>
          </w:p>
        </w:tc>
        <w:tc>
          <w:tcPr>
            <w:tcW w:w="4639" w:type="dxa"/>
            <w:vAlign w:val="center"/>
          </w:tcPr>
          <w:p w14:paraId="345CD7B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Growth, energy use, and population raise deforestation short run; effects decline long run; trade openness reduces deforestation.</w:t>
            </w:r>
          </w:p>
        </w:tc>
        <w:tc>
          <w:tcPr>
            <w:tcW w:w="0" w:type="auto"/>
            <w:vAlign w:val="center"/>
          </w:tcPr>
          <w:p w14:paraId="68CCCC1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21FE06B5" w14:textId="77777777" w:rsidTr="00373CF8">
        <w:tc>
          <w:tcPr>
            <w:tcW w:w="0" w:type="auto"/>
            <w:vAlign w:val="center"/>
          </w:tcPr>
          <w:p w14:paraId="0E47EE7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Farhani &amp; Abdelaziz, (2014)</w:t>
            </w:r>
          </w:p>
        </w:tc>
        <w:tc>
          <w:tcPr>
            <w:tcW w:w="916" w:type="dxa"/>
            <w:vAlign w:val="center"/>
          </w:tcPr>
          <w:p w14:paraId="7893A32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Tunisia</w:t>
            </w:r>
          </w:p>
        </w:tc>
        <w:tc>
          <w:tcPr>
            <w:tcW w:w="1073" w:type="dxa"/>
            <w:vAlign w:val="center"/>
          </w:tcPr>
          <w:p w14:paraId="52E69576"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1971–2012</w:t>
            </w:r>
          </w:p>
        </w:tc>
        <w:tc>
          <w:tcPr>
            <w:tcW w:w="4639" w:type="dxa"/>
            <w:vAlign w:val="center"/>
          </w:tcPr>
          <w:p w14:paraId="7300B39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Energy consumption and trade openness increase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income has nonlinear effect</w:t>
            </w:r>
          </w:p>
        </w:tc>
        <w:tc>
          <w:tcPr>
            <w:tcW w:w="0" w:type="auto"/>
            <w:vAlign w:val="center"/>
          </w:tcPr>
          <w:p w14:paraId="7CF6C55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0A0977CA" w14:textId="77777777" w:rsidTr="00373CF8">
        <w:tc>
          <w:tcPr>
            <w:tcW w:w="0" w:type="auto"/>
            <w:vAlign w:val="center"/>
          </w:tcPr>
          <w:p w14:paraId="29540EB8"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Al-</w:t>
            </w:r>
            <w:proofErr w:type="spellStart"/>
            <w:r w:rsidRPr="00562062">
              <w:rPr>
                <w:rFonts w:ascii="Arial" w:eastAsia="Times New Roman" w:hAnsi="Arial" w:cs="Arial"/>
                <w:sz w:val="20"/>
                <w:szCs w:val="20"/>
                <w:lang w:val="en-IN"/>
              </w:rPr>
              <w:t>Mulali</w:t>
            </w:r>
            <w:proofErr w:type="spellEnd"/>
            <w:r w:rsidRPr="00562062">
              <w:rPr>
                <w:rFonts w:ascii="Arial" w:eastAsia="Times New Roman" w:hAnsi="Arial" w:cs="Arial"/>
                <w:sz w:val="20"/>
                <w:szCs w:val="20"/>
                <w:lang w:val="en-IN"/>
              </w:rPr>
              <w:t>, et al. (2015)</w:t>
            </w:r>
          </w:p>
        </w:tc>
        <w:tc>
          <w:tcPr>
            <w:tcW w:w="916" w:type="dxa"/>
            <w:vAlign w:val="center"/>
          </w:tcPr>
          <w:p w14:paraId="18C56ED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Kenya</w:t>
            </w:r>
          </w:p>
        </w:tc>
        <w:tc>
          <w:tcPr>
            <w:tcW w:w="1073" w:type="dxa"/>
            <w:vAlign w:val="center"/>
          </w:tcPr>
          <w:p w14:paraId="6939878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1990–2012</w:t>
            </w:r>
          </w:p>
        </w:tc>
        <w:tc>
          <w:tcPr>
            <w:tcW w:w="4639" w:type="dxa"/>
            <w:vAlign w:val="center"/>
          </w:tcPr>
          <w:p w14:paraId="5F10BE40"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Found positive link between growth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validated EKC hypothesis using ARDL.</w:t>
            </w:r>
          </w:p>
        </w:tc>
        <w:tc>
          <w:tcPr>
            <w:tcW w:w="0" w:type="auto"/>
            <w:vAlign w:val="center"/>
          </w:tcPr>
          <w:p w14:paraId="205F7B4A"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supported</w:t>
            </w:r>
          </w:p>
        </w:tc>
      </w:tr>
      <w:tr w:rsidR="00FF3E97" w:rsidRPr="00562062" w14:paraId="20E51DCC" w14:textId="77777777" w:rsidTr="00373CF8">
        <w:tc>
          <w:tcPr>
            <w:tcW w:w="0" w:type="auto"/>
            <w:vAlign w:val="center"/>
          </w:tcPr>
          <w:p w14:paraId="284532D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Shahbaz et al. (2015)</w:t>
            </w:r>
          </w:p>
        </w:tc>
        <w:tc>
          <w:tcPr>
            <w:tcW w:w="916" w:type="dxa"/>
            <w:vAlign w:val="center"/>
          </w:tcPr>
          <w:p w14:paraId="01BB126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India</w:t>
            </w:r>
          </w:p>
        </w:tc>
        <w:tc>
          <w:tcPr>
            <w:tcW w:w="1073" w:type="dxa"/>
            <w:vAlign w:val="center"/>
          </w:tcPr>
          <w:p w14:paraId="00BDE625"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1970-2012</w:t>
            </w:r>
          </w:p>
        </w:tc>
        <w:tc>
          <w:tcPr>
            <w:tcW w:w="4639" w:type="dxa"/>
            <w:vAlign w:val="center"/>
          </w:tcPr>
          <w:p w14:paraId="1032BC1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Social &amp; political globalization and energy consumption increase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economic globalization shows a negative association; economic growth and financial development raise emissions</w:t>
            </w:r>
          </w:p>
        </w:tc>
        <w:tc>
          <w:tcPr>
            <w:tcW w:w="0" w:type="auto"/>
            <w:vAlign w:val="center"/>
          </w:tcPr>
          <w:p w14:paraId="0565792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277A622D" w14:textId="77777777" w:rsidTr="00373CF8">
        <w:tc>
          <w:tcPr>
            <w:tcW w:w="0" w:type="auto"/>
            <w:vAlign w:val="center"/>
          </w:tcPr>
          <w:p w14:paraId="10B4DE3B"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Haq et al. (2016)</w:t>
            </w:r>
          </w:p>
        </w:tc>
        <w:tc>
          <w:tcPr>
            <w:tcW w:w="916" w:type="dxa"/>
            <w:vAlign w:val="center"/>
          </w:tcPr>
          <w:p w14:paraId="05BE2F31"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Morocco</w:t>
            </w:r>
          </w:p>
        </w:tc>
        <w:tc>
          <w:tcPr>
            <w:tcW w:w="1073" w:type="dxa"/>
            <w:vAlign w:val="center"/>
          </w:tcPr>
          <w:p w14:paraId="6C250F4A"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1971–2011</w:t>
            </w:r>
          </w:p>
        </w:tc>
        <w:tc>
          <w:tcPr>
            <w:tcW w:w="4639" w:type="dxa"/>
            <w:vAlign w:val="center"/>
          </w:tcPr>
          <w:p w14:paraId="64C8755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Growth worsens environment. Moroccan economy is still in its early stage of development</w:t>
            </w:r>
          </w:p>
        </w:tc>
        <w:tc>
          <w:tcPr>
            <w:tcW w:w="0" w:type="auto"/>
            <w:vAlign w:val="center"/>
          </w:tcPr>
          <w:p w14:paraId="794A03A2"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Not supported</w:t>
            </w:r>
          </w:p>
        </w:tc>
      </w:tr>
      <w:tr w:rsidR="00FF3E97" w:rsidRPr="00562062" w14:paraId="624DD00A" w14:textId="77777777" w:rsidTr="00373CF8">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tblGrid>
            <w:tr w:rsidR="00FF3E97" w:rsidRPr="00562062" w14:paraId="4FF13B98" w14:textId="77777777" w:rsidTr="00373CF8">
              <w:trPr>
                <w:tblCellSpacing w:w="15" w:type="dxa"/>
              </w:trPr>
              <w:tc>
                <w:tcPr>
                  <w:tcW w:w="855" w:type="dxa"/>
                  <w:vAlign w:val="center"/>
                  <w:hideMark/>
                </w:tcPr>
                <w:p w14:paraId="1D1529CC" w14:textId="77777777" w:rsidR="00FF3E97" w:rsidRPr="00562062" w:rsidRDefault="00FF3E97" w:rsidP="00FF3E97">
                  <w:pPr>
                    <w:pStyle w:val="Body"/>
                    <w:rPr>
                      <w:rFonts w:ascii="Arial" w:hAnsi="Arial" w:cs="Arial"/>
                    </w:rPr>
                  </w:pPr>
                  <w:r w:rsidRPr="00562062">
                    <w:rPr>
                      <w:rFonts w:ascii="Arial" w:hAnsi="Arial" w:cs="Arial"/>
                    </w:rPr>
                    <w:t>Och (2017)</w:t>
                  </w:r>
                </w:p>
              </w:tc>
            </w:tr>
          </w:tbl>
          <w:p w14:paraId="748810CE" w14:textId="77777777" w:rsidR="00FF3E97" w:rsidRPr="00562062" w:rsidRDefault="00FF3E97" w:rsidP="00FF3E97">
            <w:pPr>
              <w:pStyle w:val="Body"/>
              <w:spacing w:after="0"/>
              <w:rPr>
                <w:rFonts w:ascii="Arial" w:eastAsia="Times New Roman"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F3E97" w:rsidRPr="00562062" w14:paraId="5D755E8E" w14:textId="77777777" w:rsidTr="00373CF8">
              <w:trPr>
                <w:tblCellSpacing w:w="15" w:type="dxa"/>
              </w:trPr>
              <w:tc>
                <w:tcPr>
                  <w:tcW w:w="36" w:type="dxa"/>
                  <w:vAlign w:val="center"/>
                  <w:hideMark/>
                </w:tcPr>
                <w:p w14:paraId="22F99FD4" w14:textId="77777777" w:rsidR="00FF3E97" w:rsidRPr="00562062" w:rsidRDefault="00FF3E97" w:rsidP="00FF3E97">
                  <w:pPr>
                    <w:pStyle w:val="Body"/>
                    <w:rPr>
                      <w:rFonts w:ascii="Arial" w:hAnsi="Arial" w:cs="Arial"/>
                    </w:rPr>
                  </w:pPr>
                </w:p>
              </w:tc>
            </w:tr>
          </w:tbl>
          <w:p w14:paraId="7AB965EB" w14:textId="77777777" w:rsidR="00FF3E97" w:rsidRPr="00562062" w:rsidRDefault="00FF3E97" w:rsidP="00FF3E97">
            <w:pPr>
              <w:pStyle w:val="Body"/>
              <w:spacing w:after="0"/>
              <w:rPr>
                <w:rFonts w:ascii="Arial" w:eastAsia="Times New Roman" w:hAnsi="Arial" w:cs="Arial"/>
                <w:sz w:val="20"/>
                <w:szCs w:val="20"/>
                <w:lang w:val="en-IN"/>
              </w:rPr>
            </w:pPr>
          </w:p>
        </w:tc>
        <w:tc>
          <w:tcPr>
            <w:tcW w:w="916" w:type="dxa"/>
            <w:vAlign w:val="center"/>
          </w:tcPr>
          <w:p w14:paraId="3587DDA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Mongolia</w:t>
            </w:r>
          </w:p>
        </w:tc>
        <w:tc>
          <w:tcPr>
            <w:tcW w:w="1073" w:type="dxa"/>
            <w:vAlign w:val="center"/>
          </w:tcPr>
          <w:p w14:paraId="384E740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1981–2012</w:t>
            </w:r>
          </w:p>
        </w:tc>
        <w:tc>
          <w:tcPr>
            <w:tcW w:w="4639" w:type="dxa"/>
            <w:vAlign w:val="center"/>
          </w:tcPr>
          <w:p w14:paraId="34C62B2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Tested EKC with nitrous oxide emissions</w:t>
            </w:r>
          </w:p>
        </w:tc>
        <w:tc>
          <w:tcPr>
            <w:tcW w:w="0" w:type="auto"/>
            <w:vAlign w:val="center"/>
          </w:tcPr>
          <w:p w14:paraId="31714AC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480041B5" w14:textId="77777777" w:rsidTr="00373CF8">
        <w:tc>
          <w:tcPr>
            <w:tcW w:w="0" w:type="auto"/>
            <w:vAlign w:val="center"/>
          </w:tcPr>
          <w:p w14:paraId="5E32E81F"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Danish et al. (2020)</w:t>
            </w:r>
          </w:p>
        </w:tc>
        <w:tc>
          <w:tcPr>
            <w:tcW w:w="916" w:type="dxa"/>
            <w:vAlign w:val="center"/>
          </w:tcPr>
          <w:p w14:paraId="61FFDAF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rPr>
              <w:t>Pakistan</w:t>
            </w:r>
          </w:p>
        </w:tc>
        <w:tc>
          <w:tcPr>
            <w:tcW w:w="1073" w:type="dxa"/>
            <w:vAlign w:val="center"/>
          </w:tcPr>
          <w:p w14:paraId="2F7FBFD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1971–2014</w:t>
            </w:r>
          </w:p>
        </w:tc>
        <w:tc>
          <w:tcPr>
            <w:tcW w:w="4639" w:type="dxa"/>
            <w:vAlign w:val="center"/>
          </w:tcPr>
          <w:p w14:paraId="52EFAF5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Urbanization, income, and energy use raise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renewable energy reduces emissions; long-run cointegration confirmed.</w:t>
            </w:r>
          </w:p>
        </w:tc>
        <w:tc>
          <w:tcPr>
            <w:tcW w:w="0" w:type="auto"/>
            <w:vAlign w:val="center"/>
          </w:tcPr>
          <w:p w14:paraId="502574D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3A20C534" w14:textId="77777777" w:rsidTr="00373CF8">
        <w:tc>
          <w:tcPr>
            <w:tcW w:w="0" w:type="auto"/>
            <w:vAlign w:val="center"/>
          </w:tcPr>
          <w:p w14:paraId="4CE5A248" w14:textId="77777777" w:rsidR="00FF3E97" w:rsidRPr="00562062" w:rsidRDefault="00FF3E97" w:rsidP="00FF3E97">
            <w:pPr>
              <w:pStyle w:val="Body"/>
              <w:spacing w:after="0"/>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Asongu</w:t>
            </w:r>
            <w:proofErr w:type="spellEnd"/>
            <w:r w:rsidRPr="00562062">
              <w:rPr>
                <w:rFonts w:ascii="Arial" w:eastAsia="Times New Roman" w:hAnsi="Arial" w:cs="Arial"/>
                <w:sz w:val="20"/>
                <w:szCs w:val="20"/>
                <w:lang w:val="en-IN"/>
              </w:rPr>
              <w:t xml:space="preserve"> et al. (2020)</w:t>
            </w:r>
          </w:p>
        </w:tc>
        <w:tc>
          <w:tcPr>
            <w:tcW w:w="916" w:type="dxa"/>
            <w:vAlign w:val="center"/>
          </w:tcPr>
          <w:p w14:paraId="208F82B8"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Sub-Saharan Africa</w:t>
            </w:r>
          </w:p>
        </w:tc>
        <w:tc>
          <w:tcPr>
            <w:tcW w:w="1073" w:type="dxa"/>
            <w:vAlign w:val="center"/>
          </w:tcPr>
          <w:p w14:paraId="3C96892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1981–2014</w:t>
            </w:r>
          </w:p>
        </w:tc>
        <w:tc>
          <w:tcPr>
            <w:tcW w:w="4639" w:type="dxa"/>
            <w:vAlign w:val="center"/>
          </w:tcPr>
          <w:p w14:paraId="7618CC3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Economic growth and energy use increase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renewable energy and institutional quality mitigate emissions.</w:t>
            </w:r>
          </w:p>
        </w:tc>
        <w:tc>
          <w:tcPr>
            <w:tcW w:w="0" w:type="auto"/>
            <w:vAlign w:val="center"/>
          </w:tcPr>
          <w:p w14:paraId="305EA65B"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2536ACF8" w14:textId="77777777" w:rsidTr="00373CF8">
        <w:tc>
          <w:tcPr>
            <w:tcW w:w="0" w:type="auto"/>
            <w:vAlign w:val="center"/>
          </w:tcPr>
          <w:p w14:paraId="163A350F"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Murshed et al. (2021)</w:t>
            </w:r>
          </w:p>
        </w:tc>
        <w:tc>
          <w:tcPr>
            <w:tcW w:w="916" w:type="dxa"/>
            <w:vAlign w:val="center"/>
          </w:tcPr>
          <w:p w14:paraId="521239C5"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South Asia</w:t>
            </w:r>
          </w:p>
        </w:tc>
        <w:tc>
          <w:tcPr>
            <w:tcW w:w="1073" w:type="dxa"/>
            <w:vAlign w:val="center"/>
          </w:tcPr>
          <w:p w14:paraId="203F12AF"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1995–2015</w:t>
            </w:r>
          </w:p>
        </w:tc>
        <w:tc>
          <w:tcPr>
            <w:tcW w:w="4639" w:type="dxa"/>
            <w:vAlign w:val="center"/>
          </w:tcPr>
          <w:p w14:paraId="2EBC8E6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Renewable electricity output reduce carbon footprint; Financial development, urbanization, and trade openness increase environmental degradation</w:t>
            </w:r>
          </w:p>
        </w:tc>
        <w:tc>
          <w:tcPr>
            <w:tcW w:w="0" w:type="auto"/>
            <w:vAlign w:val="center"/>
          </w:tcPr>
          <w:p w14:paraId="12B0D70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 (Except Pakistan)</w:t>
            </w:r>
          </w:p>
        </w:tc>
      </w:tr>
      <w:tr w:rsidR="00FF3E97" w:rsidRPr="00562062" w14:paraId="7EC48C64" w14:textId="77777777" w:rsidTr="00373CF8">
        <w:tc>
          <w:tcPr>
            <w:tcW w:w="0" w:type="auto"/>
            <w:vAlign w:val="center"/>
          </w:tcPr>
          <w:p w14:paraId="3D96761E"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Warsame et al. (2024)</w:t>
            </w:r>
          </w:p>
        </w:tc>
        <w:tc>
          <w:tcPr>
            <w:tcW w:w="916" w:type="dxa"/>
            <w:vAlign w:val="center"/>
          </w:tcPr>
          <w:p w14:paraId="503E3670"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Kenya</w:t>
            </w:r>
          </w:p>
        </w:tc>
        <w:tc>
          <w:tcPr>
            <w:tcW w:w="1073" w:type="dxa"/>
            <w:vAlign w:val="center"/>
          </w:tcPr>
          <w:p w14:paraId="7DBB42D9"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1990–2018</w:t>
            </w:r>
          </w:p>
        </w:tc>
        <w:tc>
          <w:tcPr>
            <w:tcW w:w="4639" w:type="dxa"/>
            <w:vAlign w:val="center"/>
          </w:tcPr>
          <w:p w14:paraId="140068B5"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Globalization improves environmental quality; renewable energy is insignificant in the long run; growth raises emissions while squared growth reduces them</w:t>
            </w:r>
          </w:p>
        </w:tc>
        <w:tc>
          <w:tcPr>
            <w:tcW w:w="0" w:type="auto"/>
            <w:vAlign w:val="center"/>
          </w:tcPr>
          <w:p w14:paraId="6EBDB48E"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supported</w:t>
            </w:r>
          </w:p>
        </w:tc>
      </w:tr>
    </w:tbl>
    <w:p w14:paraId="2BF11694" w14:textId="77777777" w:rsidR="009F1B35" w:rsidRPr="00562062" w:rsidRDefault="009F1B35" w:rsidP="002220AD">
      <w:pPr>
        <w:pStyle w:val="Body"/>
        <w:spacing w:after="0"/>
        <w:rPr>
          <w:rFonts w:ascii="Arial" w:hAnsi="Arial" w:cs="Arial"/>
        </w:rPr>
      </w:pPr>
    </w:p>
    <w:p w14:paraId="405DC44D" w14:textId="77777777" w:rsidR="00790ADA" w:rsidRPr="00562062" w:rsidRDefault="00790ADA" w:rsidP="00441B6F">
      <w:pPr>
        <w:pStyle w:val="Body"/>
        <w:spacing w:after="0"/>
        <w:rPr>
          <w:rFonts w:ascii="Arial" w:hAnsi="Arial" w:cs="Arial"/>
        </w:rPr>
      </w:pPr>
    </w:p>
    <w:p w14:paraId="05D15CB6" w14:textId="6A4BB1FE" w:rsidR="004C0F66" w:rsidRPr="00562062" w:rsidRDefault="00AB564E" w:rsidP="00FA638B">
      <w:pPr>
        <w:pStyle w:val="AbstHead"/>
        <w:spacing w:after="0"/>
        <w:rPr>
          <w:rFonts w:ascii="Arial" w:hAnsi="Arial" w:cs="Arial"/>
          <w:bCs/>
          <w:szCs w:val="18"/>
        </w:rPr>
      </w:pPr>
      <w:r w:rsidRPr="00562062">
        <w:rPr>
          <w:rFonts w:ascii="Arial" w:hAnsi="Arial" w:cs="Arial"/>
          <w:bCs/>
          <w:szCs w:val="18"/>
        </w:rPr>
        <w:lastRenderedPageBreak/>
        <w:t xml:space="preserve">2.3 </w:t>
      </w:r>
      <w:r w:rsidR="00CF06AC" w:rsidRPr="00562062">
        <w:rPr>
          <w:rFonts w:ascii="Arial" w:hAnsi="Arial" w:cs="Arial"/>
          <w:bCs/>
          <w:caps w:val="0"/>
          <w:szCs w:val="18"/>
        </w:rPr>
        <w:t>Research Gap</w:t>
      </w:r>
    </w:p>
    <w:p w14:paraId="4BDE6FC8" w14:textId="77777777" w:rsidR="004C0F66" w:rsidRPr="00562062" w:rsidRDefault="004C0F66" w:rsidP="004C0F66">
      <w:pPr>
        <w:pStyle w:val="AbstHead"/>
        <w:spacing w:after="0"/>
        <w:jc w:val="both"/>
        <w:rPr>
          <w:rFonts w:ascii="Arial" w:hAnsi="Arial" w:cs="Arial"/>
          <w:b w:val="0"/>
          <w:caps w:val="0"/>
          <w:sz w:val="20"/>
          <w:lang w:val="en-IN"/>
        </w:rPr>
      </w:pPr>
      <w:r w:rsidRPr="00562062">
        <w:rPr>
          <w:rFonts w:ascii="Arial" w:hAnsi="Arial" w:cs="Arial"/>
          <w:b w:val="0"/>
          <w:caps w:val="0"/>
          <w:sz w:val="20"/>
          <w:lang w:val="en-IN"/>
        </w:rPr>
        <w:t>The extant literature on the EKC in India is vast yet characterized by inconsistent findings, with studies validating (e.g., Sinha &amp; Shahbaz, 2018; Uche et al., 2022), rejecting (e.g., Alam &amp; Adil, 2019; Villanthenkodath et al., 2021), or identifying more complex shapes (Qayoom &amp; Altaf, 2024) for the hypothesis. A critical limitation pervading this body of work is the predominant reliance on production-based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 which account for emissions generated within a country's territorial boundaries. This approach overlooks the embedded emissions in international trade—a significant factor for a globally integrated economy like India. Consumption-based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 which adjust for trade by including emissions embedded in imports and excluding those in exports, offer a more comprehensive measure of a nation's carbon footprint and responsibility.</w:t>
      </w:r>
    </w:p>
    <w:p w14:paraId="2F73384E" w14:textId="77777777" w:rsidR="004C0F66" w:rsidRPr="00562062" w:rsidRDefault="004C0F66" w:rsidP="004C0F66">
      <w:pPr>
        <w:pStyle w:val="AbstHead"/>
        <w:spacing w:after="0"/>
        <w:jc w:val="both"/>
        <w:rPr>
          <w:rFonts w:ascii="Arial" w:hAnsi="Arial" w:cs="Arial"/>
          <w:b w:val="0"/>
          <w:caps w:val="0"/>
          <w:sz w:val="20"/>
          <w:lang w:val="en-IN"/>
        </w:rPr>
      </w:pPr>
      <w:r w:rsidRPr="00562062">
        <w:rPr>
          <w:rFonts w:ascii="Arial" w:hAnsi="Arial" w:cs="Arial"/>
          <w:b w:val="0"/>
          <w:caps w:val="0"/>
          <w:sz w:val="20"/>
          <w:lang w:val="en-IN"/>
        </w:rPr>
        <w:t>Furthermore, while factors like energy consumption and trade openness have been extensively studied, the roles of renewable energy and globalization—two pivotal forces shaping India's contemporary economic and environmental landscape—remain underexplored within a consumption-based accounting framework. The distinct, interactive effects of shifting towards clean energy and deepening global integration on India's emissions trajectory are not yet fully understood. This study seeks to fill these salient gaps.</w:t>
      </w:r>
    </w:p>
    <w:p w14:paraId="08325523" w14:textId="77777777" w:rsidR="004C0F66" w:rsidRPr="00562062" w:rsidRDefault="004C0F66" w:rsidP="00441B6F">
      <w:pPr>
        <w:pStyle w:val="AbstHead"/>
        <w:spacing w:after="0"/>
        <w:jc w:val="both"/>
        <w:rPr>
          <w:rFonts w:ascii="Arial" w:hAnsi="Arial" w:cs="Arial"/>
          <w:b w:val="0"/>
          <w:caps w:val="0"/>
          <w:sz w:val="20"/>
          <w:lang w:val="en-IN"/>
        </w:rPr>
      </w:pPr>
    </w:p>
    <w:p w14:paraId="39007442" w14:textId="40356F64" w:rsidR="00382807" w:rsidRPr="00562062" w:rsidRDefault="00382807" w:rsidP="00382807">
      <w:pPr>
        <w:pStyle w:val="AbstHead"/>
        <w:spacing w:after="0"/>
        <w:rPr>
          <w:rFonts w:ascii="Arial" w:hAnsi="Arial" w:cs="Arial"/>
          <w:bCs/>
        </w:rPr>
      </w:pPr>
      <w:r w:rsidRPr="00562062">
        <w:rPr>
          <w:rFonts w:ascii="Arial" w:hAnsi="Arial" w:cs="Arial"/>
          <w:bCs/>
        </w:rPr>
        <w:t xml:space="preserve">2.4 </w:t>
      </w:r>
      <w:r w:rsidRPr="00562062">
        <w:rPr>
          <w:rFonts w:ascii="Arial" w:hAnsi="Arial" w:cs="Arial"/>
          <w:bCs/>
          <w:caps w:val="0"/>
        </w:rPr>
        <w:t>Research Contribution</w:t>
      </w:r>
    </w:p>
    <w:p w14:paraId="6178D72D" w14:textId="77777777" w:rsidR="00382807" w:rsidRPr="00562062" w:rsidRDefault="00382807" w:rsidP="00382807">
      <w:pPr>
        <w:pStyle w:val="AbstHead"/>
        <w:spacing w:after="0"/>
        <w:jc w:val="both"/>
        <w:rPr>
          <w:rFonts w:ascii="Arial" w:hAnsi="Arial" w:cs="Arial"/>
          <w:b w:val="0"/>
          <w:caps w:val="0"/>
          <w:sz w:val="20"/>
          <w:lang w:val="en-IN"/>
        </w:rPr>
      </w:pPr>
      <w:r w:rsidRPr="00562062">
        <w:rPr>
          <w:rFonts w:ascii="Arial" w:hAnsi="Arial" w:cs="Arial"/>
          <w:b w:val="0"/>
          <w:caps w:val="0"/>
          <w:sz w:val="20"/>
          <w:lang w:val="en-IN"/>
        </w:rPr>
        <w:t>This research contributes to the literature in several meaningful ways. It is one of the first empirical investigations to test the EKC hypothesis for India using a consumption-based emissions metric, providing a more accurate assessment of the country's carbon footprint. By integrating renewable energy consumption and the KOF Globalization Index into the analytical framework, the study offers fresh insights into the moderating factors that can decouple economic growth from environmental degradation. The study also offers policy-relevant insights to guide sustainable growth strategies that balance economic expansion with environmental quality.</w:t>
      </w:r>
    </w:p>
    <w:p w14:paraId="0939C59F" w14:textId="77777777" w:rsidR="004C0F66" w:rsidRPr="00562062" w:rsidRDefault="004C0F66" w:rsidP="00441B6F">
      <w:pPr>
        <w:pStyle w:val="AbstHead"/>
        <w:spacing w:after="0"/>
        <w:jc w:val="both"/>
        <w:rPr>
          <w:rFonts w:ascii="Arial" w:hAnsi="Arial" w:cs="Arial"/>
        </w:rPr>
      </w:pPr>
    </w:p>
    <w:p w14:paraId="206D40DB" w14:textId="364AFB90" w:rsidR="002E1723" w:rsidRPr="00562062" w:rsidRDefault="002E1723" w:rsidP="002E1723">
      <w:pPr>
        <w:pStyle w:val="AbstHead"/>
        <w:spacing w:after="0"/>
        <w:rPr>
          <w:rFonts w:ascii="Arial" w:hAnsi="Arial" w:cs="Arial"/>
          <w:bCs/>
        </w:rPr>
      </w:pPr>
      <w:r w:rsidRPr="00562062">
        <w:rPr>
          <w:rFonts w:ascii="Arial" w:hAnsi="Arial" w:cs="Arial"/>
          <w:bCs/>
        </w:rPr>
        <w:t xml:space="preserve">2.5 </w:t>
      </w:r>
      <w:r w:rsidRPr="00562062">
        <w:rPr>
          <w:rFonts w:ascii="Arial" w:hAnsi="Arial" w:cs="Arial"/>
          <w:bCs/>
          <w:caps w:val="0"/>
        </w:rPr>
        <w:t>Research Objectives</w:t>
      </w:r>
    </w:p>
    <w:p w14:paraId="1A5DC723" w14:textId="77777777" w:rsidR="002E1723" w:rsidRPr="00562062" w:rsidRDefault="002E1723" w:rsidP="00323E0E">
      <w:pPr>
        <w:pStyle w:val="AbstHead"/>
        <w:numPr>
          <w:ilvl w:val="0"/>
          <w:numId w:val="31"/>
        </w:numPr>
        <w:spacing w:after="0"/>
        <w:jc w:val="both"/>
        <w:rPr>
          <w:rFonts w:ascii="Arial" w:hAnsi="Arial" w:cs="Arial"/>
          <w:b w:val="0"/>
          <w:caps w:val="0"/>
          <w:sz w:val="20"/>
          <w:lang w:val="en-IN"/>
        </w:rPr>
      </w:pPr>
      <w:r w:rsidRPr="00562062">
        <w:rPr>
          <w:rFonts w:ascii="Arial" w:hAnsi="Arial" w:cs="Arial"/>
          <w:b w:val="0"/>
          <w:caps w:val="0"/>
          <w:sz w:val="20"/>
          <w:lang w:val="en-IN"/>
        </w:rPr>
        <w:t>To test the validity of the Environmental Kuznets Curve (EKC) hypothesis for consumption-based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 in India.</w:t>
      </w:r>
    </w:p>
    <w:p w14:paraId="1AAD3853" w14:textId="77777777" w:rsidR="002E1723" w:rsidRPr="00562062" w:rsidRDefault="002E1723" w:rsidP="00323E0E">
      <w:pPr>
        <w:pStyle w:val="AbstHead"/>
        <w:numPr>
          <w:ilvl w:val="0"/>
          <w:numId w:val="31"/>
        </w:numPr>
        <w:spacing w:after="0"/>
        <w:jc w:val="both"/>
        <w:rPr>
          <w:rFonts w:ascii="Arial" w:hAnsi="Arial" w:cs="Arial"/>
          <w:b w:val="0"/>
          <w:caps w:val="0"/>
          <w:sz w:val="20"/>
          <w:lang w:val="en-IN"/>
        </w:rPr>
      </w:pPr>
      <w:r w:rsidRPr="00562062">
        <w:rPr>
          <w:rFonts w:ascii="Arial" w:hAnsi="Arial" w:cs="Arial"/>
          <w:b w:val="0"/>
          <w:caps w:val="0"/>
          <w:sz w:val="20"/>
          <w:lang w:val="en-IN"/>
        </w:rPr>
        <w:t>To examine the effect of renewable energy consumption on India’s consumption-based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w:t>
      </w:r>
    </w:p>
    <w:p w14:paraId="02567AE2" w14:textId="77777777" w:rsidR="002E1723" w:rsidRPr="00562062" w:rsidRDefault="002E1723" w:rsidP="00323E0E">
      <w:pPr>
        <w:pStyle w:val="AbstHead"/>
        <w:numPr>
          <w:ilvl w:val="0"/>
          <w:numId w:val="31"/>
        </w:numPr>
        <w:spacing w:after="0"/>
        <w:jc w:val="both"/>
        <w:rPr>
          <w:rFonts w:ascii="Arial" w:hAnsi="Arial" w:cs="Arial"/>
          <w:b w:val="0"/>
          <w:caps w:val="0"/>
          <w:sz w:val="20"/>
          <w:lang w:val="en-IN"/>
        </w:rPr>
      </w:pPr>
      <w:r w:rsidRPr="00562062">
        <w:rPr>
          <w:rFonts w:ascii="Arial" w:hAnsi="Arial" w:cs="Arial"/>
          <w:b w:val="0"/>
          <w:caps w:val="0"/>
          <w:sz w:val="20"/>
          <w:lang w:val="en-IN"/>
        </w:rPr>
        <w:t>To assess the role of globalization in shaping India’s environmental quality.</w:t>
      </w:r>
    </w:p>
    <w:p w14:paraId="7B42BE67" w14:textId="77777777" w:rsidR="004C0F66" w:rsidRPr="00562062" w:rsidRDefault="004C0F66" w:rsidP="00441B6F">
      <w:pPr>
        <w:pStyle w:val="AbstHead"/>
        <w:spacing w:after="0"/>
        <w:jc w:val="both"/>
        <w:rPr>
          <w:rFonts w:ascii="Arial" w:hAnsi="Arial" w:cs="Arial"/>
        </w:rPr>
      </w:pPr>
    </w:p>
    <w:p w14:paraId="371E13F1" w14:textId="77777777" w:rsidR="008A64D9" w:rsidRPr="00562062" w:rsidRDefault="008A64D9" w:rsidP="008A64D9">
      <w:pPr>
        <w:spacing w:before="100" w:beforeAutospacing="1" w:after="100" w:afterAutospacing="1"/>
        <w:outlineLvl w:val="2"/>
        <w:rPr>
          <w:rFonts w:ascii="Arial" w:hAnsi="Arial" w:cs="Arial"/>
          <w:b/>
          <w:bCs/>
          <w:sz w:val="22"/>
        </w:rPr>
      </w:pPr>
      <w:r w:rsidRPr="00562062">
        <w:rPr>
          <w:rFonts w:ascii="Arial" w:hAnsi="Arial" w:cs="Arial"/>
          <w:b/>
          <w:bCs/>
          <w:sz w:val="22"/>
        </w:rPr>
        <w:t>2.6 Research Hypotheses</w:t>
      </w:r>
    </w:p>
    <w:p w14:paraId="36CA2B2E" w14:textId="77777777" w:rsidR="002077BE" w:rsidRPr="00720037" w:rsidRDefault="002077BE" w:rsidP="00441B6F">
      <w:pPr>
        <w:pStyle w:val="AbstHead"/>
        <w:spacing w:after="0"/>
        <w:jc w:val="both"/>
        <w:rPr>
          <w:rFonts w:ascii="Arial" w:hAnsi="Arial" w:cs="Arial"/>
          <w:b w:val="0"/>
          <w:caps w:val="0"/>
          <w:color w:val="EE0000"/>
          <w:sz w:val="20"/>
          <w:lang w:val="en-IN"/>
        </w:rPr>
      </w:pPr>
      <w:r w:rsidRPr="002077BE">
        <w:rPr>
          <w:rFonts w:ascii="Arial" w:hAnsi="Arial" w:cs="Arial"/>
          <w:b w:val="0"/>
          <w:caps w:val="0"/>
          <w:sz w:val="20"/>
          <w:lang w:val="en-IN"/>
        </w:rPr>
        <w:t xml:space="preserve">Derived </w:t>
      </w:r>
      <w:r w:rsidRPr="00720037">
        <w:rPr>
          <w:rFonts w:ascii="Arial" w:hAnsi="Arial" w:cs="Arial"/>
          <w:b w:val="0"/>
          <w:caps w:val="0"/>
          <w:color w:val="EE0000"/>
          <w:sz w:val="20"/>
          <w:lang w:val="en-IN"/>
        </w:rPr>
        <w:t xml:space="preserve">from the objectives and the critical synthesis of the literature presented in Section 2, the study tests the following hypotheses. The formulation of these hypotheses is directly informed by the conflicting results and identified gaps in the extant studies. </w:t>
      </w:r>
    </w:p>
    <w:p w14:paraId="65657CC7" w14:textId="77777777" w:rsidR="00677158" w:rsidRPr="00720037" w:rsidRDefault="00677158" w:rsidP="00441B6F">
      <w:pPr>
        <w:pStyle w:val="AbstHead"/>
        <w:spacing w:after="0"/>
        <w:jc w:val="both"/>
        <w:rPr>
          <w:rFonts w:ascii="Arial" w:hAnsi="Arial" w:cs="Arial"/>
          <w:b w:val="0"/>
          <w:caps w:val="0"/>
          <w:color w:val="EE0000"/>
          <w:sz w:val="20"/>
          <w:lang w:val="en-IN"/>
        </w:rPr>
      </w:pPr>
    </w:p>
    <w:p w14:paraId="0F00B72E" w14:textId="3079D031" w:rsidR="002077BE" w:rsidRPr="00720037" w:rsidRDefault="002077BE" w:rsidP="002077BE">
      <w:pPr>
        <w:pStyle w:val="AbstHead"/>
        <w:spacing w:after="0"/>
        <w:jc w:val="both"/>
        <w:rPr>
          <w:rFonts w:ascii="Arial" w:hAnsi="Arial" w:cs="Arial"/>
          <w:b w:val="0"/>
          <w:caps w:val="0"/>
          <w:color w:val="EE0000"/>
          <w:sz w:val="20"/>
          <w:lang w:val="en-IN"/>
        </w:rPr>
      </w:pPr>
      <w:r w:rsidRPr="00720037">
        <w:rPr>
          <w:rFonts w:ascii="Arial" w:hAnsi="Arial" w:cs="Arial"/>
          <w:b w:val="0"/>
          <w:caps w:val="0"/>
          <w:color w:val="EE0000"/>
          <w:sz w:val="20"/>
          <w:lang w:val="en-IN"/>
        </w:rPr>
        <w:t>H1a: There exists an inverted u-shaped relationship between economic growth and consumption based co</w:t>
      </w:r>
      <w:r w:rsidRPr="00720037">
        <w:rPr>
          <w:rFonts w:ascii="Arial" w:hAnsi="Arial" w:cs="Arial"/>
          <w:b w:val="0"/>
          <w:caps w:val="0"/>
          <w:color w:val="EE0000"/>
          <w:sz w:val="20"/>
          <w:vertAlign w:val="subscript"/>
          <w:lang w:val="en-IN"/>
        </w:rPr>
        <w:t>2</w:t>
      </w:r>
      <w:r w:rsidRPr="00720037">
        <w:rPr>
          <w:rFonts w:ascii="Arial" w:hAnsi="Arial" w:cs="Arial"/>
          <w:b w:val="0"/>
          <w:caps w:val="0"/>
          <w:color w:val="EE0000"/>
          <w:sz w:val="20"/>
          <w:lang w:val="en-IN"/>
        </w:rPr>
        <w:t xml:space="preserve"> emission in India, supporting the EKC hypothesis.</w:t>
      </w:r>
    </w:p>
    <w:p w14:paraId="0B4A7865" w14:textId="1D9C91C6" w:rsidR="004C0F66" w:rsidRPr="00720037" w:rsidRDefault="002077BE" w:rsidP="002077BE">
      <w:pPr>
        <w:pStyle w:val="AbstHead"/>
        <w:spacing w:after="0"/>
        <w:jc w:val="both"/>
        <w:rPr>
          <w:rFonts w:ascii="Arial" w:hAnsi="Arial" w:cs="Arial"/>
          <w:b w:val="0"/>
          <w:caps w:val="0"/>
          <w:color w:val="EE0000"/>
          <w:sz w:val="20"/>
          <w:lang w:val="en-IN"/>
        </w:rPr>
      </w:pPr>
      <w:r w:rsidRPr="00720037">
        <w:rPr>
          <w:rFonts w:ascii="Arial" w:hAnsi="Arial" w:cs="Arial"/>
          <w:b w:val="0"/>
          <w:caps w:val="0"/>
          <w:color w:val="EE0000"/>
          <w:sz w:val="20"/>
          <w:lang w:val="en-IN"/>
        </w:rPr>
        <w:t>(Justification: This is informed by studies for India that have found support for the EKC (e.g., Sinha &amp; Shahbaz, 2018; Uche et al., 2022; Behera, 2021), suggesting India may be approaching or has reached a turning point.)</w:t>
      </w:r>
    </w:p>
    <w:p w14:paraId="5D978946" w14:textId="77777777" w:rsidR="002077BE" w:rsidRPr="00720037" w:rsidRDefault="002077BE" w:rsidP="00441B6F">
      <w:pPr>
        <w:pStyle w:val="AbstHead"/>
        <w:spacing w:after="0"/>
        <w:jc w:val="both"/>
        <w:rPr>
          <w:rFonts w:ascii="Arial" w:hAnsi="Arial" w:cs="Arial"/>
          <w:b w:val="0"/>
          <w:bCs/>
          <w:color w:val="EE0000"/>
        </w:rPr>
      </w:pPr>
    </w:p>
    <w:p w14:paraId="25288F0A" w14:textId="722BCBB6" w:rsidR="002077BE" w:rsidRPr="00720037" w:rsidRDefault="00677158" w:rsidP="00677158">
      <w:pPr>
        <w:jc w:val="both"/>
        <w:rPr>
          <w:rFonts w:ascii="Arial" w:hAnsi="Arial" w:cs="Arial"/>
          <w:color w:val="EE0000"/>
          <w:lang w:val="en-IN"/>
        </w:rPr>
      </w:pPr>
      <w:r w:rsidRPr="00720037">
        <w:rPr>
          <w:rFonts w:ascii="Arial" w:hAnsi="Arial" w:cs="Arial"/>
          <w:color w:val="EE0000"/>
          <w:lang w:val="en-IN"/>
        </w:rPr>
        <w:t>H1b: There is no inverted U-shaped relationship between economic growth and consumption-based CO</w:t>
      </w:r>
      <w:r w:rsidRPr="00720037">
        <w:rPr>
          <w:rFonts w:ascii="Cambria Math" w:hAnsi="Cambria Math" w:cs="Cambria Math"/>
          <w:color w:val="EE0000"/>
          <w:lang w:val="en-IN"/>
        </w:rPr>
        <w:t>₂</w:t>
      </w:r>
      <w:r w:rsidRPr="00720037">
        <w:rPr>
          <w:rFonts w:ascii="Arial" w:hAnsi="Arial" w:cs="Arial"/>
          <w:color w:val="EE0000"/>
          <w:lang w:val="en-IN"/>
        </w:rPr>
        <w:t xml:space="preserve"> emissions in India (the EKC hypothesis does not hold).</w:t>
      </w:r>
    </w:p>
    <w:p w14:paraId="5C4D79CA" w14:textId="015CAE99" w:rsidR="002077BE" w:rsidRPr="00720037" w:rsidRDefault="00677158" w:rsidP="00677158">
      <w:pPr>
        <w:jc w:val="both"/>
        <w:rPr>
          <w:rFonts w:ascii="Arial" w:hAnsi="Arial" w:cs="Arial"/>
          <w:color w:val="EE0000"/>
          <w:szCs w:val="18"/>
        </w:rPr>
      </w:pPr>
      <w:r w:rsidRPr="00720037">
        <w:rPr>
          <w:rFonts w:ascii="Arial" w:hAnsi="Arial" w:cs="Arial"/>
          <w:color w:val="EE0000"/>
          <w:szCs w:val="18"/>
        </w:rPr>
        <w:t xml:space="preserve">(Justification: This competing hypothesis is grounded in studies that reject the EKC for India (e.g., Alam &amp; Adil, 2019; </w:t>
      </w:r>
      <w:proofErr w:type="spellStart"/>
      <w:r w:rsidRPr="00720037">
        <w:rPr>
          <w:rFonts w:ascii="Arial" w:hAnsi="Arial" w:cs="Arial"/>
          <w:color w:val="EE0000"/>
          <w:szCs w:val="18"/>
        </w:rPr>
        <w:t>Villanthenkodath</w:t>
      </w:r>
      <w:proofErr w:type="spellEnd"/>
      <w:r w:rsidRPr="00720037">
        <w:rPr>
          <w:rFonts w:ascii="Arial" w:hAnsi="Arial" w:cs="Arial"/>
          <w:color w:val="EE0000"/>
          <w:szCs w:val="18"/>
        </w:rPr>
        <w:t xml:space="preserve"> et al., 2021) or find more complex shapes (Qayoom &amp; Altaf, 2024), indicating the relationship may not be straightforward or the turning point not yet attained.)</w:t>
      </w:r>
    </w:p>
    <w:p w14:paraId="5FB76B11" w14:textId="77777777" w:rsidR="00677158" w:rsidRPr="00720037" w:rsidRDefault="00677158" w:rsidP="00851A08">
      <w:pPr>
        <w:rPr>
          <w:rFonts w:ascii="Arial" w:hAnsi="Arial" w:cs="Arial"/>
          <w:color w:val="EE0000"/>
          <w:szCs w:val="18"/>
        </w:rPr>
      </w:pPr>
    </w:p>
    <w:p w14:paraId="528E1FDC" w14:textId="0170CEBA" w:rsidR="002077BE" w:rsidRPr="00720037" w:rsidRDefault="00677158" w:rsidP="00851A08">
      <w:pPr>
        <w:rPr>
          <w:rFonts w:ascii="Arial" w:hAnsi="Arial" w:cs="Arial"/>
          <w:color w:val="EE0000"/>
          <w:szCs w:val="18"/>
        </w:rPr>
      </w:pPr>
      <w:r w:rsidRPr="00720037">
        <w:rPr>
          <w:rFonts w:ascii="Arial" w:hAnsi="Arial" w:cs="Arial"/>
          <w:color w:val="EE0000"/>
          <w:szCs w:val="18"/>
        </w:rPr>
        <w:t>H2a: Renewable energy consumption reduces consumption-based CO</w:t>
      </w:r>
      <w:r w:rsidRPr="00720037">
        <w:rPr>
          <w:rFonts w:ascii="Cambria Math" w:hAnsi="Cambria Math" w:cs="Cambria Math"/>
          <w:color w:val="EE0000"/>
          <w:szCs w:val="18"/>
        </w:rPr>
        <w:t>₂</w:t>
      </w:r>
      <w:r w:rsidRPr="00720037">
        <w:rPr>
          <w:rFonts w:ascii="Arial" w:hAnsi="Arial" w:cs="Arial"/>
          <w:color w:val="EE0000"/>
          <w:szCs w:val="18"/>
        </w:rPr>
        <w:t xml:space="preserve"> emissions in India (negative and significant effect)</w:t>
      </w:r>
    </w:p>
    <w:p w14:paraId="2A846987" w14:textId="716B36B3" w:rsidR="002077BE" w:rsidRPr="00720037" w:rsidRDefault="00677158" w:rsidP="00677158">
      <w:pPr>
        <w:jc w:val="both"/>
        <w:rPr>
          <w:rFonts w:ascii="Arial" w:hAnsi="Arial" w:cs="Arial"/>
          <w:color w:val="EE0000"/>
          <w:szCs w:val="18"/>
        </w:rPr>
      </w:pPr>
      <w:r w:rsidRPr="00720037">
        <w:rPr>
          <w:rFonts w:ascii="Arial" w:hAnsi="Arial" w:cs="Arial"/>
          <w:b/>
          <w:bCs/>
          <w:i/>
          <w:iCs/>
          <w:color w:val="EE0000"/>
          <w:sz w:val="22"/>
        </w:rPr>
        <w:t>(</w:t>
      </w:r>
      <w:r w:rsidRPr="00720037">
        <w:rPr>
          <w:rFonts w:ascii="Arial" w:hAnsi="Arial" w:cs="Arial"/>
          <w:color w:val="EE0000"/>
          <w:szCs w:val="18"/>
        </w:rPr>
        <w:t xml:space="preserve">Justification: This expectation is strongly supported by both Indian (Sinha &amp; Shahbaz, 2018) and global empirical evidence (e.g., Danish et al., 2020; </w:t>
      </w:r>
      <w:proofErr w:type="spellStart"/>
      <w:r w:rsidRPr="00720037">
        <w:rPr>
          <w:rFonts w:ascii="Arial" w:hAnsi="Arial" w:cs="Arial"/>
          <w:color w:val="EE0000"/>
          <w:szCs w:val="18"/>
        </w:rPr>
        <w:t>Asongu</w:t>
      </w:r>
      <w:proofErr w:type="spellEnd"/>
      <w:r w:rsidRPr="00720037">
        <w:rPr>
          <w:rFonts w:ascii="Arial" w:hAnsi="Arial" w:cs="Arial"/>
          <w:color w:val="EE0000"/>
          <w:szCs w:val="18"/>
        </w:rPr>
        <w:t xml:space="preserve"> et al., 2020; Murshed et al., 2021) which consistently show the mitigating effect of clean energy on environmental degradation).</w:t>
      </w:r>
    </w:p>
    <w:p w14:paraId="22C519CF" w14:textId="77777777" w:rsidR="00677158" w:rsidRPr="00720037" w:rsidRDefault="00677158" w:rsidP="00677158">
      <w:pPr>
        <w:jc w:val="both"/>
        <w:rPr>
          <w:rFonts w:ascii="Arial" w:hAnsi="Arial" w:cs="Arial"/>
          <w:color w:val="EE0000"/>
          <w:szCs w:val="18"/>
        </w:rPr>
      </w:pPr>
    </w:p>
    <w:p w14:paraId="6ACDEAA1" w14:textId="1A935F8B" w:rsidR="00677158" w:rsidRPr="00720037" w:rsidRDefault="00677158" w:rsidP="00677158">
      <w:pPr>
        <w:jc w:val="both"/>
        <w:rPr>
          <w:rFonts w:ascii="Arial" w:hAnsi="Arial" w:cs="Arial"/>
          <w:color w:val="EE0000"/>
          <w:szCs w:val="18"/>
        </w:rPr>
      </w:pPr>
      <w:r w:rsidRPr="00720037">
        <w:rPr>
          <w:rFonts w:ascii="Arial" w:hAnsi="Arial" w:cs="Arial"/>
          <w:color w:val="EE0000"/>
          <w:szCs w:val="18"/>
        </w:rPr>
        <w:t>H2b: Renewable energy consumption does not significantly reduce consumption-based CO</w:t>
      </w:r>
      <w:r w:rsidRPr="00720037">
        <w:rPr>
          <w:rFonts w:ascii="Cambria Math" w:hAnsi="Cambria Math" w:cs="Cambria Math"/>
          <w:color w:val="EE0000"/>
          <w:szCs w:val="18"/>
        </w:rPr>
        <w:t>₂</w:t>
      </w:r>
      <w:r w:rsidRPr="00720037">
        <w:rPr>
          <w:rFonts w:ascii="Arial" w:hAnsi="Arial" w:cs="Arial"/>
          <w:color w:val="EE0000"/>
          <w:szCs w:val="18"/>
        </w:rPr>
        <w:t xml:space="preserve"> emissions in India or may even increase them due to technological or structural constraints.</w:t>
      </w:r>
    </w:p>
    <w:p w14:paraId="0BCAA5BC" w14:textId="076747D8" w:rsidR="00677158" w:rsidRPr="00720037" w:rsidRDefault="00677158" w:rsidP="00677158">
      <w:pPr>
        <w:jc w:val="both"/>
        <w:rPr>
          <w:rFonts w:ascii="Arial" w:hAnsi="Arial" w:cs="Arial"/>
          <w:color w:val="EE0000"/>
          <w:szCs w:val="18"/>
        </w:rPr>
      </w:pPr>
      <w:r w:rsidRPr="00720037">
        <w:rPr>
          <w:rFonts w:ascii="Arial" w:hAnsi="Arial" w:cs="Arial"/>
          <w:color w:val="EE0000"/>
          <w:szCs w:val="18"/>
        </w:rPr>
        <w:t>(Justification: This alternative is considered due to findings like those of Warsame et al. (2024) in Kenya, where renewable energy was insignificant, suggesting that the effectiveness of renewables may be context-dependent, potentially hampered by inefficiencies or an insufficient share in the total energy mix.)</w:t>
      </w:r>
    </w:p>
    <w:p w14:paraId="05E70CA1" w14:textId="77777777" w:rsidR="00677158" w:rsidRPr="00720037" w:rsidRDefault="00677158" w:rsidP="00677158">
      <w:pPr>
        <w:jc w:val="both"/>
        <w:rPr>
          <w:rFonts w:ascii="Arial" w:hAnsi="Arial" w:cs="Arial"/>
          <w:color w:val="EE0000"/>
          <w:szCs w:val="18"/>
        </w:rPr>
      </w:pPr>
    </w:p>
    <w:p w14:paraId="5D9BFDC7" w14:textId="77777777" w:rsidR="00677158" w:rsidRPr="00677158" w:rsidRDefault="00677158" w:rsidP="00677158">
      <w:pPr>
        <w:jc w:val="both"/>
        <w:rPr>
          <w:rFonts w:ascii="Arial" w:hAnsi="Arial" w:cs="Arial"/>
          <w:color w:val="EE0000"/>
          <w:szCs w:val="18"/>
        </w:rPr>
      </w:pPr>
      <w:r w:rsidRPr="00677158">
        <w:rPr>
          <w:rFonts w:ascii="Arial" w:hAnsi="Arial" w:cs="Arial"/>
          <w:color w:val="EE0000"/>
          <w:szCs w:val="18"/>
        </w:rPr>
        <w:lastRenderedPageBreak/>
        <w:t>H3a: Globalization improves environmental quality by reducing consumption-based CO</w:t>
      </w:r>
      <w:r w:rsidRPr="00677158">
        <w:rPr>
          <w:rFonts w:ascii="Cambria Math" w:hAnsi="Cambria Math" w:cs="Cambria Math"/>
          <w:color w:val="EE0000"/>
          <w:szCs w:val="18"/>
        </w:rPr>
        <w:t>₂</w:t>
      </w:r>
      <w:r w:rsidRPr="00677158">
        <w:rPr>
          <w:rFonts w:ascii="Arial" w:hAnsi="Arial" w:cs="Arial"/>
          <w:color w:val="EE0000"/>
          <w:szCs w:val="18"/>
        </w:rPr>
        <w:t xml:space="preserve"> emissions in India.</w:t>
      </w:r>
      <w:r w:rsidRPr="00677158">
        <w:rPr>
          <w:rFonts w:ascii="Arial" w:hAnsi="Arial" w:cs="Arial"/>
          <w:color w:val="EE0000"/>
          <w:szCs w:val="18"/>
        </w:rPr>
        <w:br/>
        <w:t>(Justification: This hypothesis draws from the "race to the top" perspective and studies (e.g., Shahbaz et al., 2015; Warsame et al., 2024) that argue globalization can lead to technology transfer, stricter environmental standards, and improved resource allocation, ultimately reducing emissions.)</w:t>
      </w:r>
    </w:p>
    <w:p w14:paraId="4463ABE9" w14:textId="77777777" w:rsidR="00677158" w:rsidRPr="00677158" w:rsidRDefault="00677158" w:rsidP="00677158">
      <w:pPr>
        <w:jc w:val="both"/>
        <w:rPr>
          <w:rFonts w:ascii="Arial" w:hAnsi="Arial" w:cs="Arial"/>
          <w:color w:val="EE0000"/>
          <w:szCs w:val="18"/>
        </w:rPr>
      </w:pPr>
      <w:r w:rsidRPr="00677158">
        <w:rPr>
          <w:rFonts w:ascii="Arial" w:hAnsi="Arial" w:cs="Arial"/>
          <w:color w:val="EE0000"/>
          <w:szCs w:val="18"/>
        </w:rPr>
        <w:t>H3b: Globalization worsens environmental quality by increasing consumption-based CO</w:t>
      </w:r>
      <w:r w:rsidRPr="00677158">
        <w:rPr>
          <w:rFonts w:ascii="Cambria Math" w:hAnsi="Cambria Math" w:cs="Cambria Math"/>
          <w:color w:val="EE0000"/>
          <w:szCs w:val="18"/>
        </w:rPr>
        <w:t>₂</w:t>
      </w:r>
      <w:r w:rsidRPr="00677158">
        <w:rPr>
          <w:rFonts w:ascii="Arial" w:hAnsi="Arial" w:cs="Arial"/>
          <w:color w:val="EE0000"/>
          <w:szCs w:val="18"/>
        </w:rPr>
        <w:t xml:space="preserve"> emissions in India.</w:t>
      </w:r>
      <w:r w:rsidRPr="00677158">
        <w:rPr>
          <w:rFonts w:ascii="Arial" w:hAnsi="Arial" w:cs="Arial"/>
          <w:color w:val="EE0000"/>
          <w:szCs w:val="18"/>
        </w:rPr>
        <w:br/>
        <w:t>(Justification: This hypothesis is based on the "Pollution Haven Hypothesis" and studies (e.g., Murthy &amp; Gambhir, 2018; Le &amp; Ozturk, 2020) which contend that globalization may lead to the relocation of polluting industries to developing countries with laxer regulations, thereby increasing their emissions.)</w:t>
      </w:r>
    </w:p>
    <w:p w14:paraId="16D8C30C" w14:textId="77777777" w:rsidR="00677158" w:rsidRPr="00677158" w:rsidRDefault="00677158" w:rsidP="00677158">
      <w:pPr>
        <w:jc w:val="both"/>
        <w:rPr>
          <w:rFonts w:ascii="Arial" w:hAnsi="Arial" w:cs="Arial"/>
          <w:szCs w:val="18"/>
        </w:rPr>
      </w:pPr>
    </w:p>
    <w:p w14:paraId="5F77DA5E" w14:textId="77777777" w:rsidR="00677158" w:rsidRDefault="00677158" w:rsidP="00851A08">
      <w:pPr>
        <w:rPr>
          <w:rFonts w:ascii="Arial" w:hAnsi="Arial" w:cs="Arial"/>
          <w:b/>
          <w:bCs/>
          <w:sz w:val="22"/>
        </w:rPr>
      </w:pPr>
    </w:p>
    <w:p w14:paraId="0B732DB9" w14:textId="77777777" w:rsidR="00677158" w:rsidRDefault="00677158" w:rsidP="00851A08">
      <w:pPr>
        <w:rPr>
          <w:rFonts w:ascii="Arial" w:hAnsi="Arial" w:cs="Arial"/>
          <w:b/>
          <w:bCs/>
          <w:sz w:val="22"/>
        </w:rPr>
      </w:pPr>
    </w:p>
    <w:p w14:paraId="0B561940" w14:textId="34D11DB6" w:rsidR="00851A08" w:rsidRPr="00562062" w:rsidRDefault="005B0DB0" w:rsidP="00851A08">
      <w:pPr>
        <w:rPr>
          <w:rFonts w:ascii="Arial" w:hAnsi="Arial" w:cs="Arial"/>
          <w:b/>
          <w:bCs/>
          <w:sz w:val="22"/>
        </w:rPr>
      </w:pPr>
      <w:r w:rsidRPr="00562062">
        <w:rPr>
          <w:rFonts w:ascii="Arial" w:hAnsi="Arial" w:cs="Arial"/>
          <w:b/>
          <w:bCs/>
          <w:sz w:val="22"/>
        </w:rPr>
        <w:t>3.DATA AND METHODOLOGY</w:t>
      </w:r>
    </w:p>
    <w:p w14:paraId="15432AFE" w14:textId="77777777" w:rsidR="005B0DB0" w:rsidRPr="00562062" w:rsidRDefault="005B0DB0" w:rsidP="00851A08">
      <w:pPr>
        <w:rPr>
          <w:b/>
          <w:bCs/>
          <w:sz w:val="24"/>
          <w:szCs w:val="24"/>
        </w:rPr>
      </w:pPr>
    </w:p>
    <w:p w14:paraId="01135970" w14:textId="75DE2328" w:rsidR="00851A08" w:rsidRPr="00562062" w:rsidRDefault="005B0DB0" w:rsidP="00851A08">
      <w:pPr>
        <w:rPr>
          <w:rFonts w:ascii="Arial" w:hAnsi="Arial" w:cs="Arial"/>
          <w:b/>
          <w:bCs/>
          <w:sz w:val="22"/>
        </w:rPr>
      </w:pPr>
      <w:r w:rsidRPr="00562062">
        <w:rPr>
          <w:rFonts w:ascii="Arial" w:hAnsi="Arial" w:cs="Arial"/>
          <w:b/>
          <w:bCs/>
          <w:sz w:val="22"/>
        </w:rPr>
        <w:t xml:space="preserve">3.1 </w:t>
      </w:r>
      <w:r w:rsidR="00851A08" w:rsidRPr="00562062">
        <w:rPr>
          <w:rFonts w:ascii="Arial" w:hAnsi="Arial" w:cs="Arial"/>
          <w:b/>
          <w:bCs/>
          <w:sz w:val="22"/>
        </w:rPr>
        <w:t>Data Source</w:t>
      </w:r>
    </w:p>
    <w:p w14:paraId="7BBA61E6" w14:textId="77777777" w:rsidR="002D24A4" w:rsidRPr="00562062" w:rsidRDefault="002D24A4" w:rsidP="00851A08">
      <w:pPr>
        <w:rPr>
          <w:rFonts w:ascii="Arial" w:hAnsi="Arial" w:cs="Arial"/>
          <w:b/>
          <w:bCs/>
          <w:sz w:val="22"/>
        </w:rPr>
      </w:pPr>
    </w:p>
    <w:p w14:paraId="5E5ABF1B" w14:textId="1468B29F" w:rsidR="00851A08" w:rsidRPr="00562062" w:rsidRDefault="00851A08" w:rsidP="00851A08">
      <w:pPr>
        <w:jc w:val="both"/>
        <w:rPr>
          <w:rFonts w:ascii="Arial" w:hAnsi="Arial" w:cs="Arial"/>
          <w:lang w:val="en-IN"/>
        </w:rPr>
      </w:pPr>
      <w:r w:rsidRPr="00562062">
        <w:rPr>
          <w:rFonts w:ascii="Arial" w:hAnsi="Arial" w:cs="Arial"/>
          <w:lang w:val="en-IN"/>
        </w:rPr>
        <w:t>This study employs annual data for India over the period 1990–2021 to empirically examine the impact of globalization, renewable energy consumption, economic growth, and squared term of GDP per capita on consumption-based CO</w:t>
      </w:r>
      <w:r w:rsidRPr="00562062">
        <w:rPr>
          <w:rFonts w:ascii="Cambria Math" w:hAnsi="Cambria Math" w:cs="Cambria Math"/>
          <w:lang w:val="en-IN"/>
        </w:rPr>
        <w:t>₂</w:t>
      </w:r>
      <w:r w:rsidRPr="00562062">
        <w:rPr>
          <w:rFonts w:ascii="Arial" w:hAnsi="Arial" w:cs="Arial"/>
          <w:lang w:val="en-IN"/>
        </w:rPr>
        <w:t xml:space="preserve"> emissions. The definitions of the variables and the corresponding data sources are provided in Table</w:t>
      </w:r>
      <w:r w:rsidR="00725BBE" w:rsidRPr="00562062">
        <w:rPr>
          <w:rFonts w:ascii="Arial" w:hAnsi="Arial" w:cs="Arial"/>
          <w:lang w:val="en-IN"/>
        </w:rPr>
        <w:t xml:space="preserve"> 1</w:t>
      </w:r>
      <w:r w:rsidRPr="00562062">
        <w:rPr>
          <w:rFonts w:ascii="Arial" w:hAnsi="Arial" w:cs="Arial"/>
          <w:lang w:val="en-IN"/>
        </w:rPr>
        <w:t>.</w:t>
      </w:r>
    </w:p>
    <w:p w14:paraId="5D7245F3" w14:textId="77777777" w:rsidR="00452C14" w:rsidRPr="00562062" w:rsidRDefault="00452C14" w:rsidP="00851A08">
      <w:pPr>
        <w:jc w:val="both"/>
        <w:rPr>
          <w:rFonts w:ascii="Arial" w:hAnsi="Arial" w:cs="Arial"/>
          <w:lang w:val="en-IN"/>
        </w:rPr>
      </w:pPr>
    </w:p>
    <w:p w14:paraId="5A624919" w14:textId="19640267" w:rsidR="00851A08" w:rsidRPr="00562062" w:rsidRDefault="00851A08" w:rsidP="00851A08">
      <w:pPr>
        <w:jc w:val="both"/>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1</w:t>
      </w:r>
      <w:r w:rsidRPr="00562062">
        <w:rPr>
          <w:rFonts w:ascii="Arial" w:hAnsi="Arial" w:cs="Arial"/>
          <w:b/>
          <w:bCs/>
          <w:lang w:val="en-IN"/>
        </w:rPr>
        <w:t>. Variable Definitions, Metrics, and Sources (Periodicity: Annual)</w:t>
      </w:r>
    </w:p>
    <w:tbl>
      <w:tblPr>
        <w:tblStyle w:val="TableGrid"/>
        <w:tblW w:w="0" w:type="auto"/>
        <w:tblLook w:val="04A0" w:firstRow="1" w:lastRow="0" w:firstColumn="1" w:lastColumn="0" w:noHBand="0" w:noVBand="1"/>
      </w:tblPr>
      <w:tblGrid>
        <w:gridCol w:w="995"/>
        <w:gridCol w:w="6606"/>
        <w:gridCol w:w="2253"/>
        <w:gridCol w:w="1162"/>
      </w:tblGrid>
      <w:tr w:rsidR="00851A08" w:rsidRPr="00562062" w14:paraId="670D6794" w14:textId="77777777" w:rsidTr="00373CF8">
        <w:tc>
          <w:tcPr>
            <w:tcW w:w="0" w:type="auto"/>
          </w:tcPr>
          <w:p w14:paraId="079B24AB"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Variable</w:t>
            </w:r>
          </w:p>
        </w:tc>
        <w:tc>
          <w:tcPr>
            <w:tcW w:w="0" w:type="auto"/>
          </w:tcPr>
          <w:p w14:paraId="65DA6CC4"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Description</w:t>
            </w:r>
          </w:p>
        </w:tc>
        <w:tc>
          <w:tcPr>
            <w:tcW w:w="0" w:type="auto"/>
          </w:tcPr>
          <w:p w14:paraId="078B8156"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Units</w:t>
            </w:r>
          </w:p>
        </w:tc>
        <w:tc>
          <w:tcPr>
            <w:tcW w:w="0" w:type="auto"/>
          </w:tcPr>
          <w:p w14:paraId="0DED6376"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Source</w:t>
            </w:r>
          </w:p>
        </w:tc>
      </w:tr>
      <w:tr w:rsidR="00851A08" w:rsidRPr="00562062" w14:paraId="6009F3C5" w14:textId="77777777" w:rsidTr="003B0C91">
        <w:tc>
          <w:tcPr>
            <w:tcW w:w="0" w:type="auto"/>
            <w:vAlign w:val="center"/>
          </w:tcPr>
          <w:p w14:paraId="084B7E13"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w:t>
            </w:r>
          </w:p>
        </w:tc>
        <w:tc>
          <w:tcPr>
            <w:tcW w:w="0" w:type="auto"/>
            <w:vAlign w:val="center"/>
          </w:tcPr>
          <w:p w14:paraId="53304231" w14:textId="77777777" w:rsidR="00851A08" w:rsidRPr="00562062" w:rsidRDefault="00851A08" w:rsidP="00851A08">
            <w:pPr>
              <w:jc w:val="both"/>
              <w:rPr>
                <w:rFonts w:ascii="Arial" w:eastAsia="Times New Roman" w:hAnsi="Arial" w:cs="Arial"/>
                <w:sz w:val="20"/>
                <w:szCs w:val="20"/>
                <w:lang w:val="en-IN"/>
              </w:rPr>
            </w:pPr>
            <w:r w:rsidRPr="00562062">
              <w:rPr>
                <w:rFonts w:ascii="Arial" w:eastAsia="Times New Roman" w:hAnsi="Arial" w:cs="Arial"/>
                <w:sz w:val="20"/>
                <w:szCs w:val="20"/>
                <w:lang w:val="en-IN"/>
              </w:rPr>
              <w:t>Consumption-based emissions equal production-based emissions, minus emissions embedded in exports, plus emissions embedded in imports.</w:t>
            </w:r>
          </w:p>
        </w:tc>
        <w:tc>
          <w:tcPr>
            <w:tcW w:w="0" w:type="auto"/>
            <w:vAlign w:val="center"/>
          </w:tcPr>
          <w:p w14:paraId="7D6840D7"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Million tons</w:t>
            </w:r>
          </w:p>
        </w:tc>
        <w:tc>
          <w:tcPr>
            <w:tcW w:w="0" w:type="auto"/>
            <w:vAlign w:val="center"/>
          </w:tcPr>
          <w:p w14:paraId="238C7FA7"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Our World in Data</w:t>
            </w:r>
          </w:p>
        </w:tc>
      </w:tr>
      <w:tr w:rsidR="00851A08" w:rsidRPr="00562062" w14:paraId="0FF433E6" w14:textId="77777777" w:rsidTr="003B0C91">
        <w:tc>
          <w:tcPr>
            <w:tcW w:w="0" w:type="auto"/>
            <w:vAlign w:val="center"/>
          </w:tcPr>
          <w:p w14:paraId="78D9BF0E"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GLOB</w:t>
            </w:r>
          </w:p>
        </w:tc>
        <w:tc>
          <w:tcPr>
            <w:tcW w:w="0" w:type="auto"/>
            <w:vAlign w:val="center"/>
          </w:tcPr>
          <w:p w14:paraId="54836AE7" w14:textId="77777777" w:rsidR="00851A08" w:rsidRPr="00562062" w:rsidRDefault="00851A08" w:rsidP="00851A08">
            <w:pPr>
              <w:jc w:val="both"/>
              <w:rPr>
                <w:rFonts w:ascii="Arial" w:eastAsia="Times New Roman" w:hAnsi="Arial" w:cs="Arial"/>
                <w:sz w:val="20"/>
                <w:szCs w:val="20"/>
                <w:lang w:val="en-IN"/>
              </w:rPr>
            </w:pPr>
            <w:r w:rsidRPr="00562062">
              <w:rPr>
                <w:rFonts w:ascii="Arial" w:eastAsia="Times New Roman" w:hAnsi="Arial" w:cs="Arial"/>
                <w:sz w:val="20"/>
                <w:szCs w:val="20"/>
                <w:lang w:val="en-IN"/>
              </w:rPr>
              <w:t>The KOF Globalization Index measures the economic, social, and political dimensions of globalization. 42 different variables are used, which are aggregated based on statistically determined weights (principal component analysis)</w:t>
            </w:r>
          </w:p>
        </w:tc>
        <w:tc>
          <w:tcPr>
            <w:tcW w:w="0" w:type="auto"/>
            <w:vAlign w:val="center"/>
          </w:tcPr>
          <w:p w14:paraId="50A912A2"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The index measures globalization on a scale of 1 to 100.</w:t>
            </w:r>
          </w:p>
        </w:tc>
        <w:tc>
          <w:tcPr>
            <w:tcW w:w="0" w:type="auto"/>
            <w:vAlign w:val="center"/>
          </w:tcPr>
          <w:p w14:paraId="013CAE37"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KOFF Swiss institute</w:t>
            </w:r>
          </w:p>
        </w:tc>
      </w:tr>
      <w:tr w:rsidR="00851A08" w:rsidRPr="00562062" w14:paraId="227471FB" w14:textId="77777777" w:rsidTr="003B0C91">
        <w:tc>
          <w:tcPr>
            <w:tcW w:w="0" w:type="auto"/>
            <w:vAlign w:val="center"/>
          </w:tcPr>
          <w:p w14:paraId="2677AFB6"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RE</w:t>
            </w:r>
          </w:p>
        </w:tc>
        <w:tc>
          <w:tcPr>
            <w:tcW w:w="0" w:type="auto"/>
            <w:vAlign w:val="center"/>
          </w:tcPr>
          <w:p w14:paraId="589C9E16"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Renewable energy consumption</w:t>
            </w:r>
          </w:p>
        </w:tc>
        <w:tc>
          <w:tcPr>
            <w:tcW w:w="0" w:type="auto"/>
            <w:vAlign w:val="center"/>
          </w:tcPr>
          <w:p w14:paraId="0B69A6B2"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 of total final energy consumption)</w:t>
            </w:r>
          </w:p>
        </w:tc>
        <w:tc>
          <w:tcPr>
            <w:tcW w:w="0" w:type="auto"/>
            <w:vAlign w:val="center"/>
          </w:tcPr>
          <w:p w14:paraId="6F2CBDA6"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WDI</w:t>
            </w:r>
          </w:p>
        </w:tc>
      </w:tr>
      <w:tr w:rsidR="00851A08" w:rsidRPr="00562062" w14:paraId="09C9811B" w14:textId="77777777" w:rsidTr="003B0C91">
        <w:tc>
          <w:tcPr>
            <w:tcW w:w="0" w:type="auto"/>
            <w:vAlign w:val="center"/>
          </w:tcPr>
          <w:p w14:paraId="68457A94"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GDP</w:t>
            </w:r>
          </w:p>
        </w:tc>
        <w:tc>
          <w:tcPr>
            <w:tcW w:w="0" w:type="auto"/>
            <w:vAlign w:val="center"/>
          </w:tcPr>
          <w:p w14:paraId="4C7C7C25"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GDP per capita</w:t>
            </w:r>
          </w:p>
        </w:tc>
        <w:tc>
          <w:tcPr>
            <w:tcW w:w="0" w:type="auto"/>
            <w:vAlign w:val="center"/>
          </w:tcPr>
          <w:p w14:paraId="5EB3855C"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Constant prices (reference year 2015 in USD).</w:t>
            </w:r>
          </w:p>
        </w:tc>
        <w:tc>
          <w:tcPr>
            <w:tcW w:w="0" w:type="auto"/>
            <w:vAlign w:val="center"/>
          </w:tcPr>
          <w:p w14:paraId="2810062C"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WDI</w:t>
            </w:r>
          </w:p>
        </w:tc>
      </w:tr>
      <w:tr w:rsidR="00851A08" w:rsidRPr="00562062" w14:paraId="62AABF96" w14:textId="77777777" w:rsidTr="003B0C91">
        <w:tc>
          <w:tcPr>
            <w:tcW w:w="0" w:type="auto"/>
            <w:vAlign w:val="center"/>
          </w:tcPr>
          <w:p w14:paraId="126AA85A"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GDP2</w:t>
            </w:r>
          </w:p>
        </w:tc>
        <w:tc>
          <w:tcPr>
            <w:tcW w:w="0" w:type="auto"/>
            <w:gridSpan w:val="3"/>
          </w:tcPr>
          <w:p w14:paraId="20C9395F" w14:textId="77777777" w:rsidR="00851A08" w:rsidRPr="00562062" w:rsidRDefault="00851A08" w:rsidP="00851A08">
            <w:pPr>
              <w:jc w:val="both"/>
              <w:rPr>
                <w:rFonts w:ascii="Arial" w:eastAsia="Times New Roman" w:hAnsi="Arial" w:cs="Arial"/>
                <w:sz w:val="20"/>
                <w:szCs w:val="20"/>
                <w:lang w:val="en-IN"/>
              </w:rPr>
            </w:pPr>
            <w:r w:rsidRPr="00562062">
              <w:rPr>
                <w:rFonts w:ascii="Arial" w:eastAsia="Times New Roman" w:hAnsi="Arial" w:cs="Arial"/>
                <w:sz w:val="20"/>
                <w:szCs w:val="20"/>
                <w:lang w:val="en-IN"/>
              </w:rPr>
              <w:t xml:space="preserve">                             The square of GDP per capita</w:t>
            </w:r>
          </w:p>
        </w:tc>
      </w:tr>
    </w:tbl>
    <w:p w14:paraId="30F45933" w14:textId="77777777" w:rsidR="004C0F66" w:rsidRPr="00562062" w:rsidRDefault="004C0F66" w:rsidP="00441B6F">
      <w:pPr>
        <w:pStyle w:val="AbstHead"/>
        <w:spacing w:after="0"/>
        <w:jc w:val="both"/>
        <w:rPr>
          <w:rFonts w:ascii="Arial" w:hAnsi="Arial" w:cs="Arial"/>
        </w:rPr>
      </w:pPr>
    </w:p>
    <w:p w14:paraId="2B9FAB79" w14:textId="77777777" w:rsidR="004C0F66" w:rsidRPr="00562062" w:rsidRDefault="004C0F66" w:rsidP="00441B6F">
      <w:pPr>
        <w:pStyle w:val="AbstHead"/>
        <w:spacing w:after="0"/>
        <w:jc w:val="both"/>
        <w:rPr>
          <w:rFonts w:ascii="Arial" w:hAnsi="Arial" w:cs="Arial"/>
        </w:rPr>
      </w:pPr>
    </w:p>
    <w:p w14:paraId="16E9484E" w14:textId="77777777" w:rsidR="000C7FAF" w:rsidRPr="00562062" w:rsidRDefault="000C7FAF" w:rsidP="000C7FAF">
      <w:pPr>
        <w:jc w:val="both"/>
        <w:rPr>
          <w:rFonts w:ascii="Arial" w:hAnsi="Arial" w:cs="Arial"/>
          <w:b/>
          <w:bCs/>
          <w:sz w:val="22"/>
        </w:rPr>
      </w:pPr>
      <w:r w:rsidRPr="00562062">
        <w:rPr>
          <w:rFonts w:ascii="Arial" w:hAnsi="Arial" w:cs="Arial"/>
          <w:b/>
          <w:bCs/>
          <w:sz w:val="22"/>
        </w:rPr>
        <w:t>3.2 Methods</w:t>
      </w:r>
    </w:p>
    <w:p w14:paraId="0E87A763" w14:textId="77777777" w:rsidR="000C7FAF" w:rsidRPr="00562062" w:rsidRDefault="000C7FAF" w:rsidP="000C7FAF">
      <w:pPr>
        <w:jc w:val="both"/>
        <w:rPr>
          <w:rFonts w:ascii="Arial" w:hAnsi="Arial" w:cs="Arial"/>
          <w:lang w:val="en-IN"/>
        </w:rPr>
      </w:pPr>
      <w:r w:rsidRPr="00562062">
        <w:rPr>
          <w:rFonts w:ascii="Arial" w:hAnsi="Arial" w:cs="Arial"/>
          <w:lang w:val="en-IN"/>
        </w:rPr>
        <w:t xml:space="preserve">This study applies the Autoregressive Distributed Lag (ARDL) framework proposed by </w:t>
      </w:r>
      <w:proofErr w:type="spellStart"/>
      <w:r w:rsidRPr="00562062">
        <w:rPr>
          <w:rFonts w:ascii="Arial" w:hAnsi="Arial" w:cs="Arial"/>
          <w:lang w:val="en-IN"/>
        </w:rPr>
        <w:t>Pesaran</w:t>
      </w:r>
      <w:proofErr w:type="spellEnd"/>
      <w:r w:rsidRPr="00562062">
        <w:rPr>
          <w:rFonts w:ascii="Arial" w:hAnsi="Arial" w:cs="Arial"/>
          <w:lang w:val="en-IN"/>
        </w:rPr>
        <w:t xml:space="preserve">, Shin, and Smith (2001) to explore both the long- and short-run dynamics among the selected variables. This technique is particularly suitable because it simultaneously estimates both the short- and long-run dynamics, making it well-suited for time series studies that combine variables with different orders of integration, i.e., </w:t>
      </w:r>
      <w:proofErr w:type="gramStart"/>
      <w:r w:rsidRPr="00562062">
        <w:rPr>
          <w:rFonts w:ascii="Arial" w:hAnsi="Arial" w:cs="Arial"/>
          <w:lang w:val="en-IN"/>
        </w:rPr>
        <w:t>I(</w:t>
      </w:r>
      <w:proofErr w:type="gramEnd"/>
      <w:r w:rsidRPr="00562062">
        <w:rPr>
          <w:rFonts w:ascii="Arial" w:hAnsi="Arial" w:cs="Arial"/>
          <w:lang w:val="en-IN"/>
        </w:rPr>
        <w:t xml:space="preserve">0) and </w:t>
      </w:r>
      <w:proofErr w:type="gramStart"/>
      <w:r w:rsidRPr="00562062">
        <w:rPr>
          <w:rFonts w:ascii="Arial" w:hAnsi="Arial" w:cs="Arial"/>
          <w:lang w:val="en-IN"/>
        </w:rPr>
        <w:t>I(</w:t>
      </w:r>
      <w:proofErr w:type="gramEnd"/>
      <w:r w:rsidRPr="00562062">
        <w:rPr>
          <w:rFonts w:ascii="Arial" w:hAnsi="Arial" w:cs="Arial"/>
          <w:lang w:val="en-IN"/>
        </w:rPr>
        <w:t xml:space="preserve">1), but not </w:t>
      </w:r>
      <w:proofErr w:type="gramStart"/>
      <w:r w:rsidRPr="00562062">
        <w:rPr>
          <w:rFonts w:ascii="Arial" w:hAnsi="Arial" w:cs="Arial"/>
          <w:lang w:val="en-IN"/>
        </w:rPr>
        <w:t>I(</w:t>
      </w:r>
      <w:proofErr w:type="gramEnd"/>
      <w:r w:rsidRPr="00562062">
        <w:rPr>
          <w:rFonts w:ascii="Arial" w:hAnsi="Arial" w:cs="Arial"/>
          <w:lang w:val="en-IN"/>
        </w:rPr>
        <w:t>2). Another advantage of ARDL is its robustness when dealing with relatively small sample sizes, which is often the case in country-specific studies based on annual data. The general functional form of the model can be expressed as:</w:t>
      </w:r>
    </w:p>
    <w:p w14:paraId="3B69CFBA" w14:textId="518DFA6F" w:rsidR="00921E7C" w:rsidRPr="00562062" w:rsidRDefault="00921E7C" w:rsidP="000C7FAF">
      <w:pPr>
        <w:jc w:val="center"/>
        <w:rPr>
          <w:rFonts w:ascii="Arial" w:hAnsi="Arial" w:cs="Arial"/>
          <w:sz w:val="16"/>
          <w:szCs w:val="16"/>
          <w:lang w:val="en-IN"/>
        </w:rPr>
      </w:pPr>
      <w:proofErr w:type="spellStart"/>
      <w:r w:rsidRPr="00562062">
        <w:rPr>
          <w:rStyle w:val="mord"/>
          <w:rFonts w:ascii="Arial" w:hAnsi="Arial" w:cs="Arial"/>
          <w:i/>
          <w:iCs/>
        </w:rPr>
        <w:t>LCO</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rel"/>
          <w:rFonts w:ascii="Arial" w:hAnsi="Arial" w:cs="Arial"/>
        </w:rPr>
        <w:t>=</w:t>
      </w:r>
      <w:r w:rsidRPr="00562062">
        <w:rPr>
          <w:rStyle w:val="mord"/>
          <w:rFonts w:ascii="Arial" w:hAnsi="Arial" w:cs="Arial"/>
          <w:i/>
          <w:iCs/>
        </w:rPr>
        <w:t>α</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1</w:t>
      </w:r>
      <w:r w:rsidRPr="00562062">
        <w:rPr>
          <w:rStyle w:val="vlist-s"/>
          <w:rFonts w:ascii="Arial" w:hAnsi="Arial" w:cs="Arial"/>
        </w:rPr>
        <w:t>​</w:t>
      </w:r>
      <w:proofErr w:type="spellStart"/>
      <w:r w:rsidRPr="00562062">
        <w:rPr>
          <w:rStyle w:val="mord"/>
          <w:rFonts w:ascii="Arial" w:hAnsi="Arial" w:cs="Arial"/>
          <w:i/>
          <w:iCs/>
        </w:rPr>
        <w:t>LRE</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2</w:t>
      </w:r>
      <w:r w:rsidRPr="00562062">
        <w:rPr>
          <w:rStyle w:val="vlist-s"/>
          <w:rFonts w:ascii="Arial" w:hAnsi="Arial" w:cs="Arial"/>
        </w:rPr>
        <w:t>​</w:t>
      </w:r>
      <w:proofErr w:type="spellStart"/>
      <w:r w:rsidRPr="00562062">
        <w:rPr>
          <w:rStyle w:val="mord"/>
          <w:rFonts w:ascii="Arial" w:hAnsi="Arial" w:cs="Arial"/>
          <w:i/>
          <w:iCs/>
        </w:rPr>
        <w:t>LGLOB</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3</w:t>
      </w:r>
      <w:r w:rsidRPr="00562062">
        <w:rPr>
          <w:rStyle w:val="vlist-s"/>
          <w:rFonts w:ascii="Arial" w:hAnsi="Arial" w:cs="Arial"/>
        </w:rPr>
        <w:t>​</w:t>
      </w:r>
      <w:proofErr w:type="spellStart"/>
      <w:r w:rsidRPr="00562062">
        <w:rPr>
          <w:rStyle w:val="mord"/>
          <w:rFonts w:ascii="Arial" w:hAnsi="Arial" w:cs="Arial"/>
          <w:i/>
          <w:iCs/>
        </w:rPr>
        <w:t>LGDP</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4</w:t>
      </w:r>
      <w:r w:rsidRPr="00562062">
        <w:rPr>
          <w:rStyle w:val="vlist-s"/>
          <w:rFonts w:ascii="Arial" w:hAnsi="Arial" w:cs="Arial"/>
        </w:rPr>
        <w:t>​</w:t>
      </w:r>
      <m:oMath>
        <m:sSub>
          <m:sSubPr>
            <m:ctrlPr>
              <w:rPr>
                <w:rStyle w:val="mord"/>
                <w:rFonts w:ascii="Cambria Math" w:hAnsi="Cambria Math" w:cs="Arial"/>
                <w:i/>
                <w:iCs/>
                <w:sz w:val="16"/>
                <w:szCs w:val="16"/>
              </w:rPr>
            </m:ctrlPr>
          </m:sSubPr>
          <m:e>
            <m:r>
              <w:rPr>
                <w:rStyle w:val="mord"/>
                <w:rFonts w:ascii="Cambria Math" w:hAnsi="Cambria Math" w:cs="Arial"/>
              </w:rPr>
              <m:t>LGDP2</m:t>
            </m:r>
          </m:e>
          <m:sub>
            <m:r>
              <w:rPr>
                <w:rStyle w:val="mord"/>
                <w:rFonts w:ascii="Cambria Math" w:hAnsi="Cambria Math" w:cs="Arial"/>
              </w:rPr>
              <m:t>t</m:t>
            </m:r>
          </m:sub>
        </m:sSub>
      </m:oMath>
      <w:r w:rsidRPr="00562062">
        <w:rPr>
          <w:rStyle w:val="vlist-s"/>
          <w:rFonts w:ascii="Arial" w:hAnsi="Arial" w:cs="Arial"/>
        </w:rPr>
        <w:t>​</w:t>
      </w:r>
      <w:r w:rsidRPr="00562062">
        <w:rPr>
          <w:rStyle w:val="mbin"/>
          <w:rFonts w:ascii="Arial" w:hAnsi="Arial" w:cs="Arial"/>
        </w:rPr>
        <w:t xml:space="preserve">+ </w:t>
      </w:r>
      <w:proofErr w:type="spellStart"/>
      <w:r w:rsidRPr="00562062">
        <w:rPr>
          <w:rStyle w:val="mord"/>
          <w:rFonts w:ascii="Arial" w:hAnsi="Arial" w:cs="Arial"/>
          <w:i/>
          <w:iCs/>
        </w:rPr>
        <w:t>u</w:t>
      </w:r>
      <w:r w:rsidRPr="00562062">
        <w:rPr>
          <w:rStyle w:val="mord"/>
          <w:rFonts w:ascii="Arial" w:hAnsi="Arial" w:cs="Arial"/>
          <w:i/>
          <w:iCs/>
          <w:color w:val="404040"/>
          <w:shd w:val="clear" w:color="auto" w:fill="FFFFFF"/>
          <w:vertAlign w:val="subscript"/>
        </w:rPr>
        <w:t>t</w:t>
      </w:r>
      <w:proofErr w:type="spellEnd"/>
      <w:r w:rsidRPr="00562062">
        <w:rPr>
          <w:rStyle w:val="vlist-s"/>
          <w:rFonts w:ascii="Arial" w:hAnsi="Arial" w:cs="Arial"/>
          <w:color w:val="404040"/>
          <w:shd w:val="clear" w:color="auto" w:fill="FFFFFF"/>
          <w:vertAlign w:val="subscript"/>
        </w:rPr>
        <w:t>​</w:t>
      </w:r>
    </w:p>
    <w:p w14:paraId="35E21AF4" w14:textId="3FF79E2F" w:rsidR="000C7FAF" w:rsidRPr="00562062" w:rsidRDefault="000E5C4B" w:rsidP="000C7FAF">
      <w:pPr>
        <w:jc w:val="both"/>
        <w:rPr>
          <w:rFonts w:ascii="Arial" w:hAnsi="Arial" w:cs="Arial"/>
          <w:lang w:val="en-IN"/>
        </w:rPr>
      </w:pPr>
      <w:proofErr w:type="spellStart"/>
      <w:r w:rsidRPr="00562062">
        <w:rPr>
          <w:rStyle w:val="mord"/>
          <w:rFonts w:ascii="KaTeX_Math" w:hAnsi="KaTeX_Math"/>
          <w:i/>
          <w:iCs/>
          <w:sz w:val="24"/>
          <w:szCs w:val="24"/>
        </w:rPr>
        <w:t>LCO</w:t>
      </w:r>
      <w:r w:rsidRPr="00562062">
        <w:rPr>
          <w:rStyle w:val="mord"/>
          <w:rFonts w:ascii="KaTeX_Math" w:hAnsi="KaTeX_Math"/>
          <w:i/>
          <w:iCs/>
          <w:sz w:val="24"/>
          <w:szCs w:val="24"/>
          <w:vertAlign w:val="subscript"/>
        </w:rPr>
        <w:t>t</w:t>
      </w:r>
      <w:proofErr w:type="spellEnd"/>
      <w:r w:rsidRPr="00562062">
        <w:rPr>
          <w:rStyle w:val="vlist-s"/>
          <w:sz w:val="24"/>
          <w:szCs w:val="24"/>
        </w:rPr>
        <w:t xml:space="preserve">​, </w:t>
      </w:r>
      <w:proofErr w:type="spellStart"/>
      <w:r w:rsidRPr="00562062">
        <w:rPr>
          <w:rStyle w:val="mord"/>
          <w:rFonts w:ascii="KaTeX_Math" w:hAnsi="KaTeX_Math"/>
          <w:i/>
          <w:iCs/>
          <w:sz w:val="24"/>
          <w:szCs w:val="24"/>
        </w:rPr>
        <w:t>LRE</w:t>
      </w:r>
      <w:r w:rsidRPr="00562062">
        <w:rPr>
          <w:rStyle w:val="mord"/>
          <w:rFonts w:ascii="KaTeX_Math" w:hAnsi="KaTeX_Math"/>
          <w:i/>
          <w:iCs/>
          <w:sz w:val="24"/>
          <w:szCs w:val="24"/>
          <w:vertAlign w:val="subscript"/>
        </w:rPr>
        <w:t>t</w:t>
      </w:r>
      <w:proofErr w:type="spellEnd"/>
      <w:r w:rsidRPr="00562062">
        <w:rPr>
          <w:rStyle w:val="vlist-s"/>
          <w:sz w:val="24"/>
          <w:szCs w:val="24"/>
        </w:rPr>
        <w:t xml:space="preserve">​, </w:t>
      </w:r>
      <w:proofErr w:type="spellStart"/>
      <w:r w:rsidRPr="00562062">
        <w:rPr>
          <w:rStyle w:val="mord"/>
          <w:rFonts w:ascii="KaTeX_Math" w:hAnsi="KaTeX_Math"/>
          <w:i/>
          <w:iCs/>
          <w:sz w:val="24"/>
          <w:szCs w:val="24"/>
        </w:rPr>
        <w:t>LGLOB</w:t>
      </w:r>
      <w:r w:rsidRPr="00562062">
        <w:rPr>
          <w:rStyle w:val="mord"/>
          <w:rFonts w:ascii="KaTeX_Math" w:hAnsi="KaTeX_Math"/>
          <w:i/>
          <w:iCs/>
          <w:sz w:val="24"/>
          <w:szCs w:val="24"/>
          <w:vertAlign w:val="subscript"/>
        </w:rPr>
        <w:t>t</w:t>
      </w:r>
      <w:proofErr w:type="spellEnd"/>
      <w:r w:rsidRPr="00562062">
        <w:rPr>
          <w:rStyle w:val="vlist-s"/>
          <w:sz w:val="24"/>
          <w:szCs w:val="24"/>
        </w:rPr>
        <w:t xml:space="preserve">​, </w:t>
      </w:r>
      <w:proofErr w:type="spellStart"/>
      <w:r w:rsidRPr="00562062">
        <w:rPr>
          <w:rStyle w:val="mord"/>
          <w:rFonts w:ascii="KaTeX_Math" w:hAnsi="KaTeX_Math"/>
          <w:i/>
          <w:iCs/>
          <w:sz w:val="24"/>
          <w:szCs w:val="24"/>
        </w:rPr>
        <w:t>LGDP</w:t>
      </w:r>
      <w:r w:rsidRPr="00562062">
        <w:rPr>
          <w:rStyle w:val="mord"/>
          <w:rFonts w:ascii="KaTeX_Math" w:hAnsi="KaTeX_Math"/>
          <w:i/>
          <w:iCs/>
          <w:sz w:val="24"/>
          <w:szCs w:val="24"/>
          <w:vertAlign w:val="subscript"/>
        </w:rPr>
        <w:t>t</w:t>
      </w:r>
      <w:proofErr w:type="spellEnd"/>
      <w:r w:rsidRPr="00562062">
        <w:rPr>
          <w:rStyle w:val="mord"/>
          <w:rFonts w:ascii="KaTeX_Math" w:hAnsi="KaTeX_Math"/>
          <w:i/>
          <w:iCs/>
          <w:sz w:val="24"/>
          <w:szCs w:val="24"/>
          <w:vertAlign w:val="subscript"/>
        </w:rPr>
        <w:t>,</w:t>
      </w:r>
      <w:r w:rsidR="000C7FAF" w:rsidRPr="00562062">
        <w:rPr>
          <w:rFonts w:ascii="Arial" w:hAnsi="Arial" w:cs="Arial"/>
          <w:lang w:val="en-IN"/>
        </w:rPr>
        <w:t xml:space="preserve"> </w:t>
      </w:r>
      <w:proofErr w:type="spellStart"/>
      <w:r w:rsidR="000C7FAF" w:rsidRPr="00562062">
        <w:rPr>
          <w:rFonts w:ascii="Arial" w:hAnsi="Arial" w:cs="Arial"/>
          <w:lang w:val="en-IN"/>
        </w:rPr>
        <w:t>LGDPt</w:t>
      </w:r>
      <w:proofErr w:type="spellEnd"/>
      <w:r w:rsidR="000C7FAF" w:rsidRPr="00562062">
        <w:rPr>
          <w:rFonts w:ascii="Arial" w:hAnsi="Arial" w:cs="Arial"/>
          <w:lang w:val="en-IN"/>
        </w:rPr>
        <w:t xml:space="preserve">, </w:t>
      </w:r>
      <m:oMath>
        <m:sSubSup>
          <m:sSubSupPr>
            <m:ctrlPr>
              <w:rPr>
                <w:rFonts w:ascii="Cambria Math" w:hAnsi="Cambria Math" w:cs="Arial"/>
                <w:lang w:val="en-IN"/>
              </w:rPr>
            </m:ctrlPr>
          </m:sSubSupPr>
          <m:e>
            <m:r>
              <w:rPr>
                <w:rFonts w:ascii="Cambria Math" w:hAnsi="Cambria Math" w:cs="Arial"/>
                <w:lang w:val="en-IN"/>
              </w:rPr>
              <m:t>LGDP</m:t>
            </m:r>
          </m:e>
          <m:sub>
            <m:r>
              <w:rPr>
                <w:rFonts w:ascii="Cambria Math" w:hAnsi="Cambria Math" w:cs="Arial"/>
                <w:lang w:val="en-IN"/>
              </w:rPr>
              <m:t>t</m:t>
            </m:r>
          </m:sub>
          <m:sup>
            <m:r>
              <m:rPr>
                <m:sty m:val="p"/>
              </m:rPr>
              <w:rPr>
                <w:rFonts w:ascii="Cambria Math" w:hAnsi="Cambria Math" w:cs="Arial"/>
                <w:lang w:val="en-IN"/>
              </w:rPr>
              <m:t>2</m:t>
            </m:r>
          </m:sup>
        </m:sSubSup>
      </m:oMath>
      <w:r w:rsidR="000C7FAF" w:rsidRPr="00562062">
        <w:rPr>
          <w:rFonts w:ascii="Arial" w:hAnsi="Arial" w:cs="Arial"/>
          <w:lang w:val="en-IN"/>
        </w:rPr>
        <w:t xml:space="preserve"> stand for logarithm of consumption-based CO2 emissions, renewable energy, globalization, economic growth, and squared growth respectively. </w:t>
      </w:r>
      <w:proofErr w:type="spellStart"/>
      <w:r w:rsidR="000C7FAF" w:rsidRPr="00562062">
        <w:rPr>
          <w:rFonts w:ascii="Arial" w:hAnsi="Arial" w:cs="Arial"/>
          <w:lang w:val="en-IN"/>
        </w:rPr>
        <w:t>ut</w:t>
      </w:r>
      <w:proofErr w:type="spellEnd"/>
      <w:r w:rsidR="000C7FAF" w:rsidRPr="00562062">
        <w:rPr>
          <w:rFonts w:ascii="Arial" w:hAnsi="Arial" w:cs="Arial"/>
          <w:lang w:val="en-IN"/>
        </w:rPr>
        <w:t>​ represents the error term.</w:t>
      </w:r>
    </w:p>
    <w:p w14:paraId="3E30C148" w14:textId="77777777" w:rsidR="000C7FAF" w:rsidRPr="00562062" w:rsidRDefault="000C7FAF" w:rsidP="000C7FAF">
      <w:pPr>
        <w:jc w:val="both"/>
        <w:rPr>
          <w:rFonts w:ascii="Arial" w:hAnsi="Arial" w:cs="Arial"/>
          <w:lang w:val="en-IN"/>
        </w:rPr>
      </w:pPr>
      <w:r w:rsidRPr="00562062">
        <w:rPr>
          <w:rFonts w:ascii="Arial" w:hAnsi="Arial" w:cs="Arial"/>
          <w:lang w:val="en-IN"/>
        </w:rPr>
        <w:t>Following earlier works (Adebayo et al., 2021), the ARDL error correction representation can be written as:</w:t>
      </w:r>
    </w:p>
    <w:p w14:paraId="72BBB325" w14:textId="77777777" w:rsidR="008F0F57" w:rsidRPr="00562062" w:rsidRDefault="008F0F57" w:rsidP="008F0F57">
      <w:pPr>
        <w:jc w:val="both"/>
        <w:rPr>
          <w:rFonts w:ascii="Arial" w:hAnsi="Arial" w:cs="Arial"/>
        </w:rPr>
      </w:pPr>
      <m:oMath>
        <m:r>
          <w:rPr>
            <w:rFonts w:ascii="Cambria Math" w:hAnsi="Cambria Math" w:cs="Arial"/>
          </w:rPr>
          <m:t>∆</m:t>
        </m:r>
      </m:oMath>
      <w:r w:rsidRPr="00562062">
        <w:rPr>
          <w:rStyle w:val="mord"/>
          <w:rFonts w:ascii="Arial" w:hAnsi="Arial" w:cs="Arial"/>
          <w:i/>
          <w:iCs/>
        </w:rPr>
        <w:t xml:space="preserve"> LCO</w:t>
      </w:r>
      <w:r w:rsidRPr="00562062">
        <w:rPr>
          <w:rStyle w:val="mord"/>
          <w:rFonts w:ascii="Arial" w:hAnsi="Arial" w:cs="Arial"/>
          <w:i/>
          <w:iCs/>
          <w:vertAlign w:val="subscript"/>
        </w:rPr>
        <w:t xml:space="preserve">t </w:t>
      </w:r>
      <w:r w:rsidRPr="00562062">
        <w:rPr>
          <w:rFonts w:ascii="Arial" w:hAnsi="Arial" w:cs="Arial"/>
        </w:rPr>
        <w:t xml:space="preserve">= </w:t>
      </w:r>
      <m:oMath>
        <m:sSub>
          <m:sSubPr>
            <m:ctrlPr>
              <w:rPr>
                <w:rFonts w:ascii="Cambria Math" w:hAnsi="Cambria Math" w:cs="Arial"/>
                <w:i/>
              </w:rPr>
            </m:ctrlPr>
          </m:sSubPr>
          <m:e>
            <m:r>
              <w:rPr>
                <w:rFonts w:ascii="Cambria Math" w:hAnsi="Cambria Math" w:cs="Arial"/>
              </w:rPr>
              <m:t>δ</m:t>
            </m:r>
          </m:e>
          <m:sub>
            <m:r>
              <w:rPr>
                <w:rFonts w:ascii="Cambria Math" w:hAnsi="Cambria Math" w:cs="Arial"/>
              </w:rPr>
              <m:t>0</m:t>
            </m:r>
          </m:sub>
        </m:sSub>
      </m:oMath>
      <w:r w:rsidRPr="00562062">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δ</m:t>
            </m:r>
          </m:e>
          <m:sub>
            <m:r>
              <w:rPr>
                <w:rFonts w:ascii="Cambria Math" w:hAnsi="Cambria Math" w:cs="Arial"/>
              </w:rPr>
              <m:t>1</m:t>
            </m:r>
          </m:sub>
        </m:sSub>
      </m:oMath>
      <w:r w:rsidRPr="00562062">
        <w:rPr>
          <w:rStyle w:val="mord"/>
          <w:rFonts w:ascii="Arial" w:hAnsi="Arial" w:cs="Arial"/>
          <w:i/>
          <w:iCs/>
        </w:rPr>
        <w:t xml:space="preserve"> LCO</w:t>
      </w:r>
      <w:r w:rsidRPr="00562062">
        <w:rPr>
          <w:rStyle w:val="mord"/>
          <w:rFonts w:ascii="Arial" w:hAnsi="Arial" w:cs="Arial"/>
          <w:i/>
          <w:iCs/>
          <w:vertAlign w:val="subscript"/>
        </w:rPr>
        <w:t xml:space="preserve">t-1 </w:t>
      </w:r>
      <w:r w:rsidRPr="00562062">
        <w:rPr>
          <w:rStyle w:val="mord"/>
          <w:rFonts w:ascii="Arial" w:hAnsi="Arial" w:cs="Arial"/>
        </w:rPr>
        <w:t>+</w:t>
      </w:r>
      <m:oMath>
        <m:sSub>
          <m:sSubPr>
            <m:ctrlPr>
              <w:rPr>
                <w:rFonts w:ascii="Cambria Math" w:hAnsi="Cambria Math" w:cs="Arial"/>
                <w:i/>
              </w:rPr>
            </m:ctrlPr>
          </m:sSubPr>
          <m:e>
            <m:r>
              <w:rPr>
                <w:rFonts w:ascii="Cambria Math" w:hAnsi="Cambria Math" w:cs="Arial"/>
              </w:rPr>
              <m:t>δ</m:t>
            </m:r>
          </m:e>
          <m:sub>
            <m:r>
              <w:rPr>
                <w:rFonts w:ascii="Cambria Math" w:hAnsi="Cambria Math" w:cs="Arial"/>
              </w:rPr>
              <m:t>2</m:t>
            </m:r>
          </m:sub>
        </m:sSub>
      </m:oMath>
      <w:r w:rsidRPr="00562062">
        <w:rPr>
          <w:rStyle w:val="mord"/>
          <w:rFonts w:ascii="Arial" w:hAnsi="Arial" w:cs="Arial"/>
          <w:i/>
          <w:iCs/>
        </w:rPr>
        <w:t xml:space="preserve"> LGLOB</w:t>
      </w:r>
      <w:r w:rsidRPr="00562062">
        <w:rPr>
          <w:rStyle w:val="mord"/>
          <w:rFonts w:ascii="Arial" w:hAnsi="Arial" w:cs="Arial"/>
          <w:i/>
          <w:iCs/>
          <w:vertAlign w:val="subscript"/>
        </w:rPr>
        <w:t>t-1</w:t>
      </w:r>
      <w:r w:rsidRPr="00562062">
        <w:rPr>
          <w:rStyle w:val="mord"/>
          <w:rFonts w:ascii="Arial" w:hAnsi="Arial" w:cs="Arial"/>
          <w:i/>
          <w:iCs/>
        </w:rPr>
        <w:t xml:space="preserve"> </w:t>
      </w:r>
      <w:r w:rsidRPr="00562062">
        <w:rPr>
          <w:rStyle w:val="mord"/>
          <w:rFonts w:ascii="Arial" w:hAnsi="Arial" w:cs="Arial"/>
        </w:rPr>
        <w:t xml:space="preserve">+ </w:t>
      </w:r>
      <m:oMath>
        <m:sSub>
          <m:sSubPr>
            <m:ctrlPr>
              <w:rPr>
                <w:rFonts w:ascii="Cambria Math" w:hAnsi="Cambria Math" w:cs="Arial"/>
                <w:i/>
              </w:rPr>
            </m:ctrlPr>
          </m:sSubPr>
          <m:e>
            <m:r>
              <w:rPr>
                <w:rFonts w:ascii="Cambria Math" w:hAnsi="Cambria Math" w:cs="Arial"/>
              </w:rPr>
              <m:t>δ</m:t>
            </m:r>
          </m:e>
          <m:sub>
            <m:r>
              <w:rPr>
                <w:rFonts w:ascii="Cambria Math" w:hAnsi="Cambria Math" w:cs="Arial"/>
              </w:rPr>
              <m:t>3</m:t>
            </m:r>
          </m:sub>
        </m:sSub>
      </m:oMath>
      <w:r w:rsidRPr="00562062">
        <w:rPr>
          <w:rStyle w:val="mord"/>
          <w:rFonts w:ascii="Arial" w:hAnsi="Arial" w:cs="Arial"/>
          <w:i/>
          <w:iCs/>
        </w:rPr>
        <w:t xml:space="preserve"> LRE</w:t>
      </w:r>
      <w:r w:rsidRPr="00562062">
        <w:rPr>
          <w:rStyle w:val="mord"/>
          <w:rFonts w:ascii="Arial" w:hAnsi="Arial" w:cs="Arial"/>
          <w:i/>
          <w:iCs/>
          <w:vertAlign w:val="subscript"/>
        </w:rPr>
        <w:t>t-1</w:t>
      </w:r>
      <w:r w:rsidRPr="00562062">
        <w:rPr>
          <w:rStyle w:val="mord"/>
          <w:rFonts w:ascii="Arial" w:hAnsi="Arial" w:cs="Arial"/>
          <w:vertAlign w:val="subscript"/>
        </w:rPr>
        <w:t xml:space="preserve"> </w:t>
      </w:r>
      <w:r w:rsidRPr="00562062">
        <w:rPr>
          <w:rStyle w:val="mord"/>
          <w:rFonts w:ascii="Arial" w:hAnsi="Arial" w:cs="Arial"/>
        </w:rPr>
        <w:t xml:space="preserve">+ </w:t>
      </w:r>
      <m:oMath>
        <m:sSub>
          <m:sSubPr>
            <m:ctrlPr>
              <w:rPr>
                <w:rFonts w:ascii="Cambria Math" w:hAnsi="Cambria Math" w:cs="Arial"/>
                <w:i/>
              </w:rPr>
            </m:ctrlPr>
          </m:sSubPr>
          <m:e>
            <m:r>
              <w:rPr>
                <w:rFonts w:ascii="Cambria Math" w:hAnsi="Cambria Math" w:cs="Arial"/>
              </w:rPr>
              <m:t>δ</m:t>
            </m:r>
          </m:e>
          <m:sub>
            <m:r>
              <w:rPr>
                <w:rFonts w:ascii="Cambria Math" w:hAnsi="Cambria Math" w:cs="Arial"/>
              </w:rPr>
              <m:t>4</m:t>
            </m:r>
          </m:sub>
        </m:sSub>
      </m:oMath>
      <w:r w:rsidRPr="00562062">
        <w:rPr>
          <w:rStyle w:val="mord"/>
          <w:rFonts w:ascii="Arial" w:hAnsi="Arial" w:cs="Arial"/>
          <w:i/>
          <w:iCs/>
        </w:rPr>
        <w:t xml:space="preserve"> LGDP</w:t>
      </w:r>
      <w:r w:rsidRPr="00562062">
        <w:rPr>
          <w:rStyle w:val="mord"/>
          <w:rFonts w:ascii="Arial" w:hAnsi="Arial" w:cs="Arial"/>
          <w:i/>
          <w:iCs/>
          <w:vertAlign w:val="subscript"/>
        </w:rPr>
        <w:t>t-1</w:t>
      </w:r>
      <w:r w:rsidRPr="00562062">
        <w:rPr>
          <w:rStyle w:val="mord"/>
          <w:rFonts w:ascii="Arial" w:hAnsi="Arial" w:cs="Arial"/>
        </w:rPr>
        <w:t xml:space="preserve"> + </w:t>
      </w:r>
      <m:oMath>
        <m:sSub>
          <m:sSubPr>
            <m:ctrlPr>
              <w:rPr>
                <w:rFonts w:ascii="Cambria Math" w:hAnsi="Cambria Math" w:cs="Arial"/>
                <w:i/>
              </w:rPr>
            </m:ctrlPr>
          </m:sSubPr>
          <m:e>
            <m:r>
              <w:rPr>
                <w:rFonts w:ascii="Cambria Math" w:hAnsi="Cambria Math" w:cs="Arial"/>
              </w:rPr>
              <m:t>δ</m:t>
            </m:r>
          </m:e>
          <m:sub>
            <m:r>
              <w:rPr>
                <w:rFonts w:ascii="Cambria Math" w:hAnsi="Cambria Math" w:cs="Arial"/>
              </w:rPr>
              <m:t>4</m:t>
            </m:r>
          </m:sub>
        </m:sSub>
      </m:oMath>
      <w:r w:rsidRPr="00562062">
        <w:rPr>
          <w:rStyle w:val="mord"/>
          <w:rFonts w:ascii="Arial" w:hAnsi="Arial" w:cs="Arial"/>
          <w:i/>
          <w:iCs/>
        </w:rPr>
        <w:t xml:space="preserve"> LGDP2</w:t>
      </w:r>
      <w:r w:rsidRPr="00562062">
        <w:rPr>
          <w:rStyle w:val="mord"/>
          <w:rFonts w:ascii="Arial" w:hAnsi="Arial" w:cs="Arial"/>
          <w:i/>
          <w:iCs/>
          <w:vertAlign w:val="subscript"/>
        </w:rPr>
        <w:t>t-1</w:t>
      </w:r>
      <w:r w:rsidRPr="00562062">
        <w:rPr>
          <w:rStyle w:val="mord"/>
          <w:rFonts w:ascii="Arial" w:hAnsi="Arial" w:cs="Arial"/>
        </w:rPr>
        <w:t xml:space="preserve"> +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p</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LCO</w:t>
      </w:r>
      <w:r w:rsidRPr="00562062">
        <w:rPr>
          <w:rStyle w:val="mord"/>
          <w:rFonts w:ascii="Arial" w:hAnsi="Arial" w:cs="Arial"/>
          <w:i/>
          <w:iCs/>
          <w:vertAlign w:val="subscript"/>
        </w:rPr>
        <w:t xml:space="preserve">t-1 </w:t>
      </w:r>
      <w:r w:rsidRPr="00562062">
        <w:rPr>
          <w:rStyle w:val="mord"/>
          <w:rFonts w:ascii="Arial" w:hAnsi="Arial" w:cs="Arial"/>
        </w:rPr>
        <w:t xml:space="preserve">+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q</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LGLOB</w:t>
      </w:r>
      <w:r w:rsidRPr="00562062">
        <w:rPr>
          <w:rStyle w:val="mord"/>
          <w:rFonts w:ascii="Arial" w:hAnsi="Arial" w:cs="Arial"/>
          <w:i/>
          <w:iCs/>
          <w:vertAlign w:val="subscript"/>
        </w:rPr>
        <w:t xml:space="preserve">t-1 </w:t>
      </w:r>
      <w:r w:rsidRPr="00562062">
        <w:rPr>
          <w:rStyle w:val="mord"/>
          <w:rFonts w:ascii="Arial" w:hAnsi="Arial" w:cs="Arial"/>
        </w:rPr>
        <w:t xml:space="preserve">+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r</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LRE</w:t>
      </w:r>
      <w:r w:rsidRPr="00562062">
        <w:rPr>
          <w:rStyle w:val="mord"/>
          <w:rFonts w:ascii="Arial" w:hAnsi="Arial" w:cs="Arial"/>
          <w:i/>
          <w:iCs/>
          <w:vertAlign w:val="subscript"/>
        </w:rPr>
        <w:t>t-1</w:t>
      </w:r>
      <w:r w:rsidRPr="00562062">
        <w:rPr>
          <w:rStyle w:val="mord"/>
          <w:rFonts w:ascii="Arial" w:hAnsi="Arial" w:cs="Arial"/>
          <w:vertAlign w:val="subscript"/>
        </w:rPr>
        <w:t xml:space="preserve"> </w:t>
      </w:r>
      <w:r w:rsidRPr="00562062">
        <w:rPr>
          <w:rStyle w:val="mord"/>
          <w:rFonts w:ascii="Arial" w:hAnsi="Arial" w:cs="Arial"/>
        </w:rPr>
        <w:t xml:space="preserve">+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s</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LGDP</w:t>
      </w:r>
      <w:r w:rsidRPr="00562062">
        <w:rPr>
          <w:rStyle w:val="mord"/>
          <w:rFonts w:ascii="Arial" w:hAnsi="Arial" w:cs="Arial"/>
          <w:i/>
          <w:iCs/>
          <w:vertAlign w:val="subscript"/>
        </w:rPr>
        <w:t>t-1</w:t>
      </w:r>
      <w:r w:rsidRPr="00562062">
        <w:rPr>
          <w:rStyle w:val="mord"/>
          <w:rFonts w:ascii="Arial" w:hAnsi="Arial" w:cs="Arial"/>
        </w:rPr>
        <w:t xml:space="preserve"> +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w</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LGDP2</w:t>
      </w:r>
      <w:r w:rsidRPr="00562062">
        <w:rPr>
          <w:rStyle w:val="mord"/>
          <w:rFonts w:ascii="Arial" w:hAnsi="Arial" w:cs="Arial"/>
          <w:i/>
          <w:iCs/>
          <w:vertAlign w:val="subscript"/>
        </w:rPr>
        <w:t>t-1</w:t>
      </w:r>
      <w:r w:rsidRPr="00562062">
        <w:rPr>
          <w:rStyle w:val="mord"/>
          <w:rFonts w:ascii="Arial" w:hAnsi="Arial" w:cs="Arial"/>
        </w:rPr>
        <w:t xml:space="preserve"> + </w:t>
      </w:r>
      <w:proofErr w:type="spellStart"/>
      <w:r w:rsidRPr="00562062">
        <w:rPr>
          <w:rStyle w:val="mord"/>
          <w:rFonts w:ascii="Arial" w:hAnsi="Arial" w:cs="Arial"/>
          <w:i/>
          <w:iCs/>
        </w:rPr>
        <w:t>u</w:t>
      </w:r>
      <w:r w:rsidRPr="00562062">
        <w:rPr>
          <w:rStyle w:val="mord"/>
          <w:rFonts w:ascii="Arial" w:hAnsi="Arial" w:cs="Arial"/>
          <w:i/>
          <w:iCs/>
          <w:color w:val="404040"/>
          <w:shd w:val="clear" w:color="auto" w:fill="FFFFFF"/>
          <w:vertAlign w:val="subscript"/>
        </w:rPr>
        <w:t>t</w:t>
      </w:r>
      <w:proofErr w:type="spellEnd"/>
      <w:r w:rsidRPr="00562062">
        <w:rPr>
          <w:rStyle w:val="vlist-s"/>
          <w:rFonts w:ascii="Arial" w:hAnsi="Arial" w:cs="Arial"/>
          <w:color w:val="404040"/>
          <w:shd w:val="clear" w:color="auto" w:fill="FFFFFF"/>
          <w:vertAlign w:val="subscript"/>
        </w:rPr>
        <w:t>​</w:t>
      </w:r>
    </w:p>
    <w:p w14:paraId="45E55223" w14:textId="77777777" w:rsidR="000C7FAF" w:rsidRPr="00562062" w:rsidRDefault="000C7FAF" w:rsidP="000C7FAF">
      <w:pPr>
        <w:jc w:val="both"/>
        <w:rPr>
          <w:rFonts w:ascii="Arial" w:hAnsi="Arial" w:cs="Arial"/>
          <w:lang w:val="en-IN"/>
        </w:rPr>
      </w:pPr>
    </w:p>
    <w:p w14:paraId="098CE88D" w14:textId="77777777" w:rsidR="000C7FAF" w:rsidRPr="00562062" w:rsidRDefault="000C7FAF" w:rsidP="000C7FAF">
      <w:pPr>
        <w:jc w:val="both"/>
        <w:rPr>
          <w:rFonts w:ascii="Arial" w:hAnsi="Arial" w:cs="Arial"/>
          <w:lang w:val="en-IN"/>
        </w:rPr>
      </w:pPr>
      <w:r w:rsidRPr="00562062">
        <w:rPr>
          <w:rFonts w:ascii="Arial" w:hAnsi="Arial" w:cs="Arial"/>
          <w:lang w:val="en-IN"/>
        </w:rPr>
        <w:t>In this specification, Δ signifies the first difference operator. The terms with the summation signs (∑) capture the short-run dynamics of the model. The parameters δ1 to δ5​ capture the long-run coefficients. The optimal lag structure (</w:t>
      </w:r>
      <w:proofErr w:type="spellStart"/>
      <w:proofErr w:type="gramStart"/>
      <w:r w:rsidRPr="00562062">
        <w:rPr>
          <w:rFonts w:ascii="Arial" w:hAnsi="Arial" w:cs="Arial"/>
          <w:lang w:val="en-IN"/>
        </w:rPr>
        <w:t>p,q</w:t>
      </w:r>
      <w:proofErr w:type="gramEnd"/>
      <w:r w:rsidRPr="00562062">
        <w:rPr>
          <w:rFonts w:ascii="Arial" w:hAnsi="Arial" w:cs="Arial"/>
          <w:lang w:val="en-IN"/>
        </w:rPr>
        <w:t>,</w:t>
      </w:r>
      <w:proofErr w:type="gramStart"/>
      <w:r w:rsidRPr="00562062">
        <w:rPr>
          <w:rFonts w:ascii="Arial" w:hAnsi="Arial" w:cs="Arial"/>
          <w:lang w:val="en-IN"/>
        </w:rPr>
        <w:t>r,s</w:t>
      </w:r>
      <w:proofErr w:type="gramEnd"/>
      <w:r w:rsidRPr="00562062">
        <w:rPr>
          <w:rFonts w:ascii="Arial" w:hAnsi="Arial" w:cs="Arial"/>
          <w:lang w:val="en-IN"/>
        </w:rPr>
        <w:t>,w</w:t>
      </w:r>
      <w:proofErr w:type="spellEnd"/>
      <w:r w:rsidRPr="00562062">
        <w:rPr>
          <w:rFonts w:ascii="Arial" w:hAnsi="Arial" w:cs="Arial"/>
          <w:lang w:val="en-IN"/>
        </w:rPr>
        <w:t xml:space="preserve">) for the model is determined using the Akaike Information Criterion (AIC) to ensure a parsimonious specification that is free from serial correlation. </w:t>
      </w:r>
      <w:proofErr w:type="spellStart"/>
      <w:r w:rsidRPr="00562062">
        <w:rPr>
          <w:rFonts w:ascii="Arial" w:hAnsi="Arial" w:cs="Arial"/>
          <w:lang w:val="en-IN"/>
        </w:rPr>
        <w:t>ut</w:t>
      </w:r>
      <w:proofErr w:type="spellEnd"/>
      <w:r w:rsidRPr="00562062">
        <w:rPr>
          <w:rFonts w:ascii="Arial" w:hAnsi="Arial" w:cs="Arial"/>
          <w:lang w:val="en-IN"/>
        </w:rPr>
        <w:t>​ is the error term.</w:t>
      </w:r>
    </w:p>
    <w:p w14:paraId="7DC228E9" w14:textId="77777777" w:rsidR="000C7FAF" w:rsidRPr="00562062" w:rsidRDefault="000C7FAF" w:rsidP="000C7FAF">
      <w:pPr>
        <w:jc w:val="both"/>
        <w:rPr>
          <w:rFonts w:ascii="Arial" w:hAnsi="Arial" w:cs="Arial"/>
          <w:lang w:val="en-IN"/>
        </w:rPr>
      </w:pPr>
      <w:r w:rsidRPr="00562062">
        <w:rPr>
          <w:rFonts w:ascii="Arial" w:hAnsi="Arial" w:cs="Arial"/>
          <w:lang w:val="en-IN"/>
        </w:rPr>
        <w:t>The existence of a long-run association between the dependent and independent variables is examined through the bounds test. The null hypothesis states that no cointegration exists (i.e., the regressors and dependent variable do not move together in the long run), whereas the alternative hypothesis confirms the presence of cointegration. The null hypothesis of no cointegration is defined as:</w:t>
      </w:r>
    </w:p>
    <w:p w14:paraId="04F5618F" w14:textId="77777777" w:rsidR="00CF1F02" w:rsidRPr="00562062" w:rsidRDefault="00CF1F02" w:rsidP="00CF1F02">
      <w:pPr>
        <w:jc w:val="center"/>
        <w:rPr>
          <w:rFonts w:ascii="Arial" w:hAnsi="Arial" w:cs="Arial"/>
        </w:rPr>
      </w:pPr>
      <w:r w:rsidRPr="00562062">
        <w:rPr>
          <w:rFonts w:ascii="Arial" w:hAnsi="Arial" w:cs="Arial"/>
        </w:rPr>
        <w:lastRenderedPageBreak/>
        <w:t>H0: δ</w:t>
      </w:r>
      <w:r w:rsidRPr="00562062">
        <w:rPr>
          <w:rFonts w:ascii="Arial" w:hAnsi="Arial" w:cs="Arial"/>
          <w:vertAlign w:val="subscript"/>
        </w:rPr>
        <w:t>1</w:t>
      </w:r>
      <w:r w:rsidRPr="00562062">
        <w:rPr>
          <w:rFonts w:ascii="Arial" w:hAnsi="Arial" w:cs="Arial"/>
        </w:rPr>
        <w:t>=δ</w:t>
      </w:r>
      <w:r w:rsidRPr="00562062">
        <w:rPr>
          <w:rFonts w:ascii="Arial" w:hAnsi="Arial" w:cs="Arial"/>
          <w:vertAlign w:val="subscript"/>
        </w:rPr>
        <w:t>2</w:t>
      </w:r>
      <w:r w:rsidRPr="00562062">
        <w:rPr>
          <w:rFonts w:ascii="Arial" w:hAnsi="Arial" w:cs="Arial"/>
        </w:rPr>
        <w:t>=δ</w:t>
      </w:r>
      <w:r w:rsidRPr="00562062">
        <w:rPr>
          <w:rFonts w:ascii="Arial" w:hAnsi="Arial" w:cs="Arial"/>
          <w:vertAlign w:val="subscript"/>
        </w:rPr>
        <w:t>3</w:t>
      </w:r>
      <w:r w:rsidRPr="00562062">
        <w:rPr>
          <w:rFonts w:ascii="Arial" w:hAnsi="Arial" w:cs="Arial"/>
        </w:rPr>
        <w:t>=δ</w:t>
      </w:r>
      <w:r w:rsidRPr="00562062">
        <w:rPr>
          <w:rFonts w:ascii="Arial" w:hAnsi="Arial" w:cs="Arial"/>
          <w:vertAlign w:val="subscript"/>
        </w:rPr>
        <w:t>4</w:t>
      </w:r>
      <w:r w:rsidRPr="00562062">
        <w:rPr>
          <w:rFonts w:ascii="Arial" w:hAnsi="Arial" w:cs="Arial"/>
        </w:rPr>
        <w:t>=δ</w:t>
      </w:r>
      <w:r w:rsidRPr="00562062">
        <w:rPr>
          <w:rFonts w:ascii="Arial" w:hAnsi="Arial" w:cs="Arial"/>
          <w:vertAlign w:val="subscript"/>
        </w:rPr>
        <w:t>5</w:t>
      </w:r>
      <w:r w:rsidRPr="00562062">
        <w:rPr>
          <w:rFonts w:ascii="Arial" w:hAnsi="Arial" w:cs="Arial"/>
        </w:rPr>
        <w:t>=0</w:t>
      </w:r>
    </w:p>
    <w:p w14:paraId="01CFA8AD" w14:textId="77777777" w:rsidR="000C7FAF" w:rsidRPr="00562062" w:rsidRDefault="000C7FAF" w:rsidP="000C7FAF">
      <w:pPr>
        <w:jc w:val="both"/>
        <w:rPr>
          <w:rFonts w:ascii="Arial" w:hAnsi="Arial" w:cs="Arial"/>
          <w:lang w:val="en-IN"/>
        </w:rPr>
      </w:pPr>
      <w:r w:rsidRPr="00562062">
        <w:rPr>
          <w:rFonts w:ascii="Arial" w:hAnsi="Arial" w:cs="Arial"/>
          <w:lang w:val="en-IN"/>
        </w:rPr>
        <w:t>against the alternative hypothesis:</w:t>
      </w:r>
    </w:p>
    <w:p w14:paraId="7B6BF591" w14:textId="77777777" w:rsidR="006467B3" w:rsidRPr="00562062" w:rsidRDefault="006467B3" w:rsidP="006467B3">
      <w:pPr>
        <w:jc w:val="center"/>
        <w:rPr>
          <w:rFonts w:ascii="Arial" w:hAnsi="Arial" w:cs="Arial"/>
        </w:rPr>
      </w:pPr>
      <w:r w:rsidRPr="00562062">
        <w:rPr>
          <w:rFonts w:ascii="Arial" w:hAnsi="Arial" w:cs="Arial"/>
        </w:rPr>
        <w:t>H1: δ</w:t>
      </w:r>
      <w:r w:rsidRPr="00562062">
        <w:rPr>
          <w:rFonts w:ascii="Arial" w:hAnsi="Arial" w:cs="Arial"/>
          <w:vertAlign w:val="subscript"/>
        </w:rPr>
        <w:t>1</w:t>
      </w:r>
      <w:r w:rsidRPr="00562062">
        <w:rPr>
          <w:rFonts w:ascii="Arial" w:hAnsi="Arial" w:cs="Arial"/>
        </w:rPr>
        <w:t>≠δ</w:t>
      </w:r>
      <w:r w:rsidRPr="00562062">
        <w:rPr>
          <w:rFonts w:ascii="Arial" w:hAnsi="Arial" w:cs="Arial"/>
          <w:vertAlign w:val="subscript"/>
        </w:rPr>
        <w:t>2</w:t>
      </w:r>
      <w:r w:rsidRPr="00562062">
        <w:rPr>
          <w:rFonts w:ascii="Arial" w:hAnsi="Arial" w:cs="Arial"/>
        </w:rPr>
        <w:t>≠δ</w:t>
      </w:r>
      <w:r w:rsidRPr="00562062">
        <w:rPr>
          <w:rFonts w:ascii="Arial" w:hAnsi="Arial" w:cs="Arial"/>
          <w:vertAlign w:val="subscript"/>
        </w:rPr>
        <w:t>3</w:t>
      </w:r>
      <w:r w:rsidRPr="00562062">
        <w:rPr>
          <w:rFonts w:ascii="Arial" w:hAnsi="Arial" w:cs="Arial"/>
        </w:rPr>
        <w:t>≠δ</w:t>
      </w:r>
      <w:r w:rsidRPr="00562062">
        <w:rPr>
          <w:rFonts w:ascii="Arial" w:hAnsi="Arial" w:cs="Arial"/>
          <w:vertAlign w:val="subscript"/>
        </w:rPr>
        <w:t>4</w:t>
      </w:r>
      <w:r w:rsidRPr="00562062">
        <w:rPr>
          <w:rFonts w:ascii="Arial" w:hAnsi="Arial" w:cs="Arial"/>
        </w:rPr>
        <w:t>≠δ</w:t>
      </w:r>
      <w:r w:rsidRPr="00562062">
        <w:rPr>
          <w:rFonts w:ascii="Arial" w:hAnsi="Arial" w:cs="Arial"/>
          <w:vertAlign w:val="subscript"/>
        </w:rPr>
        <w:t>5</w:t>
      </w:r>
      <w:r w:rsidRPr="00562062">
        <w:rPr>
          <w:rFonts w:ascii="Arial" w:hAnsi="Arial" w:cs="Arial"/>
        </w:rPr>
        <w:t>≠0</w:t>
      </w:r>
    </w:p>
    <w:p w14:paraId="43E94CE0" w14:textId="77777777" w:rsidR="000C7FAF" w:rsidRPr="00562062" w:rsidRDefault="000C7FAF" w:rsidP="000C7FAF">
      <w:pPr>
        <w:jc w:val="both"/>
        <w:rPr>
          <w:rFonts w:ascii="Arial" w:hAnsi="Arial" w:cs="Arial"/>
          <w:lang w:val="en-IN"/>
        </w:rPr>
      </w:pPr>
      <w:r w:rsidRPr="00562062">
        <w:rPr>
          <w:rFonts w:ascii="Arial" w:hAnsi="Arial" w:cs="Arial"/>
          <w:lang w:val="en-IN"/>
        </w:rPr>
        <w:t>Once cointegration is established, the long-run coefficients are derived from the normalized coefficients of the lagged level variables. The short-run effects are inferred from the coefficients of the first-differenced variables, and the error correction term (ECT), which is the one-period lag of the residuals from the estimated long-run relationship, is incorporated to measure the speed of adjustment back to long-run equilibrium following a short-run shock.</w:t>
      </w:r>
    </w:p>
    <w:p w14:paraId="49389DA6" w14:textId="77777777" w:rsidR="004C0F66" w:rsidRPr="00562062" w:rsidRDefault="004C0F66" w:rsidP="00441B6F">
      <w:pPr>
        <w:pStyle w:val="AbstHead"/>
        <w:spacing w:after="0"/>
        <w:jc w:val="both"/>
        <w:rPr>
          <w:rFonts w:ascii="Arial" w:hAnsi="Arial" w:cs="Arial"/>
        </w:rPr>
      </w:pPr>
    </w:p>
    <w:p w14:paraId="18C6908E" w14:textId="31393C3D" w:rsidR="00402475" w:rsidRPr="00562062" w:rsidRDefault="00402475" w:rsidP="00402475">
      <w:pPr>
        <w:pStyle w:val="ListParagraph"/>
        <w:numPr>
          <w:ilvl w:val="0"/>
          <w:numId w:val="31"/>
        </w:numPr>
        <w:tabs>
          <w:tab w:val="clear" w:pos="720"/>
          <w:tab w:val="num" w:pos="270"/>
        </w:tabs>
        <w:ind w:hanging="720"/>
        <w:jc w:val="both"/>
        <w:rPr>
          <w:rFonts w:ascii="Arial" w:hAnsi="Arial" w:cs="Arial"/>
          <w:b/>
          <w:bCs/>
        </w:rPr>
      </w:pPr>
      <w:r w:rsidRPr="00562062">
        <w:rPr>
          <w:rFonts w:ascii="Arial" w:hAnsi="Arial" w:cs="Arial"/>
          <w:b/>
          <w:bCs/>
        </w:rPr>
        <w:t>RESULTS AND DISCUSSION</w:t>
      </w:r>
    </w:p>
    <w:p w14:paraId="14A44B11" w14:textId="77777777" w:rsidR="00402475" w:rsidRPr="00562062" w:rsidRDefault="00402475" w:rsidP="00402475">
      <w:pPr>
        <w:jc w:val="both"/>
        <w:rPr>
          <w:rFonts w:ascii="Arial" w:hAnsi="Arial" w:cs="Arial"/>
          <w:b/>
          <w:bCs/>
          <w:sz w:val="22"/>
        </w:rPr>
      </w:pPr>
      <w:r w:rsidRPr="00562062">
        <w:rPr>
          <w:rFonts w:ascii="Arial" w:hAnsi="Arial" w:cs="Arial"/>
          <w:b/>
          <w:bCs/>
          <w:sz w:val="22"/>
        </w:rPr>
        <w:t>4.1 Descriptive analysis</w:t>
      </w:r>
    </w:p>
    <w:p w14:paraId="7DE0767B" w14:textId="2A92C325" w:rsidR="00402475" w:rsidRPr="00562062" w:rsidRDefault="00402475" w:rsidP="00402475">
      <w:pPr>
        <w:jc w:val="both"/>
        <w:rPr>
          <w:rFonts w:ascii="Arial" w:hAnsi="Arial" w:cs="Arial"/>
          <w:lang w:val="en-IN"/>
        </w:rPr>
      </w:pPr>
      <w:r w:rsidRPr="00562062">
        <w:rPr>
          <w:rFonts w:ascii="Arial" w:hAnsi="Arial" w:cs="Arial"/>
          <w:lang w:val="en-IN"/>
        </w:rPr>
        <w:t>Table</w:t>
      </w:r>
      <w:r w:rsidR="00725BBE" w:rsidRPr="00562062">
        <w:rPr>
          <w:rFonts w:ascii="Arial" w:hAnsi="Arial" w:cs="Arial"/>
          <w:lang w:val="en-IN"/>
        </w:rPr>
        <w:t xml:space="preserve"> 2</w:t>
      </w:r>
      <w:r w:rsidRPr="00562062">
        <w:rPr>
          <w:rFonts w:ascii="Arial" w:hAnsi="Arial" w:cs="Arial"/>
          <w:lang w:val="en-IN"/>
        </w:rPr>
        <w:t xml:space="preserve"> presents the descriptive statistics for the natural logarithm of all variables used in the empirical analysis, namely consumption-based CO</w:t>
      </w:r>
      <w:r w:rsidRPr="00562062">
        <w:rPr>
          <w:rFonts w:ascii="Cambria Math" w:hAnsi="Cambria Math" w:cs="Cambria Math"/>
          <w:lang w:val="en-IN"/>
        </w:rPr>
        <w:t>₂</w:t>
      </w:r>
      <w:r w:rsidRPr="00562062">
        <w:rPr>
          <w:rFonts w:ascii="Arial" w:hAnsi="Arial" w:cs="Arial"/>
          <w:lang w:val="en-IN"/>
        </w:rPr>
        <w:t xml:space="preserve"> emissions (LCO), globalization index (LGLOB), renewable energy consumption (LRE), GDP per capita (LGDP), and the squared term of GDP per capita (LGDP2). The summary statistics are calculated for the annual time series from 1990 to 2021 (n=32 observations). The mean and median values are closely aligned across all variables. This suggests an absence of significant outliers and indicating a relatively balanced distribution. The range between the maximum and minimum values demonstrates moderate variation in the dataset, with LGDP2 exhibiting the highest dispersion, while LGLOB and LRE remain comparatively stable.</w:t>
      </w:r>
    </w:p>
    <w:p w14:paraId="272E4C70" w14:textId="77777777" w:rsidR="00402475" w:rsidRPr="00562062" w:rsidRDefault="00402475" w:rsidP="00402475">
      <w:pPr>
        <w:jc w:val="both"/>
        <w:rPr>
          <w:rFonts w:ascii="Arial" w:hAnsi="Arial" w:cs="Arial"/>
          <w:lang w:val="en-IN"/>
        </w:rPr>
      </w:pPr>
      <w:r w:rsidRPr="00562062">
        <w:rPr>
          <w:rFonts w:ascii="Arial" w:hAnsi="Arial" w:cs="Arial"/>
          <w:lang w:val="en-IN"/>
        </w:rPr>
        <w:t>The standard deviations further confirm that CO</w:t>
      </w:r>
      <w:r w:rsidRPr="00562062">
        <w:rPr>
          <w:rFonts w:ascii="Cambria Math" w:hAnsi="Cambria Math" w:cs="Cambria Math"/>
          <w:lang w:val="en-IN"/>
        </w:rPr>
        <w:t>₂</w:t>
      </w:r>
      <w:r w:rsidRPr="00562062">
        <w:rPr>
          <w:rFonts w:ascii="Arial" w:hAnsi="Arial" w:cs="Arial"/>
          <w:lang w:val="en-IN"/>
        </w:rPr>
        <w:t xml:space="preserve"> emissions and economic growth variables (LGDP and LGDP2) show greater variability relative to globalization and renewable energy consumption. Skewness values for all series are near zero.  This confirms that the distributions are approximately symmetric and do not have significant long tails on either side. Kurtosis values are below the normal benchmark of 3, indicates a platykurtic distribution, which means the distribution has flatter peaks and thinner tails than the normal distribution. Moreover, the Jarque–Bera test statistics fail to reject the null hypothesis, confirming that the data do not significantly deviate from the Gaussian distribution. Overall, the descriptive statistics suggest that the dataset is normally distributed, free from extreme irregularities.</w:t>
      </w:r>
    </w:p>
    <w:p w14:paraId="66F37247" w14:textId="77777777" w:rsidR="00437640" w:rsidRPr="00562062" w:rsidRDefault="00437640" w:rsidP="00402475">
      <w:pPr>
        <w:jc w:val="both"/>
        <w:rPr>
          <w:rFonts w:ascii="Arial" w:hAnsi="Arial" w:cs="Arial"/>
          <w:lang w:val="en-IN"/>
        </w:rPr>
      </w:pPr>
    </w:p>
    <w:p w14:paraId="6D77D0D4" w14:textId="77777777" w:rsidR="00437640" w:rsidRPr="00562062" w:rsidRDefault="00437640" w:rsidP="00402475">
      <w:pPr>
        <w:jc w:val="both"/>
        <w:rPr>
          <w:rFonts w:ascii="Arial" w:hAnsi="Arial" w:cs="Arial"/>
          <w:lang w:val="en-IN"/>
        </w:rPr>
      </w:pPr>
    </w:p>
    <w:p w14:paraId="4C223F85" w14:textId="77777777" w:rsidR="00437640" w:rsidRPr="00562062" w:rsidRDefault="00437640" w:rsidP="00402475">
      <w:pPr>
        <w:jc w:val="both"/>
        <w:rPr>
          <w:rFonts w:ascii="Arial" w:hAnsi="Arial" w:cs="Arial"/>
          <w:lang w:val="en-IN"/>
        </w:rPr>
      </w:pPr>
    </w:p>
    <w:p w14:paraId="40620B0B" w14:textId="77777777" w:rsidR="004C0F66" w:rsidRPr="00562062" w:rsidRDefault="004C0F66" w:rsidP="00441B6F">
      <w:pPr>
        <w:pStyle w:val="AbstHead"/>
        <w:spacing w:after="0"/>
        <w:jc w:val="both"/>
        <w:rPr>
          <w:rFonts w:ascii="Arial" w:hAnsi="Arial" w:cs="Arial"/>
          <w:b w:val="0"/>
          <w:caps w:val="0"/>
          <w:sz w:val="20"/>
          <w:lang w:val="en-IN"/>
        </w:rPr>
      </w:pPr>
    </w:p>
    <w:p w14:paraId="2A7B1ADD" w14:textId="5E19BFFE" w:rsidR="00437640" w:rsidRPr="00562062" w:rsidRDefault="00437640" w:rsidP="00437640">
      <w:pPr>
        <w:autoSpaceDE w:val="0"/>
        <w:autoSpaceDN w:val="0"/>
        <w:adjustRightInd w:val="0"/>
        <w:rPr>
          <w:rFonts w:ascii="Arial" w:hAnsi="Arial" w:cs="Arial"/>
          <w:b/>
          <w:bCs/>
        </w:rPr>
      </w:pPr>
      <w:r w:rsidRPr="00562062">
        <w:rPr>
          <w:rFonts w:ascii="Arial" w:hAnsi="Arial" w:cs="Arial"/>
          <w:b/>
          <w:bCs/>
        </w:rPr>
        <w:t>Table</w:t>
      </w:r>
      <w:r w:rsidR="00725BBE" w:rsidRPr="00562062">
        <w:rPr>
          <w:rFonts w:ascii="Arial" w:hAnsi="Arial" w:cs="Arial"/>
          <w:b/>
          <w:bCs/>
        </w:rPr>
        <w:t xml:space="preserve"> 2</w:t>
      </w:r>
      <w:r w:rsidRPr="00562062">
        <w:rPr>
          <w:rFonts w:ascii="Arial" w:hAnsi="Arial" w:cs="Arial"/>
          <w:b/>
          <w:bCs/>
        </w:rPr>
        <w:t>. Descriptive statistics</w:t>
      </w:r>
    </w:p>
    <w:tbl>
      <w:tblPr>
        <w:tblStyle w:val="PlainTable2"/>
        <w:tblW w:w="5000" w:type="pct"/>
        <w:tblLook w:val="0000" w:firstRow="0" w:lastRow="0" w:firstColumn="0" w:lastColumn="0" w:noHBand="0" w:noVBand="0"/>
      </w:tblPr>
      <w:tblGrid>
        <w:gridCol w:w="2041"/>
        <w:gridCol w:w="1797"/>
        <w:gridCol w:w="1793"/>
        <w:gridCol w:w="1796"/>
        <w:gridCol w:w="1793"/>
        <w:gridCol w:w="1796"/>
      </w:tblGrid>
      <w:tr w:rsidR="00437640" w:rsidRPr="00562062" w14:paraId="7FCE0F66"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4FC2625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p>
        </w:tc>
        <w:tc>
          <w:tcPr>
            <w:cnfStyle w:val="000001000000" w:firstRow="0" w:lastRow="0" w:firstColumn="0" w:lastColumn="0" w:oddVBand="0" w:evenVBand="1" w:oddHBand="0" w:evenHBand="0" w:firstRowFirstColumn="0" w:firstRowLastColumn="0" w:lastRowFirstColumn="0" w:lastRowLastColumn="0"/>
            <w:tcW w:w="815" w:type="pct"/>
          </w:tcPr>
          <w:p w14:paraId="6F432CB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LCO</w:t>
            </w:r>
          </w:p>
        </w:tc>
        <w:tc>
          <w:tcPr>
            <w:cnfStyle w:val="000010000000" w:firstRow="0" w:lastRow="0" w:firstColumn="0" w:lastColumn="0" w:oddVBand="1" w:evenVBand="0" w:oddHBand="0" w:evenHBand="0" w:firstRowFirstColumn="0" w:firstRowLastColumn="0" w:lastRowFirstColumn="0" w:lastRowLastColumn="0"/>
            <w:tcW w:w="814" w:type="pct"/>
          </w:tcPr>
          <w:p w14:paraId="7F187B5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LGLOB</w:t>
            </w:r>
          </w:p>
        </w:tc>
        <w:tc>
          <w:tcPr>
            <w:cnfStyle w:val="000001000000" w:firstRow="0" w:lastRow="0" w:firstColumn="0" w:lastColumn="0" w:oddVBand="0" w:evenVBand="1" w:oddHBand="0" w:evenHBand="0" w:firstRowFirstColumn="0" w:firstRowLastColumn="0" w:lastRowFirstColumn="0" w:lastRowLastColumn="0"/>
            <w:tcW w:w="815" w:type="pct"/>
          </w:tcPr>
          <w:p w14:paraId="6941B93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LRE</w:t>
            </w:r>
          </w:p>
        </w:tc>
        <w:tc>
          <w:tcPr>
            <w:cnfStyle w:val="000010000000" w:firstRow="0" w:lastRow="0" w:firstColumn="0" w:lastColumn="0" w:oddVBand="1" w:evenVBand="0" w:oddHBand="0" w:evenHBand="0" w:firstRowFirstColumn="0" w:firstRowLastColumn="0" w:lastRowFirstColumn="0" w:lastRowLastColumn="0"/>
            <w:tcW w:w="814" w:type="pct"/>
          </w:tcPr>
          <w:p w14:paraId="196B346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LGDP</w:t>
            </w:r>
          </w:p>
        </w:tc>
        <w:tc>
          <w:tcPr>
            <w:cnfStyle w:val="000001000000" w:firstRow="0" w:lastRow="0" w:firstColumn="0" w:lastColumn="0" w:oddVBand="0" w:evenVBand="1" w:oddHBand="0" w:evenHBand="0" w:firstRowFirstColumn="0" w:firstRowLastColumn="0" w:lastRowFirstColumn="0" w:lastRowLastColumn="0"/>
            <w:tcW w:w="815" w:type="pct"/>
          </w:tcPr>
          <w:p w14:paraId="40C5D01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LGDP2</w:t>
            </w:r>
          </w:p>
        </w:tc>
      </w:tr>
      <w:tr w:rsidR="00437640" w:rsidRPr="00562062" w14:paraId="608BAA0B"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1F31A99A"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Mean</w:t>
            </w:r>
          </w:p>
        </w:tc>
        <w:tc>
          <w:tcPr>
            <w:cnfStyle w:val="000001000000" w:firstRow="0" w:lastRow="0" w:firstColumn="0" w:lastColumn="0" w:oddVBand="0" w:evenVBand="1" w:oddHBand="0" w:evenHBand="0" w:firstRowFirstColumn="0" w:firstRowLastColumn="0" w:lastRowFirstColumn="0" w:lastRowLastColumn="0"/>
            <w:tcW w:w="815" w:type="pct"/>
          </w:tcPr>
          <w:p w14:paraId="4F444200"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20.91915</w:t>
            </w:r>
          </w:p>
        </w:tc>
        <w:tc>
          <w:tcPr>
            <w:cnfStyle w:val="000010000000" w:firstRow="0" w:lastRow="0" w:firstColumn="0" w:lastColumn="0" w:oddVBand="1" w:evenVBand="0" w:oddHBand="0" w:evenHBand="0" w:firstRowFirstColumn="0" w:firstRowLastColumn="0" w:lastRowFirstColumn="0" w:lastRowLastColumn="0"/>
            <w:tcW w:w="814" w:type="pct"/>
          </w:tcPr>
          <w:p w14:paraId="08A4D7AA"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3.913034</w:t>
            </w:r>
          </w:p>
        </w:tc>
        <w:tc>
          <w:tcPr>
            <w:cnfStyle w:val="000001000000" w:firstRow="0" w:lastRow="0" w:firstColumn="0" w:lastColumn="0" w:oddVBand="0" w:evenVBand="1" w:oddHBand="0" w:evenHBand="0" w:firstRowFirstColumn="0" w:firstRowLastColumn="0" w:lastRowFirstColumn="0" w:lastRowLastColumn="0"/>
            <w:tcW w:w="815" w:type="pct"/>
          </w:tcPr>
          <w:p w14:paraId="36F24A2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3.726242</w:t>
            </w:r>
          </w:p>
        </w:tc>
        <w:tc>
          <w:tcPr>
            <w:cnfStyle w:val="000010000000" w:firstRow="0" w:lastRow="0" w:firstColumn="0" w:lastColumn="0" w:oddVBand="1" w:evenVBand="0" w:oddHBand="0" w:evenHBand="0" w:firstRowFirstColumn="0" w:firstRowLastColumn="0" w:lastRowFirstColumn="0" w:lastRowLastColumn="0"/>
            <w:tcW w:w="814" w:type="pct"/>
          </w:tcPr>
          <w:p w14:paraId="0814B41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6.904280</w:t>
            </w:r>
          </w:p>
        </w:tc>
        <w:tc>
          <w:tcPr>
            <w:cnfStyle w:val="000001000000" w:firstRow="0" w:lastRow="0" w:firstColumn="0" w:lastColumn="0" w:oddVBand="0" w:evenVBand="1" w:oddHBand="0" w:evenHBand="0" w:firstRowFirstColumn="0" w:firstRowLastColumn="0" w:lastRowFirstColumn="0" w:lastRowLastColumn="0"/>
            <w:tcW w:w="815" w:type="pct"/>
          </w:tcPr>
          <w:p w14:paraId="1D4E512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47.84858</w:t>
            </w:r>
          </w:p>
        </w:tc>
      </w:tr>
      <w:tr w:rsidR="00437640" w:rsidRPr="00562062" w14:paraId="236DC97A"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69074B46"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Median</w:t>
            </w:r>
          </w:p>
        </w:tc>
        <w:tc>
          <w:tcPr>
            <w:cnfStyle w:val="000001000000" w:firstRow="0" w:lastRow="0" w:firstColumn="0" w:lastColumn="0" w:oddVBand="0" w:evenVBand="1" w:oddHBand="0" w:evenHBand="0" w:firstRowFirstColumn="0" w:firstRowLastColumn="0" w:lastRowFirstColumn="0" w:lastRowLastColumn="0"/>
            <w:tcW w:w="815" w:type="pct"/>
          </w:tcPr>
          <w:p w14:paraId="57DFB01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20.85510</w:t>
            </w:r>
          </w:p>
        </w:tc>
        <w:tc>
          <w:tcPr>
            <w:cnfStyle w:val="000010000000" w:firstRow="0" w:lastRow="0" w:firstColumn="0" w:lastColumn="0" w:oddVBand="1" w:evenVBand="0" w:oddHBand="0" w:evenHBand="0" w:firstRowFirstColumn="0" w:firstRowLastColumn="0" w:lastRowFirstColumn="0" w:lastRowLastColumn="0"/>
            <w:tcW w:w="814" w:type="pct"/>
          </w:tcPr>
          <w:p w14:paraId="3B745A1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3.966964</w:t>
            </w:r>
          </w:p>
        </w:tc>
        <w:tc>
          <w:tcPr>
            <w:cnfStyle w:val="000001000000" w:firstRow="0" w:lastRow="0" w:firstColumn="0" w:lastColumn="0" w:oddVBand="0" w:evenVBand="1" w:oddHBand="0" w:evenHBand="0" w:firstRowFirstColumn="0" w:firstRowLastColumn="0" w:lastRowFirstColumn="0" w:lastRowLastColumn="0"/>
            <w:tcW w:w="815" w:type="pct"/>
          </w:tcPr>
          <w:p w14:paraId="79B22E53"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3.777283</w:t>
            </w:r>
          </w:p>
        </w:tc>
        <w:tc>
          <w:tcPr>
            <w:cnfStyle w:val="000010000000" w:firstRow="0" w:lastRow="0" w:firstColumn="0" w:lastColumn="0" w:oddVBand="1" w:evenVBand="0" w:oddHBand="0" w:evenHBand="0" w:firstRowFirstColumn="0" w:firstRowLastColumn="0" w:lastRowFirstColumn="0" w:lastRowLastColumn="0"/>
            <w:tcW w:w="814" w:type="pct"/>
          </w:tcPr>
          <w:p w14:paraId="43A828E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6.885013</w:t>
            </w:r>
          </w:p>
        </w:tc>
        <w:tc>
          <w:tcPr>
            <w:cnfStyle w:val="000001000000" w:firstRow="0" w:lastRow="0" w:firstColumn="0" w:lastColumn="0" w:oddVBand="0" w:evenVBand="1" w:oddHBand="0" w:evenHBand="0" w:firstRowFirstColumn="0" w:firstRowLastColumn="0" w:lastRowFirstColumn="0" w:lastRowLastColumn="0"/>
            <w:tcW w:w="815" w:type="pct"/>
          </w:tcPr>
          <w:p w14:paraId="2535FE69"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47.40437</w:t>
            </w:r>
          </w:p>
        </w:tc>
      </w:tr>
      <w:tr w:rsidR="00437640" w:rsidRPr="00562062" w14:paraId="16B90505"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45D7242A"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Maximum</w:t>
            </w:r>
          </w:p>
        </w:tc>
        <w:tc>
          <w:tcPr>
            <w:cnfStyle w:val="000001000000" w:firstRow="0" w:lastRow="0" w:firstColumn="0" w:lastColumn="0" w:oddVBand="0" w:evenVBand="1" w:oddHBand="0" w:evenHBand="0" w:firstRowFirstColumn="0" w:firstRowLastColumn="0" w:lastRowFirstColumn="0" w:lastRowLastColumn="0"/>
            <w:tcW w:w="815" w:type="pct"/>
          </w:tcPr>
          <w:p w14:paraId="699326BD"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21.62046</w:t>
            </w:r>
          </w:p>
        </w:tc>
        <w:tc>
          <w:tcPr>
            <w:cnfStyle w:val="000010000000" w:firstRow="0" w:lastRow="0" w:firstColumn="0" w:lastColumn="0" w:oddVBand="1" w:evenVBand="0" w:oddHBand="0" w:evenHBand="0" w:firstRowFirstColumn="0" w:firstRowLastColumn="0" w:lastRowFirstColumn="0" w:lastRowLastColumn="0"/>
            <w:tcW w:w="814" w:type="pct"/>
          </w:tcPr>
          <w:p w14:paraId="4D420570"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4.088824</w:t>
            </w:r>
          </w:p>
        </w:tc>
        <w:tc>
          <w:tcPr>
            <w:cnfStyle w:val="000001000000" w:firstRow="0" w:lastRow="0" w:firstColumn="0" w:lastColumn="0" w:oddVBand="0" w:evenVBand="1" w:oddHBand="0" w:evenHBand="0" w:firstRowFirstColumn="0" w:firstRowLastColumn="0" w:lastRowFirstColumn="0" w:lastRowLastColumn="0"/>
            <w:tcW w:w="815" w:type="pct"/>
          </w:tcPr>
          <w:p w14:paraId="78D77F4A"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3.970292</w:t>
            </w:r>
          </w:p>
        </w:tc>
        <w:tc>
          <w:tcPr>
            <w:cnfStyle w:val="000010000000" w:firstRow="0" w:lastRow="0" w:firstColumn="0" w:lastColumn="0" w:oddVBand="1" w:evenVBand="0" w:oddHBand="0" w:evenHBand="0" w:firstRowFirstColumn="0" w:firstRowLastColumn="0" w:lastRowFirstColumn="0" w:lastRowLastColumn="0"/>
            <w:tcW w:w="814" w:type="pct"/>
          </w:tcPr>
          <w:p w14:paraId="7E3B1F68"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7.583405</w:t>
            </w:r>
          </w:p>
        </w:tc>
        <w:tc>
          <w:tcPr>
            <w:cnfStyle w:val="000001000000" w:firstRow="0" w:lastRow="0" w:firstColumn="0" w:lastColumn="0" w:oddVBand="0" w:evenVBand="1" w:oddHBand="0" w:evenHBand="0" w:firstRowFirstColumn="0" w:firstRowLastColumn="0" w:lastRowFirstColumn="0" w:lastRowLastColumn="0"/>
            <w:tcW w:w="815" w:type="pct"/>
          </w:tcPr>
          <w:p w14:paraId="3D30DDC8"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57.50803</w:t>
            </w:r>
          </w:p>
        </w:tc>
      </w:tr>
      <w:tr w:rsidR="00437640" w:rsidRPr="00562062" w14:paraId="76C2BAB5"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53024F9B"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Minimum</w:t>
            </w:r>
          </w:p>
        </w:tc>
        <w:tc>
          <w:tcPr>
            <w:cnfStyle w:val="000001000000" w:firstRow="0" w:lastRow="0" w:firstColumn="0" w:lastColumn="0" w:oddVBand="0" w:evenVBand="1" w:oddHBand="0" w:evenHBand="0" w:firstRowFirstColumn="0" w:firstRowLastColumn="0" w:lastRowFirstColumn="0" w:lastRowLastColumn="0"/>
            <w:tcW w:w="815" w:type="pct"/>
          </w:tcPr>
          <w:p w14:paraId="1AB4CF64"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20.17035</w:t>
            </w:r>
          </w:p>
        </w:tc>
        <w:tc>
          <w:tcPr>
            <w:cnfStyle w:val="000010000000" w:firstRow="0" w:lastRow="0" w:firstColumn="0" w:lastColumn="0" w:oddVBand="1" w:evenVBand="0" w:oddHBand="0" w:evenHBand="0" w:firstRowFirstColumn="0" w:firstRowLastColumn="0" w:lastRowFirstColumn="0" w:lastRowLastColumn="0"/>
            <w:tcW w:w="814" w:type="pct"/>
          </w:tcPr>
          <w:p w14:paraId="25850041"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3.650624</w:t>
            </w:r>
          </w:p>
        </w:tc>
        <w:tc>
          <w:tcPr>
            <w:cnfStyle w:val="000001000000" w:firstRow="0" w:lastRow="0" w:firstColumn="0" w:lastColumn="0" w:oddVBand="0" w:evenVBand="1" w:oddHBand="0" w:evenHBand="0" w:firstRowFirstColumn="0" w:firstRowLastColumn="0" w:lastRowFirstColumn="0" w:lastRowLastColumn="0"/>
            <w:tcW w:w="815" w:type="pct"/>
          </w:tcPr>
          <w:p w14:paraId="7A6777A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3.481240</w:t>
            </w:r>
          </w:p>
        </w:tc>
        <w:tc>
          <w:tcPr>
            <w:cnfStyle w:val="000010000000" w:firstRow="0" w:lastRow="0" w:firstColumn="0" w:lastColumn="0" w:oddVBand="1" w:evenVBand="0" w:oddHBand="0" w:evenHBand="0" w:firstRowFirstColumn="0" w:firstRowLastColumn="0" w:lastRowFirstColumn="0" w:lastRowLastColumn="0"/>
            <w:tcW w:w="814" w:type="pct"/>
          </w:tcPr>
          <w:p w14:paraId="6E6745A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6.276452</w:t>
            </w:r>
          </w:p>
        </w:tc>
        <w:tc>
          <w:tcPr>
            <w:cnfStyle w:val="000001000000" w:firstRow="0" w:lastRow="0" w:firstColumn="0" w:lastColumn="0" w:oddVBand="0" w:evenVBand="1" w:oddHBand="0" w:evenHBand="0" w:firstRowFirstColumn="0" w:firstRowLastColumn="0" w:lastRowFirstColumn="0" w:lastRowLastColumn="0"/>
            <w:tcW w:w="815" w:type="pct"/>
          </w:tcPr>
          <w:p w14:paraId="0AE7B97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39.39386</w:t>
            </w:r>
          </w:p>
        </w:tc>
      </w:tr>
      <w:tr w:rsidR="00437640" w:rsidRPr="00562062" w14:paraId="5E4E1937"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27819F9A"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Std. Dev.</w:t>
            </w:r>
          </w:p>
        </w:tc>
        <w:tc>
          <w:tcPr>
            <w:cnfStyle w:val="000001000000" w:firstRow="0" w:lastRow="0" w:firstColumn="0" w:lastColumn="0" w:oddVBand="0" w:evenVBand="1" w:oddHBand="0" w:evenHBand="0" w:firstRowFirstColumn="0" w:firstRowLastColumn="0" w:lastRowFirstColumn="0" w:lastRowLastColumn="0"/>
            <w:tcW w:w="815" w:type="pct"/>
          </w:tcPr>
          <w:p w14:paraId="32D49583"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0.475343</w:t>
            </w:r>
          </w:p>
        </w:tc>
        <w:tc>
          <w:tcPr>
            <w:cnfStyle w:val="000010000000" w:firstRow="0" w:lastRow="0" w:firstColumn="0" w:lastColumn="0" w:oddVBand="1" w:evenVBand="0" w:oddHBand="0" w:evenHBand="0" w:firstRowFirstColumn="0" w:firstRowLastColumn="0" w:lastRowFirstColumn="0" w:lastRowLastColumn="0"/>
            <w:tcW w:w="814" w:type="pct"/>
          </w:tcPr>
          <w:p w14:paraId="20788FC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0.150358</w:t>
            </w:r>
          </w:p>
        </w:tc>
        <w:tc>
          <w:tcPr>
            <w:cnfStyle w:val="000001000000" w:firstRow="0" w:lastRow="0" w:firstColumn="0" w:lastColumn="0" w:oddVBand="0" w:evenVBand="1" w:oddHBand="0" w:evenHBand="0" w:firstRowFirstColumn="0" w:firstRowLastColumn="0" w:lastRowFirstColumn="0" w:lastRowLastColumn="0"/>
            <w:tcW w:w="815" w:type="pct"/>
          </w:tcPr>
          <w:p w14:paraId="4C302F7D"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0.169696</w:t>
            </w:r>
          </w:p>
        </w:tc>
        <w:tc>
          <w:tcPr>
            <w:cnfStyle w:val="000010000000" w:firstRow="0" w:lastRow="0" w:firstColumn="0" w:lastColumn="0" w:oddVBand="1" w:evenVBand="0" w:oddHBand="0" w:evenHBand="0" w:firstRowFirstColumn="0" w:firstRowLastColumn="0" w:lastRowFirstColumn="0" w:lastRowLastColumn="0"/>
            <w:tcW w:w="814" w:type="pct"/>
          </w:tcPr>
          <w:p w14:paraId="6F9AADB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0.430444</w:t>
            </w:r>
          </w:p>
        </w:tc>
        <w:tc>
          <w:tcPr>
            <w:cnfStyle w:val="000001000000" w:firstRow="0" w:lastRow="0" w:firstColumn="0" w:lastColumn="0" w:oddVBand="0" w:evenVBand="1" w:oddHBand="0" w:evenHBand="0" w:firstRowFirstColumn="0" w:firstRowLastColumn="0" w:lastRowFirstColumn="0" w:lastRowLastColumn="0"/>
            <w:tcW w:w="815" w:type="pct"/>
          </w:tcPr>
          <w:p w14:paraId="1C07477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5.967082</w:t>
            </w:r>
          </w:p>
        </w:tc>
      </w:tr>
      <w:tr w:rsidR="00437640" w:rsidRPr="00562062" w14:paraId="39F29F20"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752A4385"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Skewness</w:t>
            </w:r>
          </w:p>
        </w:tc>
        <w:tc>
          <w:tcPr>
            <w:cnfStyle w:val="000001000000" w:firstRow="0" w:lastRow="0" w:firstColumn="0" w:lastColumn="0" w:oddVBand="0" w:evenVBand="1" w:oddHBand="0" w:evenHBand="0" w:firstRowFirstColumn="0" w:firstRowLastColumn="0" w:lastRowFirstColumn="0" w:lastRowLastColumn="0"/>
            <w:tcW w:w="815" w:type="pct"/>
          </w:tcPr>
          <w:p w14:paraId="716D3EC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0.060327</w:t>
            </w:r>
          </w:p>
        </w:tc>
        <w:tc>
          <w:tcPr>
            <w:cnfStyle w:val="000010000000" w:firstRow="0" w:lastRow="0" w:firstColumn="0" w:lastColumn="0" w:oddVBand="1" w:evenVBand="0" w:oddHBand="0" w:evenHBand="0" w:firstRowFirstColumn="0" w:firstRowLastColumn="0" w:lastRowFirstColumn="0" w:lastRowLastColumn="0"/>
            <w:tcW w:w="814" w:type="pct"/>
          </w:tcPr>
          <w:p w14:paraId="070E1CB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-0.338230</w:t>
            </w:r>
          </w:p>
        </w:tc>
        <w:tc>
          <w:tcPr>
            <w:cnfStyle w:val="000001000000" w:firstRow="0" w:lastRow="0" w:firstColumn="0" w:lastColumn="0" w:oddVBand="0" w:evenVBand="1" w:oddHBand="0" w:evenHBand="0" w:firstRowFirstColumn="0" w:firstRowLastColumn="0" w:lastRowFirstColumn="0" w:lastRowLastColumn="0"/>
            <w:tcW w:w="815" w:type="pct"/>
          </w:tcPr>
          <w:p w14:paraId="436FF91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-0.119041</w:t>
            </w:r>
          </w:p>
        </w:tc>
        <w:tc>
          <w:tcPr>
            <w:cnfStyle w:val="000010000000" w:firstRow="0" w:lastRow="0" w:firstColumn="0" w:lastColumn="0" w:oddVBand="1" w:evenVBand="0" w:oddHBand="0" w:evenHBand="0" w:firstRowFirstColumn="0" w:firstRowLastColumn="0" w:lastRowFirstColumn="0" w:lastRowLastColumn="0"/>
            <w:tcW w:w="814" w:type="pct"/>
          </w:tcPr>
          <w:p w14:paraId="39B396B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0.117195</w:t>
            </w:r>
          </w:p>
        </w:tc>
        <w:tc>
          <w:tcPr>
            <w:cnfStyle w:val="000001000000" w:firstRow="0" w:lastRow="0" w:firstColumn="0" w:lastColumn="0" w:oddVBand="0" w:evenVBand="1" w:oddHBand="0" w:evenHBand="0" w:firstRowFirstColumn="0" w:firstRowLastColumn="0" w:lastRowFirstColumn="0" w:lastRowLastColumn="0"/>
            <w:tcW w:w="815" w:type="pct"/>
          </w:tcPr>
          <w:p w14:paraId="39A9962A"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0.179330</w:t>
            </w:r>
          </w:p>
        </w:tc>
      </w:tr>
      <w:tr w:rsidR="00437640" w:rsidRPr="00562062" w14:paraId="5AFD2C2F"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2BCF6E9C"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Kurtosis</w:t>
            </w:r>
          </w:p>
        </w:tc>
        <w:tc>
          <w:tcPr>
            <w:cnfStyle w:val="000001000000" w:firstRow="0" w:lastRow="0" w:firstColumn="0" w:lastColumn="0" w:oddVBand="0" w:evenVBand="1" w:oddHBand="0" w:evenHBand="0" w:firstRowFirstColumn="0" w:firstRowLastColumn="0" w:lastRowFirstColumn="0" w:lastRowLastColumn="0"/>
            <w:tcW w:w="815" w:type="pct"/>
          </w:tcPr>
          <w:p w14:paraId="4FD3244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1.643588</w:t>
            </w:r>
          </w:p>
        </w:tc>
        <w:tc>
          <w:tcPr>
            <w:cnfStyle w:val="000010000000" w:firstRow="0" w:lastRow="0" w:firstColumn="0" w:lastColumn="0" w:oddVBand="1" w:evenVBand="0" w:oddHBand="0" w:evenHBand="0" w:firstRowFirstColumn="0" w:firstRowLastColumn="0" w:lastRowFirstColumn="0" w:lastRowLastColumn="0"/>
            <w:tcW w:w="814" w:type="pct"/>
          </w:tcPr>
          <w:p w14:paraId="7224585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1.546682</w:t>
            </w:r>
          </w:p>
        </w:tc>
        <w:tc>
          <w:tcPr>
            <w:cnfStyle w:val="000001000000" w:firstRow="0" w:lastRow="0" w:firstColumn="0" w:lastColumn="0" w:oddVBand="0" w:evenVBand="1" w:oddHBand="0" w:evenHBand="0" w:firstRowFirstColumn="0" w:firstRowLastColumn="0" w:lastRowFirstColumn="0" w:lastRowLastColumn="0"/>
            <w:tcW w:w="815" w:type="pct"/>
          </w:tcPr>
          <w:p w14:paraId="775DEE8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1.418686</w:t>
            </w:r>
          </w:p>
        </w:tc>
        <w:tc>
          <w:tcPr>
            <w:cnfStyle w:val="000010000000" w:firstRow="0" w:lastRow="0" w:firstColumn="0" w:lastColumn="0" w:oddVBand="1" w:evenVBand="0" w:oddHBand="0" w:evenHBand="0" w:firstRowFirstColumn="0" w:firstRowLastColumn="0" w:lastRowFirstColumn="0" w:lastRowLastColumn="0"/>
            <w:tcW w:w="814" w:type="pct"/>
          </w:tcPr>
          <w:p w14:paraId="69957541"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1.692385</w:t>
            </w:r>
          </w:p>
        </w:tc>
        <w:tc>
          <w:tcPr>
            <w:cnfStyle w:val="000001000000" w:firstRow="0" w:lastRow="0" w:firstColumn="0" w:lastColumn="0" w:oddVBand="0" w:evenVBand="1" w:oddHBand="0" w:evenHBand="0" w:firstRowFirstColumn="0" w:firstRowLastColumn="0" w:lastRowFirstColumn="0" w:lastRowLastColumn="0"/>
            <w:tcW w:w="815" w:type="pct"/>
          </w:tcPr>
          <w:p w14:paraId="25C03D52"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1.707456</w:t>
            </w:r>
          </w:p>
        </w:tc>
      </w:tr>
      <w:tr w:rsidR="00437640" w:rsidRPr="00562062" w14:paraId="1F59A9E9"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3D94E629"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Jarque-Bera</w:t>
            </w:r>
          </w:p>
        </w:tc>
        <w:tc>
          <w:tcPr>
            <w:cnfStyle w:val="000001000000" w:firstRow="0" w:lastRow="0" w:firstColumn="0" w:lastColumn="0" w:oddVBand="0" w:evenVBand="1" w:oddHBand="0" w:evenHBand="0" w:firstRowFirstColumn="0" w:firstRowLastColumn="0" w:lastRowFirstColumn="0" w:lastRowLastColumn="0"/>
            <w:tcW w:w="815" w:type="pct"/>
          </w:tcPr>
          <w:p w14:paraId="144E79A1"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2.472548</w:t>
            </w:r>
          </w:p>
        </w:tc>
        <w:tc>
          <w:tcPr>
            <w:cnfStyle w:val="000010000000" w:firstRow="0" w:lastRow="0" w:firstColumn="0" w:lastColumn="0" w:oddVBand="1" w:evenVBand="0" w:oddHBand="0" w:evenHBand="0" w:firstRowFirstColumn="0" w:firstRowLastColumn="0" w:lastRowFirstColumn="0" w:lastRowLastColumn="0"/>
            <w:tcW w:w="814" w:type="pct"/>
          </w:tcPr>
          <w:p w14:paraId="219CDAF3"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3.426310</w:t>
            </w:r>
          </w:p>
        </w:tc>
        <w:tc>
          <w:tcPr>
            <w:cnfStyle w:val="000001000000" w:firstRow="0" w:lastRow="0" w:firstColumn="0" w:lastColumn="0" w:oddVBand="0" w:evenVBand="1" w:oddHBand="0" w:evenHBand="0" w:firstRowFirstColumn="0" w:firstRowLastColumn="0" w:lastRowFirstColumn="0" w:lastRowLastColumn="0"/>
            <w:tcW w:w="815" w:type="pct"/>
          </w:tcPr>
          <w:p w14:paraId="19885E5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3.409650</w:t>
            </w:r>
          </w:p>
        </w:tc>
        <w:tc>
          <w:tcPr>
            <w:cnfStyle w:val="000010000000" w:firstRow="0" w:lastRow="0" w:firstColumn="0" w:lastColumn="0" w:oddVBand="1" w:evenVBand="0" w:oddHBand="0" w:evenHBand="0" w:firstRowFirstColumn="0" w:firstRowLastColumn="0" w:lastRowFirstColumn="0" w:lastRowLastColumn="0"/>
            <w:tcW w:w="814" w:type="pct"/>
          </w:tcPr>
          <w:p w14:paraId="1F98F792"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2.353062</w:t>
            </w:r>
          </w:p>
        </w:tc>
        <w:tc>
          <w:tcPr>
            <w:cnfStyle w:val="000001000000" w:firstRow="0" w:lastRow="0" w:firstColumn="0" w:lastColumn="0" w:oddVBand="0" w:evenVBand="1" w:oddHBand="0" w:evenHBand="0" w:firstRowFirstColumn="0" w:firstRowLastColumn="0" w:lastRowFirstColumn="0" w:lastRowLastColumn="0"/>
            <w:tcW w:w="815" w:type="pct"/>
          </w:tcPr>
          <w:p w14:paraId="4A5E511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2.399077</w:t>
            </w:r>
          </w:p>
        </w:tc>
      </w:tr>
      <w:tr w:rsidR="00437640" w:rsidRPr="00562062" w14:paraId="66FABFEF"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4DD81F38"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Probability</w:t>
            </w:r>
          </w:p>
        </w:tc>
        <w:tc>
          <w:tcPr>
            <w:cnfStyle w:val="000001000000" w:firstRow="0" w:lastRow="0" w:firstColumn="0" w:lastColumn="0" w:oddVBand="0" w:evenVBand="1" w:oddHBand="0" w:evenHBand="0" w:firstRowFirstColumn="0" w:firstRowLastColumn="0" w:lastRowFirstColumn="0" w:lastRowLastColumn="0"/>
            <w:tcW w:w="815" w:type="pct"/>
          </w:tcPr>
          <w:p w14:paraId="77327D6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0.290464</w:t>
            </w:r>
          </w:p>
        </w:tc>
        <w:tc>
          <w:tcPr>
            <w:cnfStyle w:val="000010000000" w:firstRow="0" w:lastRow="0" w:firstColumn="0" w:lastColumn="0" w:oddVBand="1" w:evenVBand="0" w:oddHBand="0" w:evenHBand="0" w:firstRowFirstColumn="0" w:firstRowLastColumn="0" w:lastRowFirstColumn="0" w:lastRowLastColumn="0"/>
            <w:tcW w:w="814" w:type="pct"/>
          </w:tcPr>
          <w:p w14:paraId="6703003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0.180296</w:t>
            </w:r>
          </w:p>
        </w:tc>
        <w:tc>
          <w:tcPr>
            <w:cnfStyle w:val="000001000000" w:firstRow="0" w:lastRow="0" w:firstColumn="0" w:lastColumn="0" w:oddVBand="0" w:evenVBand="1" w:oddHBand="0" w:evenHBand="0" w:firstRowFirstColumn="0" w:firstRowLastColumn="0" w:lastRowFirstColumn="0" w:lastRowLastColumn="0"/>
            <w:tcW w:w="815" w:type="pct"/>
          </w:tcPr>
          <w:p w14:paraId="792BFF3D"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0.181804</w:t>
            </w:r>
          </w:p>
        </w:tc>
        <w:tc>
          <w:tcPr>
            <w:cnfStyle w:val="000010000000" w:firstRow="0" w:lastRow="0" w:firstColumn="0" w:lastColumn="0" w:oddVBand="1" w:evenVBand="0" w:oddHBand="0" w:evenHBand="0" w:firstRowFirstColumn="0" w:firstRowLastColumn="0" w:lastRowFirstColumn="0" w:lastRowLastColumn="0"/>
            <w:tcW w:w="814" w:type="pct"/>
          </w:tcPr>
          <w:p w14:paraId="27EBCF62"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0.308347</w:t>
            </w:r>
          </w:p>
        </w:tc>
        <w:tc>
          <w:tcPr>
            <w:cnfStyle w:val="000001000000" w:firstRow="0" w:lastRow="0" w:firstColumn="0" w:lastColumn="0" w:oddVBand="0" w:evenVBand="1" w:oddHBand="0" w:evenHBand="0" w:firstRowFirstColumn="0" w:firstRowLastColumn="0" w:lastRowFirstColumn="0" w:lastRowLastColumn="0"/>
            <w:tcW w:w="815" w:type="pct"/>
          </w:tcPr>
          <w:p w14:paraId="1C7F9EC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0.301333</w:t>
            </w:r>
          </w:p>
        </w:tc>
      </w:tr>
    </w:tbl>
    <w:p w14:paraId="4CDFDDA6" w14:textId="77777777" w:rsidR="004C0F66" w:rsidRPr="00562062" w:rsidRDefault="004C0F66" w:rsidP="00441B6F">
      <w:pPr>
        <w:pStyle w:val="AbstHead"/>
        <w:spacing w:after="0"/>
        <w:jc w:val="both"/>
        <w:rPr>
          <w:rFonts w:ascii="Arial" w:hAnsi="Arial" w:cs="Arial"/>
          <w:b w:val="0"/>
          <w:caps w:val="0"/>
          <w:sz w:val="20"/>
          <w:lang w:val="en-IN"/>
        </w:rPr>
      </w:pPr>
    </w:p>
    <w:p w14:paraId="48BFAC15" w14:textId="77777777" w:rsidR="004C0F66" w:rsidRPr="00562062" w:rsidRDefault="004C0F66" w:rsidP="00441B6F">
      <w:pPr>
        <w:pStyle w:val="AbstHead"/>
        <w:spacing w:after="0"/>
        <w:jc w:val="both"/>
        <w:rPr>
          <w:rFonts w:ascii="Arial" w:hAnsi="Arial" w:cs="Arial"/>
        </w:rPr>
      </w:pPr>
    </w:p>
    <w:p w14:paraId="5B3092DA" w14:textId="001408C9" w:rsidR="006A3613" w:rsidRPr="00562062" w:rsidRDefault="006A3613" w:rsidP="006A3613">
      <w:pPr>
        <w:rPr>
          <w:rFonts w:ascii="Arial" w:hAnsi="Arial" w:cs="Arial"/>
          <w:b/>
          <w:bCs/>
          <w:sz w:val="22"/>
        </w:rPr>
      </w:pPr>
      <w:r w:rsidRPr="00562062">
        <w:rPr>
          <w:rFonts w:ascii="Arial" w:hAnsi="Arial" w:cs="Arial"/>
          <w:b/>
          <w:bCs/>
          <w:sz w:val="22"/>
        </w:rPr>
        <w:t>4.2 Unit root test</w:t>
      </w:r>
    </w:p>
    <w:p w14:paraId="717EAAC1" w14:textId="70865691" w:rsidR="006A3613" w:rsidRPr="00720037" w:rsidRDefault="006A3613" w:rsidP="006A3613">
      <w:pPr>
        <w:jc w:val="both"/>
        <w:rPr>
          <w:rFonts w:ascii="Arial" w:hAnsi="Arial" w:cs="Arial"/>
          <w:color w:val="EE0000"/>
          <w:lang w:val="en-IN"/>
        </w:rPr>
      </w:pPr>
      <w:r w:rsidRPr="00562062">
        <w:rPr>
          <w:rFonts w:ascii="Arial" w:hAnsi="Arial" w:cs="Arial"/>
          <w:lang w:val="en-IN"/>
        </w:rPr>
        <w:t xml:space="preserve">The stationarity properties of the variables were examined using the Augmented Dickey–Fuller (ADF) test alongside the </w:t>
      </w:r>
      <w:proofErr w:type="spellStart"/>
      <w:r w:rsidRPr="00562062">
        <w:rPr>
          <w:rFonts w:ascii="Arial" w:hAnsi="Arial" w:cs="Arial"/>
          <w:lang w:val="en-IN"/>
        </w:rPr>
        <w:t>Zivot</w:t>
      </w:r>
      <w:proofErr w:type="spellEnd"/>
      <w:r w:rsidRPr="00562062">
        <w:rPr>
          <w:rFonts w:ascii="Arial" w:hAnsi="Arial" w:cs="Arial"/>
          <w:lang w:val="en-IN"/>
        </w:rPr>
        <w:t xml:space="preserve">–Andrews (ZA) test to address the possibility of structural shifts. </w:t>
      </w:r>
      <w:r w:rsidR="00403B8B" w:rsidRPr="00720037">
        <w:rPr>
          <w:rFonts w:ascii="Arial" w:hAnsi="Arial" w:cs="Arial"/>
          <w:color w:val="EE0000"/>
        </w:rPr>
        <w:t xml:space="preserve">While the </w:t>
      </w:r>
      <w:proofErr w:type="spellStart"/>
      <w:r w:rsidR="00403B8B" w:rsidRPr="00720037">
        <w:rPr>
          <w:rFonts w:ascii="Arial" w:hAnsi="Arial" w:cs="Arial"/>
          <w:color w:val="EE0000"/>
        </w:rPr>
        <w:t>Zivot</w:t>
      </w:r>
      <w:proofErr w:type="spellEnd"/>
      <w:r w:rsidR="00403B8B" w:rsidRPr="00720037">
        <w:rPr>
          <w:rFonts w:ascii="Arial" w:hAnsi="Arial" w:cs="Arial"/>
          <w:color w:val="EE0000"/>
        </w:rPr>
        <w:t>-</w:t>
      </w:r>
      <w:proofErr w:type="gramStart"/>
      <w:r w:rsidR="00403B8B" w:rsidRPr="00720037">
        <w:rPr>
          <w:rFonts w:ascii="Arial" w:hAnsi="Arial" w:cs="Arial"/>
          <w:color w:val="EE0000"/>
        </w:rPr>
        <w:t>Andrews</w:t>
      </w:r>
      <w:proofErr w:type="gramEnd"/>
      <w:r w:rsidR="00403B8B" w:rsidRPr="00720037">
        <w:rPr>
          <w:rFonts w:ascii="Arial" w:hAnsi="Arial" w:cs="Arial"/>
          <w:color w:val="EE0000"/>
        </w:rPr>
        <w:t xml:space="preserve"> test indicated the first-differenced renewable energy series (LRE) was stationary at the 5% significance level, the ADF test confirmed stationarity at the 1% level. Given that both tests conclude the variable is integrated of order one </w:t>
      </w:r>
      <w:proofErr w:type="gramStart"/>
      <w:r w:rsidR="00403B8B" w:rsidRPr="00720037">
        <w:rPr>
          <w:rFonts w:ascii="Arial" w:hAnsi="Arial" w:cs="Arial"/>
          <w:color w:val="EE0000"/>
        </w:rPr>
        <w:t>I(</w:t>
      </w:r>
      <w:proofErr w:type="gramEnd"/>
      <w:r w:rsidR="00403B8B" w:rsidRPr="00720037">
        <w:rPr>
          <w:rFonts w:ascii="Arial" w:hAnsi="Arial" w:cs="Arial"/>
          <w:color w:val="EE0000"/>
        </w:rPr>
        <w:t xml:space="preserve">1) and that no variable was found to be </w:t>
      </w:r>
      <w:proofErr w:type="gramStart"/>
      <w:r w:rsidR="00403B8B" w:rsidRPr="00720037">
        <w:rPr>
          <w:rFonts w:ascii="Arial" w:hAnsi="Arial" w:cs="Arial"/>
          <w:color w:val="EE0000"/>
        </w:rPr>
        <w:t>I(</w:t>
      </w:r>
      <w:proofErr w:type="gramEnd"/>
      <w:r w:rsidR="00403B8B" w:rsidRPr="00720037">
        <w:rPr>
          <w:rFonts w:ascii="Arial" w:hAnsi="Arial" w:cs="Arial"/>
          <w:color w:val="EE0000"/>
        </w:rPr>
        <w:t xml:space="preserve">2), the application of the ARDL approach is justified. </w:t>
      </w:r>
      <w:r w:rsidRPr="00720037">
        <w:rPr>
          <w:rFonts w:ascii="Arial" w:hAnsi="Arial" w:cs="Arial"/>
          <w:color w:val="EE0000"/>
          <w:lang w:val="en-IN"/>
        </w:rPr>
        <w:t xml:space="preserve">The results from both </w:t>
      </w:r>
      <w:proofErr w:type="gramStart"/>
      <w:r w:rsidRPr="00720037">
        <w:rPr>
          <w:rFonts w:ascii="Arial" w:hAnsi="Arial" w:cs="Arial"/>
          <w:color w:val="EE0000"/>
          <w:lang w:val="en-IN"/>
        </w:rPr>
        <w:t>test</w:t>
      </w:r>
      <w:proofErr w:type="gramEnd"/>
      <w:r w:rsidRPr="00720037">
        <w:rPr>
          <w:rFonts w:ascii="Arial" w:hAnsi="Arial" w:cs="Arial"/>
          <w:color w:val="EE0000"/>
          <w:lang w:val="en-IN"/>
        </w:rPr>
        <w:t xml:space="preserve"> reveal that none of the variables are stationary at levels. However, they become stationary after first differencing. It implies that all series are integrated of order one, </w:t>
      </w:r>
      <w:proofErr w:type="gramStart"/>
      <w:r w:rsidRPr="00720037">
        <w:rPr>
          <w:rFonts w:ascii="Arial" w:hAnsi="Arial" w:cs="Arial"/>
          <w:color w:val="EE0000"/>
          <w:lang w:val="en-IN"/>
        </w:rPr>
        <w:t>I(</w:t>
      </w:r>
      <w:proofErr w:type="gramEnd"/>
      <w:r w:rsidRPr="00720037">
        <w:rPr>
          <w:rFonts w:ascii="Arial" w:hAnsi="Arial" w:cs="Arial"/>
          <w:color w:val="EE0000"/>
          <w:lang w:val="en-IN"/>
        </w:rPr>
        <w:t>1).</w:t>
      </w:r>
    </w:p>
    <w:p w14:paraId="2369AE18" w14:textId="77777777" w:rsidR="006A3613" w:rsidRPr="00562062" w:rsidRDefault="006A3613" w:rsidP="006A3613">
      <w:pPr>
        <w:jc w:val="both"/>
        <w:rPr>
          <w:rFonts w:ascii="Arial" w:hAnsi="Arial" w:cs="Arial"/>
          <w:lang w:val="en-IN"/>
        </w:rPr>
      </w:pPr>
      <w:r w:rsidRPr="00562062">
        <w:rPr>
          <w:rFonts w:ascii="Arial" w:hAnsi="Arial" w:cs="Arial"/>
          <w:lang w:val="en-IN"/>
        </w:rPr>
        <w:t>The ZA test further identifies structural breaks in the series (2001,2003,2004,2005 respectively) that correspond to major global and domestic shocks. For instance, structural breaks identified in this study are consistent with existing literature. Using the Bai–Perron methodology, Roy Choudhury (2011) reported breakpoints in India’s GDP at 2001–02, while GDP and its squared term exhibit breaks in the early 2000s, consistent with the post-liberalization growth surge, globalization and IT boom. The real GDP grew at a sustained annual rate of 8.2% from 2003 to 2008 (Nagaraj, 2013). This outcome justifies the application of cointegration techniques, such as the ARDL bounds approach and Johansen cointegration test, to examine the existence of long-run equilibrium relationships among the variables.</w:t>
      </w:r>
    </w:p>
    <w:p w14:paraId="28488B7D" w14:textId="3A0F9E4D"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3</w:t>
      </w:r>
      <w:r w:rsidRPr="00562062">
        <w:rPr>
          <w:rFonts w:ascii="Arial" w:hAnsi="Arial" w:cs="Arial"/>
          <w:b/>
          <w:bCs/>
          <w:lang w:val="en-IN"/>
        </w:rPr>
        <w:t>. Unit Root and Structural Break Tests</w:t>
      </w:r>
    </w:p>
    <w:tbl>
      <w:tblPr>
        <w:tblW w:w="5000" w:type="pct"/>
        <w:tblLook w:val="04A0" w:firstRow="1" w:lastRow="0" w:firstColumn="1" w:lastColumn="0" w:noHBand="0" w:noVBand="1"/>
      </w:tblPr>
      <w:tblGrid>
        <w:gridCol w:w="1342"/>
        <w:gridCol w:w="1212"/>
        <w:gridCol w:w="2051"/>
        <w:gridCol w:w="1212"/>
        <w:gridCol w:w="1575"/>
        <w:gridCol w:w="2051"/>
        <w:gridCol w:w="1573"/>
      </w:tblGrid>
      <w:tr w:rsidR="006A3613" w:rsidRPr="00562062" w14:paraId="2D0FBA02" w14:textId="77777777" w:rsidTr="00373CF8">
        <w:trPr>
          <w:trHeight w:val="300"/>
        </w:trPr>
        <w:tc>
          <w:tcPr>
            <w:tcW w:w="609" w:type="pct"/>
            <w:vMerge w:val="restart"/>
            <w:tcBorders>
              <w:top w:val="single" w:sz="4" w:space="0" w:color="auto"/>
              <w:left w:val="single" w:sz="4" w:space="0" w:color="auto"/>
              <w:bottom w:val="single" w:sz="4" w:space="0" w:color="000000"/>
              <w:right w:val="single" w:sz="4" w:space="0" w:color="auto"/>
            </w:tcBorders>
            <w:noWrap/>
            <w:vAlign w:val="center"/>
            <w:hideMark/>
          </w:tcPr>
          <w:p w14:paraId="021BF9CE" w14:textId="77777777" w:rsidR="006A3613" w:rsidRPr="00562062" w:rsidRDefault="006A3613" w:rsidP="00373CF8">
            <w:pPr>
              <w:jc w:val="center"/>
              <w:rPr>
                <w:rFonts w:ascii="Arial" w:hAnsi="Arial" w:cs="Arial"/>
                <w:lang w:val="en-IN"/>
              </w:rPr>
            </w:pPr>
            <w:r w:rsidRPr="00562062">
              <w:rPr>
                <w:rFonts w:ascii="Arial" w:hAnsi="Arial" w:cs="Arial"/>
                <w:lang w:val="en-IN"/>
              </w:rPr>
              <w:t>Variables</w:t>
            </w:r>
          </w:p>
        </w:tc>
        <w:tc>
          <w:tcPr>
            <w:tcW w:w="1481" w:type="pct"/>
            <w:gridSpan w:val="2"/>
            <w:tcBorders>
              <w:top w:val="single" w:sz="4" w:space="0" w:color="auto"/>
              <w:left w:val="nil"/>
              <w:bottom w:val="single" w:sz="4" w:space="0" w:color="auto"/>
              <w:right w:val="single" w:sz="4" w:space="0" w:color="auto"/>
            </w:tcBorders>
            <w:noWrap/>
            <w:vAlign w:val="bottom"/>
            <w:hideMark/>
          </w:tcPr>
          <w:p w14:paraId="064AFA94" w14:textId="77777777" w:rsidR="006A3613" w:rsidRPr="00562062" w:rsidRDefault="006A3613" w:rsidP="00373CF8">
            <w:pPr>
              <w:jc w:val="center"/>
              <w:rPr>
                <w:rFonts w:ascii="Arial" w:hAnsi="Arial" w:cs="Arial"/>
                <w:lang w:val="en-IN"/>
              </w:rPr>
            </w:pPr>
            <w:r w:rsidRPr="00562062">
              <w:rPr>
                <w:rFonts w:ascii="Arial" w:hAnsi="Arial" w:cs="Arial"/>
                <w:lang w:val="en-IN"/>
              </w:rPr>
              <w:t>ADF</w:t>
            </w:r>
          </w:p>
        </w:tc>
        <w:tc>
          <w:tcPr>
            <w:tcW w:w="550" w:type="pct"/>
            <w:tcBorders>
              <w:top w:val="single" w:sz="4" w:space="0" w:color="auto"/>
              <w:left w:val="nil"/>
              <w:bottom w:val="single" w:sz="4" w:space="0" w:color="auto"/>
              <w:right w:val="nil"/>
            </w:tcBorders>
          </w:tcPr>
          <w:p w14:paraId="057BAFBA" w14:textId="77777777" w:rsidR="006A3613" w:rsidRPr="00562062" w:rsidRDefault="006A3613" w:rsidP="00373CF8">
            <w:pPr>
              <w:jc w:val="center"/>
              <w:rPr>
                <w:rFonts w:ascii="Arial" w:hAnsi="Arial" w:cs="Arial"/>
                <w:lang w:val="en-IN"/>
              </w:rPr>
            </w:pPr>
          </w:p>
        </w:tc>
        <w:tc>
          <w:tcPr>
            <w:tcW w:w="2360" w:type="pct"/>
            <w:gridSpan w:val="3"/>
            <w:tcBorders>
              <w:top w:val="single" w:sz="4" w:space="0" w:color="auto"/>
              <w:left w:val="nil"/>
              <w:bottom w:val="single" w:sz="4" w:space="0" w:color="auto"/>
              <w:right w:val="single" w:sz="4" w:space="0" w:color="000000"/>
            </w:tcBorders>
            <w:noWrap/>
            <w:vAlign w:val="bottom"/>
            <w:hideMark/>
          </w:tcPr>
          <w:p w14:paraId="75112044" w14:textId="77777777" w:rsidR="006A3613" w:rsidRPr="00562062" w:rsidRDefault="006A3613" w:rsidP="00373CF8">
            <w:pPr>
              <w:jc w:val="center"/>
              <w:rPr>
                <w:rFonts w:ascii="Arial" w:hAnsi="Arial" w:cs="Arial"/>
                <w:lang w:val="en-IN"/>
              </w:rPr>
            </w:pPr>
            <w:r w:rsidRPr="00562062">
              <w:rPr>
                <w:rFonts w:ascii="Arial" w:hAnsi="Arial" w:cs="Arial"/>
                <w:lang w:val="en-IN"/>
              </w:rPr>
              <w:t>ZA Structural Break Unit Root Test</w:t>
            </w:r>
          </w:p>
        </w:tc>
      </w:tr>
      <w:tr w:rsidR="006A3613" w:rsidRPr="00562062" w14:paraId="196303FD" w14:textId="77777777" w:rsidTr="00373CF8">
        <w:trPr>
          <w:trHeight w:val="300"/>
        </w:trPr>
        <w:tc>
          <w:tcPr>
            <w:tcW w:w="609" w:type="pct"/>
            <w:vMerge/>
            <w:tcBorders>
              <w:top w:val="single" w:sz="4" w:space="0" w:color="auto"/>
              <w:left w:val="single" w:sz="4" w:space="0" w:color="auto"/>
              <w:bottom w:val="single" w:sz="4" w:space="0" w:color="000000"/>
              <w:right w:val="single" w:sz="4" w:space="0" w:color="auto"/>
            </w:tcBorders>
            <w:vAlign w:val="center"/>
            <w:hideMark/>
          </w:tcPr>
          <w:p w14:paraId="4F5FA17D" w14:textId="77777777" w:rsidR="006A3613" w:rsidRPr="00562062" w:rsidRDefault="006A3613" w:rsidP="00FE2555">
            <w:pPr>
              <w:jc w:val="center"/>
              <w:rPr>
                <w:rFonts w:ascii="Arial" w:hAnsi="Arial" w:cs="Arial"/>
                <w:lang w:val="en-IN"/>
              </w:rPr>
            </w:pPr>
          </w:p>
        </w:tc>
        <w:tc>
          <w:tcPr>
            <w:tcW w:w="550" w:type="pct"/>
            <w:tcBorders>
              <w:top w:val="nil"/>
              <w:left w:val="nil"/>
              <w:bottom w:val="single" w:sz="4" w:space="0" w:color="auto"/>
              <w:right w:val="single" w:sz="4" w:space="0" w:color="auto"/>
            </w:tcBorders>
            <w:noWrap/>
            <w:vAlign w:val="center"/>
            <w:hideMark/>
          </w:tcPr>
          <w:p w14:paraId="22C30C2F" w14:textId="77777777" w:rsidR="006A3613" w:rsidRPr="00562062" w:rsidRDefault="006A3613" w:rsidP="00FE2555">
            <w:pPr>
              <w:jc w:val="center"/>
              <w:rPr>
                <w:rFonts w:ascii="Arial" w:hAnsi="Arial" w:cs="Arial"/>
                <w:lang w:val="en-IN"/>
              </w:rPr>
            </w:pPr>
            <w:r w:rsidRPr="00562062">
              <w:rPr>
                <w:rFonts w:ascii="Arial" w:hAnsi="Arial" w:cs="Arial"/>
                <w:lang w:val="en-IN"/>
              </w:rPr>
              <w:t>At Level</w:t>
            </w:r>
          </w:p>
        </w:tc>
        <w:tc>
          <w:tcPr>
            <w:tcW w:w="931" w:type="pct"/>
            <w:tcBorders>
              <w:top w:val="nil"/>
              <w:left w:val="nil"/>
              <w:bottom w:val="single" w:sz="4" w:space="0" w:color="auto"/>
              <w:right w:val="single" w:sz="4" w:space="0" w:color="auto"/>
            </w:tcBorders>
            <w:noWrap/>
            <w:vAlign w:val="center"/>
            <w:hideMark/>
          </w:tcPr>
          <w:p w14:paraId="2FB71D66" w14:textId="77777777" w:rsidR="006A3613" w:rsidRPr="00562062" w:rsidRDefault="006A3613" w:rsidP="00373CF8">
            <w:pPr>
              <w:jc w:val="center"/>
              <w:rPr>
                <w:rFonts w:ascii="Arial" w:hAnsi="Arial" w:cs="Arial"/>
                <w:lang w:val="en-IN"/>
              </w:rPr>
            </w:pPr>
            <w:r w:rsidRPr="00562062">
              <w:rPr>
                <w:rFonts w:ascii="Arial" w:hAnsi="Arial" w:cs="Arial"/>
                <w:lang w:val="en-IN"/>
              </w:rPr>
              <w:t>First Difference</w:t>
            </w:r>
          </w:p>
        </w:tc>
        <w:tc>
          <w:tcPr>
            <w:tcW w:w="550" w:type="pct"/>
            <w:tcBorders>
              <w:top w:val="nil"/>
              <w:left w:val="nil"/>
              <w:bottom w:val="single" w:sz="4" w:space="0" w:color="auto"/>
              <w:right w:val="single" w:sz="4" w:space="0" w:color="auto"/>
            </w:tcBorders>
            <w:noWrap/>
            <w:vAlign w:val="center"/>
            <w:hideMark/>
          </w:tcPr>
          <w:p w14:paraId="1EEF9FFC" w14:textId="77777777" w:rsidR="006A3613" w:rsidRPr="00562062" w:rsidRDefault="006A3613" w:rsidP="00373CF8">
            <w:pPr>
              <w:jc w:val="center"/>
              <w:rPr>
                <w:rFonts w:ascii="Arial" w:hAnsi="Arial" w:cs="Arial"/>
                <w:lang w:val="en-IN"/>
              </w:rPr>
            </w:pPr>
            <w:r w:rsidRPr="00562062">
              <w:rPr>
                <w:rFonts w:ascii="Arial" w:hAnsi="Arial" w:cs="Arial"/>
                <w:lang w:val="en-IN"/>
              </w:rPr>
              <w:t>At Level</w:t>
            </w:r>
          </w:p>
        </w:tc>
        <w:tc>
          <w:tcPr>
            <w:tcW w:w="715" w:type="pct"/>
            <w:tcBorders>
              <w:top w:val="single" w:sz="4" w:space="0" w:color="auto"/>
              <w:left w:val="nil"/>
              <w:bottom w:val="single" w:sz="4" w:space="0" w:color="auto"/>
              <w:right w:val="single" w:sz="4" w:space="0" w:color="auto"/>
            </w:tcBorders>
            <w:vAlign w:val="center"/>
          </w:tcPr>
          <w:p w14:paraId="69D9366D" w14:textId="77777777" w:rsidR="006A3613" w:rsidRPr="00562062" w:rsidRDefault="006A3613" w:rsidP="00373CF8">
            <w:pPr>
              <w:jc w:val="center"/>
              <w:rPr>
                <w:rFonts w:ascii="Arial" w:hAnsi="Arial" w:cs="Arial"/>
                <w:lang w:val="en-IN"/>
              </w:rPr>
            </w:pPr>
            <w:r w:rsidRPr="00562062">
              <w:rPr>
                <w:rFonts w:ascii="Arial" w:hAnsi="Arial" w:cs="Arial"/>
                <w:lang w:val="en-IN"/>
              </w:rPr>
              <w:t>Time Break</w:t>
            </w:r>
          </w:p>
        </w:tc>
        <w:tc>
          <w:tcPr>
            <w:tcW w:w="931" w:type="pct"/>
            <w:tcBorders>
              <w:top w:val="single" w:sz="4" w:space="0" w:color="auto"/>
              <w:left w:val="single" w:sz="4" w:space="0" w:color="auto"/>
              <w:bottom w:val="single" w:sz="4" w:space="0" w:color="auto"/>
              <w:right w:val="single" w:sz="4" w:space="0" w:color="auto"/>
            </w:tcBorders>
            <w:noWrap/>
            <w:vAlign w:val="center"/>
            <w:hideMark/>
          </w:tcPr>
          <w:p w14:paraId="4D09D00F" w14:textId="77777777" w:rsidR="006A3613" w:rsidRPr="00562062" w:rsidRDefault="006A3613" w:rsidP="00373CF8">
            <w:pPr>
              <w:jc w:val="center"/>
              <w:rPr>
                <w:rFonts w:ascii="Arial" w:hAnsi="Arial" w:cs="Arial"/>
                <w:lang w:val="en-IN"/>
              </w:rPr>
            </w:pPr>
            <w:r w:rsidRPr="00562062">
              <w:rPr>
                <w:rFonts w:ascii="Arial" w:hAnsi="Arial" w:cs="Arial"/>
                <w:lang w:val="en-IN"/>
              </w:rPr>
              <w:t>First Difference</w:t>
            </w:r>
          </w:p>
        </w:tc>
        <w:tc>
          <w:tcPr>
            <w:tcW w:w="714" w:type="pct"/>
            <w:tcBorders>
              <w:top w:val="nil"/>
              <w:left w:val="nil"/>
              <w:bottom w:val="single" w:sz="4" w:space="0" w:color="auto"/>
              <w:right w:val="single" w:sz="4" w:space="0" w:color="auto"/>
            </w:tcBorders>
            <w:noWrap/>
            <w:vAlign w:val="center"/>
            <w:hideMark/>
          </w:tcPr>
          <w:p w14:paraId="0C7FAED6" w14:textId="77777777" w:rsidR="006A3613" w:rsidRPr="00562062" w:rsidRDefault="006A3613" w:rsidP="00373CF8">
            <w:pPr>
              <w:jc w:val="center"/>
              <w:rPr>
                <w:rFonts w:ascii="Arial" w:hAnsi="Arial" w:cs="Arial"/>
                <w:lang w:val="en-IN"/>
              </w:rPr>
            </w:pPr>
            <w:r w:rsidRPr="00562062">
              <w:rPr>
                <w:rFonts w:ascii="Arial" w:hAnsi="Arial" w:cs="Arial"/>
                <w:lang w:val="en-IN"/>
              </w:rPr>
              <w:t>Time Break</w:t>
            </w:r>
          </w:p>
        </w:tc>
      </w:tr>
      <w:tr w:rsidR="006A3613" w:rsidRPr="00562062" w14:paraId="18757308"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069CB5E3" w14:textId="77777777" w:rsidR="006A3613" w:rsidRPr="00562062" w:rsidRDefault="006A3613" w:rsidP="00FE2555">
            <w:pPr>
              <w:jc w:val="center"/>
              <w:rPr>
                <w:rFonts w:ascii="Arial" w:hAnsi="Arial" w:cs="Arial"/>
                <w:lang w:val="en-IN"/>
              </w:rPr>
            </w:pPr>
            <w:r w:rsidRPr="00562062">
              <w:rPr>
                <w:rFonts w:ascii="Arial" w:hAnsi="Arial" w:cs="Arial"/>
                <w:lang w:val="en-IN"/>
              </w:rPr>
              <w:t>LCO</w:t>
            </w:r>
          </w:p>
        </w:tc>
        <w:tc>
          <w:tcPr>
            <w:tcW w:w="550" w:type="pct"/>
            <w:tcBorders>
              <w:top w:val="nil"/>
              <w:left w:val="nil"/>
              <w:bottom w:val="single" w:sz="4" w:space="0" w:color="auto"/>
              <w:right w:val="single" w:sz="4" w:space="0" w:color="auto"/>
            </w:tcBorders>
            <w:noWrap/>
            <w:vAlign w:val="bottom"/>
            <w:hideMark/>
          </w:tcPr>
          <w:p w14:paraId="44FA890D" w14:textId="77777777" w:rsidR="006A3613" w:rsidRPr="00562062" w:rsidRDefault="006A3613" w:rsidP="00FE2555">
            <w:pPr>
              <w:jc w:val="center"/>
              <w:rPr>
                <w:rFonts w:ascii="Arial" w:hAnsi="Arial" w:cs="Arial"/>
                <w:lang w:val="en-IN"/>
              </w:rPr>
            </w:pPr>
            <w:r w:rsidRPr="00562062">
              <w:rPr>
                <w:rFonts w:ascii="Arial" w:hAnsi="Arial" w:cs="Arial"/>
                <w:lang w:val="en-IN"/>
              </w:rPr>
              <w:t>-0.585</w:t>
            </w:r>
          </w:p>
        </w:tc>
        <w:tc>
          <w:tcPr>
            <w:tcW w:w="931" w:type="pct"/>
            <w:tcBorders>
              <w:top w:val="nil"/>
              <w:left w:val="nil"/>
              <w:bottom w:val="single" w:sz="4" w:space="0" w:color="auto"/>
              <w:right w:val="single" w:sz="4" w:space="0" w:color="auto"/>
            </w:tcBorders>
            <w:noWrap/>
            <w:vAlign w:val="center"/>
            <w:hideMark/>
          </w:tcPr>
          <w:p w14:paraId="5A688B6B" w14:textId="77777777" w:rsidR="006A3613" w:rsidRPr="00562062" w:rsidRDefault="006A3613" w:rsidP="00373CF8">
            <w:pPr>
              <w:jc w:val="center"/>
              <w:rPr>
                <w:rFonts w:ascii="Arial" w:hAnsi="Arial" w:cs="Arial"/>
                <w:lang w:val="en-IN"/>
              </w:rPr>
            </w:pPr>
            <w:r w:rsidRPr="00562062">
              <w:rPr>
                <w:rFonts w:ascii="Arial" w:hAnsi="Arial" w:cs="Arial"/>
                <w:lang w:val="en-IN"/>
              </w:rPr>
              <w:t>-6.031***</w:t>
            </w:r>
          </w:p>
        </w:tc>
        <w:tc>
          <w:tcPr>
            <w:tcW w:w="550" w:type="pct"/>
            <w:tcBorders>
              <w:top w:val="nil"/>
              <w:left w:val="nil"/>
              <w:bottom w:val="single" w:sz="4" w:space="0" w:color="auto"/>
              <w:right w:val="single" w:sz="4" w:space="0" w:color="auto"/>
            </w:tcBorders>
            <w:noWrap/>
            <w:vAlign w:val="bottom"/>
            <w:hideMark/>
          </w:tcPr>
          <w:p w14:paraId="77B95D96" w14:textId="77777777" w:rsidR="006A3613" w:rsidRPr="00562062" w:rsidRDefault="006A3613" w:rsidP="00373CF8">
            <w:pPr>
              <w:rPr>
                <w:rFonts w:ascii="Arial" w:hAnsi="Arial" w:cs="Arial"/>
                <w:lang w:val="en-IN"/>
              </w:rPr>
            </w:pPr>
            <w:r w:rsidRPr="00562062">
              <w:rPr>
                <w:rFonts w:ascii="Arial" w:hAnsi="Arial" w:cs="Arial"/>
                <w:lang w:val="en-IN"/>
              </w:rPr>
              <w:t> -3.268</w:t>
            </w:r>
          </w:p>
        </w:tc>
        <w:tc>
          <w:tcPr>
            <w:tcW w:w="715" w:type="pct"/>
            <w:tcBorders>
              <w:top w:val="single" w:sz="4" w:space="0" w:color="auto"/>
              <w:left w:val="nil"/>
              <w:bottom w:val="single" w:sz="4" w:space="0" w:color="auto"/>
              <w:right w:val="single" w:sz="4" w:space="0" w:color="auto"/>
            </w:tcBorders>
          </w:tcPr>
          <w:p w14:paraId="1D483BE8" w14:textId="77777777" w:rsidR="006A3613" w:rsidRPr="00562062" w:rsidRDefault="006A3613" w:rsidP="00373CF8">
            <w:pPr>
              <w:rPr>
                <w:rFonts w:ascii="Arial" w:hAnsi="Arial" w:cs="Arial"/>
                <w:lang w:val="en-IN"/>
              </w:rPr>
            </w:pPr>
            <w:r w:rsidRPr="00562062">
              <w:rPr>
                <w:rFonts w:ascii="Arial" w:hAnsi="Arial" w:cs="Arial"/>
                <w:lang w:val="en-IN"/>
              </w:rPr>
              <w:t>2007</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772EE2DC" w14:textId="77777777" w:rsidR="006A3613" w:rsidRPr="00562062" w:rsidRDefault="006A3613" w:rsidP="00373CF8">
            <w:pPr>
              <w:rPr>
                <w:rFonts w:ascii="Arial" w:hAnsi="Arial" w:cs="Arial"/>
                <w:lang w:val="en-IN"/>
              </w:rPr>
            </w:pPr>
            <w:r w:rsidRPr="00562062">
              <w:rPr>
                <w:rFonts w:ascii="Arial" w:hAnsi="Arial" w:cs="Arial"/>
                <w:lang w:val="en-IN"/>
              </w:rPr>
              <w:t> -7.027***</w:t>
            </w:r>
          </w:p>
        </w:tc>
        <w:tc>
          <w:tcPr>
            <w:tcW w:w="714" w:type="pct"/>
            <w:tcBorders>
              <w:top w:val="nil"/>
              <w:left w:val="nil"/>
              <w:bottom w:val="single" w:sz="4" w:space="0" w:color="auto"/>
              <w:right w:val="single" w:sz="4" w:space="0" w:color="auto"/>
            </w:tcBorders>
            <w:noWrap/>
            <w:vAlign w:val="center"/>
            <w:hideMark/>
          </w:tcPr>
          <w:p w14:paraId="5CC1F8DF" w14:textId="77777777" w:rsidR="006A3613" w:rsidRPr="00562062" w:rsidRDefault="006A3613" w:rsidP="00373CF8">
            <w:pPr>
              <w:jc w:val="center"/>
              <w:rPr>
                <w:rFonts w:ascii="Arial" w:hAnsi="Arial" w:cs="Arial"/>
                <w:lang w:val="en-IN"/>
              </w:rPr>
            </w:pPr>
            <w:r w:rsidRPr="00562062">
              <w:rPr>
                <w:rFonts w:ascii="Arial" w:hAnsi="Arial" w:cs="Arial"/>
                <w:lang w:val="en-IN"/>
              </w:rPr>
              <w:t>2004 </w:t>
            </w:r>
          </w:p>
        </w:tc>
      </w:tr>
      <w:tr w:rsidR="006A3613" w:rsidRPr="00562062" w14:paraId="66127A7A"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6CCAC296" w14:textId="77777777" w:rsidR="006A3613" w:rsidRPr="00562062" w:rsidRDefault="006A3613" w:rsidP="00FE2555">
            <w:pPr>
              <w:jc w:val="center"/>
              <w:rPr>
                <w:rFonts w:ascii="Arial" w:hAnsi="Arial" w:cs="Arial"/>
                <w:lang w:val="en-IN"/>
              </w:rPr>
            </w:pPr>
            <w:r w:rsidRPr="00562062">
              <w:rPr>
                <w:rFonts w:ascii="Arial" w:hAnsi="Arial" w:cs="Arial"/>
                <w:lang w:val="en-IN"/>
              </w:rPr>
              <w:t>LGLOB</w:t>
            </w:r>
          </w:p>
        </w:tc>
        <w:tc>
          <w:tcPr>
            <w:tcW w:w="550" w:type="pct"/>
            <w:tcBorders>
              <w:top w:val="nil"/>
              <w:left w:val="nil"/>
              <w:bottom w:val="single" w:sz="4" w:space="0" w:color="auto"/>
              <w:right w:val="single" w:sz="4" w:space="0" w:color="auto"/>
            </w:tcBorders>
            <w:noWrap/>
            <w:vAlign w:val="bottom"/>
            <w:hideMark/>
          </w:tcPr>
          <w:p w14:paraId="3997D5AD" w14:textId="77777777" w:rsidR="006A3613" w:rsidRPr="00562062" w:rsidRDefault="006A3613" w:rsidP="00FE2555">
            <w:pPr>
              <w:jc w:val="center"/>
              <w:rPr>
                <w:rFonts w:ascii="Arial" w:hAnsi="Arial" w:cs="Arial"/>
                <w:lang w:val="en-IN"/>
              </w:rPr>
            </w:pPr>
            <w:r w:rsidRPr="00562062">
              <w:rPr>
                <w:rFonts w:ascii="Arial" w:hAnsi="Arial" w:cs="Arial"/>
                <w:lang w:val="en-IN"/>
              </w:rPr>
              <w:t>-1.660</w:t>
            </w:r>
          </w:p>
        </w:tc>
        <w:tc>
          <w:tcPr>
            <w:tcW w:w="931" w:type="pct"/>
            <w:tcBorders>
              <w:top w:val="nil"/>
              <w:left w:val="nil"/>
              <w:bottom w:val="single" w:sz="4" w:space="0" w:color="auto"/>
              <w:right w:val="single" w:sz="4" w:space="0" w:color="auto"/>
            </w:tcBorders>
            <w:noWrap/>
            <w:vAlign w:val="center"/>
            <w:hideMark/>
          </w:tcPr>
          <w:p w14:paraId="10ED17F4" w14:textId="77777777" w:rsidR="006A3613" w:rsidRPr="00562062" w:rsidRDefault="006A3613" w:rsidP="00373CF8">
            <w:pPr>
              <w:jc w:val="center"/>
              <w:rPr>
                <w:rFonts w:ascii="Arial" w:hAnsi="Arial" w:cs="Arial"/>
                <w:lang w:val="en-IN"/>
              </w:rPr>
            </w:pPr>
            <w:r w:rsidRPr="00562062">
              <w:rPr>
                <w:rFonts w:ascii="Arial" w:hAnsi="Arial" w:cs="Arial"/>
                <w:lang w:val="en-IN"/>
              </w:rPr>
              <w:t>-5.149***</w:t>
            </w:r>
          </w:p>
        </w:tc>
        <w:tc>
          <w:tcPr>
            <w:tcW w:w="550" w:type="pct"/>
            <w:tcBorders>
              <w:top w:val="nil"/>
              <w:left w:val="nil"/>
              <w:bottom w:val="single" w:sz="4" w:space="0" w:color="auto"/>
              <w:right w:val="single" w:sz="4" w:space="0" w:color="auto"/>
            </w:tcBorders>
            <w:noWrap/>
            <w:vAlign w:val="bottom"/>
            <w:hideMark/>
          </w:tcPr>
          <w:p w14:paraId="72BCB7C4" w14:textId="77777777" w:rsidR="006A3613" w:rsidRPr="00562062" w:rsidRDefault="006A3613" w:rsidP="00373CF8">
            <w:pPr>
              <w:rPr>
                <w:rFonts w:ascii="Arial" w:hAnsi="Arial" w:cs="Arial"/>
                <w:lang w:val="en-IN"/>
              </w:rPr>
            </w:pPr>
            <w:r w:rsidRPr="00562062">
              <w:rPr>
                <w:rFonts w:ascii="Arial" w:hAnsi="Arial" w:cs="Arial"/>
                <w:lang w:val="en-IN"/>
              </w:rPr>
              <w:t> -2.820</w:t>
            </w:r>
          </w:p>
        </w:tc>
        <w:tc>
          <w:tcPr>
            <w:tcW w:w="715" w:type="pct"/>
            <w:tcBorders>
              <w:top w:val="single" w:sz="4" w:space="0" w:color="auto"/>
              <w:left w:val="nil"/>
              <w:bottom w:val="single" w:sz="4" w:space="0" w:color="auto"/>
              <w:right w:val="single" w:sz="4" w:space="0" w:color="auto"/>
            </w:tcBorders>
          </w:tcPr>
          <w:p w14:paraId="4CE2C906" w14:textId="77777777" w:rsidR="006A3613" w:rsidRPr="00562062" w:rsidRDefault="006A3613" w:rsidP="00373CF8">
            <w:pPr>
              <w:rPr>
                <w:rFonts w:ascii="Arial" w:hAnsi="Arial" w:cs="Arial"/>
                <w:lang w:val="en-IN"/>
              </w:rPr>
            </w:pPr>
            <w:r w:rsidRPr="00562062">
              <w:rPr>
                <w:rFonts w:ascii="Arial" w:hAnsi="Arial" w:cs="Arial"/>
                <w:lang w:val="en-IN"/>
              </w:rPr>
              <w:t>2004</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3346B788" w14:textId="77777777" w:rsidR="006A3613" w:rsidRPr="00562062" w:rsidRDefault="006A3613" w:rsidP="00373CF8">
            <w:pPr>
              <w:rPr>
                <w:rFonts w:ascii="Arial" w:hAnsi="Arial" w:cs="Arial"/>
                <w:lang w:val="en-IN"/>
              </w:rPr>
            </w:pPr>
            <w:r w:rsidRPr="00562062">
              <w:rPr>
                <w:rFonts w:ascii="Arial" w:hAnsi="Arial" w:cs="Arial"/>
                <w:lang w:val="en-IN"/>
              </w:rPr>
              <w:t> -6.655***</w:t>
            </w:r>
          </w:p>
        </w:tc>
        <w:tc>
          <w:tcPr>
            <w:tcW w:w="714" w:type="pct"/>
            <w:tcBorders>
              <w:top w:val="nil"/>
              <w:left w:val="nil"/>
              <w:bottom w:val="single" w:sz="4" w:space="0" w:color="auto"/>
              <w:right w:val="single" w:sz="4" w:space="0" w:color="auto"/>
            </w:tcBorders>
            <w:noWrap/>
            <w:vAlign w:val="center"/>
            <w:hideMark/>
          </w:tcPr>
          <w:p w14:paraId="3AFBB9C4" w14:textId="77777777" w:rsidR="006A3613" w:rsidRPr="00562062" w:rsidRDefault="006A3613" w:rsidP="00373CF8">
            <w:pPr>
              <w:jc w:val="center"/>
              <w:rPr>
                <w:rFonts w:ascii="Arial" w:hAnsi="Arial" w:cs="Arial"/>
                <w:lang w:val="en-IN"/>
              </w:rPr>
            </w:pPr>
            <w:r w:rsidRPr="00562062">
              <w:rPr>
                <w:rFonts w:ascii="Arial" w:hAnsi="Arial" w:cs="Arial"/>
                <w:lang w:val="en-IN"/>
              </w:rPr>
              <w:t>2001 </w:t>
            </w:r>
          </w:p>
        </w:tc>
      </w:tr>
      <w:tr w:rsidR="006A3613" w:rsidRPr="00562062" w14:paraId="4637F094"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6DF19833" w14:textId="77777777" w:rsidR="006A3613" w:rsidRPr="00562062" w:rsidRDefault="006A3613" w:rsidP="00FE2555">
            <w:pPr>
              <w:jc w:val="center"/>
              <w:rPr>
                <w:rFonts w:ascii="Arial" w:hAnsi="Arial" w:cs="Arial"/>
                <w:lang w:val="en-IN"/>
              </w:rPr>
            </w:pPr>
            <w:r w:rsidRPr="00562062">
              <w:rPr>
                <w:rFonts w:ascii="Arial" w:hAnsi="Arial" w:cs="Arial"/>
                <w:lang w:val="en-IN"/>
              </w:rPr>
              <w:t>LRE</w:t>
            </w:r>
          </w:p>
        </w:tc>
        <w:tc>
          <w:tcPr>
            <w:tcW w:w="550" w:type="pct"/>
            <w:tcBorders>
              <w:top w:val="nil"/>
              <w:left w:val="nil"/>
              <w:bottom w:val="single" w:sz="4" w:space="0" w:color="auto"/>
              <w:right w:val="single" w:sz="4" w:space="0" w:color="auto"/>
            </w:tcBorders>
            <w:noWrap/>
            <w:vAlign w:val="bottom"/>
            <w:hideMark/>
          </w:tcPr>
          <w:p w14:paraId="6868BC5C" w14:textId="77777777" w:rsidR="006A3613" w:rsidRPr="00562062" w:rsidRDefault="006A3613" w:rsidP="00FE2555">
            <w:pPr>
              <w:jc w:val="center"/>
              <w:rPr>
                <w:rFonts w:ascii="Arial" w:hAnsi="Arial" w:cs="Arial"/>
                <w:lang w:val="en-IN"/>
              </w:rPr>
            </w:pPr>
            <w:r w:rsidRPr="00562062">
              <w:rPr>
                <w:rFonts w:ascii="Arial" w:hAnsi="Arial" w:cs="Arial"/>
                <w:lang w:val="en-IN"/>
              </w:rPr>
              <w:t>-1.079</w:t>
            </w:r>
          </w:p>
        </w:tc>
        <w:tc>
          <w:tcPr>
            <w:tcW w:w="931" w:type="pct"/>
            <w:tcBorders>
              <w:top w:val="nil"/>
              <w:left w:val="nil"/>
              <w:bottom w:val="single" w:sz="4" w:space="0" w:color="auto"/>
              <w:right w:val="single" w:sz="4" w:space="0" w:color="auto"/>
            </w:tcBorders>
            <w:noWrap/>
            <w:vAlign w:val="center"/>
            <w:hideMark/>
          </w:tcPr>
          <w:p w14:paraId="150EFB8D" w14:textId="77777777" w:rsidR="006A3613" w:rsidRPr="00562062" w:rsidRDefault="006A3613" w:rsidP="00373CF8">
            <w:pPr>
              <w:jc w:val="center"/>
              <w:rPr>
                <w:rFonts w:ascii="Arial" w:hAnsi="Arial" w:cs="Arial"/>
                <w:lang w:val="en-IN"/>
              </w:rPr>
            </w:pPr>
            <w:r w:rsidRPr="00562062">
              <w:rPr>
                <w:rFonts w:ascii="Arial" w:hAnsi="Arial" w:cs="Arial"/>
                <w:lang w:val="en-IN"/>
              </w:rPr>
              <w:t>-3.848***</w:t>
            </w:r>
          </w:p>
        </w:tc>
        <w:tc>
          <w:tcPr>
            <w:tcW w:w="550" w:type="pct"/>
            <w:tcBorders>
              <w:top w:val="nil"/>
              <w:left w:val="nil"/>
              <w:bottom w:val="single" w:sz="4" w:space="0" w:color="auto"/>
              <w:right w:val="single" w:sz="4" w:space="0" w:color="auto"/>
            </w:tcBorders>
            <w:noWrap/>
            <w:vAlign w:val="bottom"/>
            <w:hideMark/>
          </w:tcPr>
          <w:p w14:paraId="7AD519CD" w14:textId="77777777" w:rsidR="006A3613" w:rsidRPr="00562062" w:rsidRDefault="006A3613" w:rsidP="00373CF8">
            <w:pPr>
              <w:rPr>
                <w:rFonts w:ascii="Arial" w:hAnsi="Arial" w:cs="Arial"/>
                <w:lang w:val="en-IN"/>
              </w:rPr>
            </w:pPr>
            <w:r w:rsidRPr="00562062">
              <w:rPr>
                <w:rFonts w:ascii="Arial" w:hAnsi="Arial" w:cs="Arial"/>
                <w:lang w:val="en-IN"/>
              </w:rPr>
              <w:t> -2.908</w:t>
            </w:r>
          </w:p>
        </w:tc>
        <w:tc>
          <w:tcPr>
            <w:tcW w:w="715" w:type="pct"/>
            <w:tcBorders>
              <w:top w:val="single" w:sz="4" w:space="0" w:color="auto"/>
              <w:left w:val="nil"/>
              <w:bottom w:val="single" w:sz="4" w:space="0" w:color="auto"/>
              <w:right w:val="single" w:sz="4" w:space="0" w:color="auto"/>
            </w:tcBorders>
          </w:tcPr>
          <w:p w14:paraId="5C4BB58C" w14:textId="77777777" w:rsidR="006A3613" w:rsidRPr="00562062" w:rsidRDefault="006A3613" w:rsidP="00373CF8">
            <w:pPr>
              <w:rPr>
                <w:rFonts w:ascii="Arial" w:hAnsi="Arial" w:cs="Arial"/>
                <w:lang w:val="en-IN"/>
              </w:rPr>
            </w:pPr>
            <w:r w:rsidRPr="00562062">
              <w:rPr>
                <w:rFonts w:ascii="Arial" w:hAnsi="Arial" w:cs="Arial"/>
                <w:lang w:val="en-IN"/>
              </w:rPr>
              <w:t>2008</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5F80A13C" w14:textId="77777777" w:rsidR="006A3613" w:rsidRPr="00562062" w:rsidRDefault="006A3613" w:rsidP="00373CF8">
            <w:pPr>
              <w:rPr>
                <w:rFonts w:ascii="Arial" w:hAnsi="Arial" w:cs="Arial"/>
                <w:lang w:val="en-IN"/>
              </w:rPr>
            </w:pPr>
            <w:r w:rsidRPr="00562062">
              <w:rPr>
                <w:rFonts w:ascii="Arial" w:hAnsi="Arial" w:cs="Arial"/>
                <w:lang w:val="en-IN"/>
              </w:rPr>
              <w:t> -2.622**</w:t>
            </w:r>
          </w:p>
        </w:tc>
        <w:tc>
          <w:tcPr>
            <w:tcW w:w="714" w:type="pct"/>
            <w:tcBorders>
              <w:top w:val="nil"/>
              <w:left w:val="nil"/>
              <w:bottom w:val="single" w:sz="4" w:space="0" w:color="auto"/>
              <w:right w:val="single" w:sz="4" w:space="0" w:color="auto"/>
            </w:tcBorders>
            <w:noWrap/>
            <w:vAlign w:val="center"/>
            <w:hideMark/>
          </w:tcPr>
          <w:p w14:paraId="64B671C8" w14:textId="77777777" w:rsidR="006A3613" w:rsidRPr="00562062" w:rsidRDefault="006A3613" w:rsidP="00373CF8">
            <w:pPr>
              <w:jc w:val="center"/>
              <w:rPr>
                <w:rFonts w:ascii="Arial" w:hAnsi="Arial" w:cs="Arial"/>
                <w:lang w:val="en-IN"/>
              </w:rPr>
            </w:pPr>
            <w:r w:rsidRPr="00562062">
              <w:rPr>
                <w:rFonts w:ascii="Arial" w:hAnsi="Arial" w:cs="Arial"/>
                <w:lang w:val="en-IN"/>
              </w:rPr>
              <w:t> 2005</w:t>
            </w:r>
          </w:p>
        </w:tc>
      </w:tr>
      <w:tr w:rsidR="006A3613" w:rsidRPr="00562062" w14:paraId="3954B1DE"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6B153F52" w14:textId="77777777" w:rsidR="006A3613" w:rsidRPr="00562062" w:rsidRDefault="006A3613" w:rsidP="00FE2555">
            <w:pPr>
              <w:jc w:val="center"/>
              <w:rPr>
                <w:rFonts w:ascii="Arial" w:hAnsi="Arial" w:cs="Arial"/>
                <w:lang w:val="en-IN"/>
              </w:rPr>
            </w:pPr>
            <w:r w:rsidRPr="00562062">
              <w:rPr>
                <w:rFonts w:ascii="Arial" w:hAnsi="Arial" w:cs="Arial"/>
                <w:lang w:val="en-IN"/>
              </w:rPr>
              <w:t>LGDP</w:t>
            </w:r>
          </w:p>
        </w:tc>
        <w:tc>
          <w:tcPr>
            <w:tcW w:w="550" w:type="pct"/>
            <w:tcBorders>
              <w:top w:val="nil"/>
              <w:left w:val="nil"/>
              <w:bottom w:val="single" w:sz="4" w:space="0" w:color="auto"/>
              <w:right w:val="single" w:sz="4" w:space="0" w:color="auto"/>
            </w:tcBorders>
            <w:noWrap/>
            <w:vAlign w:val="bottom"/>
            <w:hideMark/>
          </w:tcPr>
          <w:p w14:paraId="292B19A9" w14:textId="77777777" w:rsidR="006A3613" w:rsidRPr="00562062" w:rsidRDefault="006A3613" w:rsidP="00FE2555">
            <w:pPr>
              <w:jc w:val="center"/>
              <w:rPr>
                <w:rFonts w:ascii="Arial" w:hAnsi="Arial" w:cs="Arial"/>
                <w:lang w:val="en-IN"/>
              </w:rPr>
            </w:pPr>
            <w:r w:rsidRPr="00562062">
              <w:rPr>
                <w:rFonts w:ascii="Arial" w:hAnsi="Arial" w:cs="Arial"/>
                <w:lang w:val="en-IN"/>
              </w:rPr>
              <w:t>0.434</w:t>
            </w:r>
          </w:p>
        </w:tc>
        <w:tc>
          <w:tcPr>
            <w:tcW w:w="931" w:type="pct"/>
            <w:tcBorders>
              <w:top w:val="nil"/>
              <w:left w:val="nil"/>
              <w:bottom w:val="single" w:sz="4" w:space="0" w:color="auto"/>
              <w:right w:val="single" w:sz="4" w:space="0" w:color="auto"/>
            </w:tcBorders>
            <w:noWrap/>
            <w:vAlign w:val="center"/>
            <w:hideMark/>
          </w:tcPr>
          <w:p w14:paraId="75843F62" w14:textId="77777777" w:rsidR="006A3613" w:rsidRPr="00562062" w:rsidRDefault="006A3613" w:rsidP="00373CF8">
            <w:pPr>
              <w:jc w:val="center"/>
              <w:rPr>
                <w:rFonts w:ascii="Arial" w:hAnsi="Arial" w:cs="Arial"/>
                <w:lang w:val="en-IN"/>
              </w:rPr>
            </w:pPr>
            <w:r w:rsidRPr="00562062">
              <w:rPr>
                <w:rFonts w:ascii="Arial" w:hAnsi="Arial" w:cs="Arial"/>
                <w:lang w:val="en-IN"/>
              </w:rPr>
              <w:t>-5.578***</w:t>
            </w:r>
          </w:p>
        </w:tc>
        <w:tc>
          <w:tcPr>
            <w:tcW w:w="550" w:type="pct"/>
            <w:tcBorders>
              <w:top w:val="nil"/>
              <w:left w:val="nil"/>
              <w:bottom w:val="single" w:sz="4" w:space="0" w:color="auto"/>
              <w:right w:val="single" w:sz="4" w:space="0" w:color="auto"/>
            </w:tcBorders>
            <w:noWrap/>
            <w:vAlign w:val="bottom"/>
            <w:hideMark/>
          </w:tcPr>
          <w:p w14:paraId="6D808E61" w14:textId="77777777" w:rsidR="006A3613" w:rsidRPr="00562062" w:rsidRDefault="006A3613" w:rsidP="00373CF8">
            <w:pPr>
              <w:rPr>
                <w:rFonts w:ascii="Arial" w:hAnsi="Arial" w:cs="Arial"/>
                <w:lang w:val="en-IN"/>
              </w:rPr>
            </w:pPr>
            <w:r w:rsidRPr="00562062">
              <w:rPr>
                <w:rFonts w:ascii="Arial" w:hAnsi="Arial" w:cs="Arial"/>
                <w:lang w:val="en-IN"/>
              </w:rPr>
              <w:t> -3.576</w:t>
            </w:r>
          </w:p>
        </w:tc>
        <w:tc>
          <w:tcPr>
            <w:tcW w:w="715" w:type="pct"/>
            <w:tcBorders>
              <w:top w:val="single" w:sz="4" w:space="0" w:color="auto"/>
              <w:left w:val="nil"/>
              <w:bottom w:val="single" w:sz="4" w:space="0" w:color="auto"/>
              <w:right w:val="single" w:sz="4" w:space="0" w:color="auto"/>
            </w:tcBorders>
          </w:tcPr>
          <w:p w14:paraId="77E32223" w14:textId="77777777" w:rsidR="006A3613" w:rsidRPr="00562062" w:rsidRDefault="006A3613" w:rsidP="00373CF8">
            <w:pPr>
              <w:rPr>
                <w:rFonts w:ascii="Arial" w:hAnsi="Arial" w:cs="Arial"/>
                <w:lang w:val="en-IN"/>
              </w:rPr>
            </w:pPr>
            <w:r w:rsidRPr="00562062">
              <w:rPr>
                <w:rFonts w:ascii="Arial" w:hAnsi="Arial" w:cs="Arial"/>
                <w:lang w:val="en-IN"/>
              </w:rPr>
              <w:t>2009</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5FA17F24" w14:textId="77777777" w:rsidR="006A3613" w:rsidRPr="00562062" w:rsidRDefault="006A3613" w:rsidP="00373CF8">
            <w:pPr>
              <w:rPr>
                <w:rFonts w:ascii="Arial" w:hAnsi="Arial" w:cs="Arial"/>
                <w:lang w:val="en-IN"/>
              </w:rPr>
            </w:pPr>
            <w:r w:rsidRPr="00562062">
              <w:rPr>
                <w:rFonts w:ascii="Arial" w:hAnsi="Arial" w:cs="Arial"/>
                <w:lang w:val="en-IN"/>
              </w:rPr>
              <w:t> -6.034**</w:t>
            </w:r>
          </w:p>
        </w:tc>
        <w:tc>
          <w:tcPr>
            <w:tcW w:w="714" w:type="pct"/>
            <w:tcBorders>
              <w:top w:val="nil"/>
              <w:left w:val="nil"/>
              <w:bottom w:val="single" w:sz="4" w:space="0" w:color="auto"/>
              <w:right w:val="single" w:sz="4" w:space="0" w:color="auto"/>
            </w:tcBorders>
            <w:noWrap/>
            <w:vAlign w:val="center"/>
            <w:hideMark/>
          </w:tcPr>
          <w:p w14:paraId="51976D9B" w14:textId="77777777" w:rsidR="006A3613" w:rsidRPr="00562062" w:rsidRDefault="006A3613" w:rsidP="00373CF8">
            <w:pPr>
              <w:jc w:val="center"/>
              <w:rPr>
                <w:rFonts w:ascii="Arial" w:hAnsi="Arial" w:cs="Arial"/>
                <w:lang w:val="en-IN"/>
              </w:rPr>
            </w:pPr>
            <w:r w:rsidRPr="00562062">
              <w:rPr>
                <w:rFonts w:ascii="Arial" w:hAnsi="Arial" w:cs="Arial"/>
                <w:lang w:val="en-IN"/>
              </w:rPr>
              <w:t>2003 </w:t>
            </w:r>
          </w:p>
        </w:tc>
      </w:tr>
      <w:tr w:rsidR="006A3613" w:rsidRPr="00562062" w14:paraId="3CD8ACC8"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01387455" w14:textId="77777777" w:rsidR="006A3613" w:rsidRPr="00562062" w:rsidRDefault="006A3613" w:rsidP="00FE2555">
            <w:pPr>
              <w:jc w:val="center"/>
              <w:rPr>
                <w:rFonts w:ascii="Arial" w:hAnsi="Arial" w:cs="Arial"/>
                <w:lang w:val="en-IN"/>
              </w:rPr>
            </w:pPr>
            <w:r w:rsidRPr="00562062">
              <w:rPr>
                <w:rFonts w:ascii="Arial" w:hAnsi="Arial" w:cs="Arial"/>
                <w:lang w:val="en-IN"/>
              </w:rPr>
              <w:t>LGDP2</w:t>
            </w:r>
          </w:p>
        </w:tc>
        <w:tc>
          <w:tcPr>
            <w:tcW w:w="550" w:type="pct"/>
            <w:tcBorders>
              <w:top w:val="nil"/>
              <w:left w:val="nil"/>
              <w:bottom w:val="single" w:sz="4" w:space="0" w:color="auto"/>
              <w:right w:val="single" w:sz="4" w:space="0" w:color="auto"/>
            </w:tcBorders>
            <w:noWrap/>
            <w:vAlign w:val="bottom"/>
            <w:hideMark/>
          </w:tcPr>
          <w:p w14:paraId="6DD39CD2" w14:textId="77777777" w:rsidR="006A3613" w:rsidRPr="00562062" w:rsidRDefault="006A3613" w:rsidP="00FE2555">
            <w:pPr>
              <w:jc w:val="center"/>
              <w:rPr>
                <w:rFonts w:ascii="Arial" w:hAnsi="Arial" w:cs="Arial"/>
                <w:lang w:val="en-IN"/>
              </w:rPr>
            </w:pPr>
            <w:r w:rsidRPr="00562062">
              <w:rPr>
                <w:rFonts w:ascii="Arial" w:hAnsi="Arial" w:cs="Arial"/>
                <w:lang w:val="en-IN"/>
              </w:rPr>
              <w:t>0.727</w:t>
            </w:r>
          </w:p>
        </w:tc>
        <w:tc>
          <w:tcPr>
            <w:tcW w:w="931" w:type="pct"/>
            <w:tcBorders>
              <w:top w:val="nil"/>
              <w:left w:val="nil"/>
              <w:bottom w:val="single" w:sz="4" w:space="0" w:color="auto"/>
              <w:right w:val="single" w:sz="4" w:space="0" w:color="auto"/>
            </w:tcBorders>
            <w:noWrap/>
            <w:vAlign w:val="center"/>
            <w:hideMark/>
          </w:tcPr>
          <w:p w14:paraId="6A340A1E" w14:textId="77777777" w:rsidR="006A3613" w:rsidRPr="00562062" w:rsidRDefault="006A3613" w:rsidP="00373CF8">
            <w:pPr>
              <w:jc w:val="center"/>
              <w:rPr>
                <w:rFonts w:ascii="Arial" w:hAnsi="Arial" w:cs="Arial"/>
                <w:lang w:val="en-IN"/>
              </w:rPr>
            </w:pPr>
            <w:r w:rsidRPr="00562062">
              <w:rPr>
                <w:rFonts w:ascii="Arial" w:hAnsi="Arial" w:cs="Arial"/>
                <w:lang w:val="en-IN"/>
              </w:rPr>
              <w:t>-5.523***</w:t>
            </w:r>
          </w:p>
        </w:tc>
        <w:tc>
          <w:tcPr>
            <w:tcW w:w="550" w:type="pct"/>
            <w:tcBorders>
              <w:top w:val="nil"/>
              <w:left w:val="nil"/>
              <w:bottom w:val="single" w:sz="4" w:space="0" w:color="auto"/>
              <w:right w:val="single" w:sz="4" w:space="0" w:color="auto"/>
            </w:tcBorders>
            <w:noWrap/>
            <w:vAlign w:val="bottom"/>
            <w:hideMark/>
          </w:tcPr>
          <w:p w14:paraId="69750094" w14:textId="77777777" w:rsidR="006A3613" w:rsidRPr="00562062" w:rsidRDefault="006A3613" w:rsidP="00373CF8">
            <w:pPr>
              <w:rPr>
                <w:rFonts w:ascii="Arial" w:hAnsi="Arial" w:cs="Arial"/>
                <w:lang w:val="en-IN"/>
              </w:rPr>
            </w:pPr>
            <w:r w:rsidRPr="00562062">
              <w:rPr>
                <w:rFonts w:ascii="Arial" w:hAnsi="Arial" w:cs="Arial"/>
                <w:lang w:val="en-IN"/>
              </w:rPr>
              <w:t> -3.482</w:t>
            </w:r>
          </w:p>
        </w:tc>
        <w:tc>
          <w:tcPr>
            <w:tcW w:w="715" w:type="pct"/>
            <w:tcBorders>
              <w:top w:val="single" w:sz="4" w:space="0" w:color="auto"/>
              <w:left w:val="nil"/>
              <w:bottom w:val="single" w:sz="4" w:space="0" w:color="auto"/>
              <w:right w:val="single" w:sz="4" w:space="0" w:color="auto"/>
            </w:tcBorders>
          </w:tcPr>
          <w:p w14:paraId="48A42C3F" w14:textId="77777777" w:rsidR="006A3613" w:rsidRPr="00562062" w:rsidRDefault="006A3613" w:rsidP="00373CF8">
            <w:pPr>
              <w:rPr>
                <w:rFonts w:ascii="Arial" w:hAnsi="Arial" w:cs="Arial"/>
                <w:lang w:val="en-IN"/>
              </w:rPr>
            </w:pPr>
            <w:r w:rsidRPr="00562062">
              <w:rPr>
                <w:rFonts w:ascii="Arial" w:hAnsi="Arial" w:cs="Arial"/>
                <w:lang w:val="en-IN"/>
              </w:rPr>
              <w:t>2000</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5D4237BD" w14:textId="77777777" w:rsidR="006A3613" w:rsidRPr="00562062" w:rsidRDefault="006A3613" w:rsidP="00373CF8">
            <w:pPr>
              <w:rPr>
                <w:rFonts w:ascii="Arial" w:hAnsi="Arial" w:cs="Arial"/>
                <w:lang w:val="en-IN"/>
              </w:rPr>
            </w:pPr>
            <w:r w:rsidRPr="00562062">
              <w:rPr>
                <w:rFonts w:ascii="Arial" w:hAnsi="Arial" w:cs="Arial"/>
                <w:lang w:val="en-IN"/>
              </w:rPr>
              <w:t> -5.979***</w:t>
            </w:r>
          </w:p>
        </w:tc>
        <w:tc>
          <w:tcPr>
            <w:tcW w:w="714" w:type="pct"/>
            <w:tcBorders>
              <w:top w:val="nil"/>
              <w:left w:val="nil"/>
              <w:bottom w:val="single" w:sz="4" w:space="0" w:color="auto"/>
              <w:right w:val="single" w:sz="4" w:space="0" w:color="auto"/>
            </w:tcBorders>
            <w:noWrap/>
            <w:vAlign w:val="center"/>
            <w:hideMark/>
          </w:tcPr>
          <w:p w14:paraId="5061391B" w14:textId="77777777" w:rsidR="006A3613" w:rsidRPr="00562062" w:rsidRDefault="006A3613" w:rsidP="00373CF8">
            <w:pPr>
              <w:jc w:val="center"/>
              <w:rPr>
                <w:rFonts w:ascii="Arial" w:hAnsi="Arial" w:cs="Arial"/>
                <w:lang w:val="en-IN"/>
              </w:rPr>
            </w:pPr>
            <w:r w:rsidRPr="00562062">
              <w:rPr>
                <w:rFonts w:ascii="Arial" w:hAnsi="Arial" w:cs="Arial"/>
                <w:lang w:val="en-IN"/>
              </w:rPr>
              <w:t>2003 </w:t>
            </w:r>
          </w:p>
        </w:tc>
      </w:tr>
    </w:tbl>
    <w:p w14:paraId="5F6944AE" w14:textId="77777777" w:rsidR="006A3613" w:rsidRPr="00562062" w:rsidRDefault="006A3613" w:rsidP="00AD3AF7">
      <w:pPr>
        <w:jc w:val="both"/>
        <w:rPr>
          <w:rFonts w:ascii="Arial" w:hAnsi="Arial" w:cs="Arial"/>
          <w:lang w:val="en-IN"/>
        </w:rPr>
      </w:pPr>
      <w:r w:rsidRPr="00562062">
        <w:rPr>
          <w:rFonts w:ascii="Arial" w:hAnsi="Arial" w:cs="Arial"/>
          <w:lang w:val="en-IN"/>
        </w:rPr>
        <w:t xml:space="preserve">Notes: *** and ** denote significance at the 1% and 5% levels, respectively. For the ZA test, the model with a break in the intercept is used. Critical values are from </w:t>
      </w:r>
      <w:proofErr w:type="spellStart"/>
      <w:r w:rsidRPr="00562062">
        <w:rPr>
          <w:rFonts w:ascii="Arial" w:hAnsi="Arial" w:cs="Arial"/>
          <w:lang w:val="en-IN"/>
        </w:rPr>
        <w:t>Zivot</w:t>
      </w:r>
      <w:proofErr w:type="spellEnd"/>
      <w:r w:rsidRPr="00562062">
        <w:rPr>
          <w:rFonts w:ascii="Arial" w:hAnsi="Arial" w:cs="Arial"/>
          <w:lang w:val="en-IN"/>
        </w:rPr>
        <w:t xml:space="preserve"> &amp; Andrews (1992).</w:t>
      </w:r>
    </w:p>
    <w:p w14:paraId="647CA0C0" w14:textId="77777777" w:rsidR="006A3613" w:rsidRPr="00562062" w:rsidRDefault="006A3613" w:rsidP="006A3613"/>
    <w:p w14:paraId="1C2FC1EA" w14:textId="77777777" w:rsidR="006A3613" w:rsidRPr="00562062" w:rsidRDefault="006A3613" w:rsidP="006A3613"/>
    <w:p w14:paraId="6F2EF184" w14:textId="301D032B" w:rsidR="006A3613" w:rsidRPr="00562062" w:rsidRDefault="00E81702" w:rsidP="005644A1">
      <w:pPr>
        <w:rPr>
          <w:rFonts w:ascii="Arial" w:hAnsi="Arial" w:cs="Arial"/>
          <w:b/>
          <w:bCs/>
          <w:sz w:val="22"/>
        </w:rPr>
      </w:pPr>
      <w:r w:rsidRPr="00562062">
        <w:rPr>
          <w:rFonts w:ascii="Arial" w:hAnsi="Arial" w:cs="Arial"/>
          <w:b/>
          <w:bCs/>
          <w:sz w:val="22"/>
        </w:rPr>
        <w:t xml:space="preserve">4.3 </w:t>
      </w:r>
      <w:r w:rsidR="006A3613" w:rsidRPr="00562062">
        <w:rPr>
          <w:rFonts w:ascii="Arial" w:hAnsi="Arial" w:cs="Arial"/>
          <w:b/>
          <w:bCs/>
          <w:sz w:val="22"/>
        </w:rPr>
        <w:t>Bounds Test for Cointegration</w:t>
      </w:r>
    </w:p>
    <w:p w14:paraId="76F4480A" w14:textId="327A422F" w:rsidR="006A3613" w:rsidRPr="00562062" w:rsidRDefault="006A3613" w:rsidP="006A3613">
      <w:pPr>
        <w:jc w:val="both"/>
        <w:rPr>
          <w:rFonts w:ascii="Arial" w:hAnsi="Arial" w:cs="Arial"/>
          <w:lang w:val="en-IN"/>
        </w:rPr>
      </w:pPr>
      <w:r w:rsidRPr="00562062">
        <w:rPr>
          <w:rFonts w:ascii="Arial" w:hAnsi="Arial" w:cs="Arial"/>
          <w:lang w:val="en-IN"/>
        </w:rPr>
        <w:t>Table</w:t>
      </w:r>
      <w:r w:rsidR="00725BBE" w:rsidRPr="00562062">
        <w:rPr>
          <w:rFonts w:ascii="Arial" w:hAnsi="Arial" w:cs="Arial"/>
          <w:lang w:val="en-IN"/>
        </w:rPr>
        <w:t xml:space="preserve"> 4</w:t>
      </w:r>
      <w:r w:rsidRPr="00562062">
        <w:rPr>
          <w:rFonts w:ascii="Arial" w:hAnsi="Arial" w:cs="Arial"/>
          <w:lang w:val="en-IN"/>
        </w:rPr>
        <w:t xml:space="preserve"> reports the outcomes of the F-bounds cointegration test, which was employed to examine the existence of a long-run relationship among the variables. The calculated F-statistic of 8.14323 is substantially higher than the upper critical bound value at the 1% significance level (4.37). This clearly rejects the null hypothesis of no cointegration and </w:t>
      </w:r>
      <w:r w:rsidR="00E81702" w:rsidRPr="00562062">
        <w:rPr>
          <w:rFonts w:ascii="Arial" w:hAnsi="Arial" w:cs="Arial"/>
          <w:lang w:val="en-IN"/>
        </w:rPr>
        <w:t>confirms</w:t>
      </w:r>
      <w:r w:rsidRPr="00562062">
        <w:rPr>
          <w:rFonts w:ascii="Arial" w:hAnsi="Arial" w:cs="Arial"/>
          <w:lang w:val="en-IN"/>
        </w:rPr>
        <w:t xml:space="preserve"> the presence of a long-run equilibrium relationship among the variables under investigation. Thus, the ARDL bounds testing approach validates that the model is suitable for estimating both the short-run dynamics and the long-run elasticities.</w:t>
      </w:r>
    </w:p>
    <w:p w14:paraId="147CA7D7" w14:textId="70A37503"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4</w:t>
      </w:r>
      <w:r w:rsidRPr="00562062">
        <w:rPr>
          <w:rFonts w:ascii="Arial" w:hAnsi="Arial" w:cs="Arial"/>
          <w:b/>
          <w:bCs/>
          <w:lang w:val="en-IN"/>
        </w:rPr>
        <w:t>. Results of the F-Bounds Cointegration Test</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199"/>
        <w:gridCol w:w="2091"/>
        <w:gridCol w:w="2567"/>
        <w:gridCol w:w="1086"/>
      </w:tblGrid>
      <w:tr w:rsidR="006A3613" w:rsidRPr="00562062" w14:paraId="6B641CAB" w14:textId="77777777" w:rsidTr="00373CF8">
        <w:trPr>
          <w:trHeight w:val="300"/>
        </w:trPr>
        <w:tc>
          <w:tcPr>
            <w:tcW w:w="2393" w:type="pct"/>
            <w:gridSpan w:val="2"/>
            <w:noWrap/>
            <w:vAlign w:val="center"/>
            <w:hideMark/>
          </w:tcPr>
          <w:p w14:paraId="0D3F8E7E"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F-Bounds Test</w:t>
            </w:r>
          </w:p>
        </w:tc>
        <w:tc>
          <w:tcPr>
            <w:tcW w:w="2607" w:type="pct"/>
            <w:gridSpan w:val="3"/>
            <w:noWrap/>
            <w:vAlign w:val="center"/>
            <w:hideMark/>
          </w:tcPr>
          <w:p w14:paraId="5A4A31C4"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Null Hypothesis: No levels relationship</w:t>
            </w:r>
          </w:p>
        </w:tc>
      </w:tr>
      <w:tr w:rsidR="006A3613" w:rsidRPr="00562062" w14:paraId="0B044DEA" w14:textId="77777777" w:rsidTr="00373CF8">
        <w:trPr>
          <w:trHeight w:val="300"/>
        </w:trPr>
        <w:tc>
          <w:tcPr>
            <w:tcW w:w="1395" w:type="pct"/>
            <w:noWrap/>
            <w:vAlign w:val="center"/>
            <w:hideMark/>
          </w:tcPr>
          <w:p w14:paraId="7AACBE9C"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Test Statistic</w:t>
            </w:r>
          </w:p>
        </w:tc>
        <w:tc>
          <w:tcPr>
            <w:tcW w:w="998" w:type="pct"/>
            <w:noWrap/>
            <w:vAlign w:val="center"/>
            <w:hideMark/>
          </w:tcPr>
          <w:p w14:paraId="5019557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Value</w:t>
            </w:r>
          </w:p>
        </w:tc>
        <w:tc>
          <w:tcPr>
            <w:tcW w:w="949" w:type="pct"/>
            <w:noWrap/>
            <w:vAlign w:val="center"/>
            <w:hideMark/>
          </w:tcPr>
          <w:p w14:paraId="76F18F1F" w14:textId="77777777" w:rsidR="006A3613" w:rsidRPr="00562062" w:rsidRDefault="006A3613" w:rsidP="00373CF8">
            <w:pPr>
              <w:jc w:val="center"/>
              <w:rPr>
                <w:rFonts w:ascii="Arial" w:eastAsia="Times New Roman" w:hAnsi="Arial" w:cs="Arial"/>
                <w:kern w:val="0"/>
                <w:sz w:val="20"/>
                <w:szCs w:val="20"/>
              </w:rPr>
            </w:pPr>
            <w:proofErr w:type="spellStart"/>
            <w:r w:rsidRPr="00562062">
              <w:rPr>
                <w:rFonts w:ascii="Arial" w:eastAsia="Times New Roman" w:hAnsi="Arial" w:cs="Arial"/>
                <w:kern w:val="0"/>
                <w:sz w:val="20"/>
                <w:szCs w:val="20"/>
              </w:rPr>
              <w:t>Signif</w:t>
            </w:r>
            <w:proofErr w:type="spellEnd"/>
            <w:r w:rsidRPr="00562062">
              <w:rPr>
                <w:rFonts w:ascii="Arial" w:eastAsia="Times New Roman" w:hAnsi="Arial" w:cs="Arial"/>
                <w:kern w:val="0"/>
                <w:sz w:val="20"/>
                <w:szCs w:val="20"/>
              </w:rPr>
              <w:t>.</w:t>
            </w:r>
          </w:p>
        </w:tc>
        <w:tc>
          <w:tcPr>
            <w:tcW w:w="1165" w:type="pct"/>
            <w:noWrap/>
            <w:vAlign w:val="center"/>
            <w:hideMark/>
          </w:tcPr>
          <w:p w14:paraId="2C0C9BF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I(0)</w:t>
            </w:r>
          </w:p>
        </w:tc>
        <w:tc>
          <w:tcPr>
            <w:tcW w:w="493" w:type="pct"/>
            <w:noWrap/>
            <w:vAlign w:val="center"/>
            <w:hideMark/>
          </w:tcPr>
          <w:p w14:paraId="7AC8F8F8"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I(1)</w:t>
            </w:r>
          </w:p>
        </w:tc>
      </w:tr>
      <w:tr w:rsidR="006A3613" w:rsidRPr="00562062" w14:paraId="4CF41F7F" w14:textId="77777777" w:rsidTr="00373CF8">
        <w:trPr>
          <w:trHeight w:val="300"/>
        </w:trPr>
        <w:tc>
          <w:tcPr>
            <w:tcW w:w="1395" w:type="pct"/>
            <w:noWrap/>
            <w:vAlign w:val="center"/>
            <w:hideMark/>
          </w:tcPr>
          <w:p w14:paraId="3F2DBB63"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F-statistic</w:t>
            </w:r>
          </w:p>
        </w:tc>
        <w:tc>
          <w:tcPr>
            <w:tcW w:w="998" w:type="pct"/>
            <w:noWrap/>
            <w:vAlign w:val="center"/>
            <w:hideMark/>
          </w:tcPr>
          <w:p w14:paraId="587A9357"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8.14323</w:t>
            </w:r>
          </w:p>
        </w:tc>
        <w:tc>
          <w:tcPr>
            <w:tcW w:w="949" w:type="pct"/>
            <w:noWrap/>
            <w:vAlign w:val="center"/>
            <w:hideMark/>
          </w:tcPr>
          <w:p w14:paraId="71734A4B"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10%</w:t>
            </w:r>
          </w:p>
        </w:tc>
        <w:tc>
          <w:tcPr>
            <w:tcW w:w="1165" w:type="pct"/>
            <w:noWrap/>
            <w:vAlign w:val="center"/>
            <w:hideMark/>
          </w:tcPr>
          <w:p w14:paraId="6EF60958"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2.2</w:t>
            </w:r>
          </w:p>
        </w:tc>
        <w:tc>
          <w:tcPr>
            <w:tcW w:w="493" w:type="pct"/>
            <w:noWrap/>
            <w:vAlign w:val="center"/>
            <w:hideMark/>
          </w:tcPr>
          <w:p w14:paraId="6FD15699"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3.09</w:t>
            </w:r>
          </w:p>
        </w:tc>
      </w:tr>
      <w:tr w:rsidR="006A3613" w:rsidRPr="00562062" w14:paraId="5C101236" w14:textId="77777777" w:rsidTr="00373CF8">
        <w:trPr>
          <w:trHeight w:val="300"/>
        </w:trPr>
        <w:tc>
          <w:tcPr>
            <w:tcW w:w="1395" w:type="pct"/>
            <w:noWrap/>
            <w:vAlign w:val="center"/>
            <w:hideMark/>
          </w:tcPr>
          <w:p w14:paraId="4C6924FA"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k</w:t>
            </w:r>
          </w:p>
        </w:tc>
        <w:tc>
          <w:tcPr>
            <w:tcW w:w="998" w:type="pct"/>
            <w:noWrap/>
            <w:vAlign w:val="center"/>
            <w:hideMark/>
          </w:tcPr>
          <w:p w14:paraId="78BC5C7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4</w:t>
            </w:r>
          </w:p>
        </w:tc>
        <w:tc>
          <w:tcPr>
            <w:tcW w:w="949" w:type="pct"/>
            <w:noWrap/>
            <w:vAlign w:val="center"/>
            <w:hideMark/>
          </w:tcPr>
          <w:p w14:paraId="6D352729"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5%</w:t>
            </w:r>
          </w:p>
        </w:tc>
        <w:tc>
          <w:tcPr>
            <w:tcW w:w="1165" w:type="pct"/>
            <w:noWrap/>
            <w:vAlign w:val="center"/>
            <w:hideMark/>
          </w:tcPr>
          <w:p w14:paraId="2B2C448F"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2.56</w:t>
            </w:r>
          </w:p>
        </w:tc>
        <w:tc>
          <w:tcPr>
            <w:tcW w:w="493" w:type="pct"/>
            <w:noWrap/>
            <w:vAlign w:val="center"/>
            <w:hideMark/>
          </w:tcPr>
          <w:p w14:paraId="5C4EF4BE"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3.49</w:t>
            </w:r>
          </w:p>
        </w:tc>
      </w:tr>
      <w:tr w:rsidR="006A3613" w:rsidRPr="00562062" w14:paraId="4EFE043C" w14:textId="77777777" w:rsidTr="00373CF8">
        <w:trPr>
          <w:trHeight w:val="300"/>
        </w:trPr>
        <w:tc>
          <w:tcPr>
            <w:tcW w:w="2393" w:type="pct"/>
            <w:gridSpan w:val="2"/>
            <w:vMerge w:val="restart"/>
            <w:noWrap/>
            <w:vAlign w:val="center"/>
            <w:hideMark/>
          </w:tcPr>
          <w:p w14:paraId="6F977EC0" w14:textId="77777777" w:rsidR="006A3613" w:rsidRPr="00562062" w:rsidRDefault="006A3613" w:rsidP="00373CF8">
            <w:pPr>
              <w:jc w:val="center"/>
              <w:rPr>
                <w:rFonts w:ascii="Arial" w:eastAsia="Times New Roman" w:hAnsi="Arial" w:cs="Arial"/>
                <w:kern w:val="0"/>
                <w:sz w:val="20"/>
                <w:szCs w:val="20"/>
              </w:rPr>
            </w:pPr>
          </w:p>
        </w:tc>
        <w:tc>
          <w:tcPr>
            <w:tcW w:w="949" w:type="pct"/>
            <w:noWrap/>
            <w:vAlign w:val="center"/>
            <w:hideMark/>
          </w:tcPr>
          <w:p w14:paraId="21E6837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2.50%</w:t>
            </w:r>
          </w:p>
        </w:tc>
        <w:tc>
          <w:tcPr>
            <w:tcW w:w="1165" w:type="pct"/>
            <w:noWrap/>
            <w:vAlign w:val="center"/>
            <w:hideMark/>
          </w:tcPr>
          <w:p w14:paraId="234F1014"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2.88</w:t>
            </w:r>
          </w:p>
        </w:tc>
        <w:tc>
          <w:tcPr>
            <w:tcW w:w="493" w:type="pct"/>
            <w:noWrap/>
            <w:vAlign w:val="center"/>
            <w:hideMark/>
          </w:tcPr>
          <w:p w14:paraId="2B28958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3.87</w:t>
            </w:r>
          </w:p>
        </w:tc>
      </w:tr>
      <w:tr w:rsidR="006A3613" w:rsidRPr="00562062" w14:paraId="52830BDD" w14:textId="77777777" w:rsidTr="00373CF8">
        <w:trPr>
          <w:trHeight w:val="300"/>
        </w:trPr>
        <w:tc>
          <w:tcPr>
            <w:tcW w:w="2393" w:type="pct"/>
            <w:gridSpan w:val="2"/>
            <w:vMerge/>
            <w:noWrap/>
            <w:vAlign w:val="center"/>
            <w:hideMark/>
          </w:tcPr>
          <w:p w14:paraId="01F54C9D" w14:textId="77777777" w:rsidR="006A3613" w:rsidRPr="00562062" w:rsidRDefault="006A3613" w:rsidP="00373CF8">
            <w:pPr>
              <w:jc w:val="center"/>
              <w:rPr>
                <w:rFonts w:ascii="Arial" w:eastAsia="Times New Roman" w:hAnsi="Arial" w:cs="Arial"/>
                <w:kern w:val="0"/>
                <w:sz w:val="20"/>
                <w:szCs w:val="20"/>
              </w:rPr>
            </w:pPr>
          </w:p>
        </w:tc>
        <w:tc>
          <w:tcPr>
            <w:tcW w:w="949" w:type="pct"/>
            <w:noWrap/>
            <w:vAlign w:val="center"/>
            <w:hideMark/>
          </w:tcPr>
          <w:p w14:paraId="3A88DC35"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1%</w:t>
            </w:r>
          </w:p>
        </w:tc>
        <w:tc>
          <w:tcPr>
            <w:tcW w:w="1165" w:type="pct"/>
            <w:noWrap/>
            <w:vAlign w:val="center"/>
            <w:hideMark/>
          </w:tcPr>
          <w:p w14:paraId="2F74A770"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3.29</w:t>
            </w:r>
          </w:p>
        </w:tc>
        <w:tc>
          <w:tcPr>
            <w:tcW w:w="493" w:type="pct"/>
            <w:noWrap/>
            <w:vAlign w:val="center"/>
            <w:hideMark/>
          </w:tcPr>
          <w:p w14:paraId="2948376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4.37</w:t>
            </w:r>
          </w:p>
        </w:tc>
      </w:tr>
    </w:tbl>
    <w:p w14:paraId="086B1121" w14:textId="77777777" w:rsidR="006A3613" w:rsidRPr="00562062" w:rsidRDefault="006A3613" w:rsidP="006A3613"/>
    <w:p w14:paraId="0E7CCB6D" w14:textId="7BC99204" w:rsidR="006A3613" w:rsidRPr="00562062" w:rsidRDefault="00E81702" w:rsidP="006A3613">
      <w:pPr>
        <w:rPr>
          <w:rFonts w:ascii="Arial" w:hAnsi="Arial" w:cs="Arial"/>
          <w:b/>
          <w:bCs/>
          <w:sz w:val="22"/>
        </w:rPr>
      </w:pPr>
      <w:r w:rsidRPr="00562062">
        <w:rPr>
          <w:rFonts w:ascii="Arial" w:hAnsi="Arial" w:cs="Arial"/>
          <w:b/>
          <w:bCs/>
          <w:sz w:val="22"/>
        </w:rPr>
        <w:t xml:space="preserve">4.4 </w:t>
      </w:r>
      <w:r w:rsidR="006A3613" w:rsidRPr="00562062">
        <w:rPr>
          <w:rFonts w:ascii="Arial" w:hAnsi="Arial" w:cs="Arial"/>
          <w:b/>
          <w:bCs/>
          <w:sz w:val="22"/>
        </w:rPr>
        <w:t>Long-run Results</w:t>
      </w:r>
    </w:p>
    <w:p w14:paraId="6494BD0F" w14:textId="5074F8A5" w:rsidR="006A3613" w:rsidRPr="00562062" w:rsidRDefault="006A3613" w:rsidP="006A3613">
      <w:pPr>
        <w:jc w:val="both"/>
        <w:rPr>
          <w:rFonts w:ascii="Arial" w:hAnsi="Arial" w:cs="Arial"/>
          <w:lang w:val="en-IN"/>
        </w:rPr>
      </w:pPr>
      <w:r w:rsidRPr="00562062">
        <w:rPr>
          <w:rFonts w:ascii="Arial" w:hAnsi="Arial" w:cs="Arial"/>
          <w:lang w:val="en-IN"/>
        </w:rPr>
        <w:t>Table</w:t>
      </w:r>
      <w:r w:rsidR="00725BBE" w:rsidRPr="00562062">
        <w:rPr>
          <w:rFonts w:ascii="Arial" w:hAnsi="Arial" w:cs="Arial"/>
          <w:lang w:val="en-IN"/>
        </w:rPr>
        <w:t xml:space="preserve"> 5</w:t>
      </w:r>
      <w:r w:rsidRPr="00562062">
        <w:rPr>
          <w:rFonts w:ascii="Arial" w:hAnsi="Arial" w:cs="Arial"/>
          <w:lang w:val="en-IN"/>
        </w:rPr>
        <w:t xml:space="preserve"> presents the estimated long-run coefficients from the ARDL model. The coefficient of globalization (LGLOB) is negative (–0.2347) but statistically insignificant (p=0.10). This suggests that globalization tends to improve environmental quality by facilitating the diffusion of cleaner technologies, efficient production processes, and environmentally friendly practices, although the impact is weak in this case. Similar findings were reported by Salahuddin et al. (2019), He et al. (2021), Yameogo et al. (2021), Zafar et al. (2019) and Adebayo et al. (2021), who argued that globalization can reduce carbon emissions by promoting access to green technologies and international best practices. However, some studies, such as </w:t>
      </w:r>
      <w:proofErr w:type="spellStart"/>
      <w:r w:rsidRPr="00562062">
        <w:rPr>
          <w:rFonts w:ascii="Arial" w:hAnsi="Arial" w:cs="Arial"/>
          <w:lang w:val="en-IN"/>
        </w:rPr>
        <w:t>Destek</w:t>
      </w:r>
      <w:proofErr w:type="spellEnd"/>
      <w:r w:rsidRPr="00562062">
        <w:rPr>
          <w:rFonts w:ascii="Arial" w:hAnsi="Arial" w:cs="Arial"/>
          <w:lang w:val="en-IN"/>
        </w:rPr>
        <w:t xml:space="preserve"> (2019), Le and Ozturk (2020) and Warsame et al. (2023), document the opposite effect, highlighting that globalization may also exacerbate emissions in developing countries due to the relocation of pollution-intensive industries.</w:t>
      </w:r>
    </w:p>
    <w:p w14:paraId="3925C596" w14:textId="12A113EB" w:rsidR="006A3613" w:rsidRPr="00562062" w:rsidRDefault="0075551A" w:rsidP="006A3613">
      <w:pPr>
        <w:jc w:val="both"/>
        <w:rPr>
          <w:rFonts w:ascii="Arial" w:hAnsi="Arial" w:cs="Arial"/>
          <w:lang w:val="en-IN"/>
        </w:rPr>
      </w:pPr>
      <w:r w:rsidRPr="000F0F5B">
        <w:rPr>
          <w:rFonts w:ascii="Arial" w:hAnsi="Arial" w:cs="Arial"/>
          <w:color w:val="FF0000"/>
          <w:lang w:val="en-IN"/>
        </w:rPr>
        <w:t>The coefficient of renewable energy consumption (LRE) is negative (–0.6424) and statistically significant at the 1% level, indicating a strong long-run relationship between renewable energy use and environmental quality. This elasticity suggests that a 1% increase in the share of renewable energy consumption is associated with a 0.64% reduction in consumption-based CO</w:t>
      </w:r>
      <w:r w:rsidRPr="000F0F5B">
        <w:rPr>
          <w:rFonts w:ascii="Cambria Math" w:hAnsi="Cambria Math" w:cs="Cambria Math"/>
          <w:color w:val="FF0000"/>
          <w:lang w:val="en-IN"/>
        </w:rPr>
        <w:t>₂</w:t>
      </w:r>
      <w:r w:rsidRPr="000F0F5B">
        <w:rPr>
          <w:rFonts w:ascii="Arial" w:hAnsi="Arial" w:cs="Arial"/>
          <w:color w:val="FF0000"/>
          <w:lang w:val="en-IN"/>
        </w:rPr>
        <w:t xml:space="preserve"> emissions, all else being equal</w:t>
      </w:r>
      <w:r w:rsidR="006A3613" w:rsidRPr="000F0F5B">
        <w:rPr>
          <w:rFonts w:ascii="Arial" w:hAnsi="Arial" w:cs="Arial"/>
          <w:lang w:val="en-IN"/>
        </w:rPr>
        <w:t>.</w:t>
      </w:r>
      <w:r w:rsidR="006A3613" w:rsidRPr="00562062">
        <w:rPr>
          <w:rFonts w:ascii="Arial" w:hAnsi="Arial" w:cs="Arial"/>
          <w:lang w:val="en-IN"/>
        </w:rPr>
        <w:t xml:space="preserve"> This outcome validates the crucial role of renewable energy in promoting sustainability and is consistent with the results of Ike et al. (2020), </w:t>
      </w:r>
      <w:proofErr w:type="spellStart"/>
      <w:r w:rsidR="006A3613" w:rsidRPr="00562062">
        <w:rPr>
          <w:rFonts w:ascii="Arial" w:hAnsi="Arial" w:cs="Arial"/>
          <w:lang w:val="en-IN"/>
        </w:rPr>
        <w:t>Kwakwa</w:t>
      </w:r>
      <w:proofErr w:type="spellEnd"/>
      <w:r w:rsidR="006A3613" w:rsidRPr="00562062">
        <w:rPr>
          <w:rFonts w:ascii="Arial" w:hAnsi="Arial" w:cs="Arial"/>
          <w:lang w:val="en-IN"/>
        </w:rPr>
        <w:t xml:space="preserve"> (2023), and Warsame et al. (2022), who found that renewable energy adoption mitigates greenhouse gas emissions across both developed and developing economies. The result underscores the importance of policies that encourage investment in renewable energy infrastructure and expand its share in the energy mix to achieve long-term climate objectives.</w:t>
      </w:r>
    </w:p>
    <w:p w14:paraId="7919DCDC" w14:textId="49E35043" w:rsidR="006A3613" w:rsidRPr="00562062" w:rsidRDefault="006A3613" w:rsidP="006A3613">
      <w:pPr>
        <w:jc w:val="both"/>
        <w:rPr>
          <w:rFonts w:ascii="Arial" w:hAnsi="Arial" w:cs="Arial"/>
          <w:lang w:val="en-IN"/>
        </w:rPr>
      </w:pPr>
      <w:r w:rsidRPr="00562062">
        <w:rPr>
          <w:rFonts w:ascii="Arial" w:hAnsi="Arial" w:cs="Arial"/>
          <w:lang w:val="en-IN"/>
        </w:rPr>
        <w:t xml:space="preserve">The coefficient of economic growth (LGDP) exhibits a positive and statistically significant coefficient (2.0193, p=0.00) relationship, indicating that rising income levels aggravate environmental degradation during the early stages of growth. In contrast, </w:t>
      </w:r>
      <w:r w:rsidR="004403B7" w:rsidRPr="004403B7">
        <w:rPr>
          <w:rFonts w:ascii="Arial" w:hAnsi="Arial" w:cs="Arial"/>
          <w:color w:val="FF0000"/>
        </w:rPr>
        <w:t>the negative sign of the squared term, despite its marginal significance (p=0.06), is suggestive of an inverted U-shaped Environmental Kuznets Curve (EKC) pattern for India in the long run.</w:t>
      </w:r>
      <w:r w:rsidR="004403B7" w:rsidRPr="00562062">
        <w:rPr>
          <w:rFonts w:ascii="Arial" w:hAnsi="Arial" w:cs="Arial"/>
          <w:lang w:val="en-IN"/>
        </w:rPr>
        <w:t xml:space="preserve"> This</w:t>
      </w:r>
      <w:r w:rsidRPr="00562062">
        <w:rPr>
          <w:rFonts w:ascii="Arial" w:hAnsi="Arial" w:cs="Arial"/>
          <w:lang w:val="en-IN"/>
        </w:rPr>
        <w:t xml:space="preserve"> suggests that while economic growth initially worsens environmental quality, beyond a certain income threshold, further growth contributes to environmental improvements. Similar empirical evidence supporting the EKC hypothesis has been reported in Kenya (Warsame &amp; Sarkodie, 2022), Pakistan (Ahmed et al., 2014), Sub-Saharan Africa (Yameogo et al., 2021), and Germany (Pata et al., 2023). However, the relatively weak significance of the squared term warrants cautious interpretation, as the evidence is suggestive rather than conclusive. Moreover, contrasting findings from Vietnam (Al-</w:t>
      </w:r>
      <w:proofErr w:type="spellStart"/>
      <w:r w:rsidRPr="00562062">
        <w:rPr>
          <w:rFonts w:ascii="Arial" w:hAnsi="Arial" w:cs="Arial"/>
          <w:lang w:val="en-IN"/>
        </w:rPr>
        <w:t>Mulali</w:t>
      </w:r>
      <w:proofErr w:type="spellEnd"/>
      <w:r w:rsidRPr="00562062">
        <w:rPr>
          <w:rFonts w:ascii="Arial" w:hAnsi="Arial" w:cs="Arial"/>
          <w:lang w:val="en-IN"/>
        </w:rPr>
        <w:t xml:space="preserve"> et al., 2015) and Morocco (Haq et al., 2016) highlight the heterogeneous and context-specific nature of the growth–environment nexus.</w:t>
      </w:r>
    </w:p>
    <w:p w14:paraId="703AEE29" w14:textId="190FE02E"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5</w:t>
      </w:r>
      <w:r w:rsidRPr="00562062">
        <w:rPr>
          <w:rFonts w:ascii="Arial" w:hAnsi="Arial" w:cs="Arial"/>
          <w:b/>
          <w:bCs/>
          <w:lang w:val="en-IN"/>
        </w:rPr>
        <w:t>. ARDL long-run estimation</w:t>
      </w:r>
    </w:p>
    <w:tbl>
      <w:tblPr>
        <w:tblStyle w:val="TableGrid"/>
        <w:tblW w:w="5000" w:type="pct"/>
        <w:tblLook w:val="04A0" w:firstRow="1" w:lastRow="0" w:firstColumn="1" w:lastColumn="0" w:noHBand="0" w:noVBand="1"/>
      </w:tblPr>
      <w:tblGrid>
        <w:gridCol w:w="1743"/>
        <w:gridCol w:w="2146"/>
        <w:gridCol w:w="2135"/>
        <w:gridCol w:w="3527"/>
        <w:gridCol w:w="1465"/>
      </w:tblGrid>
      <w:tr w:rsidR="006A3613" w:rsidRPr="00562062" w14:paraId="3B70FE7E" w14:textId="77777777" w:rsidTr="00373CF8">
        <w:trPr>
          <w:trHeight w:val="300"/>
        </w:trPr>
        <w:tc>
          <w:tcPr>
            <w:tcW w:w="791" w:type="pct"/>
            <w:noWrap/>
            <w:vAlign w:val="center"/>
            <w:hideMark/>
          </w:tcPr>
          <w:p w14:paraId="1FCFA00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Variable</w:t>
            </w:r>
          </w:p>
        </w:tc>
        <w:tc>
          <w:tcPr>
            <w:tcW w:w="974" w:type="pct"/>
            <w:noWrap/>
            <w:vAlign w:val="center"/>
            <w:hideMark/>
          </w:tcPr>
          <w:p w14:paraId="7B3B974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Coefficient</w:t>
            </w:r>
          </w:p>
        </w:tc>
        <w:tc>
          <w:tcPr>
            <w:tcW w:w="969" w:type="pct"/>
            <w:noWrap/>
            <w:vAlign w:val="center"/>
            <w:hideMark/>
          </w:tcPr>
          <w:p w14:paraId="3827F52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Std. Error</w:t>
            </w:r>
          </w:p>
        </w:tc>
        <w:tc>
          <w:tcPr>
            <w:tcW w:w="1601" w:type="pct"/>
            <w:noWrap/>
            <w:vAlign w:val="center"/>
            <w:hideMark/>
          </w:tcPr>
          <w:p w14:paraId="6FF4E25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t-Statistic</w:t>
            </w:r>
          </w:p>
        </w:tc>
        <w:tc>
          <w:tcPr>
            <w:tcW w:w="665" w:type="pct"/>
            <w:noWrap/>
            <w:vAlign w:val="center"/>
            <w:hideMark/>
          </w:tcPr>
          <w:p w14:paraId="209CD3A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w:t>
            </w:r>
          </w:p>
        </w:tc>
      </w:tr>
      <w:tr w:rsidR="006A3613" w:rsidRPr="00562062" w14:paraId="6678297F" w14:textId="77777777" w:rsidTr="00373CF8">
        <w:trPr>
          <w:trHeight w:val="300"/>
        </w:trPr>
        <w:tc>
          <w:tcPr>
            <w:tcW w:w="791" w:type="pct"/>
            <w:noWrap/>
            <w:vAlign w:val="center"/>
            <w:hideMark/>
          </w:tcPr>
          <w:p w14:paraId="78E00A8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LGLOB</w:t>
            </w:r>
          </w:p>
        </w:tc>
        <w:tc>
          <w:tcPr>
            <w:tcW w:w="974" w:type="pct"/>
            <w:noWrap/>
            <w:vAlign w:val="center"/>
            <w:hideMark/>
          </w:tcPr>
          <w:p w14:paraId="4600C65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-0.2347</w:t>
            </w:r>
          </w:p>
        </w:tc>
        <w:tc>
          <w:tcPr>
            <w:tcW w:w="969" w:type="pct"/>
            <w:noWrap/>
            <w:vAlign w:val="center"/>
            <w:hideMark/>
          </w:tcPr>
          <w:p w14:paraId="26C4F33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0.138081</w:t>
            </w:r>
          </w:p>
        </w:tc>
        <w:tc>
          <w:tcPr>
            <w:tcW w:w="1601" w:type="pct"/>
            <w:noWrap/>
            <w:vAlign w:val="center"/>
            <w:hideMark/>
          </w:tcPr>
          <w:p w14:paraId="6CB313A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-1.699696</w:t>
            </w:r>
          </w:p>
        </w:tc>
        <w:tc>
          <w:tcPr>
            <w:tcW w:w="665" w:type="pct"/>
            <w:noWrap/>
            <w:vAlign w:val="center"/>
            <w:hideMark/>
          </w:tcPr>
          <w:p w14:paraId="2D0651A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0.1040</w:t>
            </w:r>
          </w:p>
        </w:tc>
      </w:tr>
      <w:tr w:rsidR="006A3613" w:rsidRPr="00562062" w14:paraId="0EF8FF94" w14:textId="77777777" w:rsidTr="00373CF8">
        <w:trPr>
          <w:trHeight w:val="300"/>
        </w:trPr>
        <w:tc>
          <w:tcPr>
            <w:tcW w:w="791" w:type="pct"/>
            <w:noWrap/>
            <w:vAlign w:val="center"/>
            <w:hideMark/>
          </w:tcPr>
          <w:p w14:paraId="2ADCCA3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LRE</w:t>
            </w:r>
          </w:p>
        </w:tc>
        <w:tc>
          <w:tcPr>
            <w:tcW w:w="974" w:type="pct"/>
            <w:noWrap/>
            <w:vAlign w:val="center"/>
            <w:hideMark/>
          </w:tcPr>
          <w:p w14:paraId="7345D0E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-0.6424</w:t>
            </w:r>
          </w:p>
        </w:tc>
        <w:tc>
          <w:tcPr>
            <w:tcW w:w="969" w:type="pct"/>
            <w:noWrap/>
            <w:vAlign w:val="center"/>
            <w:hideMark/>
          </w:tcPr>
          <w:p w14:paraId="586D227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0.079673</w:t>
            </w:r>
          </w:p>
        </w:tc>
        <w:tc>
          <w:tcPr>
            <w:tcW w:w="1601" w:type="pct"/>
            <w:noWrap/>
            <w:vAlign w:val="center"/>
            <w:hideMark/>
          </w:tcPr>
          <w:p w14:paraId="6DCFE73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-8.062874</w:t>
            </w:r>
          </w:p>
        </w:tc>
        <w:tc>
          <w:tcPr>
            <w:tcW w:w="665" w:type="pct"/>
            <w:noWrap/>
            <w:vAlign w:val="center"/>
            <w:hideMark/>
          </w:tcPr>
          <w:p w14:paraId="5BE583A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w:t>
            </w:r>
          </w:p>
        </w:tc>
      </w:tr>
      <w:tr w:rsidR="006A3613" w:rsidRPr="00562062" w14:paraId="23491F99" w14:textId="77777777" w:rsidTr="00373CF8">
        <w:trPr>
          <w:trHeight w:val="300"/>
        </w:trPr>
        <w:tc>
          <w:tcPr>
            <w:tcW w:w="791" w:type="pct"/>
            <w:noWrap/>
            <w:vAlign w:val="center"/>
            <w:hideMark/>
          </w:tcPr>
          <w:p w14:paraId="01719D0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w:t>
            </w:r>
          </w:p>
        </w:tc>
        <w:tc>
          <w:tcPr>
            <w:tcW w:w="974" w:type="pct"/>
            <w:noWrap/>
            <w:vAlign w:val="center"/>
            <w:hideMark/>
          </w:tcPr>
          <w:p w14:paraId="7EA285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2.019303</w:t>
            </w:r>
          </w:p>
        </w:tc>
        <w:tc>
          <w:tcPr>
            <w:tcW w:w="969" w:type="pct"/>
            <w:noWrap/>
            <w:vAlign w:val="center"/>
            <w:hideMark/>
          </w:tcPr>
          <w:p w14:paraId="3BE4115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0.589661</w:t>
            </w:r>
          </w:p>
        </w:tc>
        <w:tc>
          <w:tcPr>
            <w:tcW w:w="1601" w:type="pct"/>
            <w:noWrap/>
            <w:vAlign w:val="center"/>
            <w:hideMark/>
          </w:tcPr>
          <w:p w14:paraId="377AFF7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3.424516</w:t>
            </w:r>
          </w:p>
        </w:tc>
        <w:tc>
          <w:tcPr>
            <w:tcW w:w="665" w:type="pct"/>
            <w:noWrap/>
            <w:vAlign w:val="center"/>
            <w:hideMark/>
          </w:tcPr>
          <w:p w14:paraId="04A75A8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0.0025</w:t>
            </w:r>
          </w:p>
        </w:tc>
      </w:tr>
      <w:tr w:rsidR="006A3613" w:rsidRPr="00562062" w14:paraId="6AE8CB31" w14:textId="77777777" w:rsidTr="00373CF8">
        <w:trPr>
          <w:trHeight w:val="300"/>
        </w:trPr>
        <w:tc>
          <w:tcPr>
            <w:tcW w:w="791" w:type="pct"/>
            <w:noWrap/>
            <w:vAlign w:val="center"/>
            <w:hideMark/>
          </w:tcPr>
          <w:p w14:paraId="474E04A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LGDP2</w:t>
            </w:r>
          </w:p>
        </w:tc>
        <w:tc>
          <w:tcPr>
            <w:tcW w:w="974" w:type="pct"/>
            <w:noWrap/>
            <w:vAlign w:val="center"/>
            <w:hideMark/>
          </w:tcPr>
          <w:p w14:paraId="17154CD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-0.07828</w:t>
            </w:r>
          </w:p>
        </w:tc>
        <w:tc>
          <w:tcPr>
            <w:tcW w:w="969" w:type="pct"/>
            <w:noWrap/>
            <w:vAlign w:val="center"/>
            <w:hideMark/>
          </w:tcPr>
          <w:p w14:paraId="27329E1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0.03951</w:t>
            </w:r>
          </w:p>
        </w:tc>
        <w:tc>
          <w:tcPr>
            <w:tcW w:w="1601" w:type="pct"/>
            <w:noWrap/>
            <w:vAlign w:val="center"/>
            <w:hideMark/>
          </w:tcPr>
          <w:p w14:paraId="5BE7B01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-1.981358</w:t>
            </w:r>
          </w:p>
        </w:tc>
        <w:tc>
          <w:tcPr>
            <w:tcW w:w="665" w:type="pct"/>
            <w:noWrap/>
            <w:vAlign w:val="center"/>
            <w:hideMark/>
          </w:tcPr>
          <w:p w14:paraId="625B7D7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0.0608</w:t>
            </w:r>
          </w:p>
        </w:tc>
      </w:tr>
      <w:tr w:rsidR="006A3613" w:rsidRPr="00562062" w14:paraId="13A6F37A" w14:textId="77777777" w:rsidTr="00373CF8">
        <w:trPr>
          <w:trHeight w:val="300"/>
        </w:trPr>
        <w:tc>
          <w:tcPr>
            <w:tcW w:w="791" w:type="pct"/>
            <w:noWrap/>
            <w:vAlign w:val="center"/>
            <w:hideMark/>
          </w:tcPr>
          <w:p w14:paraId="7FC800E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w:t>
            </w:r>
          </w:p>
        </w:tc>
        <w:tc>
          <w:tcPr>
            <w:tcW w:w="974" w:type="pct"/>
            <w:noWrap/>
            <w:vAlign w:val="center"/>
            <w:hideMark/>
          </w:tcPr>
          <w:p w14:paraId="36D75930"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14.05355</w:t>
            </w:r>
          </w:p>
        </w:tc>
        <w:tc>
          <w:tcPr>
            <w:tcW w:w="969" w:type="pct"/>
            <w:noWrap/>
            <w:vAlign w:val="center"/>
            <w:hideMark/>
          </w:tcPr>
          <w:p w14:paraId="7E8553F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1.791076</w:t>
            </w:r>
          </w:p>
        </w:tc>
        <w:tc>
          <w:tcPr>
            <w:tcW w:w="1601" w:type="pct"/>
            <w:noWrap/>
            <w:vAlign w:val="center"/>
            <w:hideMark/>
          </w:tcPr>
          <w:p w14:paraId="5BF3EAA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7.846431</w:t>
            </w:r>
          </w:p>
        </w:tc>
        <w:tc>
          <w:tcPr>
            <w:tcW w:w="665" w:type="pct"/>
            <w:noWrap/>
            <w:vAlign w:val="center"/>
            <w:hideMark/>
          </w:tcPr>
          <w:p w14:paraId="377EB9B4"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w:t>
            </w:r>
          </w:p>
        </w:tc>
      </w:tr>
    </w:tbl>
    <w:p w14:paraId="06D754EF" w14:textId="77777777" w:rsidR="006A3613" w:rsidRPr="00562062" w:rsidRDefault="006A3613" w:rsidP="006A3613">
      <w:pPr>
        <w:rPr>
          <w:rFonts w:ascii="Arial" w:hAnsi="Arial" w:cs="Arial"/>
          <w:lang w:val="en-IN"/>
        </w:rPr>
      </w:pPr>
    </w:p>
    <w:p w14:paraId="0DE1FE7D" w14:textId="77777777" w:rsidR="006A3613" w:rsidRPr="00562062" w:rsidRDefault="006A3613" w:rsidP="006A3613">
      <w:pPr>
        <w:jc w:val="both"/>
      </w:pPr>
    </w:p>
    <w:p w14:paraId="31ECB496" w14:textId="3A9EF100" w:rsidR="006A3613" w:rsidRPr="00562062" w:rsidRDefault="008D1935" w:rsidP="006A3613">
      <w:pPr>
        <w:rPr>
          <w:rFonts w:ascii="Arial" w:hAnsi="Arial" w:cs="Arial"/>
          <w:b/>
          <w:bCs/>
          <w:sz w:val="22"/>
        </w:rPr>
      </w:pPr>
      <w:r w:rsidRPr="00562062">
        <w:rPr>
          <w:rFonts w:ascii="Arial" w:hAnsi="Arial" w:cs="Arial"/>
          <w:b/>
          <w:bCs/>
          <w:sz w:val="22"/>
        </w:rPr>
        <w:t xml:space="preserve">4.5 </w:t>
      </w:r>
      <w:r w:rsidR="006A3613" w:rsidRPr="00562062">
        <w:rPr>
          <w:rFonts w:ascii="Arial" w:hAnsi="Arial" w:cs="Arial"/>
          <w:b/>
          <w:bCs/>
          <w:sz w:val="22"/>
        </w:rPr>
        <w:t>Short-run Results</w:t>
      </w:r>
    </w:p>
    <w:p w14:paraId="60D8BAA7" w14:textId="2697B138" w:rsidR="006A3613" w:rsidRPr="00562062" w:rsidRDefault="006A3613" w:rsidP="006A3613">
      <w:pPr>
        <w:jc w:val="both"/>
        <w:rPr>
          <w:rFonts w:ascii="Arial" w:hAnsi="Arial" w:cs="Arial"/>
          <w:lang w:val="en-IN"/>
        </w:rPr>
      </w:pPr>
      <w:r w:rsidRPr="00562062">
        <w:rPr>
          <w:rFonts w:ascii="Arial" w:hAnsi="Arial" w:cs="Arial"/>
          <w:lang w:val="en-IN"/>
        </w:rPr>
        <w:t>The result of the short-run dynamic effect is presented in table</w:t>
      </w:r>
      <w:r w:rsidR="00725BBE" w:rsidRPr="00562062">
        <w:rPr>
          <w:rFonts w:ascii="Arial" w:hAnsi="Arial" w:cs="Arial"/>
          <w:lang w:val="en-IN"/>
        </w:rPr>
        <w:t xml:space="preserve"> 6</w:t>
      </w:r>
      <w:r w:rsidRPr="00562062">
        <w:rPr>
          <w:rFonts w:ascii="Arial" w:hAnsi="Arial" w:cs="Arial"/>
          <w:lang w:val="en-IN"/>
        </w:rPr>
        <w:t xml:space="preserve">. Economic growth has a significant positive effect on emissions in the short run. It highlights the environmental costs associated with rapid expansion in output. However, the squared GDP term is negative and statistically significant, </w:t>
      </w:r>
      <w:r w:rsidR="004403B7" w:rsidRPr="004403B7">
        <w:rPr>
          <w:rFonts w:ascii="Arial" w:hAnsi="Arial" w:cs="Arial"/>
          <w:color w:val="FF0000"/>
          <w:lang w:val="en-IN"/>
        </w:rPr>
        <w:t>thereby providing stronger short-run evidence for the Environmental Kuznets Curve (EKC) hypothesis</w:t>
      </w:r>
      <w:r w:rsidRPr="004403B7">
        <w:rPr>
          <w:rFonts w:ascii="Arial" w:hAnsi="Arial" w:cs="Arial"/>
          <w:color w:val="FF0000"/>
          <w:lang w:val="en-IN"/>
        </w:rPr>
        <w:t xml:space="preserve">. </w:t>
      </w:r>
      <w:r w:rsidRPr="00562062">
        <w:rPr>
          <w:rFonts w:ascii="Arial" w:hAnsi="Arial" w:cs="Arial"/>
          <w:lang w:val="en-IN"/>
        </w:rPr>
        <w:t xml:space="preserve">This implies that while initial stages of growth intensify environmental degradation, beyond a certain income threshold economic expansion contributes to environmental improvements. Similar short-run EKC dynamics have been confirmed in other developing economies (Culas, 2007; Ahmed et al., 2014; Usman et al., 2019; Behera, 2021; Pata et al., 2023). </w:t>
      </w:r>
    </w:p>
    <w:p w14:paraId="757D828A" w14:textId="7020B02A" w:rsidR="006A3613" w:rsidRPr="00562062" w:rsidRDefault="000F0F5B" w:rsidP="006A3613">
      <w:pPr>
        <w:jc w:val="both"/>
        <w:rPr>
          <w:rFonts w:ascii="Arial" w:hAnsi="Arial" w:cs="Arial"/>
          <w:lang w:val="en-IN"/>
        </w:rPr>
      </w:pPr>
      <w:r w:rsidRPr="000F0F5B">
        <w:rPr>
          <w:rFonts w:ascii="Arial" w:hAnsi="Arial" w:cs="Arial"/>
          <w:color w:val="FF0000"/>
          <w:lang w:val="en-IN"/>
        </w:rPr>
        <w:t xml:space="preserve">Renewable energy exerts a significant negative impact on emissions, with a short-run elasticity of –0.81. This indicates that a 1% increase in renewable energy consumption leads to an immediate 0.81% decrease in emissions, underscoring the rapid environmental benefits of clean energy </w:t>
      </w:r>
      <w:proofErr w:type="spellStart"/>
      <w:r w:rsidRPr="000F0F5B">
        <w:rPr>
          <w:rFonts w:ascii="Arial" w:hAnsi="Arial" w:cs="Arial"/>
          <w:color w:val="FF0000"/>
          <w:lang w:val="en-IN"/>
        </w:rPr>
        <w:t>adoption.</w:t>
      </w:r>
      <w:r w:rsidR="006A3613" w:rsidRPr="00562062">
        <w:rPr>
          <w:rFonts w:ascii="Arial" w:hAnsi="Arial" w:cs="Arial"/>
          <w:lang w:val="en-IN"/>
        </w:rPr>
        <w:t>This</w:t>
      </w:r>
      <w:proofErr w:type="spellEnd"/>
      <w:r w:rsidR="006A3613" w:rsidRPr="00562062">
        <w:rPr>
          <w:rFonts w:ascii="Arial" w:hAnsi="Arial" w:cs="Arial"/>
          <w:lang w:val="en-IN"/>
        </w:rPr>
        <w:t xml:space="preserve"> outcome is consistent with the findings of Sinha &amp; Shahbaz(2018), Ike et al. (2020), and </w:t>
      </w:r>
      <w:proofErr w:type="spellStart"/>
      <w:r w:rsidR="006A3613" w:rsidRPr="00562062">
        <w:rPr>
          <w:rFonts w:ascii="Arial" w:hAnsi="Arial" w:cs="Arial"/>
          <w:lang w:val="en-IN"/>
        </w:rPr>
        <w:t>Kwakwa</w:t>
      </w:r>
      <w:proofErr w:type="spellEnd"/>
      <w:r w:rsidR="006A3613" w:rsidRPr="00562062">
        <w:rPr>
          <w:rFonts w:ascii="Arial" w:hAnsi="Arial" w:cs="Arial"/>
          <w:lang w:val="en-IN"/>
        </w:rPr>
        <w:t xml:space="preserve"> (2023), who underscored the environmental sustainability benefits of clean energy adoption in Africa and advanced economies.</w:t>
      </w:r>
    </w:p>
    <w:p w14:paraId="6B05DB38" w14:textId="77777777" w:rsidR="006A3613" w:rsidRPr="00562062" w:rsidRDefault="006A3613" w:rsidP="006A3613">
      <w:pPr>
        <w:jc w:val="both"/>
        <w:rPr>
          <w:rFonts w:ascii="Arial" w:hAnsi="Arial" w:cs="Arial"/>
          <w:lang w:val="en-IN"/>
        </w:rPr>
      </w:pPr>
      <w:r w:rsidRPr="00562062">
        <w:rPr>
          <w:rFonts w:ascii="Arial" w:hAnsi="Arial" w:cs="Arial"/>
          <w:lang w:val="en-IN"/>
        </w:rPr>
        <w:t>The error correction term (ECT) is negative and highly significant, with a magnitude of –0.768, indicating a high speed of adjustment towards long-run equilibrium. It approximately 77% of disequilibrium in consumption-based CO</w:t>
      </w:r>
      <w:r w:rsidRPr="00562062">
        <w:rPr>
          <w:rFonts w:ascii="Cambria Math" w:hAnsi="Cambria Math" w:cs="Cambria Math"/>
          <w:lang w:val="en-IN"/>
        </w:rPr>
        <w:t>₂</w:t>
      </w:r>
      <w:r w:rsidRPr="00562062">
        <w:rPr>
          <w:rFonts w:ascii="Arial" w:hAnsi="Arial" w:cs="Arial"/>
          <w:lang w:val="en-IN"/>
        </w:rPr>
        <w:t xml:space="preserve"> emissions is corrected annually. This confirms the stability and convergence of the ARDL model, in line with the broader literature on dynamic adjustment mechanisms (Warsame et al., 2024).</w:t>
      </w:r>
    </w:p>
    <w:p w14:paraId="5AB7F38B" w14:textId="2B5B272B"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6</w:t>
      </w:r>
      <w:r w:rsidRPr="00562062">
        <w:rPr>
          <w:rFonts w:ascii="Arial" w:hAnsi="Arial" w:cs="Arial"/>
          <w:b/>
          <w:bCs/>
          <w:lang w:val="en-IN"/>
        </w:rPr>
        <w:t>. ARDL Error Correction Model (ECM)</w:t>
      </w:r>
    </w:p>
    <w:tbl>
      <w:tblPr>
        <w:tblStyle w:val="TableGrid"/>
        <w:tblW w:w="5000" w:type="pct"/>
        <w:tblLook w:val="04A0" w:firstRow="1" w:lastRow="0" w:firstColumn="1" w:lastColumn="0" w:noHBand="0" w:noVBand="1"/>
      </w:tblPr>
      <w:tblGrid>
        <w:gridCol w:w="2388"/>
        <w:gridCol w:w="2294"/>
        <w:gridCol w:w="2503"/>
        <w:gridCol w:w="1978"/>
        <w:gridCol w:w="1853"/>
      </w:tblGrid>
      <w:tr w:rsidR="006A3613" w:rsidRPr="00562062" w14:paraId="5DCDD3D3" w14:textId="77777777" w:rsidTr="00373CF8">
        <w:trPr>
          <w:trHeight w:val="300"/>
        </w:trPr>
        <w:tc>
          <w:tcPr>
            <w:tcW w:w="1084" w:type="pct"/>
            <w:noWrap/>
            <w:vAlign w:val="center"/>
            <w:hideMark/>
          </w:tcPr>
          <w:p w14:paraId="5E07139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Variable</w:t>
            </w:r>
          </w:p>
        </w:tc>
        <w:tc>
          <w:tcPr>
            <w:tcW w:w="1041" w:type="pct"/>
            <w:noWrap/>
            <w:vAlign w:val="center"/>
            <w:hideMark/>
          </w:tcPr>
          <w:p w14:paraId="508801A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Coefficient</w:t>
            </w:r>
          </w:p>
        </w:tc>
        <w:tc>
          <w:tcPr>
            <w:tcW w:w="1136" w:type="pct"/>
            <w:noWrap/>
            <w:vAlign w:val="center"/>
            <w:hideMark/>
          </w:tcPr>
          <w:p w14:paraId="0CB4C73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Std. Error</w:t>
            </w:r>
          </w:p>
        </w:tc>
        <w:tc>
          <w:tcPr>
            <w:tcW w:w="898" w:type="pct"/>
            <w:noWrap/>
            <w:vAlign w:val="center"/>
            <w:hideMark/>
          </w:tcPr>
          <w:p w14:paraId="0E4BC83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t-Statistic</w:t>
            </w:r>
          </w:p>
        </w:tc>
        <w:tc>
          <w:tcPr>
            <w:tcW w:w="842" w:type="pct"/>
            <w:noWrap/>
            <w:vAlign w:val="center"/>
            <w:hideMark/>
          </w:tcPr>
          <w:p w14:paraId="0C4C14F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w:t>
            </w:r>
          </w:p>
        </w:tc>
      </w:tr>
      <w:tr w:rsidR="006A3613" w:rsidRPr="00562062" w14:paraId="12D19EF6" w14:textId="77777777" w:rsidTr="00373CF8">
        <w:trPr>
          <w:trHeight w:val="300"/>
        </w:trPr>
        <w:tc>
          <w:tcPr>
            <w:tcW w:w="1084" w:type="pct"/>
            <w:noWrap/>
            <w:vAlign w:val="center"/>
            <w:hideMark/>
          </w:tcPr>
          <w:p w14:paraId="3C441C0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w:t>
            </w:r>
          </w:p>
        </w:tc>
        <w:tc>
          <w:tcPr>
            <w:tcW w:w="1041" w:type="pct"/>
            <w:noWrap/>
            <w:vAlign w:val="center"/>
            <w:hideMark/>
          </w:tcPr>
          <w:p w14:paraId="1BF4BC6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12.94968</w:t>
            </w:r>
          </w:p>
        </w:tc>
        <w:tc>
          <w:tcPr>
            <w:tcW w:w="1136" w:type="pct"/>
            <w:noWrap/>
            <w:vAlign w:val="center"/>
            <w:hideMark/>
          </w:tcPr>
          <w:p w14:paraId="16EC45D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2.622204</w:t>
            </w:r>
          </w:p>
        </w:tc>
        <w:tc>
          <w:tcPr>
            <w:tcW w:w="898" w:type="pct"/>
            <w:noWrap/>
            <w:vAlign w:val="center"/>
            <w:hideMark/>
          </w:tcPr>
          <w:p w14:paraId="013FDFB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4.938471</w:t>
            </w:r>
          </w:p>
        </w:tc>
        <w:tc>
          <w:tcPr>
            <w:tcW w:w="842" w:type="pct"/>
            <w:noWrap/>
            <w:vAlign w:val="center"/>
            <w:hideMark/>
          </w:tcPr>
          <w:p w14:paraId="0A77039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0.0001</w:t>
            </w:r>
          </w:p>
        </w:tc>
      </w:tr>
      <w:tr w:rsidR="006A3613" w:rsidRPr="00562062" w14:paraId="0BF2110E" w14:textId="77777777" w:rsidTr="00373CF8">
        <w:trPr>
          <w:trHeight w:val="300"/>
        </w:trPr>
        <w:tc>
          <w:tcPr>
            <w:tcW w:w="1084" w:type="pct"/>
            <w:noWrap/>
            <w:vAlign w:val="center"/>
            <w:hideMark/>
          </w:tcPr>
          <w:p w14:paraId="0ECBFFF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D(LGLOB)</w:t>
            </w:r>
          </w:p>
        </w:tc>
        <w:tc>
          <w:tcPr>
            <w:tcW w:w="1041" w:type="pct"/>
            <w:noWrap/>
            <w:vAlign w:val="center"/>
            <w:hideMark/>
          </w:tcPr>
          <w:p w14:paraId="4326CE6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-0.122447</w:t>
            </w:r>
          </w:p>
        </w:tc>
        <w:tc>
          <w:tcPr>
            <w:tcW w:w="1136" w:type="pct"/>
            <w:noWrap/>
            <w:vAlign w:val="center"/>
            <w:hideMark/>
          </w:tcPr>
          <w:p w14:paraId="42CA162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0.179415</w:t>
            </w:r>
          </w:p>
        </w:tc>
        <w:tc>
          <w:tcPr>
            <w:tcW w:w="898" w:type="pct"/>
            <w:noWrap/>
            <w:vAlign w:val="center"/>
            <w:hideMark/>
          </w:tcPr>
          <w:p w14:paraId="5DC1DE7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-0.68248</w:t>
            </w:r>
          </w:p>
        </w:tc>
        <w:tc>
          <w:tcPr>
            <w:tcW w:w="842" w:type="pct"/>
            <w:noWrap/>
            <w:vAlign w:val="center"/>
            <w:hideMark/>
          </w:tcPr>
          <w:p w14:paraId="7181644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0.50240</w:t>
            </w:r>
          </w:p>
        </w:tc>
      </w:tr>
      <w:tr w:rsidR="006A3613" w:rsidRPr="00562062" w14:paraId="292D7955" w14:textId="77777777" w:rsidTr="00373CF8">
        <w:trPr>
          <w:trHeight w:val="300"/>
        </w:trPr>
        <w:tc>
          <w:tcPr>
            <w:tcW w:w="1084" w:type="pct"/>
            <w:noWrap/>
            <w:vAlign w:val="center"/>
            <w:hideMark/>
          </w:tcPr>
          <w:p w14:paraId="6084FE5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D(LRE)</w:t>
            </w:r>
          </w:p>
        </w:tc>
        <w:tc>
          <w:tcPr>
            <w:tcW w:w="1041" w:type="pct"/>
            <w:noWrap/>
            <w:vAlign w:val="center"/>
            <w:hideMark/>
          </w:tcPr>
          <w:p w14:paraId="691ED2B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-0.807875</w:t>
            </w:r>
          </w:p>
        </w:tc>
        <w:tc>
          <w:tcPr>
            <w:tcW w:w="1136" w:type="pct"/>
            <w:noWrap/>
            <w:vAlign w:val="center"/>
            <w:hideMark/>
          </w:tcPr>
          <w:p w14:paraId="5E8647F0"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0.177627</w:t>
            </w:r>
          </w:p>
        </w:tc>
        <w:tc>
          <w:tcPr>
            <w:tcW w:w="898" w:type="pct"/>
            <w:noWrap/>
            <w:vAlign w:val="center"/>
            <w:hideMark/>
          </w:tcPr>
          <w:p w14:paraId="6082A8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-4.54814</w:t>
            </w:r>
          </w:p>
        </w:tc>
        <w:tc>
          <w:tcPr>
            <w:tcW w:w="842" w:type="pct"/>
            <w:noWrap/>
            <w:vAlign w:val="center"/>
            <w:hideMark/>
          </w:tcPr>
          <w:p w14:paraId="0F82D4E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0.00020</w:t>
            </w:r>
          </w:p>
        </w:tc>
      </w:tr>
      <w:tr w:rsidR="006A3613" w:rsidRPr="00562062" w14:paraId="1F23E978" w14:textId="77777777" w:rsidTr="00373CF8">
        <w:trPr>
          <w:trHeight w:val="300"/>
        </w:trPr>
        <w:tc>
          <w:tcPr>
            <w:tcW w:w="1084" w:type="pct"/>
            <w:noWrap/>
            <w:vAlign w:val="center"/>
            <w:hideMark/>
          </w:tcPr>
          <w:p w14:paraId="5094713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D(LGDP)</w:t>
            </w:r>
          </w:p>
        </w:tc>
        <w:tc>
          <w:tcPr>
            <w:tcW w:w="1041" w:type="pct"/>
            <w:noWrap/>
            <w:vAlign w:val="center"/>
            <w:hideMark/>
          </w:tcPr>
          <w:p w14:paraId="69C7514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3.822434</w:t>
            </w:r>
          </w:p>
        </w:tc>
        <w:tc>
          <w:tcPr>
            <w:tcW w:w="1136" w:type="pct"/>
            <w:noWrap/>
            <w:vAlign w:val="center"/>
            <w:hideMark/>
          </w:tcPr>
          <w:p w14:paraId="1E86AB0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1.418679</w:t>
            </w:r>
          </w:p>
        </w:tc>
        <w:tc>
          <w:tcPr>
            <w:tcW w:w="898" w:type="pct"/>
            <w:noWrap/>
            <w:vAlign w:val="center"/>
            <w:hideMark/>
          </w:tcPr>
          <w:p w14:paraId="2F5CCE6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2.694361</w:t>
            </w:r>
          </w:p>
        </w:tc>
        <w:tc>
          <w:tcPr>
            <w:tcW w:w="842" w:type="pct"/>
            <w:noWrap/>
            <w:vAlign w:val="center"/>
            <w:hideMark/>
          </w:tcPr>
          <w:p w14:paraId="1667974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0.01360</w:t>
            </w:r>
          </w:p>
        </w:tc>
      </w:tr>
      <w:tr w:rsidR="006A3613" w:rsidRPr="00562062" w14:paraId="6E233AA1" w14:textId="77777777" w:rsidTr="00373CF8">
        <w:trPr>
          <w:trHeight w:val="300"/>
        </w:trPr>
        <w:tc>
          <w:tcPr>
            <w:tcW w:w="1084" w:type="pct"/>
            <w:noWrap/>
            <w:vAlign w:val="center"/>
            <w:hideMark/>
          </w:tcPr>
          <w:p w14:paraId="3FC0768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D(LGDP2)</w:t>
            </w:r>
          </w:p>
        </w:tc>
        <w:tc>
          <w:tcPr>
            <w:tcW w:w="1041" w:type="pct"/>
            <w:noWrap/>
            <w:vAlign w:val="center"/>
            <w:hideMark/>
          </w:tcPr>
          <w:p w14:paraId="55904CB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-0.214504</w:t>
            </w:r>
          </w:p>
        </w:tc>
        <w:tc>
          <w:tcPr>
            <w:tcW w:w="1136" w:type="pct"/>
            <w:noWrap/>
            <w:vAlign w:val="center"/>
            <w:hideMark/>
          </w:tcPr>
          <w:p w14:paraId="1BDC1EB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0.097273</w:t>
            </w:r>
          </w:p>
        </w:tc>
        <w:tc>
          <w:tcPr>
            <w:tcW w:w="898" w:type="pct"/>
            <w:noWrap/>
            <w:vAlign w:val="center"/>
            <w:hideMark/>
          </w:tcPr>
          <w:p w14:paraId="66930D3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-2.20516</w:t>
            </w:r>
          </w:p>
        </w:tc>
        <w:tc>
          <w:tcPr>
            <w:tcW w:w="842" w:type="pct"/>
            <w:noWrap/>
            <w:vAlign w:val="center"/>
            <w:hideMark/>
          </w:tcPr>
          <w:p w14:paraId="326F2D2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0.03870</w:t>
            </w:r>
          </w:p>
        </w:tc>
      </w:tr>
      <w:tr w:rsidR="006A3613" w:rsidRPr="00562062" w14:paraId="7C8C0522" w14:textId="77777777" w:rsidTr="00373CF8">
        <w:trPr>
          <w:trHeight w:val="300"/>
        </w:trPr>
        <w:tc>
          <w:tcPr>
            <w:tcW w:w="1084" w:type="pct"/>
            <w:noWrap/>
            <w:vAlign w:val="center"/>
            <w:hideMark/>
          </w:tcPr>
          <w:p w14:paraId="588D250D" w14:textId="77777777" w:rsidR="006A3613" w:rsidRPr="00562062" w:rsidRDefault="006A3613" w:rsidP="00373CF8">
            <w:pPr>
              <w:jc w:val="center"/>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CointEq</w:t>
            </w:r>
            <w:proofErr w:type="spellEnd"/>
            <w:r w:rsidRPr="00562062">
              <w:rPr>
                <w:rFonts w:ascii="Arial" w:eastAsia="Times New Roman" w:hAnsi="Arial" w:cs="Arial"/>
                <w:sz w:val="20"/>
                <w:szCs w:val="20"/>
                <w:lang w:val="en-IN"/>
              </w:rPr>
              <w:t>(-1)*</w:t>
            </w:r>
          </w:p>
        </w:tc>
        <w:tc>
          <w:tcPr>
            <w:tcW w:w="1041" w:type="pct"/>
            <w:noWrap/>
            <w:vAlign w:val="center"/>
            <w:hideMark/>
          </w:tcPr>
          <w:p w14:paraId="39D3599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-0.767632</w:t>
            </w:r>
          </w:p>
        </w:tc>
        <w:tc>
          <w:tcPr>
            <w:tcW w:w="1136" w:type="pct"/>
            <w:noWrap/>
            <w:vAlign w:val="center"/>
            <w:hideMark/>
          </w:tcPr>
          <w:p w14:paraId="7C209E9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0.155534</w:t>
            </w:r>
          </w:p>
        </w:tc>
        <w:tc>
          <w:tcPr>
            <w:tcW w:w="898" w:type="pct"/>
            <w:noWrap/>
            <w:vAlign w:val="center"/>
            <w:hideMark/>
          </w:tcPr>
          <w:p w14:paraId="0A71E60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-4.93547</w:t>
            </w:r>
          </w:p>
        </w:tc>
        <w:tc>
          <w:tcPr>
            <w:tcW w:w="842" w:type="pct"/>
            <w:noWrap/>
            <w:vAlign w:val="center"/>
            <w:hideMark/>
          </w:tcPr>
          <w:p w14:paraId="4E931B5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0.0001</w:t>
            </w:r>
          </w:p>
        </w:tc>
      </w:tr>
    </w:tbl>
    <w:p w14:paraId="22ADDC38" w14:textId="77777777" w:rsidR="006A3613" w:rsidRPr="00562062" w:rsidRDefault="006A3613" w:rsidP="006A3613">
      <w:pPr>
        <w:rPr>
          <w:rFonts w:ascii="Arial" w:hAnsi="Arial" w:cs="Arial"/>
          <w:lang w:val="en-IN"/>
        </w:rPr>
      </w:pPr>
    </w:p>
    <w:p w14:paraId="02E6155B" w14:textId="44B307FF" w:rsidR="006A3613" w:rsidRPr="00562062" w:rsidRDefault="006A3613" w:rsidP="006A3613">
      <w:pPr>
        <w:jc w:val="both"/>
        <w:rPr>
          <w:rFonts w:ascii="Arial" w:hAnsi="Arial" w:cs="Arial"/>
          <w:lang w:val="en-IN"/>
        </w:rPr>
      </w:pPr>
      <w:r w:rsidRPr="00562062">
        <w:rPr>
          <w:rFonts w:ascii="Arial" w:hAnsi="Arial" w:cs="Arial"/>
          <w:lang w:val="en-IN"/>
        </w:rPr>
        <w:t>The robustness of the estimated model was validated through a series of diagnostic tests, the results of which are presented in Table</w:t>
      </w:r>
      <w:r w:rsidR="00725BBE" w:rsidRPr="00562062">
        <w:rPr>
          <w:rFonts w:ascii="Arial" w:hAnsi="Arial" w:cs="Arial"/>
          <w:lang w:val="en-IN"/>
        </w:rPr>
        <w:t xml:space="preserve"> 7</w:t>
      </w:r>
      <w:r w:rsidRPr="00562062">
        <w:rPr>
          <w:rFonts w:ascii="Arial" w:hAnsi="Arial" w:cs="Arial"/>
          <w:lang w:val="en-IN"/>
        </w:rPr>
        <w:t xml:space="preserve">. The Breusch–Pagan–Godfrey test confirmed the absence of heteroscedasticity (χ² = 10.156, p = 0.276), while the LM test indicated no evidence of serial correlation (χ² = 0.116, p = 0.963). The Ramsey RESET test further suggested that the model is correctly specified (F = 2.871, p = 0.187). In addition, the Jarque–Bera statistic demonstrated that the residuals are normally distributed (JB = 0.743, p = 0.689). The stability of the model parameters was further corroborated by both the CUSUM and CUSUMSQ tests as shown in Figure </w:t>
      </w:r>
      <w:r w:rsidR="00690286" w:rsidRPr="00562062">
        <w:rPr>
          <w:rFonts w:ascii="Arial" w:hAnsi="Arial" w:cs="Arial"/>
          <w:lang w:val="en-IN"/>
        </w:rPr>
        <w:t>1</w:t>
      </w:r>
      <w:r w:rsidRPr="00562062">
        <w:rPr>
          <w:rFonts w:ascii="Arial" w:hAnsi="Arial" w:cs="Arial"/>
          <w:lang w:val="en-IN"/>
        </w:rPr>
        <w:t>, which confirmed parameter constancy within the confidence bounds, thereby affirming the overall adequacy and reliability of the econometric specification.</w:t>
      </w:r>
    </w:p>
    <w:p w14:paraId="4FCE02B3" w14:textId="77777777" w:rsidR="006A3613" w:rsidRPr="00562062" w:rsidRDefault="006A3613" w:rsidP="006A3613">
      <w:pPr>
        <w:rPr>
          <w:rFonts w:ascii="Arial" w:hAnsi="Arial" w:cs="Arial"/>
          <w:lang w:val="en-IN"/>
        </w:rPr>
      </w:pPr>
    </w:p>
    <w:p w14:paraId="2D4A612D" w14:textId="3E50CD54"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7</w:t>
      </w:r>
      <w:r w:rsidRPr="00562062">
        <w:rPr>
          <w:rFonts w:ascii="Arial" w:hAnsi="Arial" w:cs="Arial"/>
          <w:b/>
          <w:bCs/>
          <w:lang w:val="en-IN"/>
        </w:rPr>
        <w:t>. Diagnostic and Stability Tests</w:t>
      </w:r>
    </w:p>
    <w:tbl>
      <w:tblPr>
        <w:tblStyle w:val="TableGrid"/>
        <w:tblW w:w="9805" w:type="dxa"/>
        <w:tblLook w:val="04A0" w:firstRow="1" w:lastRow="0" w:firstColumn="1" w:lastColumn="0" w:noHBand="0" w:noVBand="1"/>
      </w:tblPr>
      <w:tblGrid>
        <w:gridCol w:w="2515"/>
        <w:gridCol w:w="2160"/>
        <w:gridCol w:w="1980"/>
        <w:gridCol w:w="3150"/>
      </w:tblGrid>
      <w:tr w:rsidR="006A3613" w:rsidRPr="00562062" w14:paraId="2C32A1EC" w14:textId="77777777" w:rsidTr="00373CF8">
        <w:tc>
          <w:tcPr>
            <w:tcW w:w="2515" w:type="dxa"/>
            <w:vAlign w:val="center"/>
          </w:tcPr>
          <w:p w14:paraId="197EC52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Type of Test</w:t>
            </w:r>
          </w:p>
        </w:tc>
        <w:tc>
          <w:tcPr>
            <w:tcW w:w="2160" w:type="dxa"/>
            <w:vAlign w:val="center"/>
          </w:tcPr>
          <w:p w14:paraId="2F5E3FC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Problem</w:t>
            </w:r>
          </w:p>
        </w:tc>
        <w:tc>
          <w:tcPr>
            <w:tcW w:w="1980" w:type="dxa"/>
            <w:vAlign w:val="center"/>
          </w:tcPr>
          <w:p w14:paraId="4DC1DAF5" w14:textId="77777777" w:rsidR="006A3613" w:rsidRPr="00562062" w:rsidRDefault="006A3613" w:rsidP="00373CF8">
            <w:pPr>
              <w:jc w:val="center"/>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Obs</w:t>
            </w:r>
            <w:proofErr w:type="spellEnd"/>
            <w:r w:rsidRPr="00562062">
              <w:rPr>
                <w:rFonts w:ascii="Arial" w:eastAsia="Times New Roman" w:hAnsi="Arial" w:cs="Arial"/>
                <w:sz w:val="20"/>
                <w:szCs w:val="20"/>
                <w:lang w:val="en-IN"/>
              </w:rPr>
              <w:t xml:space="preserve"> * </w:t>
            </w:r>
            <w:proofErr w:type="spellStart"/>
            <w:r w:rsidRPr="00562062">
              <w:rPr>
                <w:rFonts w:ascii="Arial" w:eastAsia="Times New Roman" w:hAnsi="Arial" w:cs="Arial"/>
                <w:sz w:val="20"/>
                <w:szCs w:val="20"/>
                <w:lang w:val="en-IN"/>
              </w:rPr>
              <w:t>R_square</w:t>
            </w:r>
            <w:proofErr w:type="spellEnd"/>
          </w:p>
        </w:tc>
        <w:tc>
          <w:tcPr>
            <w:tcW w:w="3150" w:type="dxa"/>
            <w:vAlign w:val="center"/>
          </w:tcPr>
          <w:p w14:paraId="20F9DA2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Decision</w:t>
            </w:r>
          </w:p>
        </w:tc>
      </w:tr>
      <w:tr w:rsidR="006A3613" w:rsidRPr="00562062" w14:paraId="32F3FF60" w14:textId="77777777" w:rsidTr="00373CF8">
        <w:tc>
          <w:tcPr>
            <w:tcW w:w="2515" w:type="dxa"/>
            <w:vAlign w:val="center"/>
          </w:tcPr>
          <w:p w14:paraId="2D7AA47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Breusch Pagan Godfrey</w:t>
            </w:r>
          </w:p>
        </w:tc>
        <w:tc>
          <w:tcPr>
            <w:tcW w:w="2160" w:type="dxa"/>
            <w:vAlign w:val="center"/>
          </w:tcPr>
          <w:p w14:paraId="550438E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Heteroscedasticity</w:t>
            </w:r>
          </w:p>
        </w:tc>
        <w:tc>
          <w:tcPr>
            <w:tcW w:w="1980" w:type="dxa"/>
            <w:vAlign w:val="center"/>
          </w:tcPr>
          <w:p w14:paraId="1E06ECC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10.156 (Prob. 0.276)</w:t>
            </w:r>
          </w:p>
        </w:tc>
        <w:tc>
          <w:tcPr>
            <w:tcW w:w="3150" w:type="dxa"/>
            <w:vAlign w:val="center"/>
          </w:tcPr>
          <w:p w14:paraId="0AB73EE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 heteroscedasticity exist</w:t>
            </w:r>
          </w:p>
        </w:tc>
      </w:tr>
      <w:tr w:rsidR="006A3613" w:rsidRPr="00562062" w14:paraId="0C380E3E" w14:textId="77777777" w:rsidTr="00373CF8">
        <w:tc>
          <w:tcPr>
            <w:tcW w:w="2515" w:type="dxa"/>
            <w:vAlign w:val="center"/>
          </w:tcPr>
          <w:p w14:paraId="5598E43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LM</w:t>
            </w:r>
          </w:p>
        </w:tc>
        <w:tc>
          <w:tcPr>
            <w:tcW w:w="2160" w:type="dxa"/>
            <w:vAlign w:val="center"/>
          </w:tcPr>
          <w:p w14:paraId="6577B964"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Serial correlation</w:t>
            </w:r>
          </w:p>
        </w:tc>
        <w:tc>
          <w:tcPr>
            <w:tcW w:w="1980" w:type="dxa"/>
            <w:vAlign w:val="center"/>
          </w:tcPr>
          <w:p w14:paraId="3D101FF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0.116(Prob. 0.963)</w:t>
            </w:r>
          </w:p>
        </w:tc>
        <w:tc>
          <w:tcPr>
            <w:tcW w:w="3150" w:type="dxa"/>
            <w:vAlign w:val="center"/>
          </w:tcPr>
          <w:p w14:paraId="2EA85E5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 serial correlation exist</w:t>
            </w:r>
          </w:p>
        </w:tc>
      </w:tr>
      <w:tr w:rsidR="006A3613" w:rsidRPr="00562062" w14:paraId="4B39258E" w14:textId="77777777" w:rsidTr="00373CF8">
        <w:tc>
          <w:tcPr>
            <w:tcW w:w="2515" w:type="dxa"/>
            <w:vAlign w:val="center"/>
          </w:tcPr>
          <w:p w14:paraId="5D8723C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Ramsey RESET test</w:t>
            </w:r>
          </w:p>
        </w:tc>
        <w:tc>
          <w:tcPr>
            <w:tcW w:w="2160" w:type="dxa"/>
            <w:vAlign w:val="center"/>
          </w:tcPr>
          <w:p w14:paraId="24759A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specification</w:t>
            </w:r>
          </w:p>
        </w:tc>
        <w:tc>
          <w:tcPr>
            <w:tcW w:w="1980" w:type="dxa"/>
            <w:vAlign w:val="center"/>
          </w:tcPr>
          <w:p w14:paraId="4EB087C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2.871(Prob. 0.187)</w:t>
            </w:r>
          </w:p>
        </w:tc>
        <w:tc>
          <w:tcPr>
            <w:tcW w:w="3150" w:type="dxa"/>
            <w:vAlign w:val="center"/>
          </w:tcPr>
          <w:p w14:paraId="6556BA6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is correctly specified</w:t>
            </w:r>
          </w:p>
        </w:tc>
      </w:tr>
      <w:tr w:rsidR="006A3613" w:rsidRPr="00562062" w14:paraId="771CA0FC" w14:textId="77777777" w:rsidTr="00373CF8">
        <w:tc>
          <w:tcPr>
            <w:tcW w:w="2515" w:type="dxa"/>
            <w:vAlign w:val="center"/>
          </w:tcPr>
          <w:p w14:paraId="6A629E4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Jarque–Bera</w:t>
            </w:r>
          </w:p>
        </w:tc>
        <w:tc>
          <w:tcPr>
            <w:tcW w:w="2160" w:type="dxa"/>
            <w:vAlign w:val="center"/>
          </w:tcPr>
          <w:p w14:paraId="645E5CD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Normality</w:t>
            </w:r>
          </w:p>
        </w:tc>
        <w:tc>
          <w:tcPr>
            <w:tcW w:w="1980" w:type="dxa"/>
            <w:vAlign w:val="center"/>
          </w:tcPr>
          <w:p w14:paraId="131C582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0.743(Prob. 0.689)</w:t>
            </w:r>
          </w:p>
        </w:tc>
        <w:tc>
          <w:tcPr>
            <w:tcW w:w="3150" w:type="dxa"/>
            <w:vAlign w:val="center"/>
          </w:tcPr>
          <w:p w14:paraId="416FBFC4"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Residuals normally distributed</w:t>
            </w:r>
          </w:p>
        </w:tc>
      </w:tr>
      <w:tr w:rsidR="006A3613" w:rsidRPr="00562062" w14:paraId="2A47BF17" w14:textId="77777777" w:rsidTr="00373CF8">
        <w:tc>
          <w:tcPr>
            <w:tcW w:w="2515" w:type="dxa"/>
            <w:vAlign w:val="center"/>
          </w:tcPr>
          <w:p w14:paraId="2058DB2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CUSUM</w:t>
            </w:r>
          </w:p>
        </w:tc>
        <w:tc>
          <w:tcPr>
            <w:tcW w:w="2160" w:type="dxa"/>
            <w:vAlign w:val="center"/>
          </w:tcPr>
          <w:p w14:paraId="0BDB7D4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Parameter Stability</w:t>
            </w:r>
          </w:p>
        </w:tc>
        <w:tc>
          <w:tcPr>
            <w:tcW w:w="1980" w:type="dxa"/>
            <w:vAlign w:val="center"/>
          </w:tcPr>
          <w:p w14:paraId="7E628D32" w14:textId="77777777" w:rsidR="006A3613" w:rsidRPr="00562062" w:rsidRDefault="006A3613" w:rsidP="00373CF8">
            <w:pPr>
              <w:jc w:val="center"/>
              <w:rPr>
                <w:rFonts w:ascii="Arial" w:eastAsia="Times New Roman" w:hAnsi="Arial" w:cs="Arial"/>
                <w:sz w:val="20"/>
                <w:szCs w:val="20"/>
                <w:lang w:val="en-IN"/>
              </w:rPr>
            </w:pPr>
          </w:p>
        </w:tc>
        <w:tc>
          <w:tcPr>
            <w:tcW w:w="3150" w:type="dxa"/>
            <w:vAlign w:val="center"/>
          </w:tcPr>
          <w:p w14:paraId="25CFA70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is stable</w:t>
            </w:r>
          </w:p>
        </w:tc>
      </w:tr>
      <w:tr w:rsidR="006A3613" w:rsidRPr="00562062" w14:paraId="46A8F1A9" w14:textId="77777777" w:rsidTr="00373CF8">
        <w:tc>
          <w:tcPr>
            <w:tcW w:w="2515" w:type="dxa"/>
            <w:vAlign w:val="center"/>
          </w:tcPr>
          <w:p w14:paraId="1D7A9F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CUSUMSQ</w:t>
            </w:r>
          </w:p>
        </w:tc>
        <w:tc>
          <w:tcPr>
            <w:tcW w:w="2160" w:type="dxa"/>
            <w:vAlign w:val="center"/>
          </w:tcPr>
          <w:p w14:paraId="04415E2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Parameter Stability</w:t>
            </w:r>
          </w:p>
        </w:tc>
        <w:tc>
          <w:tcPr>
            <w:tcW w:w="1980" w:type="dxa"/>
            <w:vAlign w:val="center"/>
          </w:tcPr>
          <w:p w14:paraId="5AC4BE33" w14:textId="77777777" w:rsidR="006A3613" w:rsidRPr="00562062" w:rsidRDefault="006A3613" w:rsidP="00373CF8">
            <w:pPr>
              <w:jc w:val="center"/>
              <w:rPr>
                <w:rFonts w:ascii="Arial" w:eastAsia="Times New Roman" w:hAnsi="Arial" w:cs="Arial"/>
                <w:sz w:val="20"/>
                <w:szCs w:val="20"/>
                <w:lang w:val="en-IN"/>
              </w:rPr>
            </w:pPr>
          </w:p>
        </w:tc>
        <w:tc>
          <w:tcPr>
            <w:tcW w:w="3150" w:type="dxa"/>
            <w:vAlign w:val="center"/>
          </w:tcPr>
          <w:p w14:paraId="48C19CC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is stable</w:t>
            </w:r>
          </w:p>
        </w:tc>
      </w:tr>
    </w:tbl>
    <w:p w14:paraId="76BB1E36" w14:textId="77777777" w:rsidR="00790ADA" w:rsidRPr="00562062" w:rsidRDefault="00790ADA" w:rsidP="00441B6F">
      <w:pPr>
        <w:pStyle w:val="Body"/>
        <w:spacing w:after="0"/>
        <w:rPr>
          <w:rFonts w:ascii="Arial" w:hAnsi="Arial" w:cs="Arial"/>
        </w:rPr>
      </w:pPr>
    </w:p>
    <w:p w14:paraId="163AAB21" w14:textId="77777777" w:rsidR="00790ADA" w:rsidRPr="00562062" w:rsidRDefault="00790ADA" w:rsidP="00441B6F">
      <w:pPr>
        <w:pStyle w:val="Body"/>
        <w:spacing w:after="0"/>
        <w:rPr>
          <w:rFonts w:ascii="Arial" w:hAnsi="Arial" w:cs="Arial"/>
        </w:rPr>
      </w:pPr>
    </w:p>
    <w:p w14:paraId="6151CB54" w14:textId="006188E0" w:rsidR="00690286" w:rsidRPr="00562062" w:rsidRDefault="00766E83" w:rsidP="00766E83">
      <w:pPr>
        <w:pStyle w:val="ConcHead"/>
        <w:spacing w:after="0"/>
        <w:jc w:val="center"/>
        <w:rPr>
          <w:rFonts w:ascii="Arial" w:hAnsi="Arial" w:cs="Arial"/>
        </w:rPr>
      </w:pPr>
      <w:r w:rsidRPr="00562062">
        <w:object w:dxaOrig="7216" w:dyaOrig="5115" w14:anchorId="0DFE4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1.65pt;height:227.7pt" o:ole="">
            <v:imagedata r:id="rId14" o:title=""/>
          </v:shape>
          <o:OLEObject Type="Embed" ProgID="EViews.Workfile.2" ShapeID="_x0000_i1026" DrawAspect="Content" ObjectID="_1818451512" r:id="rId15"/>
        </w:object>
      </w:r>
    </w:p>
    <w:p w14:paraId="25052FB8" w14:textId="77777777" w:rsidR="00690286" w:rsidRPr="00562062" w:rsidRDefault="00690286" w:rsidP="00441B6F">
      <w:pPr>
        <w:pStyle w:val="ConcHead"/>
        <w:spacing w:after="0"/>
        <w:jc w:val="both"/>
        <w:rPr>
          <w:rFonts w:ascii="Arial" w:hAnsi="Arial" w:cs="Arial"/>
        </w:rPr>
      </w:pPr>
    </w:p>
    <w:p w14:paraId="6FB73AD7" w14:textId="77777777" w:rsidR="00690286" w:rsidRPr="00562062" w:rsidRDefault="00690286" w:rsidP="00441B6F">
      <w:pPr>
        <w:pStyle w:val="ConcHead"/>
        <w:spacing w:after="0"/>
        <w:jc w:val="both"/>
        <w:rPr>
          <w:rFonts w:ascii="Arial" w:hAnsi="Arial" w:cs="Arial"/>
        </w:rPr>
      </w:pPr>
    </w:p>
    <w:p w14:paraId="3CE5CFCF" w14:textId="77777777" w:rsidR="00690286" w:rsidRPr="00562062" w:rsidRDefault="00690286" w:rsidP="00441B6F">
      <w:pPr>
        <w:pStyle w:val="ConcHead"/>
        <w:spacing w:after="0"/>
        <w:jc w:val="both"/>
        <w:rPr>
          <w:rFonts w:ascii="Arial" w:hAnsi="Arial" w:cs="Arial"/>
        </w:rPr>
      </w:pPr>
    </w:p>
    <w:p w14:paraId="3AE1CEDD" w14:textId="6DD9BCF9" w:rsidR="00690286" w:rsidRPr="00562062" w:rsidRDefault="00F5230C" w:rsidP="00F5230C">
      <w:pPr>
        <w:pStyle w:val="ConcHead"/>
        <w:spacing w:after="0"/>
        <w:jc w:val="center"/>
        <w:rPr>
          <w:rFonts w:ascii="Arial" w:hAnsi="Arial" w:cs="Arial"/>
        </w:rPr>
      </w:pPr>
      <w:r w:rsidRPr="00562062">
        <w:object w:dxaOrig="7275" w:dyaOrig="5115" w14:anchorId="5D8966CE">
          <v:shape id="_x0000_i1027" type="#_x0000_t75" style="width:327.75pt;height:230.05pt" o:ole="">
            <v:imagedata r:id="rId16" o:title=""/>
          </v:shape>
          <o:OLEObject Type="Embed" ProgID="EViews.Workfile.2" ShapeID="_x0000_i1027" DrawAspect="Content" ObjectID="_1818451513" r:id="rId17"/>
        </w:object>
      </w:r>
    </w:p>
    <w:p w14:paraId="03438ED6" w14:textId="77777777" w:rsidR="00690286" w:rsidRPr="00562062" w:rsidRDefault="00690286" w:rsidP="00441B6F">
      <w:pPr>
        <w:pStyle w:val="ConcHead"/>
        <w:spacing w:after="0"/>
        <w:jc w:val="both"/>
        <w:rPr>
          <w:rFonts w:ascii="Arial" w:hAnsi="Arial" w:cs="Arial"/>
        </w:rPr>
      </w:pPr>
    </w:p>
    <w:p w14:paraId="212AD918" w14:textId="77777777" w:rsidR="0015121C" w:rsidRPr="00562062" w:rsidRDefault="0015121C" w:rsidP="0015121C">
      <w:pPr>
        <w:jc w:val="center"/>
        <w:rPr>
          <w:rFonts w:ascii="Arial" w:hAnsi="Arial" w:cs="Arial"/>
          <w:lang w:val="en-IN"/>
        </w:rPr>
      </w:pPr>
      <w:r w:rsidRPr="00562062">
        <w:rPr>
          <w:rFonts w:ascii="Arial" w:hAnsi="Arial" w:cs="Arial"/>
          <w:lang w:val="en-IN"/>
        </w:rPr>
        <w:t>Figure 1: CUSUM and CUSUMSQ Results</w:t>
      </w:r>
    </w:p>
    <w:p w14:paraId="618BCC2F" w14:textId="77777777" w:rsidR="00690286" w:rsidRPr="00562062" w:rsidRDefault="00690286" w:rsidP="00441B6F">
      <w:pPr>
        <w:pStyle w:val="ConcHead"/>
        <w:spacing w:after="0"/>
        <w:jc w:val="both"/>
        <w:rPr>
          <w:rFonts w:ascii="Arial" w:hAnsi="Arial" w:cs="Arial"/>
        </w:rPr>
      </w:pPr>
    </w:p>
    <w:p w14:paraId="77E4B461" w14:textId="77777777" w:rsidR="00FA653F" w:rsidRPr="00562062" w:rsidRDefault="00FA653F" w:rsidP="00FA653F">
      <w:pPr>
        <w:rPr>
          <w:b/>
          <w:bCs/>
        </w:rPr>
      </w:pPr>
      <w:r w:rsidRPr="00562062">
        <w:rPr>
          <w:b/>
          <w:bCs/>
        </w:rPr>
        <w:t>4</w:t>
      </w:r>
      <w:r w:rsidRPr="00562062">
        <w:rPr>
          <w:rFonts w:ascii="Arial" w:hAnsi="Arial" w:cs="Arial"/>
          <w:b/>
          <w:bCs/>
          <w:sz w:val="22"/>
        </w:rPr>
        <w:t>.6 Robust analysis</w:t>
      </w:r>
    </w:p>
    <w:p w14:paraId="1BE8D8D6" w14:textId="77777777" w:rsidR="00FA653F" w:rsidRPr="00562062" w:rsidRDefault="00FA653F" w:rsidP="00FA653F">
      <w:pPr>
        <w:jc w:val="both"/>
        <w:rPr>
          <w:rFonts w:ascii="Arial" w:hAnsi="Arial" w:cs="Arial"/>
          <w:lang w:val="en-IN"/>
        </w:rPr>
      </w:pPr>
      <w:r w:rsidRPr="00562062">
        <w:rPr>
          <w:rFonts w:ascii="Arial" w:hAnsi="Arial" w:cs="Arial"/>
          <w:lang w:val="en-IN"/>
        </w:rPr>
        <w:t>The Johansen cointegration test results in Table 8 indicate the presence of multiple cointegrating relationships among the variables. Both the trace test and maximum eigenvalue test statistics at each rank (from "None" up to "At most 3") significantly exceed their corresponding critical values, with p-values effectively zero, thereby rejecting the null hypotheses of no cointegration. This outcome suggests that at least four cointegrating vectors exist, implying stable long-run equilibrium relationships among the included time series. Only at "At most 4" do test statistics fail to reject the null, indicating no further cointegration beyond this point. Thus, the results strongly support the existence of long-term associations among the variables.</w:t>
      </w:r>
    </w:p>
    <w:p w14:paraId="4ED35D49" w14:textId="77777777" w:rsidR="00FA653F" w:rsidRPr="00562062" w:rsidRDefault="00FA653F" w:rsidP="00FA653F">
      <w:pPr>
        <w:rPr>
          <w:rFonts w:ascii="Arial" w:hAnsi="Arial" w:cs="Arial"/>
          <w:b/>
          <w:bCs/>
          <w:lang w:val="en-IN"/>
        </w:rPr>
      </w:pPr>
      <w:r w:rsidRPr="00562062">
        <w:rPr>
          <w:rFonts w:ascii="Arial" w:hAnsi="Arial" w:cs="Arial"/>
          <w:b/>
          <w:bCs/>
          <w:lang w:val="en-IN"/>
        </w:rPr>
        <w:t>Table 8. Johansen cointegration test</w:t>
      </w:r>
    </w:p>
    <w:tbl>
      <w:tblPr>
        <w:tblStyle w:val="TableGrid"/>
        <w:tblW w:w="0" w:type="auto"/>
        <w:tblLook w:val="04A0" w:firstRow="1" w:lastRow="0" w:firstColumn="1" w:lastColumn="0" w:noHBand="0" w:noVBand="1"/>
      </w:tblPr>
      <w:tblGrid>
        <w:gridCol w:w="2254"/>
        <w:gridCol w:w="2254"/>
        <w:gridCol w:w="2254"/>
        <w:gridCol w:w="2254"/>
      </w:tblGrid>
      <w:tr w:rsidR="00FA653F" w:rsidRPr="00562062" w14:paraId="56E89DCE" w14:textId="77777777" w:rsidTr="00373CF8">
        <w:tc>
          <w:tcPr>
            <w:tcW w:w="2254" w:type="dxa"/>
            <w:vAlign w:val="center"/>
          </w:tcPr>
          <w:p w14:paraId="1DAEA7A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Hypothesis</w:t>
            </w:r>
          </w:p>
        </w:tc>
        <w:tc>
          <w:tcPr>
            <w:tcW w:w="2254" w:type="dxa"/>
            <w:vAlign w:val="center"/>
          </w:tcPr>
          <w:p w14:paraId="5062FF0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Test Statistic</w:t>
            </w:r>
          </w:p>
        </w:tc>
        <w:tc>
          <w:tcPr>
            <w:tcW w:w="2254" w:type="dxa"/>
            <w:vAlign w:val="center"/>
          </w:tcPr>
          <w:p w14:paraId="00DF447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Critical Value</w:t>
            </w:r>
          </w:p>
        </w:tc>
        <w:tc>
          <w:tcPr>
            <w:tcW w:w="2254" w:type="dxa"/>
            <w:vAlign w:val="center"/>
          </w:tcPr>
          <w:p w14:paraId="1052E35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P-value</w:t>
            </w:r>
          </w:p>
        </w:tc>
      </w:tr>
      <w:tr w:rsidR="00FA653F" w:rsidRPr="00562062" w14:paraId="5A93A8AD" w14:textId="77777777" w:rsidTr="00373CF8">
        <w:tc>
          <w:tcPr>
            <w:tcW w:w="2254" w:type="dxa"/>
            <w:vAlign w:val="center"/>
          </w:tcPr>
          <w:p w14:paraId="34FAD05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Trace test</w:t>
            </w:r>
          </w:p>
        </w:tc>
        <w:tc>
          <w:tcPr>
            <w:tcW w:w="2254" w:type="dxa"/>
            <w:vAlign w:val="center"/>
          </w:tcPr>
          <w:p w14:paraId="1516D247"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278DA445"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7FE3A090" w14:textId="77777777" w:rsidR="00FA653F" w:rsidRPr="00562062" w:rsidRDefault="00FA653F" w:rsidP="00373CF8">
            <w:pPr>
              <w:jc w:val="center"/>
              <w:rPr>
                <w:rFonts w:ascii="Arial" w:eastAsia="Times New Roman" w:hAnsi="Arial" w:cs="Arial"/>
                <w:sz w:val="20"/>
                <w:szCs w:val="20"/>
                <w:lang w:val="en-IN"/>
              </w:rPr>
            </w:pPr>
          </w:p>
        </w:tc>
      </w:tr>
      <w:tr w:rsidR="00FA653F" w:rsidRPr="00562062" w14:paraId="3DE68F5C" w14:textId="77777777" w:rsidTr="00373CF8">
        <w:tc>
          <w:tcPr>
            <w:tcW w:w="2254" w:type="dxa"/>
            <w:vAlign w:val="center"/>
          </w:tcPr>
          <w:p w14:paraId="6DBAD222"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None *</w:t>
            </w:r>
          </w:p>
        </w:tc>
        <w:tc>
          <w:tcPr>
            <w:tcW w:w="2254" w:type="dxa"/>
            <w:vAlign w:val="center"/>
          </w:tcPr>
          <w:p w14:paraId="331C41A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168.6051</w:t>
            </w:r>
          </w:p>
        </w:tc>
        <w:tc>
          <w:tcPr>
            <w:tcW w:w="2254" w:type="dxa"/>
            <w:vAlign w:val="center"/>
          </w:tcPr>
          <w:p w14:paraId="5E0FCC0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69.81889</w:t>
            </w:r>
          </w:p>
        </w:tc>
        <w:tc>
          <w:tcPr>
            <w:tcW w:w="2254" w:type="dxa"/>
            <w:vAlign w:val="center"/>
          </w:tcPr>
          <w:p w14:paraId="1F132E5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341C7E7C" w14:textId="77777777" w:rsidTr="00373CF8">
        <w:tc>
          <w:tcPr>
            <w:tcW w:w="2254" w:type="dxa"/>
            <w:vAlign w:val="center"/>
          </w:tcPr>
          <w:p w14:paraId="511693A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1 *</w:t>
            </w:r>
          </w:p>
        </w:tc>
        <w:tc>
          <w:tcPr>
            <w:tcW w:w="2254" w:type="dxa"/>
            <w:vAlign w:val="center"/>
          </w:tcPr>
          <w:p w14:paraId="6A2ABE8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108.3808</w:t>
            </w:r>
          </w:p>
        </w:tc>
        <w:tc>
          <w:tcPr>
            <w:tcW w:w="2254" w:type="dxa"/>
            <w:vAlign w:val="center"/>
          </w:tcPr>
          <w:p w14:paraId="04DC844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47.85613</w:t>
            </w:r>
          </w:p>
        </w:tc>
        <w:tc>
          <w:tcPr>
            <w:tcW w:w="2254" w:type="dxa"/>
            <w:vAlign w:val="center"/>
          </w:tcPr>
          <w:p w14:paraId="1ACC8BD1"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5A7186C0" w14:textId="77777777" w:rsidTr="00373CF8">
        <w:tc>
          <w:tcPr>
            <w:tcW w:w="2254" w:type="dxa"/>
            <w:vAlign w:val="center"/>
          </w:tcPr>
          <w:p w14:paraId="442D1F4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At most 2 *</w:t>
            </w:r>
          </w:p>
        </w:tc>
        <w:tc>
          <w:tcPr>
            <w:tcW w:w="2254" w:type="dxa"/>
            <w:vAlign w:val="center"/>
          </w:tcPr>
          <w:p w14:paraId="1216DF6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56.4658</w:t>
            </w:r>
          </w:p>
        </w:tc>
        <w:tc>
          <w:tcPr>
            <w:tcW w:w="2254" w:type="dxa"/>
            <w:vAlign w:val="center"/>
          </w:tcPr>
          <w:p w14:paraId="1284899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29.79707</w:t>
            </w:r>
          </w:p>
        </w:tc>
        <w:tc>
          <w:tcPr>
            <w:tcW w:w="2254" w:type="dxa"/>
            <w:vAlign w:val="center"/>
          </w:tcPr>
          <w:p w14:paraId="019F61A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6BF1B57D" w14:textId="77777777" w:rsidTr="00373CF8">
        <w:tc>
          <w:tcPr>
            <w:tcW w:w="2254" w:type="dxa"/>
            <w:vAlign w:val="center"/>
          </w:tcPr>
          <w:p w14:paraId="504B5A1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3 *</w:t>
            </w:r>
          </w:p>
        </w:tc>
        <w:tc>
          <w:tcPr>
            <w:tcW w:w="2254" w:type="dxa"/>
            <w:vAlign w:val="center"/>
          </w:tcPr>
          <w:p w14:paraId="75CC816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24.96804</w:t>
            </w:r>
          </w:p>
        </w:tc>
        <w:tc>
          <w:tcPr>
            <w:tcW w:w="2254" w:type="dxa"/>
            <w:vAlign w:val="center"/>
          </w:tcPr>
          <w:p w14:paraId="418CD36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15.49471</w:t>
            </w:r>
          </w:p>
        </w:tc>
        <w:tc>
          <w:tcPr>
            <w:tcW w:w="2254" w:type="dxa"/>
            <w:vAlign w:val="center"/>
          </w:tcPr>
          <w:p w14:paraId="529652C2"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0.00140</w:t>
            </w:r>
          </w:p>
        </w:tc>
      </w:tr>
      <w:tr w:rsidR="00FA653F" w:rsidRPr="00562062" w14:paraId="30FAAA3A" w14:textId="77777777" w:rsidTr="00373CF8">
        <w:tc>
          <w:tcPr>
            <w:tcW w:w="2254" w:type="dxa"/>
            <w:vAlign w:val="center"/>
          </w:tcPr>
          <w:p w14:paraId="32CC7485"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4</w:t>
            </w:r>
          </w:p>
        </w:tc>
        <w:tc>
          <w:tcPr>
            <w:tcW w:w="2254" w:type="dxa"/>
            <w:vAlign w:val="center"/>
          </w:tcPr>
          <w:p w14:paraId="689EF2B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0.007883</w:t>
            </w:r>
          </w:p>
        </w:tc>
        <w:tc>
          <w:tcPr>
            <w:tcW w:w="2254" w:type="dxa"/>
            <w:vAlign w:val="center"/>
          </w:tcPr>
          <w:p w14:paraId="34D380D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3.841466</w:t>
            </w:r>
          </w:p>
        </w:tc>
        <w:tc>
          <w:tcPr>
            <w:tcW w:w="2254" w:type="dxa"/>
            <w:vAlign w:val="center"/>
          </w:tcPr>
          <w:p w14:paraId="3101E6A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0.92880</w:t>
            </w:r>
          </w:p>
        </w:tc>
      </w:tr>
      <w:tr w:rsidR="00FA653F" w:rsidRPr="00562062" w14:paraId="2318E7AA" w14:textId="77777777" w:rsidTr="00373CF8">
        <w:tc>
          <w:tcPr>
            <w:tcW w:w="2254" w:type="dxa"/>
            <w:vAlign w:val="center"/>
          </w:tcPr>
          <w:p w14:paraId="1B613BD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Maximum eigenvalue</w:t>
            </w:r>
          </w:p>
        </w:tc>
        <w:tc>
          <w:tcPr>
            <w:tcW w:w="2254" w:type="dxa"/>
            <w:vAlign w:val="center"/>
          </w:tcPr>
          <w:p w14:paraId="7C40F5CD"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6322A5BE"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433D55FF" w14:textId="77777777" w:rsidR="00FA653F" w:rsidRPr="00562062" w:rsidRDefault="00FA653F" w:rsidP="00373CF8">
            <w:pPr>
              <w:jc w:val="center"/>
              <w:rPr>
                <w:rFonts w:ascii="Arial" w:eastAsia="Times New Roman" w:hAnsi="Arial" w:cs="Arial"/>
                <w:sz w:val="20"/>
                <w:szCs w:val="20"/>
                <w:lang w:val="en-IN"/>
              </w:rPr>
            </w:pPr>
          </w:p>
        </w:tc>
      </w:tr>
      <w:tr w:rsidR="00FA653F" w:rsidRPr="00562062" w14:paraId="3B63BE14" w14:textId="77777777" w:rsidTr="00373CF8">
        <w:tc>
          <w:tcPr>
            <w:tcW w:w="2254" w:type="dxa"/>
            <w:vAlign w:val="center"/>
          </w:tcPr>
          <w:p w14:paraId="0D7C17F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None *</w:t>
            </w:r>
          </w:p>
        </w:tc>
        <w:tc>
          <w:tcPr>
            <w:tcW w:w="2254" w:type="dxa"/>
            <w:vAlign w:val="center"/>
          </w:tcPr>
          <w:p w14:paraId="6CAF07F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60.22436</w:t>
            </w:r>
          </w:p>
        </w:tc>
        <w:tc>
          <w:tcPr>
            <w:tcW w:w="2254" w:type="dxa"/>
            <w:vAlign w:val="center"/>
          </w:tcPr>
          <w:p w14:paraId="11D2386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33.87687</w:t>
            </w:r>
          </w:p>
        </w:tc>
        <w:tc>
          <w:tcPr>
            <w:tcW w:w="2254" w:type="dxa"/>
            <w:vAlign w:val="center"/>
          </w:tcPr>
          <w:p w14:paraId="48CB540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4DE02C02" w14:textId="77777777" w:rsidTr="00373CF8">
        <w:tc>
          <w:tcPr>
            <w:tcW w:w="2254" w:type="dxa"/>
            <w:vAlign w:val="center"/>
          </w:tcPr>
          <w:p w14:paraId="7C7FD2D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1 *</w:t>
            </w:r>
          </w:p>
        </w:tc>
        <w:tc>
          <w:tcPr>
            <w:tcW w:w="2254" w:type="dxa"/>
            <w:vAlign w:val="center"/>
          </w:tcPr>
          <w:p w14:paraId="4EC775B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51.91497</w:t>
            </w:r>
          </w:p>
        </w:tc>
        <w:tc>
          <w:tcPr>
            <w:tcW w:w="2254" w:type="dxa"/>
            <w:vAlign w:val="center"/>
          </w:tcPr>
          <w:p w14:paraId="54FAD227"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27.58434</w:t>
            </w:r>
          </w:p>
        </w:tc>
        <w:tc>
          <w:tcPr>
            <w:tcW w:w="2254" w:type="dxa"/>
            <w:vAlign w:val="center"/>
          </w:tcPr>
          <w:p w14:paraId="355D0D9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6FBFA8BC" w14:textId="77777777" w:rsidTr="00373CF8">
        <w:tc>
          <w:tcPr>
            <w:tcW w:w="2254" w:type="dxa"/>
            <w:vAlign w:val="center"/>
          </w:tcPr>
          <w:p w14:paraId="2C0518C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2 *</w:t>
            </w:r>
          </w:p>
        </w:tc>
        <w:tc>
          <w:tcPr>
            <w:tcW w:w="2254" w:type="dxa"/>
            <w:vAlign w:val="center"/>
          </w:tcPr>
          <w:p w14:paraId="5A93574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31.49777</w:t>
            </w:r>
          </w:p>
        </w:tc>
        <w:tc>
          <w:tcPr>
            <w:tcW w:w="2254" w:type="dxa"/>
            <w:vAlign w:val="center"/>
          </w:tcPr>
          <w:p w14:paraId="61888E0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21.13162</w:t>
            </w:r>
          </w:p>
        </w:tc>
        <w:tc>
          <w:tcPr>
            <w:tcW w:w="2254" w:type="dxa"/>
            <w:vAlign w:val="center"/>
          </w:tcPr>
          <w:p w14:paraId="4EBE25D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0.00120</w:t>
            </w:r>
          </w:p>
        </w:tc>
      </w:tr>
      <w:tr w:rsidR="00FA653F" w:rsidRPr="00562062" w14:paraId="14F3FB67" w14:textId="77777777" w:rsidTr="00373CF8">
        <w:tc>
          <w:tcPr>
            <w:tcW w:w="2254" w:type="dxa"/>
            <w:vAlign w:val="center"/>
          </w:tcPr>
          <w:p w14:paraId="26B9348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3 *</w:t>
            </w:r>
          </w:p>
        </w:tc>
        <w:tc>
          <w:tcPr>
            <w:tcW w:w="2254" w:type="dxa"/>
            <w:vAlign w:val="center"/>
          </w:tcPr>
          <w:p w14:paraId="2A1FE44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24.96015</w:t>
            </w:r>
          </w:p>
        </w:tc>
        <w:tc>
          <w:tcPr>
            <w:tcW w:w="2254" w:type="dxa"/>
            <w:vAlign w:val="center"/>
          </w:tcPr>
          <w:p w14:paraId="2484253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14.2646</w:t>
            </w:r>
          </w:p>
        </w:tc>
        <w:tc>
          <w:tcPr>
            <w:tcW w:w="2254" w:type="dxa"/>
            <w:vAlign w:val="center"/>
          </w:tcPr>
          <w:p w14:paraId="7C95ABFD"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0.00070</w:t>
            </w:r>
          </w:p>
        </w:tc>
      </w:tr>
      <w:tr w:rsidR="00FA653F" w:rsidRPr="00562062" w14:paraId="242590A1" w14:textId="77777777" w:rsidTr="00373CF8">
        <w:tc>
          <w:tcPr>
            <w:tcW w:w="2254" w:type="dxa"/>
            <w:vAlign w:val="center"/>
          </w:tcPr>
          <w:p w14:paraId="6F0066D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4</w:t>
            </w:r>
          </w:p>
        </w:tc>
        <w:tc>
          <w:tcPr>
            <w:tcW w:w="2254" w:type="dxa"/>
            <w:vAlign w:val="center"/>
          </w:tcPr>
          <w:p w14:paraId="7D776BA6"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0.007883</w:t>
            </w:r>
          </w:p>
        </w:tc>
        <w:tc>
          <w:tcPr>
            <w:tcW w:w="2254" w:type="dxa"/>
            <w:vAlign w:val="center"/>
          </w:tcPr>
          <w:p w14:paraId="6969BC35"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3.841466</w:t>
            </w:r>
          </w:p>
        </w:tc>
        <w:tc>
          <w:tcPr>
            <w:tcW w:w="2254" w:type="dxa"/>
            <w:vAlign w:val="center"/>
          </w:tcPr>
          <w:p w14:paraId="186635A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0.92880</w:t>
            </w:r>
          </w:p>
        </w:tc>
      </w:tr>
    </w:tbl>
    <w:p w14:paraId="502A2A1C" w14:textId="77777777" w:rsidR="00FA653F" w:rsidRPr="00562062" w:rsidRDefault="00FA653F" w:rsidP="00FA653F">
      <w:pPr>
        <w:rPr>
          <w:rFonts w:ascii="Arial" w:hAnsi="Arial" w:cs="Arial"/>
          <w:lang w:val="en-IN"/>
        </w:rPr>
      </w:pPr>
    </w:p>
    <w:p w14:paraId="7C9E41CB" w14:textId="5F64EA24" w:rsidR="00FA653F" w:rsidRPr="00562062" w:rsidRDefault="00FA653F" w:rsidP="00FA653F">
      <w:pPr>
        <w:jc w:val="both"/>
        <w:rPr>
          <w:rFonts w:ascii="Arial" w:hAnsi="Arial" w:cs="Arial"/>
          <w:lang w:val="en-IN"/>
        </w:rPr>
      </w:pPr>
      <w:r w:rsidRPr="00562062">
        <w:rPr>
          <w:rFonts w:ascii="Arial" w:hAnsi="Arial" w:cs="Arial"/>
          <w:lang w:val="en-IN"/>
        </w:rPr>
        <w:t xml:space="preserve">The Dynamic Ordinary Least Squares (DOLS) estimator is employed as a robustness check to verify the accuracy and reliability of the long-run coefficients obtained from the primary ARDL model. The results in Table 9 strongly corroborate the core findings of the ARDL model. Crucially, DOLS results provide decisive evidence for globalization's significant mitigating effect on emissions and statistically confirming the negative relationship that was inconclusively identified by the ARDL estimator. Most importantly, this estimator reinforces that renewable energy does indeed have a significant and negative impact on emissions. Furthermore, the DOLS estimator </w:t>
      </w:r>
      <w:r w:rsidRPr="00720037">
        <w:rPr>
          <w:rFonts w:ascii="Arial" w:hAnsi="Arial" w:cs="Arial"/>
          <w:lang w:val="en-IN"/>
        </w:rPr>
        <w:t xml:space="preserve">provides </w:t>
      </w:r>
      <w:r w:rsidR="00177409" w:rsidRPr="00720037">
        <w:rPr>
          <w:rFonts w:ascii="Arial" w:hAnsi="Arial" w:cs="Arial"/>
          <w:lang w:val="en-IN"/>
        </w:rPr>
        <w:t>further evidence consistent with the Environmental Kuznets Curve (EKC) hypothesis in India</w:t>
      </w:r>
      <w:r w:rsidRPr="00720037">
        <w:rPr>
          <w:rFonts w:ascii="Arial" w:hAnsi="Arial" w:cs="Arial"/>
          <w:lang w:val="en-IN"/>
        </w:rPr>
        <w:t>, as indicated</w:t>
      </w:r>
      <w:r w:rsidRPr="00562062">
        <w:rPr>
          <w:rFonts w:ascii="Arial" w:hAnsi="Arial" w:cs="Arial"/>
          <w:lang w:val="en-IN"/>
        </w:rPr>
        <w:t xml:space="preserve"> by a statistically significant positive coefficient for economic growth and a negative coefficient for its square. This pattern confirms an inverted U-shaped relationship between income and environmental degradation.</w:t>
      </w:r>
    </w:p>
    <w:p w14:paraId="5E4F0FD7" w14:textId="77777777" w:rsidR="00FA653F" w:rsidRPr="00562062" w:rsidRDefault="00FA653F" w:rsidP="00FA653F">
      <w:pPr>
        <w:rPr>
          <w:rFonts w:ascii="Arial" w:hAnsi="Arial" w:cs="Arial"/>
          <w:b/>
          <w:bCs/>
          <w:lang w:val="en-IN"/>
        </w:rPr>
      </w:pPr>
      <w:r w:rsidRPr="00562062">
        <w:rPr>
          <w:rFonts w:ascii="Arial" w:hAnsi="Arial" w:cs="Arial"/>
          <w:b/>
          <w:bCs/>
          <w:lang w:val="en-IN"/>
        </w:rPr>
        <w:t>Table 9. Dynamic ordinary least square (DOLS)</w:t>
      </w:r>
    </w:p>
    <w:tbl>
      <w:tblPr>
        <w:tblStyle w:val="TableGrid"/>
        <w:tblW w:w="5000" w:type="pct"/>
        <w:tblLook w:val="04A0" w:firstRow="1" w:lastRow="0" w:firstColumn="1" w:lastColumn="0" w:noHBand="0" w:noVBand="1"/>
      </w:tblPr>
      <w:tblGrid>
        <w:gridCol w:w="2271"/>
        <w:gridCol w:w="2631"/>
        <w:gridCol w:w="2082"/>
        <w:gridCol w:w="2082"/>
        <w:gridCol w:w="1950"/>
      </w:tblGrid>
      <w:tr w:rsidR="00FA653F" w:rsidRPr="00562062" w14:paraId="66EAA917" w14:textId="77777777" w:rsidTr="00373CF8">
        <w:trPr>
          <w:trHeight w:val="300"/>
        </w:trPr>
        <w:tc>
          <w:tcPr>
            <w:tcW w:w="1031" w:type="pct"/>
            <w:noWrap/>
            <w:vAlign w:val="center"/>
            <w:hideMark/>
          </w:tcPr>
          <w:p w14:paraId="1A1F9821"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Variable</w:t>
            </w:r>
          </w:p>
        </w:tc>
        <w:tc>
          <w:tcPr>
            <w:tcW w:w="1194" w:type="pct"/>
            <w:noWrap/>
            <w:vAlign w:val="center"/>
            <w:hideMark/>
          </w:tcPr>
          <w:p w14:paraId="491BE87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Coefficient</w:t>
            </w:r>
          </w:p>
        </w:tc>
        <w:tc>
          <w:tcPr>
            <w:tcW w:w="945" w:type="pct"/>
            <w:noWrap/>
            <w:vAlign w:val="center"/>
            <w:hideMark/>
          </w:tcPr>
          <w:p w14:paraId="4EB27CE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Std. Error</w:t>
            </w:r>
          </w:p>
        </w:tc>
        <w:tc>
          <w:tcPr>
            <w:tcW w:w="945" w:type="pct"/>
            <w:noWrap/>
            <w:vAlign w:val="center"/>
            <w:hideMark/>
          </w:tcPr>
          <w:p w14:paraId="306E183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t-Statistic</w:t>
            </w:r>
          </w:p>
        </w:tc>
        <w:tc>
          <w:tcPr>
            <w:tcW w:w="886" w:type="pct"/>
            <w:noWrap/>
            <w:vAlign w:val="center"/>
            <w:hideMark/>
          </w:tcPr>
          <w:p w14:paraId="0AA494B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w:t>
            </w:r>
          </w:p>
        </w:tc>
      </w:tr>
      <w:tr w:rsidR="00FA653F" w:rsidRPr="00562062" w14:paraId="61DFA9D8" w14:textId="77777777" w:rsidTr="00373CF8">
        <w:trPr>
          <w:trHeight w:val="300"/>
        </w:trPr>
        <w:tc>
          <w:tcPr>
            <w:tcW w:w="1031" w:type="pct"/>
            <w:noWrap/>
            <w:vAlign w:val="center"/>
            <w:hideMark/>
          </w:tcPr>
          <w:p w14:paraId="5365CB6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LGLOB</w:t>
            </w:r>
          </w:p>
        </w:tc>
        <w:tc>
          <w:tcPr>
            <w:tcW w:w="1194" w:type="pct"/>
            <w:noWrap/>
            <w:vAlign w:val="center"/>
            <w:hideMark/>
          </w:tcPr>
          <w:p w14:paraId="0339AF9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-2.285635</w:t>
            </w:r>
          </w:p>
        </w:tc>
        <w:tc>
          <w:tcPr>
            <w:tcW w:w="945" w:type="pct"/>
            <w:noWrap/>
            <w:vAlign w:val="center"/>
            <w:hideMark/>
          </w:tcPr>
          <w:p w14:paraId="57115CDD"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0.95891</w:t>
            </w:r>
          </w:p>
        </w:tc>
        <w:tc>
          <w:tcPr>
            <w:tcW w:w="945" w:type="pct"/>
            <w:noWrap/>
            <w:vAlign w:val="center"/>
            <w:hideMark/>
          </w:tcPr>
          <w:p w14:paraId="5024688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-2.38358</w:t>
            </w:r>
          </w:p>
        </w:tc>
        <w:tc>
          <w:tcPr>
            <w:tcW w:w="886" w:type="pct"/>
            <w:noWrap/>
            <w:vAlign w:val="center"/>
            <w:hideMark/>
          </w:tcPr>
          <w:p w14:paraId="1FCBA0A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0.0486</w:t>
            </w:r>
          </w:p>
        </w:tc>
      </w:tr>
      <w:tr w:rsidR="00FA653F" w:rsidRPr="00562062" w14:paraId="59BE1203" w14:textId="77777777" w:rsidTr="00373CF8">
        <w:trPr>
          <w:trHeight w:val="300"/>
        </w:trPr>
        <w:tc>
          <w:tcPr>
            <w:tcW w:w="1031" w:type="pct"/>
            <w:noWrap/>
            <w:vAlign w:val="center"/>
            <w:hideMark/>
          </w:tcPr>
          <w:p w14:paraId="5C83A89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LRE</w:t>
            </w:r>
          </w:p>
        </w:tc>
        <w:tc>
          <w:tcPr>
            <w:tcW w:w="1194" w:type="pct"/>
            <w:noWrap/>
            <w:vAlign w:val="center"/>
            <w:hideMark/>
          </w:tcPr>
          <w:p w14:paraId="41E8BDD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-1.422172</w:t>
            </w:r>
          </w:p>
        </w:tc>
        <w:tc>
          <w:tcPr>
            <w:tcW w:w="945" w:type="pct"/>
            <w:noWrap/>
            <w:vAlign w:val="center"/>
            <w:hideMark/>
          </w:tcPr>
          <w:p w14:paraId="18C7D865"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0.521976</w:t>
            </w:r>
          </w:p>
        </w:tc>
        <w:tc>
          <w:tcPr>
            <w:tcW w:w="945" w:type="pct"/>
            <w:noWrap/>
            <w:vAlign w:val="center"/>
            <w:hideMark/>
          </w:tcPr>
          <w:p w14:paraId="45C554C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-2.72459</w:t>
            </w:r>
          </w:p>
        </w:tc>
        <w:tc>
          <w:tcPr>
            <w:tcW w:w="886" w:type="pct"/>
            <w:noWrap/>
            <w:vAlign w:val="center"/>
            <w:hideMark/>
          </w:tcPr>
          <w:p w14:paraId="3E518DE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0.0296</w:t>
            </w:r>
          </w:p>
        </w:tc>
      </w:tr>
      <w:tr w:rsidR="00FA653F" w:rsidRPr="00562062" w14:paraId="0E4383F5" w14:textId="77777777" w:rsidTr="00373CF8">
        <w:trPr>
          <w:trHeight w:val="300"/>
        </w:trPr>
        <w:tc>
          <w:tcPr>
            <w:tcW w:w="1031" w:type="pct"/>
            <w:noWrap/>
            <w:vAlign w:val="center"/>
            <w:hideMark/>
          </w:tcPr>
          <w:p w14:paraId="6BC5EC4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w:t>
            </w:r>
          </w:p>
        </w:tc>
        <w:tc>
          <w:tcPr>
            <w:tcW w:w="1194" w:type="pct"/>
            <w:noWrap/>
            <w:vAlign w:val="center"/>
            <w:hideMark/>
          </w:tcPr>
          <w:p w14:paraId="23067547"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6.326188</w:t>
            </w:r>
          </w:p>
        </w:tc>
        <w:tc>
          <w:tcPr>
            <w:tcW w:w="945" w:type="pct"/>
            <w:noWrap/>
            <w:vAlign w:val="center"/>
            <w:hideMark/>
          </w:tcPr>
          <w:p w14:paraId="49CDE6A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2.14666</w:t>
            </w:r>
          </w:p>
        </w:tc>
        <w:tc>
          <w:tcPr>
            <w:tcW w:w="945" w:type="pct"/>
            <w:noWrap/>
            <w:vAlign w:val="center"/>
            <w:hideMark/>
          </w:tcPr>
          <w:p w14:paraId="7B1687E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2.946991</w:t>
            </w:r>
          </w:p>
        </w:tc>
        <w:tc>
          <w:tcPr>
            <w:tcW w:w="886" w:type="pct"/>
            <w:noWrap/>
            <w:vAlign w:val="center"/>
            <w:hideMark/>
          </w:tcPr>
          <w:p w14:paraId="2A68B70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0.0215</w:t>
            </w:r>
          </w:p>
        </w:tc>
      </w:tr>
      <w:tr w:rsidR="00FA653F" w:rsidRPr="00562062" w14:paraId="2BAF01CD" w14:textId="77777777" w:rsidTr="00373CF8">
        <w:trPr>
          <w:trHeight w:val="300"/>
        </w:trPr>
        <w:tc>
          <w:tcPr>
            <w:tcW w:w="1031" w:type="pct"/>
            <w:noWrap/>
            <w:vAlign w:val="center"/>
            <w:hideMark/>
          </w:tcPr>
          <w:p w14:paraId="4F2A08B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LGDP2</w:t>
            </w:r>
          </w:p>
        </w:tc>
        <w:tc>
          <w:tcPr>
            <w:tcW w:w="1194" w:type="pct"/>
            <w:noWrap/>
            <w:vAlign w:val="center"/>
            <w:hideMark/>
          </w:tcPr>
          <w:p w14:paraId="1A9E70D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-0.349159</w:t>
            </w:r>
          </w:p>
        </w:tc>
        <w:tc>
          <w:tcPr>
            <w:tcW w:w="945" w:type="pct"/>
            <w:noWrap/>
            <w:vAlign w:val="center"/>
            <w:hideMark/>
          </w:tcPr>
          <w:p w14:paraId="4B5AA4D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0.140971</w:t>
            </w:r>
          </w:p>
        </w:tc>
        <w:tc>
          <w:tcPr>
            <w:tcW w:w="945" w:type="pct"/>
            <w:noWrap/>
            <w:vAlign w:val="center"/>
            <w:hideMark/>
          </w:tcPr>
          <w:p w14:paraId="6F72BEA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-2.47681</w:t>
            </w:r>
          </w:p>
        </w:tc>
        <w:tc>
          <w:tcPr>
            <w:tcW w:w="886" w:type="pct"/>
            <w:noWrap/>
            <w:vAlign w:val="center"/>
            <w:hideMark/>
          </w:tcPr>
          <w:p w14:paraId="20099BE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0.0424</w:t>
            </w:r>
          </w:p>
        </w:tc>
      </w:tr>
      <w:tr w:rsidR="00FA653F" w:rsidRPr="00562062" w14:paraId="2B57DB2F" w14:textId="77777777" w:rsidTr="00373CF8">
        <w:trPr>
          <w:trHeight w:val="300"/>
        </w:trPr>
        <w:tc>
          <w:tcPr>
            <w:tcW w:w="1031" w:type="pct"/>
            <w:noWrap/>
            <w:vAlign w:val="center"/>
            <w:hideMark/>
          </w:tcPr>
          <w:p w14:paraId="73E4EC3D"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w:t>
            </w:r>
          </w:p>
        </w:tc>
        <w:tc>
          <w:tcPr>
            <w:tcW w:w="1194" w:type="pct"/>
            <w:noWrap/>
            <w:vAlign w:val="center"/>
            <w:hideMark/>
          </w:tcPr>
          <w:p w14:paraId="3047C70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8.227</w:t>
            </w:r>
          </w:p>
        </w:tc>
        <w:tc>
          <w:tcPr>
            <w:tcW w:w="945" w:type="pct"/>
            <w:noWrap/>
            <w:vAlign w:val="center"/>
            <w:hideMark/>
          </w:tcPr>
          <w:p w14:paraId="4CAB8D3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3.315762</w:t>
            </w:r>
          </w:p>
        </w:tc>
        <w:tc>
          <w:tcPr>
            <w:tcW w:w="945" w:type="pct"/>
            <w:noWrap/>
            <w:vAlign w:val="center"/>
            <w:hideMark/>
          </w:tcPr>
          <w:p w14:paraId="6C566FB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2.48118</w:t>
            </w:r>
          </w:p>
        </w:tc>
        <w:tc>
          <w:tcPr>
            <w:tcW w:w="886" w:type="pct"/>
            <w:noWrap/>
            <w:vAlign w:val="center"/>
            <w:hideMark/>
          </w:tcPr>
          <w:p w14:paraId="4B08CAC6"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0.0421</w:t>
            </w:r>
          </w:p>
        </w:tc>
      </w:tr>
    </w:tbl>
    <w:p w14:paraId="3E032580" w14:textId="77777777" w:rsidR="00690286" w:rsidRPr="00562062" w:rsidRDefault="00690286" w:rsidP="00441B6F">
      <w:pPr>
        <w:pStyle w:val="ConcHead"/>
        <w:spacing w:after="0"/>
        <w:jc w:val="both"/>
        <w:rPr>
          <w:rFonts w:ascii="Arial" w:hAnsi="Arial" w:cs="Arial"/>
        </w:rPr>
      </w:pPr>
    </w:p>
    <w:p w14:paraId="16BE9A4C" w14:textId="77777777" w:rsidR="003D4846" w:rsidRPr="00562062" w:rsidRDefault="003D4846" w:rsidP="003D4846">
      <w:pPr>
        <w:rPr>
          <w:rFonts w:ascii="Arial" w:hAnsi="Arial" w:cs="Arial"/>
          <w:b/>
          <w:bCs/>
          <w:sz w:val="22"/>
        </w:rPr>
      </w:pPr>
      <w:r w:rsidRPr="00562062">
        <w:rPr>
          <w:rFonts w:ascii="Arial" w:hAnsi="Arial" w:cs="Arial"/>
          <w:b/>
          <w:bCs/>
          <w:sz w:val="22"/>
        </w:rPr>
        <w:t>4.7 Granger causality</w:t>
      </w:r>
    </w:p>
    <w:p w14:paraId="29320B8F" w14:textId="77777777" w:rsidR="003D4846" w:rsidRPr="00562062" w:rsidRDefault="003D4846" w:rsidP="003D4846">
      <w:pPr>
        <w:jc w:val="both"/>
        <w:rPr>
          <w:rFonts w:ascii="Arial" w:hAnsi="Arial" w:cs="Arial"/>
          <w:lang w:val="en-IN"/>
        </w:rPr>
      </w:pPr>
      <w:r w:rsidRPr="00562062">
        <w:rPr>
          <w:rFonts w:ascii="Arial" w:hAnsi="Arial" w:cs="Arial"/>
          <w:lang w:val="en-IN"/>
        </w:rPr>
        <w:t>The results of the long-run and short-run analyses successfully confirmed the relationships between the variables and validated the EKC hypothesis. They could not determine the direction of influence between them. To address this gap and understand the causal dynamics, a Granger causality test was employed to uncover the direction of causation among the key variables under study.</w:t>
      </w:r>
    </w:p>
    <w:p w14:paraId="7FF23E65" w14:textId="0D67C724" w:rsidR="003D4846" w:rsidRPr="00562062" w:rsidRDefault="003D4846" w:rsidP="003D4846">
      <w:pPr>
        <w:jc w:val="both"/>
        <w:rPr>
          <w:rFonts w:ascii="Arial" w:hAnsi="Arial" w:cs="Arial"/>
          <w:lang w:val="en-IN"/>
        </w:rPr>
      </w:pPr>
      <w:r w:rsidRPr="00562062">
        <w:rPr>
          <w:rFonts w:ascii="Arial" w:hAnsi="Arial" w:cs="Arial"/>
          <w:lang w:val="en-IN"/>
        </w:rPr>
        <w:t>The outcomes of the Pairwise Granger Causality Tests in Table</w:t>
      </w:r>
      <w:r w:rsidR="00725BBE" w:rsidRPr="00562062">
        <w:rPr>
          <w:rFonts w:ascii="Arial" w:hAnsi="Arial" w:cs="Arial"/>
          <w:lang w:val="en-IN"/>
        </w:rPr>
        <w:t xml:space="preserve"> 10</w:t>
      </w:r>
      <w:r w:rsidRPr="00562062">
        <w:rPr>
          <w:rFonts w:ascii="Arial" w:hAnsi="Arial" w:cs="Arial"/>
          <w:lang w:val="en-IN"/>
        </w:rPr>
        <w:t xml:space="preserve"> show limited evidence of causal relationships among the variables. Globalization (LGLOB) is found to Granger cause CO</w:t>
      </w:r>
      <w:r w:rsidRPr="00562062">
        <w:rPr>
          <w:rFonts w:ascii="Cambria Math" w:hAnsi="Cambria Math" w:cs="Cambria Math"/>
          <w:lang w:val="en-IN"/>
        </w:rPr>
        <w:t>₂</w:t>
      </w:r>
      <w:r w:rsidRPr="00562062">
        <w:rPr>
          <w:rFonts w:ascii="Arial" w:hAnsi="Arial" w:cs="Arial"/>
          <w:lang w:val="en-IN"/>
        </w:rPr>
        <w:t xml:space="preserve"> emissions (LCO) at the 5% significance level (p = 0.0414), but the reverse relationship is not significant, indicating a unidirectional causality from globalization to emissions. Similarly, globalization also Granger causes renewable energy (LRE) (p = 0.0135), while the opposite direction is insignificant. This unidirectional result suggest that globalization acts as a driver for changes in renewable energy adoption. For all other pairs, including GDP (LGDP), its squared term (LGDP²), and renewable energy with CO</w:t>
      </w:r>
      <w:r w:rsidRPr="00562062">
        <w:rPr>
          <w:rFonts w:ascii="Cambria Math" w:hAnsi="Cambria Math" w:cs="Cambria Math"/>
          <w:lang w:val="en-IN"/>
        </w:rPr>
        <w:t>₂</w:t>
      </w:r>
      <w:r w:rsidRPr="00562062">
        <w:rPr>
          <w:rFonts w:ascii="Arial" w:hAnsi="Arial" w:cs="Arial"/>
          <w:lang w:val="en-IN"/>
        </w:rPr>
        <w:t>, the null hypotheses could not be rejected, meaning no causal relationship exists in either direction. Overall, within this framework, globalization operates as an independent causal driver influencing both CO</w:t>
      </w:r>
      <w:r w:rsidRPr="00562062">
        <w:rPr>
          <w:rFonts w:ascii="Cambria Math" w:hAnsi="Cambria Math" w:cs="Cambria Math"/>
          <w:lang w:val="en-IN"/>
        </w:rPr>
        <w:t>₂</w:t>
      </w:r>
      <w:r w:rsidRPr="00562062">
        <w:rPr>
          <w:rFonts w:ascii="Arial" w:hAnsi="Arial" w:cs="Arial"/>
          <w:lang w:val="en-IN"/>
        </w:rPr>
        <w:t xml:space="preserve"> emissions and renewable energy composition, while economic growth and emissions do not exhibit predictive causality.</w:t>
      </w:r>
    </w:p>
    <w:p w14:paraId="0B50938B" w14:textId="6C321594" w:rsidR="003D4846" w:rsidRPr="00562062" w:rsidRDefault="003D4846" w:rsidP="003D4846">
      <w:pPr>
        <w:autoSpaceDE w:val="0"/>
        <w:autoSpaceDN w:val="0"/>
        <w:adjustRightInd w:val="0"/>
        <w:jc w:val="cente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10</w:t>
      </w:r>
      <w:r w:rsidRPr="00562062">
        <w:rPr>
          <w:rFonts w:ascii="Arial" w:hAnsi="Arial" w:cs="Arial"/>
          <w:b/>
          <w:bCs/>
          <w:lang w:val="en-IN"/>
        </w:rPr>
        <w:t>. Pairwise Granger Causality Tests</w:t>
      </w:r>
    </w:p>
    <w:tbl>
      <w:tblPr>
        <w:tblStyle w:val="TableGrid"/>
        <w:tblW w:w="0" w:type="auto"/>
        <w:jc w:val="center"/>
        <w:tblLayout w:type="fixed"/>
        <w:tblLook w:val="0000" w:firstRow="0" w:lastRow="0" w:firstColumn="0" w:lastColumn="0" w:noHBand="0" w:noVBand="0"/>
      </w:tblPr>
      <w:tblGrid>
        <w:gridCol w:w="3775"/>
        <w:gridCol w:w="1710"/>
        <w:gridCol w:w="1205"/>
      </w:tblGrid>
      <w:tr w:rsidR="003D4846" w:rsidRPr="00562062" w14:paraId="7DCB30F8" w14:textId="77777777" w:rsidTr="00373CF8">
        <w:trPr>
          <w:trHeight w:val="225"/>
          <w:jc w:val="center"/>
        </w:trPr>
        <w:tc>
          <w:tcPr>
            <w:tcW w:w="3775" w:type="dxa"/>
          </w:tcPr>
          <w:p w14:paraId="2D38EFDF"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Null Hypothesis:</w:t>
            </w:r>
          </w:p>
        </w:tc>
        <w:tc>
          <w:tcPr>
            <w:tcW w:w="1710" w:type="dxa"/>
          </w:tcPr>
          <w:p w14:paraId="7C571693"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F-Statistic</w:t>
            </w:r>
          </w:p>
        </w:tc>
        <w:tc>
          <w:tcPr>
            <w:tcW w:w="1205" w:type="dxa"/>
          </w:tcPr>
          <w:p w14:paraId="3409FA11"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Prob. </w:t>
            </w:r>
          </w:p>
        </w:tc>
      </w:tr>
      <w:tr w:rsidR="003D4846" w:rsidRPr="00562062" w14:paraId="0A3A7127" w14:textId="77777777" w:rsidTr="00373CF8">
        <w:trPr>
          <w:trHeight w:val="225"/>
          <w:jc w:val="center"/>
        </w:trPr>
        <w:tc>
          <w:tcPr>
            <w:tcW w:w="3775" w:type="dxa"/>
            <w:vAlign w:val="center"/>
          </w:tcPr>
          <w:p w14:paraId="77228F47"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LCO</w:t>
            </w:r>
          </w:p>
        </w:tc>
        <w:tc>
          <w:tcPr>
            <w:tcW w:w="1710" w:type="dxa"/>
          </w:tcPr>
          <w:p w14:paraId="03DF9A4C"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3.62643</w:t>
            </w:r>
          </w:p>
        </w:tc>
        <w:tc>
          <w:tcPr>
            <w:tcW w:w="1205" w:type="dxa"/>
          </w:tcPr>
          <w:p w14:paraId="342F00B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0.0414</w:t>
            </w:r>
          </w:p>
        </w:tc>
      </w:tr>
      <w:tr w:rsidR="003D4846" w:rsidRPr="00562062" w14:paraId="4DCA40DA" w14:textId="77777777" w:rsidTr="00373CF8">
        <w:trPr>
          <w:trHeight w:val="225"/>
          <w:jc w:val="center"/>
        </w:trPr>
        <w:tc>
          <w:tcPr>
            <w:tcW w:w="3775" w:type="dxa"/>
          </w:tcPr>
          <w:p w14:paraId="7F139964"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LGLOB</w:t>
            </w:r>
          </w:p>
        </w:tc>
        <w:tc>
          <w:tcPr>
            <w:tcW w:w="1710" w:type="dxa"/>
          </w:tcPr>
          <w:p w14:paraId="2DF08252"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0.54680</w:t>
            </w:r>
          </w:p>
        </w:tc>
        <w:tc>
          <w:tcPr>
            <w:tcW w:w="1205" w:type="dxa"/>
          </w:tcPr>
          <w:p w14:paraId="7EC45A54"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0.5856</w:t>
            </w:r>
          </w:p>
        </w:tc>
      </w:tr>
      <w:tr w:rsidR="003D4846" w:rsidRPr="00562062" w14:paraId="075BFF95" w14:textId="77777777" w:rsidTr="00373CF8">
        <w:trPr>
          <w:trHeight w:val="225"/>
          <w:jc w:val="center"/>
        </w:trPr>
        <w:tc>
          <w:tcPr>
            <w:tcW w:w="3775" w:type="dxa"/>
            <w:vAlign w:val="center"/>
          </w:tcPr>
          <w:p w14:paraId="6326BA3E"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LCO</w:t>
            </w:r>
          </w:p>
        </w:tc>
        <w:tc>
          <w:tcPr>
            <w:tcW w:w="1710" w:type="dxa"/>
          </w:tcPr>
          <w:p w14:paraId="5FC3CE90"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2.04578</w:t>
            </w:r>
          </w:p>
        </w:tc>
        <w:tc>
          <w:tcPr>
            <w:tcW w:w="1205" w:type="dxa"/>
          </w:tcPr>
          <w:p w14:paraId="75D855A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0.1504</w:t>
            </w:r>
          </w:p>
        </w:tc>
      </w:tr>
      <w:tr w:rsidR="003D4846" w:rsidRPr="00562062" w14:paraId="2FA098F6" w14:textId="77777777" w:rsidTr="00373CF8">
        <w:trPr>
          <w:trHeight w:val="225"/>
          <w:jc w:val="center"/>
        </w:trPr>
        <w:tc>
          <w:tcPr>
            <w:tcW w:w="3775" w:type="dxa"/>
          </w:tcPr>
          <w:p w14:paraId="6F68A4E8"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LRE</w:t>
            </w:r>
          </w:p>
        </w:tc>
        <w:tc>
          <w:tcPr>
            <w:tcW w:w="1710" w:type="dxa"/>
          </w:tcPr>
          <w:p w14:paraId="1C8B57D0"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0.77534</w:t>
            </w:r>
          </w:p>
        </w:tc>
        <w:tc>
          <w:tcPr>
            <w:tcW w:w="1205" w:type="dxa"/>
          </w:tcPr>
          <w:p w14:paraId="28B48009"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0.4713</w:t>
            </w:r>
          </w:p>
        </w:tc>
      </w:tr>
      <w:tr w:rsidR="003D4846" w:rsidRPr="00562062" w14:paraId="32D130C7" w14:textId="77777777" w:rsidTr="00373CF8">
        <w:trPr>
          <w:trHeight w:val="225"/>
          <w:jc w:val="center"/>
        </w:trPr>
        <w:tc>
          <w:tcPr>
            <w:tcW w:w="3775" w:type="dxa"/>
            <w:vAlign w:val="center"/>
          </w:tcPr>
          <w:p w14:paraId="3F18D7FB"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LCO</w:t>
            </w:r>
          </w:p>
        </w:tc>
        <w:tc>
          <w:tcPr>
            <w:tcW w:w="1710" w:type="dxa"/>
          </w:tcPr>
          <w:p w14:paraId="37227E05"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0.32565</w:t>
            </w:r>
          </w:p>
        </w:tc>
        <w:tc>
          <w:tcPr>
            <w:tcW w:w="1205" w:type="dxa"/>
          </w:tcPr>
          <w:p w14:paraId="4149446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0.7251</w:t>
            </w:r>
          </w:p>
        </w:tc>
      </w:tr>
      <w:tr w:rsidR="003D4846" w:rsidRPr="00562062" w14:paraId="6B51C1AA" w14:textId="77777777" w:rsidTr="00373CF8">
        <w:trPr>
          <w:trHeight w:val="225"/>
          <w:jc w:val="center"/>
        </w:trPr>
        <w:tc>
          <w:tcPr>
            <w:tcW w:w="3775" w:type="dxa"/>
          </w:tcPr>
          <w:p w14:paraId="1E491F95"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LGDP</w:t>
            </w:r>
          </w:p>
        </w:tc>
        <w:tc>
          <w:tcPr>
            <w:tcW w:w="1710" w:type="dxa"/>
          </w:tcPr>
          <w:p w14:paraId="764D5012"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0.22108</w:t>
            </w:r>
          </w:p>
        </w:tc>
        <w:tc>
          <w:tcPr>
            <w:tcW w:w="1205" w:type="dxa"/>
          </w:tcPr>
          <w:p w14:paraId="0F05C48B"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0.8032</w:t>
            </w:r>
          </w:p>
        </w:tc>
      </w:tr>
      <w:tr w:rsidR="003D4846" w:rsidRPr="00562062" w14:paraId="489CB7CF" w14:textId="77777777" w:rsidTr="00373CF8">
        <w:trPr>
          <w:trHeight w:val="225"/>
          <w:jc w:val="center"/>
        </w:trPr>
        <w:tc>
          <w:tcPr>
            <w:tcW w:w="3775" w:type="dxa"/>
            <w:vAlign w:val="center"/>
          </w:tcPr>
          <w:p w14:paraId="3A7F874D"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LGDP2 does not Granger Cause LCO</w:t>
            </w:r>
          </w:p>
        </w:tc>
        <w:tc>
          <w:tcPr>
            <w:tcW w:w="1710" w:type="dxa"/>
          </w:tcPr>
          <w:p w14:paraId="49766838"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0.02492</w:t>
            </w:r>
          </w:p>
        </w:tc>
        <w:tc>
          <w:tcPr>
            <w:tcW w:w="1205" w:type="dxa"/>
          </w:tcPr>
          <w:p w14:paraId="5E88FE9D"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0.9754</w:t>
            </w:r>
          </w:p>
        </w:tc>
      </w:tr>
      <w:tr w:rsidR="003D4846" w:rsidRPr="00562062" w14:paraId="155ACCF8" w14:textId="77777777" w:rsidTr="00373CF8">
        <w:trPr>
          <w:trHeight w:val="225"/>
          <w:jc w:val="center"/>
        </w:trPr>
        <w:tc>
          <w:tcPr>
            <w:tcW w:w="3775" w:type="dxa"/>
          </w:tcPr>
          <w:p w14:paraId="3F4453D2"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LGDP2</w:t>
            </w:r>
          </w:p>
        </w:tc>
        <w:tc>
          <w:tcPr>
            <w:tcW w:w="1710" w:type="dxa"/>
          </w:tcPr>
          <w:p w14:paraId="3B506E0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0.86291</w:t>
            </w:r>
          </w:p>
        </w:tc>
        <w:tc>
          <w:tcPr>
            <w:tcW w:w="1205" w:type="dxa"/>
          </w:tcPr>
          <w:p w14:paraId="179A4BCE"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0.4341</w:t>
            </w:r>
          </w:p>
        </w:tc>
      </w:tr>
      <w:tr w:rsidR="003D4846" w:rsidRPr="00562062" w14:paraId="6B3F959B" w14:textId="77777777" w:rsidTr="00373CF8">
        <w:trPr>
          <w:trHeight w:val="225"/>
          <w:jc w:val="center"/>
        </w:trPr>
        <w:tc>
          <w:tcPr>
            <w:tcW w:w="3775" w:type="dxa"/>
          </w:tcPr>
          <w:p w14:paraId="5776033C"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LGLOB</w:t>
            </w:r>
          </w:p>
        </w:tc>
        <w:tc>
          <w:tcPr>
            <w:tcW w:w="1710" w:type="dxa"/>
          </w:tcPr>
          <w:p w14:paraId="6566F707"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0.35406</w:t>
            </w:r>
          </w:p>
        </w:tc>
        <w:tc>
          <w:tcPr>
            <w:tcW w:w="1205" w:type="dxa"/>
          </w:tcPr>
          <w:p w14:paraId="3A1FA667"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0.7053</w:t>
            </w:r>
          </w:p>
        </w:tc>
      </w:tr>
      <w:tr w:rsidR="003D4846" w:rsidRPr="00562062" w14:paraId="6C87E2F6" w14:textId="77777777" w:rsidTr="00373CF8">
        <w:trPr>
          <w:trHeight w:val="225"/>
          <w:jc w:val="center"/>
        </w:trPr>
        <w:tc>
          <w:tcPr>
            <w:tcW w:w="3775" w:type="dxa"/>
          </w:tcPr>
          <w:p w14:paraId="015B537F"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LRE</w:t>
            </w:r>
          </w:p>
        </w:tc>
        <w:tc>
          <w:tcPr>
            <w:tcW w:w="1710" w:type="dxa"/>
          </w:tcPr>
          <w:p w14:paraId="279EF01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5.14173</w:t>
            </w:r>
          </w:p>
        </w:tc>
        <w:tc>
          <w:tcPr>
            <w:tcW w:w="1205" w:type="dxa"/>
          </w:tcPr>
          <w:p w14:paraId="176DDB6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0.0135</w:t>
            </w:r>
          </w:p>
        </w:tc>
      </w:tr>
      <w:tr w:rsidR="003D4846" w:rsidRPr="00562062" w14:paraId="35332D78" w14:textId="77777777" w:rsidTr="00373CF8">
        <w:trPr>
          <w:trHeight w:val="225"/>
          <w:jc w:val="center"/>
        </w:trPr>
        <w:tc>
          <w:tcPr>
            <w:tcW w:w="3775" w:type="dxa"/>
          </w:tcPr>
          <w:p w14:paraId="341AF150"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LGLOB</w:t>
            </w:r>
          </w:p>
        </w:tc>
        <w:tc>
          <w:tcPr>
            <w:tcW w:w="1710" w:type="dxa"/>
          </w:tcPr>
          <w:p w14:paraId="08A8688D"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1.70970</w:t>
            </w:r>
          </w:p>
        </w:tc>
        <w:tc>
          <w:tcPr>
            <w:tcW w:w="1205" w:type="dxa"/>
          </w:tcPr>
          <w:p w14:paraId="3FBF9E9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0.2014</w:t>
            </w:r>
          </w:p>
        </w:tc>
      </w:tr>
      <w:tr w:rsidR="003D4846" w:rsidRPr="00562062" w14:paraId="1F7A0362" w14:textId="77777777" w:rsidTr="00373CF8">
        <w:trPr>
          <w:trHeight w:val="225"/>
          <w:jc w:val="center"/>
        </w:trPr>
        <w:tc>
          <w:tcPr>
            <w:tcW w:w="3775" w:type="dxa"/>
          </w:tcPr>
          <w:p w14:paraId="076413B0"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LGDP</w:t>
            </w:r>
          </w:p>
        </w:tc>
        <w:tc>
          <w:tcPr>
            <w:tcW w:w="1710" w:type="dxa"/>
          </w:tcPr>
          <w:p w14:paraId="2553F82B"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1.51515</w:t>
            </w:r>
          </w:p>
        </w:tc>
        <w:tc>
          <w:tcPr>
            <w:tcW w:w="1205" w:type="dxa"/>
          </w:tcPr>
          <w:p w14:paraId="21644A10"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0.2393</w:t>
            </w:r>
          </w:p>
        </w:tc>
      </w:tr>
      <w:tr w:rsidR="003D4846" w:rsidRPr="00562062" w14:paraId="312017F7" w14:textId="77777777" w:rsidTr="00373CF8">
        <w:trPr>
          <w:trHeight w:val="225"/>
          <w:jc w:val="center"/>
        </w:trPr>
        <w:tc>
          <w:tcPr>
            <w:tcW w:w="3775" w:type="dxa"/>
          </w:tcPr>
          <w:p w14:paraId="26E08997"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 LGDP2 does not Granger Cause LGLOB </w:t>
            </w:r>
          </w:p>
        </w:tc>
        <w:tc>
          <w:tcPr>
            <w:tcW w:w="1710" w:type="dxa"/>
          </w:tcPr>
          <w:p w14:paraId="0F0B282C"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1.42096</w:t>
            </w:r>
          </w:p>
        </w:tc>
        <w:tc>
          <w:tcPr>
            <w:tcW w:w="1205" w:type="dxa"/>
          </w:tcPr>
          <w:p w14:paraId="3A10C9F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0.2603</w:t>
            </w:r>
          </w:p>
        </w:tc>
      </w:tr>
      <w:tr w:rsidR="003D4846" w:rsidRPr="00562062" w14:paraId="3FB33021" w14:textId="77777777" w:rsidTr="00373CF8">
        <w:trPr>
          <w:trHeight w:val="225"/>
          <w:jc w:val="center"/>
        </w:trPr>
        <w:tc>
          <w:tcPr>
            <w:tcW w:w="3775" w:type="dxa"/>
          </w:tcPr>
          <w:p w14:paraId="37442A69"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LGDP2</w:t>
            </w:r>
          </w:p>
        </w:tc>
        <w:tc>
          <w:tcPr>
            <w:tcW w:w="1710" w:type="dxa"/>
          </w:tcPr>
          <w:p w14:paraId="4D1BC327"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1.58099</w:t>
            </w:r>
          </w:p>
        </w:tc>
        <w:tc>
          <w:tcPr>
            <w:tcW w:w="1205" w:type="dxa"/>
          </w:tcPr>
          <w:p w14:paraId="3D1A942C"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0.2257</w:t>
            </w:r>
          </w:p>
        </w:tc>
      </w:tr>
      <w:tr w:rsidR="003D4846" w:rsidRPr="00562062" w14:paraId="306B34EB" w14:textId="77777777" w:rsidTr="00373CF8">
        <w:trPr>
          <w:trHeight w:val="225"/>
          <w:jc w:val="center"/>
        </w:trPr>
        <w:tc>
          <w:tcPr>
            <w:tcW w:w="3775" w:type="dxa"/>
          </w:tcPr>
          <w:p w14:paraId="584A3B27"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LRE</w:t>
            </w:r>
          </w:p>
        </w:tc>
        <w:tc>
          <w:tcPr>
            <w:tcW w:w="1710" w:type="dxa"/>
          </w:tcPr>
          <w:p w14:paraId="32CC26D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0.41065</w:t>
            </w:r>
          </w:p>
        </w:tc>
        <w:tc>
          <w:tcPr>
            <w:tcW w:w="1205" w:type="dxa"/>
          </w:tcPr>
          <w:p w14:paraId="5CFB514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0.6676</w:t>
            </w:r>
          </w:p>
        </w:tc>
      </w:tr>
      <w:tr w:rsidR="003D4846" w:rsidRPr="00562062" w14:paraId="3AF06D7D" w14:textId="77777777" w:rsidTr="00373CF8">
        <w:trPr>
          <w:trHeight w:val="225"/>
          <w:jc w:val="center"/>
        </w:trPr>
        <w:tc>
          <w:tcPr>
            <w:tcW w:w="3775" w:type="dxa"/>
          </w:tcPr>
          <w:p w14:paraId="1BD9E075"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LGDP</w:t>
            </w:r>
          </w:p>
        </w:tc>
        <w:tc>
          <w:tcPr>
            <w:tcW w:w="1710" w:type="dxa"/>
          </w:tcPr>
          <w:p w14:paraId="1084AE1E"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0.41475</w:t>
            </w:r>
          </w:p>
        </w:tc>
        <w:tc>
          <w:tcPr>
            <w:tcW w:w="1205" w:type="dxa"/>
          </w:tcPr>
          <w:p w14:paraId="4D185E8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0.6650</w:t>
            </w:r>
          </w:p>
        </w:tc>
      </w:tr>
      <w:tr w:rsidR="003D4846" w:rsidRPr="00562062" w14:paraId="6E86D922" w14:textId="77777777" w:rsidTr="00373CF8">
        <w:trPr>
          <w:trHeight w:val="225"/>
          <w:jc w:val="center"/>
        </w:trPr>
        <w:tc>
          <w:tcPr>
            <w:tcW w:w="3775" w:type="dxa"/>
          </w:tcPr>
          <w:p w14:paraId="34A53093"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LGDP2 does not Granger Cause LRE</w:t>
            </w:r>
          </w:p>
        </w:tc>
        <w:tc>
          <w:tcPr>
            <w:tcW w:w="1710" w:type="dxa"/>
          </w:tcPr>
          <w:p w14:paraId="40453AE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0.35215</w:t>
            </w:r>
          </w:p>
        </w:tc>
        <w:tc>
          <w:tcPr>
            <w:tcW w:w="1205" w:type="dxa"/>
          </w:tcPr>
          <w:p w14:paraId="3AF1EFBC"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0.7066</w:t>
            </w:r>
          </w:p>
        </w:tc>
      </w:tr>
      <w:tr w:rsidR="003D4846" w:rsidRPr="00562062" w14:paraId="78357D0D" w14:textId="77777777" w:rsidTr="00373CF8">
        <w:trPr>
          <w:trHeight w:val="225"/>
          <w:jc w:val="center"/>
        </w:trPr>
        <w:tc>
          <w:tcPr>
            <w:tcW w:w="3775" w:type="dxa"/>
          </w:tcPr>
          <w:p w14:paraId="4644E563"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LGDP2</w:t>
            </w:r>
          </w:p>
        </w:tc>
        <w:tc>
          <w:tcPr>
            <w:tcW w:w="1710" w:type="dxa"/>
          </w:tcPr>
          <w:p w14:paraId="5C20E081"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0.67132</w:t>
            </w:r>
          </w:p>
        </w:tc>
        <w:tc>
          <w:tcPr>
            <w:tcW w:w="1205" w:type="dxa"/>
          </w:tcPr>
          <w:p w14:paraId="74519106"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0.5200</w:t>
            </w:r>
          </w:p>
        </w:tc>
      </w:tr>
      <w:tr w:rsidR="003D4846" w:rsidRPr="00562062" w14:paraId="59F615D6" w14:textId="77777777" w:rsidTr="00373CF8">
        <w:trPr>
          <w:trHeight w:val="225"/>
          <w:jc w:val="center"/>
        </w:trPr>
        <w:tc>
          <w:tcPr>
            <w:tcW w:w="3775" w:type="dxa"/>
            <w:vAlign w:val="center"/>
          </w:tcPr>
          <w:p w14:paraId="370B4EE3"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LGDP2 does not Granger Cause LGDP</w:t>
            </w:r>
          </w:p>
        </w:tc>
        <w:tc>
          <w:tcPr>
            <w:tcW w:w="1710" w:type="dxa"/>
          </w:tcPr>
          <w:p w14:paraId="47DE3B59"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1.97304</w:t>
            </w:r>
          </w:p>
        </w:tc>
        <w:tc>
          <w:tcPr>
            <w:tcW w:w="1205" w:type="dxa"/>
          </w:tcPr>
          <w:p w14:paraId="339799DA"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0.1601</w:t>
            </w:r>
          </w:p>
        </w:tc>
      </w:tr>
      <w:tr w:rsidR="003D4846" w:rsidRPr="00562062" w14:paraId="412A1262" w14:textId="77777777" w:rsidTr="00373CF8">
        <w:trPr>
          <w:trHeight w:val="152"/>
          <w:jc w:val="center"/>
        </w:trPr>
        <w:tc>
          <w:tcPr>
            <w:tcW w:w="3775" w:type="dxa"/>
          </w:tcPr>
          <w:p w14:paraId="50B0A42F"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LGDP2</w:t>
            </w:r>
          </w:p>
        </w:tc>
        <w:tc>
          <w:tcPr>
            <w:tcW w:w="1710" w:type="dxa"/>
          </w:tcPr>
          <w:p w14:paraId="23977911"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1.96646</w:t>
            </w:r>
          </w:p>
        </w:tc>
        <w:tc>
          <w:tcPr>
            <w:tcW w:w="1205" w:type="dxa"/>
          </w:tcPr>
          <w:p w14:paraId="050C3A6D"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0.1610</w:t>
            </w:r>
          </w:p>
        </w:tc>
      </w:tr>
    </w:tbl>
    <w:p w14:paraId="06100894" w14:textId="6409B650" w:rsidR="003D4846" w:rsidRPr="00562062" w:rsidRDefault="003D4846" w:rsidP="003D4846">
      <w:pPr>
        <w:rPr>
          <w:rFonts w:ascii="Arial" w:hAnsi="Arial" w:cs="Arial"/>
          <w:lang w:val="en-IN"/>
        </w:rPr>
      </w:pPr>
      <w:r w:rsidRPr="00562062">
        <w:rPr>
          <w:rFonts w:ascii="Arial" w:hAnsi="Arial" w:cs="Arial"/>
          <w:lang w:val="en-IN"/>
        </w:rPr>
        <w:br/>
      </w:r>
      <w:r w:rsidR="007E719F" w:rsidRPr="00562062">
        <w:rPr>
          <w:rFonts w:ascii="Arial" w:hAnsi="Arial" w:cs="Arial"/>
          <w:b/>
          <w:bCs/>
          <w:sz w:val="22"/>
        </w:rPr>
        <w:t>5. CONCLUSION AND RECOMMENDATIONS</w:t>
      </w:r>
    </w:p>
    <w:p w14:paraId="3025DA7A" w14:textId="77777777" w:rsidR="003D4846" w:rsidRPr="00562062" w:rsidRDefault="003D4846" w:rsidP="003D4846">
      <w:pPr>
        <w:spacing w:before="240"/>
        <w:jc w:val="both"/>
        <w:rPr>
          <w:rFonts w:ascii="Arial" w:hAnsi="Arial" w:cs="Arial"/>
          <w:lang w:val="en-IN"/>
        </w:rPr>
      </w:pPr>
      <w:r w:rsidRPr="00562062">
        <w:rPr>
          <w:rFonts w:ascii="Arial" w:hAnsi="Arial" w:cs="Arial"/>
          <w:lang w:val="en-IN"/>
        </w:rPr>
        <w:t>The empirical results for India reveal a nuanced interplay between globalization, renewable energy, and economic growth in shaping environmental outcomes across both the short and long-run horizons. In the long run, globalization exhibits a negative but insignificant effect on emissions. It implies that integrating into the global economy may facilitate diffusion of cleaner technologies and international best practices, but its ability to improve environmental outcomes is inconsistent and highly dependent on a country's specific circumstances. This finding reflects the mixed results seen in previous studies (Salahuddin et al., 2019; Le &amp; Ozturk, 2020; Warsame et al., 2023). The growth–environment nexus further confirms the Environmental Kuznets Curve (EKC) hypothesis. Results show economic expansion significantly elevates emissions in the short run. The negative and significant squared GDP term demonstrates that beyond a certain threshold, higher income levels are linked with environmental improvements, albeit with only marginal evidence of this turning point in the long run. Collectively, these findings suggest that accelerating renewable energy deployment and fostering growth beyond the EKC threshold are critical pathways for India to reconcile its developmental aspirations with long-term environmental sustainability.</w:t>
      </w:r>
    </w:p>
    <w:p w14:paraId="373B4374" w14:textId="77777777" w:rsidR="003D4846" w:rsidRPr="00562062" w:rsidRDefault="003D4846" w:rsidP="003D4846">
      <w:pPr>
        <w:jc w:val="both"/>
        <w:rPr>
          <w:rFonts w:ascii="Arial" w:hAnsi="Arial" w:cs="Arial"/>
          <w:lang w:val="en-IN"/>
        </w:rPr>
      </w:pPr>
      <w:r w:rsidRPr="00562062">
        <w:rPr>
          <w:rFonts w:ascii="Arial" w:hAnsi="Arial" w:cs="Arial"/>
          <w:lang w:val="en-IN"/>
        </w:rPr>
        <w:t>Based on the empirical findings of this study, several targeted policy recommendations emerge to guide India's path towards sustainable development. Firstly, it is imperative to accelerate the transition to renewable energy through aggressive policy measures. This should include implementing substantial subsidies, tax incentives, and fostering public-private partnerships to rapidly scale up investment in and deployment of solar, wind, and hydroelectric infrastructure. Concurrently, the government should develop a clear strategy to phase out fossil fuel subsidies, reallocating this capital towards modernizing the national grid to handle a larger share of intermittent renewable sources. Secondly, economic growth must be strategically managed through green industrialization policies that incentivize energy efficiency and the adoption of low-carbon technologies across key sectors like manufacturing and transportation, thereby promoting a circular economy. Finally, the process of globalization must be harnessed responsibly by enacting and enforcing stringent environmental standards for foreign direct investment to avoid becoming a pollution haven, while simultaneously leveraging international partnerships to secure access to advanced green technologies and climate finance.</w:t>
      </w:r>
    </w:p>
    <w:p w14:paraId="359A51BC" w14:textId="77777777" w:rsidR="00690286" w:rsidRPr="00562062" w:rsidRDefault="00690286" w:rsidP="00441B6F">
      <w:pPr>
        <w:pStyle w:val="ConcHead"/>
        <w:spacing w:after="0"/>
        <w:jc w:val="both"/>
        <w:rPr>
          <w:rFonts w:ascii="Arial" w:hAnsi="Arial" w:cs="Arial"/>
          <w:b w:val="0"/>
          <w:caps w:val="0"/>
          <w:sz w:val="20"/>
          <w:lang w:val="en-IN"/>
        </w:rPr>
      </w:pPr>
    </w:p>
    <w:p w14:paraId="3A64FA82" w14:textId="77777777" w:rsidR="00690286" w:rsidRPr="00562062" w:rsidRDefault="00690286" w:rsidP="00441B6F">
      <w:pPr>
        <w:pStyle w:val="ConcHead"/>
        <w:spacing w:after="0"/>
        <w:jc w:val="both"/>
        <w:rPr>
          <w:rFonts w:ascii="Arial" w:hAnsi="Arial" w:cs="Arial"/>
        </w:rPr>
      </w:pPr>
    </w:p>
    <w:p w14:paraId="5DF60DCC" w14:textId="3B790212" w:rsidR="009407C0" w:rsidRPr="00562062" w:rsidRDefault="007F268A" w:rsidP="009407C0">
      <w:r w:rsidRPr="00562062">
        <w:rPr>
          <w:rFonts w:ascii="Arial" w:hAnsi="Arial" w:cs="Arial"/>
          <w:b/>
          <w:bCs/>
          <w:caps/>
          <w:sz w:val="22"/>
        </w:rPr>
        <w:t>Disclaimer</w:t>
      </w:r>
      <w:r w:rsidR="009407C0" w:rsidRPr="00562062">
        <w:rPr>
          <w:rFonts w:ascii="Arial" w:hAnsi="Arial" w:cs="Arial"/>
          <w:b/>
          <w:bCs/>
          <w:caps/>
          <w:sz w:val="22"/>
        </w:rPr>
        <w:t xml:space="preserve"> </w:t>
      </w:r>
      <w:r w:rsidRPr="00562062">
        <w:rPr>
          <w:rFonts w:ascii="Arial" w:hAnsi="Arial" w:cs="Arial"/>
          <w:b/>
          <w:caps/>
          <w:sz w:val="22"/>
        </w:rPr>
        <w:br/>
      </w:r>
      <w:r w:rsidR="005C2F67" w:rsidRPr="00562062">
        <w:t>The author</w:t>
      </w:r>
      <w:r w:rsidR="001E0920" w:rsidRPr="00562062">
        <w:t xml:space="preserve"> </w:t>
      </w:r>
      <w:r w:rsidR="005C2F67" w:rsidRPr="00562062">
        <w:t>confirm</w:t>
      </w:r>
      <w:r w:rsidR="001E0920" w:rsidRPr="00562062">
        <w:t>s</w:t>
      </w:r>
      <w:r w:rsidR="005C2F67" w:rsidRPr="00562062">
        <w:t xml:space="preserve"> that this manuscript is </w:t>
      </w:r>
      <w:r w:rsidR="001E0920" w:rsidRPr="00562062">
        <w:t>his</w:t>
      </w:r>
      <w:r w:rsidR="005C2F67" w:rsidRPr="00562062">
        <w:t xml:space="preserve"> original work. All analysis was conducted by the author using the EViews econometrics software package. No generative artificial intelligence (AI) technologies were used in the writing, analysis, or interpretation of the results presented in this paper.</w:t>
      </w:r>
    </w:p>
    <w:p w14:paraId="411C8CEF" w14:textId="77777777" w:rsidR="00315186" w:rsidRPr="00562062" w:rsidRDefault="00315186" w:rsidP="00441B6F"/>
    <w:p w14:paraId="5DC4632F" w14:textId="77777777" w:rsidR="00860000" w:rsidRPr="00562062" w:rsidRDefault="00860000" w:rsidP="00441B6F">
      <w:pPr>
        <w:pStyle w:val="ReferHead"/>
        <w:spacing w:after="0"/>
        <w:jc w:val="both"/>
        <w:rPr>
          <w:rFonts w:ascii="Arial" w:hAnsi="Arial" w:cs="Arial"/>
          <w:bCs/>
        </w:rPr>
      </w:pPr>
      <w:r w:rsidRPr="00562062">
        <w:rPr>
          <w:rFonts w:ascii="Arial" w:hAnsi="Arial" w:cs="Arial"/>
          <w:bCs/>
        </w:rPr>
        <w:t>Competing interests</w:t>
      </w:r>
    </w:p>
    <w:p w14:paraId="61814F89" w14:textId="5FFE5855" w:rsidR="00860000" w:rsidRPr="00562062" w:rsidRDefault="00E66E10" w:rsidP="00441B6F">
      <w:pPr>
        <w:pStyle w:val="ReferHead"/>
        <w:spacing w:after="0"/>
        <w:jc w:val="both"/>
        <w:rPr>
          <w:rFonts w:ascii="Arial" w:hAnsi="Arial" w:cs="Arial"/>
          <w:b w:val="0"/>
          <w:caps w:val="0"/>
          <w:sz w:val="20"/>
        </w:rPr>
      </w:pPr>
      <w:r w:rsidRPr="00562062">
        <w:rPr>
          <w:rFonts w:ascii="Arial" w:hAnsi="Arial" w:cs="Arial"/>
          <w:b w:val="0"/>
          <w:caps w:val="0"/>
          <w:sz w:val="20"/>
        </w:rPr>
        <w:t>Authors have declared that no competing interests exist.</w:t>
      </w:r>
    </w:p>
    <w:p w14:paraId="38D52CBC" w14:textId="77777777" w:rsidR="00371FB6" w:rsidRPr="00562062" w:rsidRDefault="00371FB6" w:rsidP="00441B6F">
      <w:pPr>
        <w:pStyle w:val="ReferHead"/>
        <w:spacing w:after="0"/>
        <w:jc w:val="both"/>
        <w:rPr>
          <w:rFonts w:ascii="Arial" w:hAnsi="Arial" w:cs="Arial"/>
          <w:b w:val="0"/>
          <w:caps w:val="0"/>
          <w:sz w:val="20"/>
        </w:rPr>
      </w:pPr>
    </w:p>
    <w:p w14:paraId="77D9796E" w14:textId="77777777" w:rsidR="00860000" w:rsidRPr="00562062" w:rsidRDefault="00860000" w:rsidP="00441B6F">
      <w:pPr>
        <w:pStyle w:val="ReferHead"/>
        <w:spacing w:after="0"/>
        <w:jc w:val="both"/>
        <w:rPr>
          <w:rFonts w:ascii="Arial" w:hAnsi="Arial" w:cs="Arial"/>
        </w:rPr>
      </w:pPr>
    </w:p>
    <w:p w14:paraId="6D145BF5" w14:textId="77777777" w:rsidR="00B01FCD" w:rsidRPr="00562062" w:rsidRDefault="00B01FCD" w:rsidP="00441B6F">
      <w:pPr>
        <w:pStyle w:val="ReferHead"/>
        <w:spacing w:after="0"/>
        <w:jc w:val="both"/>
        <w:rPr>
          <w:rFonts w:ascii="Arial" w:hAnsi="Arial" w:cs="Arial"/>
        </w:rPr>
      </w:pPr>
      <w:r w:rsidRPr="00562062">
        <w:rPr>
          <w:rFonts w:ascii="Arial" w:hAnsi="Arial" w:cs="Arial"/>
        </w:rPr>
        <w:t>References</w:t>
      </w:r>
    </w:p>
    <w:p w14:paraId="4118AE87" w14:textId="77777777" w:rsidR="00790ADA" w:rsidRPr="00562062" w:rsidRDefault="00790ADA" w:rsidP="00441B6F">
      <w:pPr>
        <w:pStyle w:val="ReferHead"/>
        <w:spacing w:after="0"/>
        <w:jc w:val="both"/>
        <w:rPr>
          <w:rFonts w:ascii="Arial" w:hAnsi="Arial" w:cs="Arial"/>
        </w:rPr>
      </w:pPr>
    </w:p>
    <w:p w14:paraId="7D9E9395" w14:textId="77777777" w:rsidR="003A3594" w:rsidRPr="00562062" w:rsidRDefault="003A3594" w:rsidP="003A3594">
      <w:pPr>
        <w:rPr>
          <w:rFonts w:ascii="Arial" w:hAnsi="Arial" w:cs="Arial"/>
        </w:rPr>
      </w:pPr>
      <w:r w:rsidRPr="00562062">
        <w:rPr>
          <w:rFonts w:ascii="Arial" w:hAnsi="Arial" w:cs="Arial"/>
        </w:rPr>
        <w:t xml:space="preserve">Adebayo, T. S., Akinsola, G. D., </w:t>
      </w:r>
      <w:proofErr w:type="spellStart"/>
      <w:r w:rsidRPr="00562062">
        <w:rPr>
          <w:rFonts w:ascii="Arial" w:hAnsi="Arial" w:cs="Arial"/>
        </w:rPr>
        <w:t>Bekun</w:t>
      </w:r>
      <w:proofErr w:type="spellEnd"/>
      <w:r w:rsidRPr="00562062">
        <w:rPr>
          <w:rFonts w:ascii="Arial" w:hAnsi="Arial" w:cs="Arial"/>
        </w:rPr>
        <w:t xml:space="preserve">, F. V., Osemeahon, O. S., &amp; Sarkodie, S. A. (2021). Mitigating human-induced emissions in Argentina: role of renewables, income, globalization, and financial development. Environmental Science and Pollution Research, 28(47), 67764–67778. </w:t>
      </w:r>
      <w:hyperlink r:id="rId18" w:tgtFrame="_new" w:history="1">
        <w:r w:rsidRPr="00562062">
          <w:rPr>
            <w:rFonts w:ascii="Arial" w:hAnsi="Arial" w:cs="Arial"/>
          </w:rPr>
          <w:t>https://doi.org/10.1007/s11356-021-14830-5</w:t>
        </w:r>
      </w:hyperlink>
    </w:p>
    <w:p w14:paraId="003EBA02" w14:textId="77777777" w:rsidR="00F67E7E" w:rsidRPr="00562062" w:rsidRDefault="00F67E7E" w:rsidP="003A3594">
      <w:pPr>
        <w:rPr>
          <w:rFonts w:ascii="Arial" w:hAnsi="Arial" w:cs="Arial"/>
        </w:rPr>
      </w:pPr>
    </w:p>
    <w:p w14:paraId="4790AC92" w14:textId="77777777" w:rsidR="003A3594" w:rsidRPr="00562062" w:rsidRDefault="003A3594" w:rsidP="003A3594">
      <w:pPr>
        <w:rPr>
          <w:rFonts w:ascii="Arial" w:hAnsi="Arial" w:cs="Arial"/>
        </w:rPr>
      </w:pPr>
      <w:r w:rsidRPr="00562062">
        <w:rPr>
          <w:rFonts w:ascii="Arial" w:hAnsi="Arial" w:cs="Arial"/>
        </w:rPr>
        <w:t xml:space="preserve">Ahmed, K., Shahbaz, M., Qasim, A., &amp; Long, W. (2014). The linkages between deforestation, energy and growth for environmental degradation in Pakistan. Ecological Indicators, 49, 95–103. </w:t>
      </w:r>
      <w:hyperlink r:id="rId19" w:tgtFrame="_new" w:history="1">
        <w:r w:rsidRPr="00562062">
          <w:rPr>
            <w:rFonts w:ascii="Arial" w:hAnsi="Arial" w:cs="Arial"/>
          </w:rPr>
          <w:t>https://doi.org/10.1016/j.ecolind.2014.09.040</w:t>
        </w:r>
      </w:hyperlink>
    </w:p>
    <w:p w14:paraId="33B832DB" w14:textId="77777777" w:rsidR="00486860" w:rsidRPr="00562062" w:rsidRDefault="00486860" w:rsidP="003A3594">
      <w:pPr>
        <w:rPr>
          <w:rFonts w:ascii="Arial" w:hAnsi="Arial" w:cs="Arial"/>
        </w:rPr>
      </w:pPr>
    </w:p>
    <w:p w14:paraId="1439372E" w14:textId="77777777" w:rsidR="003A3594" w:rsidRPr="00562062" w:rsidRDefault="003A3594" w:rsidP="003A3594">
      <w:pPr>
        <w:rPr>
          <w:rFonts w:ascii="Arial" w:hAnsi="Arial" w:cs="Arial"/>
        </w:rPr>
      </w:pPr>
      <w:r w:rsidRPr="00562062">
        <w:rPr>
          <w:rFonts w:ascii="Arial" w:hAnsi="Arial" w:cs="Arial"/>
        </w:rPr>
        <w:t>Alam, R., &amp; Adil, M. H. (2019). Validating environmental Kuznets curve in India: ARDL bounds testing framework. OPEC Energy Review, *43*(4), 277–303. </w:t>
      </w:r>
      <w:hyperlink r:id="rId20" w:tgtFrame="_blank" w:history="1">
        <w:r w:rsidRPr="00562062">
          <w:rPr>
            <w:rFonts w:ascii="Arial" w:hAnsi="Arial" w:cs="Arial"/>
          </w:rPr>
          <w:t>https://doi.org/10.1111/opec.12156</w:t>
        </w:r>
      </w:hyperlink>
    </w:p>
    <w:p w14:paraId="58BAF0D8" w14:textId="77777777" w:rsidR="00486860" w:rsidRPr="00562062" w:rsidRDefault="00486860" w:rsidP="003A3594">
      <w:pPr>
        <w:rPr>
          <w:rFonts w:ascii="Arial" w:hAnsi="Arial" w:cs="Arial"/>
        </w:rPr>
      </w:pPr>
    </w:p>
    <w:p w14:paraId="7206A6E4" w14:textId="77777777" w:rsidR="003A3594" w:rsidRPr="00562062" w:rsidRDefault="003A3594" w:rsidP="00974532">
      <w:pPr>
        <w:rPr>
          <w:rFonts w:ascii="Arial" w:hAnsi="Arial" w:cs="Arial"/>
        </w:rPr>
      </w:pPr>
      <w:r w:rsidRPr="00562062">
        <w:rPr>
          <w:rFonts w:ascii="Arial" w:hAnsi="Arial" w:cs="Arial"/>
        </w:rPr>
        <w:lastRenderedPageBreak/>
        <w:t>Al-</w:t>
      </w:r>
      <w:proofErr w:type="spellStart"/>
      <w:r w:rsidRPr="00562062">
        <w:rPr>
          <w:rFonts w:ascii="Arial" w:hAnsi="Arial" w:cs="Arial"/>
        </w:rPr>
        <w:t>Mulali</w:t>
      </w:r>
      <w:proofErr w:type="spellEnd"/>
      <w:r w:rsidRPr="00562062">
        <w:rPr>
          <w:rFonts w:ascii="Arial" w:hAnsi="Arial" w:cs="Arial"/>
        </w:rPr>
        <w:t xml:space="preserve">, U., </w:t>
      </w:r>
      <w:proofErr w:type="spellStart"/>
      <w:r w:rsidRPr="00562062">
        <w:rPr>
          <w:rFonts w:ascii="Arial" w:hAnsi="Arial" w:cs="Arial"/>
        </w:rPr>
        <w:t>Saboori</w:t>
      </w:r>
      <w:proofErr w:type="spellEnd"/>
      <w:r w:rsidRPr="00562062">
        <w:rPr>
          <w:rFonts w:ascii="Arial" w:hAnsi="Arial" w:cs="Arial"/>
        </w:rPr>
        <w:t xml:space="preserve">, B., &amp; Ozturk, I. (2015). Investigating the environmental Kuznets curve hypothesis in Vietnam. Energy Policy, 76, 123–131. </w:t>
      </w:r>
      <w:hyperlink r:id="rId21" w:tgtFrame="_new" w:history="1">
        <w:r w:rsidRPr="00562062">
          <w:rPr>
            <w:rFonts w:ascii="Arial" w:hAnsi="Arial" w:cs="Arial"/>
          </w:rPr>
          <w:t>https://doi.org/10.1016/j.enpol.2014.11.019</w:t>
        </w:r>
      </w:hyperlink>
    </w:p>
    <w:p w14:paraId="755A9CAB" w14:textId="77777777" w:rsidR="00974532" w:rsidRPr="00562062" w:rsidRDefault="00974532" w:rsidP="003A3594">
      <w:pPr>
        <w:rPr>
          <w:rFonts w:ascii="Arial" w:hAnsi="Arial" w:cs="Arial"/>
        </w:rPr>
      </w:pPr>
    </w:p>
    <w:p w14:paraId="043D681A" w14:textId="77777777" w:rsidR="003A3594" w:rsidRPr="00562062" w:rsidRDefault="003A3594" w:rsidP="003A3594">
      <w:pPr>
        <w:rPr>
          <w:rFonts w:ascii="Arial" w:hAnsi="Arial" w:cs="Arial"/>
        </w:rPr>
      </w:pPr>
      <w:r w:rsidRPr="00562062">
        <w:rPr>
          <w:rFonts w:ascii="Arial" w:hAnsi="Arial" w:cs="Arial"/>
        </w:rPr>
        <w:t>Behera, J. (2021). Environmental Kuznets curve and India: Evidence from autoregressive distributed lag model. Theoretical and Applied Economics, </w:t>
      </w:r>
      <w:proofErr w:type="gramStart"/>
      <w:r w:rsidRPr="00562062">
        <w:rPr>
          <w:rFonts w:ascii="Arial" w:hAnsi="Arial" w:cs="Arial"/>
        </w:rPr>
        <w:t>XXVIII(</w:t>
      </w:r>
      <w:proofErr w:type="gramEnd"/>
      <w:r w:rsidRPr="00562062">
        <w:rPr>
          <w:rFonts w:ascii="Arial" w:hAnsi="Arial" w:cs="Arial"/>
        </w:rPr>
        <w:t>3(628)), 129–142.</w:t>
      </w:r>
    </w:p>
    <w:p w14:paraId="53BCA761" w14:textId="77777777" w:rsidR="00974532" w:rsidRPr="00562062" w:rsidRDefault="00974532" w:rsidP="003A3594">
      <w:pPr>
        <w:rPr>
          <w:rFonts w:ascii="Arial" w:hAnsi="Arial" w:cs="Arial"/>
        </w:rPr>
      </w:pPr>
    </w:p>
    <w:p w14:paraId="42CF56E1" w14:textId="77777777" w:rsidR="003A3594" w:rsidRPr="00562062" w:rsidRDefault="003A3594" w:rsidP="003A3594">
      <w:pPr>
        <w:rPr>
          <w:rFonts w:ascii="Arial" w:hAnsi="Arial" w:cs="Arial"/>
        </w:rPr>
      </w:pPr>
      <w:r w:rsidRPr="00562062">
        <w:rPr>
          <w:rFonts w:ascii="Arial" w:hAnsi="Arial" w:cs="Arial"/>
        </w:rPr>
        <w:t xml:space="preserve">Culas, R. J. (2007). Deforestation and the environmental Kuznets curve: An institutional perspective. Ecological Economics, 61(2–3), 429–437. </w:t>
      </w:r>
      <w:hyperlink r:id="rId22" w:tgtFrame="_new" w:history="1">
        <w:r w:rsidRPr="00562062">
          <w:rPr>
            <w:rFonts w:ascii="Arial" w:hAnsi="Arial" w:cs="Arial"/>
          </w:rPr>
          <w:t>https://doi.org/10.1016/j.ecolecon.2006.03.014</w:t>
        </w:r>
      </w:hyperlink>
    </w:p>
    <w:p w14:paraId="39A77300" w14:textId="77777777" w:rsidR="00974532" w:rsidRPr="00562062" w:rsidRDefault="00974532" w:rsidP="003A3594">
      <w:pPr>
        <w:rPr>
          <w:rFonts w:ascii="Arial" w:hAnsi="Arial" w:cs="Arial"/>
        </w:rPr>
      </w:pPr>
    </w:p>
    <w:p w14:paraId="2744E0BD" w14:textId="77777777" w:rsidR="003A3594" w:rsidRPr="00586497" w:rsidRDefault="003A3594" w:rsidP="003A3594">
      <w:pPr>
        <w:rPr>
          <w:rFonts w:ascii="Arial" w:hAnsi="Arial" w:cs="Arial"/>
          <w:color w:val="FF0000"/>
        </w:rPr>
      </w:pPr>
      <w:r w:rsidRPr="00586497">
        <w:rPr>
          <w:rFonts w:ascii="Arial" w:hAnsi="Arial" w:cs="Arial"/>
          <w:color w:val="FF0000"/>
        </w:rPr>
        <w:t xml:space="preserve">Danish, Jie, Z., Wang, L. B., &amp; Wang, C. (2020). Role of renewable energy and non-renewable energy consumption on EKC: Evidence from Pakistan. Environmental Science and Pollution Research, 27, 36559–36572. </w:t>
      </w:r>
      <w:hyperlink r:id="rId23" w:tgtFrame="_new" w:history="1">
        <w:r w:rsidRPr="00586497">
          <w:rPr>
            <w:rFonts w:ascii="Arial" w:hAnsi="Arial" w:cs="Arial"/>
            <w:color w:val="FF0000"/>
          </w:rPr>
          <w:t>https://doi.org/10.1007/s11356-020-08812-2</w:t>
        </w:r>
      </w:hyperlink>
    </w:p>
    <w:p w14:paraId="3C99E64B" w14:textId="77777777" w:rsidR="00974532" w:rsidRPr="00562062" w:rsidRDefault="00974532" w:rsidP="003A3594">
      <w:pPr>
        <w:rPr>
          <w:rFonts w:ascii="Arial" w:hAnsi="Arial" w:cs="Arial"/>
        </w:rPr>
      </w:pPr>
    </w:p>
    <w:p w14:paraId="186E74D3" w14:textId="77777777" w:rsidR="003A3594" w:rsidRDefault="003A3594" w:rsidP="003A3594">
      <w:pPr>
        <w:rPr>
          <w:rFonts w:ascii="Arial" w:hAnsi="Arial" w:cs="Arial"/>
        </w:rPr>
      </w:pPr>
      <w:proofErr w:type="spellStart"/>
      <w:r w:rsidRPr="00562062">
        <w:rPr>
          <w:rFonts w:ascii="Arial" w:hAnsi="Arial" w:cs="Arial"/>
        </w:rPr>
        <w:t>Destek</w:t>
      </w:r>
      <w:proofErr w:type="spellEnd"/>
      <w:r w:rsidRPr="00562062">
        <w:rPr>
          <w:rFonts w:ascii="Arial" w:hAnsi="Arial" w:cs="Arial"/>
        </w:rPr>
        <w:t xml:space="preserve">, M. A. (2019). investigation on the role of economic, social, and political globalization on environment: </w:t>
      </w:r>
      <w:proofErr w:type="spellStart"/>
      <w:r w:rsidRPr="00562062">
        <w:rPr>
          <w:rFonts w:ascii="Arial" w:hAnsi="Arial" w:cs="Arial"/>
        </w:rPr>
        <w:t>evi</w:t>
      </w:r>
      <w:proofErr w:type="spellEnd"/>
      <w:r w:rsidRPr="00562062">
        <w:rPr>
          <w:rFonts w:ascii="Arial" w:hAnsi="Arial" w:cs="Arial"/>
        </w:rPr>
        <w:t xml:space="preserve"> </w:t>
      </w:r>
      <w:proofErr w:type="spellStart"/>
      <w:r w:rsidRPr="00562062">
        <w:rPr>
          <w:rFonts w:ascii="Arial" w:hAnsi="Arial" w:cs="Arial"/>
        </w:rPr>
        <w:t>dence</w:t>
      </w:r>
      <w:proofErr w:type="spellEnd"/>
      <w:r w:rsidRPr="00562062">
        <w:rPr>
          <w:rFonts w:ascii="Arial" w:hAnsi="Arial" w:cs="Arial"/>
        </w:rPr>
        <w:t xml:space="preserve"> from </w:t>
      </w:r>
      <w:proofErr w:type="spellStart"/>
      <w:r w:rsidRPr="00562062">
        <w:rPr>
          <w:rFonts w:ascii="Arial" w:hAnsi="Arial" w:cs="Arial"/>
        </w:rPr>
        <w:t>ceecs</w:t>
      </w:r>
      <w:proofErr w:type="spellEnd"/>
      <w:r w:rsidRPr="00562062">
        <w:rPr>
          <w:rFonts w:ascii="Arial" w:hAnsi="Arial" w:cs="Arial"/>
        </w:rPr>
        <w:t>. Environmental Science and Pollution Research International, 27(27), 33601–33614. https://doi. org/10.1007/s11356-019-04698-x</w:t>
      </w:r>
    </w:p>
    <w:p w14:paraId="316ACFAC" w14:textId="77777777" w:rsidR="00586497" w:rsidRPr="00562062" w:rsidRDefault="00586497" w:rsidP="003A3594">
      <w:pPr>
        <w:rPr>
          <w:rFonts w:ascii="Arial" w:hAnsi="Arial" w:cs="Arial"/>
        </w:rPr>
      </w:pPr>
    </w:p>
    <w:p w14:paraId="6084850A" w14:textId="77777777" w:rsidR="003A3594" w:rsidRDefault="003A3594" w:rsidP="003A3594">
      <w:pPr>
        <w:rPr>
          <w:rFonts w:ascii="Arial" w:hAnsi="Arial" w:cs="Arial"/>
        </w:rPr>
      </w:pPr>
      <w:r w:rsidRPr="00562062">
        <w:rPr>
          <w:rFonts w:ascii="Arial" w:hAnsi="Arial" w:cs="Arial"/>
        </w:rPr>
        <w:t>Farhani, M., &amp; Abdelaziz, C. (2014). An analysis of the association among carbon dioxide emissions, energy consumption, and economic performance: An econometric model. International Journal of Energy Economics and Policy, 4(3), 289–299.</w:t>
      </w:r>
    </w:p>
    <w:p w14:paraId="122CFDC7" w14:textId="77777777" w:rsidR="00455A6A" w:rsidRPr="00562062" w:rsidRDefault="00455A6A" w:rsidP="003A3594">
      <w:pPr>
        <w:rPr>
          <w:rFonts w:ascii="Arial" w:hAnsi="Arial" w:cs="Arial"/>
        </w:rPr>
      </w:pPr>
    </w:p>
    <w:p w14:paraId="3A675696" w14:textId="3AC9397E" w:rsidR="00974532" w:rsidRDefault="00455A6A" w:rsidP="00455A6A">
      <w:pPr>
        <w:jc w:val="both"/>
        <w:rPr>
          <w:rFonts w:ascii="Arial" w:hAnsi="Arial" w:cs="Arial"/>
        </w:rPr>
      </w:pPr>
      <w:proofErr w:type="spellStart"/>
      <w:r w:rsidRPr="00455A6A">
        <w:rPr>
          <w:rFonts w:ascii="Arial" w:hAnsi="Arial" w:cs="Arial"/>
        </w:rPr>
        <w:t>Gajdzik</w:t>
      </w:r>
      <w:proofErr w:type="spellEnd"/>
      <w:r w:rsidRPr="00455A6A">
        <w:rPr>
          <w:rFonts w:ascii="Arial" w:hAnsi="Arial" w:cs="Arial"/>
        </w:rPr>
        <w:t xml:space="preserve">, B., Wolniak, R., </w:t>
      </w:r>
      <w:proofErr w:type="spellStart"/>
      <w:r w:rsidRPr="00455A6A">
        <w:rPr>
          <w:rFonts w:ascii="Arial" w:hAnsi="Arial" w:cs="Arial"/>
        </w:rPr>
        <w:t>Nagaj</w:t>
      </w:r>
      <w:proofErr w:type="spellEnd"/>
      <w:r w:rsidRPr="00455A6A">
        <w:rPr>
          <w:rFonts w:ascii="Arial" w:hAnsi="Arial" w:cs="Arial"/>
        </w:rPr>
        <w:t>, R., Grebski, W. W., &amp; Romanyshyn, T. (2023). Barriers to Renewable Energy Source (RES) Installations as Determinants of Energy Consumption in EU Countries. </w:t>
      </w:r>
      <w:r w:rsidRPr="00455A6A">
        <w:rPr>
          <w:rFonts w:ascii="Arial" w:hAnsi="Arial" w:cs="Arial"/>
          <w:i/>
          <w:iCs/>
        </w:rPr>
        <w:t>Energies</w:t>
      </w:r>
      <w:r w:rsidRPr="00455A6A">
        <w:rPr>
          <w:rFonts w:ascii="Arial" w:hAnsi="Arial" w:cs="Arial"/>
        </w:rPr>
        <w:t>, </w:t>
      </w:r>
      <w:r w:rsidRPr="00455A6A">
        <w:rPr>
          <w:rFonts w:ascii="Arial" w:hAnsi="Arial" w:cs="Arial"/>
          <w:i/>
          <w:iCs/>
        </w:rPr>
        <w:t>16</w:t>
      </w:r>
      <w:r w:rsidRPr="00455A6A">
        <w:rPr>
          <w:rFonts w:ascii="Arial" w:hAnsi="Arial" w:cs="Arial"/>
        </w:rPr>
        <w:t>(21), 7364. https://doi.org/10.3390/en16217364</w:t>
      </w:r>
    </w:p>
    <w:p w14:paraId="61AFA6D3" w14:textId="77777777" w:rsidR="00455A6A" w:rsidRPr="00562062" w:rsidRDefault="00455A6A" w:rsidP="003A3594">
      <w:pPr>
        <w:rPr>
          <w:rFonts w:ascii="Arial" w:hAnsi="Arial" w:cs="Arial"/>
        </w:rPr>
      </w:pPr>
    </w:p>
    <w:p w14:paraId="56F0A7EC" w14:textId="77777777" w:rsidR="003A3594" w:rsidRDefault="003A3594" w:rsidP="003A3594">
      <w:r w:rsidRPr="00562062">
        <w:rPr>
          <w:rFonts w:ascii="Arial" w:hAnsi="Arial" w:cs="Arial"/>
        </w:rPr>
        <w:t>Global Carbon Project. (2023). Supplemental data of the Global Carbon Budget 2023 (Version 1.0) [Data set]. Global Carbon Project. </w:t>
      </w:r>
      <w:hyperlink r:id="rId24" w:tgtFrame="_blank" w:history="1">
        <w:r w:rsidRPr="00562062">
          <w:rPr>
            <w:rFonts w:ascii="Arial" w:hAnsi="Arial" w:cs="Arial"/>
          </w:rPr>
          <w:t>https://doi.org/10.18160/gcp-2023</w:t>
        </w:r>
      </w:hyperlink>
    </w:p>
    <w:p w14:paraId="18EBBF2E" w14:textId="77777777" w:rsidR="00F204BE" w:rsidRPr="00562062" w:rsidRDefault="00F204BE" w:rsidP="003A3594">
      <w:pPr>
        <w:rPr>
          <w:rFonts w:ascii="Arial" w:hAnsi="Arial" w:cs="Arial"/>
        </w:rPr>
      </w:pPr>
    </w:p>
    <w:p w14:paraId="4FBAF16C" w14:textId="362B42BE" w:rsidR="00920EA3" w:rsidRDefault="00F204BE" w:rsidP="003A3594">
      <w:pPr>
        <w:rPr>
          <w:rFonts w:ascii="Arial" w:hAnsi="Arial" w:cs="Arial"/>
        </w:rPr>
      </w:pPr>
      <w:r w:rsidRPr="00F204BE">
        <w:rPr>
          <w:rFonts w:ascii="Arial" w:hAnsi="Arial" w:cs="Arial"/>
        </w:rPr>
        <w:t>Government of India. (2022). </w:t>
      </w:r>
      <w:r w:rsidRPr="00F204BE">
        <w:rPr>
          <w:rFonts w:ascii="Arial" w:hAnsi="Arial" w:cs="Arial"/>
          <w:i/>
          <w:iCs/>
        </w:rPr>
        <w:t>India's Updated First Nationally Determined Contribution Under Paris Agreement (2021-2030)</w:t>
      </w:r>
      <w:r w:rsidRPr="00F204BE">
        <w:rPr>
          <w:rFonts w:ascii="Arial" w:hAnsi="Arial" w:cs="Arial"/>
        </w:rPr>
        <w:t>. United Nations Framework Convention on Climate Change. Retrieved from </w:t>
      </w:r>
      <w:hyperlink r:id="rId25" w:tgtFrame="_blank" w:history="1">
        <w:r w:rsidRPr="00F204BE">
          <w:rPr>
            <w:rStyle w:val="Hyperlink"/>
            <w:rFonts w:ascii="Arial" w:hAnsi="Arial" w:cs="Arial"/>
            <w:color w:val="auto"/>
          </w:rPr>
          <w:t>UNFCCC NDC link</w:t>
        </w:r>
      </w:hyperlink>
      <w:r w:rsidRPr="00F204BE">
        <w:rPr>
          <w:rFonts w:ascii="Arial" w:hAnsi="Arial" w:cs="Arial"/>
        </w:rPr>
        <w:t>.</w:t>
      </w:r>
    </w:p>
    <w:p w14:paraId="5EBEE056" w14:textId="77777777" w:rsidR="00F204BE" w:rsidRPr="00562062" w:rsidRDefault="00F204BE" w:rsidP="003A3594">
      <w:pPr>
        <w:rPr>
          <w:rFonts w:ascii="Arial" w:hAnsi="Arial" w:cs="Arial"/>
        </w:rPr>
      </w:pPr>
    </w:p>
    <w:p w14:paraId="6966FA06" w14:textId="77777777" w:rsidR="003A3594" w:rsidRPr="00562062" w:rsidRDefault="003A3594" w:rsidP="003A3594">
      <w:pPr>
        <w:rPr>
          <w:rFonts w:ascii="Arial" w:hAnsi="Arial" w:cs="Arial"/>
        </w:rPr>
      </w:pPr>
      <w:r w:rsidRPr="00562062">
        <w:rPr>
          <w:rFonts w:ascii="Arial" w:hAnsi="Arial" w:cs="Arial"/>
        </w:rPr>
        <w:t>Grossman, G. M., &amp; Krueger, A. B. (1995). Economic growth and the environment. The Quarterly Journal of Economics, 110(2), 353–377. </w:t>
      </w:r>
      <w:hyperlink r:id="rId26" w:tgtFrame="_blank" w:history="1">
        <w:r w:rsidRPr="00562062">
          <w:rPr>
            <w:rFonts w:ascii="Arial" w:hAnsi="Arial" w:cs="Arial"/>
          </w:rPr>
          <w:t>https://doi.org/10.2307/2118443</w:t>
        </w:r>
      </w:hyperlink>
    </w:p>
    <w:p w14:paraId="6FD33D4C" w14:textId="77777777" w:rsidR="00920EA3" w:rsidRPr="00562062" w:rsidRDefault="00920EA3" w:rsidP="003A3594">
      <w:pPr>
        <w:rPr>
          <w:rFonts w:ascii="Arial" w:hAnsi="Arial" w:cs="Arial"/>
        </w:rPr>
      </w:pPr>
    </w:p>
    <w:p w14:paraId="2E92AA99" w14:textId="77777777" w:rsidR="003A3594" w:rsidRPr="00562062" w:rsidRDefault="003A3594" w:rsidP="003A3594">
      <w:pPr>
        <w:rPr>
          <w:rFonts w:ascii="Arial" w:hAnsi="Arial" w:cs="Arial"/>
        </w:rPr>
      </w:pPr>
      <w:r w:rsidRPr="00562062">
        <w:rPr>
          <w:rFonts w:ascii="Arial" w:hAnsi="Arial" w:cs="Arial"/>
        </w:rPr>
        <w:t xml:space="preserve">Haq, I. U., Zhu, S., &amp; Shafiq, M. (2016). Empirical investigation of environmental Kuznets curve for carbon emission in Morocco. Ecological Indicators, 67, 491–496. </w:t>
      </w:r>
      <w:hyperlink r:id="rId27" w:tgtFrame="_new" w:history="1">
        <w:r w:rsidRPr="00562062">
          <w:rPr>
            <w:rFonts w:ascii="Arial" w:hAnsi="Arial" w:cs="Arial"/>
          </w:rPr>
          <w:t>https://doi.org/10.1016/j.ecolind.2016.03.019</w:t>
        </w:r>
      </w:hyperlink>
    </w:p>
    <w:p w14:paraId="18A945B7" w14:textId="77777777" w:rsidR="00920EA3" w:rsidRPr="00562062" w:rsidRDefault="00920EA3" w:rsidP="003A3594">
      <w:pPr>
        <w:rPr>
          <w:rFonts w:ascii="Arial" w:hAnsi="Arial" w:cs="Arial"/>
        </w:rPr>
      </w:pPr>
    </w:p>
    <w:p w14:paraId="4BA77112" w14:textId="77777777" w:rsidR="003A3594" w:rsidRPr="00562062" w:rsidRDefault="003A3594" w:rsidP="003A3594">
      <w:pPr>
        <w:rPr>
          <w:rFonts w:ascii="Arial" w:hAnsi="Arial" w:cs="Arial"/>
        </w:rPr>
      </w:pPr>
      <w:r w:rsidRPr="00562062">
        <w:rPr>
          <w:rFonts w:ascii="Arial" w:hAnsi="Arial" w:cs="Arial"/>
        </w:rPr>
        <w:t xml:space="preserve">He, X., Adebayo, T. S., </w:t>
      </w:r>
      <w:proofErr w:type="spellStart"/>
      <w:r w:rsidRPr="00562062">
        <w:rPr>
          <w:rFonts w:ascii="Arial" w:hAnsi="Arial" w:cs="Arial"/>
        </w:rPr>
        <w:t>Kirikkaleli</w:t>
      </w:r>
      <w:proofErr w:type="spellEnd"/>
      <w:r w:rsidRPr="00562062">
        <w:rPr>
          <w:rFonts w:ascii="Arial" w:hAnsi="Arial" w:cs="Arial"/>
        </w:rPr>
        <w:t xml:space="preserve">, D., &amp; Umar, M. (2021). Consumption-based carbon emissions in Mexico: An analysis using the dual adjustment approach. Sustainable Production and Consumption, 27, 947–957. </w:t>
      </w:r>
      <w:hyperlink r:id="rId28" w:tgtFrame="_new" w:history="1">
        <w:r w:rsidRPr="00562062">
          <w:rPr>
            <w:rFonts w:ascii="Arial" w:hAnsi="Arial" w:cs="Arial"/>
          </w:rPr>
          <w:t>https://doi.org/10.1016/j.spc.2021.02.020</w:t>
        </w:r>
      </w:hyperlink>
    </w:p>
    <w:p w14:paraId="2A2F82BB" w14:textId="77777777" w:rsidR="00920EA3" w:rsidRPr="00562062" w:rsidRDefault="00920EA3" w:rsidP="003A3594">
      <w:pPr>
        <w:rPr>
          <w:rFonts w:ascii="Arial" w:hAnsi="Arial" w:cs="Arial"/>
        </w:rPr>
      </w:pPr>
    </w:p>
    <w:p w14:paraId="71A98FEF" w14:textId="77777777" w:rsidR="003A3594" w:rsidRPr="00562062" w:rsidRDefault="003A3594" w:rsidP="003A3594">
      <w:pPr>
        <w:rPr>
          <w:rFonts w:ascii="Arial" w:hAnsi="Arial" w:cs="Arial"/>
        </w:rPr>
      </w:pPr>
      <w:r w:rsidRPr="00562062">
        <w:rPr>
          <w:rFonts w:ascii="Arial" w:hAnsi="Arial" w:cs="Arial"/>
        </w:rPr>
        <w:t xml:space="preserve">Ike, G. N., Usman, O., Alola, A. A., &amp; Sarkodie, S. A. (2020). Environmental quality effects of income, energy prices and trade: the role of renewable energy consumption in G-7 countries. Science of the Total Environment, 721, 137813. </w:t>
      </w:r>
      <w:hyperlink r:id="rId29" w:tgtFrame="_new" w:history="1">
        <w:r w:rsidRPr="00562062">
          <w:rPr>
            <w:rFonts w:ascii="Arial" w:hAnsi="Arial" w:cs="Arial"/>
          </w:rPr>
          <w:t>https://doi.org/10.1016/j.scitotenv.2020.137813</w:t>
        </w:r>
      </w:hyperlink>
    </w:p>
    <w:p w14:paraId="692906B6" w14:textId="77777777" w:rsidR="00920EA3" w:rsidRPr="00562062" w:rsidRDefault="00920EA3" w:rsidP="003A3594">
      <w:pPr>
        <w:rPr>
          <w:rFonts w:ascii="Arial" w:hAnsi="Arial" w:cs="Arial"/>
        </w:rPr>
      </w:pPr>
    </w:p>
    <w:p w14:paraId="1103C035" w14:textId="77777777" w:rsidR="003A3594" w:rsidRPr="00586497" w:rsidRDefault="003A3594" w:rsidP="003A3594">
      <w:pPr>
        <w:rPr>
          <w:color w:val="FF0000"/>
        </w:rPr>
      </w:pPr>
      <w:r w:rsidRPr="00586497">
        <w:rPr>
          <w:rFonts w:ascii="Arial" w:hAnsi="Arial" w:cs="Arial"/>
          <w:color w:val="FF0000"/>
        </w:rPr>
        <w:t>International Monetary Fund. (2023). World Economic Outlook (WEO) database: October 2023. Retrieved from </w:t>
      </w:r>
      <w:hyperlink r:id="rId30" w:tgtFrame="_blank" w:history="1">
        <w:r w:rsidRPr="00586497">
          <w:rPr>
            <w:rFonts w:ascii="Arial" w:hAnsi="Arial" w:cs="Arial"/>
            <w:color w:val="FF0000"/>
          </w:rPr>
          <w:t>https://www.imf.org/en/Publications/WEO/weo-database/2023/October</w:t>
        </w:r>
      </w:hyperlink>
    </w:p>
    <w:p w14:paraId="55E045C2" w14:textId="77777777" w:rsidR="00586497" w:rsidRPr="00562062" w:rsidRDefault="00586497" w:rsidP="003A3594">
      <w:pPr>
        <w:rPr>
          <w:rFonts w:ascii="Arial" w:hAnsi="Arial" w:cs="Arial"/>
        </w:rPr>
      </w:pPr>
    </w:p>
    <w:p w14:paraId="57F178CF" w14:textId="77777777" w:rsidR="003A3594" w:rsidRPr="00562062" w:rsidRDefault="003A3594" w:rsidP="003A3594">
      <w:pPr>
        <w:rPr>
          <w:rFonts w:ascii="Arial" w:hAnsi="Arial" w:cs="Arial"/>
        </w:rPr>
      </w:pPr>
      <w:proofErr w:type="spellStart"/>
      <w:r w:rsidRPr="00562062">
        <w:rPr>
          <w:rFonts w:ascii="Arial" w:hAnsi="Arial" w:cs="Arial"/>
        </w:rPr>
        <w:t>Kwakwa</w:t>
      </w:r>
      <w:proofErr w:type="spellEnd"/>
      <w:r w:rsidRPr="00562062">
        <w:rPr>
          <w:rFonts w:ascii="Arial" w:hAnsi="Arial" w:cs="Arial"/>
        </w:rPr>
        <w:t xml:space="preserve">, P. A. (2023). Climate change mitigation role of renewable energy consumption: does institutional quality matter in the case of reducing Africa’s carbon dioxide emissions? Journal of Environmental Management, 342, 118234. </w:t>
      </w:r>
      <w:hyperlink r:id="rId31" w:tgtFrame="_new" w:history="1">
        <w:r w:rsidRPr="00562062">
          <w:rPr>
            <w:rFonts w:ascii="Arial" w:hAnsi="Arial" w:cs="Arial"/>
          </w:rPr>
          <w:t>https://doi.org/10.1016/j.jenvman.2023.118234</w:t>
        </w:r>
      </w:hyperlink>
    </w:p>
    <w:p w14:paraId="17FF7BBE" w14:textId="77777777" w:rsidR="00920EA3" w:rsidRPr="00562062" w:rsidRDefault="00920EA3" w:rsidP="003A3594">
      <w:pPr>
        <w:rPr>
          <w:rFonts w:ascii="Arial" w:hAnsi="Arial" w:cs="Arial"/>
        </w:rPr>
      </w:pPr>
    </w:p>
    <w:p w14:paraId="65B488F2" w14:textId="77777777" w:rsidR="003A3594" w:rsidRPr="00562062" w:rsidRDefault="003A3594" w:rsidP="003A3594">
      <w:pPr>
        <w:rPr>
          <w:rFonts w:ascii="Arial" w:hAnsi="Arial" w:cs="Arial"/>
        </w:rPr>
      </w:pPr>
      <w:r w:rsidRPr="00562062">
        <w:rPr>
          <w:rFonts w:ascii="Arial" w:hAnsi="Arial" w:cs="Arial"/>
        </w:rPr>
        <w:t>Le, H. P., &amp; Ozturk, I. (2020). The impacts of globalization, financial development, government expenditures, and institutional quality on CO</w:t>
      </w:r>
      <w:r w:rsidRPr="00562062">
        <w:rPr>
          <w:rFonts w:ascii="Cambria Math" w:hAnsi="Cambria Math" w:cs="Cambria Math"/>
        </w:rPr>
        <w:t>₂</w:t>
      </w:r>
      <w:r w:rsidRPr="00562062">
        <w:rPr>
          <w:rFonts w:ascii="Arial" w:hAnsi="Arial" w:cs="Arial"/>
        </w:rPr>
        <w:t xml:space="preserve"> emissions in the presence of environmental Kuznets curve. Environmental Science and Pollution Research, 27(18), 22680–22697. </w:t>
      </w:r>
      <w:hyperlink r:id="rId32" w:tgtFrame="_new" w:history="1">
        <w:r w:rsidRPr="00562062">
          <w:rPr>
            <w:rFonts w:ascii="Arial" w:hAnsi="Arial" w:cs="Arial"/>
          </w:rPr>
          <w:t>https://doi.org/10.1007/s11356-020-08812-2</w:t>
        </w:r>
      </w:hyperlink>
    </w:p>
    <w:p w14:paraId="65B7BDB8" w14:textId="77777777" w:rsidR="00920EA3" w:rsidRDefault="00920EA3" w:rsidP="003A3594">
      <w:pPr>
        <w:rPr>
          <w:rFonts w:ascii="Arial" w:hAnsi="Arial" w:cs="Arial"/>
        </w:rPr>
      </w:pPr>
    </w:p>
    <w:p w14:paraId="2A5D2B9A" w14:textId="062CA706" w:rsidR="00F204BE" w:rsidRPr="00586497" w:rsidRDefault="00F204BE" w:rsidP="003A3594">
      <w:pPr>
        <w:rPr>
          <w:rFonts w:ascii="Arial" w:hAnsi="Arial" w:cs="Arial"/>
          <w:color w:val="FF0000"/>
        </w:rPr>
      </w:pPr>
      <w:r w:rsidRPr="00586497">
        <w:rPr>
          <w:rFonts w:ascii="Arial" w:hAnsi="Arial" w:cs="Arial"/>
          <w:color w:val="FF0000"/>
        </w:rPr>
        <w:t>Ministry of New and Renewable Energy. (2023). </w:t>
      </w:r>
      <w:r w:rsidRPr="00586497">
        <w:rPr>
          <w:rFonts w:ascii="Arial" w:hAnsi="Arial" w:cs="Arial"/>
          <w:i/>
          <w:iCs/>
          <w:color w:val="FF0000"/>
        </w:rPr>
        <w:t>Annual Report 2022-23</w:t>
      </w:r>
      <w:r w:rsidRPr="00586497">
        <w:rPr>
          <w:rFonts w:ascii="Arial" w:hAnsi="Arial" w:cs="Arial"/>
          <w:color w:val="FF0000"/>
        </w:rPr>
        <w:t>. Government of India. Retrieved from MNRE Annual Report link.</w:t>
      </w:r>
    </w:p>
    <w:p w14:paraId="47FF95A9" w14:textId="77777777" w:rsidR="00F204BE" w:rsidRPr="00562062" w:rsidRDefault="00F204BE" w:rsidP="003A3594">
      <w:pPr>
        <w:rPr>
          <w:rFonts w:ascii="Arial" w:hAnsi="Arial" w:cs="Arial"/>
        </w:rPr>
      </w:pPr>
    </w:p>
    <w:p w14:paraId="59F68D65" w14:textId="77777777" w:rsidR="003A3594" w:rsidRPr="00562062" w:rsidRDefault="003A3594" w:rsidP="003A3594">
      <w:pPr>
        <w:rPr>
          <w:rFonts w:ascii="Arial" w:hAnsi="Arial" w:cs="Arial"/>
        </w:rPr>
      </w:pPr>
      <w:r w:rsidRPr="00562062">
        <w:rPr>
          <w:rFonts w:ascii="Arial" w:hAnsi="Arial" w:cs="Arial"/>
        </w:rPr>
        <w:lastRenderedPageBreak/>
        <w:t>Murshed, M., Haseeb, M., &amp; Alam, M. S. (2021). The Environmental Kuznets Curve hypothesis for carbon and ecological footprints in South Asia: the role of renewable energy. </w:t>
      </w:r>
      <w:proofErr w:type="spellStart"/>
      <w:r w:rsidRPr="00562062">
        <w:rPr>
          <w:rFonts w:ascii="Arial" w:hAnsi="Arial" w:cs="Arial"/>
        </w:rPr>
        <w:t>GeoJournal</w:t>
      </w:r>
      <w:proofErr w:type="spellEnd"/>
      <w:r w:rsidRPr="00562062">
        <w:rPr>
          <w:rFonts w:ascii="Arial" w:hAnsi="Arial" w:cs="Arial"/>
        </w:rPr>
        <w:t>. </w:t>
      </w:r>
      <w:hyperlink r:id="rId33" w:tgtFrame="_blank" w:history="1">
        <w:r w:rsidRPr="00562062">
          <w:rPr>
            <w:rFonts w:ascii="Arial" w:hAnsi="Arial" w:cs="Arial"/>
          </w:rPr>
          <w:t>https://doi.org/10.1007/s10708-020-10370-6</w:t>
        </w:r>
      </w:hyperlink>
    </w:p>
    <w:p w14:paraId="2E46755E" w14:textId="77777777" w:rsidR="00920EA3" w:rsidRPr="00562062" w:rsidRDefault="00920EA3" w:rsidP="003A3594">
      <w:pPr>
        <w:rPr>
          <w:rFonts w:ascii="Arial" w:hAnsi="Arial" w:cs="Arial"/>
        </w:rPr>
      </w:pPr>
    </w:p>
    <w:p w14:paraId="629B4198" w14:textId="77777777" w:rsidR="003A3594" w:rsidRPr="00562062" w:rsidRDefault="003A3594" w:rsidP="003A3594">
      <w:pPr>
        <w:rPr>
          <w:rFonts w:ascii="Arial" w:hAnsi="Arial" w:cs="Arial"/>
        </w:rPr>
      </w:pPr>
      <w:r w:rsidRPr="00562062">
        <w:rPr>
          <w:rFonts w:ascii="Arial" w:hAnsi="Arial" w:cs="Arial"/>
        </w:rPr>
        <w:t xml:space="preserve">Murthy, K. V. &amp; Gambhir, S., (2018) “Analyzing Environmental Kuznets Curve and Pollution Haven Hypothesis in India in the Context of Domestic and Global Policy Change”, Australasian Accounting, Business and Finance Journal 12(2), 134-156. </w:t>
      </w:r>
      <w:proofErr w:type="spellStart"/>
      <w:r w:rsidRPr="00562062">
        <w:rPr>
          <w:rFonts w:ascii="Arial" w:hAnsi="Arial" w:cs="Arial"/>
        </w:rPr>
        <w:t>doi</w:t>
      </w:r>
      <w:proofErr w:type="spellEnd"/>
      <w:r w:rsidRPr="00562062">
        <w:rPr>
          <w:rFonts w:ascii="Arial" w:hAnsi="Arial" w:cs="Arial"/>
        </w:rPr>
        <w:t>: </w:t>
      </w:r>
      <w:hyperlink r:id="rId34" w:history="1">
        <w:r w:rsidRPr="00562062">
          <w:rPr>
            <w:rFonts w:ascii="Arial" w:hAnsi="Arial" w:cs="Arial"/>
          </w:rPr>
          <w:t>https://doi.org/10.14453/aabfj.v12i2.9</w:t>
        </w:r>
      </w:hyperlink>
    </w:p>
    <w:p w14:paraId="11B86BAD" w14:textId="77777777" w:rsidR="00920EA3" w:rsidRPr="00562062" w:rsidRDefault="00920EA3" w:rsidP="003A3594">
      <w:pPr>
        <w:rPr>
          <w:rFonts w:ascii="Arial" w:hAnsi="Arial" w:cs="Arial"/>
        </w:rPr>
      </w:pPr>
    </w:p>
    <w:p w14:paraId="79303F41" w14:textId="77777777" w:rsidR="003A3594" w:rsidRPr="00562062" w:rsidRDefault="003A3594" w:rsidP="003A3594">
      <w:pPr>
        <w:rPr>
          <w:rFonts w:ascii="Arial" w:hAnsi="Arial" w:cs="Arial"/>
        </w:rPr>
      </w:pPr>
      <w:r w:rsidRPr="00562062">
        <w:rPr>
          <w:rFonts w:ascii="Arial" w:hAnsi="Arial" w:cs="Arial"/>
        </w:rPr>
        <w:t>Nagaraj, R. (2013, May 18). India’s dream run, 2003–08: Understanding the boom and its aftermath. Economic &amp; Political Weekly, 48(20), 39–51.</w:t>
      </w:r>
    </w:p>
    <w:p w14:paraId="2744DAFF" w14:textId="77777777" w:rsidR="00920EA3" w:rsidRPr="00562062" w:rsidRDefault="00920EA3" w:rsidP="003A3594">
      <w:pPr>
        <w:rPr>
          <w:rFonts w:ascii="Arial" w:hAnsi="Arial" w:cs="Arial"/>
        </w:rPr>
      </w:pPr>
    </w:p>
    <w:p w14:paraId="4AF7950D" w14:textId="77777777" w:rsidR="003A3594" w:rsidRPr="00562062" w:rsidRDefault="003A3594" w:rsidP="003A3594">
      <w:pPr>
        <w:rPr>
          <w:rFonts w:ascii="Arial" w:hAnsi="Arial" w:cs="Arial"/>
        </w:rPr>
      </w:pPr>
      <w:r w:rsidRPr="00562062">
        <w:rPr>
          <w:rFonts w:ascii="Arial" w:hAnsi="Arial" w:cs="Arial"/>
        </w:rPr>
        <w:t>Och, M. (2017). Empirical investigation of the environmental Kuznets curve hypothesis for nitrous oxide emissions for Mongolia. International Journal of Energy Economics and Policy, 7(1), 117–128.</w:t>
      </w:r>
    </w:p>
    <w:p w14:paraId="7A43ABBF" w14:textId="77777777" w:rsidR="00920EA3" w:rsidRPr="00562062" w:rsidRDefault="00920EA3" w:rsidP="003A3594">
      <w:pPr>
        <w:rPr>
          <w:rFonts w:ascii="Arial" w:hAnsi="Arial" w:cs="Arial"/>
        </w:rPr>
      </w:pPr>
    </w:p>
    <w:p w14:paraId="171DF80E" w14:textId="77777777" w:rsidR="003A3594" w:rsidRPr="00562062" w:rsidRDefault="003A3594" w:rsidP="003A3594">
      <w:pPr>
        <w:rPr>
          <w:rFonts w:ascii="Arial" w:hAnsi="Arial" w:cs="Arial"/>
        </w:rPr>
      </w:pPr>
      <w:r w:rsidRPr="00562062">
        <w:rPr>
          <w:rFonts w:ascii="Arial" w:hAnsi="Arial" w:cs="Arial"/>
        </w:rPr>
        <w:t xml:space="preserve">Pata, U. K., Kartal, M. T., Erdogan, S., &amp; Sarkodie, S. A. (2023). The role of renewable and nuclear energy R&amp;D expenditures and income on environmental quality in Germany: Scrutinizing the EKC and LCC hypotheses with smooth structural changes. Applied Energy, 342, 121138. </w:t>
      </w:r>
      <w:hyperlink r:id="rId35" w:tgtFrame="_new" w:history="1">
        <w:r w:rsidRPr="00562062">
          <w:rPr>
            <w:rFonts w:ascii="Arial" w:hAnsi="Arial" w:cs="Arial"/>
          </w:rPr>
          <w:t>https://doi.org/10.1016/j.apenergy.2023.121138</w:t>
        </w:r>
      </w:hyperlink>
    </w:p>
    <w:p w14:paraId="3FDDEB75" w14:textId="77777777" w:rsidR="00920EA3" w:rsidRPr="00562062" w:rsidRDefault="00920EA3" w:rsidP="003A3594">
      <w:pPr>
        <w:rPr>
          <w:rFonts w:ascii="Arial" w:hAnsi="Arial" w:cs="Arial"/>
        </w:rPr>
      </w:pPr>
    </w:p>
    <w:p w14:paraId="5F516EA6" w14:textId="6611E7FF" w:rsidR="00920EA3" w:rsidRPr="00586497" w:rsidRDefault="00AE0E91" w:rsidP="003A3594">
      <w:pPr>
        <w:rPr>
          <w:rFonts w:ascii="Arial" w:hAnsi="Arial" w:cs="Arial"/>
          <w:color w:val="FF0000"/>
        </w:rPr>
      </w:pPr>
      <w:proofErr w:type="spellStart"/>
      <w:r w:rsidRPr="00586497">
        <w:rPr>
          <w:rFonts w:ascii="Arial" w:hAnsi="Arial" w:cs="Arial"/>
          <w:color w:val="FF0000"/>
        </w:rPr>
        <w:t>Pesaran</w:t>
      </w:r>
      <w:proofErr w:type="spellEnd"/>
      <w:r w:rsidRPr="00586497">
        <w:rPr>
          <w:rFonts w:ascii="Arial" w:hAnsi="Arial" w:cs="Arial"/>
          <w:color w:val="FF0000"/>
        </w:rPr>
        <w:t xml:space="preserve">, M. H., Shin, Y., &amp; Smith, R. J. (2001). Bounds testing </w:t>
      </w:r>
      <w:proofErr w:type="gramStart"/>
      <w:r w:rsidRPr="00586497">
        <w:rPr>
          <w:rFonts w:ascii="Arial" w:hAnsi="Arial" w:cs="Arial"/>
          <w:color w:val="FF0000"/>
        </w:rPr>
        <w:t>approaches to</w:t>
      </w:r>
      <w:proofErr w:type="gramEnd"/>
      <w:r w:rsidRPr="00586497">
        <w:rPr>
          <w:rFonts w:ascii="Arial" w:hAnsi="Arial" w:cs="Arial"/>
          <w:color w:val="FF0000"/>
        </w:rPr>
        <w:t xml:space="preserve"> the analysis of level relationships. Journal of Applied Econometrics, 16(3), 289–326. </w:t>
      </w:r>
      <w:hyperlink r:id="rId36" w:tgtFrame="_blank" w:history="1">
        <w:r w:rsidRPr="00586497">
          <w:rPr>
            <w:color w:val="FF0000"/>
          </w:rPr>
          <w:t>https://doi.org/10.1002/jae.616</w:t>
        </w:r>
      </w:hyperlink>
    </w:p>
    <w:p w14:paraId="6560F45D" w14:textId="77777777" w:rsidR="00AE0E91" w:rsidRPr="00562062" w:rsidRDefault="00AE0E91" w:rsidP="003A3594">
      <w:pPr>
        <w:rPr>
          <w:rFonts w:ascii="Arial" w:hAnsi="Arial" w:cs="Arial"/>
        </w:rPr>
      </w:pPr>
    </w:p>
    <w:p w14:paraId="71A94BA0" w14:textId="77777777" w:rsidR="003A3594" w:rsidRPr="00562062" w:rsidRDefault="003A3594" w:rsidP="003A3594">
      <w:pPr>
        <w:rPr>
          <w:rFonts w:ascii="Arial" w:hAnsi="Arial" w:cs="Arial"/>
        </w:rPr>
      </w:pPr>
      <w:r w:rsidRPr="00562062">
        <w:rPr>
          <w:rFonts w:ascii="Arial" w:hAnsi="Arial" w:cs="Arial"/>
        </w:rPr>
        <w:t>Qayoom, A., &amp; Altaf, N. (2024). Testing the EKC hypothesis in India: Moderating role of trade openness. </w:t>
      </w:r>
      <w:proofErr w:type="spellStart"/>
      <w:r w:rsidRPr="00562062">
        <w:rPr>
          <w:rFonts w:ascii="Arial" w:hAnsi="Arial" w:cs="Arial"/>
        </w:rPr>
        <w:t>EconomiA</w:t>
      </w:r>
      <w:proofErr w:type="spellEnd"/>
      <w:r w:rsidRPr="00562062">
        <w:rPr>
          <w:rFonts w:ascii="Arial" w:hAnsi="Arial" w:cs="Arial"/>
        </w:rPr>
        <w:t>. Advance online publication. </w:t>
      </w:r>
      <w:hyperlink r:id="rId37" w:tgtFrame="_blank" w:history="1">
        <w:r w:rsidRPr="00562062">
          <w:rPr>
            <w:rFonts w:ascii="Arial" w:hAnsi="Arial" w:cs="Arial"/>
          </w:rPr>
          <w:t>https://doi.org/10.1108/ECON-09-2024-0137</w:t>
        </w:r>
      </w:hyperlink>
    </w:p>
    <w:p w14:paraId="2870616C" w14:textId="77777777" w:rsidR="00920EA3" w:rsidRPr="00562062" w:rsidRDefault="00920EA3" w:rsidP="003A3594">
      <w:pPr>
        <w:rPr>
          <w:rFonts w:ascii="Arial" w:hAnsi="Arial" w:cs="Arial"/>
        </w:rPr>
      </w:pPr>
    </w:p>
    <w:p w14:paraId="06C73BE1" w14:textId="77777777" w:rsidR="003A3594" w:rsidRPr="00562062" w:rsidRDefault="003A3594" w:rsidP="003A3594">
      <w:pPr>
        <w:rPr>
          <w:rFonts w:ascii="Arial" w:hAnsi="Arial" w:cs="Arial"/>
        </w:rPr>
      </w:pPr>
      <w:r w:rsidRPr="00562062">
        <w:rPr>
          <w:rFonts w:ascii="Arial" w:hAnsi="Arial" w:cs="Arial"/>
        </w:rPr>
        <w:t xml:space="preserve">Roy Choudhury, P. (2014). Multiple Structural Breaks in India's GDP. Indian Statistical Institute, Delhi. </w:t>
      </w:r>
      <w:hyperlink r:id="rId38" w:history="1">
        <w:r w:rsidRPr="00562062">
          <w:rPr>
            <w:rFonts w:ascii="Arial" w:hAnsi="Arial" w:cs="Arial"/>
          </w:rPr>
          <w:t>https://www.isid.ac.in/~epu/acegd2014/papers/PurbaRoyChoudhury.pdf</w:t>
        </w:r>
      </w:hyperlink>
    </w:p>
    <w:p w14:paraId="681A6B99" w14:textId="77777777" w:rsidR="006159F5" w:rsidRPr="00562062" w:rsidRDefault="006159F5" w:rsidP="003A3594">
      <w:pPr>
        <w:rPr>
          <w:rFonts w:ascii="Arial" w:hAnsi="Arial" w:cs="Arial"/>
        </w:rPr>
      </w:pPr>
    </w:p>
    <w:p w14:paraId="2450D8DE" w14:textId="77777777" w:rsidR="003A3594" w:rsidRPr="00562062" w:rsidRDefault="003A3594" w:rsidP="003A3594">
      <w:pPr>
        <w:rPr>
          <w:rFonts w:ascii="Arial" w:hAnsi="Arial" w:cs="Arial"/>
        </w:rPr>
      </w:pPr>
      <w:r w:rsidRPr="00562062">
        <w:rPr>
          <w:rFonts w:ascii="Arial" w:hAnsi="Arial" w:cs="Arial"/>
        </w:rPr>
        <w:t xml:space="preserve">Salahuddin, M., Gow, J., Ali, M. I., Hossain, M. R., Al-Azami, K. S., Akbar, D., &amp; </w:t>
      </w:r>
      <w:proofErr w:type="spellStart"/>
      <w:r w:rsidRPr="00562062">
        <w:rPr>
          <w:rFonts w:ascii="Arial" w:hAnsi="Arial" w:cs="Arial"/>
        </w:rPr>
        <w:t>Gedikli</w:t>
      </w:r>
      <w:proofErr w:type="spellEnd"/>
      <w:r w:rsidRPr="00562062">
        <w:rPr>
          <w:rFonts w:ascii="Arial" w:hAnsi="Arial" w:cs="Arial"/>
        </w:rPr>
        <w:t>, A. (2019). Urbanization-globalization-CO</w:t>
      </w:r>
      <w:r w:rsidRPr="00562062">
        <w:rPr>
          <w:rFonts w:ascii="Cambria Math" w:hAnsi="Cambria Math" w:cs="Cambria Math"/>
        </w:rPr>
        <w:t>₂</w:t>
      </w:r>
      <w:r w:rsidRPr="00562062">
        <w:rPr>
          <w:rFonts w:ascii="Arial" w:hAnsi="Arial" w:cs="Arial"/>
        </w:rPr>
        <w:t xml:space="preserve"> emissions nexus revisited: empirical evidence from South Africa. </w:t>
      </w:r>
      <w:proofErr w:type="spellStart"/>
      <w:r w:rsidRPr="00562062">
        <w:rPr>
          <w:rFonts w:ascii="Arial" w:hAnsi="Arial" w:cs="Arial"/>
        </w:rPr>
        <w:t>Heliyon</w:t>
      </w:r>
      <w:proofErr w:type="spellEnd"/>
      <w:r w:rsidRPr="00562062">
        <w:rPr>
          <w:rFonts w:ascii="Arial" w:hAnsi="Arial" w:cs="Arial"/>
        </w:rPr>
        <w:t xml:space="preserve">, 5(6), e01974. </w:t>
      </w:r>
      <w:hyperlink r:id="rId39" w:history="1">
        <w:r w:rsidRPr="00562062">
          <w:rPr>
            <w:rFonts w:ascii="Arial" w:hAnsi="Arial" w:cs="Arial"/>
          </w:rPr>
          <w:t>https://doi.org/10.1016/j.heliyon.2019.e01974</w:t>
        </w:r>
      </w:hyperlink>
    </w:p>
    <w:p w14:paraId="1506A3B4" w14:textId="77777777" w:rsidR="006159F5" w:rsidRPr="00562062" w:rsidRDefault="006159F5" w:rsidP="003A3594">
      <w:pPr>
        <w:rPr>
          <w:rFonts w:ascii="Arial" w:hAnsi="Arial" w:cs="Arial"/>
        </w:rPr>
      </w:pPr>
    </w:p>
    <w:p w14:paraId="4C9C83FB" w14:textId="77777777" w:rsidR="003A3594" w:rsidRPr="00562062" w:rsidRDefault="003A3594" w:rsidP="003A3594">
      <w:pPr>
        <w:rPr>
          <w:rFonts w:ascii="Arial" w:hAnsi="Arial" w:cs="Arial"/>
        </w:rPr>
      </w:pPr>
      <w:r w:rsidRPr="00562062">
        <w:rPr>
          <w:rFonts w:ascii="Arial" w:hAnsi="Arial" w:cs="Arial"/>
        </w:rPr>
        <w:t xml:space="preserve">Shahbaz, M., Mallick, H., Mahalik, M. K., &amp; Loganathan, N. (2015). Does globalization impede environmental quality in India? Ecological Indicators, 52, 379–393. </w:t>
      </w:r>
      <w:hyperlink r:id="rId40" w:tgtFrame="_new" w:history="1">
        <w:r w:rsidRPr="00562062">
          <w:rPr>
            <w:rFonts w:ascii="Arial" w:hAnsi="Arial" w:cs="Arial"/>
          </w:rPr>
          <w:t>https://doi.org/10.1016/j.ecolind.2014.12.025</w:t>
        </w:r>
      </w:hyperlink>
    </w:p>
    <w:p w14:paraId="25D11399" w14:textId="77777777" w:rsidR="006159F5" w:rsidRPr="00562062" w:rsidRDefault="006159F5" w:rsidP="003A3594">
      <w:pPr>
        <w:rPr>
          <w:rFonts w:ascii="Arial" w:hAnsi="Arial" w:cs="Arial"/>
        </w:rPr>
      </w:pPr>
    </w:p>
    <w:p w14:paraId="2B800B07" w14:textId="77777777" w:rsidR="003A3594" w:rsidRPr="00562062" w:rsidRDefault="003A3594" w:rsidP="003A3594">
      <w:pPr>
        <w:rPr>
          <w:rFonts w:ascii="Arial" w:hAnsi="Arial" w:cs="Arial"/>
        </w:rPr>
      </w:pPr>
      <w:r w:rsidRPr="00562062">
        <w:rPr>
          <w:rFonts w:ascii="Arial" w:hAnsi="Arial" w:cs="Arial"/>
        </w:rPr>
        <w:t>Sinha, A., &amp; Shahbaz, M. (2018). Estimation of Environmental Kuznets Curve for CO2 emission: Role of renewable energy generation in India. Renewable Energy, *119*, 703–711. </w:t>
      </w:r>
      <w:hyperlink r:id="rId41" w:tgtFrame="_blank" w:history="1">
        <w:r w:rsidRPr="00562062">
          <w:rPr>
            <w:rFonts w:ascii="Arial" w:hAnsi="Arial" w:cs="Arial"/>
          </w:rPr>
          <w:t>https://doi.org/10.1016/j.renene.2017.12.058</w:t>
        </w:r>
      </w:hyperlink>
    </w:p>
    <w:p w14:paraId="58754D38" w14:textId="77777777" w:rsidR="006159F5" w:rsidRPr="00562062" w:rsidRDefault="006159F5" w:rsidP="003A3594">
      <w:pPr>
        <w:rPr>
          <w:rFonts w:ascii="Arial" w:hAnsi="Arial" w:cs="Arial"/>
        </w:rPr>
      </w:pPr>
    </w:p>
    <w:p w14:paraId="6A33D306" w14:textId="77777777" w:rsidR="003A3594" w:rsidRPr="00562062" w:rsidRDefault="003A3594" w:rsidP="003A3594">
      <w:pPr>
        <w:rPr>
          <w:rFonts w:ascii="Arial" w:hAnsi="Arial" w:cs="Arial"/>
        </w:rPr>
      </w:pPr>
      <w:r w:rsidRPr="00562062">
        <w:rPr>
          <w:rFonts w:ascii="Arial" w:hAnsi="Arial" w:cs="Arial"/>
        </w:rPr>
        <w:t>Tiwari, A. K., Shahbaz, M., &amp; Hye, Q. M. A. (2013). The environmental Kuznets curve and the role of coal consumption in India: Cointegration and causality analysis in an open economy. Renewable and Sustainable Energy Reviews, 18, 519–527. </w:t>
      </w:r>
      <w:hyperlink r:id="rId42" w:tgtFrame="_blank" w:history="1">
        <w:r w:rsidRPr="00562062">
          <w:rPr>
            <w:rFonts w:ascii="Arial" w:hAnsi="Arial" w:cs="Arial"/>
          </w:rPr>
          <w:t>https://doi.org/10.1016/j.rser.2012.10.031</w:t>
        </w:r>
      </w:hyperlink>
    </w:p>
    <w:p w14:paraId="4BE6077B" w14:textId="77777777" w:rsidR="006159F5" w:rsidRPr="00562062" w:rsidRDefault="006159F5" w:rsidP="003A3594">
      <w:pPr>
        <w:rPr>
          <w:rFonts w:ascii="Arial" w:hAnsi="Arial" w:cs="Arial"/>
        </w:rPr>
      </w:pPr>
    </w:p>
    <w:p w14:paraId="613371F5" w14:textId="77777777" w:rsidR="003A3594" w:rsidRPr="00562062" w:rsidRDefault="003A3594" w:rsidP="003A3594">
      <w:pPr>
        <w:rPr>
          <w:rFonts w:ascii="Arial" w:hAnsi="Arial" w:cs="Arial"/>
        </w:rPr>
      </w:pPr>
      <w:r w:rsidRPr="00562062">
        <w:rPr>
          <w:rFonts w:ascii="Arial" w:hAnsi="Arial" w:cs="Arial"/>
        </w:rPr>
        <w:t>Uche, E., Das, N., &amp; Bera, P. (2022). Re-examining the environmental Kuznets curve (EKC) for India via the multiple threshold NARDL procedure. Environmental Science and Pollution Research. </w:t>
      </w:r>
      <w:hyperlink r:id="rId43" w:tgtFrame="_blank" w:history="1">
        <w:r w:rsidRPr="00562062">
          <w:rPr>
            <w:rFonts w:ascii="Arial" w:hAnsi="Arial" w:cs="Arial"/>
          </w:rPr>
          <w:t>https://doi.org/10.1007/s11356-022-22912-1</w:t>
        </w:r>
      </w:hyperlink>
    </w:p>
    <w:p w14:paraId="03A3E058" w14:textId="77777777" w:rsidR="006159F5" w:rsidRPr="00562062" w:rsidRDefault="006159F5" w:rsidP="003A3594">
      <w:pPr>
        <w:rPr>
          <w:rFonts w:ascii="Arial" w:hAnsi="Arial" w:cs="Arial"/>
        </w:rPr>
      </w:pPr>
    </w:p>
    <w:p w14:paraId="0DA7A99C" w14:textId="77777777" w:rsidR="003A3594" w:rsidRPr="00562062" w:rsidRDefault="003A3594" w:rsidP="003A3594">
      <w:pPr>
        <w:rPr>
          <w:rFonts w:ascii="Arial" w:hAnsi="Arial" w:cs="Arial"/>
        </w:rPr>
      </w:pPr>
      <w:r w:rsidRPr="00562062">
        <w:rPr>
          <w:rFonts w:ascii="Arial" w:hAnsi="Arial" w:cs="Arial"/>
        </w:rPr>
        <w:t xml:space="preserve">Usman, O., </w:t>
      </w:r>
      <w:proofErr w:type="spellStart"/>
      <w:r w:rsidRPr="00562062">
        <w:rPr>
          <w:rFonts w:ascii="Arial" w:hAnsi="Arial" w:cs="Arial"/>
        </w:rPr>
        <w:t>Iorember</w:t>
      </w:r>
      <w:proofErr w:type="spellEnd"/>
      <w:r w:rsidRPr="00562062">
        <w:rPr>
          <w:rFonts w:ascii="Arial" w:hAnsi="Arial" w:cs="Arial"/>
        </w:rPr>
        <w:t>, P. T., &amp; Olanipekun, I. O. (2019). Revisiting the environmental Kuznets curve (EKC) hypothesis in India: the effects of energy consumption and democracy. Environmental Science and Pollution Research. </w:t>
      </w:r>
      <w:hyperlink r:id="rId44" w:tgtFrame="_blank" w:history="1">
        <w:r w:rsidRPr="00562062">
          <w:rPr>
            <w:rFonts w:ascii="Arial" w:hAnsi="Arial" w:cs="Arial"/>
          </w:rPr>
          <w:t>https://doi.org/10.1007/s11356-019-04696-z</w:t>
        </w:r>
      </w:hyperlink>
    </w:p>
    <w:p w14:paraId="7902C041" w14:textId="77777777" w:rsidR="006159F5" w:rsidRPr="00562062" w:rsidRDefault="006159F5" w:rsidP="003A3594">
      <w:pPr>
        <w:rPr>
          <w:rFonts w:ascii="Arial" w:hAnsi="Arial" w:cs="Arial"/>
        </w:rPr>
      </w:pPr>
    </w:p>
    <w:p w14:paraId="742284D5" w14:textId="77777777" w:rsidR="003A3594" w:rsidRPr="00562062" w:rsidRDefault="003A3594" w:rsidP="003A3594">
      <w:pPr>
        <w:rPr>
          <w:rFonts w:ascii="Arial" w:hAnsi="Arial" w:cs="Arial"/>
        </w:rPr>
      </w:pPr>
      <w:proofErr w:type="spellStart"/>
      <w:r w:rsidRPr="00562062">
        <w:rPr>
          <w:rFonts w:ascii="Arial" w:hAnsi="Arial" w:cs="Arial"/>
        </w:rPr>
        <w:t>Villanthenkodath</w:t>
      </w:r>
      <w:proofErr w:type="spellEnd"/>
      <w:r w:rsidRPr="00562062">
        <w:rPr>
          <w:rFonts w:ascii="Arial" w:hAnsi="Arial" w:cs="Arial"/>
        </w:rPr>
        <w:t>, M. A., Gupta, M., Saini, S., &amp; Sahoo, M. (2021). Impact of economic structure on the Environmental Kuznets Curve (EKC) hypothesis in India. Journal of Economic Structures, *10*(1), 28. </w:t>
      </w:r>
      <w:hyperlink r:id="rId45" w:tgtFrame="_blank" w:history="1">
        <w:r w:rsidRPr="00562062">
          <w:rPr>
            <w:rFonts w:ascii="Arial" w:hAnsi="Arial" w:cs="Arial"/>
          </w:rPr>
          <w:t>https://doi.org/10.1186/s40008-021-00259-z</w:t>
        </w:r>
      </w:hyperlink>
    </w:p>
    <w:p w14:paraId="5F93B0E8" w14:textId="77777777" w:rsidR="006159F5" w:rsidRPr="00562062" w:rsidRDefault="006159F5" w:rsidP="003A3594">
      <w:pPr>
        <w:rPr>
          <w:rFonts w:ascii="Arial" w:hAnsi="Arial" w:cs="Arial"/>
        </w:rPr>
      </w:pPr>
    </w:p>
    <w:p w14:paraId="6B4EE44D" w14:textId="77777777" w:rsidR="003A3594" w:rsidRPr="00562062" w:rsidRDefault="003A3594" w:rsidP="003A3594">
      <w:pPr>
        <w:rPr>
          <w:rFonts w:ascii="Arial" w:hAnsi="Arial" w:cs="Arial"/>
        </w:rPr>
      </w:pPr>
      <w:r w:rsidRPr="00562062">
        <w:rPr>
          <w:rFonts w:ascii="Arial" w:hAnsi="Arial" w:cs="Arial"/>
        </w:rPr>
        <w:t xml:space="preserve">Warsame, A. A., &amp; Sarkodie, S. A. (2022). Testing the environmental Kuznets curve hypothesis in Somalia: empirical evidence from ARDL technique. International Journal of Energy Economics and Policy, 13(5), 678–684. </w:t>
      </w:r>
      <w:hyperlink r:id="rId46" w:tgtFrame="_new" w:history="1">
        <w:r w:rsidRPr="00562062">
          <w:rPr>
            <w:rFonts w:ascii="Arial" w:hAnsi="Arial" w:cs="Arial"/>
          </w:rPr>
          <w:t>https://doi.org/10.32479/ijeep.14590</w:t>
        </w:r>
      </w:hyperlink>
    </w:p>
    <w:p w14:paraId="73F4B161" w14:textId="77777777" w:rsidR="003D2162" w:rsidRPr="00562062" w:rsidRDefault="003D2162" w:rsidP="003A3594">
      <w:pPr>
        <w:rPr>
          <w:rFonts w:ascii="Arial" w:hAnsi="Arial" w:cs="Arial"/>
        </w:rPr>
      </w:pPr>
    </w:p>
    <w:p w14:paraId="4C9940CD" w14:textId="77777777" w:rsidR="003A3594" w:rsidRPr="00562062" w:rsidRDefault="003A3594" w:rsidP="003A3594">
      <w:pPr>
        <w:rPr>
          <w:rFonts w:ascii="Arial" w:hAnsi="Arial" w:cs="Arial"/>
        </w:rPr>
      </w:pPr>
      <w:r w:rsidRPr="00562062">
        <w:rPr>
          <w:rFonts w:ascii="Arial" w:hAnsi="Arial" w:cs="Arial"/>
        </w:rPr>
        <w:t xml:space="preserve">Warsame, A. A., Hassan, A. A., Hussein, H. A., &amp; Salad, M. A. (2024). Investigation of the environmental Kuznets curve for consumption-based carbon dioxide emissions in Kenya: the role of renewable energy and globalization. Cogent Social Sciences, 10(1), 2338866. </w:t>
      </w:r>
      <w:hyperlink r:id="rId47" w:tgtFrame="_new" w:history="1">
        <w:r w:rsidRPr="00562062">
          <w:rPr>
            <w:rFonts w:ascii="Arial" w:hAnsi="Arial" w:cs="Arial"/>
          </w:rPr>
          <w:t>https://doi.org/10.1080/23311886.2024.2338866</w:t>
        </w:r>
      </w:hyperlink>
    </w:p>
    <w:p w14:paraId="2A12F3ED" w14:textId="77777777" w:rsidR="003D2162" w:rsidRPr="00562062" w:rsidRDefault="003D2162" w:rsidP="003A3594">
      <w:pPr>
        <w:rPr>
          <w:rFonts w:ascii="Arial" w:hAnsi="Arial" w:cs="Arial"/>
        </w:rPr>
      </w:pPr>
    </w:p>
    <w:p w14:paraId="2E57E8CB" w14:textId="77777777" w:rsidR="003A3594" w:rsidRPr="00562062" w:rsidRDefault="003A3594" w:rsidP="003A3594">
      <w:pPr>
        <w:rPr>
          <w:rFonts w:ascii="Arial" w:hAnsi="Arial" w:cs="Arial"/>
        </w:rPr>
      </w:pPr>
      <w:r w:rsidRPr="00562062">
        <w:rPr>
          <w:rFonts w:ascii="Arial" w:hAnsi="Arial" w:cs="Arial"/>
        </w:rPr>
        <w:lastRenderedPageBreak/>
        <w:t xml:space="preserve">Yameogo, c. e. W., </w:t>
      </w:r>
      <w:proofErr w:type="spellStart"/>
      <w:r w:rsidRPr="00562062">
        <w:rPr>
          <w:rFonts w:ascii="Arial" w:hAnsi="Arial" w:cs="Arial"/>
        </w:rPr>
        <w:t>Omojolaibi</w:t>
      </w:r>
      <w:proofErr w:type="spellEnd"/>
      <w:r w:rsidRPr="00562062">
        <w:rPr>
          <w:rFonts w:ascii="Arial" w:hAnsi="Arial" w:cs="Arial"/>
        </w:rPr>
        <w:t xml:space="preserve">, J. A., &amp; </w:t>
      </w:r>
      <w:proofErr w:type="spellStart"/>
      <w:r w:rsidRPr="00562062">
        <w:rPr>
          <w:rFonts w:ascii="Arial" w:hAnsi="Arial" w:cs="Arial"/>
        </w:rPr>
        <w:t>dauda</w:t>
      </w:r>
      <w:proofErr w:type="spellEnd"/>
      <w:r w:rsidRPr="00562062">
        <w:rPr>
          <w:rFonts w:ascii="Arial" w:hAnsi="Arial" w:cs="Arial"/>
        </w:rPr>
        <w:t xml:space="preserve">, r. O. S. (2021). economic </w:t>
      </w:r>
      <w:proofErr w:type="spellStart"/>
      <w:r w:rsidRPr="00562062">
        <w:rPr>
          <w:rFonts w:ascii="Arial" w:hAnsi="Arial" w:cs="Arial"/>
        </w:rPr>
        <w:t>globalisation</w:t>
      </w:r>
      <w:proofErr w:type="spellEnd"/>
      <w:r w:rsidRPr="00562062">
        <w:rPr>
          <w:rFonts w:ascii="Arial" w:hAnsi="Arial" w:cs="Arial"/>
        </w:rPr>
        <w:t xml:space="preserve">, institutions and environmental quality in Sub-Saharan Africa. Research in Globalization, 3(May 2020), 100035. </w:t>
      </w:r>
      <w:hyperlink r:id="rId48" w:history="1">
        <w:r w:rsidRPr="00562062">
          <w:rPr>
            <w:rFonts w:ascii="Arial" w:hAnsi="Arial" w:cs="Arial"/>
          </w:rPr>
          <w:t>https://doi.org/10.1016/j.resglo.2020. 100035</w:t>
        </w:r>
      </w:hyperlink>
    </w:p>
    <w:p w14:paraId="2E805733" w14:textId="77777777" w:rsidR="003D2162" w:rsidRPr="00562062" w:rsidRDefault="003D2162" w:rsidP="003A3594">
      <w:pPr>
        <w:rPr>
          <w:rFonts w:ascii="Arial" w:hAnsi="Arial" w:cs="Arial"/>
        </w:rPr>
      </w:pPr>
    </w:p>
    <w:p w14:paraId="7D8A71EF" w14:textId="77777777" w:rsidR="003A3594" w:rsidRPr="00562062" w:rsidRDefault="003A3594" w:rsidP="003A3594">
      <w:pPr>
        <w:rPr>
          <w:rFonts w:ascii="Arial" w:hAnsi="Arial" w:cs="Arial"/>
        </w:rPr>
      </w:pPr>
      <w:r w:rsidRPr="00562062">
        <w:rPr>
          <w:rFonts w:ascii="Arial" w:hAnsi="Arial" w:cs="Arial"/>
        </w:rPr>
        <w:t>Yang, Z., &amp; Zhao, Y. (2014). Energy consumption, carbon emissions, and economic growth in India: Evidence from directed acyclic graphs. Economic Modelling, *38*, 533–540. </w:t>
      </w:r>
      <w:hyperlink r:id="rId49" w:tgtFrame="_blank" w:history="1">
        <w:r w:rsidRPr="00562062">
          <w:rPr>
            <w:rFonts w:ascii="Arial" w:hAnsi="Arial" w:cs="Arial"/>
          </w:rPr>
          <w:t>https://doi.org/10.1016/j.econmod.2014.01.030</w:t>
        </w:r>
      </w:hyperlink>
    </w:p>
    <w:p w14:paraId="3B930FCC" w14:textId="77777777" w:rsidR="003D2162" w:rsidRPr="00562062" w:rsidRDefault="003D2162" w:rsidP="003A3594">
      <w:pPr>
        <w:rPr>
          <w:rFonts w:ascii="Arial" w:hAnsi="Arial" w:cs="Arial"/>
        </w:rPr>
      </w:pPr>
    </w:p>
    <w:p w14:paraId="4341D4E3" w14:textId="77777777" w:rsidR="003A3594" w:rsidRPr="00562062" w:rsidRDefault="003A3594" w:rsidP="003A3594">
      <w:pPr>
        <w:rPr>
          <w:rFonts w:ascii="Arial" w:hAnsi="Arial" w:cs="Arial"/>
        </w:rPr>
      </w:pPr>
      <w:r w:rsidRPr="00562062">
        <w:rPr>
          <w:rFonts w:ascii="Arial" w:hAnsi="Arial" w:cs="Arial"/>
        </w:rPr>
        <w:t xml:space="preserve">Zafar, M. W., Saud, S., &amp; </w:t>
      </w:r>
      <w:proofErr w:type="spellStart"/>
      <w:r w:rsidRPr="00562062">
        <w:rPr>
          <w:rFonts w:ascii="Arial" w:hAnsi="Arial" w:cs="Arial"/>
        </w:rPr>
        <w:t>hou</w:t>
      </w:r>
      <w:proofErr w:type="spellEnd"/>
      <w:r w:rsidRPr="00562062">
        <w:rPr>
          <w:rFonts w:ascii="Arial" w:hAnsi="Arial" w:cs="Arial"/>
        </w:rPr>
        <w:t>, F. (2019). the impact of globalization and financial development on environmental quality: evidence from selected countries in the organization for economic co-operation and development (</w:t>
      </w:r>
      <w:proofErr w:type="spellStart"/>
      <w:r w:rsidRPr="00562062">
        <w:rPr>
          <w:rFonts w:ascii="Arial" w:hAnsi="Arial" w:cs="Arial"/>
        </w:rPr>
        <w:t>Oecd</w:t>
      </w:r>
      <w:proofErr w:type="spellEnd"/>
      <w:r w:rsidRPr="00562062">
        <w:rPr>
          <w:rFonts w:ascii="Arial" w:hAnsi="Arial" w:cs="Arial"/>
        </w:rPr>
        <w:t>). Environmental Science and Pollution Research International, 26(13), 13246–13262. https://doi.org/10.1007/ s11356-019-04761-7</w:t>
      </w:r>
    </w:p>
    <w:p w14:paraId="6257CD7C" w14:textId="77777777" w:rsidR="003D2162" w:rsidRPr="00586497" w:rsidRDefault="003D2162" w:rsidP="003A3594">
      <w:pPr>
        <w:rPr>
          <w:rFonts w:ascii="Arial" w:hAnsi="Arial" w:cs="Arial"/>
          <w:color w:val="FF0000"/>
        </w:rPr>
      </w:pPr>
    </w:p>
    <w:p w14:paraId="006767FE" w14:textId="77777777" w:rsidR="00AE0E91" w:rsidRPr="00586497" w:rsidRDefault="00AE0E91" w:rsidP="00AE0E91">
      <w:pPr>
        <w:rPr>
          <w:color w:val="FF0000"/>
          <w:lang w:val="en-GB"/>
        </w:rPr>
      </w:pPr>
      <w:r w:rsidRPr="00586497">
        <w:rPr>
          <w:color w:val="FF0000"/>
          <w:lang w:val="en-GB"/>
        </w:rPr>
        <w:t>Zhang, B., Wang, B., &amp; Wang, Z. (2017). Role of renewable energy and non-renewable energy consumption on EKC: evidence from Pakistan. Journal of cleaner production, 156, 855-864.</w:t>
      </w:r>
    </w:p>
    <w:p w14:paraId="3716CA9B" w14:textId="77777777" w:rsidR="00AE0E91" w:rsidRPr="00562062" w:rsidRDefault="00AE0E91" w:rsidP="003A3594">
      <w:pPr>
        <w:rPr>
          <w:rFonts w:ascii="Arial" w:hAnsi="Arial" w:cs="Arial"/>
        </w:rPr>
      </w:pPr>
    </w:p>
    <w:p w14:paraId="4F90D411" w14:textId="77777777" w:rsidR="003A3594" w:rsidRPr="0059231A" w:rsidRDefault="003A3594" w:rsidP="003A3594">
      <w:pPr>
        <w:rPr>
          <w:rFonts w:ascii="Arial" w:hAnsi="Arial" w:cs="Arial"/>
        </w:rPr>
      </w:pPr>
      <w:proofErr w:type="spellStart"/>
      <w:r w:rsidRPr="00562062">
        <w:rPr>
          <w:rFonts w:ascii="Arial" w:hAnsi="Arial" w:cs="Arial"/>
        </w:rPr>
        <w:t>Zivot</w:t>
      </w:r>
      <w:proofErr w:type="spellEnd"/>
      <w:r w:rsidRPr="00562062">
        <w:rPr>
          <w:rFonts w:ascii="Arial" w:hAnsi="Arial" w:cs="Arial"/>
        </w:rPr>
        <w:t xml:space="preserve">, </w:t>
      </w:r>
      <w:proofErr w:type="gramStart"/>
      <w:r w:rsidRPr="00562062">
        <w:rPr>
          <w:rFonts w:ascii="Arial" w:hAnsi="Arial" w:cs="Arial"/>
        </w:rPr>
        <w:t>e.</w:t>
      </w:r>
      <w:proofErr w:type="gramEnd"/>
      <w:r w:rsidRPr="00562062">
        <w:rPr>
          <w:rFonts w:ascii="Arial" w:hAnsi="Arial" w:cs="Arial"/>
        </w:rPr>
        <w:t xml:space="preserve">, &amp; Andrews, d. W. K. (1992). Further evidence on the great crash, the oil-price shock, and the unit-root hy </w:t>
      </w:r>
      <w:proofErr w:type="spellStart"/>
      <w:r w:rsidRPr="00562062">
        <w:rPr>
          <w:rFonts w:ascii="Arial" w:hAnsi="Arial" w:cs="Arial"/>
        </w:rPr>
        <w:t>pothesis</w:t>
      </w:r>
      <w:proofErr w:type="spellEnd"/>
      <w:r w:rsidRPr="00562062">
        <w:rPr>
          <w:rFonts w:ascii="Arial" w:hAnsi="Arial" w:cs="Arial"/>
        </w:rPr>
        <w:t>. Journal of Business &amp; Economic Statistics, 10(3), 251–270. https://doi.org/10.1080/07350015.1992.10509904</w:t>
      </w:r>
    </w:p>
    <w:p w14:paraId="59EA02C7" w14:textId="77777777" w:rsidR="00441B6F" w:rsidRDefault="00441B6F" w:rsidP="00441B6F">
      <w:pPr>
        <w:pStyle w:val="Body"/>
        <w:spacing w:after="0"/>
        <w:jc w:val="left"/>
      </w:pPr>
    </w:p>
    <w:p w14:paraId="0179616A" w14:textId="77777777" w:rsidR="00441B6F" w:rsidRDefault="00441B6F" w:rsidP="00441B6F">
      <w:pPr>
        <w:pStyle w:val="Body"/>
        <w:spacing w:after="0"/>
        <w:jc w:val="left"/>
        <w:rPr>
          <w:rFonts w:ascii="Arial" w:hAnsi="Arial" w:cs="Arial"/>
        </w:rPr>
      </w:pPr>
    </w:p>
    <w:p w14:paraId="289AE02C" w14:textId="77777777" w:rsidR="00B01FCD" w:rsidRPr="00FB3A86" w:rsidRDefault="00B01FCD" w:rsidP="00441B6F">
      <w:pPr>
        <w:pStyle w:val="Reference"/>
        <w:numPr>
          <w:ilvl w:val="0"/>
          <w:numId w:val="0"/>
        </w:numPr>
        <w:spacing w:line="240" w:lineRule="auto"/>
        <w:rPr>
          <w:rFonts w:ascii="Arial" w:hAnsi="Arial" w:cs="Arial"/>
        </w:rPr>
      </w:pPr>
    </w:p>
    <w:p w14:paraId="3CEBF187" w14:textId="77777777" w:rsidR="00790ADA" w:rsidRPr="00FB3A86" w:rsidRDefault="00790ADA" w:rsidP="00441B6F">
      <w:pPr>
        <w:pStyle w:val="Body"/>
        <w:spacing w:after="0"/>
        <w:rPr>
          <w:rFonts w:ascii="Arial" w:hAnsi="Arial" w:cs="Arial"/>
        </w:rPr>
      </w:pPr>
    </w:p>
    <w:p w14:paraId="280C6A7E" w14:textId="77777777" w:rsidR="00B01FCD" w:rsidRPr="00FB3A86" w:rsidRDefault="00B01FCD" w:rsidP="00441B6F">
      <w:pPr>
        <w:pStyle w:val="Appendix"/>
        <w:spacing w:after="0"/>
        <w:jc w:val="both"/>
        <w:rPr>
          <w:rFonts w:ascii="Arial" w:hAnsi="Arial" w:cs="Arial"/>
          <w:b w:val="0"/>
        </w:rPr>
      </w:pPr>
    </w:p>
    <w:sectPr w:rsidR="00B01FCD" w:rsidRPr="00FB3A86" w:rsidSect="00EA5D97">
      <w:headerReference w:type="even" r:id="rId50"/>
      <w:headerReference w:type="default" r:id="rId51"/>
      <w:footerReference w:type="default" r:id="rId52"/>
      <w:headerReference w:type="first" r:id="rId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03E6" w14:textId="77777777" w:rsidR="007B0C83" w:rsidRDefault="007B0C83" w:rsidP="00C37E61">
      <w:r>
        <w:separator/>
      </w:r>
    </w:p>
  </w:endnote>
  <w:endnote w:type="continuationSeparator" w:id="0">
    <w:p w14:paraId="3B9E7616" w14:textId="77777777" w:rsidR="007B0C83" w:rsidRDefault="007B0C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KaTeX_Mat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2822" w14:textId="77777777" w:rsidR="00EA5D97" w:rsidRDefault="00EA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D06" w14:textId="77777777" w:rsidR="00EA5D97" w:rsidRDefault="00EA5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8B3A" w14:textId="6B6145DF" w:rsidR="00754C9A" w:rsidRPr="00EA5D97" w:rsidRDefault="00754C9A" w:rsidP="00EA5D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C94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0ADD" w14:textId="77777777" w:rsidR="007B0C83" w:rsidRDefault="007B0C83" w:rsidP="00C37E61">
      <w:r>
        <w:separator/>
      </w:r>
    </w:p>
  </w:footnote>
  <w:footnote w:type="continuationSeparator" w:id="0">
    <w:p w14:paraId="62FB0BAD" w14:textId="77777777" w:rsidR="007B0C83" w:rsidRDefault="007B0C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E995" w14:textId="3AF84E94" w:rsidR="00EA5D97" w:rsidRDefault="00000000">
    <w:pPr>
      <w:pStyle w:val="Header"/>
    </w:pPr>
    <w:r>
      <w:rPr>
        <w:noProof/>
      </w:rPr>
      <w:pict w14:anchorId="7D297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B1C7" w14:textId="10B363FE" w:rsidR="00EA5D97" w:rsidRDefault="00000000">
    <w:pPr>
      <w:pStyle w:val="Header"/>
    </w:pPr>
    <w:r>
      <w:rPr>
        <w:noProof/>
      </w:rPr>
      <w:pict w14:anchorId="452AA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8CBE" w14:textId="459D5844" w:rsidR="00296529" w:rsidRPr="00296529" w:rsidRDefault="00000000" w:rsidP="00296529">
    <w:pPr>
      <w:ind w:left="2160"/>
      <w:jc w:val="center"/>
      <w:rPr>
        <w:rFonts w:ascii="Times New Roman" w:eastAsia="Calibri" w:hAnsi="Times New Roman"/>
        <w:i/>
        <w:sz w:val="18"/>
        <w:szCs w:val="22"/>
      </w:rPr>
    </w:pPr>
    <w:r>
      <w:rPr>
        <w:noProof/>
      </w:rPr>
      <w:pict w14:anchorId="50937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A04D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D8B0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F4C0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7B81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31C6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A7D6D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1567" w14:textId="24517220" w:rsidR="00EA5D97" w:rsidRDefault="00000000">
    <w:pPr>
      <w:pStyle w:val="Header"/>
    </w:pPr>
    <w:r>
      <w:rPr>
        <w:noProof/>
      </w:rPr>
      <w:pict w14:anchorId="4F0F9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1395" w14:textId="00074DC1" w:rsidR="00EA5D97" w:rsidRDefault="00000000">
    <w:pPr>
      <w:pStyle w:val="Header"/>
    </w:pPr>
    <w:r>
      <w:rPr>
        <w:noProof/>
      </w:rPr>
      <w:pict w14:anchorId="52BB8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8DF2" w14:textId="53715313" w:rsidR="00EA5D97" w:rsidRDefault="00000000">
    <w:pPr>
      <w:pStyle w:val="Header"/>
    </w:pPr>
    <w:r>
      <w:rPr>
        <w:noProof/>
      </w:rPr>
      <w:pict w14:anchorId="19FB2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E15747"/>
    <w:multiLevelType w:val="multilevel"/>
    <w:tmpl w:val="FEFC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482312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1555299">
    <w:abstractNumId w:val="16"/>
  </w:num>
  <w:num w:numId="3" w16cid:durableId="1822768865">
    <w:abstractNumId w:val="24"/>
  </w:num>
  <w:num w:numId="4" w16cid:durableId="6022998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21024398">
    <w:abstractNumId w:val="7"/>
  </w:num>
  <w:num w:numId="6" w16cid:durableId="1709719858">
    <w:abstractNumId w:val="6"/>
  </w:num>
  <w:num w:numId="7" w16cid:durableId="372118146">
    <w:abstractNumId w:val="1"/>
  </w:num>
  <w:num w:numId="8" w16cid:durableId="1934049654">
    <w:abstractNumId w:val="12"/>
  </w:num>
  <w:num w:numId="9" w16cid:durableId="817570268">
    <w:abstractNumId w:val="26"/>
  </w:num>
  <w:num w:numId="10" w16cid:durableId="354310938">
    <w:abstractNumId w:val="2"/>
  </w:num>
  <w:num w:numId="11" w16cid:durableId="1113523802">
    <w:abstractNumId w:val="19"/>
  </w:num>
  <w:num w:numId="12" w16cid:durableId="357506966">
    <w:abstractNumId w:val="3"/>
  </w:num>
  <w:num w:numId="13" w16cid:durableId="841503832">
    <w:abstractNumId w:val="18"/>
  </w:num>
  <w:num w:numId="14" w16cid:durableId="205609688">
    <w:abstractNumId w:val="8"/>
  </w:num>
  <w:num w:numId="15" w16cid:durableId="1259825686">
    <w:abstractNumId w:val="22"/>
  </w:num>
  <w:num w:numId="16" w16cid:durableId="917523492">
    <w:abstractNumId w:val="5"/>
  </w:num>
  <w:num w:numId="17" w16cid:durableId="2058432034">
    <w:abstractNumId w:val="23"/>
  </w:num>
  <w:num w:numId="18" w16cid:durableId="2053652828">
    <w:abstractNumId w:val="14"/>
  </w:num>
  <w:num w:numId="19" w16cid:durableId="2101367245">
    <w:abstractNumId w:val="29"/>
  </w:num>
  <w:num w:numId="20" w16cid:durableId="213276109">
    <w:abstractNumId w:val="11"/>
  </w:num>
  <w:num w:numId="21" w16cid:durableId="1748069424">
    <w:abstractNumId w:val="9"/>
  </w:num>
  <w:num w:numId="22" w16cid:durableId="900562525">
    <w:abstractNumId w:val="13"/>
  </w:num>
  <w:num w:numId="23" w16cid:durableId="1937444901">
    <w:abstractNumId w:val="20"/>
  </w:num>
  <w:num w:numId="24" w16cid:durableId="1780177689">
    <w:abstractNumId w:val="27"/>
  </w:num>
  <w:num w:numId="25" w16cid:durableId="1192918031">
    <w:abstractNumId w:val="4"/>
  </w:num>
  <w:num w:numId="26" w16cid:durableId="1172838558">
    <w:abstractNumId w:val="17"/>
  </w:num>
  <w:num w:numId="27" w16cid:durableId="91172686">
    <w:abstractNumId w:val="21"/>
  </w:num>
  <w:num w:numId="28" w16cid:durableId="2074549273">
    <w:abstractNumId w:val="28"/>
  </w:num>
  <w:num w:numId="29" w16cid:durableId="148135297">
    <w:abstractNumId w:val="25"/>
  </w:num>
  <w:num w:numId="30" w16cid:durableId="1049067299">
    <w:abstractNumId w:val="10"/>
  </w:num>
  <w:num w:numId="31" w16cid:durableId="8775476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892"/>
    <w:rsid w:val="00030174"/>
    <w:rsid w:val="0004579C"/>
    <w:rsid w:val="00050AD7"/>
    <w:rsid w:val="000525D0"/>
    <w:rsid w:val="00084E65"/>
    <w:rsid w:val="000A47FA"/>
    <w:rsid w:val="000A65D3"/>
    <w:rsid w:val="000B1E33"/>
    <w:rsid w:val="000B7EF9"/>
    <w:rsid w:val="000C7FAF"/>
    <w:rsid w:val="000D689F"/>
    <w:rsid w:val="000E494E"/>
    <w:rsid w:val="000E5C4B"/>
    <w:rsid w:val="000E7B7B"/>
    <w:rsid w:val="000E7D62"/>
    <w:rsid w:val="000F0F5B"/>
    <w:rsid w:val="00103357"/>
    <w:rsid w:val="001141D1"/>
    <w:rsid w:val="00123C9F"/>
    <w:rsid w:val="00126190"/>
    <w:rsid w:val="00130F17"/>
    <w:rsid w:val="001320BF"/>
    <w:rsid w:val="0015121C"/>
    <w:rsid w:val="00151B19"/>
    <w:rsid w:val="00163BC4"/>
    <w:rsid w:val="00177409"/>
    <w:rsid w:val="001868D6"/>
    <w:rsid w:val="00190A16"/>
    <w:rsid w:val="00191062"/>
    <w:rsid w:val="00192B72"/>
    <w:rsid w:val="001A29D8"/>
    <w:rsid w:val="001A5CAA"/>
    <w:rsid w:val="001B0427"/>
    <w:rsid w:val="001D3A51"/>
    <w:rsid w:val="001E0920"/>
    <w:rsid w:val="001E10D2"/>
    <w:rsid w:val="001E25B4"/>
    <w:rsid w:val="001E44FE"/>
    <w:rsid w:val="00200595"/>
    <w:rsid w:val="00204835"/>
    <w:rsid w:val="002077BE"/>
    <w:rsid w:val="002220AD"/>
    <w:rsid w:val="00231920"/>
    <w:rsid w:val="0023195C"/>
    <w:rsid w:val="00233D3D"/>
    <w:rsid w:val="0024282C"/>
    <w:rsid w:val="002460DC"/>
    <w:rsid w:val="00250985"/>
    <w:rsid w:val="00253B73"/>
    <w:rsid w:val="002556F6"/>
    <w:rsid w:val="00283105"/>
    <w:rsid w:val="00284C4C"/>
    <w:rsid w:val="00287E68"/>
    <w:rsid w:val="00296529"/>
    <w:rsid w:val="002B27FB"/>
    <w:rsid w:val="002B685A"/>
    <w:rsid w:val="002C57D2"/>
    <w:rsid w:val="002D24A4"/>
    <w:rsid w:val="002E0D56"/>
    <w:rsid w:val="002E1723"/>
    <w:rsid w:val="00315186"/>
    <w:rsid w:val="00323E0E"/>
    <w:rsid w:val="0033343E"/>
    <w:rsid w:val="003512C2"/>
    <w:rsid w:val="00355CE0"/>
    <w:rsid w:val="00371FB6"/>
    <w:rsid w:val="003763C1"/>
    <w:rsid w:val="00376BBE"/>
    <w:rsid w:val="00382807"/>
    <w:rsid w:val="0039224F"/>
    <w:rsid w:val="003A3594"/>
    <w:rsid w:val="003A43A4"/>
    <w:rsid w:val="003A7E18"/>
    <w:rsid w:val="003B0C91"/>
    <w:rsid w:val="003C4C86"/>
    <w:rsid w:val="003C6258"/>
    <w:rsid w:val="003D2162"/>
    <w:rsid w:val="003D4846"/>
    <w:rsid w:val="003D6945"/>
    <w:rsid w:val="003E2904"/>
    <w:rsid w:val="00401927"/>
    <w:rsid w:val="00402475"/>
    <w:rsid w:val="00403B8B"/>
    <w:rsid w:val="0041027F"/>
    <w:rsid w:val="00412475"/>
    <w:rsid w:val="00423789"/>
    <w:rsid w:val="00437640"/>
    <w:rsid w:val="004403B7"/>
    <w:rsid w:val="0044050F"/>
    <w:rsid w:val="00440F43"/>
    <w:rsid w:val="00441B6F"/>
    <w:rsid w:val="00446221"/>
    <w:rsid w:val="00450E62"/>
    <w:rsid w:val="0045150E"/>
    <w:rsid w:val="00452C14"/>
    <w:rsid w:val="004539DB"/>
    <w:rsid w:val="00455A6A"/>
    <w:rsid w:val="00471A80"/>
    <w:rsid w:val="00486860"/>
    <w:rsid w:val="004B482E"/>
    <w:rsid w:val="004C0F66"/>
    <w:rsid w:val="004D305E"/>
    <w:rsid w:val="004D4277"/>
    <w:rsid w:val="00502516"/>
    <w:rsid w:val="00505F06"/>
    <w:rsid w:val="00506828"/>
    <w:rsid w:val="0053056E"/>
    <w:rsid w:val="00554FDA"/>
    <w:rsid w:val="00562062"/>
    <w:rsid w:val="005644A1"/>
    <w:rsid w:val="0057424B"/>
    <w:rsid w:val="00586497"/>
    <w:rsid w:val="0059231A"/>
    <w:rsid w:val="005A09F3"/>
    <w:rsid w:val="005B0DB0"/>
    <w:rsid w:val="005C2F67"/>
    <w:rsid w:val="005C784C"/>
    <w:rsid w:val="005D17F6"/>
    <w:rsid w:val="005E5539"/>
    <w:rsid w:val="00602BF5"/>
    <w:rsid w:val="006159F5"/>
    <w:rsid w:val="00617FDD"/>
    <w:rsid w:val="00633614"/>
    <w:rsid w:val="00633F68"/>
    <w:rsid w:val="00635E27"/>
    <w:rsid w:val="00636EB2"/>
    <w:rsid w:val="006375B8"/>
    <w:rsid w:val="006467B3"/>
    <w:rsid w:val="0066510A"/>
    <w:rsid w:val="00673F9F"/>
    <w:rsid w:val="006748E4"/>
    <w:rsid w:val="00677158"/>
    <w:rsid w:val="00686953"/>
    <w:rsid w:val="00687DEA"/>
    <w:rsid w:val="00687E67"/>
    <w:rsid w:val="00690286"/>
    <w:rsid w:val="006967F7"/>
    <w:rsid w:val="006A250C"/>
    <w:rsid w:val="006A3613"/>
    <w:rsid w:val="006B21D3"/>
    <w:rsid w:val="006B57D0"/>
    <w:rsid w:val="006C7CBA"/>
    <w:rsid w:val="006D30FF"/>
    <w:rsid w:val="006D5ACC"/>
    <w:rsid w:val="006D6940"/>
    <w:rsid w:val="006F11EC"/>
    <w:rsid w:val="0070082C"/>
    <w:rsid w:val="007114E4"/>
    <w:rsid w:val="00720037"/>
    <w:rsid w:val="00725BBE"/>
    <w:rsid w:val="007310B6"/>
    <w:rsid w:val="007369E6"/>
    <w:rsid w:val="00746E59"/>
    <w:rsid w:val="00754C9A"/>
    <w:rsid w:val="0075551A"/>
    <w:rsid w:val="0075599A"/>
    <w:rsid w:val="00761D52"/>
    <w:rsid w:val="00766E83"/>
    <w:rsid w:val="0077749E"/>
    <w:rsid w:val="00790ADA"/>
    <w:rsid w:val="00795F9D"/>
    <w:rsid w:val="007A4D75"/>
    <w:rsid w:val="007B0C83"/>
    <w:rsid w:val="007D2288"/>
    <w:rsid w:val="007E088F"/>
    <w:rsid w:val="007E719F"/>
    <w:rsid w:val="007F268A"/>
    <w:rsid w:val="007F7B32"/>
    <w:rsid w:val="00801C4B"/>
    <w:rsid w:val="00804BC2"/>
    <w:rsid w:val="0081431A"/>
    <w:rsid w:val="0082626E"/>
    <w:rsid w:val="0083216F"/>
    <w:rsid w:val="00850744"/>
    <w:rsid w:val="00851A08"/>
    <w:rsid w:val="00860000"/>
    <w:rsid w:val="00863BD3"/>
    <w:rsid w:val="008641ED"/>
    <w:rsid w:val="00866D66"/>
    <w:rsid w:val="008671C6"/>
    <w:rsid w:val="008721DF"/>
    <w:rsid w:val="00875803"/>
    <w:rsid w:val="008A3266"/>
    <w:rsid w:val="008A48DF"/>
    <w:rsid w:val="008A64D9"/>
    <w:rsid w:val="008B459E"/>
    <w:rsid w:val="008D1935"/>
    <w:rsid w:val="008E13AE"/>
    <w:rsid w:val="008E1506"/>
    <w:rsid w:val="008E710C"/>
    <w:rsid w:val="008F0F57"/>
    <w:rsid w:val="008F69D6"/>
    <w:rsid w:val="008F7382"/>
    <w:rsid w:val="00902823"/>
    <w:rsid w:val="00915CA6"/>
    <w:rsid w:val="00920EA3"/>
    <w:rsid w:val="00921E7C"/>
    <w:rsid w:val="00927834"/>
    <w:rsid w:val="009407C0"/>
    <w:rsid w:val="009452BA"/>
    <w:rsid w:val="009500A6"/>
    <w:rsid w:val="00957C18"/>
    <w:rsid w:val="009659BA"/>
    <w:rsid w:val="00974532"/>
    <w:rsid w:val="00983040"/>
    <w:rsid w:val="009B3FB9"/>
    <w:rsid w:val="009C2465"/>
    <w:rsid w:val="009D35A0"/>
    <w:rsid w:val="009D7EB7"/>
    <w:rsid w:val="009E048A"/>
    <w:rsid w:val="009E08E9"/>
    <w:rsid w:val="009E3DB9"/>
    <w:rsid w:val="009E6E35"/>
    <w:rsid w:val="009F0EDA"/>
    <w:rsid w:val="009F1B35"/>
    <w:rsid w:val="00A03B96"/>
    <w:rsid w:val="00A05B19"/>
    <w:rsid w:val="00A1134E"/>
    <w:rsid w:val="00A11A35"/>
    <w:rsid w:val="00A2492C"/>
    <w:rsid w:val="00A24E7E"/>
    <w:rsid w:val="00A258C3"/>
    <w:rsid w:val="00A347C0"/>
    <w:rsid w:val="00A51431"/>
    <w:rsid w:val="00A51E31"/>
    <w:rsid w:val="00A539AD"/>
    <w:rsid w:val="00A94063"/>
    <w:rsid w:val="00AA6219"/>
    <w:rsid w:val="00AA74E0"/>
    <w:rsid w:val="00AB09DE"/>
    <w:rsid w:val="00AB52F4"/>
    <w:rsid w:val="00AB564E"/>
    <w:rsid w:val="00AB703F"/>
    <w:rsid w:val="00AC6BB8"/>
    <w:rsid w:val="00AD3AF7"/>
    <w:rsid w:val="00AD671A"/>
    <w:rsid w:val="00AE008F"/>
    <w:rsid w:val="00AE0E91"/>
    <w:rsid w:val="00AE6AB0"/>
    <w:rsid w:val="00B01FCD"/>
    <w:rsid w:val="00B06F96"/>
    <w:rsid w:val="00B1776C"/>
    <w:rsid w:val="00B52583"/>
    <w:rsid w:val="00B52896"/>
    <w:rsid w:val="00B655BD"/>
    <w:rsid w:val="00B8338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50D5"/>
    <w:rsid w:val="00CD6755"/>
    <w:rsid w:val="00CD6856"/>
    <w:rsid w:val="00CE0089"/>
    <w:rsid w:val="00CE793C"/>
    <w:rsid w:val="00CF06AC"/>
    <w:rsid w:val="00CF193C"/>
    <w:rsid w:val="00CF19B2"/>
    <w:rsid w:val="00CF1F02"/>
    <w:rsid w:val="00D15439"/>
    <w:rsid w:val="00D173F1"/>
    <w:rsid w:val="00D23C5C"/>
    <w:rsid w:val="00D44B27"/>
    <w:rsid w:val="00D74CB0"/>
    <w:rsid w:val="00D8295D"/>
    <w:rsid w:val="00DC2A65"/>
    <w:rsid w:val="00DE15F0"/>
    <w:rsid w:val="00DE31B8"/>
    <w:rsid w:val="00DE5663"/>
    <w:rsid w:val="00DE78AA"/>
    <w:rsid w:val="00DF7D9C"/>
    <w:rsid w:val="00E048BA"/>
    <w:rsid w:val="00E053D0"/>
    <w:rsid w:val="00E15994"/>
    <w:rsid w:val="00E3114E"/>
    <w:rsid w:val="00E31A70"/>
    <w:rsid w:val="00E35B02"/>
    <w:rsid w:val="00E66496"/>
    <w:rsid w:val="00E66B35"/>
    <w:rsid w:val="00E66E10"/>
    <w:rsid w:val="00E769F6"/>
    <w:rsid w:val="00E81702"/>
    <w:rsid w:val="00E8407C"/>
    <w:rsid w:val="00E84F3C"/>
    <w:rsid w:val="00EA012C"/>
    <w:rsid w:val="00EA5D97"/>
    <w:rsid w:val="00EC208D"/>
    <w:rsid w:val="00EC6A55"/>
    <w:rsid w:val="00ED0288"/>
    <w:rsid w:val="00EE52CB"/>
    <w:rsid w:val="00EF581D"/>
    <w:rsid w:val="00EF6AA7"/>
    <w:rsid w:val="00EF7FD8"/>
    <w:rsid w:val="00F06F59"/>
    <w:rsid w:val="00F17988"/>
    <w:rsid w:val="00F204BE"/>
    <w:rsid w:val="00F469F0"/>
    <w:rsid w:val="00F5221E"/>
    <w:rsid w:val="00F5230C"/>
    <w:rsid w:val="00F53273"/>
    <w:rsid w:val="00F67E7E"/>
    <w:rsid w:val="00F755E4"/>
    <w:rsid w:val="00F77D02"/>
    <w:rsid w:val="00F85718"/>
    <w:rsid w:val="00FA638B"/>
    <w:rsid w:val="00FA653F"/>
    <w:rsid w:val="00FB3A86"/>
    <w:rsid w:val="00FD36C8"/>
    <w:rsid w:val="00FE2555"/>
    <w:rsid w:val="00FF3E97"/>
    <w:rsid w:val="00FF42A4"/>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2"/>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7C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25B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mord">
    <w:name w:val="mord"/>
    <w:basedOn w:val="DefaultParagraphFont"/>
    <w:rsid w:val="000C7FAF"/>
  </w:style>
  <w:style w:type="character" w:customStyle="1" w:styleId="vlist-s">
    <w:name w:val="vlist-s"/>
    <w:basedOn w:val="DefaultParagraphFont"/>
    <w:rsid w:val="000C7FAF"/>
  </w:style>
  <w:style w:type="character" w:customStyle="1" w:styleId="mrel">
    <w:name w:val="mrel"/>
    <w:basedOn w:val="DefaultParagraphFont"/>
    <w:rsid w:val="000C7FAF"/>
  </w:style>
  <w:style w:type="character" w:customStyle="1" w:styleId="mbin">
    <w:name w:val="mbin"/>
    <w:basedOn w:val="DefaultParagraphFont"/>
    <w:rsid w:val="000C7FAF"/>
  </w:style>
  <w:style w:type="paragraph" w:styleId="ListParagraph">
    <w:name w:val="List Paragraph"/>
    <w:basedOn w:val="Normal"/>
    <w:uiPriority w:val="34"/>
    <w:qFormat/>
    <w:rsid w:val="00402475"/>
    <w:pPr>
      <w:spacing w:after="160" w:line="259" w:lineRule="auto"/>
      <w:ind w:left="720"/>
      <w:contextualSpacing/>
    </w:pPr>
    <w:rPr>
      <w:rFonts w:ascii="Times New Roman" w:eastAsiaTheme="minorHAnsi" w:hAnsi="Times New Roman" w:cstheme="minorBidi"/>
      <w:kern w:val="2"/>
      <w:sz w:val="22"/>
      <w:szCs w:val="22"/>
      <w:lang w:val="en-IN"/>
    </w:rPr>
  </w:style>
  <w:style w:type="table" w:styleId="PlainTable2">
    <w:name w:val="Plain Table 2"/>
    <w:basedOn w:val="TableNormal"/>
    <w:uiPriority w:val="42"/>
    <w:rsid w:val="00437640"/>
    <w:rPr>
      <w:rFonts w:eastAsiaTheme="minorHAnsi" w:cstheme="minorBidi"/>
      <w:kern w:val="2"/>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A3613"/>
    <w:rPr>
      <w:rFonts w:eastAsiaTheme="minorHAnsi" w:cstheme="minorBidi"/>
      <w:kern w:val="2"/>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725BB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20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076184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1356-021-14830-5" TargetMode="External"/><Relationship Id="rId26" Type="http://schemas.openxmlformats.org/officeDocument/2006/relationships/hyperlink" Target="https://doi.org/10.2307/2118443" TargetMode="External"/><Relationship Id="rId39" Type="http://schemas.openxmlformats.org/officeDocument/2006/relationships/hyperlink" Target="https://doi.org/10.1016/j.heliyon.2019.e01974" TargetMode="External"/><Relationship Id="rId21" Type="http://schemas.openxmlformats.org/officeDocument/2006/relationships/hyperlink" Target="https://doi.org/10.1016/j.enpol.2014.11.019" TargetMode="External"/><Relationship Id="rId34" Type="http://schemas.openxmlformats.org/officeDocument/2006/relationships/hyperlink" Target="https://doi.org/10.14453/aabfj.v12i2.9" TargetMode="External"/><Relationship Id="rId42" Type="http://schemas.openxmlformats.org/officeDocument/2006/relationships/hyperlink" Target="https://doi.org/10.1016/j.rser.2012.10.031" TargetMode="External"/><Relationship Id="rId47" Type="http://schemas.openxmlformats.org/officeDocument/2006/relationships/hyperlink" Target="https://doi.org/10.1080/23311886.2024.2338866"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hyperlink" Target="https://doi.org/10.1016/j.scitotenv.2020.137813" TargetMode="External"/><Relationship Id="rId11" Type="http://schemas.openxmlformats.org/officeDocument/2006/relationships/footer" Target="footer2.xml"/><Relationship Id="rId24" Type="http://schemas.openxmlformats.org/officeDocument/2006/relationships/hyperlink" Target="https://doi.org/10.18160/gcp-2023" TargetMode="External"/><Relationship Id="rId32" Type="http://schemas.openxmlformats.org/officeDocument/2006/relationships/hyperlink" Target="https://doi.org/10.1007/s11356-020-08812-2" TargetMode="External"/><Relationship Id="rId37" Type="http://schemas.openxmlformats.org/officeDocument/2006/relationships/hyperlink" Target="https://doi.org/10.1108/ECON-09-2024-0137" TargetMode="External"/><Relationship Id="rId40" Type="http://schemas.openxmlformats.org/officeDocument/2006/relationships/hyperlink" Target="https://doi.org/10.1016/j.ecolind.2014.12.025?utm_source=chatgpt.com" TargetMode="External"/><Relationship Id="rId45" Type="http://schemas.openxmlformats.org/officeDocument/2006/relationships/hyperlink" Target="https://doi.org/10.1186/s40008-021-00259-z"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16/j.ecolind.2014.09.040" TargetMode="External"/><Relationship Id="rId31" Type="http://schemas.openxmlformats.org/officeDocument/2006/relationships/hyperlink" Target="https://doi.org/10.1016/j.jenvman.2023.118234" TargetMode="External"/><Relationship Id="rId44" Type="http://schemas.openxmlformats.org/officeDocument/2006/relationships/hyperlink" Target="https://doi.org/10.1007/s11356-019-04696-z"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1016/j.ecolecon.2006.03.014" TargetMode="External"/><Relationship Id="rId27" Type="http://schemas.openxmlformats.org/officeDocument/2006/relationships/hyperlink" Target="https://doi.org/10.1016/j.ecolind.2016.03.019" TargetMode="External"/><Relationship Id="rId30" Type="http://schemas.openxmlformats.org/officeDocument/2006/relationships/hyperlink" Target="https://www.imf.org/en/Publications/WEO/weo-database/2023/October" TargetMode="External"/><Relationship Id="rId35" Type="http://schemas.openxmlformats.org/officeDocument/2006/relationships/hyperlink" Target="https://doi.org/10.1016/j.apenergy.2023.121138" TargetMode="External"/><Relationship Id="rId43" Type="http://schemas.openxmlformats.org/officeDocument/2006/relationships/hyperlink" Target="https://doi.org/10.1007/s11356-022-22912-1" TargetMode="External"/><Relationship Id="rId48" Type="http://schemas.openxmlformats.org/officeDocument/2006/relationships/hyperlink" Target="https://doi.org/10.1016/j.resglo.2020.%20100035"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s://unfccc.int/sites/default/files/NDC/2022-08/India%20Updated%20First%20Nationally%20Determined%20Contrib.pdf" TargetMode="External"/><Relationship Id="rId33" Type="http://schemas.openxmlformats.org/officeDocument/2006/relationships/hyperlink" Target="https://doi.org/10.1007/s10708-020-10370-6" TargetMode="External"/><Relationship Id="rId38" Type="http://schemas.openxmlformats.org/officeDocument/2006/relationships/hyperlink" Target="https://www.isid.ac.in/~epu/acegd2014/papers/PurbaRoyChoudhury.pdf" TargetMode="External"/><Relationship Id="rId46" Type="http://schemas.openxmlformats.org/officeDocument/2006/relationships/hyperlink" Target="https://doi.org/10.32479/ijeep.14590" TargetMode="External"/><Relationship Id="rId20" Type="http://schemas.openxmlformats.org/officeDocument/2006/relationships/hyperlink" Target="https://doi.org/10.1111/opec.12156" TargetMode="External"/><Relationship Id="rId41" Type="http://schemas.openxmlformats.org/officeDocument/2006/relationships/hyperlink" Target="https://doi.org/10.1016/j.renene.2017.12.05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https://doi.org/10.1007/s11356-020-08812-2?utm_source=chatgpt.com" TargetMode="External"/><Relationship Id="rId28" Type="http://schemas.openxmlformats.org/officeDocument/2006/relationships/hyperlink" Target="https://doi.org/10.1016/j.spc.2021.02.020" TargetMode="External"/><Relationship Id="rId36" Type="http://schemas.openxmlformats.org/officeDocument/2006/relationships/hyperlink" Target="https://doi.org/10.1002/jae.616" TargetMode="External"/><Relationship Id="rId49" Type="http://schemas.openxmlformats.org/officeDocument/2006/relationships/hyperlink" Target="https://doi.org/10.1016/j.econmod.2014.01.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B33EF-D243-4876-9C3A-EF7D732D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173</TotalTime>
  <Pages>14</Pages>
  <Words>7657</Words>
  <Characters>43645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51200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Amar Nath Das</cp:lastModifiedBy>
  <cp:revision>115</cp:revision>
  <cp:lastPrinted>1999-07-06T11:00:00Z</cp:lastPrinted>
  <dcterms:created xsi:type="dcterms:W3CDTF">2014-10-25T14:34:00Z</dcterms:created>
  <dcterms:modified xsi:type="dcterms:W3CDTF">2025-09-03T19:09:00Z</dcterms:modified>
</cp:coreProperties>
</file>